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130A9" w14:textId="77777777" w:rsidR="00733C88" w:rsidRDefault="00733C88" w:rsidP="00733C88">
      <w:r w:rsidRPr="00375603">
        <w:rPr>
          <w:noProof/>
        </w:rPr>
        <w:drawing>
          <wp:anchor distT="0" distB="0" distL="114300" distR="114300" simplePos="0" relativeHeight="251660288" behindDoc="0" locked="0" layoutInCell="1" allowOverlap="1" wp14:anchorId="0D07302F" wp14:editId="67D04567">
            <wp:simplePos x="0" y="0"/>
            <wp:positionH relativeFrom="margin">
              <wp:posOffset>2537460</wp:posOffset>
            </wp:positionH>
            <wp:positionV relativeFrom="paragraph">
              <wp:posOffset>107950</wp:posOffset>
            </wp:positionV>
            <wp:extent cx="1018540" cy="718820"/>
            <wp:effectExtent l="0" t="0" r="0" b="5080"/>
            <wp:wrapSquare wrapText="bothSides"/>
            <wp:docPr id="115013395"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r w:rsidRPr="00375603">
        <w:rPr>
          <w:noProof/>
        </w:rPr>
        <w:drawing>
          <wp:anchor distT="0" distB="0" distL="114300" distR="114300" simplePos="0" relativeHeight="251659264" behindDoc="1" locked="0" layoutInCell="1" allowOverlap="1" wp14:anchorId="3C036173" wp14:editId="68BE5B3B">
            <wp:simplePos x="0" y="0"/>
            <wp:positionH relativeFrom="margin">
              <wp:posOffset>5362575</wp:posOffset>
            </wp:positionH>
            <wp:positionV relativeFrom="margin">
              <wp:align>top</wp:align>
            </wp:positionV>
            <wp:extent cx="441325" cy="1000125"/>
            <wp:effectExtent l="0" t="0" r="0" b="9525"/>
            <wp:wrapTight wrapText="bothSides">
              <wp:wrapPolygon edited="0">
                <wp:start x="0" y="0"/>
                <wp:lineTo x="0" y="21394"/>
                <wp:lineTo x="20512" y="21394"/>
                <wp:lineTo x="20512" y="0"/>
                <wp:lineTo x="0" y="0"/>
              </wp:wrapPolygon>
            </wp:wrapTight>
            <wp:docPr id="4499238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1325" cy="1000125"/>
                    </a:xfrm>
                    <a:prstGeom prst="rect">
                      <a:avLst/>
                    </a:prstGeom>
                  </pic:spPr>
                </pic:pic>
              </a:graphicData>
            </a:graphic>
            <wp14:sizeRelH relativeFrom="margin">
              <wp14:pctWidth>0</wp14:pctWidth>
            </wp14:sizeRelH>
            <wp14:sizeRelV relativeFrom="margin">
              <wp14:pctHeight>0</wp14:pctHeight>
            </wp14:sizeRelV>
          </wp:anchor>
        </w:drawing>
      </w:r>
      <w:r w:rsidRPr="00375603">
        <w:rPr>
          <w:noProof/>
        </w:rPr>
        <w:drawing>
          <wp:anchor distT="0" distB="0" distL="114300" distR="114300" simplePos="0" relativeHeight="251661312" behindDoc="0" locked="0" layoutInCell="1" allowOverlap="1" wp14:anchorId="69BEDA32" wp14:editId="59C5A25B">
            <wp:simplePos x="0" y="0"/>
            <wp:positionH relativeFrom="column">
              <wp:posOffset>0</wp:posOffset>
            </wp:positionH>
            <wp:positionV relativeFrom="paragraph">
              <wp:posOffset>222885</wp:posOffset>
            </wp:positionV>
            <wp:extent cx="1024890" cy="619125"/>
            <wp:effectExtent l="0" t="0" r="3810" b="9525"/>
            <wp:wrapSquare wrapText="bothSides"/>
            <wp:docPr id="883982370"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p>
    <w:p w14:paraId="7BD47764" w14:textId="77777777" w:rsidR="00733C88" w:rsidRDefault="00733C88" w:rsidP="00733C88"/>
    <w:p w14:paraId="20F539C8" w14:textId="77777777" w:rsidR="00733C88" w:rsidRDefault="00733C88" w:rsidP="00733C88"/>
    <w:p w14:paraId="7AB66A45" w14:textId="77777777" w:rsidR="00733C88" w:rsidRDefault="00733C88" w:rsidP="00733C88"/>
    <w:p w14:paraId="4317D73F" w14:textId="77777777" w:rsidR="00733C88" w:rsidRDefault="00733C88" w:rsidP="00733C88"/>
    <w:p w14:paraId="04A9613C" w14:textId="77777777" w:rsidR="00733C88" w:rsidRDefault="00733C88" w:rsidP="00733C88">
      <w:pPr>
        <w:tabs>
          <w:tab w:val="left" w:pos="5520"/>
        </w:tabs>
      </w:pPr>
      <w:r>
        <w:tab/>
      </w:r>
    </w:p>
    <w:p w14:paraId="7103EA00" w14:textId="02BAF412" w:rsidR="00733C88" w:rsidRDefault="00733C88" w:rsidP="00733C88">
      <w:pPr>
        <w:tabs>
          <w:tab w:val="left" w:pos="3540"/>
        </w:tabs>
        <w:jc w:val="center"/>
      </w:pPr>
    </w:p>
    <w:p w14:paraId="116AF573" w14:textId="77777777" w:rsidR="004B3F4D" w:rsidRDefault="004B3F4D" w:rsidP="00733C88">
      <w:pPr>
        <w:tabs>
          <w:tab w:val="left" w:pos="3540"/>
        </w:tabs>
        <w:jc w:val="center"/>
      </w:pPr>
    </w:p>
    <w:p w14:paraId="567F5172" w14:textId="264A5EEA" w:rsidR="004B3F4D" w:rsidRDefault="004B3F4D" w:rsidP="00733C88">
      <w:pPr>
        <w:tabs>
          <w:tab w:val="left" w:pos="3540"/>
        </w:tabs>
        <w:jc w:val="center"/>
      </w:pPr>
    </w:p>
    <w:p w14:paraId="6BBC7FB2" w14:textId="7F97B700" w:rsidR="004B3F4D" w:rsidRDefault="004B3F4D" w:rsidP="00733C88">
      <w:pPr>
        <w:jc w:val="center"/>
        <w:rPr>
          <w:b/>
          <w:color w:val="2F5496" w:themeColor="accent1" w:themeShade="BF"/>
          <w:sz w:val="28"/>
          <w:szCs w:val="28"/>
        </w:rPr>
      </w:pPr>
    </w:p>
    <w:p w14:paraId="5D5E0F58" w14:textId="5931FF99" w:rsidR="004B3F4D" w:rsidRDefault="004B3F4D" w:rsidP="00733C88">
      <w:pPr>
        <w:jc w:val="center"/>
        <w:rPr>
          <w:b/>
          <w:color w:val="2F5496" w:themeColor="accent1" w:themeShade="BF"/>
          <w:sz w:val="28"/>
          <w:szCs w:val="28"/>
        </w:rPr>
      </w:pPr>
      <w:r w:rsidRPr="00E36ECF">
        <w:rPr>
          <w:noProof/>
        </w:rPr>
        <w:drawing>
          <wp:anchor distT="0" distB="0" distL="114300" distR="114300" simplePos="0" relativeHeight="251662336" behindDoc="0" locked="0" layoutInCell="1" allowOverlap="1" wp14:anchorId="0DF25002" wp14:editId="7D993997">
            <wp:simplePos x="0" y="0"/>
            <wp:positionH relativeFrom="column">
              <wp:posOffset>1447800</wp:posOffset>
            </wp:positionH>
            <wp:positionV relativeFrom="paragraph">
              <wp:posOffset>119380</wp:posOffset>
            </wp:positionV>
            <wp:extent cx="2927547" cy="1647747"/>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927547" cy="1647747"/>
                    </a:xfrm>
                    <a:prstGeom prst="rect">
                      <a:avLst/>
                    </a:prstGeom>
                  </pic:spPr>
                </pic:pic>
              </a:graphicData>
            </a:graphic>
          </wp:anchor>
        </w:drawing>
      </w:r>
    </w:p>
    <w:p w14:paraId="4287BB80" w14:textId="77777777" w:rsidR="004B3F4D" w:rsidRDefault="004B3F4D" w:rsidP="00733C88">
      <w:pPr>
        <w:jc w:val="center"/>
        <w:rPr>
          <w:b/>
          <w:color w:val="2F5496" w:themeColor="accent1" w:themeShade="BF"/>
          <w:sz w:val="28"/>
          <w:szCs w:val="28"/>
        </w:rPr>
      </w:pPr>
    </w:p>
    <w:p w14:paraId="217F4484" w14:textId="77777777" w:rsidR="004B3F4D" w:rsidRDefault="004B3F4D" w:rsidP="00733C88">
      <w:pPr>
        <w:jc w:val="center"/>
        <w:rPr>
          <w:b/>
          <w:color w:val="2F5496" w:themeColor="accent1" w:themeShade="BF"/>
          <w:sz w:val="28"/>
          <w:szCs w:val="28"/>
        </w:rPr>
      </w:pPr>
    </w:p>
    <w:p w14:paraId="483ACA63" w14:textId="77777777" w:rsidR="004B3F4D" w:rsidRDefault="004B3F4D" w:rsidP="00733C88">
      <w:pPr>
        <w:jc w:val="center"/>
        <w:rPr>
          <w:b/>
          <w:color w:val="2F5496" w:themeColor="accent1" w:themeShade="BF"/>
          <w:sz w:val="28"/>
          <w:szCs w:val="28"/>
        </w:rPr>
      </w:pPr>
    </w:p>
    <w:p w14:paraId="666FFB9F" w14:textId="77777777" w:rsidR="004B3F4D" w:rsidRDefault="004B3F4D" w:rsidP="00733C88">
      <w:pPr>
        <w:jc w:val="center"/>
        <w:rPr>
          <w:b/>
          <w:color w:val="2F5496" w:themeColor="accent1" w:themeShade="BF"/>
          <w:sz w:val="28"/>
          <w:szCs w:val="28"/>
        </w:rPr>
      </w:pPr>
    </w:p>
    <w:p w14:paraId="4D3999BF" w14:textId="77777777" w:rsidR="004B3F4D" w:rsidRDefault="004B3F4D" w:rsidP="00733C88">
      <w:pPr>
        <w:jc w:val="center"/>
        <w:rPr>
          <w:b/>
          <w:color w:val="2F5496" w:themeColor="accent1" w:themeShade="BF"/>
          <w:sz w:val="28"/>
          <w:szCs w:val="28"/>
        </w:rPr>
      </w:pPr>
    </w:p>
    <w:p w14:paraId="73A8F1F1" w14:textId="77777777" w:rsidR="004B3F4D" w:rsidRDefault="004B3F4D" w:rsidP="00733C88">
      <w:pPr>
        <w:jc w:val="center"/>
        <w:rPr>
          <w:b/>
          <w:color w:val="2F5496" w:themeColor="accent1" w:themeShade="BF"/>
          <w:sz w:val="28"/>
          <w:szCs w:val="28"/>
        </w:rPr>
      </w:pPr>
    </w:p>
    <w:p w14:paraId="1D82CFA4" w14:textId="77777777" w:rsidR="004B3F4D" w:rsidRDefault="004B3F4D" w:rsidP="00733C88">
      <w:pPr>
        <w:jc w:val="center"/>
        <w:rPr>
          <w:b/>
          <w:color w:val="2F5496" w:themeColor="accent1" w:themeShade="BF"/>
          <w:sz w:val="28"/>
          <w:szCs w:val="28"/>
        </w:rPr>
      </w:pPr>
    </w:p>
    <w:p w14:paraId="31408A86" w14:textId="77777777" w:rsidR="004B3F4D" w:rsidRDefault="004B3F4D" w:rsidP="00733C88">
      <w:pPr>
        <w:jc w:val="center"/>
        <w:rPr>
          <w:b/>
          <w:color w:val="2F5496" w:themeColor="accent1" w:themeShade="BF"/>
          <w:sz w:val="28"/>
          <w:szCs w:val="28"/>
        </w:rPr>
      </w:pPr>
    </w:p>
    <w:p w14:paraId="2010BA77" w14:textId="77777777" w:rsidR="004B3F4D" w:rsidRDefault="004B3F4D" w:rsidP="00733C88">
      <w:pPr>
        <w:jc w:val="center"/>
        <w:rPr>
          <w:b/>
          <w:color w:val="2F5496" w:themeColor="accent1" w:themeShade="BF"/>
          <w:sz w:val="28"/>
          <w:szCs w:val="28"/>
        </w:rPr>
      </w:pPr>
    </w:p>
    <w:p w14:paraId="4DDA15C6" w14:textId="77777777" w:rsidR="004B3F4D" w:rsidRDefault="004B3F4D" w:rsidP="00733C88">
      <w:pPr>
        <w:jc w:val="center"/>
        <w:rPr>
          <w:b/>
          <w:color w:val="2F5496" w:themeColor="accent1" w:themeShade="BF"/>
          <w:sz w:val="28"/>
          <w:szCs w:val="28"/>
        </w:rPr>
      </w:pPr>
    </w:p>
    <w:p w14:paraId="3E34EC79" w14:textId="3CCE3528" w:rsidR="00733C88" w:rsidRDefault="00733C88" w:rsidP="00733C88">
      <w:pPr>
        <w:jc w:val="center"/>
        <w:rPr>
          <w:b/>
          <w:color w:val="2F5496" w:themeColor="accent1" w:themeShade="BF"/>
          <w:sz w:val="28"/>
          <w:szCs w:val="28"/>
        </w:rPr>
      </w:pPr>
      <w:r w:rsidRPr="00B34D4E">
        <w:rPr>
          <w:b/>
          <w:color w:val="2F5496" w:themeColor="accent1" w:themeShade="BF"/>
          <w:sz w:val="28"/>
          <w:szCs w:val="28"/>
        </w:rPr>
        <w:t>IMPLEMENTATION OF THE STRATEGIC ACTION PROGRAMME (SAP) OF THE DINARIC KARST AQUIFER SYSTEM: IMPROVING GROUNDWATER GOVERNANCE AND SUSTAINABILITY OF RELATED ECOSYSTEMS</w:t>
      </w:r>
    </w:p>
    <w:p w14:paraId="7C43F636" w14:textId="77777777" w:rsidR="004B3F4D" w:rsidRPr="00B34D4E" w:rsidRDefault="004B3F4D" w:rsidP="00733C88">
      <w:pPr>
        <w:jc w:val="center"/>
        <w:rPr>
          <w:b/>
          <w:color w:val="2F5496" w:themeColor="accent1" w:themeShade="BF"/>
          <w:sz w:val="28"/>
          <w:szCs w:val="28"/>
        </w:rPr>
      </w:pPr>
    </w:p>
    <w:p w14:paraId="0F60BC25" w14:textId="77777777" w:rsidR="00733C88" w:rsidRDefault="00733C88" w:rsidP="00733C88"/>
    <w:p w14:paraId="0D1E9749" w14:textId="77777777" w:rsidR="00733C88" w:rsidRPr="001A244B" w:rsidRDefault="00733C88" w:rsidP="00733C88">
      <w:pPr>
        <w:pStyle w:val="Default"/>
        <w:jc w:val="center"/>
        <w:rPr>
          <w:rFonts w:asciiTheme="minorHAnsi" w:hAnsiTheme="minorHAnsi" w:cstheme="minorHAnsi"/>
          <w:b/>
          <w:bCs/>
          <w:color w:val="2F5496" w:themeColor="accent1" w:themeShade="BF"/>
          <w:sz w:val="36"/>
          <w:szCs w:val="36"/>
        </w:rPr>
      </w:pPr>
      <w:r w:rsidRPr="001A244B">
        <w:rPr>
          <w:rFonts w:asciiTheme="minorHAnsi" w:hAnsiTheme="minorHAnsi" w:cstheme="minorHAnsi"/>
          <w:b/>
          <w:bCs/>
          <w:color w:val="2F5496" w:themeColor="accent1" w:themeShade="BF"/>
          <w:sz w:val="36"/>
          <w:szCs w:val="36"/>
        </w:rPr>
        <w:t xml:space="preserve">OUTPUT </w:t>
      </w:r>
      <w:r>
        <w:rPr>
          <w:rFonts w:asciiTheme="minorHAnsi" w:hAnsiTheme="minorHAnsi" w:cstheme="minorHAnsi"/>
          <w:b/>
          <w:bCs/>
          <w:color w:val="2F5496" w:themeColor="accent1" w:themeShade="BF"/>
          <w:sz w:val="36"/>
          <w:szCs w:val="36"/>
        </w:rPr>
        <w:t>6.2.1</w:t>
      </w:r>
    </w:p>
    <w:p w14:paraId="699E75B4" w14:textId="77777777" w:rsidR="00733C88" w:rsidRDefault="00733C88" w:rsidP="00733C88">
      <w:pPr>
        <w:pStyle w:val="Default"/>
        <w:jc w:val="center"/>
        <w:rPr>
          <w:rFonts w:asciiTheme="minorHAnsi" w:hAnsiTheme="minorHAnsi" w:cstheme="minorHAnsi"/>
          <w:b/>
          <w:bCs/>
          <w:color w:val="2F5496" w:themeColor="accent1" w:themeShade="BF"/>
          <w:sz w:val="28"/>
          <w:szCs w:val="28"/>
        </w:rPr>
      </w:pPr>
    </w:p>
    <w:p w14:paraId="2CCA1F13" w14:textId="77777777" w:rsidR="004B3F4D" w:rsidRDefault="004B3F4D" w:rsidP="00733C88">
      <w:pPr>
        <w:pStyle w:val="Default"/>
        <w:jc w:val="center"/>
        <w:rPr>
          <w:rFonts w:asciiTheme="minorHAnsi" w:hAnsiTheme="minorHAnsi" w:cstheme="minorHAnsi"/>
          <w:b/>
          <w:bCs/>
          <w:color w:val="2F5496" w:themeColor="accent1" w:themeShade="BF"/>
          <w:sz w:val="28"/>
          <w:szCs w:val="28"/>
        </w:rPr>
      </w:pPr>
    </w:p>
    <w:p w14:paraId="44D37A41" w14:textId="77777777" w:rsidR="004B3F4D" w:rsidRDefault="004B3F4D" w:rsidP="00733C88">
      <w:pPr>
        <w:pStyle w:val="Default"/>
        <w:jc w:val="center"/>
        <w:rPr>
          <w:rFonts w:asciiTheme="minorHAnsi" w:hAnsiTheme="minorHAnsi" w:cstheme="minorHAnsi"/>
          <w:b/>
          <w:bCs/>
          <w:color w:val="2F5496" w:themeColor="accent1" w:themeShade="BF"/>
          <w:sz w:val="28"/>
          <w:szCs w:val="28"/>
        </w:rPr>
      </w:pPr>
    </w:p>
    <w:p w14:paraId="7BE5AF50" w14:textId="77777777" w:rsidR="004B3F4D" w:rsidRPr="001A244B" w:rsidRDefault="004B3F4D" w:rsidP="00733C88">
      <w:pPr>
        <w:pStyle w:val="Default"/>
        <w:jc w:val="center"/>
        <w:rPr>
          <w:rFonts w:asciiTheme="minorHAnsi" w:hAnsiTheme="minorHAnsi" w:cstheme="minorHAnsi"/>
          <w:b/>
          <w:bCs/>
          <w:color w:val="2F5496" w:themeColor="accent1" w:themeShade="BF"/>
          <w:sz w:val="28"/>
          <w:szCs w:val="28"/>
        </w:rPr>
      </w:pPr>
    </w:p>
    <w:p w14:paraId="7F165E57" w14:textId="77777777" w:rsidR="00733C88" w:rsidRPr="00556170" w:rsidRDefault="00733C88" w:rsidP="00733C88">
      <w:pPr>
        <w:jc w:val="center"/>
        <w:rPr>
          <w:rFonts w:cstheme="minorHAnsi"/>
          <w:sz w:val="30"/>
          <w:szCs w:val="30"/>
        </w:rPr>
      </w:pPr>
      <w:r w:rsidRPr="00556170">
        <w:rPr>
          <w:rFonts w:cstheme="minorHAnsi"/>
          <w:b/>
          <w:bCs/>
          <w:color w:val="1F4E79"/>
          <w:sz w:val="30"/>
          <w:szCs w:val="30"/>
        </w:rPr>
        <w:t>REGIONAL WATER SECTOR GENDER ANALYSIS</w:t>
      </w:r>
    </w:p>
    <w:p w14:paraId="182E3BA6" w14:textId="77777777" w:rsidR="00733C88" w:rsidRPr="00B7191F" w:rsidRDefault="00733C88" w:rsidP="00733C88">
      <w:pPr>
        <w:jc w:val="center"/>
        <w:rPr>
          <w:rFonts w:cstheme="minorHAnsi"/>
          <w:color w:val="002060"/>
          <w:sz w:val="30"/>
          <w:szCs w:val="30"/>
        </w:rPr>
      </w:pPr>
      <w:r w:rsidRPr="00B7191F">
        <w:rPr>
          <w:rFonts w:cstheme="minorHAnsi"/>
          <w:i/>
          <w:iCs/>
          <w:color w:val="002060"/>
          <w:sz w:val="30"/>
          <w:szCs w:val="30"/>
        </w:rPr>
        <w:t>Comparative Assessment of the Dinaric Karst Region</w:t>
      </w:r>
    </w:p>
    <w:p w14:paraId="40B31583" w14:textId="77777777" w:rsidR="00733C88" w:rsidRPr="00B7191F" w:rsidRDefault="00733C88" w:rsidP="00733C88">
      <w:pPr>
        <w:jc w:val="center"/>
        <w:rPr>
          <w:rFonts w:cstheme="minorHAnsi"/>
          <w:color w:val="002060"/>
          <w:sz w:val="30"/>
          <w:szCs w:val="30"/>
        </w:rPr>
      </w:pPr>
      <w:r w:rsidRPr="00B7191F">
        <w:rPr>
          <w:rFonts w:cstheme="minorHAnsi"/>
          <w:color w:val="002060"/>
          <w:sz w:val="30"/>
          <w:szCs w:val="30"/>
        </w:rPr>
        <w:t>Albania | Bosnia and Herzegovina| Croatia | Montenegro</w:t>
      </w:r>
    </w:p>
    <w:p w14:paraId="314D23FF" w14:textId="77777777" w:rsidR="00733C88" w:rsidRDefault="00733C88" w:rsidP="00733C88"/>
    <w:p w14:paraId="776ACC91" w14:textId="77777777" w:rsidR="00733C88" w:rsidRDefault="00733C88" w:rsidP="00733C88"/>
    <w:p w14:paraId="5736DC32" w14:textId="77777777" w:rsidR="00733C88" w:rsidRDefault="00733C88" w:rsidP="00733C88"/>
    <w:p w14:paraId="6EAA5E60" w14:textId="77777777" w:rsidR="00733C88" w:rsidRDefault="00733C88" w:rsidP="00733C88"/>
    <w:p w14:paraId="18F37E84" w14:textId="77777777" w:rsidR="00733C88" w:rsidRPr="007C40DF" w:rsidRDefault="00733C88" w:rsidP="00733C88">
      <w:pPr>
        <w:jc w:val="center"/>
        <w:rPr>
          <w:color w:val="002060"/>
        </w:rPr>
      </w:pPr>
      <w:r>
        <w:rPr>
          <w:color w:val="002060"/>
        </w:rPr>
        <w:t>FEBRUARY</w:t>
      </w:r>
      <w:r w:rsidRPr="007C40DF">
        <w:rPr>
          <w:color w:val="002060"/>
        </w:rPr>
        <w:t xml:space="preserve"> 202</w:t>
      </w:r>
      <w:r>
        <w:rPr>
          <w:color w:val="002060"/>
        </w:rPr>
        <w:t>6</w:t>
      </w:r>
    </w:p>
    <w:p w14:paraId="50494852" w14:textId="77777777" w:rsidR="00733C88" w:rsidRDefault="00733C88" w:rsidP="00733C88"/>
    <w:p w14:paraId="26685EBD" w14:textId="77777777" w:rsidR="00733C88" w:rsidRDefault="00733C88" w:rsidP="00733C88">
      <w:pPr>
        <w:jc w:val="center"/>
      </w:pPr>
      <w:r w:rsidRPr="00501B4E">
        <w:rPr>
          <w:noProof/>
        </w:rPr>
        <w:drawing>
          <wp:inline distT="0" distB="0" distL="0" distR="0" wp14:anchorId="658E8784" wp14:editId="27F1CB71">
            <wp:extent cx="3734435" cy="609600"/>
            <wp:effectExtent l="0" t="0" r="0" b="0"/>
            <wp:docPr id="1814883663"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15466"/>
                    <a:stretch/>
                  </pic:blipFill>
                  <pic:spPr bwMode="auto">
                    <a:xfrm>
                      <a:off x="0" y="0"/>
                      <a:ext cx="3734435" cy="609600"/>
                    </a:xfrm>
                    <a:prstGeom prst="rect">
                      <a:avLst/>
                    </a:prstGeom>
                    <a:noFill/>
                    <a:ln>
                      <a:noFill/>
                    </a:ln>
                    <a:effectLst/>
                  </pic:spPr>
                </pic:pic>
              </a:graphicData>
            </a:graphic>
          </wp:inline>
        </w:drawing>
      </w:r>
    </w:p>
    <w:sdt>
      <w:sdtPr>
        <w:rPr>
          <w:rFonts w:asciiTheme="minorHAnsi" w:eastAsia="Arial" w:hAnsiTheme="minorHAnsi" w:cstheme="minorHAnsi"/>
          <w:color w:val="404040"/>
          <w:sz w:val="22"/>
          <w:szCs w:val="22"/>
        </w:rPr>
        <w:id w:val="1763798034"/>
        <w:docPartObj>
          <w:docPartGallery w:val="Table of Contents"/>
          <w:docPartUnique/>
        </w:docPartObj>
      </w:sdtPr>
      <w:sdtEndPr>
        <w:rPr>
          <w:b/>
          <w:bCs/>
          <w:noProof/>
          <w:sz w:val="20"/>
          <w:szCs w:val="20"/>
        </w:rPr>
      </w:sdtEndPr>
      <w:sdtContent>
        <w:p w14:paraId="046A8DF5" w14:textId="73E24E2A" w:rsidR="00B265A3" w:rsidRPr="00CC4DEC" w:rsidRDefault="00B265A3" w:rsidP="00E73104">
          <w:pPr>
            <w:pStyle w:val="Naslovsadraja"/>
            <w:spacing w:before="0" w:line="240" w:lineRule="auto"/>
            <w:rPr>
              <w:rFonts w:asciiTheme="minorHAnsi" w:hAnsiTheme="minorHAnsi" w:cstheme="minorHAnsi"/>
              <w:b/>
              <w:bCs/>
              <w:color w:val="auto"/>
              <w:sz w:val="22"/>
              <w:szCs w:val="22"/>
            </w:rPr>
          </w:pPr>
          <w:r w:rsidRPr="00CC4DEC">
            <w:rPr>
              <w:rFonts w:asciiTheme="minorHAnsi" w:hAnsiTheme="minorHAnsi" w:cstheme="minorHAnsi"/>
              <w:b/>
              <w:bCs/>
              <w:color w:val="auto"/>
              <w:sz w:val="22"/>
              <w:szCs w:val="22"/>
            </w:rPr>
            <w:t>Contents</w:t>
          </w:r>
        </w:p>
        <w:p w14:paraId="3DBA7F01" w14:textId="4E0E5428" w:rsidR="00CC4DEC" w:rsidRPr="00CC4DEC" w:rsidRDefault="00B265A3">
          <w:pPr>
            <w:pStyle w:val="SADRAJ1"/>
            <w:rPr>
              <w:rFonts w:eastAsiaTheme="minorEastAsia"/>
              <w:b w:val="0"/>
              <w:bCs w:val="0"/>
              <w:color w:val="auto"/>
              <w:kern w:val="2"/>
              <w:sz w:val="20"/>
              <w:szCs w:val="20"/>
              <w14:ligatures w14:val="standardContextual"/>
            </w:rPr>
          </w:pPr>
          <w:r w:rsidRPr="00CC4DEC">
            <w:rPr>
              <w:noProof w:val="0"/>
              <w:color w:val="auto"/>
            </w:rPr>
            <w:fldChar w:fldCharType="begin"/>
          </w:r>
          <w:r w:rsidRPr="00CC4DEC">
            <w:rPr>
              <w:color w:val="auto"/>
            </w:rPr>
            <w:instrText xml:space="preserve"> TOC \o "1-3" \h \z \u </w:instrText>
          </w:r>
          <w:r w:rsidRPr="00CC4DEC">
            <w:rPr>
              <w:noProof w:val="0"/>
              <w:color w:val="auto"/>
            </w:rPr>
            <w:fldChar w:fldCharType="separate"/>
          </w:r>
          <w:hyperlink w:anchor="_Toc224128584" w:history="1">
            <w:r w:rsidR="00CC4DEC" w:rsidRPr="00CC4DEC">
              <w:rPr>
                <w:rStyle w:val="Hiperveza"/>
                <w:color w:val="auto"/>
                <w:sz w:val="20"/>
                <w:szCs w:val="20"/>
              </w:rPr>
              <w:t>GLOSSARY OF KEY TERMS</w:t>
            </w:r>
            <w:r w:rsidR="00CC4DEC" w:rsidRPr="00CC4DEC">
              <w:rPr>
                <w:webHidden/>
                <w:color w:val="auto"/>
                <w:sz w:val="20"/>
                <w:szCs w:val="20"/>
              </w:rPr>
              <w:tab/>
            </w:r>
            <w:r w:rsidR="00CC4DEC" w:rsidRPr="00CC4DEC">
              <w:rPr>
                <w:webHidden/>
                <w:color w:val="auto"/>
                <w:sz w:val="20"/>
                <w:szCs w:val="20"/>
              </w:rPr>
              <w:fldChar w:fldCharType="begin"/>
            </w:r>
            <w:r w:rsidR="00CC4DEC" w:rsidRPr="00CC4DEC">
              <w:rPr>
                <w:webHidden/>
                <w:color w:val="auto"/>
                <w:sz w:val="20"/>
                <w:szCs w:val="20"/>
              </w:rPr>
              <w:instrText xml:space="preserve"> PAGEREF _Toc224128584 \h </w:instrText>
            </w:r>
            <w:r w:rsidR="00CC4DEC" w:rsidRPr="00CC4DEC">
              <w:rPr>
                <w:webHidden/>
                <w:color w:val="auto"/>
                <w:sz w:val="20"/>
                <w:szCs w:val="20"/>
              </w:rPr>
            </w:r>
            <w:r w:rsidR="00CC4DEC" w:rsidRPr="00CC4DEC">
              <w:rPr>
                <w:webHidden/>
                <w:color w:val="auto"/>
                <w:sz w:val="20"/>
                <w:szCs w:val="20"/>
              </w:rPr>
              <w:fldChar w:fldCharType="separate"/>
            </w:r>
            <w:r w:rsidR="00CC4DEC" w:rsidRPr="00CC4DEC">
              <w:rPr>
                <w:webHidden/>
                <w:color w:val="auto"/>
                <w:sz w:val="20"/>
                <w:szCs w:val="20"/>
              </w:rPr>
              <w:t>5</w:t>
            </w:r>
            <w:r w:rsidR="00CC4DEC" w:rsidRPr="00CC4DEC">
              <w:rPr>
                <w:webHidden/>
                <w:color w:val="auto"/>
                <w:sz w:val="20"/>
                <w:szCs w:val="20"/>
              </w:rPr>
              <w:fldChar w:fldCharType="end"/>
            </w:r>
          </w:hyperlink>
        </w:p>
        <w:p w14:paraId="36A71F15" w14:textId="49C851D5" w:rsidR="00CC4DEC" w:rsidRPr="00CC4DEC" w:rsidRDefault="00CC4DEC">
          <w:pPr>
            <w:pStyle w:val="SADRAJ1"/>
            <w:rPr>
              <w:rFonts w:eastAsiaTheme="minorEastAsia"/>
              <w:b w:val="0"/>
              <w:bCs w:val="0"/>
              <w:color w:val="auto"/>
              <w:kern w:val="2"/>
              <w:sz w:val="20"/>
              <w:szCs w:val="20"/>
              <w14:ligatures w14:val="standardContextual"/>
            </w:rPr>
          </w:pPr>
          <w:hyperlink w:anchor="_Toc224128585" w:history="1">
            <w:r w:rsidRPr="00CC4DEC">
              <w:rPr>
                <w:rStyle w:val="Hiperveza"/>
                <w:color w:val="auto"/>
                <w:sz w:val="20"/>
                <w:szCs w:val="20"/>
              </w:rPr>
              <w:t>ACRONYMS</w:t>
            </w:r>
            <w:r w:rsidRPr="00CC4DEC">
              <w:rPr>
                <w:webHidden/>
                <w:color w:val="auto"/>
                <w:sz w:val="20"/>
                <w:szCs w:val="20"/>
              </w:rPr>
              <w:tab/>
            </w:r>
            <w:r w:rsidRPr="00CC4DEC">
              <w:rPr>
                <w:webHidden/>
                <w:color w:val="auto"/>
                <w:sz w:val="20"/>
                <w:szCs w:val="20"/>
              </w:rPr>
              <w:fldChar w:fldCharType="begin"/>
            </w:r>
            <w:r w:rsidRPr="00CC4DEC">
              <w:rPr>
                <w:webHidden/>
                <w:color w:val="auto"/>
                <w:sz w:val="20"/>
                <w:szCs w:val="20"/>
              </w:rPr>
              <w:instrText xml:space="preserve"> PAGEREF _Toc224128585 \h </w:instrText>
            </w:r>
            <w:r w:rsidRPr="00CC4DEC">
              <w:rPr>
                <w:webHidden/>
                <w:color w:val="auto"/>
                <w:sz w:val="20"/>
                <w:szCs w:val="20"/>
              </w:rPr>
            </w:r>
            <w:r w:rsidRPr="00CC4DEC">
              <w:rPr>
                <w:webHidden/>
                <w:color w:val="auto"/>
                <w:sz w:val="20"/>
                <w:szCs w:val="20"/>
              </w:rPr>
              <w:fldChar w:fldCharType="separate"/>
            </w:r>
            <w:r w:rsidRPr="00CC4DEC">
              <w:rPr>
                <w:webHidden/>
                <w:color w:val="auto"/>
                <w:sz w:val="20"/>
                <w:szCs w:val="20"/>
              </w:rPr>
              <w:t>7</w:t>
            </w:r>
            <w:r w:rsidRPr="00CC4DEC">
              <w:rPr>
                <w:webHidden/>
                <w:color w:val="auto"/>
                <w:sz w:val="20"/>
                <w:szCs w:val="20"/>
              </w:rPr>
              <w:fldChar w:fldCharType="end"/>
            </w:r>
          </w:hyperlink>
        </w:p>
        <w:p w14:paraId="44603AAD" w14:textId="636300B8" w:rsidR="00CC4DEC" w:rsidRPr="00CC4DEC" w:rsidRDefault="00CC4DEC">
          <w:pPr>
            <w:pStyle w:val="SADRAJ1"/>
            <w:rPr>
              <w:rFonts w:eastAsiaTheme="minorEastAsia"/>
              <w:b w:val="0"/>
              <w:bCs w:val="0"/>
              <w:color w:val="auto"/>
              <w:kern w:val="2"/>
              <w:sz w:val="20"/>
              <w:szCs w:val="20"/>
              <w14:ligatures w14:val="standardContextual"/>
            </w:rPr>
          </w:pPr>
          <w:hyperlink w:anchor="_Toc224128586" w:history="1">
            <w:r w:rsidRPr="00CC4DEC">
              <w:rPr>
                <w:rStyle w:val="Hiperveza"/>
                <w:color w:val="auto"/>
                <w:sz w:val="20"/>
                <w:szCs w:val="20"/>
              </w:rPr>
              <w:t>EXECUTIVE SUMMARY</w:t>
            </w:r>
            <w:r w:rsidRPr="00CC4DEC">
              <w:rPr>
                <w:webHidden/>
                <w:color w:val="auto"/>
                <w:sz w:val="20"/>
                <w:szCs w:val="20"/>
              </w:rPr>
              <w:tab/>
            </w:r>
            <w:r w:rsidRPr="00CC4DEC">
              <w:rPr>
                <w:webHidden/>
                <w:color w:val="auto"/>
                <w:sz w:val="20"/>
                <w:szCs w:val="20"/>
              </w:rPr>
              <w:fldChar w:fldCharType="begin"/>
            </w:r>
            <w:r w:rsidRPr="00CC4DEC">
              <w:rPr>
                <w:webHidden/>
                <w:color w:val="auto"/>
                <w:sz w:val="20"/>
                <w:szCs w:val="20"/>
              </w:rPr>
              <w:instrText xml:space="preserve"> PAGEREF _Toc224128586 \h </w:instrText>
            </w:r>
            <w:r w:rsidRPr="00CC4DEC">
              <w:rPr>
                <w:webHidden/>
                <w:color w:val="auto"/>
                <w:sz w:val="20"/>
                <w:szCs w:val="20"/>
              </w:rPr>
            </w:r>
            <w:r w:rsidRPr="00CC4DEC">
              <w:rPr>
                <w:webHidden/>
                <w:color w:val="auto"/>
                <w:sz w:val="20"/>
                <w:szCs w:val="20"/>
              </w:rPr>
              <w:fldChar w:fldCharType="separate"/>
            </w:r>
            <w:r w:rsidRPr="00CC4DEC">
              <w:rPr>
                <w:webHidden/>
                <w:color w:val="auto"/>
                <w:sz w:val="20"/>
                <w:szCs w:val="20"/>
              </w:rPr>
              <w:t>9</w:t>
            </w:r>
            <w:r w:rsidRPr="00CC4DEC">
              <w:rPr>
                <w:webHidden/>
                <w:color w:val="auto"/>
                <w:sz w:val="20"/>
                <w:szCs w:val="20"/>
              </w:rPr>
              <w:fldChar w:fldCharType="end"/>
            </w:r>
          </w:hyperlink>
        </w:p>
        <w:p w14:paraId="3AB7D4B7" w14:textId="188DC7C4" w:rsidR="00CC4DEC" w:rsidRPr="00CC4DEC" w:rsidRDefault="00CC4DEC">
          <w:pPr>
            <w:pStyle w:val="SADRAJ1"/>
            <w:rPr>
              <w:rFonts w:eastAsiaTheme="minorEastAsia"/>
              <w:b w:val="0"/>
              <w:bCs w:val="0"/>
              <w:color w:val="auto"/>
              <w:kern w:val="2"/>
              <w:sz w:val="20"/>
              <w:szCs w:val="20"/>
              <w14:ligatures w14:val="standardContextual"/>
            </w:rPr>
          </w:pPr>
          <w:hyperlink w:anchor="_Toc224128587" w:history="1">
            <w:r w:rsidRPr="00CC4DEC">
              <w:rPr>
                <w:rStyle w:val="Hiperveza"/>
                <w:color w:val="auto"/>
                <w:sz w:val="20"/>
                <w:szCs w:val="20"/>
              </w:rPr>
              <w:t>1.  INTRODUCTION</w:t>
            </w:r>
            <w:r w:rsidRPr="00CC4DEC">
              <w:rPr>
                <w:webHidden/>
                <w:color w:val="auto"/>
                <w:sz w:val="20"/>
                <w:szCs w:val="20"/>
              </w:rPr>
              <w:tab/>
            </w:r>
            <w:r w:rsidRPr="00CC4DEC">
              <w:rPr>
                <w:webHidden/>
                <w:color w:val="auto"/>
                <w:sz w:val="20"/>
                <w:szCs w:val="20"/>
              </w:rPr>
              <w:fldChar w:fldCharType="begin"/>
            </w:r>
            <w:r w:rsidRPr="00CC4DEC">
              <w:rPr>
                <w:webHidden/>
                <w:color w:val="auto"/>
                <w:sz w:val="20"/>
                <w:szCs w:val="20"/>
              </w:rPr>
              <w:instrText xml:space="preserve"> PAGEREF _Toc224128587 \h </w:instrText>
            </w:r>
            <w:r w:rsidRPr="00CC4DEC">
              <w:rPr>
                <w:webHidden/>
                <w:color w:val="auto"/>
                <w:sz w:val="20"/>
                <w:szCs w:val="20"/>
              </w:rPr>
            </w:r>
            <w:r w:rsidRPr="00CC4DEC">
              <w:rPr>
                <w:webHidden/>
                <w:color w:val="auto"/>
                <w:sz w:val="20"/>
                <w:szCs w:val="20"/>
              </w:rPr>
              <w:fldChar w:fldCharType="separate"/>
            </w:r>
            <w:r w:rsidRPr="00CC4DEC">
              <w:rPr>
                <w:webHidden/>
                <w:color w:val="auto"/>
                <w:sz w:val="20"/>
                <w:szCs w:val="20"/>
              </w:rPr>
              <w:t>11</w:t>
            </w:r>
            <w:r w:rsidRPr="00CC4DEC">
              <w:rPr>
                <w:webHidden/>
                <w:color w:val="auto"/>
                <w:sz w:val="20"/>
                <w:szCs w:val="20"/>
              </w:rPr>
              <w:fldChar w:fldCharType="end"/>
            </w:r>
          </w:hyperlink>
        </w:p>
        <w:p w14:paraId="39685077" w14:textId="26BED235"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588" w:history="1">
            <w:r w:rsidRPr="00CC4DEC">
              <w:rPr>
                <w:rStyle w:val="Hiperveza"/>
                <w:rFonts w:asciiTheme="minorHAnsi" w:hAnsiTheme="minorHAnsi" w:cstheme="minorHAnsi"/>
                <w:b/>
                <w:bCs/>
                <w:noProof/>
                <w:color w:val="auto"/>
              </w:rPr>
              <w:t>1.1 The DIKTAS II Project Context</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_Toc224128588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11</w:t>
            </w:r>
            <w:r w:rsidRPr="00CC4DEC">
              <w:rPr>
                <w:rFonts w:asciiTheme="minorHAnsi" w:hAnsiTheme="minorHAnsi" w:cstheme="minorHAnsi"/>
                <w:noProof/>
                <w:webHidden/>
                <w:color w:val="auto"/>
              </w:rPr>
              <w:fldChar w:fldCharType="end"/>
            </w:r>
          </w:hyperlink>
        </w:p>
        <w:p w14:paraId="71E3B2DA" w14:textId="029D0B65"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589" w:history="1">
            <w:r w:rsidRPr="00CC4DEC">
              <w:rPr>
                <w:rStyle w:val="Hiperveza"/>
                <w:rFonts w:asciiTheme="minorHAnsi" w:hAnsiTheme="minorHAnsi" w:cstheme="minorHAnsi"/>
                <w:b/>
                <w:bCs/>
                <w:noProof/>
                <w:color w:val="auto"/>
              </w:rPr>
              <w:t>1.2 The Nexus of Water and Gender in Sustainable Development</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_Toc224128589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12</w:t>
            </w:r>
            <w:r w:rsidRPr="00CC4DEC">
              <w:rPr>
                <w:rFonts w:asciiTheme="minorHAnsi" w:hAnsiTheme="minorHAnsi" w:cstheme="minorHAnsi"/>
                <w:noProof/>
                <w:webHidden/>
                <w:color w:val="auto"/>
              </w:rPr>
              <w:fldChar w:fldCharType="end"/>
            </w:r>
          </w:hyperlink>
        </w:p>
        <w:p w14:paraId="47515C4A" w14:textId="494F7091"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590" w:history="1">
            <w:r w:rsidRPr="00CC4DEC">
              <w:rPr>
                <w:rStyle w:val="Hiperveza"/>
                <w:rFonts w:asciiTheme="minorHAnsi" w:hAnsiTheme="minorHAnsi" w:cstheme="minorHAnsi"/>
                <w:b/>
                <w:bCs/>
                <w:noProof/>
                <w:color w:val="auto"/>
              </w:rPr>
              <w:t>1.3 Purpose and Scope of the Regional Analysis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_Toc224128590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13</w:t>
            </w:r>
            <w:r w:rsidRPr="00CC4DEC">
              <w:rPr>
                <w:rFonts w:asciiTheme="minorHAnsi" w:hAnsiTheme="minorHAnsi" w:cstheme="minorHAnsi"/>
                <w:noProof/>
                <w:webHidden/>
                <w:color w:val="auto"/>
              </w:rPr>
              <w:fldChar w:fldCharType="end"/>
            </w:r>
          </w:hyperlink>
        </w:p>
        <w:p w14:paraId="174E6FE8" w14:textId="601B9214"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591" w:history="1">
            <w:r w:rsidRPr="00CC4DEC">
              <w:rPr>
                <w:rStyle w:val="Hiperveza"/>
                <w:rFonts w:asciiTheme="minorHAnsi" w:hAnsiTheme="minorHAnsi" w:cstheme="minorHAnsi"/>
                <w:b/>
                <w:bCs/>
                <w:noProof/>
                <w:color w:val="auto"/>
              </w:rPr>
              <w:t xml:space="preserve">1.4 Regional Hypothesis </w:t>
            </w:r>
            <w:r w:rsidRPr="00CC4DEC">
              <w:rPr>
                <w:rStyle w:val="Hiperveza"/>
                <w:rFonts w:asciiTheme="minorHAnsi" w:hAnsiTheme="minorHAnsi" w:cstheme="minorHAnsi"/>
                <w:i/>
                <w:iCs/>
                <w:noProof/>
                <w:color w:val="auto"/>
              </w:rPr>
              <w:t>(synthesized from DIKTAS II National Gender Analyses, 2025):</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_Toc224128591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13</w:t>
            </w:r>
            <w:r w:rsidRPr="00CC4DEC">
              <w:rPr>
                <w:rFonts w:asciiTheme="minorHAnsi" w:hAnsiTheme="minorHAnsi" w:cstheme="minorHAnsi"/>
                <w:noProof/>
                <w:webHidden/>
                <w:color w:val="auto"/>
              </w:rPr>
              <w:fldChar w:fldCharType="end"/>
            </w:r>
          </w:hyperlink>
        </w:p>
        <w:p w14:paraId="3727D5C6" w14:textId="09166D5F" w:rsidR="00CC4DEC" w:rsidRPr="00CC4DEC" w:rsidRDefault="00CC4DEC">
          <w:pPr>
            <w:pStyle w:val="SADRAJ1"/>
            <w:rPr>
              <w:rFonts w:eastAsiaTheme="minorEastAsia"/>
              <w:b w:val="0"/>
              <w:bCs w:val="0"/>
              <w:color w:val="auto"/>
              <w:kern w:val="2"/>
              <w:sz w:val="20"/>
              <w:szCs w:val="20"/>
              <w14:ligatures w14:val="standardContextual"/>
            </w:rPr>
          </w:pPr>
          <w:hyperlink w:anchor="_Toc224128592" w:history="1">
            <w:r w:rsidRPr="00CC4DEC">
              <w:rPr>
                <w:rStyle w:val="Hiperveza"/>
                <w:color w:val="auto"/>
                <w:sz w:val="20"/>
                <w:szCs w:val="20"/>
              </w:rPr>
              <w:t>2.  METHODOLOGY</w:t>
            </w:r>
            <w:r w:rsidRPr="00CC4DEC">
              <w:rPr>
                <w:webHidden/>
                <w:color w:val="auto"/>
                <w:sz w:val="20"/>
                <w:szCs w:val="20"/>
              </w:rPr>
              <w:tab/>
            </w:r>
            <w:r w:rsidRPr="00CC4DEC">
              <w:rPr>
                <w:webHidden/>
                <w:color w:val="auto"/>
                <w:sz w:val="20"/>
                <w:szCs w:val="20"/>
              </w:rPr>
              <w:fldChar w:fldCharType="begin"/>
            </w:r>
            <w:r w:rsidRPr="00CC4DEC">
              <w:rPr>
                <w:webHidden/>
                <w:color w:val="auto"/>
                <w:sz w:val="20"/>
                <w:szCs w:val="20"/>
              </w:rPr>
              <w:instrText xml:space="preserve"> PAGEREF _Toc224128592 \h </w:instrText>
            </w:r>
            <w:r w:rsidRPr="00CC4DEC">
              <w:rPr>
                <w:webHidden/>
                <w:color w:val="auto"/>
                <w:sz w:val="20"/>
                <w:szCs w:val="20"/>
              </w:rPr>
            </w:r>
            <w:r w:rsidRPr="00CC4DEC">
              <w:rPr>
                <w:webHidden/>
                <w:color w:val="auto"/>
                <w:sz w:val="20"/>
                <w:szCs w:val="20"/>
              </w:rPr>
              <w:fldChar w:fldCharType="separate"/>
            </w:r>
            <w:r w:rsidRPr="00CC4DEC">
              <w:rPr>
                <w:webHidden/>
                <w:color w:val="auto"/>
                <w:sz w:val="20"/>
                <w:szCs w:val="20"/>
              </w:rPr>
              <w:t>14</w:t>
            </w:r>
            <w:r w:rsidRPr="00CC4DEC">
              <w:rPr>
                <w:webHidden/>
                <w:color w:val="auto"/>
                <w:sz w:val="20"/>
                <w:szCs w:val="20"/>
              </w:rPr>
              <w:fldChar w:fldCharType="end"/>
            </w:r>
          </w:hyperlink>
        </w:p>
        <w:p w14:paraId="0E40D324" w14:textId="77FFFE47"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593" w:history="1">
            <w:r w:rsidRPr="00CC4DEC">
              <w:rPr>
                <w:rStyle w:val="Hiperveza"/>
                <w:rFonts w:asciiTheme="minorHAnsi" w:hAnsiTheme="minorHAnsi" w:cstheme="minorHAnsi"/>
                <w:b/>
                <w:bCs/>
                <w:noProof/>
                <w:color w:val="auto"/>
              </w:rPr>
              <w:t>2.1 Analytical Approach</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_Toc224128593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14</w:t>
            </w:r>
            <w:r w:rsidRPr="00CC4DEC">
              <w:rPr>
                <w:rFonts w:asciiTheme="minorHAnsi" w:hAnsiTheme="minorHAnsi" w:cstheme="minorHAnsi"/>
                <w:noProof/>
                <w:webHidden/>
                <w:color w:val="auto"/>
              </w:rPr>
              <w:fldChar w:fldCharType="end"/>
            </w:r>
          </w:hyperlink>
        </w:p>
        <w:p w14:paraId="67F0C71F" w14:textId="2B1B6902"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594" w:history="1">
            <w:r w:rsidRPr="00CC4DEC">
              <w:rPr>
                <w:rStyle w:val="Hiperveza"/>
                <w:rFonts w:asciiTheme="minorHAnsi" w:hAnsiTheme="minorHAnsi" w:cstheme="minorHAnsi"/>
                <w:b/>
                <w:bCs/>
                <w:noProof/>
                <w:color w:val="auto"/>
              </w:rPr>
              <w:t>2.2 The "Water as an Asset, Service, and Space" Framework</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_Toc224128594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14</w:t>
            </w:r>
            <w:r w:rsidRPr="00CC4DEC">
              <w:rPr>
                <w:rFonts w:asciiTheme="minorHAnsi" w:hAnsiTheme="minorHAnsi" w:cstheme="minorHAnsi"/>
                <w:noProof/>
                <w:webHidden/>
                <w:color w:val="auto"/>
              </w:rPr>
              <w:fldChar w:fldCharType="end"/>
            </w:r>
          </w:hyperlink>
        </w:p>
        <w:p w14:paraId="1B13CF33" w14:textId="4A2E1E2C"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595" w:history="1">
            <w:r w:rsidRPr="00CC4DEC">
              <w:rPr>
                <w:rStyle w:val="Hiperveza"/>
                <w:rFonts w:asciiTheme="minorHAnsi" w:hAnsiTheme="minorHAnsi" w:cstheme="minorHAnsi"/>
                <w:b/>
                <w:bCs/>
                <w:noProof/>
                <w:color w:val="auto"/>
              </w:rPr>
              <w:t>2.3 Data Sources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_Toc224128595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15</w:t>
            </w:r>
            <w:r w:rsidRPr="00CC4DEC">
              <w:rPr>
                <w:rFonts w:asciiTheme="minorHAnsi" w:hAnsiTheme="minorHAnsi" w:cstheme="minorHAnsi"/>
                <w:noProof/>
                <w:webHidden/>
                <w:color w:val="auto"/>
              </w:rPr>
              <w:fldChar w:fldCharType="end"/>
            </w:r>
          </w:hyperlink>
        </w:p>
        <w:p w14:paraId="62009052" w14:textId="018BDDC0"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596" w:history="1">
            <w:r w:rsidRPr="00CC4DEC">
              <w:rPr>
                <w:rStyle w:val="Hiperveza"/>
                <w:rFonts w:asciiTheme="minorHAnsi" w:hAnsiTheme="minorHAnsi" w:cstheme="minorHAnsi"/>
                <w:b/>
                <w:bCs/>
                <w:noProof/>
                <w:color w:val="auto"/>
              </w:rPr>
              <w:t>2.4 Limitations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_Toc224128596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15</w:t>
            </w:r>
            <w:r w:rsidRPr="00CC4DEC">
              <w:rPr>
                <w:rFonts w:asciiTheme="minorHAnsi" w:hAnsiTheme="minorHAnsi" w:cstheme="minorHAnsi"/>
                <w:noProof/>
                <w:webHidden/>
                <w:color w:val="auto"/>
              </w:rPr>
              <w:fldChar w:fldCharType="end"/>
            </w:r>
          </w:hyperlink>
        </w:p>
        <w:p w14:paraId="4AAD8DDA" w14:textId="7B69B002" w:rsidR="00CC4DEC" w:rsidRPr="00CC4DEC" w:rsidRDefault="00CC4DEC">
          <w:pPr>
            <w:pStyle w:val="SADRAJ1"/>
            <w:rPr>
              <w:rFonts w:eastAsiaTheme="minorEastAsia"/>
              <w:b w:val="0"/>
              <w:bCs w:val="0"/>
              <w:color w:val="auto"/>
              <w:kern w:val="2"/>
              <w:sz w:val="20"/>
              <w:szCs w:val="20"/>
              <w14:ligatures w14:val="standardContextual"/>
            </w:rPr>
          </w:pPr>
          <w:hyperlink w:anchor="_Toc224128597" w:history="1">
            <w:r w:rsidRPr="00CC4DEC">
              <w:rPr>
                <w:rStyle w:val="Hiperveza"/>
                <w:color w:val="auto"/>
                <w:sz w:val="20"/>
                <w:szCs w:val="20"/>
              </w:rPr>
              <w:t>3.  REGIONAL OVERVIEW: GENDER EQUALITY AND WATER GOVERNANCE</w:t>
            </w:r>
            <w:r w:rsidRPr="00CC4DEC">
              <w:rPr>
                <w:webHidden/>
                <w:color w:val="auto"/>
                <w:sz w:val="20"/>
                <w:szCs w:val="20"/>
              </w:rPr>
              <w:tab/>
            </w:r>
            <w:r w:rsidRPr="00CC4DEC">
              <w:rPr>
                <w:webHidden/>
                <w:color w:val="auto"/>
                <w:sz w:val="20"/>
                <w:szCs w:val="20"/>
              </w:rPr>
              <w:fldChar w:fldCharType="begin"/>
            </w:r>
            <w:r w:rsidRPr="00CC4DEC">
              <w:rPr>
                <w:webHidden/>
                <w:color w:val="auto"/>
                <w:sz w:val="20"/>
                <w:szCs w:val="20"/>
              </w:rPr>
              <w:instrText xml:space="preserve"> PAGEREF _Toc224128597 \h </w:instrText>
            </w:r>
            <w:r w:rsidRPr="00CC4DEC">
              <w:rPr>
                <w:webHidden/>
                <w:color w:val="auto"/>
                <w:sz w:val="20"/>
                <w:szCs w:val="20"/>
              </w:rPr>
            </w:r>
            <w:r w:rsidRPr="00CC4DEC">
              <w:rPr>
                <w:webHidden/>
                <w:color w:val="auto"/>
                <w:sz w:val="20"/>
                <w:szCs w:val="20"/>
              </w:rPr>
              <w:fldChar w:fldCharType="separate"/>
            </w:r>
            <w:r w:rsidRPr="00CC4DEC">
              <w:rPr>
                <w:webHidden/>
                <w:color w:val="auto"/>
                <w:sz w:val="20"/>
                <w:szCs w:val="20"/>
              </w:rPr>
              <w:t>17</w:t>
            </w:r>
            <w:r w:rsidRPr="00CC4DEC">
              <w:rPr>
                <w:webHidden/>
                <w:color w:val="auto"/>
                <w:sz w:val="20"/>
                <w:szCs w:val="20"/>
              </w:rPr>
              <w:fldChar w:fldCharType="end"/>
            </w:r>
          </w:hyperlink>
        </w:p>
        <w:p w14:paraId="7F27CBE4" w14:textId="26ED348D"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598" w:history="1">
            <w:r w:rsidRPr="00CC4DEC">
              <w:rPr>
                <w:rStyle w:val="Hiperveza"/>
                <w:rFonts w:asciiTheme="minorHAnsi" w:hAnsiTheme="minorHAnsi" w:cstheme="minorHAnsi"/>
                <w:b/>
                <w:bCs/>
                <w:noProof/>
                <w:color w:val="auto"/>
              </w:rPr>
              <w:t>3.1 Demographic and Socio-Economic Landscape</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_Toc224128598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17</w:t>
            </w:r>
            <w:r w:rsidRPr="00CC4DEC">
              <w:rPr>
                <w:rFonts w:asciiTheme="minorHAnsi" w:hAnsiTheme="minorHAnsi" w:cstheme="minorHAnsi"/>
                <w:noProof/>
                <w:webHidden/>
                <w:color w:val="auto"/>
              </w:rPr>
              <w:fldChar w:fldCharType="end"/>
            </w:r>
          </w:hyperlink>
        </w:p>
        <w:p w14:paraId="34C5F904" w14:textId="7C6264F5"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599" w:history="1">
            <w:r w:rsidRPr="00CC4DEC">
              <w:rPr>
                <w:rStyle w:val="Hiperveza"/>
                <w:rFonts w:asciiTheme="minorHAnsi" w:hAnsiTheme="minorHAnsi" w:cstheme="minorHAnsi"/>
                <w:b/>
                <w:bCs/>
                <w:noProof/>
                <w:color w:val="auto"/>
              </w:rPr>
              <w:t>3.1.1 Analysis of Demographic Trends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_Toc224128599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19</w:t>
            </w:r>
            <w:r w:rsidRPr="00CC4DEC">
              <w:rPr>
                <w:rFonts w:asciiTheme="minorHAnsi" w:hAnsiTheme="minorHAnsi" w:cstheme="minorHAnsi"/>
                <w:noProof/>
                <w:webHidden/>
                <w:color w:val="auto"/>
              </w:rPr>
              <w:fldChar w:fldCharType="end"/>
            </w:r>
          </w:hyperlink>
        </w:p>
        <w:p w14:paraId="29EEECCA" w14:textId="449C966F"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00" w:history="1">
            <w:r w:rsidRPr="00CC4DEC">
              <w:rPr>
                <w:rStyle w:val="Hiperveza"/>
                <w:rFonts w:asciiTheme="minorHAnsi" w:hAnsiTheme="minorHAnsi" w:cstheme="minorHAnsi"/>
                <w:b/>
                <w:bCs/>
                <w:noProof/>
                <w:color w:val="auto"/>
              </w:rPr>
              <w:t>3.2 National Legal and Policy Frameworks for Gender Equality</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_Toc224128600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19</w:t>
            </w:r>
            <w:r w:rsidRPr="00CC4DEC">
              <w:rPr>
                <w:rFonts w:asciiTheme="minorHAnsi" w:hAnsiTheme="minorHAnsi" w:cstheme="minorHAnsi"/>
                <w:noProof/>
                <w:webHidden/>
                <w:color w:val="auto"/>
              </w:rPr>
              <w:fldChar w:fldCharType="end"/>
            </w:r>
          </w:hyperlink>
        </w:p>
        <w:p w14:paraId="4DFECF28" w14:textId="39B2C57D"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01" w:history="1">
            <w:r w:rsidRPr="00CC4DEC">
              <w:rPr>
                <w:rStyle w:val="Hiperveza"/>
                <w:rFonts w:asciiTheme="minorHAnsi" w:hAnsiTheme="minorHAnsi" w:cstheme="minorHAnsi"/>
                <w:b/>
                <w:bCs/>
                <w:noProof/>
                <w:color w:val="auto"/>
              </w:rPr>
              <w:t>3.2.1 Analysis of Legal Frameworks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_Toc224128601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20</w:t>
            </w:r>
            <w:r w:rsidRPr="00CC4DEC">
              <w:rPr>
                <w:rFonts w:asciiTheme="minorHAnsi" w:hAnsiTheme="minorHAnsi" w:cstheme="minorHAnsi"/>
                <w:noProof/>
                <w:webHidden/>
                <w:color w:val="auto"/>
              </w:rPr>
              <w:fldChar w:fldCharType="end"/>
            </w:r>
          </w:hyperlink>
        </w:p>
        <w:p w14:paraId="435E2033" w14:textId="6A52CD38"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02" w:history="1">
            <w:r w:rsidRPr="00CC4DEC">
              <w:rPr>
                <w:rStyle w:val="Hiperveza"/>
                <w:rFonts w:asciiTheme="minorHAnsi" w:hAnsiTheme="minorHAnsi" w:cstheme="minorHAnsi"/>
                <w:b/>
                <w:bCs/>
                <w:noProof/>
                <w:color w:val="auto"/>
              </w:rPr>
              <w:t>3.3 Water Sector Management Structure</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_Toc224128602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21</w:t>
            </w:r>
            <w:r w:rsidRPr="00CC4DEC">
              <w:rPr>
                <w:rFonts w:asciiTheme="minorHAnsi" w:hAnsiTheme="minorHAnsi" w:cstheme="minorHAnsi"/>
                <w:noProof/>
                <w:webHidden/>
                <w:color w:val="auto"/>
              </w:rPr>
              <w:fldChar w:fldCharType="end"/>
            </w:r>
          </w:hyperlink>
        </w:p>
        <w:p w14:paraId="0D06293C" w14:textId="2DB67A0F" w:rsidR="00CC4DEC" w:rsidRPr="00CC4DEC" w:rsidRDefault="00CC4DEC">
          <w:pPr>
            <w:pStyle w:val="SADRAJ1"/>
            <w:rPr>
              <w:rFonts w:eastAsiaTheme="minorEastAsia"/>
              <w:b w:val="0"/>
              <w:bCs w:val="0"/>
              <w:color w:val="auto"/>
              <w:kern w:val="2"/>
              <w:sz w:val="20"/>
              <w:szCs w:val="20"/>
              <w14:ligatures w14:val="standardContextual"/>
            </w:rPr>
          </w:pPr>
          <w:hyperlink w:anchor="_Toc224128603" w:history="1">
            <w:r w:rsidRPr="00CC4DEC">
              <w:rPr>
                <w:rStyle w:val="Hiperveza"/>
                <w:color w:val="auto"/>
                <w:sz w:val="20"/>
                <w:szCs w:val="20"/>
              </w:rPr>
              <w:t>4.  COMPARATIVE GENDER ANALYSIS: WATER AS AN ASSET</w:t>
            </w:r>
            <w:r w:rsidRPr="00CC4DEC">
              <w:rPr>
                <w:webHidden/>
                <w:color w:val="auto"/>
                <w:sz w:val="20"/>
                <w:szCs w:val="20"/>
              </w:rPr>
              <w:tab/>
            </w:r>
            <w:r w:rsidRPr="00CC4DEC">
              <w:rPr>
                <w:webHidden/>
                <w:color w:val="auto"/>
                <w:sz w:val="20"/>
                <w:szCs w:val="20"/>
              </w:rPr>
              <w:fldChar w:fldCharType="begin"/>
            </w:r>
            <w:r w:rsidRPr="00CC4DEC">
              <w:rPr>
                <w:webHidden/>
                <w:color w:val="auto"/>
                <w:sz w:val="20"/>
                <w:szCs w:val="20"/>
              </w:rPr>
              <w:instrText xml:space="preserve"> PAGEREF _Toc224128603 \h </w:instrText>
            </w:r>
            <w:r w:rsidRPr="00CC4DEC">
              <w:rPr>
                <w:webHidden/>
                <w:color w:val="auto"/>
                <w:sz w:val="20"/>
                <w:szCs w:val="20"/>
              </w:rPr>
            </w:r>
            <w:r w:rsidRPr="00CC4DEC">
              <w:rPr>
                <w:webHidden/>
                <w:color w:val="auto"/>
                <w:sz w:val="20"/>
                <w:szCs w:val="20"/>
              </w:rPr>
              <w:fldChar w:fldCharType="separate"/>
            </w:r>
            <w:r w:rsidRPr="00CC4DEC">
              <w:rPr>
                <w:webHidden/>
                <w:color w:val="auto"/>
                <w:sz w:val="20"/>
                <w:szCs w:val="20"/>
              </w:rPr>
              <w:t>24</w:t>
            </w:r>
            <w:r w:rsidRPr="00CC4DEC">
              <w:rPr>
                <w:webHidden/>
                <w:color w:val="auto"/>
                <w:sz w:val="20"/>
                <w:szCs w:val="20"/>
              </w:rPr>
              <w:fldChar w:fldCharType="end"/>
            </w:r>
          </w:hyperlink>
        </w:p>
        <w:p w14:paraId="40689B11" w14:textId="4E2EF83D"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04" w:history="1">
            <w:r w:rsidRPr="00CC4DEC">
              <w:rPr>
                <w:rStyle w:val="Hiperveza"/>
                <w:rFonts w:asciiTheme="minorHAnsi" w:hAnsiTheme="minorHAnsi" w:cstheme="minorHAnsi"/>
                <w:b/>
                <w:bCs/>
                <w:noProof/>
                <w:color w:val="auto"/>
              </w:rPr>
              <w:t>4.1 Women's Employment in the Water Sector</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_Toc224128604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24</w:t>
            </w:r>
            <w:r w:rsidRPr="00CC4DEC">
              <w:rPr>
                <w:rFonts w:asciiTheme="minorHAnsi" w:hAnsiTheme="minorHAnsi" w:cstheme="minorHAnsi"/>
                <w:noProof/>
                <w:webHidden/>
                <w:color w:val="auto"/>
              </w:rPr>
              <w:fldChar w:fldCharType="end"/>
            </w:r>
          </w:hyperlink>
        </w:p>
        <w:p w14:paraId="0811C4D4" w14:textId="4CD3B9E3"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05" w:history="1">
            <w:r w:rsidRPr="00CC4DEC">
              <w:rPr>
                <w:rStyle w:val="Hiperveza"/>
                <w:rFonts w:asciiTheme="minorHAnsi" w:hAnsiTheme="minorHAnsi" w:cstheme="minorHAnsi"/>
                <w:b/>
                <w:bCs/>
                <w:noProof/>
                <w:color w:val="auto"/>
              </w:rPr>
              <w:t>4.1.1 Analysis of Employment Patterns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_Toc224128605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25</w:t>
            </w:r>
            <w:r w:rsidRPr="00CC4DEC">
              <w:rPr>
                <w:rFonts w:asciiTheme="minorHAnsi" w:hAnsiTheme="minorHAnsi" w:cstheme="minorHAnsi"/>
                <w:noProof/>
                <w:webHidden/>
                <w:color w:val="auto"/>
              </w:rPr>
              <w:fldChar w:fldCharType="end"/>
            </w:r>
          </w:hyperlink>
        </w:p>
        <w:p w14:paraId="2CB8B0D7" w14:textId="1BA1C974"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06" w:history="1">
            <w:r w:rsidRPr="00CC4DEC">
              <w:rPr>
                <w:rStyle w:val="Hiperveza"/>
                <w:rFonts w:asciiTheme="minorHAnsi" w:hAnsiTheme="minorHAnsi" w:cstheme="minorHAnsi"/>
                <w:b/>
                <w:bCs/>
                <w:noProof/>
                <w:color w:val="auto"/>
              </w:rPr>
              <w:t>4.2 Access to Water Resources and Economic Opportunities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_Toc224128606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25</w:t>
            </w:r>
            <w:r w:rsidRPr="00CC4DEC">
              <w:rPr>
                <w:rFonts w:asciiTheme="minorHAnsi" w:hAnsiTheme="minorHAnsi" w:cstheme="minorHAnsi"/>
                <w:noProof/>
                <w:webHidden/>
                <w:color w:val="auto"/>
              </w:rPr>
              <w:fldChar w:fldCharType="end"/>
            </w:r>
          </w:hyperlink>
        </w:p>
        <w:p w14:paraId="4464E7F2" w14:textId="0B19BD58" w:rsidR="00CC4DEC" w:rsidRPr="00CC4DEC" w:rsidRDefault="00CC4DEC">
          <w:pPr>
            <w:pStyle w:val="SADRAJ1"/>
            <w:rPr>
              <w:rFonts w:eastAsiaTheme="minorEastAsia"/>
              <w:b w:val="0"/>
              <w:bCs w:val="0"/>
              <w:color w:val="auto"/>
              <w:kern w:val="2"/>
              <w:sz w:val="20"/>
              <w:szCs w:val="20"/>
              <w14:ligatures w14:val="standardContextual"/>
            </w:rPr>
          </w:pPr>
          <w:hyperlink w:anchor="_Toc224128607" w:history="1">
            <w:r w:rsidRPr="00CC4DEC">
              <w:rPr>
                <w:rStyle w:val="Hiperveza"/>
                <w:color w:val="auto"/>
                <w:sz w:val="20"/>
                <w:szCs w:val="20"/>
              </w:rPr>
              <w:t>5.  COMPARATIVE GENDER ANALYSIS: WATER AS A SERVICE</w:t>
            </w:r>
            <w:r w:rsidRPr="00CC4DEC">
              <w:rPr>
                <w:webHidden/>
                <w:color w:val="auto"/>
                <w:sz w:val="20"/>
                <w:szCs w:val="20"/>
              </w:rPr>
              <w:tab/>
            </w:r>
            <w:r w:rsidRPr="00CC4DEC">
              <w:rPr>
                <w:webHidden/>
                <w:color w:val="auto"/>
                <w:sz w:val="20"/>
                <w:szCs w:val="20"/>
              </w:rPr>
              <w:fldChar w:fldCharType="begin"/>
            </w:r>
            <w:r w:rsidRPr="00CC4DEC">
              <w:rPr>
                <w:webHidden/>
                <w:color w:val="auto"/>
                <w:sz w:val="20"/>
                <w:szCs w:val="20"/>
              </w:rPr>
              <w:instrText xml:space="preserve"> PAGEREF _Toc224128607 \h </w:instrText>
            </w:r>
            <w:r w:rsidRPr="00CC4DEC">
              <w:rPr>
                <w:webHidden/>
                <w:color w:val="auto"/>
                <w:sz w:val="20"/>
                <w:szCs w:val="20"/>
              </w:rPr>
            </w:r>
            <w:r w:rsidRPr="00CC4DEC">
              <w:rPr>
                <w:webHidden/>
                <w:color w:val="auto"/>
                <w:sz w:val="20"/>
                <w:szCs w:val="20"/>
              </w:rPr>
              <w:fldChar w:fldCharType="separate"/>
            </w:r>
            <w:r w:rsidRPr="00CC4DEC">
              <w:rPr>
                <w:webHidden/>
                <w:color w:val="auto"/>
                <w:sz w:val="20"/>
                <w:szCs w:val="20"/>
              </w:rPr>
              <w:t>27</w:t>
            </w:r>
            <w:r w:rsidRPr="00CC4DEC">
              <w:rPr>
                <w:webHidden/>
                <w:color w:val="auto"/>
                <w:sz w:val="20"/>
                <w:szCs w:val="20"/>
              </w:rPr>
              <w:fldChar w:fldCharType="end"/>
            </w:r>
          </w:hyperlink>
        </w:p>
        <w:p w14:paraId="6E22FF76" w14:textId="061281CC"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08" w:history="1">
            <w:r w:rsidRPr="00CC4DEC">
              <w:rPr>
                <w:rStyle w:val="Hiperveza"/>
                <w:rFonts w:asciiTheme="minorHAnsi" w:hAnsiTheme="minorHAnsi" w:cstheme="minorHAnsi"/>
                <w:b/>
                <w:bCs/>
                <w:noProof/>
                <w:color w:val="auto"/>
              </w:rPr>
              <w:t>5.1 Time Burden and Unpaid Care Work</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_Toc224128608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27</w:t>
            </w:r>
            <w:r w:rsidRPr="00CC4DEC">
              <w:rPr>
                <w:rFonts w:asciiTheme="minorHAnsi" w:hAnsiTheme="minorHAnsi" w:cstheme="minorHAnsi"/>
                <w:noProof/>
                <w:webHidden/>
                <w:color w:val="auto"/>
              </w:rPr>
              <w:fldChar w:fldCharType="end"/>
            </w:r>
          </w:hyperlink>
        </w:p>
        <w:p w14:paraId="4FAF35D2" w14:textId="125F2BDC"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09" w:history="1">
            <w:r w:rsidRPr="00CC4DEC">
              <w:rPr>
                <w:rStyle w:val="Hiperveza"/>
                <w:rFonts w:asciiTheme="minorHAnsi" w:hAnsiTheme="minorHAnsi" w:cstheme="minorHAnsi"/>
                <w:b/>
                <w:bCs/>
                <w:noProof/>
                <w:color w:val="auto"/>
              </w:rPr>
              <w:t>5.2 Health Impacts and Service Quality</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_Toc224128609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28</w:t>
            </w:r>
            <w:r w:rsidRPr="00CC4DEC">
              <w:rPr>
                <w:rFonts w:asciiTheme="minorHAnsi" w:hAnsiTheme="minorHAnsi" w:cstheme="minorHAnsi"/>
                <w:noProof/>
                <w:webHidden/>
                <w:color w:val="auto"/>
              </w:rPr>
              <w:fldChar w:fldCharType="end"/>
            </w:r>
          </w:hyperlink>
        </w:p>
        <w:p w14:paraId="0FB09F1F" w14:textId="04E94F9D" w:rsidR="00CC4DEC" w:rsidRPr="00CC4DEC" w:rsidRDefault="00CC4DEC">
          <w:pPr>
            <w:pStyle w:val="SADRAJ1"/>
            <w:rPr>
              <w:rFonts w:eastAsiaTheme="minorEastAsia"/>
              <w:b w:val="0"/>
              <w:bCs w:val="0"/>
              <w:color w:val="auto"/>
              <w:kern w:val="2"/>
              <w:sz w:val="20"/>
              <w:szCs w:val="20"/>
              <w14:ligatures w14:val="standardContextual"/>
            </w:rPr>
          </w:pPr>
          <w:hyperlink w:anchor="_Toc224128610" w:history="1">
            <w:r w:rsidRPr="00CC4DEC">
              <w:rPr>
                <w:rStyle w:val="Hiperveza"/>
                <w:color w:val="auto"/>
                <w:sz w:val="20"/>
                <w:szCs w:val="20"/>
              </w:rPr>
              <w:t>6.  COMPARATIVE GENDER ANALYSIS: WATER AS A SPACE</w:t>
            </w:r>
            <w:r w:rsidRPr="00CC4DEC">
              <w:rPr>
                <w:webHidden/>
                <w:color w:val="auto"/>
                <w:sz w:val="20"/>
                <w:szCs w:val="20"/>
              </w:rPr>
              <w:tab/>
            </w:r>
            <w:r w:rsidRPr="00CC4DEC">
              <w:rPr>
                <w:webHidden/>
                <w:color w:val="auto"/>
                <w:sz w:val="20"/>
                <w:szCs w:val="20"/>
              </w:rPr>
              <w:fldChar w:fldCharType="begin"/>
            </w:r>
            <w:r w:rsidRPr="00CC4DEC">
              <w:rPr>
                <w:webHidden/>
                <w:color w:val="auto"/>
                <w:sz w:val="20"/>
                <w:szCs w:val="20"/>
              </w:rPr>
              <w:instrText xml:space="preserve"> PAGEREF _Toc224128610 \h </w:instrText>
            </w:r>
            <w:r w:rsidRPr="00CC4DEC">
              <w:rPr>
                <w:webHidden/>
                <w:color w:val="auto"/>
                <w:sz w:val="20"/>
                <w:szCs w:val="20"/>
              </w:rPr>
            </w:r>
            <w:r w:rsidRPr="00CC4DEC">
              <w:rPr>
                <w:webHidden/>
                <w:color w:val="auto"/>
                <w:sz w:val="20"/>
                <w:szCs w:val="20"/>
              </w:rPr>
              <w:fldChar w:fldCharType="separate"/>
            </w:r>
            <w:r w:rsidRPr="00CC4DEC">
              <w:rPr>
                <w:webHidden/>
                <w:color w:val="auto"/>
                <w:sz w:val="20"/>
                <w:szCs w:val="20"/>
              </w:rPr>
              <w:t>30</w:t>
            </w:r>
            <w:r w:rsidRPr="00CC4DEC">
              <w:rPr>
                <w:webHidden/>
                <w:color w:val="auto"/>
                <w:sz w:val="20"/>
                <w:szCs w:val="20"/>
              </w:rPr>
              <w:fldChar w:fldCharType="end"/>
            </w:r>
          </w:hyperlink>
        </w:p>
        <w:p w14:paraId="05D515F9" w14:textId="6184A1FD"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11" w:history="1">
            <w:r w:rsidRPr="00CC4DEC">
              <w:rPr>
                <w:rStyle w:val="Hiperveza"/>
                <w:rFonts w:asciiTheme="minorHAnsi" w:hAnsiTheme="minorHAnsi" w:cstheme="minorHAnsi"/>
                <w:b/>
                <w:bCs/>
                <w:noProof/>
                <w:color w:val="auto"/>
              </w:rPr>
              <w:t>6.1 Political Representation and Water Governance</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_Toc224128611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30</w:t>
            </w:r>
            <w:r w:rsidRPr="00CC4DEC">
              <w:rPr>
                <w:rFonts w:asciiTheme="minorHAnsi" w:hAnsiTheme="minorHAnsi" w:cstheme="minorHAnsi"/>
                <w:noProof/>
                <w:webHidden/>
                <w:color w:val="auto"/>
              </w:rPr>
              <w:fldChar w:fldCharType="end"/>
            </w:r>
          </w:hyperlink>
        </w:p>
        <w:p w14:paraId="5AB89D4A" w14:textId="20BF9519"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12" w:history="1">
            <w:r w:rsidRPr="00CC4DEC">
              <w:rPr>
                <w:rStyle w:val="Hiperveza"/>
                <w:rFonts w:asciiTheme="minorHAnsi" w:hAnsiTheme="minorHAnsi" w:cstheme="minorHAnsi"/>
                <w:b/>
                <w:bCs/>
                <w:noProof/>
                <w:color w:val="auto"/>
              </w:rPr>
              <w:t>6.1.1 Analysis of Representation Gaps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_Toc224128612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31</w:t>
            </w:r>
            <w:r w:rsidRPr="00CC4DEC">
              <w:rPr>
                <w:rFonts w:asciiTheme="minorHAnsi" w:hAnsiTheme="minorHAnsi" w:cstheme="minorHAnsi"/>
                <w:noProof/>
                <w:webHidden/>
                <w:color w:val="auto"/>
              </w:rPr>
              <w:fldChar w:fldCharType="end"/>
            </w:r>
          </w:hyperlink>
        </w:p>
        <w:p w14:paraId="777703AF" w14:textId="33C52300"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13" w:history="1">
            <w:r w:rsidRPr="00CC4DEC">
              <w:rPr>
                <w:rStyle w:val="Hiperveza"/>
                <w:rFonts w:asciiTheme="minorHAnsi" w:hAnsiTheme="minorHAnsi" w:cstheme="minorHAnsi"/>
                <w:b/>
                <w:bCs/>
                <w:noProof/>
                <w:color w:val="auto"/>
              </w:rPr>
              <w:t>6.2 Water Governance Body Composition</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_Toc224128613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32</w:t>
            </w:r>
            <w:r w:rsidRPr="00CC4DEC">
              <w:rPr>
                <w:rFonts w:asciiTheme="minorHAnsi" w:hAnsiTheme="minorHAnsi" w:cstheme="minorHAnsi"/>
                <w:noProof/>
                <w:webHidden/>
                <w:color w:val="auto"/>
              </w:rPr>
              <w:fldChar w:fldCharType="end"/>
            </w:r>
          </w:hyperlink>
        </w:p>
        <w:p w14:paraId="2BD54EAE" w14:textId="24965AD0" w:rsidR="00CC4DEC" w:rsidRPr="00CC4DEC" w:rsidRDefault="00CC4DEC">
          <w:pPr>
            <w:pStyle w:val="SADRAJ1"/>
            <w:rPr>
              <w:rFonts w:eastAsiaTheme="minorEastAsia"/>
              <w:b w:val="0"/>
              <w:bCs w:val="0"/>
              <w:color w:val="auto"/>
              <w:kern w:val="2"/>
              <w:sz w:val="20"/>
              <w:szCs w:val="20"/>
              <w14:ligatures w14:val="standardContextual"/>
            </w:rPr>
          </w:pPr>
          <w:hyperlink w:anchor="_Toc224128614" w:history="1">
            <w:r w:rsidRPr="00CC4DEC">
              <w:rPr>
                <w:rStyle w:val="Hiperveza"/>
                <w:color w:val="auto"/>
                <w:sz w:val="20"/>
                <w:szCs w:val="20"/>
              </w:rPr>
              <w:t>7.  IDENTIFIED GAPS, CHALLENGES, AND EMERGING THEMES</w:t>
            </w:r>
            <w:r w:rsidRPr="00CC4DEC">
              <w:rPr>
                <w:webHidden/>
                <w:color w:val="auto"/>
                <w:sz w:val="20"/>
                <w:szCs w:val="20"/>
              </w:rPr>
              <w:tab/>
            </w:r>
            <w:r w:rsidRPr="00CC4DEC">
              <w:rPr>
                <w:webHidden/>
                <w:color w:val="auto"/>
                <w:sz w:val="20"/>
                <w:szCs w:val="20"/>
              </w:rPr>
              <w:fldChar w:fldCharType="begin"/>
            </w:r>
            <w:r w:rsidRPr="00CC4DEC">
              <w:rPr>
                <w:webHidden/>
                <w:color w:val="auto"/>
                <w:sz w:val="20"/>
                <w:szCs w:val="20"/>
              </w:rPr>
              <w:instrText xml:space="preserve"> PAGEREF _Toc224128614 \h </w:instrText>
            </w:r>
            <w:r w:rsidRPr="00CC4DEC">
              <w:rPr>
                <w:webHidden/>
                <w:color w:val="auto"/>
                <w:sz w:val="20"/>
                <w:szCs w:val="20"/>
              </w:rPr>
            </w:r>
            <w:r w:rsidRPr="00CC4DEC">
              <w:rPr>
                <w:webHidden/>
                <w:color w:val="auto"/>
                <w:sz w:val="20"/>
                <w:szCs w:val="20"/>
              </w:rPr>
              <w:fldChar w:fldCharType="separate"/>
            </w:r>
            <w:r w:rsidRPr="00CC4DEC">
              <w:rPr>
                <w:webHidden/>
                <w:color w:val="auto"/>
                <w:sz w:val="20"/>
                <w:szCs w:val="20"/>
              </w:rPr>
              <w:t>34</w:t>
            </w:r>
            <w:r w:rsidRPr="00CC4DEC">
              <w:rPr>
                <w:webHidden/>
                <w:color w:val="auto"/>
                <w:sz w:val="20"/>
                <w:szCs w:val="20"/>
              </w:rPr>
              <w:fldChar w:fldCharType="end"/>
            </w:r>
          </w:hyperlink>
        </w:p>
        <w:p w14:paraId="313837A9" w14:textId="6276862D"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15" w:history="1">
            <w:r w:rsidRPr="00CC4DEC">
              <w:rPr>
                <w:rStyle w:val="Hiperveza"/>
                <w:rFonts w:asciiTheme="minorHAnsi" w:hAnsiTheme="minorHAnsi" w:cstheme="minorHAnsi"/>
                <w:b/>
                <w:bCs/>
                <w:noProof/>
                <w:color w:val="auto"/>
              </w:rPr>
              <w:t>7.1 The Policy-to-Practice Gap</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_Toc224128615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34</w:t>
            </w:r>
            <w:r w:rsidRPr="00CC4DEC">
              <w:rPr>
                <w:rFonts w:asciiTheme="minorHAnsi" w:hAnsiTheme="minorHAnsi" w:cstheme="minorHAnsi"/>
                <w:noProof/>
                <w:webHidden/>
                <w:color w:val="auto"/>
              </w:rPr>
              <w:fldChar w:fldCharType="end"/>
            </w:r>
          </w:hyperlink>
        </w:p>
        <w:p w14:paraId="54BC2F0D" w14:textId="25DBD8CC"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16" w:history="1">
            <w:r w:rsidRPr="00CC4DEC">
              <w:rPr>
                <w:rStyle w:val="Hiperveza"/>
                <w:rFonts w:asciiTheme="minorHAnsi" w:hAnsiTheme="minorHAnsi" w:cstheme="minorHAnsi"/>
                <w:b/>
                <w:bCs/>
                <w:noProof/>
                <w:color w:val="auto"/>
              </w:rPr>
              <w:t>7.2 Data Deficiencies and Monitoring Challenges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_Toc224128616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35</w:t>
            </w:r>
            <w:r w:rsidRPr="00CC4DEC">
              <w:rPr>
                <w:rFonts w:asciiTheme="minorHAnsi" w:hAnsiTheme="minorHAnsi" w:cstheme="minorHAnsi"/>
                <w:noProof/>
                <w:webHidden/>
                <w:color w:val="auto"/>
              </w:rPr>
              <w:fldChar w:fldCharType="end"/>
            </w:r>
          </w:hyperlink>
        </w:p>
        <w:p w14:paraId="5265EBB3" w14:textId="1AC2C067"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17" w:history="1">
            <w:r w:rsidRPr="00CC4DEC">
              <w:rPr>
                <w:rStyle w:val="Hiperveza"/>
                <w:rFonts w:asciiTheme="minorHAnsi" w:hAnsiTheme="minorHAnsi" w:cstheme="minorHAnsi"/>
                <w:b/>
                <w:bCs/>
                <w:noProof/>
                <w:color w:val="auto"/>
              </w:rPr>
              <w:t>7.3 Intersectional Vulnerabilities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_Toc224128617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35</w:t>
            </w:r>
            <w:r w:rsidRPr="00CC4DEC">
              <w:rPr>
                <w:rFonts w:asciiTheme="minorHAnsi" w:hAnsiTheme="minorHAnsi" w:cstheme="minorHAnsi"/>
                <w:noProof/>
                <w:webHidden/>
                <w:color w:val="auto"/>
              </w:rPr>
              <w:fldChar w:fldCharType="end"/>
            </w:r>
          </w:hyperlink>
        </w:p>
        <w:p w14:paraId="2B101409" w14:textId="2D0DB200"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18" w:history="1">
            <w:r w:rsidRPr="00CC4DEC">
              <w:rPr>
                <w:rStyle w:val="Hiperveza"/>
                <w:rFonts w:asciiTheme="minorHAnsi" w:hAnsiTheme="minorHAnsi" w:cstheme="minorHAnsi"/>
                <w:b/>
                <w:bCs/>
                <w:noProof/>
                <w:color w:val="auto"/>
              </w:rPr>
              <w:t>7.4 Socio-Economic and Environmental Linkages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_Toc224128618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36</w:t>
            </w:r>
            <w:r w:rsidRPr="00CC4DEC">
              <w:rPr>
                <w:rFonts w:asciiTheme="minorHAnsi" w:hAnsiTheme="minorHAnsi" w:cstheme="minorHAnsi"/>
                <w:noProof/>
                <w:webHidden/>
                <w:color w:val="auto"/>
              </w:rPr>
              <w:fldChar w:fldCharType="end"/>
            </w:r>
          </w:hyperlink>
        </w:p>
        <w:p w14:paraId="22DD673A" w14:textId="2104E31B"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19" w:history="1">
            <w:r w:rsidRPr="00CC4DEC">
              <w:rPr>
                <w:rStyle w:val="Hiperveza"/>
                <w:rFonts w:asciiTheme="minorHAnsi" w:hAnsiTheme="minorHAnsi" w:cstheme="minorHAnsi"/>
                <w:b/>
                <w:bCs/>
                <w:noProof/>
                <w:color w:val="auto"/>
              </w:rPr>
              <w:t>7.5 Emerging Themes and Opportunities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_Toc224128619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36</w:t>
            </w:r>
            <w:r w:rsidRPr="00CC4DEC">
              <w:rPr>
                <w:rFonts w:asciiTheme="minorHAnsi" w:hAnsiTheme="minorHAnsi" w:cstheme="minorHAnsi"/>
                <w:noProof/>
                <w:webHidden/>
                <w:color w:val="auto"/>
              </w:rPr>
              <w:fldChar w:fldCharType="end"/>
            </w:r>
          </w:hyperlink>
        </w:p>
        <w:p w14:paraId="22CDDA43" w14:textId="57412EA6" w:rsidR="00CC4DEC" w:rsidRPr="00CC4DEC" w:rsidRDefault="00CC4DEC">
          <w:pPr>
            <w:pStyle w:val="SADRAJ1"/>
            <w:rPr>
              <w:rFonts w:eastAsiaTheme="minorEastAsia"/>
              <w:b w:val="0"/>
              <w:bCs w:val="0"/>
              <w:color w:val="auto"/>
              <w:kern w:val="2"/>
              <w:sz w:val="20"/>
              <w:szCs w:val="20"/>
              <w14:ligatures w14:val="standardContextual"/>
            </w:rPr>
          </w:pPr>
          <w:hyperlink w:anchor="_Toc224128620" w:history="1">
            <w:r w:rsidRPr="00CC4DEC">
              <w:rPr>
                <w:rStyle w:val="Hiperveza"/>
                <w:color w:val="auto"/>
                <w:sz w:val="20"/>
                <w:szCs w:val="20"/>
              </w:rPr>
              <w:t>8.  CLIMATE CHANGE, GENDER-BASED VIOLENCE, AND WATER GOVERNANCE</w:t>
            </w:r>
            <w:r w:rsidRPr="00CC4DEC">
              <w:rPr>
                <w:webHidden/>
                <w:color w:val="auto"/>
                <w:sz w:val="20"/>
                <w:szCs w:val="20"/>
              </w:rPr>
              <w:tab/>
            </w:r>
            <w:r w:rsidRPr="00CC4DEC">
              <w:rPr>
                <w:webHidden/>
                <w:color w:val="auto"/>
                <w:sz w:val="20"/>
                <w:szCs w:val="20"/>
              </w:rPr>
              <w:fldChar w:fldCharType="begin"/>
            </w:r>
            <w:r w:rsidRPr="00CC4DEC">
              <w:rPr>
                <w:webHidden/>
                <w:color w:val="auto"/>
                <w:sz w:val="20"/>
                <w:szCs w:val="20"/>
              </w:rPr>
              <w:instrText xml:space="preserve"> PAGEREF _Toc224128620 \h </w:instrText>
            </w:r>
            <w:r w:rsidRPr="00CC4DEC">
              <w:rPr>
                <w:webHidden/>
                <w:color w:val="auto"/>
                <w:sz w:val="20"/>
                <w:szCs w:val="20"/>
              </w:rPr>
            </w:r>
            <w:r w:rsidRPr="00CC4DEC">
              <w:rPr>
                <w:webHidden/>
                <w:color w:val="auto"/>
                <w:sz w:val="20"/>
                <w:szCs w:val="20"/>
              </w:rPr>
              <w:fldChar w:fldCharType="separate"/>
            </w:r>
            <w:r w:rsidRPr="00CC4DEC">
              <w:rPr>
                <w:webHidden/>
                <w:color w:val="auto"/>
                <w:sz w:val="20"/>
                <w:szCs w:val="20"/>
              </w:rPr>
              <w:t>37</w:t>
            </w:r>
            <w:r w:rsidRPr="00CC4DEC">
              <w:rPr>
                <w:webHidden/>
                <w:color w:val="auto"/>
                <w:sz w:val="20"/>
                <w:szCs w:val="20"/>
              </w:rPr>
              <w:fldChar w:fldCharType="end"/>
            </w:r>
          </w:hyperlink>
        </w:p>
        <w:p w14:paraId="4E3B0D09" w14:textId="085A4104"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21" w:history="1">
            <w:r w:rsidRPr="00CC4DEC">
              <w:rPr>
                <w:rStyle w:val="Hiperveza"/>
                <w:rFonts w:asciiTheme="minorHAnsi" w:hAnsiTheme="minorHAnsi" w:cstheme="minorHAnsi"/>
                <w:b/>
                <w:bCs/>
                <w:noProof/>
                <w:color w:val="auto"/>
              </w:rPr>
              <w:t>8.1 Overview: The Water–GBV–Climate Nexus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_Toc224128621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37</w:t>
            </w:r>
            <w:r w:rsidRPr="00CC4DEC">
              <w:rPr>
                <w:rFonts w:asciiTheme="minorHAnsi" w:hAnsiTheme="minorHAnsi" w:cstheme="minorHAnsi"/>
                <w:noProof/>
                <w:webHidden/>
                <w:color w:val="auto"/>
              </w:rPr>
              <w:fldChar w:fldCharType="end"/>
            </w:r>
          </w:hyperlink>
        </w:p>
        <w:p w14:paraId="4A700429" w14:textId="1A380957"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22" w:history="1">
            <w:r w:rsidRPr="00CC4DEC">
              <w:rPr>
                <w:rStyle w:val="Hiperveza"/>
                <w:rFonts w:asciiTheme="minorHAnsi" w:hAnsiTheme="minorHAnsi" w:cstheme="minorHAnsi"/>
                <w:b/>
                <w:bCs/>
                <w:noProof/>
                <w:color w:val="auto"/>
              </w:rPr>
              <w:t>8.2 Definitions: Forms of GBV in Water Governance Contexts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_Toc224128622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37</w:t>
            </w:r>
            <w:r w:rsidRPr="00CC4DEC">
              <w:rPr>
                <w:rFonts w:asciiTheme="minorHAnsi" w:hAnsiTheme="minorHAnsi" w:cstheme="minorHAnsi"/>
                <w:noProof/>
                <w:webHidden/>
                <w:color w:val="auto"/>
              </w:rPr>
              <w:fldChar w:fldCharType="end"/>
            </w:r>
          </w:hyperlink>
        </w:p>
        <w:p w14:paraId="465C7654" w14:textId="7263628E"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23" w:history="1">
            <w:r w:rsidRPr="00CC4DEC">
              <w:rPr>
                <w:rStyle w:val="Hiperveza"/>
                <w:rFonts w:asciiTheme="minorHAnsi" w:hAnsiTheme="minorHAnsi" w:cstheme="minorHAnsi"/>
                <w:b/>
                <w:bCs/>
                <w:noProof/>
                <w:color w:val="auto"/>
              </w:rPr>
              <w:t>8.3 Five Pathways from Water Governance Failures to GBV</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_Toc224128623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37</w:t>
            </w:r>
            <w:r w:rsidRPr="00CC4DEC">
              <w:rPr>
                <w:rFonts w:asciiTheme="minorHAnsi" w:hAnsiTheme="minorHAnsi" w:cstheme="minorHAnsi"/>
                <w:noProof/>
                <w:webHidden/>
                <w:color w:val="auto"/>
              </w:rPr>
              <w:fldChar w:fldCharType="end"/>
            </w:r>
          </w:hyperlink>
        </w:p>
        <w:p w14:paraId="643461C2" w14:textId="590F6533"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24" w:history="1">
            <w:r w:rsidRPr="00CC4DEC">
              <w:rPr>
                <w:rStyle w:val="Hiperveza"/>
                <w:rFonts w:asciiTheme="minorHAnsi" w:hAnsiTheme="minorHAnsi" w:cstheme="minorHAnsi"/>
                <w:b/>
                <w:bCs/>
                <w:noProof/>
                <w:color w:val="auto"/>
              </w:rPr>
              <w:t>8.4 GBV Prevalence Across the Four Countries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_Toc224128624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38</w:t>
            </w:r>
            <w:r w:rsidRPr="00CC4DEC">
              <w:rPr>
                <w:rFonts w:asciiTheme="minorHAnsi" w:hAnsiTheme="minorHAnsi" w:cstheme="minorHAnsi"/>
                <w:noProof/>
                <w:webHidden/>
                <w:color w:val="auto"/>
              </w:rPr>
              <w:fldChar w:fldCharType="end"/>
            </w:r>
          </w:hyperlink>
        </w:p>
        <w:p w14:paraId="4897493C" w14:textId="23EA83AC"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25" w:history="1">
            <w:r w:rsidRPr="00CC4DEC">
              <w:rPr>
                <w:rStyle w:val="Hiperveza"/>
                <w:rFonts w:asciiTheme="minorHAnsi" w:hAnsiTheme="minorHAnsi" w:cstheme="minorHAnsi"/>
                <w:b/>
                <w:bCs/>
                <w:noProof/>
                <w:color w:val="auto"/>
              </w:rPr>
              <w:t>8.5 GBV–Climate Nexus: Comparative Table</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_Toc224128625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39</w:t>
            </w:r>
            <w:r w:rsidRPr="00CC4DEC">
              <w:rPr>
                <w:rFonts w:asciiTheme="minorHAnsi" w:hAnsiTheme="minorHAnsi" w:cstheme="minorHAnsi"/>
                <w:noProof/>
                <w:webHidden/>
                <w:color w:val="auto"/>
              </w:rPr>
              <w:fldChar w:fldCharType="end"/>
            </w:r>
          </w:hyperlink>
        </w:p>
        <w:p w14:paraId="6EE16301" w14:textId="4557ACBB"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26" w:history="1">
            <w:r w:rsidRPr="00CC4DEC">
              <w:rPr>
                <w:rStyle w:val="Hiperveza"/>
                <w:rFonts w:asciiTheme="minorHAnsi" w:hAnsiTheme="minorHAnsi" w:cstheme="minorHAnsi"/>
                <w:b/>
                <w:bCs/>
                <w:noProof/>
                <w:color w:val="auto"/>
              </w:rPr>
              <w:t>8.6 Climate Change, Water Availability, and Gendered Impacts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_Toc224128626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40</w:t>
            </w:r>
            <w:r w:rsidRPr="00CC4DEC">
              <w:rPr>
                <w:rFonts w:asciiTheme="minorHAnsi" w:hAnsiTheme="minorHAnsi" w:cstheme="minorHAnsi"/>
                <w:noProof/>
                <w:webHidden/>
                <w:color w:val="auto"/>
              </w:rPr>
              <w:fldChar w:fldCharType="end"/>
            </w:r>
          </w:hyperlink>
        </w:p>
        <w:p w14:paraId="579FFFE5" w14:textId="0B1A7F28"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27" w:history="1">
            <w:r w:rsidRPr="00CC4DEC">
              <w:rPr>
                <w:rStyle w:val="Hiperveza"/>
                <w:rFonts w:asciiTheme="minorHAnsi" w:hAnsiTheme="minorHAnsi" w:cstheme="minorHAnsi"/>
                <w:b/>
                <w:bCs/>
                <w:noProof/>
                <w:color w:val="auto"/>
              </w:rPr>
              <w:t>8.7 Recommendations for Addressing the Water–GBV–Climate Nexus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_Toc224128627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41</w:t>
            </w:r>
            <w:r w:rsidRPr="00CC4DEC">
              <w:rPr>
                <w:rFonts w:asciiTheme="minorHAnsi" w:hAnsiTheme="minorHAnsi" w:cstheme="minorHAnsi"/>
                <w:noProof/>
                <w:webHidden/>
                <w:color w:val="auto"/>
              </w:rPr>
              <w:fldChar w:fldCharType="end"/>
            </w:r>
          </w:hyperlink>
        </w:p>
        <w:p w14:paraId="3028C8A3" w14:textId="3EC64B8E" w:rsidR="00CC4DEC" w:rsidRPr="00CC4DEC" w:rsidRDefault="00CC4DEC">
          <w:pPr>
            <w:pStyle w:val="SADRAJ1"/>
            <w:rPr>
              <w:rFonts w:eastAsiaTheme="minorEastAsia"/>
              <w:b w:val="0"/>
              <w:bCs w:val="0"/>
              <w:color w:val="auto"/>
              <w:kern w:val="2"/>
              <w:sz w:val="20"/>
              <w:szCs w:val="20"/>
              <w14:ligatures w14:val="standardContextual"/>
            </w:rPr>
          </w:pPr>
          <w:hyperlink w:anchor="_Toc224128628" w:history="1">
            <w:r w:rsidRPr="00CC4DEC">
              <w:rPr>
                <w:rStyle w:val="Hiperveza"/>
                <w:color w:val="auto"/>
                <w:sz w:val="20"/>
                <w:szCs w:val="20"/>
              </w:rPr>
              <w:t>9.  CONCLUSIONS AND STRATEGIC RECOMMENDATIONS</w:t>
            </w:r>
            <w:r w:rsidRPr="00CC4DEC">
              <w:rPr>
                <w:webHidden/>
                <w:color w:val="auto"/>
                <w:sz w:val="20"/>
                <w:szCs w:val="20"/>
              </w:rPr>
              <w:tab/>
            </w:r>
            <w:r w:rsidRPr="00CC4DEC">
              <w:rPr>
                <w:webHidden/>
                <w:color w:val="auto"/>
                <w:sz w:val="20"/>
                <w:szCs w:val="20"/>
              </w:rPr>
              <w:fldChar w:fldCharType="begin"/>
            </w:r>
            <w:r w:rsidRPr="00CC4DEC">
              <w:rPr>
                <w:webHidden/>
                <w:color w:val="auto"/>
                <w:sz w:val="20"/>
                <w:szCs w:val="20"/>
              </w:rPr>
              <w:instrText xml:space="preserve"> PAGEREF _Toc224128628 \h </w:instrText>
            </w:r>
            <w:r w:rsidRPr="00CC4DEC">
              <w:rPr>
                <w:webHidden/>
                <w:color w:val="auto"/>
                <w:sz w:val="20"/>
                <w:szCs w:val="20"/>
              </w:rPr>
            </w:r>
            <w:r w:rsidRPr="00CC4DEC">
              <w:rPr>
                <w:webHidden/>
                <w:color w:val="auto"/>
                <w:sz w:val="20"/>
                <w:szCs w:val="20"/>
              </w:rPr>
              <w:fldChar w:fldCharType="separate"/>
            </w:r>
            <w:r w:rsidRPr="00CC4DEC">
              <w:rPr>
                <w:webHidden/>
                <w:color w:val="auto"/>
                <w:sz w:val="20"/>
                <w:szCs w:val="20"/>
              </w:rPr>
              <w:t>42</w:t>
            </w:r>
            <w:r w:rsidRPr="00CC4DEC">
              <w:rPr>
                <w:webHidden/>
                <w:color w:val="auto"/>
                <w:sz w:val="20"/>
                <w:szCs w:val="20"/>
              </w:rPr>
              <w:fldChar w:fldCharType="end"/>
            </w:r>
          </w:hyperlink>
        </w:p>
        <w:p w14:paraId="27A5E3E4" w14:textId="2BF78195"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29" w:history="1">
            <w:r w:rsidRPr="00CC4DEC">
              <w:rPr>
                <w:rStyle w:val="Hiperveza"/>
                <w:rFonts w:asciiTheme="minorHAnsi" w:hAnsiTheme="minorHAnsi" w:cstheme="minorHAnsi"/>
                <w:b/>
                <w:bCs/>
                <w:noProof/>
                <w:color w:val="auto"/>
              </w:rPr>
              <w:t>9.1 Concluding Assessment</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_Toc224128629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42</w:t>
            </w:r>
            <w:r w:rsidRPr="00CC4DEC">
              <w:rPr>
                <w:rFonts w:asciiTheme="minorHAnsi" w:hAnsiTheme="minorHAnsi" w:cstheme="minorHAnsi"/>
                <w:noProof/>
                <w:webHidden/>
                <w:color w:val="auto"/>
              </w:rPr>
              <w:fldChar w:fldCharType="end"/>
            </w:r>
          </w:hyperlink>
        </w:p>
        <w:p w14:paraId="22247108" w14:textId="29FA0EA7"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30" w:history="1">
            <w:r w:rsidRPr="00CC4DEC">
              <w:rPr>
                <w:rStyle w:val="Hiperveza"/>
                <w:rFonts w:asciiTheme="minorHAnsi" w:hAnsiTheme="minorHAnsi" w:cstheme="minorHAnsi"/>
                <w:b/>
                <w:bCs/>
                <w:noProof/>
                <w:color w:val="auto"/>
              </w:rPr>
              <w:t>9.2 Strategic Recommendations for Regional Action</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_Toc224128630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42</w:t>
            </w:r>
            <w:r w:rsidRPr="00CC4DEC">
              <w:rPr>
                <w:rFonts w:asciiTheme="minorHAnsi" w:hAnsiTheme="minorHAnsi" w:cstheme="minorHAnsi"/>
                <w:noProof/>
                <w:webHidden/>
                <w:color w:val="auto"/>
              </w:rPr>
              <w:fldChar w:fldCharType="end"/>
            </w:r>
          </w:hyperlink>
        </w:p>
        <w:p w14:paraId="6B10F328" w14:textId="1877C5CD" w:rsidR="00CC4DEC" w:rsidRPr="00CC4DEC" w:rsidRDefault="00CC4DEC">
          <w:pPr>
            <w:pStyle w:val="SADRAJ3"/>
            <w:tabs>
              <w:tab w:val="right" w:leader="dot" w:pos="9350"/>
            </w:tabs>
            <w:rPr>
              <w:rFonts w:asciiTheme="minorHAnsi" w:eastAsiaTheme="minorEastAsia" w:hAnsiTheme="minorHAnsi" w:cstheme="minorHAnsi"/>
              <w:noProof/>
              <w:color w:val="auto"/>
              <w:kern w:val="2"/>
              <w14:ligatures w14:val="standardContextual"/>
            </w:rPr>
          </w:pPr>
          <w:hyperlink w:anchor="_Toc224128631" w:history="1">
            <w:r w:rsidRPr="00CC4DEC">
              <w:rPr>
                <w:rStyle w:val="Hiperveza"/>
                <w:rFonts w:asciiTheme="minorHAnsi" w:hAnsiTheme="minorHAnsi" w:cstheme="minorHAnsi"/>
                <w:b/>
                <w:bCs/>
                <w:noProof/>
                <w:color w:val="auto"/>
              </w:rPr>
              <w:t>9.2.1 Cross-Cutting Regional Recommendations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_Toc224128631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43</w:t>
            </w:r>
            <w:r w:rsidRPr="00CC4DEC">
              <w:rPr>
                <w:rFonts w:asciiTheme="minorHAnsi" w:hAnsiTheme="minorHAnsi" w:cstheme="minorHAnsi"/>
                <w:noProof/>
                <w:webHidden/>
                <w:color w:val="auto"/>
              </w:rPr>
              <w:fldChar w:fldCharType="end"/>
            </w:r>
          </w:hyperlink>
        </w:p>
        <w:p w14:paraId="044D28AA" w14:textId="0B4231B5" w:rsidR="00CC4DEC" w:rsidRPr="00CC4DEC" w:rsidRDefault="00CC4DEC">
          <w:pPr>
            <w:pStyle w:val="SADRAJ3"/>
            <w:tabs>
              <w:tab w:val="right" w:leader="dot" w:pos="9350"/>
            </w:tabs>
            <w:rPr>
              <w:rFonts w:asciiTheme="minorHAnsi" w:eastAsiaTheme="minorEastAsia" w:hAnsiTheme="minorHAnsi" w:cstheme="minorHAnsi"/>
              <w:noProof/>
              <w:color w:val="auto"/>
              <w:kern w:val="2"/>
              <w14:ligatures w14:val="standardContextual"/>
            </w:rPr>
          </w:pPr>
          <w:hyperlink w:anchor="_Toc224128632" w:history="1">
            <w:r w:rsidRPr="00CC4DEC">
              <w:rPr>
                <w:rStyle w:val="Hiperveza"/>
                <w:rFonts w:asciiTheme="minorHAnsi" w:hAnsiTheme="minorHAnsi" w:cstheme="minorHAnsi"/>
                <w:b/>
                <w:bCs/>
                <w:noProof/>
                <w:color w:val="auto"/>
              </w:rPr>
              <w:t>9.2.2 Country-Specific Recommendations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_Toc224128632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44</w:t>
            </w:r>
            <w:r w:rsidRPr="00CC4DEC">
              <w:rPr>
                <w:rFonts w:asciiTheme="minorHAnsi" w:hAnsiTheme="minorHAnsi" w:cstheme="minorHAnsi"/>
                <w:noProof/>
                <w:webHidden/>
                <w:color w:val="auto"/>
              </w:rPr>
              <w:fldChar w:fldCharType="end"/>
            </w:r>
          </w:hyperlink>
        </w:p>
        <w:p w14:paraId="1F1DC139" w14:textId="28F5E739"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33" w:history="1">
            <w:r w:rsidRPr="00CC4DEC">
              <w:rPr>
                <w:rStyle w:val="Hiperveza"/>
                <w:rFonts w:asciiTheme="minorHAnsi" w:hAnsiTheme="minorHAnsi" w:cstheme="minorHAnsi"/>
                <w:b/>
                <w:bCs/>
                <w:noProof/>
                <w:color w:val="auto"/>
              </w:rPr>
              <w:t>9.3 Roadmap for DIKTAS II Gender Mainstreaming</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_Toc224128633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45</w:t>
            </w:r>
            <w:r w:rsidRPr="00CC4DEC">
              <w:rPr>
                <w:rFonts w:asciiTheme="minorHAnsi" w:hAnsiTheme="minorHAnsi" w:cstheme="minorHAnsi"/>
                <w:noProof/>
                <w:webHidden/>
                <w:color w:val="auto"/>
              </w:rPr>
              <w:fldChar w:fldCharType="end"/>
            </w:r>
          </w:hyperlink>
        </w:p>
        <w:p w14:paraId="538A7BC7" w14:textId="2B7689E1" w:rsidR="00CC4DEC" w:rsidRPr="00CC4DEC" w:rsidRDefault="00CC4DEC">
          <w:pPr>
            <w:pStyle w:val="SADRAJ1"/>
            <w:rPr>
              <w:rFonts w:eastAsiaTheme="minorEastAsia"/>
              <w:b w:val="0"/>
              <w:bCs w:val="0"/>
              <w:color w:val="auto"/>
              <w:kern w:val="2"/>
              <w:sz w:val="20"/>
              <w:szCs w:val="20"/>
              <w14:ligatures w14:val="standardContextual"/>
            </w:rPr>
          </w:pPr>
          <w:hyperlink w:anchor="_Toc224128634" w:history="1">
            <w:r w:rsidRPr="00CC4DEC">
              <w:rPr>
                <w:rStyle w:val="Hiperveza"/>
                <w:color w:val="auto"/>
                <w:sz w:val="20"/>
                <w:szCs w:val="20"/>
              </w:rPr>
              <w:t>ANNEXES</w:t>
            </w:r>
            <w:r w:rsidRPr="00CC4DEC">
              <w:rPr>
                <w:webHidden/>
                <w:color w:val="auto"/>
                <w:sz w:val="20"/>
                <w:szCs w:val="20"/>
              </w:rPr>
              <w:tab/>
            </w:r>
            <w:r w:rsidRPr="00CC4DEC">
              <w:rPr>
                <w:webHidden/>
                <w:color w:val="auto"/>
                <w:sz w:val="20"/>
                <w:szCs w:val="20"/>
              </w:rPr>
              <w:fldChar w:fldCharType="begin"/>
            </w:r>
            <w:r w:rsidRPr="00CC4DEC">
              <w:rPr>
                <w:webHidden/>
                <w:color w:val="auto"/>
                <w:sz w:val="20"/>
                <w:szCs w:val="20"/>
              </w:rPr>
              <w:instrText xml:space="preserve"> PAGEREF _Toc224128634 \h </w:instrText>
            </w:r>
            <w:r w:rsidRPr="00CC4DEC">
              <w:rPr>
                <w:webHidden/>
                <w:color w:val="auto"/>
                <w:sz w:val="20"/>
                <w:szCs w:val="20"/>
              </w:rPr>
            </w:r>
            <w:r w:rsidRPr="00CC4DEC">
              <w:rPr>
                <w:webHidden/>
                <w:color w:val="auto"/>
                <w:sz w:val="20"/>
                <w:szCs w:val="20"/>
              </w:rPr>
              <w:fldChar w:fldCharType="separate"/>
            </w:r>
            <w:r w:rsidRPr="00CC4DEC">
              <w:rPr>
                <w:webHidden/>
                <w:color w:val="auto"/>
                <w:sz w:val="20"/>
                <w:szCs w:val="20"/>
              </w:rPr>
              <w:t>46</w:t>
            </w:r>
            <w:r w:rsidRPr="00CC4DEC">
              <w:rPr>
                <w:webHidden/>
                <w:color w:val="auto"/>
                <w:sz w:val="20"/>
                <w:szCs w:val="20"/>
              </w:rPr>
              <w:fldChar w:fldCharType="end"/>
            </w:r>
          </w:hyperlink>
        </w:p>
        <w:p w14:paraId="02BB537E" w14:textId="3C68D8DB"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35" w:history="1">
            <w:r w:rsidRPr="00CC4DEC">
              <w:rPr>
                <w:rStyle w:val="Hiperveza"/>
                <w:rFonts w:asciiTheme="minorHAnsi" w:hAnsiTheme="minorHAnsi" w:cstheme="minorHAnsi"/>
                <w:b/>
                <w:bCs/>
                <w:noProof/>
                <w:color w:val="auto"/>
              </w:rPr>
              <w:t>Annex A: Country Profile Summaries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_Toc224128635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46</w:t>
            </w:r>
            <w:r w:rsidRPr="00CC4DEC">
              <w:rPr>
                <w:rFonts w:asciiTheme="minorHAnsi" w:hAnsiTheme="minorHAnsi" w:cstheme="minorHAnsi"/>
                <w:noProof/>
                <w:webHidden/>
                <w:color w:val="auto"/>
              </w:rPr>
              <w:fldChar w:fldCharType="end"/>
            </w:r>
          </w:hyperlink>
        </w:p>
        <w:p w14:paraId="677EC636" w14:textId="3E85E13F" w:rsidR="00CC4DEC" w:rsidRPr="00CC4DEC" w:rsidRDefault="00CC4DEC">
          <w:pPr>
            <w:pStyle w:val="SADRAJ3"/>
            <w:tabs>
              <w:tab w:val="right" w:leader="dot" w:pos="9350"/>
            </w:tabs>
            <w:rPr>
              <w:rFonts w:asciiTheme="minorHAnsi" w:eastAsiaTheme="minorEastAsia" w:hAnsiTheme="minorHAnsi" w:cstheme="minorHAnsi"/>
              <w:noProof/>
              <w:color w:val="auto"/>
              <w:kern w:val="2"/>
              <w14:ligatures w14:val="standardContextual"/>
            </w:rPr>
          </w:pPr>
          <w:hyperlink w:anchor="_Toc224128636" w:history="1">
            <w:r w:rsidRPr="00CC4DEC">
              <w:rPr>
                <w:rStyle w:val="Hiperveza"/>
                <w:rFonts w:asciiTheme="minorHAnsi" w:hAnsiTheme="minorHAnsi" w:cstheme="minorHAnsi"/>
                <w:b/>
                <w:bCs/>
                <w:noProof/>
                <w:color w:val="auto"/>
              </w:rPr>
              <w:t>A.1 Albania Country Profile</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_Toc224128636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46</w:t>
            </w:r>
            <w:r w:rsidRPr="00CC4DEC">
              <w:rPr>
                <w:rFonts w:asciiTheme="minorHAnsi" w:hAnsiTheme="minorHAnsi" w:cstheme="minorHAnsi"/>
                <w:noProof/>
                <w:webHidden/>
                <w:color w:val="auto"/>
              </w:rPr>
              <w:fldChar w:fldCharType="end"/>
            </w:r>
          </w:hyperlink>
        </w:p>
        <w:p w14:paraId="058703BA" w14:textId="0DC60444" w:rsidR="00CC4DEC" w:rsidRPr="00CC4DEC" w:rsidRDefault="00CC4DEC">
          <w:pPr>
            <w:pStyle w:val="SADRAJ3"/>
            <w:tabs>
              <w:tab w:val="right" w:leader="dot" w:pos="9350"/>
            </w:tabs>
            <w:rPr>
              <w:rFonts w:asciiTheme="minorHAnsi" w:eastAsiaTheme="minorEastAsia" w:hAnsiTheme="minorHAnsi" w:cstheme="minorHAnsi"/>
              <w:noProof/>
              <w:color w:val="auto"/>
              <w:kern w:val="2"/>
              <w14:ligatures w14:val="standardContextual"/>
            </w:rPr>
          </w:pPr>
          <w:hyperlink w:anchor="_Toc224128637" w:history="1">
            <w:r w:rsidRPr="00CC4DEC">
              <w:rPr>
                <w:rStyle w:val="Hiperveza"/>
                <w:rFonts w:asciiTheme="minorHAnsi" w:hAnsiTheme="minorHAnsi" w:cstheme="minorHAnsi"/>
                <w:b/>
                <w:bCs/>
                <w:noProof/>
                <w:color w:val="auto"/>
              </w:rPr>
              <w:t>A.2 Bosnia and Herzegovina Country Profile</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_Toc224128637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46</w:t>
            </w:r>
            <w:r w:rsidRPr="00CC4DEC">
              <w:rPr>
                <w:rFonts w:asciiTheme="minorHAnsi" w:hAnsiTheme="minorHAnsi" w:cstheme="minorHAnsi"/>
                <w:noProof/>
                <w:webHidden/>
                <w:color w:val="auto"/>
              </w:rPr>
              <w:fldChar w:fldCharType="end"/>
            </w:r>
          </w:hyperlink>
        </w:p>
        <w:p w14:paraId="27A6B596" w14:textId="53A445A9" w:rsidR="00CC4DEC" w:rsidRPr="00CC4DEC" w:rsidRDefault="00CC4DEC">
          <w:pPr>
            <w:pStyle w:val="SADRAJ3"/>
            <w:tabs>
              <w:tab w:val="right" w:leader="dot" w:pos="9350"/>
            </w:tabs>
            <w:rPr>
              <w:rFonts w:asciiTheme="minorHAnsi" w:eastAsiaTheme="minorEastAsia" w:hAnsiTheme="minorHAnsi" w:cstheme="minorHAnsi"/>
              <w:noProof/>
              <w:color w:val="auto"/>
              <w:kern w:val="2"/>
              <w14:ligatures w14:val="standardContextual"/>
            </w:rPr>
          </w:pPr>
          <w:hyperlink w:anchor="_Toc224128638" w:history="1">
            <w:r w:rsidRPr="00CC4DEC">
              <w:rPr>
                <w:rStyle w:val="Hiperveza"/>
                <w:rFonts w:asciiTheme="minorHAnsi" w:hAnsiTheme="minorHAnsi" w:cstheme="minorHAnsi"/>
                <w:b/>
                <w:bCs/>
                <w:noProof/>
                <w:color w:val="auto"/>
              </w:rPr>
              <w:t>A.3 Croatia Country Profile</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_Toc224128638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46</w:t>
            </w:r>
            <w:r w:rsidRPr="00CC4DEC">
              <w:rPr>
                <w:rFonts w:asciiTheme="minorHAnsi" w:hAnsiTheme="minorHAnsi" w:cstheme="minorHAnsi"/>
                <w:noProof/>
                <w:webHidden/>
                <w:color w:val="auto"/>
              </w:rPr>
              <w:fldChar w:fldCharType="end"/>
            </w:r>
          </w:hyperlink>
        </w:p>
        <w:p w14:paraId="41910C1E" w14:textId="126A8B78" w:rsidR="00CC4DEC" w:rsidRPr="00CC4DEC" w:rsidRDefault="00CC4DEC">
          <w:pPr>
            <w:pStyle w:val="SADRAJ3"/>
            <w:tabs>
              <w:tab w:val="right" w:leader="dot" w:pos="9350"/>
            </w:tabs>
            <w:rPr>
              <w:rFonts w:asciiTheme="minorHAnsi" w:eastAsiaTheme="minorEastAsia" w:hAnsiTheme="minorHAnsi" w:cstheme="minorHAnsi"/>
              <w:noProof/>
              <w:color w:val="auto"/>
              <w:kern w:val="2"/>
              <w14:ligatures w14:val="standardContextual"/>
            </w:rPr>
          </w:pPr>
          <w:hyperlink w:anchor="_Toc224128639" w:history="1">
            <w:r w:rsidRPr="00CC4DEC">
              <w:rPr>
                <w:rStyle w:val="Hiperveza"/>
                <w:rFonts w:asciiTheme="minorHAnsi" w:hAnsiTheme="minorHAnsi" w:cstheme="minorHAnsi"/>
                <w:b/>
                <w:bCs/>
                <w:noProof/>
                <w:color w:val="auto"/>
              </w:rPr>
              <w:t>A.4 Montenegro Country Profile</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_Toc224128639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47</w:t>
            </w:r>
            <w:r w:rsidRPr="00CC4DEC">
              <w:rPr>
                <w:rFonts w:asciiTheme="minorHAnsi" w:hAnsiTheme="minorHAnsi" w:cstheme="minorHAnsi"/>
                <w:noProof/>
                <w:webHidden/>
                <w:color w:val="auto"/>
              </w:rPr>
              <w:fldChar w:fldCharType="end"/>
            </w:r>
          </w:hyperlink>
        </w:p>
        <w:p w14:paraId="748A9F74" w14:textId="56279DB4" w:rsidR="00CC4DEC" w:rsidRPr="00CC4DEC" w:rsidRDefault="00CC4DEC">
          <w:pPr>
            <w:pStyle w:val="SADRAJ2"/>
            <w:tabs>
              <w:tab w:val="right" w:leader="dot" w:pos="9350"/>
            </w:tabs>
            <w:rPr>
              <w:rFonts w:asciiTheme="minorHAnsi" w:eastAsiaTheme="minorEastAsia" w:hAnsiTheme="minorHAnsi" w:cstheme="minorHAnsi"/>
              <w:noProof/>
              <w:color w:val="auto"/>
              <w:kern w:val="2"/>
              <w14:ligatures w14:val="standardContextual"/>
            </w:rPr>
          </w:pPr>
          <w:hyperlink w:anchor="_Toc224128640" w:history="1">
            <w:r w:rsidRPr="00CC4DEC">
              <w:rPr>
                <w:rStyle w:val="Hiperveza"/>
                <w:rFonts w:asciiTheme="minorHAnsi" w:hAnsiTheme="minorHAnsi" w:cstheme="minorHAnsi"/>
                <w:b/>
                <w:bCs/>
                <w:noProof/>
                <w:color w:val="auto"/>
              </w:rPr>
              <w:t>Annex B: Stakeholder Mapping</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_Toc224128640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47</w:t>
            </w:r>
            <w:r w:rsidRPr="00CC4DEC">
              <w:rPr>
                <w:rFonts w:asciiTheme="minorHAnsi" w:hAnsiTheme="minorHAnsi" w:cstheme="minorHAnsi"/>
                <w:noProof/>
                <w:webHidden/>
                <w:color w:val="auto"/>
              </w:rPr>
              <w:fldChar w:fldCharType="end"/>
            </w:r>
          </w:hyperlink>
        </w:p>
        <w:p w14:paraId="05142D11" w14:textId="683EBC7A" w:rsidR="00CC4DEC" w:rsidRPr="00CC4DEC" w:rsidRDefault="00CC4DEC">
          <w:pPr>
            <w:pStyle w:val="SADRAJ3"/>
            <w:tabs>
              <w:tab w:val="right" w:leader="dot" w:pos="9350"/>
            </w:tabs>
            <w:rPr>
              <w:rFonts w:asciiTheme="minorHAnsi" w:eastAsiaTheme="minorEastAsia" w:hAnsiTheme="minorHAnsi" w:cstheme="minorHAnsi"/>
              <w:noProof/>
              <w:color w:val="auto"/>
              <w:kern w:val="2"/>
              <w14:ligatures w14:val="standardContextual"/>
            </w:rPr>
          </w:pPr>
          <w:hyperlink w:anchor="_Toc224128641" w:history="1">
            <w:r w:rsidRPr="00CC4DEC">
              <w:rPr>
                <w:rStyle w:val="Hiperveza"/>
                <w:rFonts w:asciiTheme="minorHAnsi" w:hAnsiTheme="minorHAnsi" w:cstheme="minorHAnsi"/>
                <w:b/>
                <w:bCs/>
                <w:noProof/>
                <w:color w:val="auto"/>
              </w:rPr>
              <w:t>B.1 Governmental Institutions</w:t>
            </w:r>
            <w:r w:rsidRPr="00CC4DEC">
              <w:rPr>
                <w:rFonts w:asciiTheme="minorHAnsi" w:hAnsiTheme="minorHAnsi" w:cstheme="minorHAnsi"/>
                <w:noProof/>
                <w:webHidden/>
                <w:color w:val="auto"/>
              </w:rPr>
              <w:tab/>
            </w:r>
            <w:r w:rsidRPr="00CC4DEC">
              <w:rPr>
                <w:rFonts w:asciiTheme="minorHAnsi" w:hAnsiTheme="minorHAnsi" w:cstheme="minorHAnsi"/>
                <w:noProof/>
                <w:webHidden/>
                <w:color w:val="auto"/>
              </w:rPr>
              <w:fldChar w:fldCharType="begin"/>
            </w:r>
            <w:r w:rsidRPr="00CC4DEC">
              <w:rPr>
                <w:rFonts w:asciiTheme="minorHAnsi" w:hAnsiTheme="minorHAnsi" w:cstheme="minorHAnsi"/>
                <w:noProof/>
                <w:webHidden/>
                <w:color w:val="auto"/>
              </w:rPr>
              <w:instrText xml:space="preserve"> PAGEREF _Toc224128641 \h </w:instrText>
            </w:r>
            <w:r w:rsidRPr="00CC4DEC">
              <w:rPr>
                <w:rFonts w:asciiTheme="minorHAnsi" w:hAnsiTheme="minorHAnsi" w:cstheme="minorHAnsi"/>
                <w:noProof/>
                <w:webHidden/>
                <w:color w:val="auto"/>
              </w:rPr>
            </w:r>
            <w:r w:rsidRPr="00CC4DEC">
              <w:rPr>
                <w:rFonts w:asciiTheme="minorHAnsi" w:hAnsiTheme="minorHAnsi" w:cstheme="minorHAnsi"/>
                <w:noProof/>
                <w:webHidden/>
                <w:color w:val="auto"/>
              </w:rPr>
              <w:fldChar w:fldCharType="separate"/>
            </w:r>
            <w:r w:rsidRPr="00CC4DEC">
              <w:rPr>
                <w:rFonts w:asciiTheme="minorHAnsi" w:hAnsiTheme="minorHAnsi" w:cstheme="minorHAnsi"/>
                <w:noProof/>
                <w:webHidden/>
                <w:color w:val="auto"/>
              </w:rPr>
              <w:t>47</w:t>
            </w:r>
            <w:r w:rsidRPr="00CC4DEC">
              <w:rPr>
                <w:rFonts w:asciiTheme="minorHAnsi" w:hAnsiTheme="minorHAnsi" w:cstheme="minorHAnsi"/>
                <w:noProof/>
                <w:webHidden/>
                <w:color w:val="auto"/>
              </w:rPr>
              <w:fldChar w:fldCharType="end"/>
            </w:r>
          </w:hyperlink>
        </w:p>
        <w:p w14:paraId="72118578" w14:textId="031FC533" w:rsidR="00CC4DEC" w:rsidRPr="00CC4DEC" w:rsidRDefault="00CC4DEC">
          <w:pPr>
            <w:pStyle w:val="SADRAJ1"/>
            <w:rPr>
              <w:rFonts w:eastAsiaTheme="minorEastAsia" w:cstheme="minorBidi"/>
              <w:b w:val="0"/>
              <w:bCs w:val="0"/>
              <w:color w:val="auto"/>
              <w:kern w:val="2"/>
              <w:sz w:val="24"/>
              <w:szCs w:val="24"/>
              <w14:ligatures w14:val="standardContextual"/>
            </w:rPr>
          </w:pPr>
          <w:hyperlink w:anchor="_Toc224128642" w:history="1">
            <w:r w:rsidRPr="00CC4DEC">
              <w:rPr>
                <w:rStyle w:val="Hiperveza"/>
                <w:color w:val="auto"/>
                <w:sz w:val="20"/>
                <w:szCs w:val="20"/>
              </w:rPr>
              <w:t>REFERENCES</w:t>
            </w:r>
            <w:r w:rsidRPr="00CC4DEC">
              <w:rPr>
                <w:webHidden/>
                <w:color w:val="auto"/>
                <w:sz w:val="20"/>
                <w:szCs w:val="20"/>
              </w:rPr>
              <w:tab/>
            </w:r>
            <w:r w:rsidRPr="00CC4DEC">
              <w:rPr>
                <w:webHidden/>
                <w:color w:val="auto"/>
                <w:sz w:val="20"/>
                <w:szCs w:val="20"/>
              </w:rPr>
              <w:fldChar w:fldCharType="begin"/>
            </w:r>
            <w:r w:rsidRPr="00CC4DEC">
              <w:rPr>
                <w:webHidden/>
                <w:color w:val="auto"/>
                <w:sz w:val="20"/>
                <w:szCs w:val="20"/>
              </w:rPr>
              <w:instrText xml:space="preserve"> PAGEREF _Toc224128642 \h </w:instrText>
            </w:r>
            <w:r w:rsidRPr="00CC4DEC">
              <w:rPr>
                <w:webHidden/>
                <w:color w:val="auto"/>
                <w:sz w:val="20"/>
                <w:szCs w:val="20"/>
              </w:rPr>
            </w:r>
            <w:r w:rsidRPr="00CC4DEC">
              <w:rPr>
                <w:webHidden/>
                <w:color w:val="auto"/>
                <w:sz w:val="20"/>
                <w:szCs w:val="20"/>
              </w:rPr>
              <w:fldChar w:fldCharType="separate"/>
            </w:r>
            <w:r w:rsidRPr="00CC4DEC">
              <w:rPr>
                <w:webHidden/>
                <w:color w:val="auto"/>
                <w:sz w:val="20"/>
                <w:szCs w:val="20"/>
              </w:rPr>
              <w:t>48</w:t>
            </w:r>
            <w:r w:rsidRPr="00CC4DEC">
              <w:rPr>
                <w:webHidden/>
                <w:color w:val="auto"/>
                <w:sz w:val="20"/>
                <w:szCs w:val="20"/>
              </w:rPr>
              <w:fldChar w:fldCharType="end"/>
            </w:r>
          </w:hyperlink>
        </w:p>
        <w:p w14:paraId="06D4910D" w14:textId="253A3173" w:rsidR="00B265A3" w:rsidRPr="00556170" w:rsidRDefault="00B265A3" w:rsidP="00E73104">
          <w:pPr>
            <w:rPr>
              <w:rFonts w:asciiTheme="minorHAnsi" w:hAnsiTheme="minorHAnsi" w:cstheme="minorHAnsi"/>
            </w:rPr>
          </w:pPr>
          <w:r w:rsidRPr="00CC4DEC">
            <w:rPr>
              <w:rFonts w:asciiTheme="minorHAnsi" w:hAnsiTheme="minorHAnsi" w:cstheme="minorHAnsi"/>
              <w:b/>
              <w:bCs/>
              <w:noProof/>
              <w:color w:val="auto"/>
              <w:sz w:val="22"/>
              <w:szCs w:val="22"/>
            </w:rPr>
            <w:fldChar w:fldCharType="end"/>
          </w:r>
        </w:p>
      </w:sdtContent>
    </w:sdt>
    <w:p w14:paraId="3ED6A0DB" w14:textId="77777777" w:rsidR="00677073" w:rsidRPr="007971A1" w:rsidRDefault="009E2E77" w:rsidP="00E73104">
      <w:pPr>
        <w:jc w:val="both"/>
        <w:rPr>
          <w:rFonts w:asciiTheme="minorHAnsi" w:hAnsiTheme="minorHAnsi" w:cstheme="minorHAnsi"/>
          <w:b/>
          <w:bCs/>
        </w:rPr>
      </w:pPr>
      <w:r w:rsidRPr="007971A1">
        <w:rPr>
          <w:rFonts w:asciiTheme="minorHAnsi" w:hAnsiTheme="minorHAnsi" w:cstheme="minorHAnsi"/>
          <w:b/>
          <w:bCs/>
          <w:color w:val="000000" w:themeColor="text1"/>
        </w:rPr>
        <w:t>List of Tables</w:t>
      </w:r>
    </w:p>
    <w:p w14:paraId="54C9391D" w14:textId="56F641B2" w:rsidR="00A57E1C" w:rsidRPr="007971A1" w:rsidRDefault="00A57E1C">
      <w:pPr>
        <w:pStyle w:val="Tabelailustracija"/>
        <w:tabs>
          <w:tab w:val="right" w:leader="dot" w:pos="9350"/>
        </w:tabs>
        <w:rPr>
          <w:rFonts w:asciiTheme="minorHAnsi" w:hAnsiTheme="minorHAnsi" w:cstheme="minorHAnsi"/>
          <w:noProof/>
        </w:rPr>
      </w:pPr>
      <w:r w:rsidRPr="007971A1">
        <w:rPr>
          <w:rFonts w:asciiTheme="minorHAnsi" w:hAnsiTheme="minorHAnsi" w:cstheme="minorHAnsi"/>
        </w:rPr>
        <w:fldChar w:fldCharType="begin"/>
      </w:r>
      <w:r w:rsidRPr="007971A1">
        <w:rPr>
          <w:rFonts w:asciiTheme="minorHAnsi" w:hAnsiTheme="minorHAnsi" w:cstheme="minorHAnsi"/>
        </w:rPr>
        <w:instrText xml:space="preserve"> TOC \h \z \c "Table" </w:instrText>
      </w:r>
      <w:r w:rsidRPr="007971A1">
        <w:rPr>
          <w:rFonts w:asciiTheme="minorHAnsi" w:hAnsiTheme="minorHAnsi" w:cstheme="minorHAnsi"/>
        </w:rPr>
        <w:fldChar w:fldCharType="separate"/>
      </w:r>
      <w:hyperlink w:anchor="_Toc224127896" w:history="1">
        <w:r w:rsidRPr="007971A1">
          <w:rPr>
            <w:rStyle w:val="Hiperveza"/>
            <w:rFonts w:asciiTheme="minorHAnsi" w:hAnsiTheme="minorHAnsi" w:cstheme="minorHAnsi"/>
            <w:noProof/>
          </w:rPr>
          <w:t>Table 1:</w:t>
        </w:r>
        <w:r w:rsidR="00783007" w:rsidRPr="007971A1">
          <w:rPr>
            <w:rStyle w:val="Hiperveza"/>
            <w:rFonts w:asciiTheme="minorHAnsi" w:hAnsiTheme="minorHAnsi" w:cstheme="minorHAnsi"/>
            <w:noProof/>
          </w:rPr>
          <w:t xml:space="preserve">    </w:t>
        </w:r>
        <w:r w:rsidRPr="007971A1">
          <w:rPr>
            <w:rStyle w:val="Hiperveza"/>
            <w:rFonts w:asciiTheme="minorHAnsi" w:hAnsiTheme="minorHAnsi" w:cstheme="minorHAnsi"/>
            <w:noProof/>
          </w:rPr>
          <w:t>Key Demographic Indicators by Country and Gender</w:t>
        </w:r>
        <w:r w:rsidRPr="007971A1">
          <w:rPr>
            <w:rFonts w:asciiTheme="minorHAnsi" w:hAnsiTheme="minorHAnsi" w:cstheme="minorHAnsi"/>
            <w:noProof/>
            <w:webHidden/>
          </w:rPr>
          <w:fldChar w:fldCharType="begin"/>
        </w:r>
        <w:r w:rsidRPr="007971A1">
          <w:rPr>
            <w:rFonts w:asciiTheme="minorHAnsi" w:hAnsiTheme="minorHAnsi" w:cstheme="minorHAnsi"/>
            <w:noProof/>
            <w:webHidden/>
          </w:rPr>
          <w:instrText xml:space="preserve"> PAGEREF _Toc224127896 \h </w:instrText>
        </w:r>
        <w:r w:rsidRPr="007971A1">
          <w:rPr>
            <w:rFonts w:asciiTheme="minorHAnsi" w:hAnsiTheme="minorHAnsi" w:cstheme="minorHAnsi"/>
            <w:noProof/>
            <w:webHidden/>
          </w:rPr>
        </w:r>
        <w:r w:rsidRPr="007971A1">
          <w:rPr>
            <w:rFonts w:asciiTheme="minorHAnsi" w:hAnsiTheme="minorHAnsi" w:cstheme="minorHAnsi"/>
            <w:noProof/>
            <w:webHidden/>
          </w:rPr>
          <w:fldChar w:fldCharType="separate"/>
        </w:r>
        <w:r w:rsidRPr="007971A1">
          <w:rPr>
            <w:rFonts w:asciiTheme="minorHAnsi" w:hAnsiTheme="minorHAnsi" w:cstheme="minorHAnsi"/>
            <w:noProof/>
            <w:webHidden/>
          </w:rPr>
          <w:t>3</w:t>
        </w:r>
        <w:r w:rsidRPr="007971A1">
          <w:rPr>
            <w:rFonts w:asciiTheme="minorHAnsi" w:hAnsiTheme="minorHAnsi" w:cstheme="minorHAnsi"/>
            <w:noProof/>
            <w:webHidden/>
          </w:rPr>
          <w:fldChar w:fldCharType="end"/>
        </w:r>
      </w:hyperlink>
    </w:p>
    <w:p w14:paraId="7D322B23" w14:textId="34C4DB01" w:rsidR="00A57E1C" w:rsidRPr="007971A1" w:rsidRDefault="00A57E1C" w:rsidP="00A57E1C">
      <w:pPr>
        <w:rPr>
          <w:rFonts w:asciiTheme="minorHAnsi" w:hAnsiTheme="minorHAnsi" w:cstheme="minorHAnsi"/>
        </w:rPr>
      </w:pPr>
      <w:r w:rsidRPr="007971A1">
        <w:rPr>
          <w:rFonts w:asciiTheme="minorHAnsi" w:hAnsiTheme="minorHAnsi" w:cstheme="minorHAnsi"/>
        </w:rPr>
        <w:fldChar w:fldCharType="end"/>
      </w:r>
      <w:r w:rsidR="00347672" w:rsidRPr="007971A1">
        <w:rPr>
          <w:rFonts w:asciiTheme="minorHAnsi" w:hAnsiTheme="minorHAnsi" w:cstheme="minorHAnsi"/>
        </w:rPr>
        <w:t xml:space="preserve">Table </w:t>
      </w:r>
      <w:r w:rsidR="00CC600A" w:rsidRPr="007971A1">
        <w:rPr>
          <w:rFonts w:asciiTheme="minorHAnsi" w:hAnsiTheme="minorHAnsi" w:cstheme="minorHAnsi"/>
        </w:rPr>
        <w:t>1A</w:t>
      </w:r>
      <w:r w:rsidR="00347672" w:rsidRPr="007971A1">
        <w:rPr>
          <w:rFonts w:asciiTheme="minorHAnsi" w:hAnsiTheme="minorHAnsi" w:cstheme="minorHAnsi"/>
        </w:rPr>
        <w:t>: Gender Parity Index and Gender Equality Index Scores</w:t>
      </w:r>
    </w:p>
    <w:p w14:paraId="08ADEA36" w14:textId="275A661D" w:rsidR="00A57E1C" w:rsidRPr="007971A1" w:rsidRDefault="002702C6" w:rsidP="00A57E1C">
      <w:pPr>
        <w:rPr>
          <w:rFonts w:asciiTheme="minorHAnsi" w:hAnsiTheme="minorHAnsi" w:cstheme="minorHAnsi"/>
        </w:rPr>
      </w:pPr>
      <w:r w:rsidRPr="007971A1">
        <w:rPr>
          <w:rFonts w:asciiTheme="minorHAnsi" w:hAnsiTheme="minorHAnsi" w:cstheme="minorHAnsi"/>
        </w:rPr>
        <w:t xml:space="preserve">Table </w:t>
      </w:r>
      <w:r w:rsidR="00CC600A" w:rsidRPr="007971A1">
        <w:rPr>
          <w:rFonts w:asciiTheme="minorHAnsi" w:hAnsiTheme="minorHAnsi" w:cstheme="minorHAnsi"/>
        </w:rPr>
        <w:t>2</w:t>
      </w:r>
      <w:r w:rsidRPr="007971A1">
        <w:rPr>
          <w:rFonts w:asciiTheme="minorHAnsi" w:hAnsiTheme="minorHAnsi" w:cstheme="minorHAnsi"/>
        </w:rPr>
        <w:t xml:space="preserve">: </w:t>
      </w:r>
      <w:r w:rsidR="00783007" w:rsidRPr="007971A1">
        <w:rPr>
          <w:rFonts w:asciiTheme="minorHAnsi" w:hAnsiTheme="minorHAnsi" w:cstheme="minorHAnsi"/>
        </w:rPr>
        <w:t xml:space="preserve">   </w:t>
      </w:r>
      <w:r w:rsidRPr="007971A1">
        <w:rPr>
          <w:rFonts w:asciiTheme="minorHAnsi" w:hAnsiTheme="minorHAnsi" w:cstheme="minorHAnsi"/>
        </w:rPr>
        <w:t>Socio-Economic Indicators Comparison</w:t>
      </w:r>
    </w:p>
    <w:p w14:paraId="7F74C542" w14:textId="2F04692A" w:rsidR="007B05FB" w:rsidRPr="007971A1" w:rsidRDefault="007B05FB" w:rsidP="00A57E1C">
      <w:pPr>
        <w:rPr>
          <w:rFonts w:asciiTheme="minorHAnsi" w:hAnsiTheme="minorHAnsi" w:cstheme="minorHAnsi"/>
        </w:rPr>
      </w:pPr>
      <w:r w:rsidRPr="007971A1">
        <w:rPr>
          <w:rFonts w:asciiTheme="minorHAnsi" w:hAnsiTheme="minorHAnsi" w:cstheme="minorHAnsi"/>
        </w:rPr>
        <w:t xml:space="preserve">Table </w:t>
      </w:r>
      <w:r w:rsidR="00CC600A" w:rsidRPr="007971A1">
        <w:rPr>
          <w:rFonts w:asciiTheme="minorHAnsi" w:hAnsiTheme="minorHAnsi" w:cstheme="minorHAnsi"/>
        </w:rPr>
        <w:t>3</w:t>
      </w:r>
      <w:r w:rsidRPr="007971A1">
        <w:rPr>
          <w:rFonts w:asciiTheme="minorHAnsi" w:hAnsiTheme="minorHAnsi" w:cstheme="minorHAnsi"/>
        </w:rPr>
        <w:t xml:space="preserve">: </w:t>
      </w:r>
      <w:r w:rsidR="00783007" w:rsidRPr="007971A1">
        <w:rPr>
          <w:rFonts w:asciiTheme="minorHAnsi" w:hAnsiTheme="minorHAnsi" w:cstheme="minorHAnsi"/>
        </w:rPr>
        <w:t xml:space="preserve">   </w:t>
      </w:r>
      <w:r w:rsidR="00CC600A" w:rsidRPr="007971A1">
        <w:rPr>
          <w:rFonts w:asciiTheme="minorHAnsi" w:hAnsiTheme="minorHAnsi" w:cstheme="minorHAnsi"/>
        </w:rPr>
        <w:t>Legal and Policy Framework Comparison</w:t>
      </w:r>
    </w:p>
    <w:p w14:paraId="2DDB4915" w14:textId="061ED712" w:rsidR="00CC600A" w:rsidRPr="007971A1" w:rsidRDefault="00CC600A" w:rsidP="00A57E1C">
      <w:pPr>
        <w:rPr>
          <w:rFonts w:asciiTheme="minorHAnsi" w:hAnsiTheme="minorHAnsi" w:cstheme="minorHAnsi"/>
        </w:rPr>
      </w:pPr>
      <w:r w:rsidRPr="007971A1">
        <w:rPr>
          <w:rFonts w:asciiTheme="minorHAnsi" w:hAnsiTheme="minorHAnsi" w:cstheme="minorHAnsi"/>
        </w:rPr>
        <w:t xml:space="preserve">Table 4: </w:t>
      </w:r>
      <w:r w:rsidR="00783007" w:rsidRPr="007971A1">
        <w:rPr>
          <w:rFonts w:asciiTheme="minorHAnsi" w:hAnsiTheme="minorHAnsi" w:cstheme="minorHAnsi"/>
        </w:rPr>
        <w:t xml:space="preserve">   </w:t>
      </w:r>
      <w:r w:rsidRPr="007971A1">
        <w:rPr>
          <w:rFonts w:asciiTheme="minorHAnsi" w:hAnsiTheme="minorHAnsi" w:cstheme="minorHAnsi"/>
        </w:rPr>
        <w:t>Water Sector Governance Structure Comparison</w:t>
      </w:r>
    </w:p>
    <w:p w14:paraId="5C785B34" w14:textId="33373996" w:rsidR="00A57E1C" w:rsidRPr="007971A1" w:rsidRDefault="00D46269" w:rsidP="00A57E1C">
      <w:pPr>
        <w:rPr>
          <w:rFonts w:asciiTheme="minorHAnsi" w:hAnsiTheme="minorHAnsi" w:cstheme="minorHAnsi"/>
        </w:rPr>
      </w:pPr>
      <w:r w:rsidRPr="007971A1">
        <w:rPr>
          <w:rFonts w:asciiTheme="minorHAnsi" w:hAnsiTheme="minorHAnsi" w:cstheme="minorHAnsi"/>
        </w:rPr>
        <w:t xml:space="preserve">Table 5: </w:t>
      </w:r>
      <w:r w:rsidR="00783007" w:rsidRPr="007971A1">
        <w:rPr>
          <w:rFonts w:asciiTheme="minorHAnsi" w:hAnsiTheme="minorHAnsi" w:cstheme="minorHAnsi"/>
        </w:rPr>
        <w:t xml:space="preserve">  </w:t>
      </w:r>
      <w:r w:rsidR="00C0282E" w:rsidRPr="007971A1">
        <w:rPr>
          <w:rFonts w:asciiTheme="minorHAnsi" w:hAnsiTheme="minorHAnsi" w:cstheme="minorHAnsi"/>
        </w:rPr>
        <w:t>Gender Disparities in Water Sector – Water as an Asset</w:t>
      </w:r>
    </w:p>
    <w:p w14:paraId="2BE15416" w14:textId="34E9954E" w:rsidR="00C0282E" w:rsidRPr="007971A1" w:rsidRDefault="00C0282E" w:rsidP="00A57E1C">
      <w:pPr>
        <w:rPr>
          <w:rFonts w:asciiTheme="minorHAnsi" w:hAnsiTheme="minorHAnsi" w:cstheme="minorHAnsi"/>
        </w:rPr>
      </w:pPr>
      <w:r w:rsidRPr="007971A1">
        <w:rPr>
          <w:rFonts w:asciiTheme="minorHAnsi" w:hAnsiTheme="minorHAnsi" w:cstheme="minorHAnsi"/>
        </w:rPr>
        <w:t>Table 6:</w:t>
      </w:r>
      <w:r w:rsidR="002715BD" w:rsidRPr="007971A1">
        <w:rPr>
          <w:rFonts w:asciiTheme="minorHAnsi" w:hAnsiTheme="minorHAnsi" w:cstheme="minorHAnsi"/>
        </w:rPr>
        <w:t xml:space="preserve"> </w:t>
      </w:r>
      <w:r w:rsidR="00783007" w:rsidRPr="007971A1">
        <w:rPr>
          <w:rFonts w:asciiTheme="minorHAnsi" w:hAnsiTheme="minorHAnsi" w:cstheme="minorHAnsi"/>
        </w:rPr>
        <w:t xml:space="preserve">  </w:t>
      </w:r>
      <w:r w:rsidR="002715BD" w:rsidRPr="007971A1">
        <w:rPr>
          <w:rFonts w:asciiTheme="minorHAnsi" w:hAnsiTheme="minorHAnsi" w:cstheme="minorHAnsi"/>
        </w:rPr>
        <w:t>Gender Disparities in Water Sector – Water as a Service</w:t>
      </w:r>
    </w:p>
    <w:p w14:paraId="2E90531C" w14:textId="512991D6" w:rsidR="002715BD" w:rsidRPr="007971A1" w:rsidRDefault="002A66D7" w:rsidP="00A57E1C">
      <w:pPr>
        <w:rPr>
          <w:rFonts w:asciiTheme="minorHAnsi" w:hAnsiTheme="minorHAnsi" w:cstheme="minorHAnsi"/>
        </w:rPr>
      </w:pPr>
      <w:r w:rsidRPr="007971A1">
        <w:rPr>
          <w:rFonts w:asciiTheme="minorHAnsi" w:hAnsiTheme="minorHAnsi" w:cstheme="minorHAnsi"/>
        </w:rPr>
        <w:t xml:space="preserve">Table 7: </w:t>
      </w:r>
      <w:r w:rsidR="00783007" w:rsidRPr="007971A1">
        <w:rPr>
          <w:rFonts w:asciiTheme="minorHAnsi" w:hAnsiTheme="minorHAnsi" w:cstheme="minorHAnsi"/>
        </w:rPr>
        <w:t xml:space="preserve"> </w:t>
      </w:r>
      <w:r w:rsidR="002A7E47" w:rsidRPr="007971A1">
        <w:rPr>
          <w:rFonts w:asciiTheme="minorHAnsi" w:hAnsiTheme="minorHAnsi" w:cstheme="minorHAnsi"/>
        </w:rPr>
        <w:t xml:space="preserve"> </w:t>
      </w:r>
      <w:r w:rsidR="00783007" w:rsidRPr="007971A1">
        <w:rPr>
          <w:rFonts w:asciiTheme="minorHAnsi" w:hAnsiTheme="minorHAnsi" w:cstheme="minorHAnsi"/>
        </w:rPr>
        <w:t xml:space="preserve"> </w:t>
      </w:r>
      <w:r w:rsidR="00955AC5" w:rsidRPr="007971A1">
        <w:rPr>
          <w:rFonts w:asciiTheme="minorHAnsi" w:hAnsiTheme="minorHAnsi" w:cstheme="minorHAnsi"/>
        </w:rPr>
        <w:t>Gender Disparities in Water Sector – Water as a Space</w:t>
      </w:r>
    </w:p>
    <w:p w14:paraId="6CCAAC57" w14:textId="5EDCA16C" w:rsidR="00955AC5" w:rsidRPr="007971A1" w:rsidRDefault="00955AC5" w:rsidP="00A57E1C">
      <w:pPr>
        <w:rPr>
          <w:rFonts w:asciiTheme="minorHAnsi" w:hAnsiTheme="minorHAnsi" w:cstheme="minorHAnsi"/>
        </w:rPr>
      </w:pPr>
      <w:r w:rsidRPr="007971A1">
        <w:rPr>
          <w:rFonts w:asciiTheme="minorHAnsi" w:hAnsiTheme="minorHAnsi" w:cstheme="minorHAnsi"/>
        </w:rPr>
        <w:t xml:space="preserve">Table 8: </w:t>
      </w:r>
      <w:r w:rsidR="00783007" w:rsidRPr="007971A1">
        <w:rPr>
          <w:rFonts w:asciiTheme="minorHAnsi" w:hAnsiTheme="minorHAnsi" w:cstheme="minorHAnsi"/>
        </w:rPr>
        <w:t xml:space="preserve"> </w:t>
      </w:r>
      <w:r w:rsidR="002A7E47" w:rsidRPr="007971A1">
        <w:rPr>
          <w:rFonts w:asciiTheme="minorHAnsi" w:hAnsiTheme="minorHAnsi" w:cstheme="minorHAnsi"/>
        </w:rPr>
        <w:t xml:space="preserve"> </w:t>
      </w:r>
      <w:r w:rsidR="00783007" w:rsidRPr="007971A1">
        <w:rPr>
          <w:rFonts w:asciiTheme="minorHAnsi" w:hAnsiTheme="minorHAnsi" w:cstheme="minorHAnsi"/>
        </w:rPr>
        <w:t xml:space="preserve"> </w:t>
      </w:r>
      <w:r w:rsidR="00496C2A" w:rsidRPr="007971A1">
        <w:rPr>
          <w:rFonts w:asciiTheme="minorHAnsi" w:hAnsiTheme="minorHAnsi" w:cstheme="minorHAnsi"/>
        </w:rPr>
        <w:t>Key Gender Gaps and Challenges by Country</w:t>
      </w:r>
    </w:p>
    <w:p w14:paraId="36C4DB1A" w14:textId="4EEB1FC3" w:rsidR="00496C2A" w:rsidRPr="007971A1" w:rsidRDefault="00496C2A" w:rsidP="00A57E1C">
      <w:pPr>
        <w:rPr>
          <w:rFonts w:asciiTheme="minorHAnsi" w:hAnsiTheme="minorHAnsi" w:cstheme="minorHAnsi"/>
        </w:rPr>
      </w:pPr>
      <w:r w:rsidRPr="007971A1">
        <w:rPr>
          <w:rFonts w:asciiTheme="minorHAnsi" w:hAnsiTheme="minorHAnsi" w:cstheme="minorHAnsi"/>
        </w:rPr>
        <w:t xml:space="preserve">Table </w:t>
      </w:r>
      <w:r w:rsidR="00783007" w:rsidRPr="007971A1">
        <w:rPr>
          <w:rFonts w:asciiTheme="minorHAnsi" w:hAnsiTheme="minorHAnsi" w:cstheme="minorHAnsi"/>
        </w:rPr>
        <w:t>8A</w:t>
      </w:r>
      <w:r w:rsidRPr="007971A1">
        <w:rPr>
          <w:rFonts w:asciiTheme="minorHAnsi" w:hAnsiTheme="minorHAnsi" w:cstheme="minorHAnsi"/>
        </w:rPr>
        <w:t xml:space="preserve">: </w:t>
      </w:r>
      <w:r w:rsidR="00783007" w:rsidRPr="007971A1">
        <w:rPr>
          <w:rFonts w:asciiTheme="minorHAnsi" w:hAnsiTheme="minorHAnsi" w:cstheme="minorHAnsi"/>
        </w:rPr>
        <w:t>GBV Indicators and Climate Vulnerability Indicators: Comparative Cross-Reference</w:t>
      </w:r>
    </w:p>
    <w:p w14:paraId="26AC63E7" w14:textId="07AEFAEA" w:rsidR="00783007" w:rsidRPr="007971A1" w:rsidRDefault="00783007" w:rsidP="00A57E1C">
      <w:pPr>
        <w:rPr>
          <w:rFonts w:asciiTheme="minorHAnsi" w:hAnsiTheme="minorHAnsi" w:cstheme="minorHAnsi"/>
        </w:rPr>
      </w:pPr>
      <w:r w:rsidRPr="007971A1">
        <w:rPr>
          <w:rFonts w:asciiTheme="minorHAnsi" w:hAnsiTheme="minorHAnsi" w:cstheme="minorHAnsi"/>
        </w:rPr>
        <w:t xml:space="preserve">Table 9: </w:t>
      </w:r>
      <w:r w:rsidR="002A7E47" w:rsidRPr="007971A1">
        <w:rPr>
          <w:rFonts w:asciiTheme="minorHAnsi" w:hAnsiTheme="minorHAnsi" w:cstheme="minorHAnsi"/>
        </w:rPr>
        <w:t xml:space="preserve">  Regional Strategic Recommendations Matrix</w:t>
      </w:r>
    </w:p>
    <w:p w14:paraId="5C7A6DA8" w14:textId="1AFC4F3B" w:rsidR="00A57E1C" w:rsidRPr="007971A1" w:rsidRDefault="00A57E1C" w:rsidP="00A57E1C">
      <w:pPr>
        <w:rPr>
          <w:sz w:val="18"/>
          <w:szCs w:val="18"/>
        </w:rPr>
      </w:pPr>
      <w:r w:rsidRPr="007971A1">
        <w:rPr>
          <w:sz w:val="18"/>
          <w:szCs w:val="18"/>
        </w:rPr>
        <w:t xml:space="preserve"> </w:t>
      </w:r>
    </w:p>
    <w:p w14:paraId="12DB6C0D" w14:textId="6ED4952C" w:rsidR="00CD2B5F" w:rsidRPr="007971A1" w:rsidRDefault="00CD2B5F" w:rsidP="00CC4DEC">
      <w:pPr>
        <w:pStyle w:val="SADRAJ1"/>
        <w:spacing w:after="0"/>
        <w:rPr>
          <w:rFonts w:eastAsiaTheme="minorEastAsia"/>
          <w:kern w:val="2"/>
          <w:sz w:val="20"/>
          <w:szCs w:val="20"/>
          <w14:ligatures w14:val="standardContextual"/>
        </w:rPr>
      </w:pPr>
      <w:r w:rsidRPr="007971A1">
        <w:rPr>
          <w:rStyle w:val="Hiperveza"/>
          <w:color w:val="000000" w:themeColor="text1"/>
          <w:sz w:val="20"/>
          <w:szCs w:val="20"/>
          <w:u w:val="none"/>
        </w:rPr>
        <w:t xml:space="preserve">List of </w:t>
      </w:r>
      <w:hyperlink w:anchor="_Toc224127238" w:history="1">
        <w:r w:rsidRPr="007971A1">
          <w:rPr>
            <w:rStyle w:val="Hiperveza"/>
            <w:color w:val="000000" w:themeColor="text1"/>
            <w:sz w:val="20"/>
            <w:szCs w:val="20"/>
            <w:u w:val="none"/>
          </w:rPr>
          <w:t>Annexes</w:t>
        </w:r>
        <w:r w:rsidRPr="007971A1">
          <w:rPr>
            <w:webHidden/>
            <w:sz w:val="20"/>
            <w:szCs w:val="20"/>
          </w:rPr>
          <w:tab/>
        </w:r>
        <w:r w:rsidRPr="007971A1">
          <w:rPr>
            <w:webHidden/>
            <w:sz w:val="20"/>
            <w:szCs w:val="20"/>
          </w:rPr>
          <w:fldChar w:fldCharType="begin"/>
        </w:r>
        <w:r w:rsidRPr="007971A1">
          <w:rPr>
            <w:webHidden/>
            <w:sz w:val="20"/>
            <w:szCs w:val="20"/>
          </w:rPr>
          <w:instrText xml:space="preserve"> PAGEREF _Toc224127238 \h </w:instrText>
        </w:r>
        <w:r w:rsidRPr="007971A1">
          <w:rPr>
            <w:webHidden/>
            <w:sz w:val="20"/>
            <w:szCs w:val="20"/>
          </w:rPr>
        </w:r>
        <w:r w:rsidRPr="007971A1">
          <w:rPr>
            <w:webHidden/>
            <w:sz w:val="20"/>
            <w:szCs w:val="20"/>
          </w:rPr>
          <w:fldChar w:fldCharType="separate"/>
        </w:r>
        <w:r w:rsidRPr="007971A1">
          <w:rPr>
            <w:webHidden/>
            <w:sz w:val="20"/>
            <w:szCs w:val="20"/>
          </w:rPr>
          <w:t>46</w:t>
        </w:r>
        <w:r w:rsidRPr="007971A1">
          <w:rPr>
            <w:webHidden/>
            <w:sz w:val="20"/>
            <w:szCs w:val="20"/>
          </w:rPr>
          <w:fldChar w:fldCharType="end"/>
        </w:r>
      </w:hyperlink>
    </w:p>
    <w:p w14:paraId="06CCDD8F" w14:textId="77777777" w:rsidR="00CD2B5F" w:rsidRPr="007971A1" w:rsidRDefault="00CD2B5F" w:rsidP="00CC4DEC">
      <w:pPr>
        <w:pStyle w:val="SADRAJ2"/>
        <w:tabs>
          <w:tab w:val="right" w:leader="dot" w:pos="9350"/>
        </w:tabs>
        <w:spacing w:after="0"/>
        <w:rPr>
          <w:rFonts w:asciiTheme="minorHAnsi" w:eastAsiaTheme="minorEastAsia" w:hAnsiTheme="minorHAnsi" w:cstheme="minorHAnsi"/>
          <w:noProof/>
          <w:color w:val="000000" w:themeColor="text1"/>
          <w:kern w:val="2"/>
          <w14:ligatures w14:val="standardContextual"/>
        </w:rPr>
      </w:pPr>
      <w:hyperlink w:anchor="_Toc224127239" w:history="1">
        <w:r w:rsidRPr="007971A1">
          <w:rPr>
            <w:rStyle w:val="Hiperveza"/>
            <w:rFonts w:asciiTheme="minorHAnsi" w:hAnsiTheme="minorHAnsi" w:cstheme="minorHAnsi"/>
            <w:noProof/>
            <w:color w:val="000000" w:themeColor="text1"/>
            <w:u w:val="none"/>
          </w:rPr>
          <w:t>Annex A: Country Profile Summaries</w:t>
        </w:r>
        <w:r w:rsidRPr="007971A1">
          <w:rPr>
            <w:rFonts w:asciiTheme="minorHAnsi" w:hAnsiTheme="minorHAnsi" w:cstheme="minorHAnsi"/>
            <w:noProof/>
            <w:webHidden/>
            <w:color w:val="000000" w:themeColor="text1"/>
          </w:rPr>
          <w:tab/>
        </w:r>
        <w:r w:rsidRPr="007971A1">
          <w:rPr>
            <w:rFonts w:asciiTheme="minorHAnsi" w:hAnsiTheme="minorHAnsi" w:cstheme="minorHAnsi"/>
            <w:noProof/>
            <w:webHidden/>
            <w:color w:val="000000" w:themeColor="text1"/>
          </w:rPr>
          <w:fldChar w:fldCharType="begin"/>
        </w:r>
        <w:r w:rsidRPr="007971A1">
          <w:rPr>
            <w:rFonts w:asciiTheme="minorHAnsi" w:hAnsiTheme="minorHAnsi" w:cstheme="minorHAnsi"/>
            <w:noProof/>
            <w:webHidden/>
            <w:color w:val="000000" w:themeColor="text1"/>
          </w:rPr>
          <w:instrText xml:space="preserve"> PAGEREF _Toc224127239 \h </w:instrText>
        </w:r>
        <w:r w:rsidRPr="007971A1">
          <w:rPr>
            <w:rFonts w:asciiTheme="minorHAnsi" w:hAnsiTheme="minorHAnsi" w:cstheme="minorHAnsi"/>
            <w:noProof/>
            <w:webHidden/>
            <w:color w:val="000000" w:themeColor="text1"/>
          </w:rPr>
        </w:r>
        <w:r w:rsidRPr="007971A1">
          <w:rPr>
            <w:rFonts w:asciiTheme="minorHAnsi" w:hAnsiTheme="minorHAnsi" w:cstheme="minorHAnsi"/>
            <w:noProof/>
            <w:webHidden/>
            <w:color w:val="000000" w:themeColor="text1"/>
          </w:rPr>
          <w:fldChar w:fldCharType="separate"/>
        </w:r>
        <w:r w:rsidRPr="007971A1">
          <w:rPr>
            <w:rFonts w:asciiTheme="minorHAnsi" w:hAnsiTheme="minorHAnsi" w:cstheme="minorHAnsi"/>
            <w:noProof/>
            <w:webHidden/>
            <w:color w:val="000000" w:themeColor="text1"/>
          </w:rPr>
          <w:t>46</w:t>
        </w:r>
        <w:r w:rsidRPr="007971A1">
          <w:rPr>
            <w:rFonts w:asciiTheme="minorHAnsi" w:hAnsiTheme="minorHAnsi" w:cstheme="minorHAnsi"/>
            <w:noProof/>
            <w:webHidden/>
            <w:color w:val="000000" w:themeColor="text1"/>
          </w:rPr>
          <w:fldChar w:fldCharType="end"/>
        </w:r>
      </w:hyperlink>
    </w:p>
    <w:p w14:paraId="7C5C5837" w14:textId="77777777" w:rsidR="00CD2B5F" w:rsidRPr="007971A1" w:rsidRDefault="00CD2B5F" w:rsidP="00CC4DEC">
      <w:pPr>
        <w:pStyle w:val="SADRAJ3"/>
        <w:tabs>
          <w:tab w:val="right" w:leader="dot" w:pos="9350"/>
        </w:tabs>
        <w:spacing w:after="0"/>
        <w:rPr>
          <w:rFonts w:asciiTheme="minorHAnsi" w:eastAsiaTheme="minorEastAsia" w:hAnsiTheme="minorHAnsi" w:cstheme="minorHAnsi"/>
          <w:noProof/>
          <w:color w:val="000000" w:themeColor="text1"/>
          <w:kern w:val="2"/>
          <w14:ligatures w14:val="standardContextual"/>
        </w:rPr>
      </w:pPr>
      <w:hyperlink w:anchor="_Toc224127240" w:history="1">
        <w:r w:rsidRPr="007971A1">
          <w:rPr>
            <w:rStyle w:val="Hiperveza"/>
            <w:rFonts w:asciiTheme="minorHAnsi" w:hAnsiTheme="minorHAnsi" w:cstheme="minorHAnsi"/>
            <w:noProof/>
            <w:color w:val="000000" w:themeColor="text1"/>
            <w:u w:val="none"/>
          </w:rPr>
          <w:t>A.1 Albania Country Profile</w:t>
        </w:r>
        <w:r w:rsidRPr="007971A1">
          <w:rPr>
            <w:rFonts w:asciiTheme="minorHAnsi" w:hAnsiTheme="minorHAnsi" w:cstheme="minorHAnsi"/>
            <w:noProof/>
            <w:webHidden/>
            <w:color w:val="000000" w:themeColor="text1"/>
          </w:rPr>
          <w:tab/>
        </w:r>
        <w:r w:rsidRPr="007971A1">
          <w:rPr>
            <w:rFonts w:asciiTheme="minorHAnsi" w:hAnsiTheme="minorHAnsi" w:cstheme="minorHAnsi"/>
            <w:noProof/>
            <w:webHidden/>
            <w:color w:val="000000" w:themeColor="text1"/>
          </w:rPr>
          <w:fldChar w:fldCharType="begin"/>
        </w:r>
        <w:r w:rsidRPr="007971A1">
          <w:rPr>
            <w:rFonts w:asciiTheme="minorHAnsi" w:hAnsiTheme="minorHAnsi" w:cstheme="minorHAnsi"/>
            <w:noProof/>
            <w:webHidden/>
            <w:color w:val="000000" w:themeColor="text1"/>
          </w:rPr>
          <w:instrText xml:space="preserve"> PAGEREF _Toc224127240 \h </w:instrText>
        </w:r>
        <w:r w:rsidRPr="007971A1">
          <w:rPr>
            <w:rFonts w:asciiTheme="minorHAnsi" w:hAnsiTheme="minorHAnsi" w:cstheme="minorHAnsi"/>
            <w:noProof/>
            <w:webHidden/>
            <w:color w:val="000000" w:themeColor="text1"/>
          </w:rPr>
        </w:r>
        <w:r w:rsidRPr="007971A1">
          <w:rPr>
            <w:rFonts w:asciiTheme="minorHAnsi" w:hAnsiTheme="minorHAnsi" w:cstheme="minorHAnsi"/>
            <w:noProof/>
            <w:webHidden/>
            <w:color w:val="000000" w:themeColor="text1"/>
          </w:rPr>
          <w:fldChar w:fldCharType="separate"/>
        </w:r>
        <w:r w:rsidRPr="007971A1">
          <w:rPr>
            <w:rFonts w:asciiTheme="minorHAnsi" w:hAnsiTheme="minorHAnsi" w:cstheme="minorHAnsi"/>
            <w:noProof/>
            <w:webHidden/>
            <w:color w:val="000000" w:themeColor="text1"/>
          </w:rPr>
          <w:t>46</w:t>
        </w:r>
        <w:r w:rsidRPr="007971A1">
          <w:rPr>
            <w:rFonts w:asciiTheme="minorHAnsi" w:hAnsiTheme="minorHAnsi" w:cstheme="minorHAnsi"/>
            <w:noProof/>
            <w:webHidden/>
            <w:color w:val="000000" w:themeColor="text1"/>
          </w:rPr>
          <w:fldChar w:fldCharType="end"/>
        </w:r>
      </w:hyperlink>
    </w:p>
    <w:p w14:paraId="7DB128B1" w14:textId="77777777" w:rsidR="00CD2B5F" w:rsidRPr="007971A1" w:rsidRDefault="00CD2B5F" w:rsidP="00CC4DEC">
      <w:pPr>
        <w:pStyle w:val="SADRAJ3"/>
        <w:tabs>
          <w:tab w:val="right" w:leader="dot" w:pos="9350"/>
        </w:tabs>
        <w:spacing w:after="0"/>
        <w:rPr>
          <w:rFonts w:asciiTheme="minorHAnsi" w:eastAsiaTheme="minorEastAsia" w:hAnsiTheme="minorHAnsi" w:cstheme="minorHAnsi"/>
          <w:noProof/>
          <w:color w:val="000000" w:themeColor="text1"/>
          <w:kern w:val="2"/>
          <w14:ligatures w14:val="standardContextual"/>
        </w:rPr>
      </w:pPr>
      <w:hyperlink w:anchor="_Toc224127241" w:history="1">
        <w:r w:rsidRPr="007971A1">
          <w:rPr>
            <w:rStyle w:val="Hiperveza"/>
            <w:rFonts w:asciiTheme="minorHAnsi" w:hAnsiTheme="minorHAnsi" w:cstheme="minorHAnsi"/>
            <w:noProof/>
            <w:color w:val="000000" w:themeColor="text1"/>
            <w:u w:val="none"/>
          </w:rPr>
          <w:t>A.2 Bosnia and Herzegovina Country Profile</w:t>
        </w:r>
        <w:r w:rsidRPr="007971A1">
          <w:rPr>
            <w:rFonts w:asciiTheme="minorHAnsi" w:hAnsiTheme="minorHAnsi" w:cstheme="minorHAnsi"/>
            <w:noProof/>
            <w:webHidden/>
            <w:color w:val="000000" w:themeColor="text1"/>
          </w:rPr>
          <w:tab/>
        </w:r>
        <w:r w:rsidRPr="007971A1">
          <w:rPr>
            <w:rFonts w:asciiTheme="minorHAnsi" w:hAnsiTheme="minorHAnsi" w:cstheme="minorHAnsi"/>
            <w:noProof/>
            <w:webHidden/>
            <w:color w:val="000000" w:themeColor="text1"/>
          </w:rPr>
          <w:fldChar w:fldCharType="begin"/>
        </w:r>
        <w:r w:rsidRPr="007971A1">
          <w:rPr>
            <w:rFonts w:asciiTheme="minorHAnsi" w:hAnsiTheme="minorHAnsi" w:cstheme="minorHAnsi"/>
            <w:noProof/>
            <w:webHidden/>
            <w:color w:val="000000" w:themeColor="text1"/>
          </w:rPr>
          <w:instrText xml:space="preserve"> PAGEREF _Toc224127241 \h </w:instrText>
        </w:r>
        <w:r w:rsidRPr="007971A1">
          <w:rPr>
            <w:rFonts w:asciiTheme="minorHAnsi" w:hAnsiTheme="minorHAnsi" w:cstheme="minorHAnsi"/>
            <w:noProof/>
            <w:webHidden/>
            <w:color w:val="000000" w:themeColor="text1"/>
          </w:rPr>
        </w:r>
        <w:r w:rsidRPr="007971A1">
          <w:rPr>
            <w:rFonts w:asciiTheme="minorHAnsi" w:hAnsiTheme="minorHAnsi" w:cstheme="minorHAnsi"/>
            <w:noProof/>
            <w:webHidden/>
            <w:color w:val="000000" w:themeColor="text1"/>
          </w:rPr>
          <w:fldChar w:fldCharType="separate"/>
        </w:r>
        <w:r w:rsidRPr="007971A1">
          <w:rPr>
            <w:rFonts w:asciiTheme="minorHAnsi" w:hAnsiTheme="minorHAnsi" w:cstheme="minorHAnsi"/>
            <w:noProof/>
            <w:webHidden/>
            <w:color w:val="000000" w:themeColor="text1"/>
          </w:rPr>
          <w:t>46</w:t>
        </w:r>
        <w:r w:rsidRPr="007971A1">
          <w:rPr>
            <w:rFonts w:asciiTheme="minorHAnsi" w:hAnsiTheme="minorHAnsi" w:cstheme="minorHAnsi"/>
            <w:noProof/>
            <w:webHidden/>
            <w:color w:val="000000" w:themeColor="text1"/>
          </w:rPr>
          <w:fldChar w:fldCharType="end"/>
        </w:r>
      </w:hyperlink>
    </w:p>
    <w:p w14:paraId="1073121A" w14:textId="77777777" w:rsidR="00CD2B5F" w:rsidRPr="007971A1" w:rsidRDefault="00CD2B5F" w:rsidP="00CC4DEC">
      <w:pPr>
        <w:pStyle w:val="SADRAJ3"/>
        <w:tabs>
          <w:tab w:val="right" w:leader="dot" w:pos="9350"/>
        </w:tabs>
        <w:spacing w:after="0"/>
        <w:rPr>
          <w:rFonts w:asciiTheme="minorHAnsi" w:eastAsiaTheme="minorEastAsia" w:hAnsiTheme="minorHAnsi" w:cstheme="minorHAnsi"/>
          <w:noProof/>
          <w:color w:val="000000" w:themeColor="text1"/>
          <w:kern w:val="2"/>
          <w14:ligatures w14:val="standardContextual"/>
        </w:rPr>
      </w:pPr>
      <w:hyperlink w:anchor="_Toc224127242" w:history="1">
        <w:r w:rsidRPr="007971A1">
          <w:rPr>
            <w:rStyle w:val="Hiperveza"/>
            <w:rFonts w:asciiTheme="minorHAnsi" w:hAnsiTheme="minorHAnsi" w:cstheme="minorHAnsi"/>
            <w:noProof/>
            <w:color w:val="000000" w:themeColor="text1"/>
            <w:u w:val="none"/>
          </w:rPr>
          <w:t>A.3 Croatia Country Profile</w:t>
        </w:r>
        <w:r w:rsidRPr="007971A1">
          <w:rPr>
            <w:rFonts w:asciiTheme="minorHAnsi" w:hAnsiTheme="minorHAnsi" w:cstheme="minorHAnsi"/>
            <w:noProof/>
            <w:webHidden/>
            <w:color w:val="000000" w:themeColor="text1"/>
          </w:rPr>
          <w:tab/>
        </w:r>
        <w:r w:rsidRPr="007971A1">
          <w:rPr>
            <w:rFonts w:asciiTheme="minorHAnsi" w:hAnsiTheme="minorHAnsi" w:cstheme="minorHAnsi"/>
            <w:noProof/>
            <w:webHidden/>
            <w:color w:val="000000" w:themeColor="text1"/>
          </w:rPr>
          <w:fldChar w:fldCharType="begin"/>
        </w:r>
        <w:r w:rsidRPr="007971A1">
          <w:rPr>
            <w:rFonts w:asciiTheme="minorHAnsi" w:hAnsiTheme="minorHAnsi" w:cstheme="minorHAnsi"/>
            <w:noProof/>
            <w:webHidden/>
            <w:color w:val="000000" w:themeColor="text1"/>
          </w:rPr>
          <w:instrText xml:space="preserve"> PAGEREF _Toc224127242 \h </w:instrText>
        </w:r>
        <w:r w:rsidRPr="007971A1">
          <w:rPr>
            <w:rFonts w:asciiTheme="minorHAnsi" w:hAnsiTheme="minorHAnsi" w:cstheme="minorHAnsi"/>
            <w:noProof/>
            <w:webHidden/>
            <w:color w:val="000000" w:themeColor="text1"/>
          </w:rPr>
        </w:r>
        <w:r w:rsidRPr="007971A1">
          <w:rPr>
            <w:rFonts w:asciiTheme="minorHAnsi" w:hAnsiTheme="minorHAnsi" w:cstheme="minorHAnsi"/>
            <w:noProof/>
            <w:webHidden/>
            <w:color w:val="000000" w:themeColor="text1"/>
          </w:rPr>
          <w:fldChar w:fldCharType="separate"/>
        </w:r>
        <w:r w:rsidRPr="007971A1">
          <w:rPr>
            <w:rFonts w:asciiTheme="minorHAnsi" w:hAnsiTheme="minorHAnsi" w:cstheme="minorHAnsi"/>
            <w:noProof/>
            <w:webHidden/>
            <w:color w:val="000000" w:themeColor="text1"/>
          </w:rPr>
          <w:t>46</w:t>
        </w:r>
        <w:r w:rsidRPr="007971A1">
          <w:rPr>
            <w:rFonts w:asciiTheme="minorHAnsi" w:hAnsiTheme="minorHAnsi" w:cstheme="minorHAnsi"/>
            <w:noProof/>
            <w:webHidden/>
            <w:color w:val="000000" w:themeColor="text1"/>
          </w:rPr>
          <w:fldChar w:fldCharType="end"/>
        </w:r>
      </w:hyperlink>
    </w:p>
    <w:p w14:paraId="298A3667" w14:textId="77777777" w:rsidR="00CD2B5F" w:rsidRPr="007971A1" w:rsidRDefault="00CD2B5F" w:rsidP="00CC4DEC">
      <w:pPr>
        <w:pStyle w:val="SADRAJ3"/>
        <w:tabs>
          <w:tab w:val="right" w:leader="dot" w:pos="9350"/>
        </w:tabs>
        <w:spacing w:after="0"/>
        <w:rPr>
          <w:rFonts w:asciiTheme="minorHAnsi" w:eastAsiaTheme="minorEastAsia" w:hAnsiTheme="minorHAnsi" w:cstheme="minorHAnsi"/>
          <w:noProof/>
          <w:color w:val="000000" w:themeColor="text1"/>
          <w:kern w:val="2"/>
          <w14:ligatures w14:val="standardContextual"/>
        </w:rPr>
      </w:pPr>
      <w:hyperlink w:anchor="_Toc224127243" w:history="1">
        <w:r w:rsidRPr="007971A1">
          <w:rPr>
            <w:rStyle w:val="Hiperveza"/>
            <w:rFonts w:asciiTheme="minorHAnsi" w:hAnsiTheme="minorHAnsi" w:cstheme="minorHAnsi"/>
            <w:noProof/>
            <w:color w:val="000000" w:themeColor="text1"/>
            <w:u w:val="none"/>
          </w:rPr>
          <w:t>A.4 Montenegro Country Profile</w:t>
        </w:r>
        <w:r w:rsidRPr="007971A1">
          <w:rPr>
            <w:rFonts w:asciiTheme="minorHAnsi" w:hAnsiTheme="minorHAnsi" w:cstheme="minorHAnsi"/>
            <w:noProof/>
            <w:webHidden/>
            <w:color w:val="000000" w:themeColor="text1"/>
          </w:rPr>
          <w:tab/>
        </w:r>
        <w:r w:rsidRPr="007971A1">
          <w:rPr>
            <w:rFonts w:asciiTheme="minorHAnsi" w:hAnsiTheme="minorHAnsi" w:cstheme="minorHAnsi"/>
            <w:noProof/>
            <w:webHidden/>
            <w:color w:val="000000" w:themeColor="text1"/>
          </w:rPr>
          <w:fldChar w:fldCharType="begin"/>
        </w:r>
        <w:r w:rsidRPr="007971A1">
          <w:rPr>
            <w:rFonts w:asciiTheme="minorHAnsi" w:hAnsiTheme="minorHAnsi" w:cstheme="minorHAnsi"/>
            <w:noProof/>
            <w:webHidden/>
            <w:color w:val="000000" w:themeColor="text1"/>
          </w:rPr>
          <w:instrText xml:space="preserve"> PAGEREF _Toc224127243 \h </w:instrText>
        </w:r>
        <w:r w:rsidRPr="007971A1">
          <w:rPr>
            <w:rFonts w:asciiTheme="minorHAnsi" w:hAnsiTheme="minorHAnsi" w:cstheme="minorHAnsi"/>
            <w:noProof/>
            <w:webHidden/>
            <w:color w:val="000000" w:themeColor="text1"/>
          </w:rPr>
        </w:r>
        <w:r w:rsidRPr="007971A1">
          <w:rPr>
            <w:rFonts w:asciiTheme="minorHAnsi" w:hAnsiTheme="minorHAnsi" w:cstheme="minorHAnsi"/>
            <w:noProof/>
            <w:webHidden/>
            <w:color w:val="000000" w:themeColor="text1"/>
          </w:rPr>
          <w:fldChar w:fldCharType="separate"/>
        </w:r>
        <w:r w:rsidRPr="007971A1">
          <w:rPr>
            <w:rFonts w:asciiTheme="minorHAnsi" w:hAnsiTheme="minorHAnsi" w:cstheme="minorHAnsi"/>
            <w:noProof/>
            <w:webHidden/>
            <w:color w:val="000000" w:themeColor="text1"/>
          </w:rPr>
          <w:t>47</w:t>
        </w:r>
        <w:r w:rsidRPr="007971A1">
          <w:rPr>
            <w:rFonts w:asciiTheme="minorHAnsi" w:hAnsiTheme="minorHAnsi" w:cstheme="minorHAnsi"/>
            <w:noProof/>
            <w:webHidden/>
            <w:color w:val="000000" w:themeColor="text1"/>
          </w:rPr>
          <w:fldChar w:fldCharType="end"/>
        </w:r>
      </w:hyperlink>
    </w:p>
    <w:p w14:paraId="3655E7C8" w14:textId="77777777" w:rsidR="00CD2B5F" w:rsidRPr="007971A1" w:rsidRDefault="00CD2B5F" w:rsidP="00CC4DEC">
      <w:pPr>
        <w:pStyle w:val="SADRAJ2"/>
        <w:tabs>
          <w:tab w:val="right" w:leader="dot" w:pos="9350"/>
        </w:tabs>
        <w:spacing w:after="0"/>
        <w:rPr>
          <w:rFonts w:asciiTheme="minorHAnsi" w:eastAsiaTheme="minorEastAsia" w:hAnsiTheme="minorHAnsi" w:cstheme="minorHAnsi"/>
          <w:noProof/>
          <w:color w:val="000000" w:themeColor="text1"/>
          <w:kern w:val="2"/>
          <w14:ligatures w14:val="standardContextual"/>
        </w:rPr>
      </w:pPr>
      <w:hyperlink w:anchor="_Toc224127244" w:history="1">
        <w:r w:rsidRPr="007971A1">
          <w:rPr>
            <w:rStyle w:val="Hiperveza"/>
            <w:rFonts w:asciiTheme="minorHAnsi" w:hAnsiTheme="minorHAnsi" w:cstheme="minorHAnsi"/>
            <w:noProof/>
            <w:color w:val="000000" w:themeColor="text1"/>
            <w:u w:val="none"/>
          </w:rPr>
          <w:t>Annex B: Stakeholder Mapping</w:t>
        </w:r>
        <w:r w:rsidRPr="007971A1">
          <w:rPr>
            <w:rFonts w:asciiTheme="minorHAnsi" w:hAnsiTheme="minorHAnsi" w:cstheme="minorHAnsi"/>
            <w:noProof/>
            <w:webHidden/>
            <w:color w:val="000000" w:themeColor="text1"/>
          </w:rPr>
          <w:tab/>
        </w:r>
        <w:r w:rsidRPr="007971A1">
          <w:rPr>
            <w:rFonts w:asciiTheme="minorHAnsi" w:hAnsiTheme="minorHAnsi" w:cstheme="minorHAnsi"/>
            <w:noProof/>
            <w:webHidden/>
            <w:color w:val="000000" w:themeColor="text1"/>
          </w:rPr>
          <w:fldChar w:fldCharType="begin"/>
        </w:r>
        <w:r w:rsidRPr="007971A1">
          <w:rPr>
            <w:rFonts w:asciiTheme="minorHAnsi" w:hAnsiTheme="minorHAnsi" w:cstheme="minorHAnsi"/>
            <w:noProof/>
            <w:webHidden/>
            <w:color w:val="000000" w:themeColor="text1"/>
          </w:rPr>
          <w:instrText xml:space="preserve"> PAGEREF _Toc224127244 \h </w:instrText>
        </w:r>
        <w:r w:rsidRPr="007971A1">
          <w:rPr>
            <w:rFonts w:asciiTheme="minorHAnsi" w:hAnsiTheme="minorHAnsi" w:cstheme="minorHAnsi"/>
            <w:noProof/>
            <w:webHidden/>
            <w:color w:val="000000" w:themeColor="text1"/>
          </w:rPr>
        </w:r>
        <w:r w:rsidRPr="007971A1">
          <w:rPr>
            <w:rFonts w:asciiTheme="minorHAnsi" w:hAnsiTheme="minorHAnsi" w:cstheme="minorHAnsi"/>
            <w:noProof/>
            <w:webHidden/>
            <w:color w:val="000000" w:themeColor="text1"/>
          </w:rPr>
          <w:fldChar w:fldCharType="separate"/>
        </w:r>
        <w:r w:rsidRPr="007971A1">
          <w:rPr>
            <w:rFonts w:asciiTheme="minorHAnsi" w:hAnsiTheme="minorHAnsi" w:cstheme="minorHAnsi"/>
            <w:noProof/>
            <w:webHidden/>
            <w:color w:val="000000" w:themeColor="text1"/>
          </w:rPr>
          <w:t>47</w:t>
        </w:r>
        <w:r w:rsidRPr="007971A1">
          <w:rPr>
            <w:rFonts w:asciiTheme="minorHAnsi" w:hAnsiTheme="minorHAnsi" w:cstheme="minorHAnsi"/>
            <w:noProof/>
            <w:webHidden/>
            <w:color w:val="000000" w:themeColor="text1"/>
          </w:rPr>
          <w:fldChar w:fldCharType="end"/>
        </w:r>
      </w:hyperlink>
    </w:p>
    <w:p w14:paraId="18A9BFBF" w14:textId="77777777" w:rsidR="00CD2B5F" w:rsidRPr="007971A1" w:rsidRDefault="00CD2B5F" w:rsidP="00CC4DEC">
      <w:pPr>
        <w:pStyle w:val="SADRAJ3"/>
        <w:tabs>
          <w:tab w:val="right" w:leader="dot" w:pos="9350"/>
        </w:tabs>
        <w:spacing w:after="0"/>
        <w:rPr>
          <w:rFonts w:asciiTheme="minorHAnsi" w:eastAsiaTheme="minorEastAsia" w:hAnsiTheme="minorHAnsi" w:cstheme="minorHAnsi"/>
          <w:noProof/>
          <w:color w:val="000000" w:themeColor="text1"/>
          <w:kern w:val="2"/>
          <w14:ligatures w14:val="standardContextual"/>
        </w:rPr>
      </w:pPr>
      <w:hyperlink w:anchor="_Toc224127245" w:history="1">
        <w:r w:rsidRPr="007971A1">
          <w:rPr>
            <w:rStyle w:val="Hiperveza"/>
            <w:rFonts w:asciiTheme="minorHAnsi" w:hAnsiTheme="minorHAnsi" w:cstheme="minorHAnsi"/>
            <w:noProof/>
            <w:color w:val="000000" w:themeColor="text1"/>
            <w:u w:val="none"/>
          </w:rPr>
          <w:t>B.1 Governmental Institutions</w:t>
        </w:r>
        <w:r w:rsidRPr="007971A1">
          <w:rPr>
            <w:rFonts w:asciiTheme="minorHAnsi" w:hAnsiTheme="minorHAnsi" w:cstheme="minorHAnsi"/>
            <w:noProof/>
            <w:webHidden/>
            <w:color w:val="000000" w:themeColor="text1"/>
          </w:rPr>
          <w:tab/>
        </w:r>
        <w:r w:rsidRPr="007971A1">
          <w:rPr>
            <w:rFonts w:asciiTheme="minorHAnsi" w:hAnsiTheme="minorHAnsi" w:cstheme="minorHAnsi"/>
            <w:noProof/>
            <w:webHidden/>
            <w:color w:val="000000" w:themeColor="text1"/>
          </w:rPr>
          <w:fldChar w:fldCharType="begin"/>
        </w:r>
        <w:r w:rsidRPr="007971A1">
          <w:rPr>
            <w:rFonts w:asciiTheme="minorHAnsi" w:hAnsiTheme="minorHAnsi" w:cstheme="minorHAnsi"/>
            <w:noProof/>
            <w:webHidden/>
            <w:color w:val="000000" w:themeColor="text1"/>
          </w:rPr>
          <w:instrText xml:space="preserve"> PAGEREF _Toc224127245 \h </w:instrText>
        </w:r>
        <w:r w:rsidRPr="007971A1">
          <w:rPr>
            <w:rFonts w:asciiTheme="minorHAnsi" w:hAnsiTheme="minorHAnsi" w:cstheme="minorHAnsi"/>
            <w:noProof/>
            <w:webHidden/>
            <w:color w:val="000000" w:themeColor="text1"/>
          </w:rPr>
        </w:r>
        <w:r w:rsidRPr="007971A1">
          <w:rPr>
            <w:rFonts w:asciiTheme="minorHAnsi" w:hAnsiTheme="minorHAnsi" w:cstheme="minorHAnsi"/>
            <w:noProof/>
            <w:webHidden/>
            <w:color w:val="000000" w:themeColor="text1"/>
          </w:rPr>
          <w:fldChar w:fldCharType="separate"/>
        </w:r>
        <w:r w:rsidRPr="007971A1">
          <w:rPr>
            <w:rFonts w:asciiTheme="minorHAnsi" w:hAnsiTheme="minorHAnsi" w:cstheme="minorHAnsi"/>
            <w:noProof/>
            <w:webHidden/>
            <w:color w:val="000000" w:themeColor="text1"/>
          </w:rPr>
          <w:t>47</w:t>
        </w:r>
        <w:r w:rsidRPr="007971A1">
          <w:rPr>
            <w:rFonts w:asciiTheme="minorHAnsi" w:hAnsiTheme="minorHAnsi" w:cstheme="minorHAnsi"/>
            <w:noProof/>
            <w:webHidden/>
            <w:color w:val="000000" w:themeColor="text1"/>
          </w:rPr>
          <w:fldChar w:fldCharType="end"/>
        </w:r>
      </w:hyperlink>
    </w:p>
    <w:p w14:paraId="629A4645" w14:textId="77777777" w:rsidR="007971A1" w:rsidRDefault="007971A1" w:rsidP="00E73104">
      <w:pPr>
        <w:jc w:val="both"/>
        <w:rPr>
          <w:rFonts w:asciiTheme="minorHAnsi" w:hAnsiTheme="minorHAnsi" w:cstheme="minorHAnsi"/>
          <w:b/>
          <w:bCs/>
        </w:rPr>
      </w:pPr>
    </w:p>
    <w:p w14:paraId="7AA31349" w14:textId="418CED94" w:rsidR="00C25DDE" w:rsidRPr="00903993" w:rsidRDefault="00C25DDE" w:rsidP="00C25DDE">
      <w:pPr>
        <w:rPr>
          <w:rFonts w:asciiTheme="minorHAnsi" w:hAnsiTheme="minorHAnsi" w:cstheme="minorHAnsi"/>
          <w:b/>
          <w:bCs/>
          <w:sz w:val="24"/>
          <w:szCs w:val="24"/>
        </w:rPr>
      </w:pPr>
      <w:bookmarkStart w:id="0" w:name="_Hlk215063336"/>
      <w:r w:rsidRPr="00903993">
        <w:rPr>
          <w:rFonts w:asciiTheme="minorHAnsi" w:hAnsiTheme="minorHAnsi" w:cstheme="minorHAnsi"/>
          <w:b/>
          <w:bCs/>
          <w:sz w:val="24"/>
          <w:szCs w:val="24"/>
        </w:rPr>
        <w:t xml:space="preserve">PREPARED BY DIKTAS II </w:t>
      </w:r>
      <w:r w:rsidR="00484734">
        <w:rPr>
          <w:rFonts w:asciiTheme="minorHAnsi" w:hAnsiTheme="minorHAnsi" w:cstheme="minorHAnsi"/>
          <w:b/>
          <w:bCs/>
          <w:sz w:val="24"/>
          <w:szCs w:val="24"/>
        </w:rPr>
        <w:t xml:space="preserve">GENDER </w:t>
      </w:r>
      <w:r w:rsidRPr="00903993">
        <w:rPr>
          <w:rFonts w:asciiTheme="minorHAnsi" w:hAnsiTheme="minorHAnsi" w:cstheme="minorHAnsi"/>
          <w:b/>
          <w:bCs/>
          <w:sz w:val="24"/>
          <w:szCs w:val="24"/>
        </w:rPr>
        <w:t>PROJECT TEAM</w:t>
      </w:r>
    </w:p>
    <w:p w14:paraId="529FDFA1" w14:textId="20073384" w:rsidR="00C25DDE" w:rsidRPr="00903993" w:rsidRDefault="00C25DDE" w:rsidP="00C25DDE">
      <w:pPr>
        <w:rPr>
          <w:rFonts w:asciiTheme="minorHAnsi" w:hAnsiTheme="minorHAnsi" w:cstheme="minorHAnsi"/>
          <w:sz w:val="24"/>
          <w:szCs w:val="24"/>
        </w:rPr>
      </w:pPr>
      <w:r w:rsidRPr="00903993">
        <w:rPr>
          <w:rFonts w:asciiTheme="minorHAnsi" w:hAnsiTheme="minorHAnsi" w:cstheme="minorHAnsi"/>
          <w:sz w:val="24"/>
          <w:szCs w:val="24"/>
        </w:rPr>
        <w:t xml:space="preserve">Umme Kulsoom; International </w:t>
      </w:r>
      <w:r w:rsidR="00704185" w:rsidRPr="00903993">
        <w:rPr>
          <w:rFonts w:asciiTheme="minorHAnsi" w:hAnsiTheme="minorHAnsi" w:cstheme="minorHAnsi"/>
          <w:sz w:val="24"/>
          <w:szCs w:val="24"/>
        </w:rPr>
        <w:t>Gender</w:t>
      </w:r>
      <w:r w:rsidR="00704185" w:rsidRPr="00903993">
        <w:rPr>
          <w:rFonts w:asciiTheme="minorHAnsi" w:hAnsiTheme="minorHAnsi" w:cstheme="minorHAnsi"/>
          <w:sz w:val="24"/>
          <w:szCs w:val="24"/>
        </w:rPr>
        <w:t xml:space="preserve"> </w:t>
      </w:r>
      <w:r w:rsidRPr="00903993">
        <w:rPr>
          <w:rFonts w:asciiTheme="minorHAnsi" w:hAnsiTheme="minorHAnsi" w:cstheme="minorHAnsi"/>
          <w:sz w:val="24"/>
          <w:szCs w:val="24"/>
        </w:rPr>
        <w:t xml:space="preserve">Expert </w:t>
      </w:r>
    </w:p>
    <w:p w14:paraId="4354B0A9" w14:textId="6EA7BD7C" w:rsidR="00C25DDE" w:rsidRPr="00903993" w:rsidRDefault="00903993" w:rsidP="00C25DDE">
      <w:pPr>
        <w:rPr>
          <w:rFonts w:asciiTheme="minorHAnsi" w:hAnsiTheme="minorHAnsi" w:cstheme="minorHAnsi"/>
          <w:sz w:val="24"/>
          <w:szCs w:val="24"/>
          <w:lang w:val="it-IT"/>
        </w:rPr>
      </w:pPr>
      <w:r w:rsidRPr="00903993">
        <w:rPr>
          <w:rFonts w:asciiTheme="minorHAnsi" w:hAnsiTheme="minorHAnsi" w:cstheme="minorHAnsi"/>
          <w:sz w:val="24"/>
          <w:szCs w:val="24"/>
          <w:lang w:val="it-IT"/>
        </w:rPr>
        <w:t>Irena topalli, National Gender Expert</w:t>
      </w:r>
    </w:p>
    <w:p w14:paraId="5FDBBB27" w14:textId="5E090EF1" w:rsidR="00903993" w:rsidRPr="00903993" w:rsidRDefault="00903993" w:rsidP="00C25DDE">
      <w:pPr>
        <w:rPr>
          <w:rFonts w:asciiTheme="minorHAnsi" w:hAnsiTheme="minorHAnsi" w:cstheme="minorHAnsi"/>
          <w:sz w:val="24"/>
          <w:szCs w:val="24"/>
        </w:rPr>
      </w:pPr>
      <w:r w:rsidRPr="00903993">
        <w:rPr>
          <w:rFonts w:asciiTheme="minorHAnsi" w:hAnsiTheme="minorHAnsi" w:cstheme="minorHAnsi"/>
          <w:sz w:val="24"/>
          <w:szCs w:val="24"/>
        </w:rPr>
        <w:t>Lidija Brnović, National Gender Expert</w:t>
      </w:r>
    </w:p>
    <w:p w14:paraId="389C9482" w14:textId="01A66C70" w:rsidR="00903993" w:rsidRPr="00903993" w:rsidRDefault="00903993" w:rsidP="00C25DDE">
      <w:pPr>
        <w:rPr>
          <w:rFonts w:asciiTheme="minorHAnsi" w:hAnsiTheme="minorHAnsi" w:cstheme="minorHAnsi"/>
          <w:sz w:val="24"/>
          <w:szCs w:val="24"/>
        </w:rPr>
      </w:pPr>
      <w:r w:rsidRPr="00903993">
        <w:rPr>
          <w:rFonts w:asciiTheme="minorHAnsi" w:hAnsiTheme="minorHAnsi" w:cstheme="minorHAnsi"/>
          <w:sz w:val="24"/>
          <w:szCs w:val="24"/>
        </w:rPr>
        <w:t xml:space="preserve">Nino Serdarević, </w:t>
      </w:r>
      <w:r w:rsidRPr="00903993">
        <w:rPr>
          <w:rFonts w:asciiTheme="minorHAnsi" w:hAnsiTheme="minorHAnsi" w:cstheme="minorHAnsi"/>
          <w:sz w:val="24"/>
          <w:szCs w:val="24"/>
        </w:rPr>
        <w:t>National Gender Expert</w:t>
      </w:r>
    </w:p>
    <w:p w14:paraId="13F6A528" w14:textId="700F9B47" w:rsidR="00903993" w:rsidRPr="00903993" w:rsidRDefault="00903993" w:rsidP="00C25DDE">
      <w:pPr>
        <w:rPr>
          <w:rFonts w:asciiTheme="minorHAnsi" w:hAnsiTheme="minorHAnsi" w:cstheme="minorHAnsi"/>
          <w:sz w:val="24"/>
          <w:szCs w:val="24"/>
        </w:rPr>
      </w:pPr>
      <w:r w:rsidRPr="00903993">
        <w:rPr>
          <w:rFonts w:asciiTheme="minorHAnsi" w:hAnsiTheme="minorHAnsi" w:cstheme="minorHAnsi"/>
          <w:sz w:val="24"/>
          <w:szCs w:val="24"/>
        </w:rPr>
        <w:t xml:space="preserve">Marina Funduk, </w:t>
      </w:r>
      <w:r w:rsidRPr="00903993">
        <w:rPr>
          <w:rFonts w:asciiTheme="minorHAnsi" w:hAnsiTheme="minorHAnsi" w:cstheme="minorHAnsi"/>
          <w:sz w:val="24"/>
          <w:szCs w:val="24"/>
        </w:rPr>
        <w:t>National Gender Expert</w:t>
      </w:r>
    </w:p>
    <w:p w14:paraId="58635DB2" w14:textId="77777777" w:rsidR="00C25DDE" w:rsidRPr="00903993" w:rsidRDefault="00C25DDE" w:rsidP="00C25DDE">
      <w:pPr>
        <w:rPr>
          <w:rFonts w:asciiTheme="minorHAnsi" w:hAnsiTheme="minorHAnsi" w:cstheme="minorHAnsi"/>
          <w:sz w:val="24"/>
          <w:szCs w:val="24"/>
        </w:rPr>
      </w:pPr>
    </w:p>
    <w:p w14:paraId="0EE77624" w14:textId="0B690227" w:rsidR="00C25DDE" w:rsidRPr="00903993" w:rsidRDefault="00C25DDE" w:rsidP="00C25DDE">
      <w:pPr>
        <w:rPr>
          <w:rFonts w:asciiTheme="minorHAnsi" w:hAnsiTheme="minorHAnsi" w:cstheme="minorHAnsi"/>
          <w:b/>
          <w:sz w:val="24"/>
          <w:szCs w:val="24"/>
        </w:rPr>
      </w:pPr>
      <w:r w:rsidRPr="00903993">
        <w:rPr>
          <w:rFonts w:asciiTheme="minorHAnsi" w:hAnsiTheme="minorHAnsi" w:cstheme="minorHAnsi"/>
          <w:b/>
          <w:sz w:val="24"/>
          <w:szCs w:val="24"/>
        </w:rPr>
        <w:t>SUPPORT</w:t>
      </w:r>
      <w:r w:rsidR="00F80EAB">
        <w:rPr>
          <w:rFonts w:asciiTheme="minorHAnsi" w:hAnsiTheme="minorHAnsi" w:cstheme="minorHAnsi"/>
          <w:b/>
          <w:sz w:val="24"/>
          <w:szCs w:val="24"/>
        </w:rPr>
        <w:t>ED BY</w:t>
      </w:r>
    </w:p>
    <w:p w14:paraId="3E2081ED" w14:textId="7ACBE84A" w:rsidR="00C25DDE" w:rsidRPr="00903993" w:rsidRDefault="00903993" w:rsidP="00C25DDE">
      <w:pPr>
        <w:rPr>
          <w:rFonts w:asciiTheme="minorHAnsi" w:hAnsiTheme="minorHAnsi" w:cstheme="minorHAnsi"/>
          <w:b/>
          <w:color w:val="auto"/>
          <w:sz w:val="24"/>
          <w:szCs w:val="24"/>
        </w:rPr>
      </w:pPr>
      <w:r w:rsidRPr="00903993">
        <w:rPr>
          <w:rFonts w:asciiTheme="minorHAnsi" w:hAnsiTheme="minorHAnsi" w:cstheme="minorHAnsi"/>
          <w:color w:val="auto"/>
          <w:sz w:val="24"/>
          <w:szCs w:val="24"/>
        </w:rPr>
        <w:t>Boban Jolović, Project Manager</w:t>
      </w:r>
    </w:p>
    <w:bookmarkEnd w:id="0"/>
    <w:p w14:paraId="311EC62B" w14:textId="77777777" w:rsidR="00C25DDE" w:rsidRPr="00C25DDE" w:rsidRDefault="00C25DDE" w:rsidP="00C25DDE">
      <w:pPr>
        <w:rPr>
          <w:rFonts w:asciiTheme="minorHAnsi" w:hAnsiTheme="minorHAnsi" w:cstheme="minorHAnsi"/>
          <w:sz w:val="28"/>
          <w:szCs w:val="28"/>
        </w:rPr>
      </w:pPr>
    </w:p>
    <w:p w14:paraId="65F4EEB2" w14:textId="1BE6BC49" w:rsidR="00E03741" w:rsidRPr="007971A1" w:rsidRDefault="00E03741" w:rsidP="00E73104">
      <w:pPr>
        <w:jc w:val="both"/>
        <w:rPr>
          <w:rFonts w:asciiTheme="minorHAnsi" w:hAnsiTheme="minorHAnsi" w:cstheme="minorHAnsi"/>
          <w:b/>
          <w:bCs/>
        </w:rPr>
      </w:pPr>
      <w:r w:rsidRPr="007971A1">
        <w:rPr>
          <w:rFonts w:asciiTheme="minorHAnsi" w:hAnsiTheme="minorHAnsi" w:cstheme="minorHAnsi"/>
          <w:b/>
          <w:bCs/>
        </w:rPr>
        <w:br w:type="page"/>
      </w:r>
    </w:p>
    <w:p w14:paraId="32E8D3DB" w14:textId="77777777" w:rsidR="00677073" w:rsidRPr="00677073" w:rsidRDefault="00677073" w:rsidP="00E73104">
      <w:pPr>
        <w:jc w:val="both"/>
        <w:rPr>
          <w:rFonts w:asciiTheme="minorHAnsi" w:hAnsiTheme="minorHAnsi" w:cstheme="minorHAnsi"/>
          <w:b/>
          <w:bCs/>
          <w:sz w:val="22"/>
          <w:szCs w:val="22"/>
        </w:rPr>
      </w:pPr>
    </w:p>
    <w:p w14:paraId="00761768" w14:textId="77777777" w:rsidR="00E03741" w:rsidRPr="00556170" w:rsidRDefault="00E03741" w:rsidP="00E73104">
      <w:pPr>
        <w:pStyle w:val="Naslov1"/>
        <w:pBdr>
          <w:bottom w:val="single" w:sz="8" w:space="4" w:color="2E75B6"/>
        </w:pBdr>
        <w:spacing w:before="0" w:after="0"/>
        <w:jc w:val="both"/>
        <w:rPr>
          <w:rFonts w:asciiTheme="minorHAnsi" w:hAnsiTheme="minorHAnsi" w:cstheme="minorHAnsi"/>
          <w:sz w:val="22"/>
          <w:szCs w:val="22"/>
        </w:rPr>
      </w:pPr>
      <w:bookmarkStart w:id="1" w:name="_Toc224128584"/>
      <w:r w:rsidRPr="00556170">
        <w:rPr>
          <w:rFonts w:asciiTheme="minorHAnsi" w:eastAsia="Arial" w:hAnsiTheme="minorHAnsi" w:cstheme="minorHAnsi"/>
          <w:b/>
          <w:bCs/>
          <w:color w:val="1F4E79"/>
          <w:sz w:val="22"/>
          <w:szCs w:val="22"/>
        </w:rPr>
        <w:t>GLOSSARY OF KEY TERMS</w:t>
      </w:r>
      <w:bookmarkEnd w:id="1"/>
    </w:p>
    <w:p w14:paraId="50177660" w14:textId="77777777" w:rsidR="00E03741" w:rsidRPr="00556170" w:rsidRDefault="00E03741" w:rsidP="00E73104">
      <w:pPr>
        <w:rPr>
          <w:rFonts w:asciiTheme="minorHAnsi" w:hAnsiTheme="minorHAnsi" w:cstheme="minorHAnsi"/>
          <w:b/>
          <w:bCs/>
          <w:color w:val="auto"/>
        </w:rPr>
      </w:pPr>
      <w:r w:rsidRPr="00556170">
        <w:rPr>
          <w:rFonts w:asciiTheme="minorHAnsi" w:hAnsiTheme="minorHAnsi" w:cstheme="minorHAnsi"/>
          <w:b/>
          <w:bCs/>
          <w:color w:val="auto"/>
        </w:rPr>
        <w:t>Gender Mainstreaming</w:t>
      </w:r>
    </w:p>
    <w:p w14:paraId="2F252CB3"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i/>
          <w:iCs/>
          <w:color w:val="auto"/>
          <w:sz w:val="22"/>
          <w:szCs w:val="22"/>
        </w:rPr>
        <w:t xml:space="preserve">"The process of assessing the implications for women and men of any planned action, including legislation, policies or </w:t>
      </w:r>
      <w:proofErr w:type="spellStart"/>
      <w:r w:rsidRPr="00556170">
        <w:rPr>
          <w:rFonts w:asciiTheme="minorHAnsi" w:hAnsiTheme="minorHAnsi" w:cstheme="minorHAnsi"/>
          <w:i/>
          <w:iCs/>
          <w:color w:val="auto"/>
          <w:sz w:val="22"/>
          <w:szCs w:val="22"/>
        </w:rPr>
        <w:t>programmes</w:t>
      </w:r>
      <w:proofErr w:type="spellEnd"/>
      <w:r w:rsidRPr="00556170">
        <w:rPr>
          <w:rFonts w:asciiTheme="minorHAnsi" w:hAnsiTheme="minorHAnsi" w:cstheme="minorHAnsi"/>
          <w:i/>
          <w:iCs/>
          <w:color w:val="auto"/>
          <w:sz w:val="22"/>
          <w:szCs w:val="22"/>
        </w:rPr>
        <w:t>, in all areas and at all levels."</w:t>
      </w:r>
      <w:r w:rsidRPr="00556170">
        <w:rPr>
          <w:rFonts w:asciiTheme="minorHAnsi" w:hAnsiTheme="minorHAnsi" w:cstheme="minorHAnsi"/>
          <w:color w:val="auto"/>
          <w:sz w:val="22"/>
          <w:szCs w:val="22"/>
        </w:rPr>
        <w:t xml:space="preserve"> (UN Economic and Social Council [ECOSOC] Agreed Conclusions, 1997/2)</w:t>
      </w:r>
    </w:p>
    <w:p w14:paraId="11C62940" w14:textId="77777777" w:rsidR="00E73104" w:rsidRPr="00556170" w:rsidRDefault="00E73104" w:rsidP="0019704F">
      <w:pPr>
        <w:jc w:val="center"/>
        <w:rPr>
          <w:rFonts w:asciiTheme="minorHAnsi" w:hAnsiTheme="minorHAnsi" w:cstheme="minorHAnsi"/>
          <w:color w:val="auto"/>
          <w:sz w:val="22"/>
          <w:szCs w:val="22"/>
        </w:rPr>
      </w:pPr>
    </w:p>
    <w:p w14:paraId="4030911D" w14:textId="77777777" w:rsidR="00E03741" w:rsidRPr="0037414E" w:rsidRDefault="00E03741" w:rsidP="006B111E">
      <w:pPr>
        <w:rPr>
          <w:rFonts w:asciiTheme="minorHAnsi" w:hAnsiTheme="minorHAnsi" w:cstheme="minorHAnsi"/>
          <w:b/>
          <w:bCs/>
          <w:color w:val="000000" w:themeColor="text1"/>
          <w:sz w:val="22"/>
          <w:szCs w:val="22"/>
        </w:rPr>
      </w:pPr>
      <w:r w:rsidRPr="0037414E">
        <w:rPr>
          <w:rFonts w:asciiTheme="minorHAnsi" w:hAnsiTheme="minorHAnsi" w:cstheme="minorHAnsi"/>
          <w:b/>
          <w:bCs/>
          <w:color w:val="000000" w:themeColor="text1"/>
          <w:sz w:val="22"/>
          <w:szCs w:val="22"/>
        </w:rPr>
        <w:t>Gender-Based Violence (GBV)</w:t>
      </w:r>
    </w:p>
    <w:p w14:paraId="223BE752"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i/>
          <w:iCs/>
          <w:color w:val="auto"/>
          <w:sz w:val="22"/>
          <w:szCs w:val="22"/>
        </w:rPr>
        <w:t>"Violence directed against a person on the basis of gender. It constitutes a breach of the fundamental right to life, liberty, security, dignity, equality between women and men, non-discrimination, and physical and mental integrity."</w:t>
      </w:r>
      <w:r w:rsidRPr="00556170">
        <w:rPr>
          <w:rFonts w:asciiTheme="minorHAnsi" w:hAnsiTheme="minorHAnsi" w:cstheme="minorHAnsi"/>
          <w:color w:val="auto"/>
          <w:sz w:val="22"/>
          <w:szCs w:val="22"/>
        </w:rPr>
        <w:t xml:space="preserve"> (Council of Europe, 2011; Istanbul Convention, Article 3)</w:t>
      </w:r>
    </w:p>
    <w:p w14:paraId="2BEE5342" w14:textId="77777777" w:rsidR="00212CE5" w:rsidRPr="00556170" w:rsidRDefault="00212CE5" w:rsidP="00E73104">
      <w:pPr>
        <w:jc w:val="both"/>
        <w:rPr>
          <w:rFonts w:asciiTheme="minorHAnsi" w:hAnsiTheme="minorHAnsi" w:cstheme="minorHAnsi"/>
          <w:color w:val="auto"/>
          <w:sz w:val="22"/>
          <w:szCs w:val="22"/>
        </w:rPr>
      </w:pPr>
    </w:p>
    <w:p w14:paraId="6F25E9D6" w14:textId="77777777" w:rsidR="00E03741" w:rsidRPr="00407274" w:rsidRDefault="00E03741" w:rsidP="00212CE5">
      <w:pPr>
        <w:rPr>
          <w:rFonts w:asciiTheme="minorHAnsi" w:hAnsiTheme="minorHAnsi" w:cstheme="minorHAnsi"/>
          <w:b/>
          <w:bCs/>
          <w:color w:val="auto"/>
          <w:sz w:val="22"/>
          <w:szCs w:val="22"/>
        </w:rPr>
      </w:pPr>
      <w:r w:rsidRPr="00407274">
        <w:rPr>
          <w:rFonts w:asciiTheme="minorHAnsi" w:hAnsiTheme="minorHAnsi" w:cstheme="minorHAnsi"/>
          <w:b/>
          <w:bCs/>
          <w:color w:val="auto"/>
          <w:sz w:val="22"/>
          <w:szCs w:val="22"/>
        </w:rPr>
        <w:t>Gender Parity Index (GPI)</w:t>
      </w:r>
    </w:p>
    <w:p w14:paraId="1C88A7A9"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color w:val="auto"/>
          <w:sz w:val="22"/>
          <w:szCs w:val="22"/>
        </w:rPr>
        <w:t xml:space="preserve">A ratio of female-to-male values for a given indicator. GPI = 1.0 indicates full parity; GPI &gt; 1.0 indicates advantage for females; GPI &lt; 1.0 indicates advantage for males. Used for education enrolment, </w:t>
      </w:r>
      <w:proofErr w:type="spellStart"/>
      <w:r w:rsidRPr="00556170">
        <w:rPr>
          <w:rFonts w:asciiTheme="minorHAnsi" w:hAnsiTheme="minorHAnsi" w:cstheme="minorHAnsi"/>
          <w:color w:val="auto"/>
          <w:sz w:val="22"/>
          <w:szCs w:val="22"/>
        </w:rPr>
        <w:t>labour</w:t>
      </w:r>
      <w:proofErr w:type="spellEnd"/>
      <w:r w:rsidRPr="00556170">
        <w:rPr>
          <w:rFonts w:asciiTheme="minorHAnsi" w:hAnsiTheme="minorHAnsi" w:cstheme="minorHAnsi"/>
          <w:color w:val="auto"/>
          <w:sz w:val="22"/>
          <w:szCs w:val="22"/>
        </w:rPr>
        <w:t xml:space="preserve"> force participation, and other indicators (UNESCO Institute for Statistics, 2023).</w:t>
      </w:r>
      <w:r w:rsidRPr="00556170">
        <w:rPr>
          <w:rStyle w:val="Referencafusnote"/>
          <w:rFonts w:asciiTheme="minorHAnsi" w:hAnsiTheme="minorHAnsi" w:cstheme="minorHAnsi"/>
          <w:color w:val="auto"/>
          <w:sz w:val="22"/>
          <w:szCs w:val="22"/>
        </w:rPr>
        <w:footnoteReference w:id="1"/>
      </w:r>
    </w:p>
    <w:p w14:paraId="4AFAF4B8" w14:textId="77777777" w:rsidR="00212CE5" w:rsidRPr="00556170" w:rsidRDefault="00212CE5" w:rsidP="00E73104">
      <w:pPr>
        <w:jc w:val="both"/>
        <w:rPr>
          <w:rFonts w:asciiTheme="minorHAnsi" w:hAnsiTheme="minorHAnsi" w:cstheme="minorHAnsi"/>
          <w:color w:val="auto"/>
          <w:sz w:val="22"/>
          <w:szCs w:val="22"/>
        </w:rPr>
      </w:pPr>
    </w:p>
    <w:p w14:paraId="4194CE0B" w14:textId="77777777" w:rsidR="00E03741" w:rsidRPr="00407274" w:rsidRDefault="00E03741" w:rsidP="00212CE5">
      <w:pPr>
        <w:rPr>
          <w:rFonts w:asciiTheme="minorHAnsi" w:hAnsiTheme="minorHAnsi" w:cstheme="minorHAnsi"/>
          <w:b/>
          <w:bCs/>
          <w:color w:val="auto"/>
          <w:sz w:val="22"/>
          <w:szCs w:val="22"/>
        </w:rPr>
      </w:pPr>
      <w:r w:rsidRPr="00407274">
        <w:rPr>
          <w:rFonts w:asciiTheme="minorHAnsi" w:hAnsiTheme="minorHAnsi" w:cstheme="minorHAnsi"/>
          <w:b/>
          <w:bCs/>
          <w:color w:val="auto"/>
          <w:sz w:val="22"/>
          <w:szCs w:val="22"/>
        </w:rPr>
        <w:t>Sex-Disaggregated Data</w:t>
      </w:r>
    </w:p>
    <w:p w14:paraId="04B15910"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i/>
          <w:iCs/>
          <w:color w:val="auto"/>
          <w:sz w:val="22"/>
          <w:szCs w:val="22"/>
        </w:rPr>
        <w:t xml:space="preserve">"Data that are </w:t>
      </w:r>
      <w:proofErr w:type="gramStart"/>
      <w:r w:rsidRPr="00556170">
        <w:rPr>
          <w:rFonts w:asciiTheme="minorHAnsi" w:hAnsiTheme="minorHAnsi" w:cstheme="minorHAnsi"/>
          <w:i/>
          <w:iCs/>
          <w:color w:val="auto"/>
          <w:sz w:val="22"/>
          <w:szCs w:val="22"/>
        </w:rPr>
        <w:t>cross-classified</w:t>
      </w:r>
      <w:proofErr w:type="gramEnd"/>
      <w:r w:rsidRPr="00556170">
        <w:rPr>
          <w:rFonts w:asciiTheme="minorHAnsi" w:hAnsiTheme="minorHAnsi" w:cstheme="minorHAnsi"/>
          <w:i/>
          <w:iCs/>
          <w:color w:val="auto"/>
          <w:sz w:val="22"/>
          <w:szCs w:val="22"/>
        </w:rPr>
        <w:t xml:space="preserve"> by sex, presenting information separately for men and women, boys and girls, to enable identification of gender gaps and inequalities."</w:t>
      </w:r>
      <w:r w:rsidRPr="00556170">
        <w:rPr>
          <w:rFonts w:asciiTheme="minorHAnsi" w:hAnsiTheme="minorHAnsi" w:cstheme="minorHAnsi"/>
          <w:color w:val="auto"/>
          <w:sz w:val="22"/>
          <w:szCs w:val="22"/>
        </w:rPr>
        <w:t xml:space="preserve"> (UN Statistics Division, Gender Statistics Manual)</w:t>
      </w:r>
    </w:p>
    <w:p w14:paraId="6E282D38" w14:textId="77777777" w:rsidR="00212CE5" w:rsidRPr="00556170" w:rsidRDefault="00212CE5" w:rsidP="00E73104">
      <w:pPr>
        <w:jc w:val="both"/>
        <w:rPr>
          <w:rFonts w:asciiTheme="minorHAnsi" w:hAnsiTheme="minorHAnsi" w:cstheme="minorHAnsi"/>
          <w:color w:val="auto"/>
          <w:sz w:val="22"/>
          <w:szCs w:val="22"/>
        </w:rPr>
      </w:pPr>
    </w:p>
    <w:p w14:paraId="22B25EDB" w14:textId="77777777" w:rsidR="00E03741" w:rsidRPr="00407274" w:rsidRDefault="00E03741" w:rsidP="00407274">
      <w:pPr>
        <w:rPr>
          <w:rFonts w:asciiTheme="minorHAnsi" w:hAnsiTheme="minorHAnsi" w:cstheme="minorHAnsi"/>
          <w:b/>
          <w:bCs/>
          <w:color w:val="000000" w:themeColor="text1"/>
          <w:sz w:val="22"/>
          <w:szCs w:val="22"/>
        </w:rPr>
      </w:pPr>
      <w:r w:rsidRPr="00407274">
        <w:rPr>
          <w:rFonts w:asciiTheme="minorHAnsi" w:hAnsiTheme="minorHAnsi" w:cstheme="minorHAnsi"/>
          <w:b/>
          <w:bCs/>
          <w:color w:val="000000" w:themeColor="text1"/>
          <w:sz w:val="22"/>
          <w:szCs w:val="22"/>
        </w:rPr>
        <w:t>Gender Pay Gap</w:t>
      </w:r>
    </w:p>
    <w:p w14:paraId="2FEDB932"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i/>
          <w:iCs/>
          <w:color w:val="auto"/>
          <w:sz w:val="22"/>
          <w:szCs w:val="22"/>
        </w:rPr>
        <w:t>"The difference between average gross hourly earnings of male and female employees as a percentage of average gross hourly earnings of male employees."</w:t>
      </w:r>
      <w:r w:rsidRPr="00556170">
        <w:rPr>
          <w:rFonts w:asciiTheme="minorHAnsi" w:hAnsiTheme="minorHAnsi" w:cstheme="minorHAnsi"/>
          <w:color w:val="auto"/>
          <w:sz w:val="22"/>
          <w:szCs w:val="22"/>
        </w:rPr>
        <w:t xml:space="preserve"> (Eurostat, 2024)</w:t>
      </w:r>
    </w:p>
    <w:p w14:paraId="479D6C73" w14:textId="77777777" w:rsidR="0019704F" w:rsidRPr="00556170" w:rsidRDefault="0019704F" w:rsidP="00E73104">
      <w:pPr>
        <w:jc w:val="both"/>
        <w:rPr>
          <w:rFonts w:asciiTheme="minorHAnsi" w:hAnsiTheme="minorHAnsi" w:cstheme="minorHAnsi"/>
          <w:b/>
          <w:bCs/>
          <w:color w:val="auto"/>
          <w:sz w:val="22"/>
          <w:szCs w:val="22"/>
        </w:rPr>
      </w:pPr>
    </w:p>
    <w:p w14:paraId="4DE69180" w14:textId="77777777" w:rsidR="00E03741" w:rsidRPr="00BC377D" w:rsidRDefault="00E03741" w:rsidP="0019704F">
      <w:pPr>
        <w:rPr>
          <w:rFonts w:asciiTheme="minorHAnsi" w:hAnsiTheme="minorHAnsi" w:cstheme="minorHAnsi"/>
          <w:b/>
          <w:bCs/>
          <w:color w:val="auto"/>
          <w:sz w:val="22"/>
          <w:szCs w:val="22"/>
        </w:rPr>
      </w:pPr>
      <w:r w:rsidRPr="00BC377D">
        <w:rPr>
          <w:rFonts w:asciiTheme="minorHAnsi" w:hAnsiTheme="minorHAnsi" w:cstheme="minorHAnsi"/>
          <w:b/>
          <w:bCs/>
          <w:color w:val="auto"/>
          <w:sz w:val="22"/>
          <w:szCs w:val="22"/>
        </w:rPr>
        <w:t>Time Poverty</w:t>
      </w:r>
    </w:p>
    <w:p w14:paraId="2168A947"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i/>
          <w:iCs/>
          <w:color w:val="auto"/>
          <w:sz w:val="22"/>
          <w:szCs w:val="22"/>
        </w:rPr>
        <w:t>"A situation in which an individual, typically women or girls, lacks sufficient time for rest, leisure, and civic participation due to the disproportionate burden of unpaid care and domestic work."</w:t>
      </w:r>
      <w:r w:rsidRPr="00556170">
        <w:rPr>
          <w:rFonts w:asciiTheme="minorHAnsi" w:hAnsiTheme="minorHAnsi" w:cstheme="minorHAnsi"/>
          <w:color w:val="auto"/>
          <w:sz w:val="22"/>
          <w:szCs w:val="22"/>
        </w:rPr>
        <w:t xml:space="preserve"> (UN Women, Progress of the World's Women, 2015)</w:t>
      </w:r>
    </w:p>
    <w:p w14:paraId="78CEA48D" w14:textId="77777777" w:rsidR="0019704F" w:rsidRPr="00556170" w:rsidRDefault="0019704F" w:rsidP="00E73104">
      <w:pPr>
        <w:jc w:val="both"/>
        <w:rPr>
          <w:rFonts w:asciiTheme="minorHAnsi" w:hAnsiTheme="minorHAnsi" w:cstheme="minorHAnsi"/>
          <w:color w:val="auto"/>
          <w:sz w:val="22"/>
          <w:szCs w:val="22"/>
        </w:rPr>
      </w:pPr>
    </w:p>
    <w:p w14:paraId="4732D119" w14:textId="77777777" w:rsidR="00E03741" w:rsidRPr="00BC377D" w:rsidRDefault="00E03741" w:rsidP="0019704F">
      <w:pPr>
        <w:rPr>
          <w:rFonts w:asciiTheme="minorHAnsi" w:hAnsiTheme="minorHAnsi" w:cstheme="minorHAnsi"/>
          <w:b/>
          <w:bCs/>
          <w:color w:val="auto"/>
          <w:sz w:val="22"/>
          <w:szCs w:val="22"/>
        </w:rPr>
      </w:pPr>
      <w:r w:rsidRPr="00BC377D">
        <w:rPr>
          <w:rFonts w:asciiTheme="minorHAnsi" w:hAnsiTheme="minorHAnsi" w:cstheme="minorHAnsi"/>
          <w:b/>
          <w:bCs/>
          <w:color w:val="auto"/>
          <w:sz w:val="22"/>
          <w:szCs w:val="22"/>
        </w:rPr>
        <w:t>Unpaid Care Work</w:t>
      </w:r>
    </w:p>
    <w:p w14:paraId="038C90CA"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i/>
          <w:iCs/>
          <w:color w:val="auto"/>
          <w:sz w:val="22"/>
          <w:szCs w:val="22"/>
        </w:rPr>
        <w:t>"Work performed in the home, including childcare, elder care, cooking, cleaning, and household management, that is unremunerated. It is distinct from volunteer work and is predominantly performed by women."</w:t>
      </w:r>
      <w:r w:rsidRPr="00556170">
        <w:rPr>
          <w:rFonts w:asciiTheme="minorHAnsi" w:hAnsiTheme="minorHAnsi" w:cstheme="minorHAnsi"/>
          <w:color w:val="auto"/>
          <w:sz w:val="22"/>
          <w:szCs w:val="22"/>
        </w:rPr>
        <w:t xml:space="preserve"> (ILO, Care Work and Care Jobs for the Future of Decent Work, 2018)</w:t>
      </w:r>
    </w:p>
    <w:p w14:paraId="49914CD0" w14:textId="77777777" w:rsidR="0019704F" w:rsidRPr="00556170" w:rsidRDefault="0019704F" w:rsidP="00E73104">
      <w:pPr>
        <w:jc w:val="both"/>
        <w:rPr>
          <w:rFonts w:asciiTheme="minorHAnsi" w:hAnsiTheme="minorHAnsi" w:cstheme="minorHAnsi"/>
          <w:color w:val="auto"/>
          <w:sz w:val="22"/>
          <w:szCs w:val="22"/>
        </w:rPr>
      </w:pPr>
    </w:p>
    <w:p w14:paraId="429B4DA7" w14:textId="77777777" w:rsidR="00E03741" w:rsidRPr="00BC377D" w:rsidRDefault="00E03741" w:rsidP="0019704F">
      <w:pPr>
        <w:rPr>
          <w:rFonts w:asciiTheme="minorHAnsi" w:hAnsiTheme="minorHAnsi" w:cstheme="minorHAnsi"/>
          <w:b/>
          <w:bCs/>
          <w:color w:val="auto"/>
          <w:sz w:val="22"/>
          <w:szCs w:val="22"/>
        </w:rPr>
      </w:pPr>
      <w:r w:rsidRPr="00BC377D">
        <w:rPr>
          <w:rFonts w:asciiTheme="minorHAnsi" w:hAnsiTheme="minorHAnsi" w:cstheme="minorHAnsi"/>
          <w:b/>
          <w:bCs/>
          <w:color w:val="auto"/>
          <w:sz w:val="22"/>
          <w:szCs w:val="22"/>
        </w:rPr>
        <w:t>Water Security</w:t>
      </w:r>
    </w:p>
    <w:p w14:paraId="5AFEE951"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i/>
          <w:iCs/>
          <w:color w:val="auto"/>
          <w:sz w:val="22"/>
          <w:szCs w:val="22"/>
        </w:rPr>
        <w:t>"The capacity of a population to safeguard sustainable access to adequate quantities of acceptable quality water for sustaining livelihoods, human well-being, and socio-economic development, for ensuring protection against water-borne pollution and water-related disasters, and for preserving ecosystems in a climate of peace and political stability."</w:t>
      </w:r>
      <w:r w:rsidRPr="00556170">
        <w:rPr>
          <w:rFonts w:asciiTheme="minorHAnsi" w:hAnsiTheme="minorHAnsi" w:cstheme="minorHAnsi"/>
          <w:color w:val="auto"/>
          <w:sz w:val="22"/>
          <w:szCs w:val="22"/>
        </w:rPr>
        <w:t xml:space="preserve"> (UN-Water, 2013)</w:t>
      </w:r>
    </w:p>
    <w:p w14:paraId="6BB2F62F" w14:textId="77777777" w:rsidR="0019704F" w:rsidRPr="00556170" w:rsidRDefault="0019704F" w:rsidP="00E73104">
      <w:pPr>
        <w:jc w:val="both"/>
        <w:rPr>
          <w:rFonts w:asciiTheme="minorHAnsi" w:hAnsiTheme="minorHAnsi" w:cstheme="minorHAnsi"/>
          <w:color w:val="auto"/>
          <w:sz w:val="22"/>
          <w:szCs w:val="22"/>
        </w:rPr>
      </w:pPr>
    </w:p>
    <w:p w14:paraId="0049A69D" w14:textId="77777777" w:rsidR="00E03741" w:rsidRPr="002D4667" w:rsidRDefault="00E03741" w:rsidP="002D4667">
      <w:pPr>
        <w:rPr>
          <w:rFonts w:asciiTheme="minorHAnsi" w:hAnsiTheme="minorHAnsi" w:cstheme="minorHAnsi"/>
          <w:b/>
          <w:bCs/>
          <w:color w:val="000000" w:themeColor="text1"/>
          <w:sz w:val="22"/>
          <w:szCs w:val="22"/>
        </w:rPr>
      </w:pPr>
      <w:r w:rsidRPr="002D4667">
        <w:rPr>
          <w:rFonts w:asciiTheme="minorHAnsi" w:hAnsiTheme="minorHAnsi" w:cstheme="minorHAnsi"/>
          <w:b/>
          <w:bCs/>
          <w:color w:val="000000" w:themeColor="text1"/>
          <w:sz w:val="22"/>
          <w:szCs w:val="22"/>
        </w:rPr>
        <w:t>Integrated Water Resources Management (IWRM)</w:t>
      </w:r>
    </w:p>
    <w:p w14:paraId="248994E0"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i/>
          <w:iCs/>
          <w:color w:val="auto"/>
          <w:sz w:val="22"/>
          <w:szCs w:val="22"/>
        </w:rPr>
        <w:lastRenderedPageBreak/>
        <w:t>"A process which promotes the coordinated development and management of water, land, and related resources, in order to maximize the resultant economic and social welfare in an equitable manner without compromising the sustainability of vital ecosystems."</w:t>
      </w:r>
      <w:r w:rsidRPr="00556170">
        <w:rPr>
          <w:rFonts w:asciiTheme="minorHAnsi" w:hAnsiTheme="minorHAnsi" w:cstheme="minorHAnsi"/>
          <w:color w:val="auto"/>
          <w:sz w:val="22"/>
          <w:szCs w:val="22"/>
        </w:rPr>
        <w:t xml:space="preserve"> (Global Water Partnership [GWP], 2000)</w:t>
      </w:r>
    </w:p>
    <w:p w14:paraId="76749ADE" w14:textId="77777777" w:rsidR="008E7047" w:rsidRPr="00556170" w:rsidRDefault="008E7047" w:rsidP="00E73104">
      <w:pPr>
        <w:jc w:val="both"/>
        <w:rPr>
          <w:rFonts w:asciiTheme="minorHAnsi" w:hAnsiTheme="minorHAnsi" w:cstheme="minorHAnsi"/>
          <w:color w:val="auto"/>
          <w:sz w:val="22"/>
          <w:szCs w:val="22"/>
        </w:rPr>
      </w:pPr>
    </w:p>
    <w:p w14:paraId="4D2125ED" w14:textId="77777777" w:rsidR="00E03741" w:rsidRPr="00556170" w:rsidRDefault="00E03741" w:rsidP="008E7047">
      <w:pPr>
        <w:rPr>
          <w:rFonts w:asciiTheme="minorHAnsi" w:hAnsiTheme="minorHAnsi" w:cstheme="minorHAnsi"/>
          <w:b/>
          <w:bCs/>
          <w:color w:val="auto"/>
        </w:rPr>
      </w:pPr>
      <w:r w:rsidRPr="00882949">
        <w:rPr>
          <w:rFonts w:asciiTheme="minorHAnsi" w:hAnsiTheme="minorHAnsi" w:cstheme="minorHAnsi"/>
          <w:b/>
          <w:bCs/>
          <w:color w:val="auto"/>
          <w:sz w:val="22"/>
          <w:szCs w:val="22"/>
        </w:rPr>
        <w:t>Gender-Responsive Budgeting (GRB)</w:t>
      </w:r>
    </w:p>
    <w:p w14:paraId="0BB8C114"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i/>
          <w:iCs/>
          <w:color w:val="auto"/>
          <w:sz w:val="22"/>
          <w:szCs w:val="22"/>
        </w:rPr>
        <w:t>"Application of gender mainstreaming in the budgetary process. It means a gender-based assessment of budgets, incorporating a gender perspective at all levels of the budgetary process and restructuring revenues and expenditures in order to promote gender equality."</w:t>
      </w:r>
      <w:r w:rsidRPr="00556170">
        <w:rPr>
          <w:rFonts w:asciiTheme="minorHAnsi" w:hAnsiTheme="minorHAnsi" w:cstheme="minorHAnsi"/>
          <w:color w:val="auto"/>
          <w:sz w:val="22"/>
          <w:szCs w:val="22"/>
        </w:rPr>
        <w:t xml:space="preserve"> (Council of Europe, 2005)</w:t>
      </w:r>
    </w:p>
    <w:p w14:paraId="3ADE4B85" w14:textId="77777777" w:rsidR="008E7047" w:rsidRPr="00882949" w:rsidRDefault="008E7047" w:rsidP="00E73104">
      <w:pPr>
        <w:jc w:val="both"/>
        <w:rPr>
          <w:rFonts w:asciiTheme="minorHAnsi" w:hAnsiTheme="minorHAnsi" w:cstheme="minorHAnsi"/>
          <w:color w:val="auto"/>
          <w:sz w:val="24"/>
          <w:szCs w:val="24"/>
        </w:rPr>
      </w:pPr>
    </w:p>
    <w:p w14:paraId="49D3D6C9" w14:textId="77777777" w:rsidR="00E03741" w:rsidRPr="00882949" w:rsidRDefault="00E03741" w:rsidP="00115CE5">
      <w:pPr>
        <w:rPr>
          <w:rFonts w:asciiTheme="minorHAnsi" w:hAnsiTheme="minorHAnsi" w:cstheme="minorHAnsi"/>
          <w:b/>
          <w:bCs/>
          <w:color w:val="auto"/>
          <w:sz w:val="22"/>
          <w:szCs w:val="22"/>
        </w:rPr>
      </w:pPr>
      <w:r w:rsidRPr="00882949">
        <w:rPr>
          <w:rFonts w:asciiTheme="minorHAnsi" w:hAnsiTheme="minorHAnsi" w:cstheme="minorHAnsi"/>
          <w:b/>
          <w:bCs/>
          <w:color w:val="auto"/>
          <w:sz w:val="22"/>
          <w:szCs w:val="22"/>
        </w:rPr>
        <w:t>Intersectionality</w:t>
      </w:r>
    </w:p>
    <w:p w14:paraId="5EE3B189"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i/>
          <w:iCs/>
          <w:color w:val="auto"/>
          <w:sz w:val="22"/>
          <w:szCs w:val="22"/>
        </w:rPr>
        <w:t>"A concept describing the ways in which different aspects of a person's identity (race, class, gender, sexuality, disability, etc.) overlap and intersect to create unique modes of discrimination and privilege."</w:t>
      </w:r>
      <w:r w:rsidRPr="00556170">
        <w:rPr>
          <w:rFonts w:asciiTheme="minorHAnsi" w:hAnsiTheme="minorHAnsi" w:cstheme="minorHAnsi"/>
          <w:color w:val="auto"/>
          <w:sz w:val="22"/>
          <w:szCs w:val="22"/>
        </w:rPr>
        <w:t xml:space="preserve"> (As adopted by UN Women; original concept: Crenshaw, 1989)</w:t>
      </w:r>
    </w:p>
    <w:p w14:paraId="1C1817C9" w14:textId="77777777" w:rsidR="008E7047" w:rsidRPr="00556170" w:rsidRDefault="008E7047" w:rsidP="00E73104">
      <w:pPr>
        <w:jc w:val="both"/>
        <w:rPr>
          <w:rFonts w:asciiTheme="minorHAnsi" w:hAnsiTheme="minorHAnsi" w:cstheme="minorHAnsi"/>
          <w:color w:val="auto"/>
          <w:sz w:val="22"/>
          <w:szCs w:val="22"/>
        </w:rPr>
      </w:pPr>
    </w:p>
    <w:p w14:paraId="601ED0C6" w14:textId="77777777" w:rsidR="00E03741" w:rsidRPr="00882949" w:rsidRDefault="00E03741" w:rsidP="00115CE5">
      <w:pPr>
        <w:rPr>
          <w:rFonts w:asciiTheme="minorHAnsi" w:hAnsiTheme="minorHAnsi" w:cstheme="minorHAnsi"/>
          <w:b/>
          <w:bCs/>
          <w:color w:val="auto"/>
          <w:sz w:val="22"/>
          <w:szCs w:val="22"/>
        </w:rPr>
      </w:pPr>
      <w:r w:rsidRPr="00882949">
        <w:rPr>
          <w:rFonts w:asciiTheme="minorHAnsi" w:hAnsiTheme="minorHAnsi" w:cstheme="minorHAnsi"/>
          <w:b/>
          <w:bCs/>
          <w:color w:val="auto"/>
          <w:sz w:val="22"/>
          <w:szCs w:val="22"/>
        </w:rPr>
        <w:t>CEDAW</w:t>
      </w:r>
    </w:p>
    <w:p w14:paraId="193C2D60"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i/>
          <w:iCs/>
          <w:color w:val="auto"/>
          <w:sz w:val="22"/>
          <w:szCs w:val="22"/>
        </w:rPr>
        <w:t>"The Convention on the Elimination of All Forms of Discrimination Against Women (1979) is the primary international human rights treaty affirming the equal rights of women. It defines discrimination against women as any distinction, exclusion or restriction made on the basis of sex."</w:t>
      </w:r>
      <w:r w:rsidRPr="00556170">
        <w:rPr>
          <w:rFonts w:asciiTheme="minorHAnsi" w:hAnsiTheme="minorHAnsi" w:cstheme="minorHAnsi"/>
          <w:color w:val="auto"/>
          <w:sz w:val="22"/>
          <w:szCs w:val="22"/>
        </w:rPr>
        <w:t xml:space="preserve"> (UN Women, CEDAW, 1979)</w:t>
      </w:r>
    </w:p>
    <w:p w14:paraId="085DBB11" w14:textId="77777777" w:rsidR="008E7047" w:rsidRPr="00556170" w:rsidRDefault="008E7047" w:rsidP="00E73104">
      <w:pPr>
        <w:jc w:val="both"/>
        <w:rPr>
          <w:rFonts w:asciiTheme="minorHAnsi" w:hAnsiTheme="minorHAnsi" w:cstheme="minorHAnsi"/>
          <w:color w:val="auto"/>
          <w:sz w:val="22"/>
          <w:szCs w:val="22"/>
        </w:rPr>
      </w:pPr>
    </w:p>
    <w:p w14:paraId="34A56F80" w14:textId="77777777" w:rsidR="00E03741" w:rsidRPr="00882949" w:rsidRDefault="00E03741" w:rsidP="00115CE5">
      <w:pPr>
        <w:rPr>
          <w:rFonts w:asciiTheme="minorHAnsi" w:hAnsiTheme="minorHAnsi" w:cstheme="minorHAnsi"/>
          <w:b/>
          <w:bCs/>
          <w:color w:val="auto"/>
          <w:sz w:val="22"/>
          <w:szCs w:val="22"/>
        </w:rPr>
      </w:pPr>
      <w:r w:rsidRPr="00882949">
        <w:rPr>
          <w:rFonts w:asciiTheme="minorHAnsi" w:hAnsiTheme="minorHAnsi" w:cstheme="minorHAnsi"/>
          <w:b/>
          <w:bCs/>
          <w:color w:val="auto"/>
          <w:sz w:val="22"/>
          <w:szCs w:val="22"/>
        </w:rPr>
        <w:t>Vertical Segregation</w:t>
      </w:r>
    </w:p>
    <w:p w14:paraId="49B3611C"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i/>
          <w:iCs/>
          <w:color w:val="auto"/>
          <w:sz w:val="22"/>
          <w:szCs w:val="22"/>
        </w:rPr>
        <w:t>"The concentration of women in lower-ranked, lower-paid positions within a particular sector or profession, even when women are numerically present at junior or middle levels. Also known as the 'glass ceiling' effect."</w:t>
      </w:r>
      <w:r w:rsidRPr="00556170">
        <w:rPr>
          <w:rFonts w:asciiTheme="minorHAnsi" w:hAnsiTheme="minorHAnsi" w:cstheme="minorHAnsi"/>
          <w:color w:val="auto"/>
          <w:sz w:val="22"/>
          <w:szCs w:val="22"/>
        </w:rPr>
        <w:t xml:space="preserve"> (EIGE Glossary, 2023)</w:t>
      </w:r>
    </w:p>
    <w:p w14:paraId="39ADA5D6" w14:textId="77777777" w:rsidR="00115CE5" w:rsidRPr="00556170" w:rsidRDefault="00115CE5" w:rsidP="00E73104">
      <w:pPr>
        <w:jc w:val="both"/>
        <w:rPr>
          <w:rFonts w:asciiTheme="minorHAnsi" w:hAnsiTheme="minorHAnsi" w:cstheme="minorHAnsi"/>
          <w:color w:val="auto"/>
          <w:sz w:val="22"/>
          <w:szCs w:val="22"/>
        </w:rPr>
      </w:pPr>
    </w:p>
    <w:p w14:paraId="01A14053" w14:textId="77777777" w:rsidR="00E03741" w:rsidRPr="00882949" w:rsidRDefault="00E03741" w:rsidP="00115CE5">
      <w:pPr>
        <w:rPr>
          <w:rFonts w:asciiTheme="minorHAnsi" w:hAnsiTheme="minorHAnsi" w:cstheme="minorHAnsi"/>
          <w:b/>
          <w:bCs/>
          <w:color w:val="auto"/>
          <w:sz w:val="22"/>
          <w:szCs w:val="22"/>
        </w:rPr>
      </w:pPr>
      <w:r w:rsidRPr="00882949">
        <w:rPr>
          <w:rFonts w:asciiTheme="minorHAnsi" w:hAnsiTheme="minorHAnsi" w:cstheme="minorHAnsi"/>
          <w:b/>
          <w:bCs/>
          <w:color w:val="auto"/>
          <w:sz w:val="22"/>
          <w:szCs w:val="22"/>
        </w:rPr>
        <w:t>Horizontal Segregation</w:t>
      </w:r>
    </w:p>
    <w:p w14:paraId="222D58C4"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i/>
          <w:iCs/>
          <w:color w:val="auto"/>
          <w:sz w:val="22"/>
          <w:szCs w:val="22"/>
        </w:rPr>
        <w:t>"The concentration of women and men in different occupations, sectors, or roles within an industry. In the water sector, horizontal segregation typically confines women to administrative, financial, and support functions while men occupy technical, operational, and engineering positions."</w:t>
      </w:r>
      <w:r w:rsidRPr="00556170">
        <w:rPr>
          <w:rFonts w:asciiTheme="minorHAnsi" w:hAnsiTheme="minorHAnsi" w:cstheme="minorHAnsi"/>
          <w:color w:val="auto"/>
          <w:sz w:val="22"/>
          <w:szCs w:val="22"/>
        </w:rPr>
        <w:t xml:space="preserve"> (EIGE Glossary, 2023; adapted)</w:t>
      </w:r>
    </w:p>
    <w:p w14:paraId="175BE22B" w14:textId="77777777" w:rsidR="00115CE5" w:rsidRPr="00882949" w:rsidRDefault="00115CE5" w:rsidP="00E73104">
      <w:pPr>
        <w:jc w:val="both"/>
        <w:rPr>
          <w:rFonts w:asciiTheme="minorHAnsi" w:hAnsiTheme="minorHAnsi" w:cstheme="minorHAnsi"/>
          <w:color w:val="auto"/>
          <w:sz w:val="24"/>
          <w:szCs w:val="24"/>
        </w:rPr>
      </w:pPr>
    </w:p>
    <w:p w14:paraId="40B31BEA" w14:textId="77777777" w:rsidR="00E03741" w:rsidRPr="00882949" w:rsidRDefault="00E03741" w:rsidP="00556170">
      <w:pPr>
        <w:rPr>
          <w:rFonts w:asciiTheme="minorHAnsi" w:hAnsiTheme="minorHAnsi" w:cstheme="minorHAnsi"/>
          <w:b/>
          <w:bCs/>
          <w:color w:val="auto"/>
          <w:sz w:val="22"/>
          <w:szCs w:val="22"/>
        </w:rPr>
      </w:pPr>
      <w:r w:rsidRPr="00882949">
        <w:rPr>
          <w:rFonts w:asciiTheme="minorHAnsi" w:hAnsiTheme="minorHAnsi" w:cstheme="minorHAnsi"/>
          <w:b/>
          <w:bCs/>
          <w:color w:val="auto"/>
          <w:sz w:val="22"/>
          <w:szCs w:val="22"/>
        </w:rPr>
        <w:t>Conflict-Related Sexual Violence (CRSV)</w:t>
      </w:r>
    </w:p>
    <w:p w14:paraId="3242B4A4"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i/>
          <w:iCs/>
          <w:color w:val="auto"/>
          <w:sz w:val="22"/>
          <w:szCs w:val="22"/>
        </w:rPr>
        <w:t>"Sexual violence, including rape, sexual slavery, forced prostitution, forced pregnancy, enforced sterilization, or any other form of sexual violence of comparable gravity, that is perpetrated in the context of and directly linked to armed conflict or political repression."</w:t>
      </w:r>
      <w:r w:rsidRPr="00556170">
        <w:rPr>
          <w:rFonts w:asciiTheme="minorHAnsi" w:hAnsiTheme="minorHAnsi" w:cstheme="minorHAnsi"/>
          <w:color w:val="auto"/>
          <w:sz w:val="22"/>
          <w:szCs w:val="22"/>
        </w:rPr>
        <w:t xml:space="preserve"> (UN Security Council Resolution 1960, 2010)</w:t>
      </w:r>
    </w:p>
    <w:p w14:paraId="78FE4A49" w14:textId="77777777" w:rsidR="00556170" w:rsidRPr="00556170" w:rsidRDefault="00556170" w:rsidP="00E73104">
      <w:pPr>
        <w:jc w:val="both"/>
        <w:rPr>
          <w:rFonts w:asciiTheme="minorHAnsi" w:hAnsiTheme="minorHAnsi" w:cstheme="minorHAnsi"/>
          <w:color w:val="auto"/>
          <w:sz w:val="22"/>
          <w:szCs w:val="22"/>
        </w:rPr>
      </w:pPr>
    </w:p>
    <w:p w14:paraId="4418C474" w14:textId="77777777" w:rsidR="00E03741" w:rsidRPr="0021754B" w:rsidRDefault="00E03741" w:rsidP="00556170">
      <w:pPr>
        <w:rPr>
          <w:rFonts w:asciiTheme="minorHAnsi" w:hAnsiTheme="minorHAnsi" w:cstheme="minorHAnsi"/>
          <w:b/>
          <w:bCs/>
          <w:color w:val="auto"/>
          <w:sz w:val="22"/>
          <w:szCs w:val="22"/>
        </w:rPr>
      </w:pPr>
      <w:r w:rsidRPr="0021754B">
        <w:rPr>
          <w:rFonts w:asciiTheme="minorHAnsi" w:hAnsiTheme="minorHAnsi" w:cstheme="minorHAnsi"/>
          <w:b/>
          <w:bCs/>
          <w:color w:val="auto"/>
          <w:sz w:val="22"/>
          <w:szCs w:val="22"/>
        </w:rPr>
        <w:t>De Jure / De Facto</w:t>
      </w:r>
    </w:p>
    <w:p w14:paraId="05357DEC"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color w:val="auto"/>
          <w:sz w:val="22"/>
          <w:szCs w:val="22"/>
        </w:rPr>
        <w:t xml:space="preserve">De jure (Latin: ‘by law’) refers to formal legal rights, obligations, or conditions established through legislation, constitutions, or ratified conventions. De facto (Latin: ‘in fact’) refers to actual conditions and </w:t>
      </w:r>
      <w:proofErr w:type="gramStart"/>
      <w:r w:rsidRPr="00556170">
        <w:rPr>
          <w:rFonts w:asciiTheme="minorHAnsi" w:hAnsiTheme="minorHAnsi" w:cstheme="minorHAnsi"/>
          <w:color w:val="auto"/>
          <w:sz w:val="22"/>
          <w:szCs w:val="22"/>
        </w:rPr>
        <w:t>practices in reality</w:t>
      </w:r>
      <w:proofErr w:type="gramEnd"/>
      <w:r w:rsidRPr="00556170">
        <w:rPr>
          <w:rFonts w:asciiTheme="minorHAnsi" w:hAnsiTheme="minorHAnsi" w:cstheme="minorHAnsi"/>
          <w:color w:val="auto"/>
          <w:sz w:val="22"/>
          <w:szCs w:val="22"/>
        </w:rPr>
        <w:t>. In gender equality governance, the de jure framework refers to enacted laws and policies; the de facto situation refers to their enforcement and measurable outcomes.</w:t>
      </w:r>
    </w:p>
    <w:p w14:paraId="3923A0D6" w14:textId="77777777" w:rsidR="00556170" w:rsidRPr="00556170" w:rsidRDefault="00556170" w:rsidP="00E73104">
      <w:pPr>
        <w:jc w:val="both"/>
        <w:rPr>
          <w:rFonts w:asciiTheme="minorHAnsi" w:hAnsiTheme="minorHAnsi" w:cstheme="minorHAnsi"/>
          <w:color w:val="auto"/>
          <w:sz w:val="22"/>
          <w:szCs w:val="22"/>
        </w:rPr>
      </w:pPr>
    </w:p>
    <w:p w14:paraId="702C69CC" w14:textId="77777777" w:rsidR="00E03741" w:rsidRPr="0021754B" w:rsidRDefault="00E03741" w:rsidP="0021754B">
      <w:pPr>
        <w:rPr>
          <w:rFonts w:asciiTheme="minorHAnsi" w:hAnsiTheme="minorHAnsi" w:cstheme="minorHAnsi"/>
          <w:b/>
          <w:bCs/>
          <w:color w:val="000000" w:themeColor="text1"/>
          <w:sz w:val="22"/>
          <w:szCs w:val="22"/>
        </w:rPr>
      </w:pPr>
      <w:r w:rsidRPr="0021754B">
        <w:rPr>
          <w:rFonts w:asciiTheme="minorHAnsi" w:hAnsiTheme="minorHAnsi" w:cstheme="minorHAnsi"/>
          <w:b/>
          <w:bCs/>
          <w:color w:val="000000" w:themeColor="text1"/>
          <w:sz w:val="22"/>
          <w:szCs w:val="22"/>
        </w:rPr>
        <w:t>Transboundary Aquifer</w:t>
      </w:r>
    </w:p>
    <w:p w14:paraId="72E3B79C"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i/>
          <w:iCs/>
          <w:color w:val="auto"/>
          <w:sz w:val="22"/>
          <w:szCs w:val="22"/>
        </w:rPr>
        <w:t>"A groundwater body that straddles international borders, necessitating cooperative management arrangements among the sharing states in order to prevent overexploitation, contamination, or unilateral depletion."</w:t>
      </w:r>
      <w:r w:rsidRPr="00556170">
        <w:rPr>
          <w:rFonts w:asciiTheme="minorHAnsi" w:hAnsiTheme="minorHAnsi" w:cstheme="minorHAnsi"/>
          <w:color w:val="auto"/>
          <w:sz w:val="22"/>
          <w:szCs w:val="22"/>
        </w:rPr>
        <w:t xml:space="preserve"> (UNESCO-IHP, 2022)</w:t>
      </w:r>
    </w:p>
    <w:p w14:paraId="2507C94B" w14:textId="77777777" w:rsidR="00E03741" w:rsidRPr="00556170" w:rsidRDefault="00E03741" w:rsidP="00E73104">
      <w:pPr>
        <w:jc w:val="both"/>
        <w:rPr>
          <w:rFonts w:asciiTheme="minorHAnsi" w:hAnsiTheme="minorHAnsi" w:cstheme="minorHAnsi"/>
          <w:color w:val="auto"/>
          <w:sz w:val="22"/>
          <w:szCs w:val="22"/>
        </w:rPr>
      </w:pPr>
      <w:r w:rsidRPr="00556170">
        <w:rPr>
          <w:rFonts w:asciiTheme="minorHAnsi" w:hAnsiTheme="minorHAnsi" w:cstheme="minorHAnsi"/>
          <w:color w:val="auto"/>
          <w:sz w:val="22"/>
          <w:szCs w:val="22"/>
        </w:rPr>
        <w:br w:type="page"/>
      </w:r>
    </w:p>
    <w:p w14:paraId="36C21232" w14:textId="77777777" w:rsidR="00E03741" w:rsidRPr="00556170" w:rsidRDefault="00E03741" w:rsidP="00E73104">
      <w:pPr>
        <w:pStyle w:val="Naslov1"/>
        <w:pBdr>
          <w:bottom w:val="single" w:sz="8" w:space="4" w:color="2E75B6"/>
        </w:pBdr>
        <w:spacing w:before="0" w:after="0"/>
        <w:jc w:val="both"/>
        <w:rPr>
          <w:rFonts w:asciiTheme="minorHAnsi" w:hAnsiTheme="minorHAnsi" w:cstheme="minorHAnsi"/>
          <w:sz w:val="22"/>
          <w:szCs w:val="22"/>
        </w:rPr>
      </w:pPr>
      <w:bookmarkStart w:id="2" w:name="_Toc224128585"/>
      <w:r w:rsidRPr="00556170">
        <w:rPr>
          <w:rFonts w:asciiTheme="minorHAnsi" w:eastAsia="Arial" w:hAnsiTheme="minorHAnsi" w:cstheme="minorHAnsi"/>
          <w:b/>
          <w:bCs/>
          <w:color w:val="1F4E79"/>
          <w:sz w:val="22"/>
          <w:szCs w:val="22"/>
        </w:rPr>
        <w:lastRenderedPageBreak/>
        <w:t>ACRONYMS</w:t>
      </w:r>
      <w:bookmarkEnd w:id="2"/>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6960"/>
      </w:tblGrid>
      <w:tr w:rsidR="00504978" w:rsidRPr="00504978" w14:paraId="08B19D45" w14:textId="77777777" w:rsidTr="003B022E">
        <w:trPr>
          <w:tblHeader/>
        </w:trPr>
        <w:tc>
          <w:tcPr>
            <w:tcW w:w="240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4E40DABC" w14:textId="77777777" w:rsidR="00E03741" w:rsidRPr="00504978" w:rsidRDefault="00E03741" w:rsidP="00504978">
            <w:pPr>
              <w:jc w:val="both"/>
              <w:rPr>
                <w:rFonts w:asciiTheme="minorHAnsi" w:hAnsiTheme="minorHAnsi" w:cstheme="minorHAnsi"/>
                <w:color w:val="FFFFFF" w:themeColor="background1"/>
              </w:rPr>
            </w:pPr>
            <w:r w:rsidRPr="00504978">
              <w:rPr>
                <w:rFonts w:asciiTheme="minorHAnsi" w:hAnsiTheme="minorHAnsi" w:cstheme="minorHAnsi"/>
                <w:b/>
                <w:bCs/>
                <w:color w:val="FFFFFF" w:themeColor="background1"/>
              </w:rPr>
              <w:t>Acronym / Abbreviation</w:t>
            </w:r>
          </w:p>
        </w:tc>
        <w:tc>
          <w:tcPr>
            <w:tcW w:w="696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29143E95" w14:textId="77777777" w:rsidR="00E03741" w:rsidRPr="00504978" w:rsidRDefault="00E03741" w:rsidP="00504978">
            <w:pPr>
              <w:jc w:val="both"/>
              <w:rPr>
                <w:rFonts w:asciiTheme="minorHAnsi" w:hAnsiTheme="minorHAnsi" w:cstheme="minorHAnsi"/>
                <w:color w:val="FFFFFF" w:themeColor="background1"/>
              </w:rPr>
            </w:pPr>
            <w:r w:rsidRPr="00504978">
              <w:rPr>
                <w:rFonts w:asciiTheme="minorHAnsi" w:hAnsiTheme="minorHAnsi" w:cstheme="minorHAnsi"/>
                <w:b/>
                <w:bCs/>
                <w:color w:val="FFFFFF" w:themeColor="background1"/>
              </w:rPr>
              <w:t>Full Form</w:t>
            </w:r>
          </w:p>
        </w:tc>
      </w:tr>
      <w:tr w:rsidR="00504978" w:rsidRPr="00504978" w14:paraId="64549201"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0EB09F4"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BHAS</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3E99DB8"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Agency for Statistics of Bosnia and Herzegovina</w:t>
            </w:r>
          </w:p>
        </w:tc>
      </w:tr>
      <w:tr w:rsidR="00504978" w:rsidRPr="00504978" w14:paraId="47F6168E"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B721B70"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CEDAW</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39360D2"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Convention on the Elimination of All Forms of Discrimination Against Women</w:t>
            </w:r>
          </w:p>
        </w:tc>
      </w:tr>
      <w:tr w:rsidR="00504978" w:rsidRPr="00504978" w14:paraId="34A5B3A1"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6CC1D40"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DIKTAS II</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F8B0E06"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Dinaric Karst Transboundary Aquifer System Phase II Project</w:t>
            </w:r>
          </w:p>
        </w:tc>
      </w:tr>
      <w:tr w:rsidR="00504978" w:rsidRPr="00504978" w14:paraId="24E984A1"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3E8EAD9"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EBRD</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9866BFD"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European Bank for Reconstruction and Development</w:t>
            </w:r>
          </w:p>
        </w:tc>
      </w:tr>
      <w:tr w:rsidR="00504978" w:rsidRPr="00504978" w14:paraId="0C4D77D7"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D91E56A"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EIGE</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11ACD94"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European Institute for Gender Equality</w:t>
            </w:r>
          </w:p>
        </w:tc>
      </w:tr>
      <w:tr w:rsidR="00504978" w:rsidRPr="00504978" w14:paraId="620A2EE7"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2FB3B1D"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EU</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B17905D"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European Union</w:t>
            </w:r>
          </w:p>
        </w:tc>
      </w:tr>
      <w:tr w:rsidR="00504978" w:rsidRPr="00504978" w14:paraId="6BEDB54F"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BB63C12"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FAO</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92B4472"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Food and Agriculture Organization of the United Nations</w:t>
            </w:r>
          </w:p>
        </w:tc>
      </w:tr>
      <w:tr w:rsidR="00504978" w:rsidRPr="00504978" w14:paraId="4EC9949B"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951871F" w14:textId="449DF5CB" w:rsidR="00E03741" w:rsidRPr="00504978" w:rsidRDefault="00E03741" w:rsidP="00504978">
            <w:pPr>
              <w:jc w:val="both"/>
              <w:rPr>
                <w:rFonts w:asciiTheme="minorHAnsi" w:hAnsiTheme="minorHAnsi" w:cstheme="minorHAnsi"/>
                <w:color w:val="000000" w:themeColor="text1"/>
              </w:rPr>
            </w:pPr>
            <w:proofErr w:type="spellStart"/>
            <w:r w:rsidRPr="00504978">
              <w:rPr>
                <w:rFonts w:asciiTheme="minorHAnsi" w:hAnsiTheme="minorHAnsi" w:cstheme="minorHAnsi"/>
                <w:color w:val="000000" w:themeColor="text1"/>
              </w:rPr>
              <w:t>F</w:t>
            </w:r>
            <w:r w:rsidR="00E74B51" w:rsidRPr="00504978">
              <w:rPr>
                <w:rFonts w:asciiTheme="minorHAnsi" w:hAnsiTheme="minorHAnsi" w:cstheme="minorHAnsi"/>
                <w:color w:val="000000" w:themeColor="text1"/>
              </w:rPr>
              <w:t>b</w:t>
            </w:r>
            <w:r w:rsidRPr="00504978">
              <w:rPr>
                <w:rFonts w:asciiTheme="minorHAnsi" w:hAnsiTheme="minorHAnsi" w:cstheme="minorHAnsi"/>
                <w:color w:val="000000" w:themeColor="text1"/>
              </w:rPr>
              <w:t>iH</w:t>
            </w:r>
            <w:proofErr w:type="spellEnd"/>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7B967A2"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Federation of Bosnia and Herzegovina</w:t>
            </w:r>
          </w:p>
        </w:tc>
      </w:tr>
      <w:tr w:rsidR="00504978" w:rsidRPr="00504978" w14:paraId="4C9B8630"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656E796"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FIGAP</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EFF20D5"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Financial Mechanism for the Implementation of the Gender Action Plan (BiH)</w:t>
            </w:r>
          </w:p>
        </w:tc>
      </w:tr>
      <w:tr w:rsidR="00504978" w:rsidRPr="00504978" w14:paraId="62E238CD"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577AE31"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GAP</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B623D9B"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Gender Action Plan (Bosnia and Herzegovina)</w:t>
            </w:r>
          </w:p>
        </w:tc>
      </w:tr>
      <w:tr w:rsidR="00504978" w:rsidRPr="00504978" w14:paraId="7365F194"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BA9F3FB"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GBV</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201A00D"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Gender-Based Violence</w:t>
            </w:r>
          </w:p>
        </w:tc>
      </w:tr>
      <w:tr w:rsidR="00504978" w:rsidRPr="00504978" w14:paraId="4FA737DE"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8F1B952"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GEE</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C5F50AF"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Gender Equality Employee (Albania)</w:t>
            </w:r>
          </w:p>
        </w:tc>
      </w:tr>
      <w:tr w:rsidR="00504978" w:rsidRPr="00504978" w14:paraId="24DB4407"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D1727DF"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GEF</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C618940"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Global Environment Facility</w:t>
            </w:r>
          </w:p>
        </w:tc>
      </w:tr>
      <w:tr w:rsidR="00504978" w:rsidRPr="00504978" w14:paraId="5F1E87C3"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ACD89FA"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GPI</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A32EF99"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Gender Parity Index</w:t>
            </w:r>
          </w:p>
        </w:tc>
      </w:tr>
      <w:tr w:rsidR="00504978" w:rsidRPr="00504978" w14:paraId="3C349D39"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14B331C"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GRB</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CF488E6"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Gender-Responsive Budgeting</w:t>
            </w:r>
          </w:p>
        </w:tc>
      </w:tr>
      <w:tr w:rsidR="00504978" w:rsidRPr="00504978" w14:paraId="6634F655"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98059FD"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GWP</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C092749"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Global Water Partnership</w:t>
            </w:r>
          </w:p>
        </w:tc>
      </w:tr>
      <w:tr w:rsidR="00504978" w:rsidRPr="00504978" w14:paraId="6A99F908"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8DAFA6A"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INSTAT</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3C57EB0"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Institute of Statistics of Albania</w:t>
            </w:r>
          </w:p>
        </w:tc>
      </w:tr>
      <w:tr w:rsidR="00504978" w:rsidRPr="00504978" w14:paraId="3733803D"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FF3929B"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IPMG</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E4C10F6"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Integrated Policy Management Group (Albania)</w:t>
            </w:r>
          </w:p>
        </w:tc>
      </w:tr>
      <w:tr w:rsidR="00504978" w:rsidRPr="00504978" w14:paraId="65C624C7"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DCB79F4"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IPCC</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2125EA9"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Intergovernmental Panel on Climate Change</w:t>
            </w:r>
          </w:p>
        </w:tc>
      </w:tr>
      <w:tr w:rsidR="00504978" w:rsidRPr="00504978" w14:paraId="31B57E22"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D7DC6A6"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IPV</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D3ABEC5"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Intimate Partner Violence</w:t>
            </w:r>
          </w:p>
        </w:tc>
      </w:tr>
      <w:tr w:rsidR="00504978" w:rsidRPr="00504978" w14:paraId="3B08D98C"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AB4ADC7"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IWRM</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07B7373"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Integrated Water Resources Management</w:t>
            </w:r>
          </w:p>
        </w:tc>
      </w:tr>
      <w:tr w:rsidR="00504978" w:rsidRPr="00504978" w14:paraId="20B62260"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D8E905F"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LGBTI</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1457569"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Lesbian, Gay, Bisexual, Transgender and Intersex</w:t>
            </w:r>
          </w:p>
        </w:tc>
      </w:tr>
      <w:tr w:rsidR="00504978" w:rsidRPr="00504978" w14:paraId="72B42D57"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6517F91"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MARDWA</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F97841C"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Ministry of Agriculture, Rural Development and Water Administration (Albania)</w:t>
            </w:r>
          </w:p>
        </w:tc>
      </w:tr>
      <w:tr w:rsidR="00504978" w:rsidRPr="00504978" w14:paraId="2588FE34"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53C5686"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MIE</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6D00627"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Ministry of Infrastructure and Energy (Albania)</w:t>
            </w:r>
          </w:p>
        </w:tc>
      </w:tr>
      <w:tr w:rsidR="00504978" w:rsidRPr="00504978" w14:paraId="48304123"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38CEA6F"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MONSTAT</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00A5A20"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Statistical Office of Montenegro</w:t>
            </w:r>
          </w:p>
        </w:tc>
      </w:tr>
      <w:tr w:rsidR="00504978" w:rsidRPr="00504978" w14:paraId="57B38C93"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E3FA870"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ND-GAIN</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B2DD0E3"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Notre Dame Global Adaptation Initiative</w:t>
            </w:r>
          </w:p>
        </w:tc>
      </w:tr>
      <w:tr w:rsidR="00504978" w:rsidRPr="00504978" w14:paraId="6FDA4EEE"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E24C3D6"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NSGE</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379B9D2"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National Strategy for Gender Equality (Albania)</w:t>
            </w:r>
          </w:p>
        </w:tc>
      </w:tr>
      <w:tr w:rsidR="00504978" w:rsidRPr="00504978" w14:paraId="01A3AF2D"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512EFA8"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OSCE</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280C8C9"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Organization for Security and Co-operation in Europe</w:t>
            </w:r>
          </w:p>
        </w:tc>
      </w:tr>
      <w:tr w:rsidR="00504978" w:rsidRPr="00504978" w14:paraId="0F4F222B"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F83F0E4"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RCC</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3BD46BB"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Regional Cooperation Council</w:t>
            </w:r>
          </w:p>
        </w:tc>
      </w:tr>
      <w:tr w:rsidR="00504978" w:rsidRPr="00504978" w14:paraId="7A301A74"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9DE81DE"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lastRenderedPageBreak/>
              <w:t>REGAGEN</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8290EF9"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Energy and Water Regulatory Agency (Montenegro)</w:t>
            </w:r>
          </w:p>
        </w:tc>
      </w:tr>
      <w:tr w:rsidR="00504978" w:rsidRPr="00504978" w14:paraId="7876868E"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273D698"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RS</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0FC41D6" w14:textId="77777777" w:rsidR="00E03741" w:rsidRPr="00504978" w:rsidRDefault="00E03741" w:rsidP="00504978">
            <w:pPr>
              <w:jc w:val="both"/>
              <w:rPr>
                <w:rFonts w:asciiTheme="minorHAnsi" w:hAnsiTheme="minorHAnsi" w:cstheme="minorHAnsi"/>
                <w:color w:val="000000" w:themeColor="text1"/>
              </w:rPr>
            </w:pPr>
            <w:proofErr w:type="spellStart"/>
            <w:r w:rsidRPr="00504978">
              <w:rPr>
                <w:rFonts w:asciiTheme="minorHAnsi" w:hAnsiTheme="minorHAnsi" w:cstheme="minorHAnsi"/>
                <w:color w:val="000000" w:themeColor="text1"/>
              </w:rPr>
              <w:t>Republika</w:t>
            </w:r>
            <w:proofErr w:type="spellEnd"/>
            <w:r w:rsidRPr="00504978">
              <w:rPr>
                <w:rFonts w:asciiTheme="minorHAnsi" w:hAnsiTheme="minorHAnsi" w:cstheme="minorHAnsi"/>
                <w:color w:val="000000" w:themeColor="text1"/>
              </w:rPr>
              <w:t xml:space="preserve"> Srpska (Bosnia and Herzegovina)</w:t>
            </w:r>
          </w:p>
        </w:tc>
      </w:tr>
      <w:tr w:rsidR="00504978" w:rsidRPr="00504978" w14:paraId="00F7B8FC"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614F14A"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SAP</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C799FE4"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 xml:space="preserve">Strategic Action </w:t>
            </w:r>
            <w:proofErr w:type="spellStart"/>
            <w:r w:rsidRPr="00504978">
              <w:rPr>
                <w:rFonts w:asciiTheme="minorHAnsi" w:hAnsiTheme="minorHAnsi" w:cstheme="minorHAnsi"/>
                <w:color w:val="000000" w:themeColor="text1"/>
              </w:rPr>
              <w:t>Programme</w:t>
            </w:r>
            <w:proofErr w:type="spellEnd"/>
          </w:p>
        </w:tc>
      </w:tr>
      <w:tr w:rsidR="00504978" w:rsidRPr="00504978" w14:paraId="7E855DA9"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A805624"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SDG</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8757E91"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Sustainable Development Goal</w:t>
            </w:r>
          </w:p>
        </w:tc>
      </w:tr>
      <w:tr w:rsidR="00504978" w:rsidRPr="00504978" w14:paraId="52D048B2"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D670631"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STEM</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46571EC"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Science, Technology, Engineering and Mathematics</w:t>
            </w:r>
          </w:p>
        </w:tc>
      </w:tr>
      <w:tr w:rsidR="00504978" w:rsidRPr="00504978" w14:paraId="485FA5A0"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B81A5F7"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TUS</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7C8AB47"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Time Use Survey</w:t>
            </w:r>
          </w:p>
        </w:tc>
      </w:tr>
      <w:tr w:rsidR="00504978" w:rsidRPr="00504978" w14:paraId="2FB57319"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861B502"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UN Women</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769C4F2"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United Nations Entity for Gender Equality and the Empowerment of Women</w:t>
            </w:r>
          </w:p>
        </w:tc>
      </w:tr>
      <w:tr w:rsidR="00504978" w:rsidRPr="00504978" w14:paraId="1651069B"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F0D513C"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UNDP</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CF24BC2"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 xml:space="preserve">United Nations Development </w:t>
            </w:r>
            <w:proofErr w:type="spellStart"/>
            <w:r w:rsidRPr="00504978">
              <w:rPr>
                <w:rFonts w:asciiTheme="minorHAnsi" w:hAnsiTheme="minorHAnsi" w:cstheme="minorHAnsi"/>
                <w:color w:val="000000" w:themeColor="text1"/>
              </w:rPr>
              <w:t>Programme</w:t>
            </w:r>
            <w:proofErr w:type="spellEnd"/>
          </w:p>
        </w:tc>
      </w:tr>
      <w:tr w:rsidR="00504978" w:rsidRPr="00504978" w14:paraId="5F4BD8D3"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D771378"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UNESCO</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C32AE0D"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United Nations Educational, Scientific and Cultural Organization</w:t>
            </w:r>
          </w:p>
        </w:tc>
      </w:tr>
      <w:tr w:rsidR="00504978" w:rsidRPr="00504978" w14:paraId="444F4779"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BCA0804"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UNECE</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0A27AD7"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United Nations Economic Commission for Europe</w:t>
            </w:r>
          </w:p>
        </w:tc>
      </w:tr>
      <w:tr w:rsidR="00504978" w:rsidRPr="00504978" w14:paraId="04FE3248"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075BDBB"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WEF</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FFC816E"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World Economic Forum</w:t>
            </w:r>
          </w:p>
        </w:tc>
      </w:tr>
      <w:tr w:rsidR="00504978" w:rsidRPr="00504978" w14:paraId="6AB5302F"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6DB950D"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CBS</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0F1E398"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Croatian Bureau of Statistics</w:t>
            </w:r>
          </w:p>
        </w:tc>
      </w:tr>
      <w:tr w:rsidR="00504978" w:rsidRPr="00504978" w14:paraId="14DC4D30"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4065F7A"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CRSV</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389B472"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Conflict-Related Sexual Violence</w:t>
            </w:r>
          </w:p>
        </w:tc>
      </w:tr>
      <w:tr w:rsidR="00504978" w:rsidRPr="00504978" w14:paraId="7EF34371"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289E0C2"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FRA</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E8066C4"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Fundamental Rights Agency of the European Union</w:t>
            </w:r>
          </w:p>
        </w:tc>
      </w:tr>
      <w:tr w:rsidR="00504978" w:rsidRPr="00504978" w14:paraId="5435ECD3"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56F48E0"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GIZ</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94B98E9"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 xml:space="preserve">Deutsche Gesellschaft für </w:t>
            </w:r>
            <w:proofErr w:type="spellStart"/>
            <w:r w:rsidRPr="00504978">
              <w:rPr>
                <w:rFonts w:asciiTheme="minorHAnsi" w:hAnsiTheme="minorHAnsi" w:cstheme="minorHAnsi"/>
                <w:color w:val="000000" w:themeColor="text1"/>
              </w:rPr>
              <w:t>Internationale</w:t>
            </w:r>
            <w:proofErr w:type="spellEnd"/>
            <w:r w:rsidRPr="00504978">
              <w:rPr>
                <w:rFonts w:asciiTheme="minorHAnsi" w:hAnsiTheme="minorHAnsi" w:cstheme="minorHAnsi"/>
                <w:color w:val="000000" w:themeColor="text1"/>
              </w:rPr>
              <w:t xml:space="preserve"> Zusammenarbeit (German Development Agency)</w:t>
            </w:r>
          </w:p>
        </w:tc>
      </w:tr>
      <w:tr w:rsidR="00504978" w:rsidRPr="00504978" w14:paraId="61628FA4"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3CB2DC0"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GREVIO</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4A6E316"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Group of Experts on Action against Violence against Women and Domestic Violence (Council of Europe)</w:t>
            </w:r>
          </w:p>
        </w:tc>
      </w:tr>
      <w:tr w:rsidR="00504978" w:rsidRPr="00504978" w14:paraId="42B89013"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D2D7FD1"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HRW</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58D245A"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Human Rights Watch</w:t>
            </w:r>
          </w:p>
        </w:tc>
      </w:tr>
      <w:tr w:rsidR="00504978" w:rsidRPr="00504978" w14:paraId="66464DDC"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D7BFAA6"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ILO</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84B92A9"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 xml:space="preserve">International </w:t>
            </w:r>
            <w:proofErr w:type="spellStart"/>
            <w:r w:rsidRPr="00504978">
              <w:rPr>
                <w:rFonts w:asciiTheme="minorHAnsi" w:hAnsiTheme="minorHAnsi" w:cstheme="minorHAnsi"/>
                <w:color w:val="000000" w:themeColor="text1"/>
              </w:rPr>
              <w:t>Labour</w:t>
            </w:r>
            <w:proofErr w:type="spellEnd"/>
            <w:r w:rsidRPr="00504978">
              <w:rPr>
                <w:rFonts w:asciiTheme="minorHAnsi" w:hAnsiTheme="minorHAnsi" w:cstheme="minorHAnsi"/>
                <w:color w:val="000000" w:themeColor="text1"/>
              </w:rPr>
              <w:t xml:space="preserve"> Organization</w:t>
            </w:r>
          </w:p>
        </w:tc>
      </w:tr>
      <w:tr w:rsidR="00504978" w:rsidRPr="00504978" w14:paraId="6B2DCD01"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225E36A"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IPU</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29221F6"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Inter-Parliamentary Union</w:t>
            </w:r>
          </w:p>
        </w:tc>
      </w:tr>
      <w:tr w:rsidR="00504978" w:rsidRPr="00504978" w14:paraId="46C58F67"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71E9C45"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JMP</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C5DD51D"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 xml:space="preserve">Joint Monitoring </w:t>
            </w:r>
            <w:proofErr w:type="spellStart"/>
            <w:r w:rsidRPr="00504978">
              <w:rPr>
                <w:rFonts w:asciiTheme="minorHAnsi" w:hAnsiTheme="minorHAnsi" w:cstheme="minorHAnsi"/>
                <w:color w:val="000000" w:themeColor="text1"/>
              </w:rPr>
              <w:t>Programme</w:t>
            </w:r>
            <w:proofErr w:type="spellEnd"/>
            <w:r w:rsidRPr="00504978">
              <w:rPr>
                <w:rFonts w:asciiTheme="minorHAnsi" w:hAnsiTheme="minorHAnsi" w:cstheme="minorHAnsi"/>
                <w:color w:val="000000" w:themeColor="text1"/>
              </w:rPr>
              <w:t xml:space="preserve"> (WHO/UNICEF)</w:t>
            </w:r>
          </w:p>
        </w:tc>
      </w:tr>
      <w:tr w:rsidR="00504978" w:rsidRPr="00504978" w14:paraId="5C7F81BA"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41B4267"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LFPR</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4CF370B" w14:textId="77777777" w:rsidR="00E03741" w:rsidRPr="00504978" w:rsidRDefault="00E03741" w:rsidP="00504978">
            <w:pPr>
              <w:jc w:val="both"/>
              <w:rPr>
                <w:rFonts w:asciiTheme="minorHAnsi" w:hAnsiTheme="minorHAnsi" w:cstheme="minorHAnsi"/>
                <w:color w:val="000000" w:themeColor="text1"/>
              </w:rPr>
            </w:pPr>
            <w:proofErr w:type="spellStart"/>
            <w:r w:rsidRPr="00504978">
              <w:rPr>
                <w:rFonts w:asciiTheme="minorHAnsi" w:hAnsiTheme="minorHAnsi" w:cstheme="minorHAnsi"/>
                <w:color w:val="000000" w:themeColor="text1"/>
              </w:rPr>
              <w:t>Labour</w:t>
            </w:r>
            <w:proofErr w:type="spellEnd"/>
            <w:r w:rsidRPr="00504978">
              <w:rPr>
                <w:rFonts w:asciiTheme="minorHAnsi" w:hAnsiTheme="minorHAnsi" w:cstheme="minorHAnsi"/>
                <w:color w:val="000000" w:themeColor="text1"/>
              </w:rPr>
              <w:t xml:space="preserve"> Force Participation Rate</w:t>
            </w:r>
          </w:p>
        </w:tc>
      </w:tr>
      <w:tr w:rsidR="00504978" w:rsidRPr="00504978" w14:paraId="3270A46F"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2A0A985"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MICS</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8940AD8"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Multiple Indicator Cluster Surveys (UNICEF)</w:t>
            </w:r>
          </w:p>
        </w:tc>
      </w:tr>
      <w:tr w:rsidR="00504978" w:rsidRPr="00504978" w14:paraId="5CB6F55A"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661175C"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TDA</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5C9E083"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Transboundary Diagnostic Analysis</w:t>
            </w:r>
          </w:p>
        </w:tc>
      </w:tr>
      <w:tr w:rsidR="00504978" w:rsidRPr="00504978" w14:paraId="684244CB"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1EF6FF5"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WFD</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9A70A49"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EU Water Framework Directive</w:t>
            </w:r>
          </w:p>
        </w:tc>
      </w:tr>
      <w:tr w:rsidR="00504978" w:rsidRPr="00504978" w14:paraId="168FCE57"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1561B61"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WHO</w:t>
            </w:r>
          </w:p>
        </w:tc>
        <w:tc>
          <w:tcPr>
            <w:tcW w:w="696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F6526D6"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World Health Organization</w:t>
            </w:r>
          </w:p>
        </w:tc>
      </w:tr>
      <w:tr w:rsidR="00504978" w:rsidRPr="00504978" w14:paraId="135A0BAE" w14:textId="77777777" w:rsidTr="003B022E">
        <w:tc>
          <w:tcPr>
            <w:tcW w:w="24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5EB96FB"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WWAP</w:t>
            </w:r>
          </w:p>
        </w:tc>
        <w:tc>
          <w:tcPr>
            <w:tcW w:w="696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A0BD793"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t xml:space="preserve">World Water Assessment </w:t>
            </w:r>
            <w:proofErr w:type="spellStart"/>
            <w:r w:rsidRPr="00504978">
              <w:rPr>
                <w:rFonts w:asciiTheme="minorHAnsi" w:hAnsiTheme="minorHAnsi" w:cstheme="minorHAnsi"/>
                <w:color w:val="000000" w:themeColor="text1"/>
              </w:rPr>
              <w:t>Programme</w:t>
            </w:r>
            <w:proofErr w:type="spellEnd"/>
          </w:p>
        </w:tc>
      </w:tr>
    </w:tbl>
    <w:p w14:paraId="007ECD8F" w14:textId="77777777" w:rsidR="00E03741" w:rsidRPr="00504978" w:rsidRDefault="00E03741" w:rsidP="00504978">
      <w:pPr>
        <w:jc w:val="both"/>
        <w:rPr>
          <w:rFonts w:asciiTheme="minorHAnsi" w:hAnsiTheme="minorHAnsi" w:cstheme="minorHAnsi"/>
          <w:color w:val="000000" w:themeColor="text1"/>
        </w:rPr>
      </w:pPr>
      <w:r w:rsidRPr="00504978">
        <w:rPr>
          <w:rFonts w:asciiTheme="minorHAnsi" w:hAnsiTheme="minorHAnsi" w:cstheme="minorHAnsi"/>
          <w:color w:val="000000" w:themeColor="text1"/>
        </w:rPr>
        <w:br w:type="page"/>
      </w:r>
    </w:p>
    <w:p w14:paraId="1BA09508" w14:textId="77777777" w:rsidR="00E03741" w:rsidRPr="00556170" w:rsidRDefault="00E03741" w:rsidP="00E73104">
      <w:pPr>
        <w:pStyle w:val="Naslov1"/>
        <w:pBdr>
          <w:bottom w:val="single" w:sz="8" w:space="4" w:color="2E75B6"/>
        </w:pBdr>
        <w:spacing w:before="0" w:after="0"/>
        <w:jc w:val="both"/>
        <w:rPr>
          <w:rFonts w:asciiTheme="minorHAnsi" w:hAnsiTheme="minorHAnsi" w:cstheme="minorHAnsi"/>
          <w:sz w:val="22"/>
          <w:szCs w:val="22"/>
        </w:rPr>
      </w:pPr>
      <w:bookmarkStart w:id="3" w:name="_Toc224128586"/>
      <w:r w:rsidRPr="00556170">
        <w:rPr>
          <w:rFonts w:asciiTheme="minorHAnsi" w:eastAsia="Arial" w:hAnsiTheme="minorHAnsi" w:cstheme="minorHAnsi"/>
          <w:b/>
          <w:bCs/>
          <w:color w:val="1F4E79"/>
          <w:sz w:val="22"/>
          <w:szCs w:val="22"/>
        </w:rPr>
        <w:lastRenderedPageBreak/>
        <w:t>EXECUTIVE SUMMARY</w:t>
      </w:r>
      <w:bookmarkEnd w:id="3"/>
    </w:p>
    <w:p w14:paraId="7A822294" w14:textId="5F5F68E8" w:rsidR="00E03741" w:rsidRPr="005861FD" w:rsidRDefault="00E03741" w:rsidP="00E73104">
      <w:pPr>
        <w:jc w:val="both"/>
        <w:rPr>
          <w:rFonts w:asciiTheme="minorHAnsi" w:hAnsiTheme="minorHAnsi" w:cstheme="minorHAnsi"/>
          <w:color w:val="auto"/>
          <w:sz w:val="22"/>
          <w:szCs w:val="22"/>
        </w:rPr>
      </w:pPr>
      <w:r w:rsidRPr="005861FD">
        <w:rPr>
          <w:rFonts w:asciiTheme="minorHAnsi" w:hAnsiTheme="minorHAnsi" w:cstheme="minorHAnsi"/>
          <w:color w:val="auto"/>
          <w:sz w:val="22"/>
          <w:szCs w:val="22"/>
        </w:rPr>
        <w:t xml:space="preserve">This Regional Water Sector Gender Analysis (DIKTAS II Output 6.2) synthesizes findings from four national gender analyses covering Albania, Bosnia and Herzegovina, Croatia, and Montenegro within the Dinaric Karst Aquifer System. It applies the ‘Water as an Asset, Service, and Space’ framework (World Bank, 2017) to examine how gender shapes participation in water sector employment, access to water services, and influence over water governance. A cross-cutting Section 8 documents the nexus between water insecurity, GBV, and climate change for the first time in the regional evidence base. The analysis is intended to inform the DIKTAS II Strategic Action </w:t>
      </w:r>
      <w:proofErr w:type="spellStart"/>
      <w:r w:rsidRPr="005861FD">
        <w:rPr>
          <w:rFonts w:asciiTheme="minorHAnsi" w:hAnsiTheme="minorHAnsi" w:cstheme="minorHAnsi"/>
          <w:color w:val="auto"/>
          <w:sz w:val="22"/>
          <w:szCs w:val="22"/>
        </w:rPr>
        <w:t>Programme</w:t>
      </w:r>
      <w:proofErr w:type="spellEnd"/>
      <w:r w:rsidRPr="005861FD">
        <w:rPr>
          <w:rFonts w:asciiTheme="minorHAnsi" w:hAnsiTheme="minorHAnsi" w:cstheme="minorHAnsi"/>
          <w:color w:val="auto"/>
          <w:sz w:val="22"/>
          <w:szCs w:val="22"/>
        </w:rPr>
        <w:t xml:space="preserve"> and support EU accession-aligned gender mainstreaming reforms in all four countries.</w:t>
      </w:r>
    </w:p>
    <w:p w14:paraId="6D7588D4" w14:textId="77777777" w:rsidR="00E03741" w:rsidRPr="00556170" w:rsidRDefault="00E03741" w:rsidP="00E73104">
      <w:pPr>
        <w:jc w:val="both"/>
        <w:rPr>
          <w:rFonts w:asciiTheme="minorHAnsi" w:hAnsiTheme="minorHAnsi" w:cstheme="minorHAnsi"/>
          <w:sz w:val="22"/>
          <w:szCs w:val="22"/>
        </w:rPr>
      </w:pPr>
    </w:p>
    <w:p w14:paraId="510F1564" w14:textId="77777777" w:rsidR="00E03741" w:rsidRPr="00067F6C" w:rsidRDefault="00E03741" w:rsidP="00E73104">
      <w:pPr>
        <w:pBdr>
          <w:left w:val="single" w:sz="14" w:space="8" w:color="2E75B6"/>
        </w:pBdr>
        <w:shd w:val="clear" w:color="auto" w:fill="EBF3FB"/>
        <w:ind w:left="400"/>
        <w:jc w:val="both"/>
        <w:rPr>
          <w:rFonts w:asciiTheme="minorHAnsi" w:hAnsiTheme="minorHAnsi" w:cstheme="minorHAnsi"/>
          <w:color w:val="auto"/>
          <w:sz w:val="22"/>
          <w:szCs w:val="22"/>
        </w:rPr>
      </w:pPr>
      <w:r w:rsidRPr="00067F6C">
        <w:rPr>
          <w:rFonts w:asciiTheme="minorHAnsi" w:hAnsiTheme="minorHAnsi" w:cstheme="minorHAnsi"/>
          <w:b/>
          <w:bCs/>
          <w:color w:val="auto"/>
          <w:sz w:val="22"/>
          <w:szCs w:val="22"/>
        </w:rPr>
        <w:t xml:space="preserve">Core Finding — The Policy-to-Practice Gap: </w:t>
      </w:r>
      <w:r w:rsidRPr="00067F6C">
        <w:rPr>
          <w:rFonts w:asciiTheme="minorHAnsi" w:hAnsiTheme="minorHAnsi" w:cstheme="minorHAnsi"/>
          <w:color w:val="auto"/>
          <w:sz w:val="22"/>
          <w:szCs w:val="22"/>
        </w:rPr>
        <w:t>All four countries have ratified CEDAW, enacted gender equality legislation, and developed national strategies. Yet a consistent and significant gap persists between these formal commitments and their substantive implementation in the water sector. Three structural barriers drive this gap:</w:t>
      </w:r>
    </w:p>
    <w:p w14:paraId="68092605" w14:textId="77777777" w:rsidR="00564012" w:rsidRPr="00067F6C" w:rsidRDefault="00564012" w:rsidP="00564012">
      <w:pPr>
        <w:pStyle w:val="Pasussalistom"/>
        <w:ind w:left="540"/>
        <w:contextualSpacing w:val="0"/>
        <w:jc w:val="both"/>
        <w:rPr>
          <w:rFonts w:asciiTheme="minorHAnsi" w:hAnsiTheme="minorHAnsi" w:cstheme="minorHAnsi"/>
          <w:color w:val="auto"/>
          <w:sz w:val="22"/>
          <w:szCs w:val="22"/>
        </w:rPr>
      </w:pPr>
    </w:p>
    <w:p w14:paraId="4AB47837" w14:textId="2F40E7CB" w:rsidR="00E03741" w:rsidRPr="00067F6C"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067F6C">
        <w:rPr>
          <w:rFonts w:asciiTheme="minorHAnsi" w:hAnsiTheme="minorHAnsi" w:cstheme="minorHAnsi"/>
          <w:b/>
          <w:bCs/>
          <w:color w:val="auto"/>
          <w:sz w:val="22"/>
          <w:szCs w:val="22"/>
        </w:rPr>
        <w:t xml:space="preserve">Institutional weakness: </w:t>
      </w:r>
      <w:r w:rsidRPr="00067F6C">
        <w:rPr>
          <w:rFonts w:asciiTheme="minorHAnsi" w:hAnsiTheme="minorHAnsi" w:cstheme="minorHAnsi"/>
          <w:color w:val="auto"/>
          <w:sz w:val="22"/>
          <w:szCs w:val="22"/>
        </w:rPr>
        <w:t xml:space="preserve">water governance bodies lack the capacity, resources, and accountability mechanisms to </w:t>
      </w:r>
      <w:proofErr w:type="spellStart"/>
      <w:r w:rsidRPr="00067F6C">
        <w:rPr>
          <w:rFonts w:asciiTheme="minorHAnsi" w:hAnsiTheme="minorHAnsi" w:cstheme="minorHAnsi"/>
          <w:color w:val="auto"/>
          <w:sz w:val="22"/>
          <w:szCs w:val="22"/>
        </w:rPr>
        <w:t>operationalise</w:t>
      </w:r>
      <w:proofErr w:type="spellEnd"/>
      <w:r w:rsidRPr="00067F6C">
        <w:rPr>
          <w:rFonts w:asciiTheme="minorHAnsi" w:hAnsiTheme="minorHAnsi" w:cstheme="minorHAnsi"/>
          <w:color w:val="auto"/>
          <w:sz w:val="22"/>
          <w:szCs w:val="22"/>
        </w:rPr>
        <w:t xml:space="preserve"> gender equality obligations.</w:t>
      </w:r>
    </w:p>
    <w:p w14:paraId="0874BC7C" w14:textId="77777777" w:rsidR="00E03741" w:rsidRPr="00067F6C"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067F6C">
        <w:rPr>
          <w:rFonts w:asciiTheme="minorHAnsi" w:hAnsiTheme="minorHAnsi" w:cstheme="minorHAnsi"/>
          <w:b/>
          <w:bCs/>
          <w:color w:val="auto"/>
          <w:sz w:val="22"/>
          <w:szCs w:val="22"/>
        </w:rPr>
        <w:t xml:space="preserve">Traditional gender norms: </w:t>
      </w:r>
      <w:r w:rsidRPr="00067F6C">
        <w:rPr>
          <w:rFonts w:asciiTheme="minorHAnsi" w:hAnsiTheme="minorHAnsi" w:cstheme="minorHAnsi"/>
          <w:color w:val="auto"/>
          <w:sz w:val="22"/>
          <w:szCs w:val="22"/>
        </w:rPr>
        <w:t xml:space="preserve">deeply ingrained cultural expectations channel women into administrative roles, restrict land and asset ownership, and impose </w:t>
      </w:r>
      <w:proofErr w:type="gramStart"/>
      <w:r w:rsidRPr="00067F6C">
        <w:rPr>
          <w:rFonts w:asciiTheme="minorHAnsi" w:hAnsiTheme="minorHAnsi" w:cstheme="minorHAnsi"/>
          <w:color w:val="auto"/>
          <w:sz w:val="22"/>
          <w:szCs w:val="22"/>
        </w:rPr>
        <w:t>the majority of</w:t>
      </w:r>
      <w:proofErr w:type="gramEnd"/>
      <w:r w:rsidRPr="00067F6C">
        <w:rPr>
          <w:rFonts w:asciiTheme="minorHAnsi" w:hAnsiTheme="minorHAnsi" w:cstheme="minorHAnsi"/>
          <w:color w:val="auto"/>
          <w:sz w:val="22"/>
          <w:szCs w:val="22"/>
        </w:rPr>
        <w:t xml:space="preserve"> unpaid care work on women.</w:t>
      </w:r>
    </w:p>
    <w:p w14:paraId="016FA71C" w14:textId="48789C9A" w:rsidR="00E03741" w:rsidRPr="00067F6C"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067F6C">
        <w:rPr>
          <w:rFonts w:asciiTheme="minorHAnsi" w:hAnsiTheme="minorHAnsi" w:cstheme="minorHAnsi"/>
          <w:b/>
          <w:bCs/>
          <w:color w:val="auto"/>
          <w:sz w:val="22"/>
          <w:szCs w:val="22"/>
        </w:rPr>
        <w:t xml:space="preserve">Data deficits: </w:t>
      </w:r>
      <w:r w:rsidRPr="00067F6C">
        <w:rPr>
          <w:rFonts w:asciiTheme="minorHAnsi" w:hAnsiTheme="minorHAnsi" w:cstheme="minorHAnsi"/>
          <w:color w:val="auto"/>
          <w:sz w:val="22"/>
          <w:szCs w:val="22"/>
        </w:rPr>
        <w:t xml:space="preserve">critical gaps in gender-disaggregated </w:t>
      </w:r>
      <w:proofErr w:type="gramStart"/>
      <w:r w:rsidRPr="00067F6C">
        <w:rPr>
          <w:rFonts w:asciiTheme="minorHAnsi" w:hAnsiTheme="minorHAnsi" w:cstheme="minorHAnsi"/>
          <w:color w:val="auto"/>
          <w:sz w:val="22"/>
          <w:szCs w:val="22"/>
        </w:rPr>
        <w:t>data</w:t>
      </w:r>
      <w:proofErr w:type="gramEnd"/>
      <w:r w:rsidRPr="00067F6C">
        <w:rPr>
          <w:rFonts w:asciiTheme="minorHAnsi" w:hAnsiTheme="minorHAnsi" w:cstheme="minorHAnsi"/>
          <w:color w:val="auto"/>
          <w:sz w:val="22"/>
          <w:szCs w:val="22"/>
        </w:rPr>
        <w:t xml:space="preserve"> especially in the water </w:t>
      </w:r>
      <w:proofErr w:type="gramStart"/>
      <w:r w:rsidRPr="00067F6C">
        <w:rPr>
          <w:rFonts w:asciiTheme="minorHAnsi" w:hAnsiTheme="minorHAnsi" w:cstheme="minorHAnsi"/>
          <w:color w:val="auto"/>
          <w:sz w:val="22"/>
          <w:szCs w:val="22"/>
        </w:rPr>
        <w:t>sector</w:t>
      </w:r>
      <w:proofErr w:type="gramEnd"/>
      <w:r w:rsidRPr="00067F6C">
        <w:rPr>
          <w:rFonts w:asciiTheme="minorHAnsi" w:hAnsiTheme="minorHAnsi" w:cstheme="minorHAnsi"/>
          <w:color w:val="auto"/>
          <w:sz w:val="22"/>
          <w:szCs w:val="22"/>
        </w:rPr>
        <w:t xml:space="preserve"> prevent evidence-based policymaking, baseline measurement, and progress monitoring.</w:t>
      </w:r>
    </w:p>
    <w:p w14:paraId="336A8A48" w14:textId="77777777" w:rsidR="00E03741" w:rsidRPr="00556170" w:rsidRDefault="00E03741" w:rsidP="00E73104">
      <w:pPr>
        <w:jc w:val="both"/>
        <w:rPr>
          <w:rFonts w:asciiTheme="minorHAnsi" w:hAnsiTheme="minorHAnsi" w:cstheme="minorHAnsi"/>
          <w:sz w:val="22"/>
          <w:szCs w:val="22"/>
        </w:rPr>
      </w:pPr>
    </w:p>
    <w:p w14:paraId="50AA3E3D" w14:textId="77777777" w:rsidR="00E03741" w:rsidRPr="004A2791" w:rsidRDefault="00E03741" w:rsidP="00E73104">
      <w:pPr>
        <w:jc w:val="both"/>
        <w:rPr>
          <w:rFonts w:asciiTheme="minorHAnsi" w:hAnsiTheme="minorHAnsi" w:cstheme="minorHAnsi"/>
          <w:color w:val="auto"/>
          <w:sz w:val="22"/>
          <w:szCs w:val="22"/>
        </w:rPr>
      </w:pPr>
      <w:r w:rsidRPr="004A2791">
        <w:rPr>
          <w:rFonts w:asciiTheme="minorHAnsi" w:hAnsiTheme="minorHAnsi" w:cstheme="minorHAnsi"/>
          <w:b/>
          <w:bCs/>
          <w:color w:val="auto"/>
          <w:sz w:val="22"/>
          <w:szCs w:val="22"/>
        </w:rPr>
        <w:t>Key Findings by Analytical Dimension</w:t>
      </w:r>
    </w:p>
    <w:p w14:paraId="2E228CB1" w14:textId="77777777" w:rsidR="00E03741" w:rsidRPr="004A2791" w:rsidRDefault="00E03741" w:rsidP="00E73104">
      <w:pPr>
        <w:jc w:val="both"/>
        <w:rPr>
          <w:rFonts w:asciiTheme="minorHAnsi" w:hAnsiTheme="minorHAnsi" w:cstheme="minorHAnsi"/>
          <w:color w:val="auto"/>
          <w:sz w:val="22"/>
          <w:szCs w:val="22"/>
        </w:rPr>
      </w:pPr>
    </w:p>
    <w:p w14:paraId="7E7C36AB" w14:textId="77777777" w:rsidR="00E03741" w:rsidRPr="004A2791" w:rsidRDefault="00E03741" w:rsidP="00E73104">
      <w:pPr>
        <w:jc w:val="both"/>
        <w:rPr>
          <w:rFonts w:asciiTheme="minorHAnsi" w:hAnsiTheme="minorHAnsi" w:cstheme="minorHAnsi"/>
          <w:color w:val="auto"/>
          <w:sz w:val="22"/>
          <w:szCs w:val="22"/>
        </w:rPr>
      </w:pPr>
      <w:r w:rsidRPr="004A2791">
        <w:rPr>
          <w:rFonts w:asciiTheme="minorHAnsi" w:hAnsiTheme="minorHAnsi" w:cstheme="minorHAnsi"/>
          <w:b/>
          <w:bCs/>
          <w:color w:val="auto"/>
          <w:sz w:val="22"/>
          <w:szCs w:val="22"/>
        </w:rPr>
        <w:t>Water as an Asset — Employment and Economic Access:</w:t>
      </w:r>
    </w:p>
    <w:p w14:paraId="7E4A2C30" w14:textId="77777777" w:rsidR="00E03741" w:rsidRPr="004A2791"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4A2791">
        <w:rPr>
          <w:rFonts w:asciiTheme="minorHAnsi" w:hAnsiTheme="minorHAnsi" w:cstheme="minorHAnsi"/>
          <w:b/>
          <w:bCs/>
          <w:color w:val="auto"/>
          <w:sz w:val="22"/>
          <w:szCs w:val="22"/>
        </w:rPr>
        <w:t xml:space="preserve">Albania: </w:t>
      </w:r>
      <w:r w:rsidRPr="004A2791">
        <w:rPr>
          <w:rFonts w:asciiTheme="minorHAnsi" w:hAnsiTheme="minorHAnsi" w:cstheme="minorHAnsi"/>
          <w:color w:val="auto"/>
          <w:sz w:val="22"/>
          <w:szCs w:val="22"/>
        </w:rPr>
        <w:t xml:space="preserve">women represent 10–40% of water utility staff (2021), concentrated in administrative roles; only 8% of women own land (INSTAT, 2023); female agricultural </w:t>
      </w:r>
      <w:r w:rsidRPr="00A92C6D">
        <w:rPr>
          <w:rFonts w:asciiTheme="minorHAnsi" w:hAnsiTheme="minorHAnsi" w:cstheme="minorHAnsi"/>
          <w:color w:val="auto"/>
          <w:sz w:val="22"/>
          <w:szCs w:val="22"/>
          <w:lang w:val="en-GB"/>
        </w:rPr>
        <w:t>labour</w:t>
      </w:r>
      <w:r w:rsidRPr="004A2791">
        <w:rPr>
          <w:rFonts w:asciiTheme="minorHAnsi" w:hAnsiTheme="minorHAnsi" w:cstheme="minorHAnsi"/>
          <w:color w:val="auto"/>
          <w:sz w:val="22"/>
          <w:szCs w:val="22"/>
        </w:rPr>
        <w:t xml:space="preserve"> contributes 17.7% of GDP yet only 19% of subsidy applicants in 2019 were women (UN Women Albania, 2024).</w:t>
      </w:r>
    </w:p>
    <w:p w14:paraId="7E8E2731" w14:textId="77777777" w:rsidR="00E03741" w:rsidRPr="004A2791"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4A2791">
        <w:rPr>
          <w:rFonts w:asciiTheme="minorHAnsi" w:hAnsiTheme="minorHAnsi" w:cstheme="minorHAnsi"/>
          <w:b/>
          <w:bCs/>
          <w:color w:val="auto"/>
          <w:sz w:val="22"/>
          <w:szCs w:val="22"/>
        </w:rPr>
        <w:t xml:space="preserve">Bosnia and Herzegovina: </w:t>
      </w:r>
      <w:r w:rsidRPr="004A2791">
        <w:rPr>
          <w:rFonts w:asciiTheme="minorHAnsi" w:hAnsiTheme="minorHAnsi" w:cstheme="minorHAnsi"/>
          <w:color w:val="auto"/>
          <w:sz w:val="22"/>
          <w:szCs w:val="22"/>
        </w:rPr>
        <w:t>gender pay gap 22–24% (2023; BHAS); women constitute 67% of unpaid household assistants (UN Women, 2022); men own over 70% of land and 74% of dwellings (BHAS, 2022).</w:t>
      </w:r>
    </w:p>
    <w:p w14:paraId="2E828973" w14:textId="77777777" w:rsidR="00E03741" w:rsidRPr="004A2791"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4A2791">
        <w:rPr>
          <w:rFonts w:asciiTheme="minorHAnsi" w:hAnsiTheme="minorHAnsi" w:cstheme="minorHAnsi"/>
          <w:b/>
          <w:bCs/>
          <w:color w:val="auto"/>
          <w:sz w:val="22"/>
          <w:szCs w:val="22"/>
        </w:rPr>
        <w:t xml:space="preserve">Croatia: </w:t>
      </w:r>
      <w:r w:rsidRPr="004A2791">
        <w:rPr>
          <w:rFonts w:asciiTheme="minorHAnsi" w:hAnsiTheme="minorHAnsi" w:cstheme="minorHAnsi"/>
          <w:color w:val="auto"/>
          <w:sz w:val="22"/>
          <w:szCs w:val="22"/>
        </w:rPr>
        <w:t>women comprise 46.8% of Croatian Waters staff (2025) but 0% of General Director positions; 11.1% gender wage gap and 24.8% pension gap (Eurostat, 2023); 59.9% of university graduates are women yet the female employment rate is the 5th lowest in the EU.</w:t>
      </w:r>
    </w:p>
    <w:p w14:paraId="60DFC3FD" w14:textId="77777777" w:rsidR="00E03741" w:rsidRPr="004A2791"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4A2791">
        <w:rPr>
          <w:rFonts w:asciiTheme="minorHAnsi" w:hAnsiTheme="minorHAnsi" w:cstheme="minorHAnsi"/>
          <w:b/>
          <w:bCs/>
          <w:color w:val="auto"/>
          <w:sz w:val="22"/>
          <w:szCs w:val="22"/>
        </w:rPr>
        <w:t xml:space="preserve">Montenegro: </w:t>
      </w:r>
      <w:r w:rsidRPr="004A2791">
        <w:rPr>
          <w:rFonts w:asciiTheme="minorHAnsi" w:hAnsiTheme="minorHAnsi" w:cstheme="minorHAnsi"/>
          <w:color w:val="auto"/>
          <w:sz w:val="22"/>
          <w:szCs w:val="22"/>
        </w:rPr>
        <w:t>less than 20% of water sector workers are women (World Bank, 2019); only 13% of family farm holders are women; women contribute 44% of GDP yet constitute 73% of family workers (UN Montenegro, 2025).</w:t>
      </w:r>
    </w:p>
    <w:p w14:paraId="036E9821" w14:textId="77777777" w:rsidR="00E03741" w:rsidRPr="004A2791" w:rsidRDefault="00E03741" w:rsidP="00E73104">
      <w:pPr>
        <w:jc w:val="both"/>
        <w:rPr>
          <w:rFonts w:asciiTheme="minorHAnsi" w:hAnsiTheme="minorHAnsi" w:cstheme="minorHAnsi"/>
          <w:color w:val="auto"/>
          <w:sz w:val="22"/>
          <w:szCs w:val="22"/>
        </w:rPr>
      </w:pPr>
    </w:p>
    <w:p w14:paraId="44CEEDF3" w14:textId="77777777" w:rsidR="00E03741" w:rsidRPr="004A2791" w:rsidRDefault="00E03741" w:rsidP="00E73104">
      <w:pPr>
        <w:jc w:val="both"/>
        <w:rPr>
          <w:rFonts w:asciiTheme="minorHAnsi" w:hAnsiTheme="minorHAnsi" w:cstheme="minorHAnsi"/>
          <w:color w:val="auto"/>
          <w:sz w:val="22"/>
          <w:szCs w:val="22"/>
        </w:rPr>
      </w:pPr>
      <w:r w:rsidRPr="004A2791">
        <w:rPr>
          <w:rFonts w:asciiTheme="minorHAnsi" w:hAnsiTheme="minorHAnsi" w:cstheme="minorHAnsi"/>
          <w:b/>
          <w:bCs/>
          <w:color w:val="auto"/>
          <w:sz w:val="22"/>
          <w:szCs w:val="22"/>
        </w:rPr>
        <w:t>Water as a Service — Time Burden and Infrastructure Access:</w:t>
      </w:r>
    </w:p>
    <w:p w14:paraId="518B5373" w14:textId="2A6DFC9F" w:rsidR="00E03741" w:rsidRPr="004A2791"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4A2791">
        <w:rPr>
          <w:rFonts w:asciiTheme="minorHAnsi" w:hAnsiTheme="minorHAnsi" w:cstheme="minorHAnsi"/>
          <w:b/>
          <w:bCs/>
          <w:color w:val="auto"/>
          <w:sz w:val="22"/>
          <w:szCs w:val="22"/>
        </w:rPr>
        <w:t xml:space="preserve">Albania: </w:t>
      </w:r>
      <w:r w:rsidRPr="004A2791">
        <w:rPr>
          <w:rFonts w:asciiTheme="minorHAnsi" w:hAnsiTheme="minorHAnsi" w:cstheme="minorHAnsi"/>
          <w:color w:val="auto"/>
          <w:sz w:val="22"/>
          <w:szCs w:val="22"/>
        </w:rPr>
        <w:t>women spend 24.7% of time on unpaid care compared with 3.5% for men</w:t>
      </w:r>
      <w:r w:rsidR="00F07FD7">
        <w:rPr>
          <w:rFonts w:asciiTheme="minorHAnsi" w:hAnsiTheme="minorHAnsi" w:cstheme="minorHAnsi"/>
          <w:color w:val="auto"/>
          <w:sz w:val="22"/>
          <w:szCs w:val="22"/>
        </w:rPr>
        <w:t>,</w:t>
      </w:r>
      <w:r w:rsidRPr="004A2791">
        <w:rPr>
          <w:rFonts w:asciiTheme="minorHAnsi" w:hAnsiTheme="minorHAnsi" w:cstheme="minorHAnsi"/>
          <w:color w:val="auto"/>
          <w:sz w:val="22"/>
          <w:szCs w:val="22"/>
        </w:rPr>
        <w:t xml:space="preserve"> a 6:1 ratio (INSTAT TUS, 2011); approximately 20% of the rural population lacks piped water access (WHO/UNICEF JMP, 2022), with women primarily responsible for collection.</w:t>
      </w:r>
    </w:p>
    <w:p w14:paraId="690D4A40" w14:textId="77777777" w:rsidR="00E03741" w:rsidRPr="004A2791"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4A2791">
        <w:rPr>
          <w:rFonts w:asciiTheme="minorHAnsi" w:hAnsiTheme="minorHAnsi" w:cstheme="minorHAnsi"/>
          <w:b/>
          <w:bCs/>
          <w:color w:val="auto"/>
          <w:sz w:val="22"/>
          <w:szCs w:val="22"/>
        </w:rPr>
        <w:t xml:space="preserve">Bosnia and Herzegovina: </w:t>
      </w:r>
      <w:r w:rsidRPr="004A2791">
        <w:rPr>
          <w:rFonts w:asciiTheme="minorHAnsi" w:hAnsiTheme="minorHAnsi" w:cstheme="minorHAnsi"/>
          <w:color w:val="auto"/>
          <w:sz w:val="22"/>
          <w:szCs w:val="22"/>
        </w:rPr>
        <w:t>women spend over 6 hours per day on unpaid care compared with approximately 3 hours for men (UN Women, 2023); only 46% of the population has safely managed drinking water access (WHO/UNICEF JMP, 2022).</w:t>
      </w:r>
    </w:p>
    <w:p w14:paraId="3DE67389" w14:textId="77777777" w:rsidR="00E03741" w:rsidRPr="004A2791"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4A2791">
        <w:rPr>
          <w:rFonts w:asciiTheme="minorHAnsi" w:hAnsiTheme="minorHAnsi" w:cstheme="minorHAnsi"/>
          <w:b/>
          <w:bCs/>
          <w:color w:val="auto"/>
          <w:sz w:val="22"/>
          <w:szCs w:val="22"/>
        </w:rPr>
        <w:lastRenderedPageBreak/>
        <w:t xml:space="preserve">Croatia: </w:t>
      </w:r>
      <w:r w:rsidRPr="004A2791">
        <w:rPr>
          <w:rFonts w:asciiTheme="minorHAnsi" w:hAnsiTheme="minorHAnsi" w:cstheme="minorHAnsi"/>
          <w:color w:val="auto"/>
          <w:sz w:val="22"/>
          <w:szCs w:val="22"/>
        </w:rPr>
        <w:t>EU’s largest gender gap in unpaid care (EIGE ‘Time’ score: 48.6/100; 2024) and a 17-hour weekly total working-hours gap between women and men (</w:t>
      </w:r>
      <w:proofErr w:type="spellStart"/>
      <w:r w:rsidRPr="004A2791">
        <w:rPr>
          <w:rFonts w:asciiTheme="minorHAnsi" w:hAnsiTheme="minorHAnsi" w:cstheme="minorHAnsi"/>
          <w:color w:val="auto"/>
          <w:sz w:val="22"/>
          <w:szCs w:val="22"/>
        </w:rPr>
        <w:t>Eurofound</w:t>
      </w:r>
      <w:proofErr w:type="spellEnd"/>
      <w:r w:rsidRPr="004A2791">
        <w:rPr>
          <w:rFonts w:asciiTheme="minorHAnsi" w:hAnsiTheme="minorHAnsi" w:cstheme="minorHAnsi"/>
          <w:color w:val="auto"/>
          <w:sz w:val="22"/>
          <w:szCs w:val="22"/>
        </w:rPr>
        <w:t>, 2022).</w:t>
      </w:r>
    </w:p>
    <w:p w14:paraId="4CEB1307" w14:textId="77777777" w:rsidR="00E03741" w:rsidRPr="004A2791"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4A2791">
        <w:rPr>
          <w:rFonts w:asciiTheme="minorHAnsi" w:hAnsiTheme="minorHAnsi" w:cstheme="minorHAnsi"/>
          <w:b/>
          <w:bCs/>
          <w:color w:val="auto"/>
          <w:sz w:val="22"/>
          <w:szCs w:val="22"/>
        </w:rPr>
        <w:t xml:space="preserve">Montenegro: </w:t>
      </w:r>
      <w:r w:rsidRPr="004A2791">
        <w:rPr>
          <w:rFonts w:asciiTheme="minorHAnsi" w:hAnsiTheme="minorHAnsi" w:cstheme="minorHAnsi"/>
          <w:color w:val="auto"/>
          <w:sz w:val="22"/>
          <w:szCs w:val="22"/>
        </w:rPr>
        <w:t>73% of family workers are women yet only 24% of self-employed are women (UN Montenegro, 2025); no national time-use survey has ever been conducted.</w:t>
      </w:r>
      <w:r w:rsidRPr="004A2791">
        <w:rPr>
          <w:rStyle w:val="Referencafusnote"/>
          <w:rFonts w:asciiTheme="minorHAnsi" w:hAnsiTheme="minorHAnsi" w:cstheme="minorHAnsi"/>
          <w:color w:val="auto"/>
          <w:sz w:val="22"/>
          <w:szCs w:val="22"/>
        </w:rPr>
        <w:footnoteReference w:id="2"/>
      </w:r>
    </w:p>
    <w:p w14:paraId="7145DF96" w14:textId="77777777" w:rsidR="00E03741" w:rsidRPr="004A2791" w:rsidRDefault="00E03741" w:rsidP="00E73104">
      <w:pPr>
        <w:jc w:val="both"/>
        <w:rPr>
          <w:rFonts w:asciiTheme="minorHAnsi" w:hAnsiTheme="minorHAnsi" w:cstheme="minorHAnsi"/>
          <w:color w:val="auto"/>
          <w:sz w:val="22"/>
          <w:szCs w:val="22"/>
        </w:rPr>
      </w:pPr>
    </w:p>
    <w:p w14:paraId="209F7AD9" w14:textId="77777777" w:rsidR="00E03741" w:rsidRPr="004A2791" w:rsidRDefault="00E03741" w:rsidP="00E73104">
      <w:pPr>
        <w:jc w:val="both"/>
        <w:rPr>
          <w:rFonts w:asciiTheme="minorHAnsi" w:hAnsiTheme="minorHAnsi" w:cstheme="minorHAnsi"/>
          <w:color w:val="auto"/>
          <w:sz w:val="22"/>
          <w:szCs w:val="22"/>
        </w:rPr>
      </w:pPr>
      <w:r w:rsidRPr="004A2791">
        <w:rPr>
          <w:rFonts w:asciiTheme="minorHAnsi" w:hAnsiTheme="minorHAnsi" w:cstheme="minorHAnsi"/>
          <w:b/>
          <w:bCs/>
          <w:color w:val="auto"/>
          <w:sz w:val="22"/>
          <w:szCs w:val="22"/>
        </w:rPr>
        <w:t xml:space="preserve">Water as </w:t>
      </w:r>
      <w:proofErr w:type="gramStart"/>
      <w:r w:rsidRPr="004A2791">
        <w:rPr>
          <w:rFonts w:asciiTheme="minorHAnsi" w:hAnsiTheme="minorHAnsi" w:cstheme="minorHAnsi"/>
          <w:b/>
          <w:bCs/>
          <w:color w:val="auto"/>
          <w:sz w:val="22"/>
          <w:szCs w:val="22"/>
        </w:rPr>
        <w:t>a Space —</w:t>
      </w:r>
      <w:proofErr w:type="gramEnd"/>
      <w:r w:rsidRPr="004A2791">
        <w:rPr>
          <w:rFonts w:asciiTheme="minorHAnsi" w:hAnsiTheme="minorHAnsi" w:cstheme="minorHAnsi"/>
          <w:b/>
          <w:bCs/>
          <w:color w:val="auto"/>
          <w:sz w:val="22"/>
          <w:szCs w:val="22"/>
        </w:rPr>
        <w:t xml:space="preserve"> Governance and Decision-Making:</w:t>
      </w:r>
    </w:p>
    <w:p w14:paraId="2138AC54" w14:textId="120B1FE9" w:rsidR="00E03741" w:rsidRPr="004A2791"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4A2791">
        <w:rPr>
          <w:rFonts w:asciiTheme="minorHAnsi" w:hAnsiTheme="minorHAnsi" w:cstheme="minorHAnsi"/>
          <w:b/>
          <w:bCs/>
          <w:color w:val="auto"/>
          <w:sz w:val="22"/>
          <w:szCs w:val="22"/>
        </w:rPr>
        <w:t xml:space="preserve">Albania: </w:t>
      </w:r>
      <w:r w:rsidRPr="004A2791">
        <w:rPr>
          <w:rFonts w:asciiTheme="minorHAnsi" w:hAnsiTheme="minorHAnsi" w:cstheme="minorHAnsi"/>
          <w:color w:val="auto"/>
          <w:sz w:val="22"/>
          <w:szCs w:val="22"/>
        </w:rPr>
        <w:t>35% of parliamentary seats (IPU, May 2025) and 44.4% of cabinet positions held by women (2025); GEE embedded in the National Water Council’s IPMG</w:t>
      </w:r>
      <w:r w:rsidR="00D42893">
        <w:rPr>
          <w:rFonts w:asciiTheme="minorHAnsi" w:hAnsiTheme="minorHAnsi" w:cstheme="minorHAnsi"/>
          <w:color w:val="auto"/>
          <w:sz w:val="22"/>
          <w:szCs w:val="22"/>
        </w:rPr>
        <w:t>,</w:t>
      </w:r>
      <w:r w:rsidRPr="004A2791">
        <w:rPr>
          <w:rFonts w:asciiTheme="minorHAnsi" w:hAnsiTheme="minorHAnsi" w:cstheme="minorHAnsi"/>
          <w:color w:val="auto"/>
          <w:sz w:val="22"/>
          <w:szCs w:val="22"/>
        </w:rPr>
        <w:t xml:space="preserve"> the most advanced gender integration mechanism in regional water governance.</w:t>
      </w:r>
    </w:p>
    <w:p w14:paraId="1637CFA9" w14:textId="3846372D" w:rsidR="00E03741" w:rsidRPr="004A2791"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4A2791">
        <w:rPr>
          <w:rFonts w:asciiTheme="minorHAnsi" w:hAnsiTheme="minorHAnsi" w:cstheme="minorHAnsi"/>
          <w:b/>
          <w:bCs/>
          <w:color w:val="auto"/>
          <w:sz w:val="22"/>
          <w:szCs w:val="22"/>
        </w:rPr>
        <w:t xml:space="preserve">Bosnia and Herzegovina: </w:t>
      </w:r>
      <w:r w:rsidRPr="004A2791">
        <w:rPr>
          <w:rFonts w:asciiTheme="minorHAnsi" w:hAnsiTheme="minorHAnsi" w:cstheme="minorHAnsi"/>
          <w:color w:val="auto"/>
          <w:sz w:val="22"/>
          <w:szCs w:val="22"/>
        </w:rPr>
        <w:t>despite a 40% electoral quota, only 19.1% of parliamentary seats held by women (Equal Future Eurasia, 2024) the lowest since 2010; women hold only 8 of 142 mayoral positions.</w:t>
      </w:r>
    </w:p>
    <w:p w14:paraId="76264242" w14:textId="430F5E08" w:rsidR="00E03741" w:rsidRPr="004A2791"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4A2791">
        <w:rPr>
          <w:rFonts w:asciiTheme="minorHAnsi" w:hAnsiTheme="minorHAnsi" w:cstheme="minorHAnsi"/>
          <w:b/>
          <w:bCs/>
          <w:color w:val="auto"/>
          <w:sz w:val="22"/>
          <w:szCs w:val="22"/>
        </w:rPr>
        <w:t xml:space="preserve">Croatia: </w:t>
      </w:r>
      <w:r w:rsidRPr="004A2791">
        <w:rPr>
          <w:rFonts w:asciiTheme="minorHAnsi" w:hAnsiTheme="minorHAnsi" w:cstheme="minorHAnsi"/>
          <w:color w:val="auto"/>
          <w:sz w:val="22"/>
          <w:szCs w:val="22"/>
        </w:rPr>
        <w:t xml:space="preserve">EIGE Power score 49.5/100 (2024); women lead both the Ministry of Environmental Protection and </w:t>
      </w:r>
      <w:r w:rsidR="00CE711A">
        <w:rPr>
          <w:rFonts w:asciiTheme="minorHAnsi" w:hAnsiTheme="minorHAnsi" w:cstheme="minorHAnsi"/>
          <w:color w:val="auto"/>
          <w:sz w:val="22"/>
          <w:szCs w:val="22"/>
        </w:rPr>
        <w:t xml:space="preserve">Management Board of </w:t>
      </w:r>
      <w:r w:rsidRPr="004A2791">
        <w:rPr>
          <w:rFonts w:asciiTheme="minorHAnsi" w:hAnsiTheme="minorHAnsi" w:cstheme="minorHAnsi"/>
          <w:color w:val="auto"/>
          <w:sz w:val="22"/>
          <w:szCs w:val="22"/>
        </w:rPr>
        <w:t>Croatian Waters (2025) but 0% at General Director level within Croatian Waters.</w:t>
      </w:r>
    </w:p>
    <w:p w14:paraId="34C8E333" w14:textId="77777777" w:rsidR="00E03741" w:rsidRPr="004A2791"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4A2791">
        <w:rPr>
          <w:rFonts w:asciiTheme="minorHAnsi" w:hAnsiTheme="minorHAnsi" w:cstheme="minorHAnsi"/>
          <w:b/>
          <w:bCs/>
          <w:color w:val="auto"/>
          <w:sz w:val="22"/>
          <w:szCs w:val="22"/>
        </w:rPr>
        <w:t xml:space="preserve">Montenegro: </w:t>
      </w:r>
      <w:r w:rsidRPr="004A2791">
        <w:rPr>
          <w:rFonts w:asciiTheme="minorHAnsi" w:hAnsiTheme="minorHAnsi" w:cstheme="minorHAnsi"/>
          <w:color w:val="auto"/>
          <w:sz w:val="22"/>
          <w:szCs w:val="22"/>
        </w:rPr>
        <w:t>27.2% of parliamentary seats (IPU, 2023); research confirms women ‘still have little influence on major water governance decisions’ (OSCE Mission to Montenegro, 2022).</w:t>
      </w:r>
    </w:p>
    <w:p w14:paraId="19C0F3DF" w14:textId="77777777" w:rsidR="00E03741" w:rsidRPr="00556170" w:rsidRDefault="00E03741" w:rsidP="00E73104">
      <w:pPr>
        <w:jc w:val="both"/>
        <w:rPr>
          <w:rFonts w:asciiTheme="minorHAnsi" w:hAnsiTheme="minorHAnsi" w:cstheme="minorHAnsi"/>
          <w:sz w:val="22"/>
          <w:szCs w:val="22"/>
        </w:rPr>
      </w:pPr>
    </w:p>
    <w:p w14:paraId="1A586B69" w14:textId="7F1EBE90" w:rsidR="00E03741" w:rsidRPr="00556170" w:rsidRDefault="00E03741" w:rsidP="00E73104">
      <w:pPr>
        <w:pBdr>
          <w:left w:val="single" w:sz="14" w:space="8" w:color="E65100"/>
        </w:pBdr>
        <w:shd w:val="clear" w:color="auto" w:fill="FFF3E0"/>
        <w:ind w:left="400"/>
        <w:jc w:val="both"/>
        <w:rPr>
          <w:rFonts w:asciiTheme="minorHAnsi" w:hAnsiTheme="minorHAnsi" w:cstheme="minorHAnsi"/>
          <w:sz w:val="22"/>
          <w:szCs w:val="22"/>
        </w:rPr>
      </w:pPr>
      <w:r w:rsidRPr="00556170">
        <w:rPr>
          <w:rFonts w:asciiTheme="minorHAnsi" w:hAnsiTheme="minorHAnsi" w:cstheme="minorHAnsi"/>
          <w:b/>
          <w:bCs/>
          <w:color w:val="E65100"/>
          <w:sz w:val="22"/>
          <w:szCs w:val="22"/>
        </w:rPr>
        <w:t>Cross-Cutting Finding</w:t>
      </w:r>
      <w:r w:rsidR="009E1001">
        <w:rPr>
          <w:rFonts w:asciiTheme="minorHAnsi" w:hAnsiTheme="minorHAnsi" w:cstheme="minorHAnsi"/>
          <w:b/>
          <w:bCs/>
          <w:color w:val="E65100"/>
          <w:sz w:val="22"/>
          <w:szCs w:val="22"/>
        </w:rPr>
        <w:t>:</w:t>
      </w:r>
      <w:r w:rsidRPr="00556170">
        <w:rPr>
          <w:rFonts w:asciiTheme="minorHAnsi" w:hAnsiTheme="minorHAnsi" w:cstheme="minorHAnsi"/>
          <w:b/>
          <w:bCs/>
          <w:color w:val="E65100"/>
          <w:sz w:val="22"/>
          <w:szCs w:val="22"/>
        </w:rPr>
        <w:t xml:space="preserve"> The Water–GBV–Climate Nexus (Section 8): </w:t>
      </w:r>
      <w:r w:rsidRPr="009E1001">
        <w:rPr>
          <w:rFonts w:asciiTheme="minorHAnsi" w:hAnsiTheme="minorHAnsi" w:cstheme="minorHAnsi"/>
          <w:color w:val="auto"/>
          <w:sz w:val="22"/>
          <w:szCs w:val="22"/>
        </w:rPr>
        <w:t>All four countries record high GBV prevalence alongside intensifying climate-induced water stress. Five structural pathways connect water insecurity to violence against women. Bosnia and Herzegovina faces the highest compound risk: highest climate vulnerability (ND-GAIN Rank 82), approximately 48% GBV prevalence (OSCE, 2019), and the region’s lowest female parliamentary representation. The 2022 drought affected 47% of BiH’s land area and 25% of Montenegro’s territory (EEA, 2023), intensifying all five water–GBV pathways simultaneously.</w:t>
      </w:r>
    </w:p>
    <w:p w14:paraId="4D1D53DD" w14:textId="77777777" w:rsidR="00E03741" w:rsidRPr="001624A1" w:rsidRDefault="00E03741" w:rsidP="00E73104">
      <w:pPr>
        <w:jc w:val="both"/>
        <w:rPr>
          <w:rFonts w:asciiTheme="minorHAnsi" w:hAnsiTheme="minorHAnsi" w:cstheme="minorHAnsi"/>
          <w:color w:val="auto"/>
          <w:sz w:val="22"/>
          <w:szCs w:val="22"/>
        </w:rPr>
      </w:pPr>
    </w:p>
    <w:p w14:paraId="79273261" w14:textId="77777777" w:rsidR="00E03741" w:rsidRPr="001624A1" w:rsidRDefault="00E03741" w:rsidP="00E73104">
      <w:pPr>
        <w:jc w:val="both"/>
        <w:rPr>
          <w:rFonts w:asciiTheme="minorHAnsi" w:hAnsiTheme="minorHAnsi" w:cstheme="minorHAnsi"/>
          <w:color w:val="auto"/>
          <w:sz w:val="22"/>
          <w:szCs w:val="22"/>
        </w:rPr>
      </w:pPr>
      <w:r w:rsidRPr="001624A1">
        <w:rPr>
          <w:rFonts w:asciiTheme="minorHAnsi" w:hAnsiTheme="minorHAnsi" w:cstheme="minorHAnsi"/>
          <w:b/>
          <w:bCs/>
          <w:color w:val="auto"/>
          <w:sz w:val="22"/>
          <w:szCs w:val="22"/>
        </w:rPr>
        <w:t>Five Strategic Priorities for Regional Action:</w:t>
      </w:r>
    </w:p>
    <w:p w14:paraId="6FC49F0F" w14:textId="1AB679FB" w:rsidR="00E03741" w:rsidRPr="00077E1E" w:rsidRDefault="00E03741" w:rsidP="00077E1E">
      <w:pPr>
        <w:pStyle w:val="Pasussalistom"/>
        <w:numPr>
          <w:ilvl w:val="0"/>
          <w:numId w:val="18"/>
        </w:numPr>
        <w:jc w:val="both"/>
        <w:rPr>
          <w:rFonts w:asciiTheme="minorHAnsi" w:hAnsiTheme="minorHAnsi" w:cstheme="minorHAnsi"/>
          <w:color w:val="auto"/>
          <w:sz w:val="22"/>
          <w:szCs w:val="22"/>
        </w:rPr>
      </w:pPr>
      <w:r w:rsidRPr="00A92C6D">
        <w:rPr>
          <w:rFonts w:asciiTheme="minorHAnsi" w:hAnsiTheme="minorHAnsi" w:cstheme="minorHAnsi"/>
          <w:b/>
          <w:bCs/>
          <w:color w:val="auto"/>
          <w:sz w:val="22"/>
          <w:szCs w:val="22"/>
          <w:lang w:val="en-GB"/>
        </w:rPr>
        <w:t>Harmonised</w:t>
      </w:r>
      <w:r w:rsidRPr="00077E1E">
        <w:rPr>
          <w:rFonts w:asciiTheme="minorHAnsi" w:hAnsiTheme="minorHAnsi" w:cstheme="minorHAnsi"/>
          <w:b/>
          <w:bCs/>
          <w:color w:val="auto"/>
          <w:sz w:val="22"/>
          <w:szCs w:val="22"/>
        </w:rPr>
        <w:t xml:space="preserve"> sex-disaggregated data standards: </w:t>
      </w:r>
      <w:r w:rsidRPr="00077E1E">
        <w:rPr>
          <w:rFonts w:asciiTheme="minorHAnsi" w:hAnsiTheme="minorHAnsi" w:cstheme="minorHAnsi"/>
          <w:color w:val="auto"/>
          <w:sz w:val="22"/>
          <w:szCs w:val="22"/>
        </w:rPr>
        <w:t>covering water sector employment, time-use burdens, asset ownership, and governance participation (UNESCO-WWAP toolkit as reference framework).</w:t>
      </w:r>
    </w:p>
    <w:p w14:paraId="6516EAF9" w14:textId="54AEA683" w:rsidR="00E03741" w:rsidRPr="00077E1E" w:rsidRDefault="00E03741" w:rsidP="00077E1E">
      <w:pPr>
        <w:pStyle w:val="Pasussalistom"/>
        <w:numPr>
          <w:ilvl w:val="0"/>
          <w:numId w:val="18"/>
        </w:numPr>
        <w:jc w:val="both"/>
        <w:rPr>
          <w:rFonts w:asciiTheme="minorHAnsi" w:hAnsiTheme="minorHAnsi" w:cstheme="minorHAnsi"/>
          <w:color w:val="auto"/>
          <w:sz w:val="22"/>
          <w:szCs w:val="22"/>
        </w:rPr>
      </w:pPr>
      <w:r w:rsidRPr="00077E1E">
        <w:rPr>
          <w:rFonts w:asciiTheme="minorHAnsi" w:hAnsiTheme="minorHAnsi" w:cstheme="minorHAnsi"/>
          <w:b/>
          <w:bCs/>
          <w:color w:val="auto"/>
          <w:sz w:val="22"/>
          <w:szCs w:val="22"/>
        </w:rPr>
        <w:t xml:space="preserve">Commission missing time-use surveys: </w:t>
      </w:r>
      <w:r w:rsidRPr="00077E1E">
        <w:rPr>
          <w:rFonts w:asciiTheme="minorHAnsi" w:hAnsiTheme="minorHAnsi" w:cstheme="minorHAnsi"/>
          <w:color w:val="auto"/>
          <w:sz w:val="22"/>
          <w:szCs w:val="22"/>
        </w:rPr>
        <w:t>Montenegro has never conducted a national TUS; Albania’s data is 15 years old. Both are critical for SDG 5.4.1 reporting.</w:t>
      </w:r>
    </w:p>
    <w:p w14:paraId="3B413B48" w14:textId="3E773121" w:rsidR="00E03741" w:rsidRPr="00077E1E" w:rsidRDefault="00E03741" w:rsidP="00077E1E">
      <w:pPr>
        <w:pStyle w:val="Pasussalistom"/>
        <w:numPr>
          <w:ilvl w:val="0"/>
          <w:numId w:val="18"/>
        </w:numPr>
        <w:jc w:val="both"/>
        <w:rPr>
          <w:rFonts w:asciiTheme="minorHAnsi" w:hAnsiTheme="minorHAnsi" w:cstheme="minorHAnsi"/>
          <w:color w:val="auto"/>
          <w:sz w:val="22"/>
          <w:szCs w:val="22"/>
        </w:rPr>
      </w:pPr>
      <w:r w:rsidRPr="00077E1E">
        <w:rPr>
          <w:rFonts w:asciiTheme="minorHAnsi" w:hAnsiTheme="minorHAnsi" w:cstheme="minorHAnsi"/>
          <w:b/>
          <w:bCs/>
          <w:color w:val="auto"/>
          <w:sz w:val="22"/>
          <w:szCs w:val="22"/>
        </w:rPr>
        <w:t xml:space="preserve">Integrate GBV and climate risk into water planning: </w:t>
      </w:r>
      <w:r w:rsidRPr="00077E1E">
        <w:rPr>
          <w:rFonts w:asciiTheme="minorHAnsi" w:hAnsiTheme="minorHAnsi" w:cstheme="minorHAnsi"/>
          <w:color w:val="auto"/>
          <w:sz w:val="22"/>
          <w:szCs w:val="22"/>
        </w:rPr>
        <w:t>safety audits; GBV data disaggregated by water access status; commission primary research on the water–GBV nexus in the Western Balkans.</w:t>
      </w:r>
    </w:p>
    <w:p w14:paraId="508C176A" w14:textId="4A098066" w:rsidR="00E03741" w:rsidRPr="00077E1E" w:rsidRDefault="00E03741" w:rsidP="00077E1E">
      <w:pPr>
        <w:pStyle w:val="Pasussalistom"/>
        <w:numPr>
          <w:ilvl w:val="0"/>
          <w:numId w:val="18"/>
        </w:numPr>
        <w:jc w:val="both"/>
        <w:rPr>
          <w:rFonts w:asciiTheme="minorHAnsi" w:hAnsiTheme="minorHAnsi" w:cstheme="minorHAnsi"/>
          <w:color w:val="auto"/>
          <w:sz w:val="22"/>
          <w:szCs w:val="22"/>
        </w:rPr>
      </w:pPr>
      <w:r w:rsidRPr="00077E1E">
        <w:rPr>
          <w:rFonts w:asciiTheme="minorHAnsi" w:hAnsiTheme="minorHAnsi" w:cstheme="minorHAnsi"/>
          <w:b/>
          <w:bCs/>
          <w:color w:val="auto"/>
          <w:sz w:val="22"/>
          <w:szCs w:val="22"/>
        </w:rPr>
        <w:t xml:space="preserve">Extend gender quotas to appointed water governance bodies: </w:t>
      </w:r>
      <w:r w:rsidRPr="00077E1E">
        <w:rPr>
          <w:rFonts w:asciiTheme="minorHAnsi" w:hAnsiTheme="minorHAnsi" w:cstheme="minorHAnsi"/>
          <w:color w:val="auto"/>
          <w:sz w:val="22"/>
          <w:szCs w:val="22"/>
        </w:rPr>
        <w:t>current electoral quotas do not apply to technical bodies, leaving water governance structures outside mandatory representation requirements in all four countries.</w:t>
      </w:r>
    </w:p>
    <w:p w14:paraId="296B2AAE" w14:textId="7475DA3B" w:rsidR="00E03741" w:rsidRPr="00077E1E" w:rsidRDefault="00E03741" w:rsidP="00077E1E">
      <w:pPr>
        <w:pStyle w:val="Pasussalistom"/>
        <w:numPr>
          <w:ilvl w:val="0"/>
          <w:numId w:val="18"/>
        </w:numPr>
        <w:jc w:val="both"/>
        <w:rPr>
          <w:rFonts w:asciiTheme="minorHAnsi" w:hAnsiTheme="minorHAnsi" w:cstheme="minorHAnsi"/>
          <w:color w:val="auto"/>
          <w:sz w:val="22"/>
          <w:szCs w:val="22"/>
        </w:rPr>
      </w:pPr>
      <w:r w:rsidRPr="00077E1E">
        <w:rPr>
          <w:rFonts w:asciiTheme="minorHAnsi" w:hAnsiTheme="minorHAnsi" w:cstheme="minorHAnsi"/>
          <w:b/>
          <w:bCs/>
          <w:color w:val="auto"/>
          <w:sz w:val="22"/>
          <w:szCs w:val="22"/>
        </w:rPr>
        <w:t xml:space="preserve">Mandate gender-responsive budgeting (GRB): </w:t>
      </w:r>
      <w:r w:rsidRPr="00077E1E">
        <w:rPr>
          <w:rFonts w:asciiTheme="minorHAnsi" w:hAnsiTheme="minorHAnsi" w:cstheme="minorHAnsi"/>
          <w:color w:val="auto"/>
          <w:sz w:val="22"/>
          <w:szCs w:val="22"/>
        </w:rPr>
        <w:t xml:space="preserve">across water management institutions in all four countries. GRB requires no new </w:t>
      </w:r>
      <w:r w:rsidR="00295F5B" w:rsidRPr="00077E1E">
        <w:rPr>
          <w:rFonts w:asciiTheme="minorHAnsi" w:hAnsiTheme="minorHAnsi" w:cstheme="minorHAnsi"/>
          <w:color w:val="auto"/>
          <w:sz w:val="22"/>
          <w:szCs w:val="22"/>
        </w:rPr>
        <w:t>legislation,</w:t>
      </w:r>
      <w:r w:rsidR="007E58D6" w:rsidRPr="00077E1E">
        <w:rPr>
          <w:rFonts w:asciiTheme="minorHAnsi" w:hAnsiTheme="minorHAnsi" w:cstheme="minorHAnsi"/>
          <w:color w:val="auto"/>
          <w:sz w:val="22"/>
          <w:szCs w:val="22"/>
        </w:rPr>
        <w:t xml:space="preserve"> </w:t>
      </w:r>
      <w:r w:rsidRPr="00077E1E">
        <w:rPr>
          <w:rFonts w:asciiTheme="minorHAnsi" w:hAnsiTheme="minorHAnsi" w:cstheme="minorHAnsi"/>
          <w:color w:val="auto"/>
          <w:sz w:val="22"/>
          <w:szCs w:val="22"/>
        </w:rPr>
        <w:t>only political commitment and technical capacity. Country-specific recommendations are in Section 9.</w:t>
      </w:r>
    </w:p>
    <w:p w14:paraId="0F5121A4" w14:textId="77777777" w:rsidR="00E03741" w:rsidRPr="00556170" w:rsidRDefault="00E03741" w:rsidP="00E73104">
      <w:pPr>
        <w:jc w:val="both"/>
        <w:rPr>
          <w:rFonts w:asciiTheme="minorHAnsi" w:hAnsiTheme="minorHAnsi" w:cstheme="minorHAnsi"/>
          <w:sz w:val="22"/>
          <w:szCs w:val="22"/>
        </w:rPr>
      </w:pPr>
      <w:r w:rsidRPr="00556170">
        <w:rPr>
          <w:rFonts w:asciiTheme="minorHAnsi" w:hAnsiTheme="minorHAnsi" w:cstheme="minorHAnsi"/>
          <w:sz w:val="22"/>
          <w:szCs w:val="22"/>
        </w:rPr>
        <w:br w:type="page"/>
      </w:r>
    </w:p>
    <w:p w14:paraId="36844E8B" w14:textId="77777777" w:rsidR="00E03741" w:rsidRPr="00556170" w:rsidRDefault="00E03741" w:rsidP="00E73104">
      <w:pPr>
        <w:pStyle w:val="Naslov1"/>
        <w:pBdr>
          <w:bottom w:val="single" w:sz="8" w:space="4" w:color="2E75B6"/>
        </w:pBdr>
        <w:spacing w:before="0" w:after="0"/>
        <w:jc w:val="both"/>
        <w:rPr>
          <w:rFonts w:asciiTheme="minorHAnsi" w:hAnsiTheme="minorHAnsi" w:cstheme="minorHAnsi"/>
          <w:sz w:val="22"/>
          <w:szCs w:val="22"/>
        </w:rPr>
      </w:pPr>
      <w:bookmarkStart w:id="4" w:name="_Toc224128587"/>
      <w:r w:rsidRPr="00556170">
        <w:rPr>
          <w:rFonts w:asciiTheme="minorHAnsi" w:eastAsia="Arial" w:hAnsiTheme="minorHAnsi" w:cstheme="minorHAnsi"/>
          <w:b/>
          <w:bCs/>
          <w:color w:val="1F4E79"/>
          <w:sz w:val="22"/>
          <w:szCs w:val="22"/>
        </w:rPr>
        <w:lastRenderedPageBreak/>
        <w:t>1</w:t>
      </w:r>
      <w:proofErr w:type="gramStart"/>
      <w:r w:rsidRPr="00556170">
        <w:rPr>
          <w:rFonts w:asciiTheme="minorHAnsi" w:eastAsia="Arial" w:hAnsiTheme="minorHAnsi" w:cstheme="minorHAnsi"/>
          <w:b/>
          <w:bCs/>
          <w:color w:val="1F4E79"/>
          <w:sz w:val="22"/>
          <w:szCs w:val="22"/>
        </w:rPr>
        <w:t>.  INTRODUCTION</w:t>
      </w:r>
      <w:bookmarkEnd w:id="4"/>
      <w:proofErr w:type="gramEnd"/>
    </w:p>
    <w:p w14:paraId="0CC60CA8" w14:textId="47D974D3" w:rsidR="00E03741" w:rsidRPr="00556170" w:rsidRDefault="00E03741" w:rsidP="00E73104">
      <w:pPr>
        <w:pStyle w:val="Naslov2"/>
        <w:spacing w:before="0" w:after="0"/>
        <w:jc w:val="both"/>
        <w:rPr>
          <w:rFonts w:asciiTheme="minorHAnsi" w:hAnsiTheme="minorHAnsi" w:cstheme="minorHAnsi"/>
          <w:sz w:val="22"/>
          <w:szCs w:val="22"/>
        </w:rPr>
      </w:pPr>
      <w:bookmarkStart w:id="5" w:name="_Toc224128588"/>
      <w:r w:rsidRPr="00556170">
        <w:rPr>
          <w:rFonts w:asciiTheme="minorHAnsi" w:eastAsia="Arial" w:hAnsiTheme="minorHAnsi" w:cstheme="minorHAnsi"/>
          <w:b/>
          <w:bCs/>
          <w:color w:val="2E75B6"/>
          <w:sz w:val="22"/>
          <w:szCs w:val="22"/>
        </w:rPr>
        <w:t>1.1 The DIKTAS II Project Context</w:t>
      </w:r>
      <w:bookmarkEnd w:id="5"/>
    </w:p>
    <w:p w14:paraId="24E03A90" w14:textId="77777777" w:rsidR="00E03741" w:rsidRDefault="00E03741" w:rsidP="00E73104">
      <w:pPr>
        <w:jc w:val="both"/>
        <w:rPr>
          <w:rFonts w:asciiTheme="minorHAnsi" w:hAnsiTheme="minorHAnsi" w:cstheme="minorHAnsi"/>
          <w:color w:val="auto"/>
          <w:sz w:val="22"/>
          <w:szCs w:val="22"/>
        </w:rPr>
      </w:pPr>
      <w:r w:rsidRPr="00EA41B0">
        <w:rPr>
          <w:rFonts w:asciiTheme="minorHAnsi" w:hAnsiTheme="minorHAnsi" w:cstheme="minorHAnsi"/>
          <w:color w:val="auto"/>
          <w:sz w:val="22"/>
          <w:szCs w:val="22"/>
        </w:rPr>
        <w:t xml:space="preserve">The Dinaric Karst Aquifer System (DIKTAS) represents one of the largest transboundary karst aquifer systems in Europe, extending across the Western Balkans and serving as a critical water resource for Albania, Bosnia and Herzegovina, Croatia, and Montenegro. Karst aquifer systems are </w:t>
      </w:r>
      <w:r w:rsidRPr="00A92C6D">
        <w:rPr>
          <w:rFonts w:asciiTheme="minorHAnsi" w:hAnsiTheme="minorHAnsi" w:cstheme="minorHAnsi"/>
          <w:color w:val="auto"/>
          <w:sz w:val="22"/>
          <w:szCs w:val="22"/>
          <w:lang w:val="en-GB"/>
        </w:rPr>
        <w:t xml:space="preserve">characterised </w:t>
      </w:r>
      <w:r w:rsidRPr="00EA41B0">
        <w:rPr>
          <w:rFonts w:asciiTheme="minorHAnsi" w:hAnsiTheme="minorHAnsi" w:cstheme="minorHAnsi"/>
          <w:color w:val="auto"/>
          <w:sz w:val="22"/>
          <w:szCs w:val="22"/>
        </w:rPr>
        <w:t xml:space="preserve">by highly permeable limestone and dolomite rock formations that store and transmit groundwater through a network of fractures, sinkholes, and underground channels. The Dinaric Karst, named after the Dinaric Alps mountain range, spans approximately 65,000 km² across the Western Balkans and provides drinking water, agricultural irrigation, and hydropower to millions of people in the region (UNESCO-IHP, 2022). Because groundwater does not respect national borders, sustainable management of the DIKTAS system requires coordinated, multilateral governance among all four riparian states. The DIKTAS II project, implemented under the Strategic </w:t>
      </w:r>
      <w:r w:rsidRPr="00A92C6D">
        <w:rPr>
          <w:rFonts w:asciiTheme="minorHAnsi" w:hAnsiTheme="minorHAnsi" w:cstheme="minorHAnsi"/>
          <w:color w:val="auto"/>
          <w:sz w:val="22"/>
          <w:szCs w:val="22"/>
          <w:lang w:val="en-GB"/>
        </w:rPr>
        <w:t>Action Programme</w:t>
      </w:r>
      <w:r w:rsidRPr="00EA41B0">
        <w:rPr>
          <w:rFonts w:asciiTheme="minorHAnsi" w:hAnsiTheme="minorHAnsi" w:cstheme="minorHAnsi"/>
          <w:color w:val="auto"/>
          <w:sz w:val="22"/>
          <w:szCs w:val="22"/>
        </w:rPr>
        <w:t>, aims to improve groundwater governance and the sustainability of related ecosystems across this shared resource (UNESCO/GEF, 2025).</w:t>
      </w:r>
    </w:p>
    <w:p w14:paraId="767A598B" w14:textId="77777777" w:rsidR="00790D04" w:rsidRPr="00EA41B0" w:rsidRDefault="00790D04" w:rsidP="00E73104">
      <w:pPr>
        <w:jc w:val="both"/>
        <w:rPr>
          <w:rFonts w:asciiTheme="minorHAnsi" w:hAnsiTheme="minorHAnsi" w:cstheme="minorHAnsi"/>
          <w:color w:val="auto"/>
          <w:sz w:val="22"/>
          <w:szCs w:val="22"/>
        </w:rPr>
      </w:pPr>
    </w:p>
    <w:p w14:paraId="49335C43" w14:textId="6D39FC47" w:rsidR="00E03741" w:rsidRDefault="00E03741" w:rsidP="00E73104">
      <w:pPr>
        <w:jc w:val="both"/>
        <w:rPr>
          <w:rFonts w:asciiTheme="minorHAnsi" w:hAnsiTheme="minorHAnsi" w:cstheme="minorHAnsi"/>
          <w:color w:val="auto"/>
          <w:sz w:val="22"/>
          <w:szCs w:val="22"/>
        </w:rPr>
      </w:pPr>
      <w:r w:rsidRPr="00EA41B0">
        <w:rPr>
          <w:rFonts w:asciiTheme="minorHAnsi" w:hAnsiTheme="minorHAnsi" w:cstheme="minorHAnsi"/>
          <w:color w:val="auto"/>
          <w:sz w:val="22"/>
          <w:szCs w:val="22"/>
        </w:rPr>
        <w:t xml:space="preserve">DIKTAS II is the second phase of an ongoing regional initiative. The first phase (DIKTAS I, 2009–2015) established the foundational scientific and institutional framework for transboundary groundwater governance, including a shared hydrogeological database, a Transboundary Diagnostic Analysis (TDA), and the Strategic Action </w:t>
      </w:r>
      <w:r w:rsidRPr="00A92C6D">
        <w:rPr>
          <w:rFonts w:asciiTheme="minorHAnsi" w:hAnsiTheme="minorHAnsi" w:cstheme="minorHAnsi"/>
          <w:color w:val="auto"/>
          <w:sz w:val="22"/>
          <w:szCs w:val="22"/>
          <w:lang w:val="en-GB"/>
        </w:rPr>
        <w:t>Programme</w:t>
      </w:r>
      <w:r w:rsidRPr="00EA41B0">
        <w:rPr>
          <w:rFonts w:asciiTheme="minorHAnsi" w:hAnsiTheme="minorHAnsi" w:cstheme="minorHAnsi"/>
          <w:color w:val="auto"/>
          <w:sz w:val="22"/>
          <w:szCs w:val="22"/>
        </w:rPr>
        <w:t xml:space="preserve"> (SAP) itself. DIKTAS II (202</w:t>
      </w:r>
      <w:r w:rsidR="007A683F">
        <w:rPr>
          <w:rFonts w:asciiTheme="minorHAnsi" w:hAnsiTheme="minorHAnsi" w:cstheme="minorHAnsi"/>
          <w:color w:val="auto"/>
          <w:sz w:val="22"/>
          <w:szCs w:val="22"/>
        </w:rPr>
        <w:t>2</w:t>
      </w:r>
      <w:r w:rsidRPr="00EA41B0">
        <w:rPr>
          <w:rFonts w:asciiTheme="minorHAnsi" w:hAnsiTheme="minorHAnsi" w:cstheme="minorHAnsi"/>
          <w:color w:val="auto"/>
          <w:sz w:val="22"/>
          <w:szCs w:val="22"/>
        </w:rPr>
        <w:t>–202</w:t>
      </w:r>
      <w:r w:rsidR="007A683F">
        <w:rPr>
          <w:rFonts w:asciiTheme="minorHAnsi" w:hAnsiTheme="minorHAnsi" w:cstheme="minorHAnsi"/>
          <w:color w:val="auto"/>
          <w:sz w:val="22"/>
          <w:szCs w:val="22"/>
        </w:rPr>
        <w:t>7</w:t>
      </w:r>
      <w:r w:rsidRPr="00EA41B0">
        <w:rPr>
          <w:rFonts w:asciiTheme="minorHAnsi" w:hAnsiTheme="minorHAnsi" w:cstheme="minorHAnsi"/>
          <w:color w:val="auto"/>
          <w:sz w:val="22"/>
          <w:szCs w:val="22"/>
        </w:rPr>
        <w:t>) builds on this foundation with a stronger emphasis on implementation, ecosystem sustainability, and social inclusion of which gender mainstreaming is a central pillar. The project is funded by the Global Environment Facility (GEF), with UNESCO serving as the Implementing Agency and UNDP providing additional implementation support across all four participating countries (UNESCO/GEF, 2025).</w:t>
      </w:r>
    </w:p>
    <w:p w14:paraId="104C1390" w14:textId="77777777" w:rsidR="00D67898" w:rsidRPr="00EA41B0" w:rsidRDefault="00D67898" w:rsidP="00E73104">
      <w:pPr>
        <w:jc w:val="both"/>
        <w:rPr>
          <w:rFonts w:asciiTheme="minorHAnsi" w:hAnsiTheme="minorHAnsi" w:cstheme="minorHAnsi"/>
          <w:color w:val="auto"/>
          <w:sz w:val="22"/>
          <w:szCs w:val="22"/>
        </w:rPr>
      </w:pPr>
    </w:p>
    <w:p w14:paraId="526747C9" w14:textId="777357C5" w:rsidR="00E03741" w:rsidRDefault="00E03741" w:rsidP="00E73104">
      <w:pPr>
        <w:jc w:val="both"/>
        <w:rPr>
          <w:rFonts w:asciiTheme="minorHAnsi" w:hAnsiTheme="minorHAnsi" w:cstheme="minorHAnsi"/>
          <w:color w:val="auto"/>
          <w:sz w:val="22"/>
          <w:szCs w:val="22"/>
        </w:rPr>
      </w:pPr>
      <w:r w:rsidRPr="00EA41B0">
        <w:rPr>
          <w:rFonts w:asciiTheme="minorHAnsi" w:hAnsiTheme="minorHAnsi" w:cstheme="minorHAnsi"/>
          <w:color w:val="auto"/>
          <w:sz w:val="22"/>
          <w:szCs w:val="22"/>
        </w:rPr>
        <w:t xml:space="preserve">The Strategic Action </w:t>
      </w:r>
      <w:r w:rsidRPr="00A92C6D">
        <w:rPr>
          <w:rFonts w:asciiTheme="minorHAnsi" w:hAnsiTheme="minorHAnsi" w:cstheme="minorHAnsi"/>
          <w:color w:val="auto"/>
          <w:sz w:val="22"/>
          <w:szCs w:val="22"/>
          <w:lang w:val="en-GB"/>
        </w:rPr>
        <w:t>Programme</w:t>
      </w:r>
      <w:r w:rsidRPr="00EA41B0">
        <w:rPr>
          <w:rFonts w:asciiTheme="minorHAnsi" w:hAnsiTheme="minorHAnsi" w:cstheme="minorHAnsi"/>
          <w:color w:val="auto"/>
          <w:sz w:val="22"/>
          <w:szCs w:val="22"/>
        </w:rPr>
        <w:t xml:space="preserve"> (SAP) is the jointly agreed, multi-country framework that sets out priority actions to protect and sustainably manage the Dinaric Karst Aquifer System over the long term. It addresses groundwater quantity, water quality, ecosystem health, and crucially for this report the social dimensions of water governance, including gender equity. The </w:t>
      </w:r>
      <w:r w:rsidRPr="00A92C6D">
        <w:rPr>
          <w:rFonts w:asciiTheme="minorHAnsi" w:hAnsiTheme="minorHAnsi" w:cstheme="minorHAnsi"/>
          <w:color w:val="auto"/>
          <w:sz w:val="22"/>
          <w:szCs w:val="22"/>
          <w:lang w:val="en-GB"/>
        </w:rPr>
        <w:t>SAP recognises</w:t>
      </w:r>
      <w:r w:rsidRPr="00EA41B0">
        <w:rPr>
          <w:rFonts w:asciiTheme="minorHAnsi" w:hAnsiTheme="minorHAnsi" w:cstheme="minorHAnsi"/>
          <w:color w:val="auto"/>
          <w:sz w:val="22"/>
          <w:szCs w:val="22"/>
        </w:rPr>
        <w:t xml:space="preserve"> that sustainable water management cannot be achieved without the full and meaningful participation of both women and men at all levels of decision-making (UNESCO/GEF, 2025).</w:t>
      </w:r>
    </w:p>
    <w:p w14:paraId="3806C9AA" w14:textId="77777777" w:rsidR="00AF244C" w:rsidRPr="00EA41B0" w:rsidRDefault="00AF244C" w:rsidP="00E73104">
      <w:pPr>
        <w:jc w:val="both"/>
        <w:rPr>
          <w:rFonts w:asciiTheme="minorHAnsi" w:hAnsiTheme="minorHAnsi" w:cstheme="minorHAnsi"/>
          <w:color w:val="auto"/>
          <w:sz w:val="22"/>
          <w:szCs w:val="22"/>
        </w:rPr>
      </w:pPr>
    </w:p>
    <w:p w14:paraId="5F39D4DE" w14:textId="64902474" w:rsidR="00E03741" w:rsidRDefault="00E03741" w:rsidP="00E73104">
      <w:pPr>
        <w:jc w:val="both"/>
        <w:rPr>
          <w:rFonts w:asciiTheme="minorHAnsi" w:hAnsiTheme="minorHAnsi" w:cstheme="minorHAnsi"/>
          <w:color w:val="auto"/>
          <w:sz w:val="22"/>
          <w:szCs w:val="22"/>
        </w:rPr>
      </w:pPr>
      <w:r w:rsidRPr="00EA41B0">
        <w:rPr>
          <w:rFonts w:asciiTheme="minorHAnsi" w:hAnsiTheme="minorHAnsi" w:cstheme="minorHAnsi"/>
          <w:color w:val="auto"/>
          <w:sz w:val="22"/>
          <w:szCs w:val="22"/>
        </w:rPr>
        <w:t xml:space="preserve">Gender mainstreaming constitutes an essential component of the project’s approach to sustainable water management. </w:t>
      </w:r>
      <w:r w:rsidRPr="00A92C6D">
        <w:rPr>
          <w:rFonts w:asciiTheme="minorHAnsi" w:hAnsiTheme="minorHAnsi" w:cstheme="minorHAnsi"/>
          <w:color w:val="auto"/>
          <w:sz w:val="22"/>
          <w:szCs w:val="22"/>
          <w:lang w:val="en-GB"/>
        </w:rPr>
        <w:t>Recognising</w:t>
      </w:r>
      <w:r w:rsidRPr="00EA41B0">
        <w:rPr>
          <w:rFonts w:asciiTheme="minorHAnsi" w:hAnsiTheme="minorHAnsi" w:cstheme="minorHAnsi"/>
          <w:color w:val="auto"/>
          <w:sz w:val="22"/>
          <w:szCs w:val="22"/>
        </w:rPr>
        <w:t xml:space="preserve"> that water governance decisions affect women and men differently, the project has commissioned comprehensive gender analyses for each participating country. These four National Water Sector Gender Analyses (Output 6.2) were conducted concurrently in Albania, Bosnia and Herzegovina, Croatia, and Montenegro during 2025, each applying a consistent analytical framework to enable regional comparison. The analyses examine gender dynamics across three dimensions — water as an economic asset, water as a service, and water as a governance space drawing on national statistical data, EU and international institutional sources, and (in the case of Croatia) primary interviews with water sector managers (UNESCO/WWAP, 2024). This regional synthesis builds upon those national assessments to provide a comparative perspective and identify opportunities for coordinated regional action.</w:t>
      </w:r>
    </w:p>
    <w:p w14:paraId="21504230" w14:textId="77777777" w:rsidR="00AF6CAF" w:rsidRPr="00EA41B0" w:rsidRDefault="00AF6CAF" w:rsidP="00E73104">
      <w:pPr>
        <w:jc w:val="both"/>
        <w:rPr>
          <w:rFonts w:asciiTheme="minorHAnsi" w:hAnsiTheme="minorHAnsi" w:cstheme="minorHAnsi"/>
          <w:color w:val="auto"/>
          <w:sz w:val="22"/>
          <w:szCs w:val="22"/>
        </w:rPr>
      </w:pPr>
    </w:p>
    <w:p w14:paraId="48A8233D" w14:textId="77777777" w:rsidR="00E03741" w:rsidRDefault="00E03741" w:rsidP="00E73104">
      <w:pPr>
        <w:jc w:val="both"/>
        <w:rPr>
          <w:rFonts w:asciiTheme="minorHAnsi" w:hAnsiTheme="minorHAnsi" w:cstheme="minorHAnsi"/>
          <w:color w:val="auto"/>
          <w:sz w:val="22"/>
          <w:szCs w:val="22"/>
        </w:rPr>
      </w:pPr>
      <w:r w:rsidRPr="00EA41B0">
        <w:rPr>
          <w:rFonts w:asciiTheme="minorHAnsi" w:hAnsiTheme="minorHAnsi" w:cstheme="minorHAnsi"/>
          <w:color w:val="auto"/>
          <w:sz w:val="22"/>
          <w:szCs w:val="22"/>
        </w:rPr>
        <w:t xml:space="preserve">The four DIKTAS II countries share a geographical and hydrological space but differ significantly in their political, institutional, and developmental trajectories. Croatia joined the European Union in 2013 and is the most advanced in terms of water governance alignment with EU standards, including the EU Water Framework Directive (WFD). Albania, Bosnia and Herzegovina, and Montenegro are EU candidate or potential candidate countries at varying stages of the accession process, which creates both obligations and incentives for gender mainstreaming in line with the EU Gender Equality Strategy 2020–2025 </w:t>
      </w:r>
      <w:r w:rsidRPr="00EA41B0">
        <w:rPr>
          <w:rFonts w:asciiTheme="minorHAnsi" w:hAnsiTheme="minorHAnsi" w:cstheme="minorHAnsi"/>
          <w:color w:val="auto"/>
          <w:sz w:val="22"/>
          <w:szCs w:val="22"/>
        </w:rPr>
        <w:lastRenderedPageBreak/>
        <w:t>(European Commission, 2020). These differences in EU integration status are reflected throughout this report in the varying availability of data, the strength of enforcement mechanisms, and the pace of institutional reform across the region.</w:t>
      </w:r>
    </w:p>
    <w:p w14:paraId="2CE66FA8" w14:textId="77777777" w:rsidR="00301CF1" w:rsidRPr="00EA41B0" w:rsidRDefault="00301CF1" w:rsidP="00E73104">
      <w:pPr>
        <w:jc w:val="both"/>
        <w:rPr>
          <w:rFonts w:asciiTheme="minorHAnsi" w:hAnsiTheme="minorHAnsi" w:cstheme="minorHAnsi"/>
          <w:color w:val="auto"/>
          <w:sz w:val="22"/>
          <w:szCs w:val="22"/>
        </w:rPr>
      </w:pPr>
    </w:p>
    <w:p w14:paraId="755CA5C9" w14:textId="1F563D66" w:rsidR="00E03741" w:rsidRPr="00556170" w:rsidRDefault="00E03741" w:rsidP="00E73104">
      <w:pPr>
        <w:pStyle w:val="Naslov2"/>
        <w:spacing w:before="0" w:after="0"/>
        <w:jc w:val="both"/>
        <w:rPr>
          <w:rFonts w:asciiTheme="minorHAnsi" w:hAnsiTheme="minorHAnsi" w:cstheme="minorHAnsi"/>
          <w:sz w:val="22"/>
          <w:szCs w:val="22"/>
        </w:rPr>
      </w:pPr>
      <w:bookmarkStart w:id="6" w:name="_Toc224128589"/>
      <w:r w:rsidRPr="00556170">
        <w:rPr>
          <w:rFonts w:asciiTheme="minorHAnsi" w:eastAsia="Arial" w:hAnsiTheme="minorHAnsi" w:cstheme="minorHAnsi"/>
          <w:b/>
          <w:bCs/>
          <w:color w:val="2E75B6"/>
          <w:sz w:val="22"/>
          <w:szCs w:val="22"/>
        </w:rPr>
        <w:t>1.2 The Nexus of Water and Gender in Sustainable Development</w:t>
      </w:r>
      <w:bookmarkEnd w:id="6"/>
    </w:p>
    <w:p w14:paraId="7E510CEC" w14:textId="77777777" w:rsidR="00E03741" w:rsidRDefault="00E03741" w:rsidP="00E73104">
      <w:pPr>
        <w:jc w:val="both"/>
        <w:rPr>
          <w:rFonts w:asciiTheme="minorHAnsi" w:hAnsiTheme="minorHAnsi" w:cstheme="minorHAnsi"/>
          <w:color w:val="auto"/>
          <w:sz w:val="22"/>
          <w:szCs w:val="22"/>
        </w:rPr>
      </w:pPr>
      <w:r w:rsidRPr="00301CF1">
        <w:rPr>
          <w:rFonts w:asciiTheme="minorHAnsi" w:hAnsiTheme="minorHAnsi" w:cstheme="minorHAnsi"/>
          <w:color w:val="auto"/>
          <w:sz w:val="22"/>
          <w:szCs w:val="22"/>
        </w:rPr>
        <w:t xml:space="preserve">The pursuit of gender equality and sustainable water management are inseparably linked pillars of the global development agenda. Progress toward SDG 5 (Achieve gender equality and empower all women and girls) is a prerequisite for realizing SDG 6 (Ensure availability and sustainable management of water and sanitation for all) (UNESCO, 2024). Gender determines a person’s relationship with water, shaping needs, access, use, and the benefits derived from this vital resource. </w:t>
      </w:r>
      <w:r w:rsidRPr="0071204A">
        <w:rPr>
          <w:rFonts w:asciiTheme="minorHAnsi" w:hAnsiTheme="minorHAnsi" w:cstheme="minorHAnsi"/>
          <w:color w:val="auto"/>
          <w:sz w:val="22"/>
          <w:szCs w:val="22"/>
        </w:rPr>
        <w:t>This interdependence is not merely conceptual: empirical evidence demonstrates that investments in women’s access to clean water and sanitation directly improve maternal and child health outcomes, reduce school dropout rates among girls, increase women’s economic participation, and reduce the time burden of water collection that constrains women’s opportunities across the developing world (UN Women &amp; UNEP-DHI, 2025; WHO/UNICEF JMP, 2024).</w:t>
      </w:r>
    </w:p>
    <w:p w14:paraId="7371A8A8" w14:textId="77777777" w:rsidR="00524956" w:rsidRPr="00301CF1" w:rsidRDefault="00524956" w:rsidP="00E73104">
      <w:pPr>
        <w:jc w:val="both"/>
        <w:rPr>
          <w:rFonts w:asciiTheme="minorHAnsi" w:hAnsiTheme="minorHAnsi" w:cstheme="minorHAnsi"/>
          <w:color w:val="auto"/>
          <w:sz w:val="22"/>
          <w:szCs w:val="22"/>
        </w:rPr>
      </w:pPr>
    </w:p>
    <w:p w14:paraId="0669B226" w14:textId="66A60B3E" w:rsidR="00E03741" w:rsidRDefault="00E03741" w:rsidP="00E73104">
      <w:pPr>
        <w:jc w:val="both"/>
        <w:rPr>
          <w:rFonts w:asciiTheme="minorHAnsi" w:hAnsiTheme="minorHAnsi" w:cstheme="minorHAnsi"/>
          <w:color w:val="auto"/>
          <w:sz w:val="22"/>
          <w:szCs w:val="22"/>
        </w:rPr>
      </w:pPr>
      <w:r w:rsidRPr="00301CF1">
        <w:rPr>
          <w:rFonts w:asciiTheme="minorHAnsi" w:hAnsiTheme="minorHAnsi" w:cstheme="minorHAnsi"/>
          <w:color w:val="auto"/>
          <w:sz w:val="22"/>
          <w:szCs w:val="22"/>
        </w:rPr>
        <w:t xml:space="preserve">This relationship is analyzed through the 'Water as an Asset, Service, and Space' framework, articulated in the World Bank's report </w:t>
      </w:r>
      <w:r w:rsidRPr="00301CF1">
        <w:rPr>
          <w:rFonts w:asciiTheme="minorHAnsi" w:hAnsiTheme="minorHAnsi" w:cstheme="minorHAnsi"/>
          <w:i/>
          <w:iCs/>
          <w:color w:val="auto"/>
          <w:sz w:val="22"/>
          <w:szCs w:val="22"/>
        </w:rPr>
        <w:t>The Rising Tide: A New Look at Water and Gender</w:t>
      </w:r>
      <w:r w:rsidRPr="00301CF1">
        <w:rPr>
          <w:rFonts w:asciiTheme="minorHAnsi" w:hAnsiTheme="minorHAnsi" w:cstheme="minorHAnsi"/>
          <w:color w:val="auto"/>
          <w:sz w:val="22"/>
          <w:szCs w:val="22"/>
        </w:rPr>
        <w:t xml:space="preserve"> (World Bank, 2017), and which posits three dimensions:</w:t>
      </w:r>
    </w:p>
    <w:p w14:paraId="7107F2A7" w14:textId="77777777" w:rsidR="00194852" w:rsidRPr="00301CF1" w:rsidRDefault="00194852" w:rsidP="00E73104">
      <w:pPr>
        <w:jc w:val="both"/>
        <w:rPr>
          <w:rFonts w:asciiTheme="minorHAnsi" w:hAnsiTheme="minorHAnsi" w:cstheme="minorHAnsi"/>
          <w:color w:val="auto"/>
          <w:sz w:val="22"/>
          <w:szCs w:val="22"/>
        </w:rPr>
      </w:pPr>
    </w:p>
    <w:p w14:paraId="1FE40B63" w14:textId="77777777" w:rsidR="00E03741" w:rsidRPr="00F22DE8"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301CF1">
        <w:rPr>
          <w:rFonts w:asciiTheme="minorHAnsi" w:hAnsiTheme="minorHAnsi" w:cstheme="minorHAnsi"/>
          <w:b/>
          <w:bCs/>
          <w:color w:val="auto"/>
          <w:sz w:val="22"/>
          <w:szCs w:val="22"/>
        </w:rPr>
        <w:t xml:space="preserve">Water as an Asset: </w:t>
      </w:r>
      <w:r w:rsidRPr="00301CF1">
        <w:rPr>
          <w:rFonts w:asciiTheme="minorHAnsi" w:hAnsiTheme="minorHAnsi" w:cstheme="minorHAnsi"/>
          <w:color w:val="auto"/>
          <w:sz w:val="22"/>
          <w:szCs w:val="22"/>
        </w:rPr>
        <w:t xml:space="preserve">Water holds distinct economic value, influencing livelihoods and economic participation. Access to and control over water resources affects women’s ability to engage in productive activities and accumulate wealth. </w:t>
      </w:r>
      <w:r w:rsidRPr="00F22DE8">
        <w:rPr>
          <w:rFonts w:asciiTheme="minorHAnsi" w:hAnsiTheme="minorHAnsi" w:cstheme="minorHAnsi"/>
          <w:color w:val="auto"/>
          <w:sz w:val="22"/>
          <w:szCs w:val="22"/>
        </w:rPr>
        <w:t>In the DIKTAS II region, this dimension encompasses women’s representation in the paid water sector workforce, their access to land and water rights, and their ability to benefit economically from water-dependent industries such as agriculture and hydropower (World Bank, 2017).</w:t>
      </w:r>
    </w:p>
    <w:p w14:paraId="0A95958E" w14:textId="527A9A03" w:rsidR="00E03741" w:rsidRPr="00301CF1"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301CF1">
        <w:rPr>
          <w:rFonts w:asciiTheme="minorHAnsi" w:hAnsiTheme="minorHAnsi" w:cstheme="minorHAnsi"/>
          <w:b/>
          <w:bCs/>
          <w:color w:val="auto"/>
          <w:sz w:val="22"/>
          <w:szCs w:val="22"/>
        </w:rPr>
        <w:t xml:space="preserve">Water as a Service: </w:t>
      </w:r>
      <w:r w:rsidRPr="00301CF1">
        <w:rPr>
          <w:rFonts w:asciiTheme="minorHAnsi" w:hAnsiTheme="minorHAnsi" w:cstheme="minorHAnsi"/>
          <w:color w:val="auto"/>
          <w:sz w:val="22"/>
          <w:szCs w:val="22"/>
        </w:rPr>
        <w:t xml:space="preserve">The provision, management, and collection of water and sanitation </w:t>
      </w:r>
      <w:r w:rsidR="00837516" w:rsidRPr="00301CF1">
        <w:rPr>
          <w:rFonts w:asciiTheme="minorHAnsi" w:hAnsiTheme="minorHAnsi" w:cstheme="minorHAnsi"/>
          <w:color w:val="auto"/>
          <w:sz w:val="22"/>
          <w:szCs w:val="22"/>
        </w:rPr>
        <w:t>involve</w:t>
      </w:r>
      <w:r w:rsidRPr="00301CF1">
        <w:rPr>
          <w:rFonts w:asciiTheme="minorHAnsi" w:hAnsiTheme="minorHAnsi" w:cstheme="minorHAnsi"/>
          <w:color w:val="auto"/>
          <w:sz w:val="22"/>
          <w:szCs w:val="22"/>
        </w:rPr>
        <w:t xml:space="preserve"> substantial time and </w:t>
      </w:r>
      <w:r w:rsidRPr="00A92C6D">
        <w:rPr>
          <w:rFonts w:asciiTheme="minorHAnsi" w:hAnsiTheme="minorHAnsi" w:cstheme="minorHAnsi"/>
          <w:color w:val="auto"/>
          <w:sz w:val="22"/>
          <w:szCs w:val="22"/>
          <w:lang w:val="en-GB"/>
        </w:rPr>
        <w:t>labour</w:t>
      </w:r>
      <w:r w:rsidRPr="00301CF1">
        <w:rPr>
          <w:rFonts w:asciiTheme="minorHAnsi" w:hAnsiTheme="minorHAnsi" w:cstheme="minorHAnsi"/>
          <w:color w:val="auto"/>
          <w:sz w:val="22"/>
          <w:szCs w:val="22"/>
        </w:rPr>
        <w:t xml:space="preserve"> burdens disproportionately shouldered by women and girls, creating 'time poverty' that limits other opportunities (World Bank, 2017). </w:t>
      </w:r>
      <w:r w:rsidRPr="00837516">
        <w:rPr>
          <w:rFonts w:asciiTheme="minorHAnsi" w:hAnsiTheme="minorHAnsi" w:cstheme="minorHAnsi"/>
          <w:color w:val="auto"/>
          <w:sz w:val="22"/>
          <w:szCs w:val="22"/>
        </w:rPr>
        <w:t>Globally, women and girls spend an estimated 200 million hours per day collecting water (UN Women, 2020). In the Western Balkans, this dynamic is compounded by under-investment in rural water infrastructure, particularly in Albania and Bosnia and Herzegovina, where significant proportions of the rural population lack reliable piped water access (WHO/UNICEF JMP, 2024).</w:t>
      </w:r>
    </w:p>
    <w:p w14:paraId="27973218" w14:textId="08D36F4E" w:rsidR="00E03741" w:rsidRPr="00837516"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301CF1">
        <w:rPr>
          <w:rFonts w:asciiTheme="minorHAnsi" w:hAnsiTheme="minorHAnsi" w:cstheme="minorHAnsi"/>
          <w:b/>
          <w:bCs/>
          <w:color w:val="auto"/>
          <w:sz w:val="22"/>
          <w:szCs w:val="22"/>
        </w:rPr>
        <w:t xml:space="preserve">Water as </w:t>
      </w:r>
      <w:proofErr w:type="gramStart"/>
      <w:r w:rsidRPr="00301CF1">
        <w:rPr>
          <w:rFonts w:asciiTheme="minorHAnsi" w:hAnsiTheme="minorHAnsi" w:cstheme="minorHAnsi"/>
          <w:b/>
          <w:bCs/>
          <w:color w:val="auto"/>
          <w:sz w:val="22"/>
          <w:szCs w:val="22"/>
        </w:rPr>
        <w:t>a Space</w:t>
      </w:r>
      <w:proofErr w:type="gramEnd"/>
      <w:r w:rsidRPr="00301CF1">
        <w:rPr>
          <w:rFonts w:asciiTheme="minorHAnsi" w:hAnsiTheme="minorHAnsi" w:cstheme="minorHAnsi"/>
          <w:b/>
          <w:bCs/>
          <w:color w:val="auto"/>
          <w:sz w:val="22"/>
          <w:szCs w:val="22"/>
        </w:rPr>
        <w:t xml:space="preserve">: </w:t>
      </w:r>
      <w:r w:rsidRPr="00301CF1">
        <w:rPr>
          <w:rFonts w:asciiTheme="minorHAnsi" w:hAnsiTheme="minorHAnsi" w:cstheme="minorHAnsi"/>
          <w:color w:val="auto"/>
          <w:sz w:val="22"/>
          <w:szCs w:val="22"/>
        </w:rPr>
        <w:t xml:space="preserve">Water governance is an arena where social relations and ingrained hierarchies play out, influencing women’s voice and decision-making power in policy formulation and resource management at all levels. </w:t>
      </w:r>
      <w:r w:rsidRPr="00837516">
        <w:rPr>
          <w:rFonts w:asciiTheme="minorHAnsi" w:hAnsiTheme="minorHAnsi" w:cstheme="minorHAnsi"/>
          <w:color w:val="auto"/>
          <w:sz w:val="22"/>
          <w:szCs w:val="22"/>
        </w:rPr>
        <w:t xml:space="preserve">Research consistently shows that water governance bodies with meaningful female representation make more equitable and effective decisions, are more likely to </w:t>
      </w:r>
      <w:r w:rsidRPr="00A92C6D">
        <w:rPr>
          <w:rFonts w:asciiTheme="minorHAnsi" w:hAnsiTheme="minorHAnsi" w:cstheme="minorHAnsi"/>
          <w:color w:val="auto"/>
          <w:sz w:val="22"/>
          <w:szCs w:val="22"/>
          <w:lang w:val="en-GB"/>
        </w:rPr>
        <w:t xml:space="preserve">prioritise </w:t>
      </w:r>
      <w:r w:rsidRPr="00837516">
        <w:rPr>
          <w:rFonts w:asciiTheme="minorHAnsi" w:hAnsiTheme="minorHAnsi" w:cstheme="minorHAnsi"/>
          <w:color w:val="auto"/>
          <w:sz w:val="22"/>
          <w:szCs w:val="22"/>
        </w:rPr>
        <w:t>community-level service improvements and are better positioned to identify and respond to gender-differentiated water needs (UN Women &amp; UNEP-DHI, 2025).</w:t>
      </w:r>
    </w:p>
    <w:p w14:paraId="2A09A7EA" w14:textId="77777777" w:rsidR="00DB1798" w:rsidRPr="00301CF1" w:rsidRDefault="00DB1798" w:rsidP="00DB1798">
      <w:pPr>
        <w:pStyle w:val="Pasussalistom"/>
        <w:ind w:left="540"/>
        <w:contextualSpacing w:val="0"/>
        <w:jc w:val="both"/>
        <w:rPr>
          <w:rFonts w:asciiTheme="minorHAnsi" w:hAnsiTheme="minorHAnsi" w:cstheme="minorHAnsi"/>
          <w:color w:val="auto"/>
          <w:sz w:val="22"/>
          <w:szCs w:val="22"/>
        </w:rPr>
      </w:pPr>
    </w:p>
    <w:p w14:paraId="6E697D76" w14:textId="7FDC78EC" w:rsidR="00E03741" w:rsidRPr="00B7665C" w:rsidRDefault="00E03741" w:rsidP="00E73104">
      <w:pPr>
        <w:jc w:val="both"/>
        <w:rPr>
          <w:rFonts w:asciiTheme="minorHAnsi" w:hAnsiTheme="minorHAnsi" w:cstheme="minorHAnsi"/>
          <w:color w:val="auto"/>
          <w:sz w:val="22"/>
          <w:szCs w:val="22"/>
        </w:rPr>
      </w:pPr>
      <w:r w:rsidRPr="00301CF1">
        <w:rPr>
          <w:rFonts w:asciiTheme="minorHAnsi" w:hAnsiTheme="minorHAnsi" w:cstheme="minorHAnsi"/>
          <w:color w:val="auto"/>
          <w:sz w:val="22"/>
          <w:szCs w:val="22"/>
        </w:rPr>
        <w:t xml:space="preserve">Policies and programs in this domain have significant potential to either reinforce existing inequalities or drive broader social change. </w:t>
      </w:r>
      <w:r w:rsidRPr="00B7665C">
        <w:rPr>
          <w:rFonts w:asciiTheme="minorHAnsi" w:hAnsiTheme="minorHAnsi" w:cstheme="minorHAnsi"/>
          <w:color w:val="auto"/>
          <w:sz w:val="22"/>
          <w:szCs w:val="22"/>
        </w:rPr>
        <w:t>The analytical framework applied throughout this regional assessment enables systematic examination of how gender dynamics manifest across all three dimensions within each country's water sector revealing not only where gaps exist, but also where targeted interventions can generate the greatest impact for women, households, and communities across the Dinaric Karst region.</w:t>
      </w:r>
    </w:p>
    <w:p w14:paraId="14CF5680" w14:textId="77777777" w:rsidR="00301CF1" w:rsidRPr="00B7665C" w:rsidRDefault="00301CF1" w:rsidP="00E73104">
      <w:pPr>
        <w:jc w:val="both"/>
        <w:rPr>
          <w:rFonts w:asciiTheme="minorHAnsi" w:hAnsiTheme="minorHAnsi" w:cstheme="minorHAnsi"/>
          <w:color w:val="auto"/>
          <w:sz w:val="22"/>
          <w:szCs w:val="22"/>
        </w:rPr>
      </w:pPr>
    </w:p>
    <w:p w14:paraId="5FFF014A" w14:textId="3ABB670A" w:rsidR="00E03741" w:rsidRPr="00EB05F1" w:rsidRDefault="00E03741" w:rsidP="00E73104">
      <w:pPr>
        <w:pStyle w:val="Naslov2"/>
        <w:spacing w:before="0" w:after="0"/>
        <w:jc w:val="both"/>
        <w:rPr>
          <w:rFonts w:asciiTheme="minorHAnsi" w:hAnsiTheme="minorHAnsi" w:cstheme="minorHAnsi"/>
          <w:color w:val="4472C4" w:themeColor="accent1"/>
          <w:sz w:val="22"/>
          <w:szCs w:val="22"/>
        </w:rPr>
      </w:pPr>
      <w:bookmarkStart w:id="7" w:name="_Toc224128590"/>
      <w:r w:rsidRPr="00EB05F1">
        <w:rPr>
          <w:rFonts w:asciiTheme="minorHAnsi" w:eastAsia="Arial" w:hAnsiTheme="minorHAnsi" w:cstheme="minorHAnsi"/>
          <w:b/>
          <w:bCs/>
          <w:color w:val="4472C4" w:themeColor="accent1"/>
          <w:sz w:val="22"/>
          <w:szCs w:val="22"/>
        </w:rPr>
        <w:lastRenderedPageBreak/>
        <w:t>1.3 Purpose and Scope of the Regional Analysis</w:t>
      </w:r>
      <w:bookmarkEnd w:id="7"/>
    </w:p>
    <w:p w14:paraId="54E1639A" w14:textId="77777777" w:rsidR="00E03741" w:rsidRDefault="00E03741" w:rsidP="00E73104">
      <w:pPr>
        <w:jc w:val="both"/>
        <w:rPr>
          <w:rFonts w:asciiTheme="minorHAnsi" w:hAnsiTheme="minorHAnsi" w:cstheme="minorHAnsi"/>
          <w:color w:val="auto"/>
          <w:sz w:val="22"/>
          <w:szCs w:val="22"/>
        </w:rPr>
      </w:pPr>
      <w:r w:rsidRPr="00301CF1">
        <w:rPr>
          <w:rFonts w:asciiTheme="minorHAnsi" w:hAnsiTheme="minorHAnsi" w:cstheme="minorHAnsi"/>
          <w:color w:val="auto"/>
          <w:sz w:val="22"/>
          <w:szCs w:val="22"/>
        </w:rPr>
        <w:t>This report provides a comprehensive comparative gender analysis of water sector management across the four DIKTAS II project countries, serving as Output 6.2 of the project. The primary aim is to synthesize findings from the four national gender analyses and identify common patterns, divergent experiences, and opportunities for regional cooperation in advancing gender equality within water governance (DIKTAS II National Gender Analyses, 2025).</w:t>
      </w:r>
    </w:p>
    <w:p w14:paraId="5A98D801" w14:textId="77777777" w:rsidR="00EB05F1" w:rsidRPr="00556170" w:rsidRDefault="00EB05F1" w:rsidP="00E73104">
      <w:pPr>
        <w:jc w:val="both"/>
        <w:rPr>
          <w:rFonts w:asciiTheme="minorHAnsi" w:hAnsiTheme="minorHAnsi" w:cstheme="minorHAnsi"/>
          <w:sz w:val="22"/>
          <w:szCs w:val="22"/>
        </w:rPr>
      </w:pPr>
    </w:p>
    <w:p w14:paraId="65B6DE1D" w14:textId="098E59AB" w:rsidR="00E03741" w:rsidRPr="00556170" w:rsidRDefault="00E03741" w:rsidP="00E73104">
      <w:pPr>
        <w:pStyle w:val="Naslov2"/>
        <w:spacing w:before="0" w:after="0"/>
        <w:jc w:val="both"/>
        <w:rPr>
          <w:rFonts w:asciiTheme="minorHAnsi" w:hAnsiTheme="minorHAnsi" w:cstheme="minorHAnsi"/>
          <w:sz w:val="22"/>
          <w:szCs w:val="22"/>
        </w:rPr>
      </w:pPr>
      <w:bookmarkStart w:id="8" w:name="_Toc224128591"/>
      <w:r w:rsidRPr="00556170">
        <w:rPr>
          <w:rFonts w:asciiTheme="minorHAnsi" w:eastAsia="Arial" w:hAnsiTheme="minorHAnsi" w:cstheme="minorHAnsi"/>
          <w:b/>
          <w:bCs/>
          <w:color w:val="2E75B6"/>
          <w:sz w:val="22"/>
          <w:szCs w:val="22"/>
        </w:rPr>
        <w:t>1.4 Regional Hypothesis</w:t>
      </w:r>
      <w:r w:rsidR="00A9084C">
        <w:rPr>
          <w:rFonts w:asciiTheme="minorHAnsi" w:eastAsia="Arial" w:hAnsiTheme="minorHAnsi" w:cstheme="minorHAnsi"/>
          <w:b/>
          <w:bCs/>
          <w:color w:val="2E75B6"/>
          <w:sz w:val="22"/>
          <w:szCs w:val="22"/>
        </w:rPr>
        <w:t xml:space="preserve"> </w:t>
      </w:r>
      <w:r w:rsidR="00A9084C" w:rsidRPr="00A9084C">
        <w:rPr>
          <w:rFonts w:asciiTheme="minorHAnsi" w:eastAsia="Arial" w:hAnsiTheme="minorHAnsi" w:cstheme="minorHAnsi"/>
          <w:i/>
          <w:iCs/>
          <w:color w:val="000000" w:themeColor="text1"/>
          <w:sz w:val="22"/>
          <w:szCs w:val="22"/>
        </w:rPr>
        <w:t>(synthesized from DIKTAS II National Gender Analyses, 2025):</w:t>
      </w:r>
      <w:bookmarkEnd w:id="8"/>
    </w:p>
    <w:p w14:paraId="3373F034" w14:textId="07089DF5" w:rsidR="00E03741" w:rsidRPr="00A9084C" w:rsidRDefault="00E03741" w:rsidP="00E73104">
      <w:pPr>
        <w:pBdr>
          <w:left w:val="single" w:sz="14" w:space="8" w:color="2E75B6"/>
        </w:pBdr>
        <w:shd w:val="clear" w:color="auto" w:fill="EBF3FB"/>
        <w:ind w:left="400"/>
        <w:jc w:val="both"/>
        <w:rPr>
          <w:rFonts w:asciiTheme="minorHAnsi" w:hAnsiTheme="minorHAnsi" w:cstheme="minorHAnsi"/>
          <w:color w:val="000000" w:themeColor="text1"/>
          <w:sz w:val="22"/>
          <w:szCs w:val="22"/>
        </w:rPr>
      </w:pPr>
      <w:r w:rsidRPr="00A9084C">
        <w:rPr>
          <w:rFonts w:asciiTheme="minorHAnsi" w:hAnsiTheme="minorHAnsi" w:cstheme="minorHAnsi"/>
          <w:color w:val="000000" w:themeColor="text1"/>
          <w:sz w:val="22"/>
          <w:szCs w:val="22"/>
        </w:rPr>
        <w:t>"Despite the existence of progressive legal frameworks for gender equality across all four Dinaric Karst region countries and their shared commitment to EU integration standards, systemic gaps in policy implementation, fragmented water governance structures, deeply entrenched patriarchal social norms, and pervasive deficiencies in gender-disaggregated data collectively perpetuate significant gender disparities. These disparities manifest in women bearing disproportionate burdens of unpaid care work, experiencing limited access to economic opportunities in the water sector, and exercising constrained influence in water governance decision-making, particularly affecting rural and vulnerable communities."</w:t>
      </w:r>
    </w:p>
    <w:p w14:paraId="01D2C36D" w14:textId="77777777" w:rsidR="00E03741" w:rsidRPr="00556170" w:rsidRDefault="00E03741" w:rsidP="00E73104">
      <w:pPr>
        <w:jc w:val="both"/>
        <w:rPr>
          <w:rFonts w:asciiTheme="minorHAnsi" w:hAnsiTheme="minorHAnsi" w:cstheme="minorHAnsi"/>
          <w:sz w:val="22"/>
          <w:szCs w:val="22"/>
        </w:rPr>
      </w:pPr>
      <w:r w:rsidRPr="00556170">
        <w:rPr>
          <w:rFonts w:asciiTheme="minorHAnsi" w:hAnsiTheme="minorHAnsi" w:cstheme="minorHAnsi"/>
          <w:sz w:val="22"/>
          <w:szCs w:val="22"/>
        </w:rPr>
        <w:br w:type="page"/>
      </w:r>
    </w:p>
    <w:p w14:paraId="0D9FD97C" w14:textId="77777777" w:rsidR="00E03741" w:rsidRPr="00556170" w:rsidRDefault="00E03741" w:rsidP="00E73104">
      <w:pPr>
        <w:pStyle w:val="Naslov1"/>
        <w:pBdr>
          <w:bottom w:val="single" w:sz="8" w:space="4" w:color="2E75B6"/>
        </w:pBdr>
        <w:spacing w:before="0" w:after="0"/>
        <w:jc w:val="both"/>
        <w:rPr>
          <w:rFonts w:asciiTheme="minorHAnsi" w:hAnsiTheme="minorHAnsi" w:cstheme="minorHAnsi"/>
          <w:sz w:val="22"/>
          <w:szCs w:val="22"/>
        </w:rPr>
      </w:pPr>
      <w:bookmarkStart w:id="9" w:name="_Toc224128592"/>
      <w:r w:rsidRPr="00556170">
        <w:rPr>
          <w:rFonts w:asciiTheme="minorHAnsi" w:eastAsia="Arial" w:hAnsiTheme="minorHAnsi" w:cstheme="minorHAnsi"/>
          <w:b/>
          <w:bCs/>
          <w:color w:val="1F4E79"/>
          <w:sz w:val="22"/>
          <w:szCs w:val="22"/>
        </w:rPr>
        <w:lastRenderedPageBreak/>
        <w:t>2</w:t>
      </w:r>
      <w:proofErr w:type="gramStart"/>
      <w:r w:rsidRPr="00556170">
        <w:rPr>
          <w:rFonts w:asciiTheme="minorHAnsi" w:eastAsia="Arial" w:hAnsiTheme="minorHAnsi" w:cstheme="minorHAnsi"/>
          <w:b/>
          <w:bCs/>
          <w:color w:val="1F4E79"/>
          <w:sz w:val="22"/>
          <w:szCs w:val="22"/>
        </w:rPr>
        <w:t>.  METHODOLOGY</w:t>
      </w:r>
      <w:bookmarkEnd w:id="9"/>
      <w:proofErr w:type="gramEnd"/>
    </w:p>
    <w:p w14:paraId="486715F5" w14:textId="6698F320" w:rsidR="00E03741" w:rsidRPr="00556170" w:rsidRDefault="00E03741" w:rsidP="00E73104">
      <w:pPr>
        <w:pStyle w:val="Naslov2"/>
        <w:spacing w:before="0" w:after="0"/>
        <w:jc w:val="both"/>
        <w:rPr>
          <w:rFonts w:asciiTheme="minorHAnsi" w:hAnsiTheme="minorHAnsi" w:cstheme="minorHAnsi"/>
          <w:sz w:val="22"/>
          <w:szCs w:val="22"/>
        </w:rPr>
      </w:pPr>
      <w:bookmarkStart w:id="10" w:name="_Toc224128593"/>
      <w:r w:rsidRPr="00556170">
        <w:rPr>
          <w:rFonts w:asciiTheme="minorHAnsi" w:eastAsia="Arial" w:hAnsiTheme="minorHAnsi" w:cstheme="minorHAnsi"/>
          <w:b/>
          <w:bCs/>
          <w:color w:val="2E75B6"/>
          <w:sz w:val="22"/>
          <w:szCs w:val="22"/>
        </w:rPr>
        <w:t>2.1 Analytical Approach</w:t>
      </w:r>
      <w:bookmarkEnd w:id="10"/>
    </w:p>
    <w:p w14:paraId="35C2336B" w14:textId="77777777" w:rsidR="00E03741" w:rsidRPr="00375655" w:rsidRDefault="00E03741" w:rsidP="00E73104">
      <w:pPr>
        <w:jc w:val="both"/>
        <w:rPr>
          <w:rFonts w:asciiTheme="minorHAnsi" w:hAnsiTheme="minorHAnsi" w:cstheme="minorHAnsi"/>
          <w:color w:val="000000" w:themeColor="text1"/>
          <w:sz w:val="22"/>
          <w:szCs w:val="22"/>
        </w:rPr>
      </w:pPr>
      <w:r w:rsidRPr="00375655">
        <w:rPr>
          <w:rFonts w:asciiTheme="minorHAnsi" w:hAnsiTheme="minorHAnsi" w:cstheme="minorHAnsi"/>
          <w:color w:val="000000" w:themeColor="text1"/>
          <w:sz w:val="22"/>
          <w:szCs w:val="22"/>
        </w:rPr>
        <w:t xml:space="preserve">This regional synthesis employs a desk review methodology, systematically examining and integrating findings from the four national water sector gender analyses produced under the DIKTAS II project. A desk review involves </w:t>
      </w:r>
      <w:proofErr w:type="gramStart"/>
      <w:r w:rsidRPr="00375655">
        <w:rPr>
          <w:rFonts w:asciiTheme="minorHAnsi" w:hAnsiTheme="minorHAnsi" w:cstheme="minorHAnsi"/>
          <w:color w:val="000000" w:themeColor="text1"/>
          <w:sz w:val="22"/>
          <w:szCs w:val="22"/>
        </w:rPr>
        <w:t>the systematic</w:t>
      </w:r>
      <w:proofErr w:type="gramEnd"/>
      <w:r w:rsidRPr="00375655">
        <w:rPr>
          <w:rFonts w:asciiTheme="minorHAnsi" w:hAnsiTheme="minorHAnsi" w:cstheme="minorHAnsi"/>
          <w:color w:val="000000" w:themeColor="text1"/>
          <w:sz w:val="22"/>
          <w:szCs w:val="22"/>
        </w:rPr>
        <w:t xml:space="preserve"> collection, reading, and analysis of existing documents and secondary data sources, rather than the generation of new primary data through fieldwork or surveys. This approach is appropriate for a regional synthesis report, where the primary task is to compare, consolidate, and draw cross-cutting conclusions from country-level analyses already completed. Each national analysis was conducted using a consistent methodological framework, enabling meaningful cross-country comparison while acknowledging country-specific contextual factors.</w:t>
      </w:r>
    </w:p>
    <w:p w14:paraId="58F5DB33" w14:textId="77777777" w:rsidR="00154738" w:rsidRPr="00375655" w:rsidRDefault="00154738" w:rsidP="00E73104">
      <w:pPr>
        <w:jc w:val="both"/>
        <w:rPr>
          <w:rFonts w:asciiTheme="minorHAnsi" w:hAnsiTheme="minorHAnsi" w:cstheme="minorHAnsi"/>
          <w:color w:val="000000" w:themeColor="text1"/>
          <w:sz w:val="22"/>
          <w:szCs w:val="22"/>
        </w:rPr>
      </w:pPr>
    </w:p>
    <w:p w14:paraId="1D425C02" w14:textId="77777777" w:rsidR="00970A4A" w:rsidRPr="00375655" w:rsidRDefault="00E03741" w:rsidP="00E73104">
      <w:pPr>
        <w:jc w:val="both"/>
        <w:rPr>
          <w:rFonts w:asciiTheme="minorHAnsi" w:hAnsiTheme="minorHAnsi" w:cstheme="minorHAnsi"/>
          <w:color w:val="000000" w:themeColor="text1"/>
          <w:sz w:val="22"/>
          <w:szCs w:val="22"/>
        </w:rPr>
      </w:pPr>
      <w:r w:rsidRPr="00375655">
        <w:rPr>
          <w:rFonts w:asciiTheme="minorHAnsi" w:hAnsiTheme="minorHAnsi" w:cstheme="minorHAnsi"/>
          <w:color w:val="000000" w:themeColor="text1"/>
          <w:sz w:val="22"/>
          <w:szCs w:val="22"/>
        </w:rPr>
        <w:t xml:space="preserve">The comparative analysis followed four sequential steps: </w:t>
      </w:r>
    </w:p>
    <w:p w14:paraId="7929E92B" w14:textId="09847FA2" w:rsidR="00970A4A" w:rsidRPr="00375655" w:rsidRDefault="00E03741" w:rsidP="00970A4A">
      <w:pPr>
        <w:pStyle w:val="Pasussalistom"/>
        <w:numPr>
          <w:ilvl w:val="0"/>
          <w:numId w:val="4"/>
        </w:numPr>
        <w:jc w:val="both"/>
        <w:rPr>
          <w:rFonts w:asciiTheme="minorHAnsi" w:hAnsiTheme="minorHAnsi" w:cstheme="minorHAnsi"/>
          <w:color w:val="000000" w:themeColor="text1"/>
          <w:sz w:val="22"/>
          <w:szCs w:val="22"/>
        </w:rPr>
      </w:pPr>
      <w:r w:rsidRPr="00375655">
        <w:rPr>
          <w:rFonts w:asciiTheme="minorHAnsi" w:hAnsiTheme="minorHAnsi" w:cstheme="minorHAnsi"/>
          <w:color w:val="000000" w:themeColor="text1"/>
          <w:sz w:val="22"/>
          <w:szCs w:val="22"/>
        </w:rPr>
        <w:t xml:space="preserve">Extraction: key findings from each national report were extracted and </w:t>
      </w:r>
      <w:r w:rsidRPr="00A92C6D">
        <w:rPr>
          <w:rFonts w:asciiTheme="minorHAnsi" w:hAnsiTheme="minorHAnsi" w:cstheme="minorHAnsi"/>
          <w:color w:val="000000" w:themeColor="text1"/>
          <w:sz w:val="22"/>
          <w:szCs w:val="22"/>
          <w:lang w:val="en-GB"/>
        </w:rPr>
        <w:t xml:space="preserve">organised </w:t>
      </w:r>
      <w:r w:rsidRPr="00375655">
        <w:rPr>
          <w:rFonts w:asciiTheme="minorHAnsi" w:hAnsiTheme="minorHAnsi" w:cstheme="minorHAnsi"/>
          <w:color w:val="000000" w:themeColor="text1"/>
          <w:sz w:val="22"/>
          <w:szCs w:val="22"/>
        </w:rPr>
        <w:t xml:space="preserve">according to the common 'Water as an Asset, Service, and Space' analytical framework. </w:t>
      </w:r>
    </w:p>
    <w:p w14:paraId="3F1D40BF" w14:textId="573F54F8" w:rsidR="00970A4A" w:rsidRPr="00375655" w:rsidRDefault="00E03741" w:rsidP="00970A4A">
      <w:pPr>
        <w:pStyle w:val="Pasussalistom"/>
        <w:numPr>
          <w:ilvl w:val="0"/>
          <w:numId w:val="4"/>
        </w:numPr>
        <w:jc w:val="both"/>
        <w:rPr>
          <w:rFonts w:asciiTheme="minorHAnsi" w:hAnsiTheme="minorHAnsi" w:cstheme="minorHAnsi"/>
          <w:color w:val="000000" w:themeColor="text1"/>
          <w:sz w:val="22"/>
          <w:szCs w:val="22"/>
        </w:rPr>
      </w:pPr>
      <w:r w:rsidRPr="00375655">
        <w:rPr>
          <w:rFonts w:asciiTheme="minorHAnsi" w:hAnsiTheme="minorHAnsi" w:cstheme="minorHAnsi"/>
          <w:color w:val="000000" w:themeColor="text1"/>
          <w:sz w:val="22"/>
          <w:szCs w:val="22"/>
        </w:rPr>
        <w:t xml:space="preserve">Systematic comparison: findings across all four countries were compared to identify patterns of convergence where challenges or outcomes were consistent across the region and patterns of divergence, where country-specific factors produced meaningfully different results. </w:t>
      </w:r>
    </w:p>
    <w:p w14:paraId="218A2DA5" w14:textId="11400EBD" w:rsidR="00970A4A" w:rsidRPr="00375655" w:rsidRDefault="00E03741" w:rsidP="00970A4A">
      <w:pPr>
        <w:pStyle w:val="Pasussalistom"/>
        <w:numPr>
          <w:ilvl w:val="0"/>
          <w:numId w:val="4"/>
        </w:numPr>
        <w:jc w:val="both"/>
        <w:rPr>
          <w:rFonts w:asciiTheme="minorHAnsi" w:hAnsiTheme="minorHAnsi" w:cstheme="minorHAnsi"/>
          <w:color w:val="000000" w:themeColor="text1"/>
          <w:sz w:val="22"/>
          <w:szCs w:val="22"/>
        </w:rPr>
      </w:pPr>
      <w:r w:rsidRPr="00375655">
        <w:rPr>
          <w:rFonts w:asciiTheme="minorHAnsi" w:hAnsiTheme="minorHAnsi" w:cstheme="minorHAnsi"/>
          <w:color w:val="000000" w:themeColor="text1"/>
          <w:sz w:val="22"/>
          <w:szCs w:val="22"/>
        </w:rPr>
        <w:t xml:space="preserve">Structural analysis: underlying structural factors and causal relationships were examined to explain why patterns of convergence or divergence exist, including institutional, cultural, legal, and economic drivers. </w:t>
      </w:r>
    </w:p>
    <w:p w14:paraId="763B5A6C" w14:textId="3466494D" w:rsidR="00E03741" w:rsidRPr="00375655" w:rsidRDefault="00E03741" w:rsidP="00970A4A">
      <w:pPr>
        <w:pStyle w:val="Pasussalistom"/>
        <w:numPr>
          <w:ilvl w:val="0"/>
          <w:numId w:val="4"/>
        </w:numPr>
        <w:jc w:val="both"/>
        <w:rPr>
          <w:rFonts w:asciiTheme="minorHAnsi" w:hAnsiTheme="minorHAnsi" w:cstheme="minorHAnsi"/>
          <w:color w:val="000000" w:themeColor="text1"/>
          <w:sz w:val="22"/>
          <w:szCs w:val="22"/>
        </w:rPr>
      </w:pPr>
      <w:r w:rsidRPr="00375655">
        <w:rPr>
          <w:rFonts w:asciiTheme="minorHAnsi" w:hAnsiTheme="minorHAnsi" w:cstheme="minorHAnsi"/>
          <w:color w:val="000000" w:themeColor="text1"/>
          <w:sz w:val="22"/>
          <w:szCs w:val="22"/>
        </w:rPr>
        <w:t>Strategic derivation: findings were translated into strategic implications for regional cooperation and country-specific interventions, with recommendations calibrated to each country’s institutional context and capacity.</w:t>
      </w:r>
    </w:p>
    <w:p w14:paraId="48C0BB25" w14:textId="77777777" w:rsidR="00970A4A" w:rsidRPr="00375655" w:rsidRDefault="00970A4A" w:rsidP="00E73104">
      <w:pPr>
        <w:jc w:val="both"/>
        <w:rPr>
          <w:rFonts w:asciiTheme="minorHAnsi" w:hAnsiTheme="minorHAnsi" w:cstheme="minorHAnsi"/>
          <w:color w:val="000000" w:themeColor="text1"/>
          <w:sz w:val="22"/>
          <w:szCs w:val="22"/>
        </w:rPr>
      </w:pPr>
    </w:p>
    <w:p w14:paraId="57AAA68F" w14:textId="77777777" w:rsidR="00B86C34" w:rsidRDefault="00E03741" w:rsidP="00E73104">
      <w:pPr>
        <w:jc w:val="both"/>
        <w:rPr>
          <w:rFonts w:asciiTheme="minorHAnsi" w:hAnsiTheme="minorHAnsi" w:cstheme="minorHAnsi"/>
          <w:color w:val="000000" w:themeColor="text1"/>
          <w:sz w:val="22"/>
          <w:szCs w:val="22"/>
        </w:rPr>
      </w:pPr>
      <w:r w:rsidRPr="00375655">
        <w:rPr>
          <w:rFonts w:asciiTheme="minorHAnsi" w:hAnsiTheme="minorHAnsi" w:cstheme="minorHAnsi"/>
          <w:color w:val="000000" w:themeColor="text1"/>
          <w:sz w:val="22"/>
          <w:szCs w:val="22"/>
        </w:rPr>
        <w:t xml:space="preserve">The national analyses that form the primary evidence base for this synthesis are: </w:t>
      </w:r>
    </w:p>
    <w:p w14:paraId="37E1617F" w14:textId="293BCE6D" w:rsidR="00B86C34" w:rsidRPr="00F00735" w:rsidRDefault="00E03741" w:rsidP="00F00735">
      <w:pPr>
        <w:pStyle w:val="Pasussalistom"/>
        <w:numPr>
          <w:ilvl w:val="0"/>
          <w:numId w:val="7"/>
        </w:numPr>
        <w:jc w:val="both"/>
        <w:rPr>
          <w:rFonts w:asciiTheme="minorHAnsi" w:hAnsiTheme="minorHAnsi" w:cstheme="minorHAnsi"/>
          <w:color w:val="000000" w:themeColor="text1"/>
          <w:sz w:val="22"/>
          <w:szCs w:val="22"/>
        </w:rPr>
      </w:pPr>
      <w:r w:rsidRPr="00F00735">
        <w:rPr>
          <w:rFonts w:asciiTheme="minorHAnsi" w:hAnsiTheme="minorHAnsi" w:cstheme="minorHAnsi"/>
          <w:color w:val="000000" w:themeColor="text1"/>
          <w:sz w:val="22"/>
          <w:szCs w:val="22"/>
        </w:rPr>
        <w:t>National Water Sector Gender Analysis: Albania (DIKTAS II Output 6.2, 2025</w:t>
      </w:r>
      <w:proofErr w:type="gramStart"/>
      <w:r w:rsidRPr="00F00735">
        <w:rPr>
          <w:rFonts w:asciiTheme="minorHAnsi" w:hAnsiTheme="minorHAnsi" w:cstheme="minorHAnsi"/>
          <w:color w:val="000000" w:themeColor="text1"/>
          <w:sz w:val="22"/>
          <w:szCs w:val="22"/>
        </w:rPr>
        <w:t>);</w:t>
      </w:r>
      <w:proofErr w:type="gramEnd"/>
      <w:r w:rsidRPr="00F00735">
        <w:rPr>
          <w:rFonts w:asciiTheme="minorHAnsi" w:hAnsiTheme="minorHAnsi" w:cstheme="minorHAnsi"/>
          <w:color w:val="000000" w:themeColor="text1"/>
          <w:sz w:val="22"/>
          <w:szCs w:val="22"/>
        </w:rPr>
        <w:t xml:space="preserve"> </w:t>
      </w:r>
    </w:p>
    <w:p w14:paraId="53C519BE" w14:textId="402FA670" w:rsidR="00B86C34" w:rsidRPr="00F00735" w:rsidRDefault="00E03741" w:rsidP="00F00735">
      <w:pPr>
        <w:pStyle w:val="Pasussalistom"/>
        <w:numPr>
          <w:ilvl w:val="0"/>
          <w:numId w:val="7"/>
        </w:numPr>
        <w:jc w:val="both"/>
        <w:rPr>
          <w:rFonts w:asciiTheme="minorHAnsi" w:hAnsiTheme="minorHAnsi" w:cstheme="minorHAnsi"/>
          <w:color w:val="000000" w:themeColor="text1"/>
          <w:sz w:val="22"/>
          <w:szCs w:val="22"/>
        </w:rPr>
      </w:pPr>
      <w:r w:rsidRPr="00F00735">
        <w:rPr>
          <w:rFonts w:asciiTheme="minorHAnsi" w:hAnsiTheme="minorHAnsi" w:cstheme="minorHAnsi"/>
          <w:color w:val="000000" w:themeColor="text1"/>
          <w:sz w:val="22"/>
          <w:szCs w:val="22"/>
        </w:rPr>
        <w:t>National Water Sector Gender Analysis: Bosnia and Herzegovina (DIKTAS II Output 6.2, 2025</w:t>
      </w:r>
      <w:proofErr w:type="gramStart"/>
      <w:r w:rsidRPr="00F00735">
        <w:rPr>
          <w:rFonts w:asciiTheme="minorHAnsi" w:hAnsiTheme="minorHAnsi" w:cstheme="minorHAnsi"/>
          <w:color w:val="000000" w:themeColor="text1"/>
          <w:sz w:val="22"/>
          <w:szCs w:val="22"/>
        </w:rPr>
        <w:t>);</w:t>
      </w:r>
      <w:proofErr w:type="gramEnd"/>
      <w:r w:rsidRPr="00F00735">
        <w:rPr>
          <w:rFonts w:asciiTheme="minorHAnsi" w:hAnsiTheme="minorHAnsi" w:cstheme="minorHAnsi"/>
          <w:color w:val="000000" w:themeColor="text1"/>
          <w:sz w:val="22"/>
          <w:szCs w:val="22"/>
        </w:rPr>
        <w:t xml:space="preserve"> </w:t>
      </w:r>
    </w:p>
    <w:p w14:paraId="0D7DE4D8" w14:textId="06D75365" w:rsidR="00B86C34" w:rsidRPr="00F00735" w:rsidRDefault="00E03741" w:rsidP="00F00735">
      <w:pPr>
        <w:pStyle w:val="Pasussalistom"/>
        <w:numPr>
          <w:ilvl w:val="0"/>
          <w:numId w:val="7"/>
        </w:numPr>
        <w:jc w:val="both"/>
        <w:rPr>
          <w:rFonts w:asciiTheme="minorHAnsi" w:hAnsiTheme="minorHAnsi" w:cstheme="minorHAnsi"/>
          <w:color w:val="000000" w:themeColor="text1"/>
          <w:sz w:val="22"/>
          <w:szCs w:val="22"/>
        </w:rPr>
      </w:pPr>
      <w:r w:rsidRPr="00F00735">
        <w:rPr>
          <w:rFonts w:asciiTheme="minorHAnsi" w:hAnsiTheme="minorHAnsi" w:cstheme="minorHAnsi"/>
          <w:color w:val="000000" w:themeColor="text1"/>
          <w:sz w:val="22"/>
          <w:szCs w:val="22"/>
        </w:rPr>
        <w:t xml:space="preserve">National Water Sector Gender Analysis: Croatia (DIKTAS II Output 6.2, 2025); and </w:t>
      </w:r>
    </w:p>
    <w:p w14:paraId="53D17D97" w14:textId="4E8C09E2" w:rsidR="00B86C34" w:rsidRPr="00F00735" w:rsidRDefault="00E03741" w:rsidP="00F00735">
      <w:pPr>
        <w:pStyle w:val="Pasussalistom"/>
        <w:numPr>
          <w:ilvl w:val="0"/>
          <w:numId w:val="7"/>
        </w:numPr>
        <w:jc w:val="both"/>
        <w:rPr>
          <w:rFonts w:asciiTheme="minorHAnsi" w:hAnsiTheme="minorHAnsi" w:cstheme="minorHAnsi"/>
          <w:color w:val="000000" w:themeColor="text1"/>
          <w:sz w:val="22"/>
          <w:szCs w:val="22"/>
        </w:rPr>
      </w:pPr>
      <w:r w:rsidRPr="00F00735">
        <w:rPr>
          <w:rFonts w:asciiTheme="minorHAnsi" w:hAnsiTheme="minorHAnsi" w:cstheme="minorHAnsi"/>
          <w:color w:val="000000" w:themeColor="text1"/>
          <w:sz w:val="22"/>
          <w:szCs w:val="22"/>
        </w:rPr>
        <w:t xml:space="preserve">National Water Sector Gender Analysis: Montenegro (DIKTAS II Output 6.2, 2025). </w:t>
      </w:r>
    </w:p>
    <w:p w14:paraId="768C199A" w14:textId="77777777" w:rsidR="00B86C34" w:rsidRDefault="00B86C34" w:rsidP="00E73104">
      <w:pPr>
        <w:jc w:val="both"/>
        <w:rPr>
          <w:rFonts w:asciiTheme="minorHAnsi" w:hAnsiTheme="minorHAnsi" w:cstheme="minorHAnsi"/>
          <w:color w:val="000000" w:themeColor="text1"/>
          <w:sz w:val="22"/>
          <w:szCs w:val="22"/>
        </w:rPr>
      </w:pPr>
    </w:p>
    <w:p w14:paraId="5E08D72C" w14:textId="26CBE139" w:rsidR="00E03741" w:rsidRDefault="00E03741" w:rsidP="00E73104">
      <w:pPr>
        <w:jc w:val="both"/>
        <w:rPr>
          <w:rFonts w:asciiTheme="minorHAnsi" w:hAnsiTheme="minorHAnsi" w:cstheme="minorHAnsi"/>
          <w:color w:val="000000" w:themeColor="text1"/>
          <w:sz w:val="22"/>
          <w:szCs w:val="22"/>
        </w:rPr>
      </w:pPr>
      <w:r w:rsidRPr="00375655">
        <w:rPr>
          <w:rFonts w:asciiTheme="minorHAnsi" w:hAnsiTheme="minorHAnsi" w:cstheme="minorHAnsi"/>
          <w:color w:val="000000" w:themeColor="text1"/>
          <w:sz w:val="22"/>
          <w:szCs w:val="22"/>
        </w:rPr>
        <w:t xml:space="preserve">Each national report was reviewed in its entirety, with findings cross-referenced against primary institutional data sources to verify accuracy and currency. The Croatia analysis additionally incorporated a structured interview with a managerial representative of Croatian Waters, using the UNESCO WWAP Toolkit on Sex-Disaggregated Water Data (UNESCO/WWAP, 2024). Croatia is the only country for which primary qualitative data were collected specifically for the DIKTAS II gender assessment, and it is the first time sex-disaggregated data has been formally </w:t>
      </w:r>
      <w:r w:rsidRPr="00A92C6D">
        <w:rPr>
          <w:rFonts w:asciiTheme="minorHAnsi" w:hAnsiTheme="minorHAnsi" w:cstheme="minorHAnsi"/>
          <w:color w:val="000000" w:themeColor="text1"/>
          <w:sz w:val="22"/>
          <w:szCs w:val="22"/>
          <w:lang w:val="en-GB"/>
        </w:rPr>
        <w:t>analysed</w:t>
      </w:r>
      <w:r w:rsidRPr="00375655">
        <w:rPr>
          <w:rFonts w:asciiTheme="minorHAnsi" w:hAnsiTheme="minorHAnsi" w:cstheme="minorHAnsi"/>
          <w:color w:val="000000" w:themeColor="text1"/>
          <w:sz w:val="22"/>
          <w:szCs w:val="22"/>
        </w:rPr>
        <w:t xml:space="preserve"> in Croatia’s water sector.</w:t>
      </w:r>
    </w:p>
    <w:p w14:paraId="0183FAC8" w14:textId="77777777" w:rsidR="00375655" w:rsidRPr="00556170" w:rsidRDefault="00375655" w:rsidP="00E73104">
      <w:pPr>
        <w:jc w:val="both"/>
        <w:rPr>
          <w:rFonts w:asciiTheme="minorHAnsi" w:hAnsiTheme="minorHAnsi" w:cstheme="minorHAnsi"/>
          <w:sz w:val="22"/>
          <w:szCs w:val="22"/>
        </w:rPr>
      </w:pPr>
    </w:p>
    <w:p w14:paraId="1433893B" w14:textId="4D1D5679" w:rsidR="00E03741" w:rsidRPr="00556170" w:rsidRDefault="00E03741" w:rsidP="00E73104">
      <w:pPr>
        <w:pStyle w:val="Naslov2"/>
        <w:spacing w:before="0" w:after="0"/>
        <w:jc w:val="both"/>
        <w:rPr>
          <w:rFonts w:asciiTheme="minorHAnsi" w:hAnsiTheme="minorHAnsi" w:cstheme="minorHAnsi"/>
          <w:sz w:val="22"/>
          <w:szCs w:val="22"/>
        </w:rPr>
      </w:pPr>
      <w:bookmarkStart w:id="11" w:name="_Toc224128594"/>
      <w:r w:rsidRPr="00556170">
        <w:rPr>
          <w:rFonts w:asciiTheme="minorHAnsi" w:eastAsia="Arial" w:hAnsiTheme="minorHAnsi" w:cstheme="minorHAnsi"/>
          <w:b/>
          <w:bCs/>
          <w:color w:val="2E75B6"/>
          <w:sz w:val="22"/>
          <w:szCs w:val="22"/>
        </w:rPr>
        <w:t>2.2 The "Water as an Asset, Service, and Space" Framework</w:t>
      </w:r>
      <w:bookmarkEnd w:id="11"/>
    </w:p>
    <w:p w14:paraId="18245289" w14:textId="77777777" w:rsidR="00E03741" w:rsidRPr="00E94A2D" w:rsidRDefault="00E03741" w:rsidP="00E73104">
      <w:pPr>
        <w:jc w:val="both"/>
        <w:rPr>
          <w:rFonts w:asciiTheme="minorHAnsi" w:hAnsiTheme="minorHAnsi" w:cstheme="minorHAnsi"/>
          <w:color w:val="000000" w:themeColor="text1"/>
          <w:sz w:val="22"/>
          <w:szCs w:val="22"/>
        </w:rPr>
      </w:pPr>
      <w:r w:rsidRPr="00E94A2D">
        <w:rPr>
          <w:rFonts w:asciiTheme="minorHAnsi" w:hAnsiTheme="minorHAnsi" w:cstheme="minorHAnsi"/>
          <w:color w:val="000000" w:themeColor="text1"/>
          <w:sz w:val="22"/>
          <w:szCs w:val="22"/>
        </w:rPr>
        <w:t>All four national analyses were structured around the 'Water as an Asset, Service, and Space' framework (World Bank, 2017), ensuring analytical consistency across the region. Key indicators by dimension are:</w:t>
      </w:r>
    </w:p>
    <w:p w14:paraId="6EAAC7F7" w14:textId="77777777" w:rsidR="009E09E8" w:rsidRPr="00E94A2D" w:rsidRDefault="009E09E8" w:rsidP="00E73104">
      <w:pPr>
        <w:jc w:val="both"/>
        <w:rPr>
          <w:rFonts w:asciiTheme="minorHAnsi" w:hAnsiTheme="minorHAnsi" w:cstheme="minorHAnsi"/>
          <w:color w:val="000000" w:themeColor="text1"/>
          <w:sz w:val="22"/>
          <w:szCs w:val="22"/>
        </w:rPr>
      </w:pPr>
    </w:p>
    <w:p w14:paraId="447F0ACA" w14:textId="77777777" w:rsidR="00E03741" w:rsidRPr="00E94A2D"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E94A2D">
        <w:rPr>
          <w:rFonts w:asciiTheme="minorHAnsi" w:hAnsiTheme="minorHAnsi" w:cstheme="minorHAnsi"/>
          <w:b/>
          <w:bCs/>
          <w:color w:val="000000" w:themeColor="text1"/>
          <w:sz w:val="22"/>
          <w:szCs w:val="22"/>
        </w:rPr>
        <w:t xml:space="preserve">Asset: </w:t>
      </w:r>
      <w:r w:rsidRPr="00E94A2D">
        <w:rPr>
          <w:rFonts w:asciiTheme="minorHAnsi" w:hAnsiTheme="minorHAnsi" w:cstheme="minorHAnsi"/>
          <w:color w:val="000000" w:themeColor="text1"/>
          <w:sz w:val="22"/>
          <w:szCs w:val="22"/>
        </w:rPr>
        <w:t>Women's representation in water sector employment, concentration in technical versus administrative roles, access to land and water resources, and the gender wage gap within the sector.</w:t>
      </w:r>
    </w:p>
    <w:p w14:paraId="58CDC9FD" w14:textId="77777777" w:rsidR="00E03741" w:rsidRPr="00E94A2D"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E94A2D">
        <w:rPr>
          <w:rFonts w:asciiTheme="minorHAnsi" w:hAnsiTheme="minorHAnsi" w:cstheme="minorHAnsi"/>
          <w:b/>
          <w:bCs/>
          <w:color w:val="000000" w:themeColor="text1"/>
          <w:sz w:val="22"/>
          <w:szCs w:val="22"/>
        </w:rPr>
        <w:t xml:space="preserve">Service: </w:t>
      </w:r>
      <w:r w:rsidRPr="00E94A2D">
        <w:rPr>
          <w:rFonts w:asciiTheme="minorHAnsi" w:hAnsiTheme="minorHAnsi" w:cstheme="minorHAnsi"/>
          <w:color w:val="000000" w:themeColor="text1"/>
          <w:sz w:val="22"/>
          <w:szCs w:val="22"/>
        </w:rPr>
        <w:t xml:space="preserve">Time and </w:t>
      </w:r>
      <w:r w:rsidRPr="00A92C6D">
        <w:rPr>
          <w:rFonts w:asciiTheme="minorHAnsi" w:hAnsiTheme="minorHAnsi" w:cstheme="minorHAnsi"/>
          <w:color w:val="000000" w:themeColor="text1"/>
          <w:sz w:val="22"/>
          <w:szCs w:val="22"/>
          <w:lang w:val="en-GB"/>
        </w:rPr>
        <w:t>labour</w:t>
      </w:r>
      <w:r w:rsidRPr="00E94A2D">
        <w:rPr>
          <w:rFonts w:asciiTheme="minorHAnsi" w:hAnsiTheme="minorHAnsi" w:cstheme="minorHAnsi"/>
          <w:color w:val="000000" w:themeColor="text1"/>
          <w:sz w:val="22"/>
          <w:szCs w:val="22"/>
        </w:rPr>
        <w:t xml:space="preserve"> burdens associated with water collection, household water management, and unpaid care work; infrastructure access disparities between urban and rural areas; and implications for women's economic participation and wellbeing.</w:t>
      </w:r>
    </w:p>
    <w:p w14:paraId="69CACA3F" w14:textId="77777777" w:rsidR="00E03741"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E94A2D">
        <w:rPr>
          <w:rFonts w:asciiTheme="minorHAnsi" w:hAnsiTheme="minorHAnsi" w:cstheme="minorHAnsi"/>
          <w:b/>
          <w:bCs/>
          <w:color w:val="000000" w:themeColor="text1"/>
          <w:sz w:val="22"/>
          <w:szCs w:val="22"/>
        </w:rPr>
        <w:lastRenderedPageBreak/>
        <w:t xml:space="preserve">Space: </w:t>
      </w:r>
      <w:r w:rsidRPr="00E94A2D">
        <w:rPr>
          <w:rFonts w:asciiTheme="minorHAnsi" w:hAnsiTheme="minorHAnsi" w:cstheme="minorHAnsi"/>
          <w:color w:val="000000" w:themeColor="text1"/>
          <w:sz w:val="22"/>
          <w:szCs w:val="22"/>
        </w:rPr>
        <w:t>Women's voice, influence, and decision-making power within water governance structures, encompassing political representation, participation in utility management, and the extent to which women's perspectives inform water policy.</w:t>
      </w:r>
    </w:p>
    <w:p w14:paraId="7667F944" w14:textId="77777777" w:rsidR="00E94A2D" w:rsidRPr="00E94A2D" w:rsidRDefault="00E94A2D" w:rsidP="00E94A2D">
      <w:pPr>
        <w:pStyle w:val="Pasussalistom"/>
        <w:ind w:left="540"/>
        <w:contextualSpacing w:val="0"/>
        <w:jc w:val="both"/>
        <w:rPr>
          <w:rFonts w:asciiTheme="minorHAnsi" w:hAnsiTheme="minorHAnsi" w:cstheme="minorHAnsi"/>
          <w:color w:val="000000" w:themeColor="text1"/>
          <w:sz w:val="22"/>
          <w:szCs w:val="22"/>
        </w:rPr>
      </w:pPr>
    </w:p>
    <w:p w14:paraId="23BDBCD6" w14:textId="6BBF6B1E" w:rsidR="00E03741" w:rsidRPr="00556170" w:rsidRDefault="00E03741" w:rsidP="00E73104">
      <w:pPr>
        <w:pStyle w:val="Naslov2"/>
        <w:spacing w:before="0" w:after="0"/>
        <w:jc w:val="both"/>
        <w:rPr>
          <w:rFonts w:asciiTheme="minorHAnsi" w:hAnsiTheme="minorHAnsi" w:cstheme="minorHAnsi"/>
          <w:sz w:val="22"/>
          <w:szCs w:val="22"/>
        </w:rPr>
      </w:pPr>
      <w:bookmarkStart w:id="12" w:name="_Toc224128595"/>
      <w:r w:rsidRPr="00556170">
        <w:rPr>
          <w:rFonts w:asciiTheme="minorHAnsi" w:eastAsia="Arial" w:hAnsiTheme="minorHAnsi" w:cstheme="minorHAnsi"/>
          <w:b/>
          <w:bCs/>
          <w:color w:val="2E75B6"/>
          <w:sz w:val="22"/>
          <w:szCs w:val="22"/>
        </w:rPr>
        <w:t>2.3 Data Sources</w:t>
      </w:r>
      <w:bookmarkEnd w:id="12"/>
    </w:p>
    <w:p w14:paraId="41023170" w14:textId="77777777" w:rsidR="00E03741" w:rsidRPr="00E94A2D" w:rsidRDefault="00E03741" w:rsidP="00E73104">
      <w:pPr>
        <w:jc w:val="both"/>
        <w:rPr>
          <w:rFonts w:asciiTheme="minorHAnsi" w:hAnsiTheme="minorHAnsi" w:cstheme="minorHAnsi"/>
          <w:color w:val="000000" w:themeColor="text1"/>
          <w:sz w:val="22"/>
          <w:szCs w:val="22"/>
        </w:rPr>
      </w:pPr>
      <w:r w:rsidRPr="00E94A2D">
        <w:rPr>
          <w:rFonts w:asciiTheme="minorHAnsi" w:hAnsiTheme="minorHAnsi" w:cstheme="minorHAnsi"/>
          <w:color w:val="000000" w:themeColor="text1"/>
          <w:sz w:val="22"/>
          <w:szCs w:val="22"/>
        </w:rPr>
        <w:t xml:space="preserve">The regional analysis relies exclusively on official and authenticated sources as cited in the four national reports. Primary sources include national statistical offices (INSTAT Albania, BHAS Bosnia and Herzegovina, Croatian Bureau of Statistics, MONSTAT Montenegro), census data, and </w:t>
      </w:r>
      <w:r w:rsidRPr="00A92C6D">
        <w:rPr>
          <w:rFonts w:asciiTheme="minorHAnsi" w:hAnsiTheme="minorHAnsi" w:cstheme="minorHAnsi"/>
          <w:color w:val="000000" w:themeColor="text1"/>
          <w:sz w:val="22"/>
          <w:szCs w:val="22"/>
          <w:lang w:val="en-GB"/>
        </w:rPr>
        <w:t>labour</w:t>
      </w:r>
      <w:r w:rsidRPr="00E94A2D">
        <w:rPr>
          <w:rFonts w:asciiTheme="minorHAnsi" w:hAnsiTheme="minorHAnsi" w:cstheme="minorHAnsi"/>
          <w:color w:val="000000" w:themeColor="text1"/>
          <w:sz w:val="22"/>
          <w:szCs w:val="22"/>
        </w:rPr>
        <w:t xml:space="preserve"> force surveys. International sources include reports from UN Women, UNDP, UNESCO, FAO, and the World Bank. EU sources encompass EIGE, Eurostat, and European Commission enlargement reports. Additional sources include OSCE, Council of Europe, and relevant academic publications (DIKTAS II National Gender Analyses, 2025). Phase 2 revisions additionally draw on the Gender Analysis Data Compendium (DIKTAS II, 2026) and the WEF Global Gender Gap Report 2024.</w:t>
      </w:r>
    </w:p>
    <w:p w14:paraId="4A360B97" w14:textId="77777777" w:rsidR="00E94A2D" w:rsidRPr="00556170" w:rsidRDefault="00E94A2D" w:rsidP="00E73104">
      <w:pPr>
        <w:jc w:val="both"/>
        <w:rPr>
          <w:rFonts w:asciiTheme="minorHAnsi" w:hAnsiTheme="minorHAnsi" w:cstheme="minorHAnsi"/>
          <w:sz w:val="22"/>
          <w:szCs w:val="22"/>
        </w:rPr>
      </w:pPr>
    </w:p>
    <w:p w14:paraId="0C2F6B69" w14:textId="339328BA" w:rsidR="00E03741" w:rsidRPr="00556170" w:rsidRDefault="00E03741" w:rsidP="00E73104">
      <w:pPr>
        <w:pStyle w:val="Naslov2"/>
        <w:spacing w:before="0" w:after="0"/>
        <w:jc w:val="both"/>
        <w:rPr>
          <w:rFonts w:asciiTheme="minorHAnsi" w:hAnsiTheme="minorHAnsi" w:cstheme="minorHAnsi"/>
          <w:sz w:val="22"/>
          <w:szCs w:val="22"/>
        </w:rPr>
      </w:pPr>
      <w:bookmarkStart w:id="13" w:name="_Toc224128596"/>
      <w:r w:rsidRPr="00556170">
        <w:rPr>
          <w:rFonts w:asciiTheme="minorHAnsi" w:eastAsia="Arial" w:hAnsiTheme="minorHAnsi" w:cstheme="minorHAnsi"/>
          <w:b/>
          <w:bCs/>
          <w:color w:val="2E75B6"/>
          <w:sz w:val="22"/>
          <w:szCs w:val="22"/>
        </w:rPr>
        <w:t>2.4 Limitations</w:t>
      </w:r>
      <w:bookmarkEnd w:id="13"/>
    </w:p>
    <w:p w14:paraId="123846D5" w14:textId="2F8E2E27" w:rsidR="00E03741" w:rsidRPr="007D03E2" w:rsidRDefault="00E03741" w:rsidP="00E73104">
      <w:pPr>
        <w:jc w:val="both"/>
        <w:rPr>
          <w:rFonts w:asciiTheme="minorHAnsi" w:hAnsiTheme="minorHAnsi" w:cstheme="minorHAnsi"/>
          <w:color w:val="000000" w:themeColor="text1"/>
          <w:sz w:val="22"/>
          <w:szCs w:val="22"/>
        </w:rPr>
      </w:pPr>
      <w:r w:rsidRPr="007D03E2">
        <w:rPr>
          <w:rFonts w:asciiTheme="minorHAnsi" w:hAnsiTheme="minorHAnsi" w:cstheme="minorHAnsi"/>
          <w:color w:val="000000" w:themeColor="text1"/>
          <w:sz w:val="22"/>
          <w:szCs w:val="22"/>
        </w:rPr>
        <w:t xml:space="preserve">The most significant constraint is the </w:t>
      </w:r>
      <w:r w:rsidRPr="007D03E2">
        <w:rPr>
          <w:rFonts w:asciiTheme="minorHAnsi" w:hAnsiTheme="minorHAnsi" w:cstheme="minorHAnsi"/>
          <w:b/>
          <w:bCs/>
          <w:color w:val="000000" w:themeColor="text1"/>
          <w:sz w:val="22"/>
          <w:szCs w:val="22"/>
        </w:rPr>
        <w:t>critical lack of comprehensive gender-disaggregated data, particularly within the water sector</w:t>
      </w:r>
      <w:r w:rsidRPr="007D03E2">
        <w:rPr>
          <w:rFonts w:asciiTheme="minorHAnsi" w:hAnsiTheme="minorHAnsi" w:cstheme="minorHAnsi"/>
          <w:color w:val="000000" w:themeColor="text1"/>
          <w:sz w:val="22"/>
          <w:szCs w:val="22"/>
        </w:rPr>
        <w:t xml:space="preserve">. Without such data, it is not possible to establish baselines, measure progress, or design targeted interventions with confidence. Across the four DIKTAS II countries, this gap is most acute in the water sector itself: while national statistical offices collect some sex-disaggregated </w:t>
      </w:r>
      <w:r w:rsidRPr="00A92C6D">
        <w:rPr>
          <w:rFonts w:asciiTheme="minorHAnsi" w:hAnsiTheme="minorHAnsi" w:cstheme="minorHAnsi"/>
          <w:color w:val="000000" w:themeColor="text1"/>
          <w:sz w:val="22"/>
          <w:szCs w:val="22"/>
          <w:lang w:val="en-GB"/>
        </w:rPr>
        <w:t xml:space="preserve">labour </w:t>
      </w:r>
      <w:r w:rsidRPr="007D03E2">
        <w:rPr>
          <w:rFonts w:asciiTheme="minorHAnsi" w:hAnsiTheme="minorHAnsi" w:cstheme="minorHAnsi"/>
          <w:color w:val="000000" w:themeColor="text1"/>
          <w:sz w:val="22"/>
          <w:szCs w:val="22"/>
        </w:rPr>
        <w:t>market and demographic data, the systematic application of this practice to water utility staffing, water governance body membership, water collection time burdens, and water-related asset ownership remains inconsistent or entirely absent.</w:t>
      </w:r>
    </w:p>
    <w:p w14:paraId="7FB8F823" w14:textId="77777777" w:rsidR="007D03E2" w:rsidRPr="007D03E2" w:rsidRDefault="007D03E2" w:rsidP="00E73104">
      <w:pPr>
        <w:jc w:val="both"/>
        <w:rPr>
          <w:rFonts w:asciiTheme="minorHAnsi" w:hAnsiTheme="minorHAnsi" w:cstheme="minorHAnsi"/>
          <w:color w:val="000000" w:themeColor="text1"/>
          <w:sz w:val="22"/>
          <w:szCs w:val="22"/>
        </w:rPr>
      </w:pPr>
    </w:p>
    <w:p w14:paraId="140208E3" w14:textId="77777777" w:rsidR="00E03741" w:rsidRDefault="00E03741" w:rsidP="00E73104">
      <w:pPr>
        <w:jc w:val="both"/>
        <w:rPr>
          <w:rFonts w:asciiTheme="minorHAnsi" w:hAnsiTheme="minorHAnsi" w:cstheme="minorHAnsi"/>
          <w:color w:val="000000" w:themeColor="text1"/>
          <w:sz w:val="22"/>
          <w:szCs w:val="22"/>
        </w:rPr>
      </w:pPr>
      <w:r w:rsidRPr="007D03E2">
        <w:rPr>
          <w:rFonts w:asciiTheme="minorHAnsi" w:hAnsiTheme="minorHAnsi" w:cstheme="minorHAnsi"/>
          <w:b/>
          <w:bCs/>
          <w:color w:val="000000" w:themeColor="text1"/>
          <w:sz w:val="22"/>
          <w:szCs w:val="22"/>
        </w:rPr>
        <w:t>Methodological inconsistencies between countries present additional challenges</w:t>
      </w:r>
      <w:r w:rsidRPr="007D03E2">
        <w:rPr>
          <w:rFonts w:asciiTheme="minorHAnsi" w:hAnsiTheme="minorHAnsi" w:cstheme="minorHAnsi"/>
          <w:color w:val="000000" w:themeColor="text1"/>
          <w:sz w:val="22"/>
          <w:szCs w:val="22"/>
        </w:rPr>
        <w:t xml:space="preserve">. Data collection approaches, definitions, and reporting periods vary across national statistical systems, complicating direct comparisons. For example, GBV prevalence figures across the four countries are drawn from surveys conducted in different years (Albania: 2018; Bosnia and Herzegovina: 2018–2019; Croatia: 2021; Montenegro: 2021), using different survey instruments (INSTAT/UN Women national survey; OSCE Well-being and Safety survey; EU Gender-Based Violence Survey), covering different age ranges and reference periods. Readers should therefore treat cross-country GBV comparisons as indicative rather than directly equivalent. Similarly, unpaid care work data for Albania is drawn from a time-use survey conducted in 2010–2011 (INSTAT), which may not reflect current realities given significant demographic and </w:t>
      </w:r>
      <w:r w:rsidRPr="00A92C6D">
        <w:rPr>
          <w:rFonts w:asciiTheme="minorHAnsi" w:hAnsiTheme="minorHAnsi" w:cstheme="minorHAnsi"/>
          <w:color w:val="000000" w:themeColor="text1"/>
          <w:sz w:val="22"/>
          <w:szCs w:val="22"/>
          <w:lang w:val="en-GB"/>
        </w:rPr>
        <w:t>labour</w:t>
      </w:r>
      <w:r w:rsidRPr="007D03E2">
        <w:rPr>
          <w:rFonts w:asciiTheme="minorHAnsi" w:hAnsiTheme="minorHAnsi" w:cstheme="minorHAnsi"/>
          <w:color w:val="000000" w:themeColor="text1"/>
          <w:sz w:val="22"/>
          <w:szCs w:val="22"/>
        </w:rPr>
        <w:t xml:space="preserve"> market changes over the intervening 13 years.</w:t>
      </w:r>
    </w:p>
    <w:p w14:paraId="58771F6A" w14:textId="77777777" w:rsidR="007D03E2" w:rsidRPr="007D03E2" w:rsidRDefault="007D03E2" w:rsidP="00E73104">
      <w:pPr>
        <w:jc w:val="both"/>
        <w:rPr>
          <w:rFonts w:asciiTheme="minorHAnsi" w:hAnsiTheme="minorHAnsi" w:cstheme="minorHAnsi"/>
          <w:color w:val="000000" w:themeColor="text1"/>
          <w:sz w:val="22"/>
          <w:szCs w:val="22"/>
        </w:rPr>
      </w:pPr>
    </w:p>
    <w:p w14:paraId="2D1BA616" w14:textId="77777777" w:rsidR="00E03741" w:rsidRDefault="00E03741" w:rsidP="00E73104">
      <w:pPr>
        <w:jc w:val="both"/>
        <w:rPr>
          <w:rFonts w:asciiTheme="minorHAnsi" w:hAnsiTheme="minorHAnsi" w:cstheme="minorHAnsi"/>
          <w:color w:val="000000" w:themeColor="text1"/>
          <w:sz w:val="22"/>
          <w:szCs w:val="22"/>
        </w:rPr>
      </w:pPr>
      <w:r w:rsidRPr="007D03E2">
        <w:rPr>
          <w:rFonts w:asciiTheme="minorHAnsi" w:hAnsiTheme="minorHAnsi" w:cstheme="minorHAnsi"/>
          <w:color w:val="000000" w:themeColor="text1"/>
          <w:sz w:val="22"/>
          <w:szCs w:val="22"/>
        </w:rPr>
        <w:t xml:space="preserve">Croatia is the only country where primary data collection through structured interview was conducted (UNESCO/WWAP, 2024), and it is the first time gender-disaggregated data has been </w:t>
      </w:r>
      <w:r w:rsidRPr="00A92C6D">
        <w:rPr>
          <w:rFonts w:asciiTheme="minorHAnsi" w:hAnsiTheme="minorHAnsi" w:cstheme="minorHAnsi"/>
          <w:color w:val="000000" w:themeColor="text1"/>
          <w:sz w:val="22"/>
          <w:szCs w:val="22"/>
          <w:lang w:val="en-GB"/>
        </w:rPr>
        <w:t xml:space="preserve">analysed </w:t>
      </w:r>
      <w:r w:rsidRPr="007D03E2">
        <w:rPr>
          <w:rFonts w:asciiTheme="minorHAnsi" w:hAnsiTheme="minorHAnsi" w:cstheme="minorHAnsi"/>
          <w:color w:val="000000" w:themeColor="text1"/>
          <w:sz w:val="22"/>
          <w:szCs w:val="22"/>
        </w:rPr>
        <w:t xml:space="preserve">in Croatia’s water sector. This means that Croatia’s data, particularly on water utility staffing and management composition, reflects a specific point in time (2024–2025) and a single institution (Croatian Waters / </w:t>
      </w:r>
      <w:proofErr w:type="spellStart"/>
      <w:r w:rsidRPr="007D03E2">
        <w:rPr>
          <w:rFonts w:asciiTheme="minorHAnsi" w:hAnsiTheme="minorHAnsi" w:cstheme="minorHAnsi"/>
          <w:color w:val="000000" w:themeColor="text1"/>
          <w:sz w:val="22"/>
          <w:szCs w:val="22"/>
        </w:rPr>
        <w:t>Hrvatske</w:t>
      </w:r>
      <w:proofErr w:type="spellEnd"/>
      <w:r w:rsidRPr="007D03E2">
        <w:rPr>
          <w:rFonts w:asciiTheme="minorHAnsi" w:hAnsiTheme="minorHAnsi" w:cstheme="minorHAnsi"/>
          <w:color w:val="000000" w:themeColor="text1"/>
          <w:sz w:val="22"/>
          <w:szCs w:val="22"/>
        </w:rPr>
        <w:t xml:space="preserve"> </w:t>
      </w:r>
      <w:proofErr w:type="spellStart"/>
      <w:r w:rsidRPr="007D03E2">
        <w:rPr>
          <w:rFonts w:asciiTheme="minorHAnsi" w:hAnsiTheme="minorHAnsi" w:cstheme="minorHAnsi"/>
          <w:color w:val="000000" w:themeColor="text1"/>
          <w:sz w:val="22"/>
          <w:szCs w:val="22"/>
        </w:rPr>
        <w:t>vode</w:t>
      </w:r>
      <w:proofErr w:type="spellEnd"/>
      <w:r w:rsidRPr="007D03E2">
        <w:rPr>
          <w:rFonts w:asciiTheme="minorHAnsi" w:hAnsiTheme="minorHAnsi" w:cstheme="minorHAnsi"/>
          <w:color w:val="000000" w:themeColor="text1"/>
          <w:sz w:val="22"/>
          <w:szCs w:val="22"/>
        </w:rPr>
        <w:t xml:space="preserve">). It cannot be assumed to represent the full picture of gender dynamics across Croatia’s broader water sector, which includes over 150 local utility companies currently being consolidated into approximately 20 regional providers. </w:t>
      </w:r>
      <w:r w:rsidRPr="00C40153">
        <w:rPr>
          <w:rFonts w:asciiTheme="minorHAnsi" w:hAnsiTheme="minorHAnsi" w:cstheme="minorHAnsi"/>
          <w:b/>
          <w:bCs/>
          <w:color w:val="000000" w:themeColor="text1"/>
          <w:sz w:val="22"/>
          <w:szCs w:val="22"/>
        </w:rPr>
        <w:t>The absence of comparable institutional-level data for Albania, Bosnia and Herzegovina, and Montenegro means that staffing and governance figures for those countries are drawn from earlier assessments and may underestimate more recent changes.</w:t>
      </w:r>
    </w:p>
    <w:p w14:paraId="41F0BE97" w14:textId="77777777" w:rsidR="007D03E2" w:rsidRPr="007D03E2" w:rsidRDefault="007D03E2" w:rsidP="00E73104">
      <w:pPr>
        <w:jc w:val="both"/>
        <w:rPr>
          <w:rFonts w:asciiTheme="minorHAnsi" w:hAnsiTheme="minorHAnsi" w:cstheme="minorHAnsi"/>
          <w:color w:val="000000" w:themeColor="text1"/>
          <w:sz w:val="22"/>
          <w:szCs w:val="22"/>
        </w:rPr>
      </w:pPr>
    </w:p>
    <w:p w14:paraId="18BF679F" w14:textId="5577F64D" w:rsidR="00E03741" w:rsidRPr="007D03E2" w:rsidRDefault="00E03741" w:rsidP="00E73104">
      <w:pPr>
        <w:jc w:val="both"/>
        <w:rPr>
          <w:rFonts w:asciiTheme="minorHAnsi" w:hAnsiTheme="minorHAnsi" w:cstheme="minorHAnsi"/>
          <w:color w:val="000000" w:themeColor="text1"/>
          <w:sz w:val="22"/>
          <w:szCs w:val="22"/>
        </w:rPr>
      </w:pPr>
      <w:r w:rsidRPr="007D03E2">
        <w:rPr>
          <w:rFonts w:asciiTheme="minorHAnsi" w:hAnsiTheme="minorHAnsi" w:cstheme="minorHAnsi"/>
          <w:color w:val="000000" w:themeColor="text1"/>
          <w:sz w:val="22"/>
          <w:szCs w:val="22"/>
        </w:rPr>
        <w:t xml:space="preserve">Montenegro has no national time-use survey data, creating the most significant data gap in the region. This means that quantitative estimates of women’s unpaid care work burden a central indicator in the Water as a Service dimension cannot be directly calculated for Montenegro, and findings for this country in Section 5 rely on indirect indicators and qualitative evidence. </w:t>
      </w:r>
      <w:r w:rsidRPr="00CA2CB5">
        <w:rPr>
          <w:rFonts w:asciiTheme="minorHAnsi" w:hAnsiTheme="minorHAnsi" w:cstheme="minorHAnsi"/>
          <w:b/>
          <w:bCs/>
          <w:color w:val="000000" w:themeColor="text1"/>
          <w:sz w:val="22"/>
          <w:szCs w:val="22"/>
        </w:rPr>
        <w:t xml:space="preserve">The absence of a time-use survey in </w:t>
      </w:r>
      <w:r w:rsidRPr="00CA2CB5">
        <w:rPr>
          <w:rFonts w:asciiTheme="minorHAnsi" w:hAnsiTheme="minorHAnsi" w:cstheme="minorHAnsi"/>
          <w:b/>
          <w:bCs/>
          <w:color w:val="000000" w:themeColor="text1"/>
          <w:sz w:val="22"/>
          <w:szCs w:val="22"/>
        </w:rPr>
        <w:lastRenderedPageBreak/>
        <w:t xml:space="preserve">Montenegro also means that SDG Indicator 5.4.1 </w:t>
      </w:r>
      <w:r w:rsidRPr="007D03E2">
        <w:rPr>
          <w:rFonts w:asciiTheme="minorHAnsi" w:hAnsiTheme="minorHAnsi" w:cstheme="minorHAnsi"/>
          <w:color w:val="000000" w:themeColor="text1"/>
          <w:sz w:val="22"/>
          <w:szCs w:val="22"/>
        </w:rPr>
        <w:t>(proportion of time spent on unpaid domestic and care work) cannot be reported, making it impossible to benchmark Montenegro against regional or global averages on this key measure of gender equality.</w:t>
      </w:r>
    </w:p>
    <w:p w14:paraId="04E72C17" w14:textId="77777777" w:rsidR="007D03E2" w:rsidRPr="007D03E2" w:rsidRDefault="007D03E2" w:rsidP="00E73104">
      <w:pPr>
        <w:jc w:val="both"/>
        <w:rPr>
          <w:rFonts w:asciiTheme="minorHAnsi" w:hAnsiTheme="minorHAnsi" w:cstheme="minorHAnsi"/>
          <w:color w:val="000000" w:themeColor="text1"/>
          <w:sz w:val="22"/>
          <w:szCs w:val="22"/>
        </w:rPr>
      </w:pPr>
    </w:p>
    <w:p w14:paraId="01F6F923" w14:textId="77777777" w:rsidR="00E03741" w:rsidRPr="007D03E2" w:rsidRDefault="00E03741" w:rsidP="00E73104">
      <w:pPr>
        <w:jc w:val="both"/>
        <w:rPr>
          <w:rFonts w:asciiTheme="minorHAnsi" w:hAnsiTheme="minorHAnsi" w:cstheme="minorHAnsi"/>
          <w:color w:val="000000" w:themeColor="text1"/>
          <w:sz w:val="22"/>
          <w:szCs w:val="22"/>
        </w:rPr>
      </w:pPr>
      <w:r w:rsidRPr="00ED4EE0">
        <w:rPr>
          <w:rFonts w:asciiTheme="minorHAnsi" w:hAnsiTheme="minorHAnsi" w:cstheme="minorHAnsi"/>
          <w:b/>
          <w:bCs/>
          <w:color w:val="000000" w:themeColor="text1"/>
          <w:sz w:val="22"/>
          <w:szCs w:val="22"/>
        </w:rPr>
        <w:t>A further limitation applies to the Water–GBV–Climate Nexus analysis in Section 8: as noted there, no peer-reviewed studies directly examining this nexus in the Western Balkans context currently exist.</w:t>
      </w:r>
      <w:r w:rsidRPr="007D03E2">
        <w:rPr>
          <w:rFonts w:asciiTheme="minorHAnsi" w:hAnsiTheme="minorHAnsi" w:cstheme="minorHAnsi"/>
          <w:color w:val="000000" w:themeColor="text1"/>
          <w:sz w:val="22"/>
          <w:szCs w:val="22"/>
        </w:rPr>
        <w:t xml:space="preserve"> The causal pathways described in Section 8 are therefore extrapolated from global evidence, primarily from sub-Saharan Africa and South Asia, and applied to the Western Balkans context </w:t>
      </w:r>
      <w:proofErr w:type="gramStart"/>
      <w:r w:rsidRPr="007D03E2">
        <w:rPr>
          <w:rFonts w:asciiTheme="minorHAnsi" w:hAnsiTheme="minorHAnsi" w:cstheme="minorHAnsi"/>
          <w:color w:val="000000" w:themeColor="text1"/>
          <w:sz w:val="22"/>
          <w:szCs w:val="22"/>
        </w:rPr>
        <w:t>on the basis of</w:t>
      </w:r>
      <w:proofErr w:type="gramEnd"/>
      <w:r w:rsidRPr="007D03E2">
        <w:rPr>
          <w:rFonts w:asciiTheme="minorHAnsi" w:hAnsiTheme="minorHAnsi" w:cstheme="minorHAnsi"/>
          <w:color w:val="000000" w:themeColor="text1"/>
          <w:sz w:val="22"/>
          <w:szCs w:val="22"/>
        </w:rPr>
        <w:t xml:space="preserve"> structural analogies. This represents the current frontier of knowledge in this domain; primary research in the DIKTAS II context is strongly recommended as a follow-on action.</w:t>
      </w:r>
    </w:p>
    <w:p w14:paraId="7AC053EE" w14:textId="77777777" w:rsidR="00E03741" w:rsidRPr="00556170" w:rsidRDefault="00E03741" w:rsidP="00E73104">
      <w:pPr>
        <w:jc w:val="both"/>
        <w:rPr>
          <w:rFonts w:asciiTheme="minorHAnsi" w:hAnsiTheme="minorHAnsi" w:cstheme="minorHAnsi"/>
          <w:sz w:val="22"/>
          <w:szCs w:val="22"/>
        </w:rPr>
      </w:pPr>
      <w:r w:rsidRPr="00556170">
        <w:rPr>
          <w:rFonts w:asciiTheme="minorHAnsi" w:hAnsiTheme="minorHAnsi" w:cstheme="minorHAnsi"/>
          <w:sz w:val="22"/>
          <w:szCs w:val="22"/>
        </w:rPr>
        <w:br w:type="page"/>
      </w:r>
    </w:p>
    <w:p w14:paraId="3F60D5B6" w14:textId="77777777" w:rsidR="00E03741" w:rsidRPr="00556170" w:rsidRDefault="00E03741" w:rsidP="00E73104">
      <w:pPr>
        <w:pStyle w:val="Naslov1"/>
        <w:pBdr>
          <w:bottom w:val="single" w:sz="8" w:space="4" w:color="2E75B6"/>
        </w:pBdr>
        <w:spacing w:before="0" w:after="0"/>
        <w:jc w:val="both"/>
        <w:rPr>
          <w:rFonts w:asciiTheme="minorHAnsi" w:hAnsiTheme="minorHAnsi" w:cstheme="minorHAnsi"/>
          <w:sz w:val="22"/>
          <w:szCs w:val="22"/>
        </w:rPr>
      </w:pPr>
      <w:bookmarkStart w:id="14" w:name="_Toc224128597"/>
      <w:r w:rsidRPr="00556170">
        <w:rPr>
          <w:rFonts w:asciiTheme="minorHAnsi" w:eastAsia="Arial" w:hAnsiTheme="minorHAnsi" w:cstheme="minorHAnsi"/>
          <w:b/>
          <w:bCs/>
          <w:color w:val="1F4E79"/>
          <w:sz w:val="22"/>
          <w:szCs w:val="22"/>
        </w:rPr>
        <w:lastRenderedPageBreak/>
        <w:t>3</w:t>
      </w:r>
      <w:proofErr w:type="gramStart"/>
      <w:r w:rsidRPr="00556170">
        <w:rPr>
          <w:rFonts w:asciiTheme="minorHAnsi" w:eastAsia="Arial" w:hAnsiTheme="minorHAnsi" w:cstheme="minorHAnsi"/>
          <w:b/>
          <w:bCs/>
          <w:color w:val="1F4E79"/>
          <w:sz w:val="22"/>
          <w:szCs w:val="22"/>
        </w:rPr>
        <w:t>.  REGIONAL</w:t>
      </w:r>
      <w:proofErr w:type="gramEnd"/>
      <w:r w:rsidRPr="00556170">
        <w:rPr>
          <w:rFonts w:asciiTheme="minorHAnsi" w:eastAsia="Arial" w:hAnsiTheme="minorHAnsi" w:cstheme="minorHAnsi"/>
          <w:b/>
          <w:bCs/>
          <w:color w:val="1F4E79"/>
          <w:sz w:val="22"/>
          <w:szCs w:val="22"/>
        </w:rPr>
        <w:t xml:space="preserve"> OVERVIEW: GENDER EQUALITY AND WATER GOVERNANCE</w:t>
      </w:r>
      <w:bookmarkEnd w:id="14"/>
    </w:p>
    <w:p w14:paraId="00F38874" w14:textId="4501A5CA" w:rsidR="00E03741" w:rsidRPr="00556170" w:rsidRDefault="00E03741" w:rsidP="00E73104">
      <w:pPr>
        <w:pStyle w:val="Naslov2"/>
        <w:spacing w:before="0" w:after="0"/>
        <w:jc w:val="both"/>
        <w:rPr>
          <w:rFonts w:asciiTheme="minorHAnsi" w:hAnsiTheme="minorHAnsi" w:cstheme="minorHAnsi"/>
          <w:sz w:val="22"/>
          <w:szCs w:val="22"/>
        </w:rPr>
      </w:pPr>
      <w:bookmarkStart w:id="15" w:name="_Toc224128598"/>
      <w:r w:rsidRPr="00556170">
        <w:rPr>
          <w:rFonts w:asciiTheme="minorHAnsi" w:eastAsia="Arial" w:hAnsiTheme="minorHAnsi" w:cstheme="minorHAnsi"/>
          <w:b/>
          <w:bCs/>
          <w:color w:val="2E75B6"/>
          <w:sz w:val="22"/>
          <w:szCs w:val="22"/>
        </w:rPr>
        <w:t>3.1 Demographic and Socio-Economic Landscape</w:t>
      </w:r>
      <w:bookmarkEnd w:id="15"/>
    </w:p>
    <w:p w14:paraId="19C67BBF" w14:textId="77777777" w:rsidR="00E03741" w:rsidRPr="000B3B83" w:rsidRDefault="00E03741" w:rsidP="00E73104">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The four countries share certain demographic characteristics while exhibiting notable variations in population size and socio-economic conditions. All have experienced population decline, aging populations, and female majorities in older age cohorts due to higher female life expectancy.</w:t>
      </w:r>
    </w:p>
    <w:p w14:paraId="6E860B4D" w14:textId="77777777" w:rsidR="00E03741" w:rsidRPr="00556170" w:rsidRDefault="00E03741" w:rsidP="00E73104">
      <w:pPr>
        <w:jc w:val="both"/>
        <w:rPr>
          <w:rFonts w:asciiTheme="minorHAnsi" w:hAnsiTheme="minorHAnsi" w:cstheme="minorHAnsi"/>
          <w:sz w:val="22"/>
          <w:szCs w:val="22"/>
        </w:rPr>
      </w:pPr>
    </w:p>
    <w:p w14:paraId="276C882A" w14:textId="77777777" w:rsidR="00E03741" w:rsidRPr="00556170" w:rsidRDefault="00E03741" w:rsidP="005E6D46">
      <w:pPr>
        <w:pStyle w:val="Naslov4"/>
      </w:pPr>
      <w:r w:rsidRPr="00556170">
        <w:t>Table 1: Key Demographic Indicators by Country and Gender</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790"/>
        <w:gridCol w:w="1790"/>
        <w:gridCol w:w="1790"/>
        <w:gridCol w:w="1790"/>
      </w:tblGrid>
      <w:tr w:rsidR="000B3B83" w:rsidRPr="000B3B83" w14:paraId="7BDCFD01" w14:textId="77777777" w:rsidTr="003B022E">
        <w:trPr>
          <w:tblHeader/>
        </w:trPr>
        <w:tc>
          <w:tcPr>
            <w:tcW w:w="220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09B086CE" w14:textId="77777777" w:rsidR="00E03741" w:rsidRPr="000B3B83" w:rsidRDefault="00E03741" w:rsidP="000B3B83">
            <w:pPr>
              <w:jc w:val="both"/>
              <w:rPr>
                <w:rFonts w:asciiTheme="minorHAnsi" w:hAnsiTheme="minorHAnsi" w:cstheme="minorHAnsi"/>
                <w:color w:val="FFFFFF" w:themeColor="background1"/>
                <w:sz w:val="22"/>
                <w:szCs w:val="22"/>
              </w:rPr>
            </w:pPr>
            <w:r w:rsidRPr="000B3B83">
              <w:rPr>
                <w:rFonts w:asciiTheme="minorHAnsi" w:hAnsiTheme="minorHAnsi" w:cstheme="minorHAnsi"/>
                <w:b/>
                <w:bCs/>
                <w:color w:val="FFFFFF" w:themeColor="background1"/>
                <w:sz w:val="22"/>
                <w:szCs w:val="22"/>
              </w:rPr>
              <w:t>Indicator</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5430549E" w14:textId="77777777" w:rsidR="00E03741" w:rsidRPr="000B3B83" w:rsidRDefault="00E03741" w:rsidP="000B3B83">
            <w:pPr>
              <w:jc w:val="both"/>
              <w:rPr>
                <w:rFonts w:asciiTheme="minorHAnsi" w:hAnsiTheme="minorHAnsi" w:cstheme="minorHAnsi"/>
                <w:color w:val="FFFFFF" w:themeColor="background1"/>
                <w:sz w:val="22"/>
                <w:szCs w:val="22"/>
              </w:rPr>
            </w:pPr>
            <w:r w:rsidRPr="000B3B83">
              <w:rPr>
                <w:rFonts w:asciiTheme="minorHAnsi" w:hAnsiTheme="minorHAnsi" w:cstheme="minorHAnsi"/>
                <w:b/>
                <w:bCs/>
                <w:color w:val="FFFFFF" w:themeColor="background1"/>
                <w:sz w:val="22"/>
                <w:szCs w:val="22"/>
              </w:rPr>
              <w:t>Albania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5D2B0BB0" w14:textId="77777777" w:rsidR="00E03741" w:rsidRPr="000B3B83" w:rsidRDefault="00E03741" w:rsidP="000B3B83">
            <w:pPr>
              <w:jc w:val="both"/>
              <w:rPr>
                <w:rFonts w:asciiTheme="minorHAnsi" w:hAnsiTheme="minorHAnsi" w:cstheme="minorHAnsi"/>
                <w:color w:val="FFFFFF" w:themeColor="background1"/>
                <w:sz w:val="22"/>
                <w:szCs w:val="22"/>
              </w:rPr>
            </w:pPr>
            <w:r w:rsidRPr="000B3B83">
              <w:rPr>
                <w:rFonts w:asciiTheme="minorHAnsi" w:hAnsiTheme="minorHAnsi" w:cstheme="minorHAnsi"/>
                <w:b/>
                <w:bCs/>
                <w:color w:val="FFFFFF" w:themeColor="background1"/>
                <w:sz w:val="22"/>
                <w:szCs w:val="22"/>
              </w:rPr>
              <w:t>Bosnia &amp; Herz.</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576C340E" w14:textId="77777777" w:rsidR="00E03741" w:rsidRPr="000B3B83" w:rsidRDefault="00E03741" w:rsidP="000B3B83">
            <w:pPr>
              <w:jc w:val="both"/>
              <w:rPr>
                <w:rFonts w:asciiTheme="minorHAnsi" w:hAnsiTheme="minorHAnsi" w:cstheme="minorHAnsi"/>
                <w:color w:val="FFFFFF" w:themeColor="background1"/>
                <w:sz w:val="22"/>
                <w:szCs w:val="22"/>
              </w:rPr>
            </w:pPr>
            <w:r w:rsidRPr="000B3B83">
              <w:rPr>
                <w:rFonts w:asciiTheme="minorHAnsi" w:hAnsiTheme="minorHAnsi" w:cstheme="minorHAnsi"/>
                <w:b/>
                <w:bCs/>
                <w:color w:val="FFFFFF" w:themeColor="background1"/>
                <w:sz w:val="22"/>
                <w:szCs w:val="22"/>
              </w:rPr>
              <w:t>Croatia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6D15E41C" w14:textId="77777777" w:rsidR="00E03741" w:rsidRPr="000B3B83" w:rsidRDefault="00E03741" w:rsidP="000B3B83">
            <w:pPr>
              <w:jc w:val="both"/>
              <w:rPr>
                <w:rFonts w:asciiTheme="minorHAnsi" w:hAnsiTheme="minorHAnsi" w:cstheme="minorHAnsi"/>
                <w:color w:val="FFFFFF" w:themeColor="background1"/>
                <w:sz w:val="22"/>
                <w:szCs w:val="22"/>
              </w:rPr>
            </w:pPr>
            <w:r w:rsidRPr="000B3B83">
              <w:rPr>
                <w:rFonts w:asciiTheme="minorHAnsi" w:hAnsiTheme="minorHAnsi" w:cstheme="minorHAnsi"/>
                <w:b/>
                <w:bCs/>
                <w:color w:val="FFFFFF" w:themeColor="background1"/>
                <w:sz w:val="22"/>
                <w:szCs w:val="22"/>
              </w:rPr>
              <w:t>Montenegro</w:t>
            </w:r>
          </w:p>
        </w:tc>
      </w:tr>
      <w:tr w:rsidR="000B3B83" w:rsidRPr="000B3B83" w14:paraId="27C5115E"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7E312DC" w14:textId="77777777" w:rsidR="00E03741" w:rsidRPr="001A08AB" w:rsidRDefault="00E03741" w:rsidP="000B3B83">
            <w:pPr>
              <w:jc w:val="both"/>
              <w:rPr>
                <w:rFonts w:asciiTheme="minorHAnsi" w:hAnsiTheme="minorHAnsi" w:cstheme="minorHAnsi"/>
                <w:b/>
                <w:bCs/>
                <w:color w:val="000000" w:themeColor="text1"/>
                <w:sz w:val="22"/>
                <w:szCs w:val="22"/>
              </w:rPr>
            </w:pPr>
            <w:r w:rsidRPr="001A08AB">
              <w:rPr>
                <w:rFonts w:asciiTheme="minorHAnsi" w:hAnsiTheme="minorHAnsi" w:cstheme="minorHAnsi"/>
                <w:b/>
                <w:bCs/>
                <w:color w:val="000000" w:themeColor="text1"/>
                <w:sz w:val="22"/>
                <w:szCs w:val="22"/>
              </w:rPr>
              <w:t>Total Population</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D5779BC"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2.4 million (INSTAT, 2023)</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FE5E5C7"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3.27 million (BHAS, 2025)</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1AD043E"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3.87 million (CBS, 2021)</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588AF97"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623,633 (MONSTAT, 2023)</w:t>
            </w:r>
          </w:p>
        </w:tc>
      </w:tr>
      <w:tr w:rsidR="000B3B83" w:rsidRPr="000B3B83" w14:paraId="2DA4C633"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E381100" w14:textId="77777777" w:rsidR="00E03741" w:rsidRPr="001A08AB" w:rsidRDefault="00E03741" w:rsidP="000B3B83">
            <w:pPr>
              <w:jc w:val="both"/>
              <w:rPr>
                <w:rFonts w:asciiTheme="minorHAnsi" w:hAnsiTheme="minorHAnsi" w:cstheme="minorHAnsi"/>
                <w:b/>
                <w:bCs/>
                <w:color w:val="000000" w:themeColor="text1"/>
                <w:sz w:val="22"/>
                <w:szCs w:val="22"/>
              </w:rPr>
            </w:pPr>
            <w:r w:rsidRPr="001A08AB">
              <w:rPr>
                <w:rFonts w:asciiTheme="minorHAnsi" w:hAnsiTheme="minorHAnsi" w:cstheme="minorHAnsi"/>
                <w:b/>
                <w:bCs/>
                <w:color w:val="000000" w:themeColor="text1"/>
                <w:sz w:val="22"/>
                <w:szCs w:val="22"/>
              </w:rPr>
              <w:t>Female Population %</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7F0FC46"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&gt;50.4% (INSTAT, 2023)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30AEA03"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&gt;50% (BHAS, 2022)</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4C05419"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51.8% (CBS, 2021)</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1672936"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&gt;50% (MONSTAT, 2023)</w:t>
            </w:r>
          </w:p>
        </w:tc>
      </w:tr>
      <w:tr w:rsidR="000B3B83" w:rsidRPr="000B3B83" w14:paraId="6162E7E5"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554543E" w14:textId="77777777" w:rsidR="00E03741" w:rsidRPr="001A08AB" w:rsidRDefault="00E03741" w:rsidP="000B3B83">
            <w:pPr>
              <w:jc w:val="both"/>
              <w:rPr>
                <w:rFonts w:asciiTheme="minorHAnsi" w:hAnsiTheme="minorHAnsi" w:cstheme="minorHAnsi"/>
                <w:b/>
                <w:bCs/>
                <w:color w:val="000000" w:themeColor="text1"/>
                <w:sz w:val="22"/>
                <w:szCs w:val="22"/>
              </w:rPr>
            </w:pPr>
            <w:r w:rsidRPr="001A08AB">
              <w:rPr>
                <w:rFonts w:asciiTheme="minorHAnsi" w:hAnsiTheme="minorHAnsi" w:cstheme="minorHAnsi"/>
                <w:b/>
                <w:bCs/>
                <w:color w:val="000000" w:themeColor="text1"/>
                <w:sz w:val="22"/>
                <w:szCs w:val="22"/>
              </w:rPr>
              <w:t>Life Expectancy (F)</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F308D77"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82 years (WHO, 2024)</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4AFD7E2"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81.15 years (WHO, 2024)</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8F9E826"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81.8 years (Eurostat, 2023)</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64BB4C6"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80.27 years (WHO, 2024)</w:t>
            </w:r>
          </w:p>
        </w:tc>
      </w:tr>
      <w:tr w:rsidR="000B3B83" w:rsidRPr="000B3B83" w14:paraId="76BE289F"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A671F79" w14:textId="77777777" w:rsidR="00E03741" w:rsidRPr="001A08AB" w:rsidRDefault="00E03741" w:rsidP="000B3B83">
            <w:pPr>
              <w:jc w:val="both"/>
              <w:rPr>
                <w:rFonts w:asciiTheme="minorHAnsi" w:hAnsiTheme="minorHAnsi" w:cstheme="minorHAnsi"/>
                <w:b/>
                <w:bCs/>
                <w:color w:val="000000" w:themeColor="text1"/>
                <w:sz w:val="22"/>
                <w:szCs w:val="22"/>
              </w:rPr>
            </w:pPr>
            <w:r w:rsidRPr="001A08AB">
              <w:rPr>
                <w:rFonts w:asciiTheme="minorHAnsi" w:hAnsiTheme="minorHAnsi" w:cstheme="minorHAnsi"/>
                <w:b/>
                <w:bCs/>
                <w:color w:val="000000" w:themeColor="text1"/>
                <w:sz w:val="22"/>
                <w:szCs w:val="22"/>
              </w:rPr>
              <w:t>Life Expectancy (M)</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12F3248"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78 years (WHO,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AA8DF62"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75.02 years (WHO,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B8E634E"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75.4 years (Eurostat, 2023)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08483BA"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75.32 years (WHO, 2024)</w:t>
            </w:r>
          </w:p>
        </w:tc>
      </w:tr>
      <w:tr w:rsidR="000B3B83" w:rsidRPr="000B3B83" w14:paraId="12EF56E2"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829427D" w14:textId="77777777" w:rsidR="00E03741" w:rsidRPr="001A08AB" w:rsidRDefault="00E03741" w:rsidP="000B3B83">
            <w:pPr>
              <w:jc w:val="both"/>
              <w:rPr>
                <w:rFonts w:asciiTheme="minorHAnsi" w:hAnsiTheme="minorHAnsi" w:cstheme="minorHAnsi"/>
                <w:b/>
                <w:bCs/>
                <w:color w:val="000000" w:themeColor="text1"/>
                <w:sz w:val="22"/>
                <w:szCs w:val="22"/>
              </w:rPr>
            </w:pPr>
            <w:r w:rsidRPr="001A08AB">
              <w:rPr>
                <w:rFonts w:asciiTheme="minorHAnsi" w:hAnsiTheme="minorHAnsi" w:cstheme="minorHAnsi"/>
                <w:b/>
                <w:bCs/>
                <w:color w:val="000000" w:themeColor="text1"/>
                <w:sz w:val="22"/>
                <w:szCs w:val="22"/>
              </w:rPr>
              <w:t>Total Fertility Rate</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1E89BFC"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1.32 (INSTAT, 2023)</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3B50603"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approximately 1.40 (BHAS, 2022)</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2B47768"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approximately 1.46 (Eurostat, 2022)</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055B437"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1.81 (MONSTAT, 2023)</w:t>
            </w:r>
          </w:p>
        </w:tc>
      </w:tr>
      <w:tr w:rsidR="000B3B83" w:rsidRPr="000B3B83" w14:paraId="7D65B009"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2E4D8B9" w14:textId="77777777" w:rsidR="00E03741" w:rsidRPr="001A08AB" w:rsidRDefault="00E03741" w:rsidP="000B3B83">
            <w:pPr>
              <w:jc w:val="both"/>
              <w:rPr>
                <w:rFonts w:asciiTheme="minorHAnsi" w:hAnsiTheme="minorHAnsi" w:cstheme="minorHAnsi"/>
                <w:b/>
                <w:bCs/>
                <w:color w:val="000000" w:themeColor="text1"/>
                <w:sz w:val="22"/>
                <w:szCs w:val="22"/>
              </w:rPr>
            </w:pPr>
            <w:r w:rsidRPr="001A08AB">
              <w:rPr>
                <w:rFonts w:asciiTheme="minorHAnsi" w:hAnsiTheme="minorHAnsi" w:cstheme="minorHAnsi"/>
                <w:b/>
                <w:bCs/>
                <w:color w:val="000000" w:themeColor="text1"/>
                <w:sz w:val="22"/>
                <w:szCs w:val="22"/>
              </w:rPr>
              <w:t>Sex Ratio (65+)</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05AE2A9"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0.66 M/F (INSTAT, 2023)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9B642BD"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0.42 M/F (BHAS, 2022)</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02B393B"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0.64 M/F (CBS, 2021)</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53F6DD7" w14:textId="77777777" w:rsidR="00E03741" w:rsidRPr="000B3B83" w:rsidRDefault="00E03741" w:rsidP="000B3B83">
            <w:pPr>
              <w:jc w:val="both"/>
              <w:rPr>
                <w:rFonts w:asciiTheme="minorHAnsi" w:hAnsiTheme="minorHAnsi" w:cstheme="minorHAnsi"/>
                <w:color w:val="000000" w:themeColor="text1"/>
                <w:sz w:val="22"/>
                <w:szCs w:val="22"/>
              </w:rPr>
            </w:pPr>
            <w:r w:rsidRPr="000B3B83">
              <w:rPr>
                <w:rFonts w:asciiTheme="minorHAnsi" w:hAnsiTheme="minorHAnsi" w:cstheme="minorHAnsi"/>
                <w:color w:val="000000" w:themeColor="text1"/>
                <w:sz w:val="22"/>
                <w:szCs w:val="22"/>
              </w:rPr>
              <w:t>0.69 M/F (MONSTAT, 2023)</w:t>
            </w:r>
          </w:p>
        </w:tc>
      </w:tr>
    </w:tbl>
    <w:p w14:paraId="411F4ECB" w14:textId="77777777" w:rsidR="00E03741" w:rsidRPr="001A08AB" w:rsidRDefault="00E03741" w:rsidP="008B59DB">
      <w:pPr>
        <w:jc w:val="both"/>
        <w:rPr>
          <w:rFonts w:asciiTheme="minorHAnsi" w:hAnsiTheme="minorHAnsi" w:cstheme="minorHAnsi"/>
          <w:sz w:val="18"/>
          <w:szCs w:val="18"/>
        </w:rPr>
      </w:pPr>
      <w:r w:rsidRPr="001A08AB">
        <w:rPr>
          <w:rFonts w:asciiTheme="minorHAnsi" w:hAnsiTheme="minorHAnsi" w:cstheme="minorHAnsi"/>
          <w:b/>
          <w:bCs/>
          <w:i/>
          <w:iCs/>
          <w:color w:val="666666"/>
          <w:sz w:val="18"/>
          <w:szCs w:val="18"/>
        </w:rPr>
        <w:t>Sources:</w:t>
      </w:r>
      <w:r w:rsidRPr="001A08AB">
        <w:rPr>
          <w:rFonts w:asciiTheme="minorHAnsi" w:hAnsiTheme="minorHAnsi" w:cstheme="minorHAnsi"/>
          <w:i/>
          <w:iCs/>
          <w:color w:val="666666"/>
          <w:sz w:val="18"/>
          <w:szCs w:val="18"/>
        </w:rPr>
        <w:t xml:space="preserve"> National statistical offices and census data: INSTAT (2023), BHAS (2022, 2025), Croatian Bureau of Statistics/CBS (2021), MONSTAT (2023). Life expectancy: WHO Global Health Observatory (2024); Eurostat (2023).</w:t>
      </w:r>
    </w:p>
    <w:p w14:paraId="02435517" w14:textId="77777777" w:rsidR="00E03741" w:rsidRPr="00556170" w:rsidRDefault="00E03741" w:rsidP="00E73104">
      <w:pPr>
        <w:jc w:val="both"/>
        <w:rPr>
          <w:rFonts w:asciiTheme="minorHAnsi" w:hAnsiTheme="minorHAnsi" w:cstheme="minorHAnsi"/>
          <w:sz w:val="22"/>
          <w:szCs w:val="22"/>
        </w:rPr>
      </w:pPr>
    </w:p>
    <w:p w14:paraId="6C24131E" w14:textId="77777777" w:rsidR="00E03741" w:rsidRPr="00556170" w:rsidRDefault="00E03741" w:rsidP="00E73104">
      <w:pPr>
        <w:jc w:val="both"/>
        <w:rPr>
          <w:rFonts w:asciiTheme="minorHAnsi" w:hAnsiTheme="minorHAnsi" w:cstheme="minorHAnsi"/>
          <w:sz w:val="22"/>
          <w:szCs w:val="22"/>
        </w:rPr>
      </w:pPr>
      <w:r w:rsidRPr="00556170">
        <w:rPr>
          <w:rFonts w:asciiTheme="minorHAnsi" w:hAnsiTheme="minorHAnsi" w:cstheme="minorHAnsi"/>
          <w:b/>
          <w:bCs/>
          <w:sz w:val="22"/>
          <w:szCs w:val="22"/>
        </w:rPr>
        <w:t>Gender Parity Index: Education</w:t>
      </w:r>
    </w:p>
    <w:p w14:paraId="3EFE55D8" w14:textId="77777777" w:rsidR="00E03741" w:rsidRPr="00702C83" w:rsidRDefault="00E03741" w:rsidP="00E73104">
      <w:pPr>
        <w:jc w:val="both"/>
        <w:rPr>
          <w:rFonts w:asciiTheme="minorHAnsi" w:hAnsiTheme="minorHAnsi" w:cstheme="minorHAnsi"/>
          <w:color w:val="000000" w:themeColor="text1"/>
          <w:sz w:val="22"/>
          <w:szCs w:val="22"/>
        </w:rPr>
      </w:pPr>
      <w:r w:rsidRPr="00702C83">
        <w:rPr>
          <w:rFonts w:asciiTheme="minorHAnsi" w:hAnsiTheme="minorHAnsi" w:cstheme="minorHAnsi"/>
          <w:color w:val="000000" w:themeColor="text1"/>
          <w:sz w:val="22"/>
          <w:szCs w:val="22"/>
        </w:rPr>
        <w:t xml:space="preserve">Education GPI values confirm near-parity or female advantage in all four countries. Albania's primary school enrolment GPI is 1.018 and secondary GPI is 1.031 (2021; UNESCO UIS via World Bank, 2023). Montenegro's primary and lower-secondary GPI is 1.007, with upper-secondary at 1.022 (2019; UNESCO UIS via World Bank, 2023). Bosnia and Herzegovina records an education sub-index score of 0.992 and Croatia 0.998 on the WEF Global Gender Gap Report 2024 (WEF, 2024). Despite near-universal educational parity, the female </w:t>
      </w:r>
      <w:r w:rsidRPr="00A92C6D">
        <w:rPr>
          <w:rFonts w:asciiTheme="minorHAnsi" w:hAnsiTheme="minorHAnsi" w:cstheme="minorHAnsi"/>
          <w:color w:val="000000" w:themeColor="text1"/>
          <w:sz w:val="22"/>
          <w:szCs w:val="22"/>
          <w:lang w:val="en-GB"/>
        </w:rPr>
        <w:t>labour</w:t>
      </w:r>
      <w:r w:rsidRPr="00702C83">
        <w:rPr>
          <w:rFonts w:asciiTheme="minorHAnsi" w:hAnsiTheme="minorHAnsi" w:cstheme="minorHAnsi"/>
          <w:color w:val="000000" w:themeColor="text1"/>
          <w:sz w:val="22"/>
          <w:szCs w:val="22"/>
        </w:rPr>
        <w:t xml:space="preserve"> force participation rate lags significantly: Albania 57.95% (2023; World Bank/INSTAT), Bosnia and Herzegovina below 55% (2023; BHAS), Croatia approximately 60 to 63% (2023; Eurostat), and Montenegro below 55% (2023; MONSTAT). This 18-percentage-point regional average gender gap in </w:t>
      </w:r>
      <w:r w:rsidRPr="00A92C6D">
        <w:rPr>
          <w:rFonts w:asciiTheme="minorHAnsi" w:hAnsiTheme="minorHAnsi" w:cstheme="minorHAnsi"/>
          <w:color w:val="000000" w:themeColor="text1"/>
          <w:sz w:val="22"/>
          <w:szCs w:val="22"/>
          <w:lang w:val="en-GB"/>
        </w:rPr>
        <w:t>labour</w:t>
      </w:r>
      <w:r w:rsidRPr="00702C83">
        <w:rPr>
          <w:rFonts w:asciiTheme="minorHAnsi" w:hAnsiTheme="minorHAnsi" w:cstheme="minorHAnsi"/>
          <w:color w:val="000000" w:themeColor="text1"/>
          <w:sz w:val="22"/>
          <w:szCs w:val="22"/>
        </w:rPr>
        <w:t xml:space="preserve"> force participation (World Bank, 2023) represents the central paradox of gender equality in the region: educational attainment has not translated into economic empowerment.</w:t>
      </w:r>
    </w:p>
    <w:p w14:paraId="3E301842" w14:textId="77777777" w:rsidR="00E03741" w:rsidRDefault="00E03741" w:rsidP="00E73104">
      <w:pPr>
        <w:jc w:val="both"/>
        <w:rPr>
          <w:rFonts w:asciiTheme="minorHAnsi" w:hAnsiTheme="minorHAnsi" w:cstheme="minorHAnsi"/>
          <w:sz w:val="22"/>
          <w:szCs w:val="22"/>
        </w:rPr>
      </w:pPr>
    </w:p>
    <w:p w14:paraId="12B62FD2" w14:textId="77777777" w:rsidR="00702C83" w:rsidRDefault="00702C83" w:rsidP="00E73104">
      <w:pPr>
        <w:jc w:val="both"/>
        <w:rPr>
          <w:rFonts w:asciiTheme="minorHAnsi" w:hAnsiTheme="minorHAnsi" w:cstheme="minorHAnsi"/>
          <w:sz w:val="22"/>
          <w:szCs w:val="22"/>
        </w:rPr>
      </w:pPr>
    </w:p>
    <w:p w14:paraId="4B3EB7E9" w14:textId="77777777" w:rsidR="00702C83" w:rsidRDefault="00702C83" w:rsidP="00E73104">
      <w:pPr>
        <w:jc w:val="both"/>
        <w:rPr>
          <w:rFonts w:asciiTheme="minorHAnsi" w:hAnsiTheme="minorHAnsi" w:cstheme="minorHAnsi"/>
          <w:sz w:val="22"/>
          <w:szCs w:val="22"/>
        </w:rPr>
      </w:pPr>
    </w:p>
    <w:p w14:paraId="7C0FD38B" w14:textId="77777777" w:rsidR="00702C83" w:rsidRDefault="00702C83" w:rsidP="00E73104">
      <w:pPr>
        <w:jc w:val="both"/>
        <w:rPr>
          <w:rFonts w:asciiTheme="minorHAnsi" w:hAnsiTheme="minorHAnsi" w:cstheme="minorHAnsi"/>
          <w:sz w:val="22"/>
          <w:szCs w:val="22"/>
        </w:rPr>
      </w:pPr>
    </w:p>
    <w:p w14:paraId="00FD89B1" w14:textId="77777777" w:rsidR="00702C83" w:rsidRDefault="00702C83" w:rsidP="00E73104">
      <w:pPr>
        <w:jc w:val="both"/>
        <w:rPr>
          <w:rFonts w:asciiTheme="minorHAnsi" w:hAnsiTheme="minorHAnsi" w:cstheme="minorHAnsi"/>
          <w:sz w:val="22"/>
          <w:szCs w:val="22"/>
        </w:rPr>
      </w:pPr>
    </w:p>
    <w:p w14:paraId="72DA4E5B" w14:textId="77777777" w:rsidR="00E644CE" w:rsidRPr="00556170" w:rsidRDefault="00E644CE" w:rsidP="00E73104">
      <w:pPr>
        <w:jc w:val="both"/>
        <w:rPr>
          <w:rFonts w:asciiTheme="minorHAnsi" w:hAnsiTheme="minorHAnsi" w:cstheme="minorHAnsi"/>
          <w:sz w:val="22"/>
          <w:szCs w:val="22"/>
        </w:rPr>
      </w:pPr>
    </w:p>
    <w:p w14:paraId="561F7F2E" w14:textId="77777777" w:rsidR="00E03741" w:rsidRPr="00556170" w:rsidRDefault="00E03741" w:rsidP="00807772">
      <w:pPr>
        <w:pStyle w:val="Naslov4"/>
      </w:pPr>
      <w:r w:rsidRPr="00556170">
        <w:t>Table 1A: Gender Parity Index and Gender Equality Index Scores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790"/>
        <w:gridCol w:w="1790"/>
        <w:gridCol w:w="1790"/>
        <w:gridCol w:w="1790"/>
      </w:tblGrid>
      <w:tr w:rsidR="00870240" w:rsidRPr="00870240" w14:paraId="02C8A544" w14:textId="77777777" w:rsidTr="003B022E">
        <w:trPr>
          <w:tblHeader/>
        </w:trPr>
        <w:tc>
          <w:tcPr>
            <w:tcW w:w="220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115EF46F" w14:textId="77777777" w:rsidR="00E03741" w:rsidRPr="00870240" w:rsidRDefault="00E03741" w:rsidP="00870240">
            <w:pPr>
              <w:jc w:val="both"/>
              <w:rPr>
                <w:rFonts w:asciiTheme="minorHAnsi" w:hAnsiTheme="minorHAnsi" w:cstheme="minorHAnsi"/>
                <w:b/>
                <w:bCs/>
                <w:color w:val="FFFFFF" w:themeColor="background1"/>
                <w:sz w:val="22"/>
                <w:szCs w:val="22"/>
              </w:rPr>
            </w:pPr>
            <w:r w:rsidRPr="00870240">
              <w:rPr>
                <w:rFonts w:asciiTheme="minorHAnsi" w:hAnsiTheme="minorHAnsi" w:cstheme="minorHAnsi"/>
                <w:b/>
                <w:bCs/>
                <w:color w:val="FFFFFF" w:themeColor="background1"/>
                <w:sz w:val="22"/>
                <w:szCs w:val="22"/>
              </w:rPr>
              <w:t>Indicator</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02D40F4F" w14:textId="77777777" w:rsidR="00E03741" w:rsidRPr="00870240" w:rsidRDefault="00E03741" w:rsidP="00870240">
            <w:pPr>
              <w:jc w:val="both"/>
              <w:rPr>
                <w:rFonts w:asciiTheme="minorHAnsi" w:hAnsiTheme="minorHAnsi" w:cstheme="minorHAnsi"/>
                <w:b/>
                <w:bCs/>
                <w:color w:val="FFFFFF" w:themeColor="background1"/>
                <w:sz w:val="22"/>
                <w:szCs w:val="22"/>
              </w:rPr>
            </w:pPr>
            <w:r w:rsidRPr="00870240">
              <w:rPr>
                <w:rFonts w:asciiTheme="minorHAnsi" w:hAnsiTheme="minorHAnsi" w:cstheme="minorHAnsi"/>
                <w:b/>
                <w:bCs/>
                <w:color w:val="FFFFFF" w:themeColor="background1"/>
                <w:sz w:val="22"/>
                <w:szCs w:val="22"/>
              </w:rPr>
              <w:t>Albania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1C5BFA08" w14:textId="77777777" w:rsidR="00E03741" w:rsidRPr="00870240" w:rsidRDefault="00E03741" w:rsidP="00870240">
            <w:pPr>
              <w:jc w:val="both"/>
              <w:rPr>
                <w:rFonts w:asciiTheme="minorHAnsi" w:hAnsiTheme="minorHAnsi" w:cstheme="minorHAnsi"/>
                <w:b/>
                <w:bCs/>
                <w:color w:val="FFFFFF" w:themeColor="background1"/>
                <w:sz w:val="22"/>
                <w:szCs w:val="22"/>
              </w:rPr>
            </w:pPr>
            <w:r w:rsidRPr="00870240">
              <w:rPr>
                <w:rFonts w:asciiTheme="minorHAnsi" w:hAnsiTheme="minorHAnsi" w:cstheme="minorHAnsi"/>
                <w:b/>
                <w:bCs/>
                <w:color w:val="FFFFFF" w:themeColor="background1"/>
                <w:sz w:val="22"/>
                <w:szCs w:val="22"/>
              </w:rPr>
              <w:t>Bosnia &amp; Herz.</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0F93BE75" w14:textId="77777777" w:rsidR="00E03741" w:rsidRPr="00870240" w:rsidRDefault="00E03741" w:rsidP="00870240">
            <w:pPr>
              <w:jc w:val="both"/>
              <w:rPr>
                <w:rFonts w:asciiTheme="minorHAnsi" w:hAnsiTheme="minorHAnsi" w:cstheme="minorHAnsi"/>
                <w:b/>
                <w:bCs/>
                <w:color w:val="FFFFFF" w:themeColor="background1"/>
                <w:sz w:val="22"/>
                <w:szCs w:val="22"/>
              </w:rPr>
            </w:pPr>
            <w:r w:rsidRPr="00870240">
              <w:rPr>
                <w:rFonts w:asciiTheme="minorHAnsi" w:hAnsiTheme="minorHAnsi" w:cstheme="minorHAnsi"/>
                <w:b/>
                <w:bCs/>
                <w:color w:val="FFFFFF" w:themeColor="background1"/>
                <w:sz w:val="22"/>
                <w:szCs w:val="22"/>
              </w:rPr>
              <w:t>Croatia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31FE45CD" w14:textId="77777777" w:rsidR="00E03741" w:rsidRPr="00870240" w:rsidRDefault="00E03741" w:rsidP="00870240">
            <w:pPr>
              <w:jc w:val="both"/>
              <w:rPr>
                <w:rFonts w:asciiTheme="minorHAnsi" w:hAnsiTheme="minorHAnsi" w:cstheme="minorHAnsi"/>
                <w:b/>
                <w:bCs/>
                <w:color w:val="FFFFFF" w:themeColor="background1"/>
                <w:sz w:val="22"/>
                <w:szCs w:val="22"/>
              </w:rPr>
            </w:pPr>
            <w:r w:rsidRPr="00870240">
              <w:rPr>
                <w:rFonts w:asciiTheme="minorHAnsi" w:hAnsiTheme="minorHAnsi" w:cstheme="minorHAnsi"/>
                <w:b/>
                <w:bCs/>
                <w:color w:val="FFFFFF" w:themeColor="background1"/>
                <w:sz w:val="22"/>
                <w:szCs w:val="22"/>
              </w:rPr>
              <w:t>Montenegro</w:t>
            </w:r>
          </w:p>
        </w:tc>
      </w:tr>
      <w:tr w:rsidR="00870240" w:rsidRPr="00870240" w14:paraId="034BAD54"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678C25F" w14:textId="77777777" w:rsidR="00E03741" w:rsidRPr="00BF5746" w:rsidRDefault="00E03741" w:rsidP="00870240">
            <w:pPr>
              <w:jc w:val="both"/>
              <w:rPr>
                <w:rFonts w:asciiTheme="minorHAnsi" w:hAnsiTheme="minorHAnsi" w:cstheme="minorHAnsi"/>
                <w:b/>
                <w:bCs/>
                <w:color w:val="000000" w:themeColor="text1"/>
                <w:sz w:val="22"/>
                <w:szCs w:val="22"/>
              </w:rPr>
            </w:pPr>
            <w:r w:rsidRPr="00BF5746">
              <w:rPr>
                <w:rFonts w:asciiTheme="minorHAnsi" w:hAnsiTheme="minorHAnsi" w:cstheme="minorHAnsi"/>
                <w:b/>
                <w:bCs/>
                <w:color w:val="000000" w:themeColor="text1"/>
                <w:sz w:val="22"/>
                <w:szCs w:val="22"/>
              </w:rPr>
              <w:t>Education GPI – Primary (yr)</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1C597D9"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1.018 (2021, UNESCO UIS)</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45F2870"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approximately 1.00 (2021, UNESCO UIS)</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19F2AE6"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approximately 1.00 (2021, UNESCO UIS)</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23DAE12"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1.007 (2019, UNESCO UIS)</w:t>
            </w:r>
          </w:p>
        </w:tc>
      </w:tr>
      <w:tr w:rsidR="00870240" w:rsidRPr="00870240" w14:paraId="358624D5"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9451941" w14:textId="77777777" w:rsidR="00E03741" w:rsidRPr="00BF5746" w:rsidRDefault="00E03741" w:rsidP="00870240">
            <w:pPr>
              <w:jc w:val="both"/>
              <w:rPr>
                <w:rFonts w:asciiTheme="minorHAnsi" w:hAnsiTheme="minorHAnsi" w:cstheme="minorHAnsi"/>
                <w:b/>
                <w:bCs/>
                <w:color w:val="000000" w:themeColor="text1"/>
                <w:sz w:val="22"/>
                <w:szCs w:val="22"/>
              </w:rPr>
            </w:pPr>
            <w:r w:rsidRPr="00BF5746">
              <w:rPr>
                <w:rFonts w:asciiTheme="minorHAnsi" w:hAnsiTheme="minorHAnsi" w:cstheme="minorHAnsi"/>
                <w:b/>
                <w:bCs/>
                <w:color w:val="000000" w:themeColor="text1"/>
                <w:sz w:val="22"/>
                <w:szCs w:val="22"/>
              </w:rPr>
              <w:t>Education GPI – Secondary (yr)</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AE68CC3"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1.031 (2021, UNESCO UIS)</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9B2DD83"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0.992 sub-index (WEF,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DE8BC7D"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0.998 sub-index (WEF,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493CF58"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1.022 (2019, UNESCO UIS)</w:t>
            </w:r>
          </w:p>
        </w:tc>
      </w:tr>
      <w:tr w:rsidR="00870240" w:rsidRPr="00870240" w14:paraId="2C3E4750"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63FCC41" w14:textId="77777777" w:rsidR="00E03741" w:rsidRPr="00BF5746" w:rsidRDefault="00E03741" w:rsidP="00870240">
            <w:pPr>
              <w:jc w:val="both"/>
              <w:rPr>
                <w:rFonts w:asciiTheme="minorHAnsi" w:hAnsiTheme="minorHAnsi" w:cstheme="minorHAnsi"/>
                <w:b/>
                <w:bCs/>
                <w:color w:val="000000" w:themeColor="text1"/>
                <w:sz w:val="22"/>
                <w:szCs w:val="22"/>
              </w:rPr>
            </w:pPr>
            <w:r w:rsidRPr="00BF5746">
              <w:rPr>
                <w:rFonts w:asciiTheme="minorHAnsi" w:hAnsiTheme="minorHAnsi" w:cstheme="minorHAnsi"/>
                <w:b/>
                <w:bCs/>
                <w:color w:val="000000" w:themeColor="text1"/>
                <w:sz w:val="22"/>
                <w:szCs w:val="22"/>
              </w:rPr>
              <w:t>Female LFPR 15+ (yr)</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88BC165"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57.95% (2023, World Bank/INSTAT)</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486E2D4"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below 55% (2023, BHAS)</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5B8E67C"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approximately 60 to 63% (2023, Eurostat)</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16F0C78"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below 55% (2023, MONSTAT)</w:t>
            </w:r>
          </w:p>
        </w:tc>
      </w:tr>
      <w:tr w:rsidR="00870240" w:rsidRPr="00870240" w14:paraId="0FB28965"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C429B3B" w14:textId="77777777" w:rsidR="00E03741" w:rsidRPr="00BF5746" w:rsidRDefault="00E03741" w:rsidP="00870240">
            <w:pPr>
              <w:jc w:val="both"/>
              <w:rPr>
                <w:rFonts w:asciiTheme="minorHAnsi" w:hAnsiTheme="minorHAnsi" w:cstheme="minorHAnsi"/>
                <w:b/>
                <w:bCs/>
                <w:color w:val="000000" w:themeColor="text1"/>
                <w:sz w:val="22"/>
                <w:szCs w:val="22"/>
              </w:rPr>
            </w:pPr>
            <w:r w:rsidRPr="00BF5746">
              <w:rPr>
                <w:rFonts w:asciiTheme="minorHAnsi" w:hAnsiTheme="minorHAnsi" w:cstheme="minorHAnsi"/>
                <w:b/>
                <w:bCs/>
                <w:color w:val="000000" w:themeColor="text1"/>
                <w:sz w:val="22"/>
                <w:szCs w:val="22"/>
              </w:rPr>
              <w:t>WEF Overall Score/Rank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24A1819"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0.780 / Rank 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F8B660C"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0.710 / Rank 80</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1D6DAF0"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0.723 / Rank 62</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A99F756"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0.718 / Rank 67</w:t>
            </w:r>
          </w:p>
        </w:tc>
      </w:tr>
      <w:tr w:rsidR="00870240" w:rsidRPr="00870240" w14:paraId="52BAAB54"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F4D916D" w14:textId="77777777" w:rsidR="00E03741" w:rsidRPr="00BF5746" w:rsidRDefault="00E03741" w:rsidP="00870240">
            <w:pPr>
              <w:jc w:val="both"/>
              <w:rPr>
                <w:rFonts w:asciiTheme="minorHAnsi" w:hAnsiTheme="minorHAnsi" w:cstheme="minorHAnsi"/>
                <w:b/>
                <w:bCs/>
                <w:color w:val="000000" w:themeColor="text1"/>
                <w:sz w:val="22"/>
                <w:szCs w:val="22"/>
              </w:rPr>
            </w:pPr>
            <w:r w:rsidRPr="00BF5746">
              <w:rPr>
                <w:rFonts w:asciiTheme="minorHAnsi" w:hAnsiTheme="minorHAnsi" w:cstheme="minorHAnsi"/>
                <w:b/>
                <w:bCs/>
                <w:color w:val="000000" w:themeColor="text1"/>
                <w:sz w:val="22"/>
                <w:szCs w:val="22"/>
              </w:rPr>
              <w:t>EIGE Gender Equality Index (2024)</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DD0E31A"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N/A (non-EU)</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1A55ADA"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N/A (non-EU)</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F9B2128"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60.7/100 (EIGE, 2024)</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D53CBB5"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59.3/100 (EIGE, 2023, pilot)</w:t>
            </w:r>
          </w:p>
        </w:tc>
      </w:tr>
      <w:tr w:rsidR="00870240" w:rsidRPr="00870240" w14:paraId="63A9B3C0"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E4BA7C8" w14:textId="77777777" w:rsidR="00E03741" w:rsidRPr="00BF5746" w:rsidRDefault="00E03741" w:rsidP="00870240">
            <w:pPr>
              <w:jc w:val="both"/>
              <w:rPr>
                <w:rFonts w:asciiTheme="minorHAnsi" w:hAnsiTheme="minorHAnsi" w:cstheme="minorHAnsi"/>
                <w:b/>
                <w:bCs/>
                <w:color w:val="000000" w:themeColor="text1"/>
                <w:sz w:val="22"/>
                <w:szCs w:val="22"/>
              </w:rPr>
            </w:pPr>
            <w:r w:rsidRPr="00BF5746">
              <w:rPr>
                <w:rFonts w:asciiTheme="minorHAnsi" w:hAnsiTheme="minorHAnsi" w:cstheme="minorHAnsi"/>
                <w:b/>
                <w:bCs/>
                <w:color w:val="000000" w:themeColor="text1"/>
                <w:sz w:val="22"/>
                <w:szCs w:val="22"/>
              </w:rPr>
              <w:t>Women in Parliament % (yr)</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7707D93"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35% (2025, IPU)</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18E22AE"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19.1% (2024, Equal Future Eurasia)</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4D5427A"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33.1% (2024, IPU)</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4643749" w14:textId="77777777" w:rsidR="00E03741" w:rsidRPr="00870240" w:rsidRDefault="00E03741" w:rsidP="00870240">
            <w:pPr>
              <w:jc w:val="both"/>
              <w:rPr>
                <w:rFonts w:asciiTheme="minorHAnsi" w:hAnsiTheme="minorHAnsi" w:cstheme="minorHAnsi"/>
                <w:color w:val="000000" w:themeColor="text1"/>
                <w:sz w:val="22"/>
                <w:szCs w:val="22"/>
              </w:rPr>
            </w:pPr>
            <w:r w:rsidRPr="00870240">
              <w:rPr>
                <w:rFonts w:asciiTheme="minorHAnsi" w:hAnsiTheme="minorHAnsi" w:cstheme="minorHAnsi"/>
                <w:color w:val="000000" w:themeColor="text1"/>
                <w:sz w:val="22"/>
                <w:szCs w:val="22"/>
              </w:rPr>
              <w:t>27.2% (2023, IPU)</w:t>
            </w:r>
          </w:p>
        </w:tc>
      </w:tr>
    </w:tbl>
    <w:p w14:paraId="0061AA7D" w14:textId="77777777" w:rsidR="00E03741" w:rsidRPr="00BF5746" w:rsidRDefault="00E03741" w:rsidP="00870240">
      <w:pPr>
        <w:jc w:val="both"/>
        <w:rPr>
          <w:rFonts w:asciiTheme="minorHAnsi" w:hAnsiTheme="minorHAnsi" w:cstheme="minorHAnsi"/>
          <w:sz w:val="14"/>
          <w:szCs w:val="14"/>
        </w:rPr>
      </w:pPr>
      <w:r w:rsidRPr="00BF5746">
        <w:rPr>
          <w:rFonts w:asciiTheme="minorHAnsi" w:hAnsiTheme="minorHAnsi" w:cstheme="minorHAnsi"/>
          <w:b/>
          <w:bCs/>
          <w:i/>
          <w:iCs/>
          <w:color w:val="666666"/>
          <w:sz w:val="14"/>
          <w:szCs w:val="14"/>
        </w:rPr>
        <w:t>Sources:</w:t>
      </w:r>
      <w:r w:rsidRPr="00BF5746">
        <w:rPr>
          <w:rFonts w:asciiTheme="minorHAnsi" w:hAnsiTheme="minorHAnsi" w:cstheme="minorHAnsi"/>
          <w:i/>
          <w:iCs/>
          <w:color w:val="666666"/>
          <w:sz w:val="14"/>
          <w:szCs w:val="14"/>
        </w:rPr>
        <w:t xml:space="preserve"> WEF Global Gender Gap Report 2024 (WEF, 2024). UNESCO UIS via World Bank Development Indicators (2023). EIGE Gender Equality Index (2024). EIGE pilot index for Montenegro (EIGE, 2023). IPU Parline database (2024–2025). Equal Future Eurasia (2024). World Bank Western Balkans </w:t>
      </w:r>
      <w:proofErr w:type="spellStart"/>
      <w:r w:rsidRPr="00BF5746">
        <w:rPr>
          <w:rFonts w:asciiTheme="minorHAnsi" w:hAnsiTheme="minorHAnsi" w:cstheme="minorHAnsi"/>
          <w:i/>
          <w:iCs/>
          <w:color w:val="666666"/>
          <w:sz w:val="14"/>
          <w:szCs w:val="14"/>
        </w:rPr>
        <w:t>Labour</w:t>
      </w:r>
      <w:proofErr w:type="spellEnd"/>
      <w:r w:rsidRPr="00BF5746">
        <w:rPr>
          <w:rFonts w:asciiTheme="minorHAnsi" w:hAnsiTheme="minorHAnsi" w:cstheme="minorHAnsi"/>
          <w:i/>
          <w:iCs/>
          <w:color w:val="666666"/>
          <w:sz w:val="14"/>
          <w:szCs w:val="14"/>
        </w:rPr>
        <w:t xml:space="preserve"> Market Brief (2023).</w:t>
      </w:r>
    </w:p>
    <w:p w14:paraId="3DD639CE" w14:textId="77777777" w:rsidR="00E03741" w:rsidRPr="00556170" w:rsidRDefault="00E03741" w:rsidP="00E73104">
      <w:pPr>
        <w:jc w:val="both"/>
        <w:rPr>
          <w:rFonts w:asciiTheme="minorHAnsi" w:hAnsiTheme="minorHAnsi" w:cstheme="minorHAnsi"/>
          <w:sz w:val="22"/>
          <w:szCs w:val="22"/>
        </w:rPr>
      </w:pPr>
    </w:p>
    <w:p w14:paraId="5E7456BF" w14:textId="77777777" w:rsidR="00E03741" w:rsidRPr="00556170" w:rsidRDefault="00E03741" w:rsidP="00807772">
      <w:pPr>
        <w:pStyle w:val="Naslov4"/>
      </w:pPr>
      <w:r w:rsidRPr="00556170">
        <w:t>Table 2: Socio-Economic Indicators Comparison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790"/>
        <w:gridCol w:w="1790"/>
        <w:gridCol w:w="1790"/>
        <w:gridCol w:w="1790"/>
      </w:tblGrid>
      <w:tr w:rsidR="00FE793F" w:rsidRPr="00FE793F" w14:paraId="0313CCEB" w14:textId="77777777" w:rsidTr="003B022E">
        <w:trPr>
          <w:tblHeader/>
        </w:trPr>
        <w:tc>
          <w:tcPr>
            <w:tcW w:w="220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3030CD7B" w14:textId="77777777" w:rsidR="00E03741" w:rsidRPr="00FE793F" w:rsidRDefault="00E03741" w:rsidP="00E73104">
            <w:pPr>
              <w:jc w:val="both"/>
              <w:rPr>
                <w:rFonts w:asciiTheme="minorHAnsi" w:hAnsiTheme="minorHAnsi" w:cstheme="minorHAnsi"/>
                <w:color w:val="FFFFFF" w:themeColor="background1"/>
                <w:sz w:val="22"/>
                <w:szCs w:val="22"/>
              </w:rPr>
            </w:pPr>
            <w:r w:rsidRPr="00FE793F">
              <w:rPr>
                <w:rFonts w:asciiTheme="minorHAnsi" w:hAnsiTheme="minorHAnsi" w:cstheme="minorHAnsi"/>
                <w:b/>
                <w:bCs/>
                <w:color w:val="FFFFFF" w:themeColor="background1"/>
                <w:sz w:val="22"/>
                <w:szCs w:val="22"/>
              </w:rPr>
              <w:t>Indicator</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5B47B755" w14:textId="77777777" w:rsidR="00E03741" w:rsidRPr="00FE793F" w:rsidRDefault="00E03741" w:rsidP="00E73104">
            <w:pPr>
              <w:jc w:val="both"/>
              <w:rPr>
                <w:rFonts w:asciiTheme="minorHAnsi" w:hAnsiTheme="minorHAnsi" w:cstheme="minorHAnsi"/>
                <w:color w:val="FFFFFF" w:themeColor="background1"/>
                <w:sz w:val="22"/>
                <w:szCs w:val="22"/>
              </w:rPr>
            </w:pPr>
            <w:r w:rsidRPr="00FE793F">
              <w:rPr>
                <w:rFonts w:asciiTheme="minorHAnsi" w:hAnsiTheme="minorHAnsi" w:cstheme="minorHAnsi"/>
                <w:b/>
                <w:bCs/>
                <w:color w:val="FFFFFF" w:themeColor="background1"/>
                <w:sz w:val="22"/>
                <w:szCs w:val="22"/>
              </w:rPr>
              <w:t>Albania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695114F0" w14:textId="77777777" w:rsidR="00E03741" w:rsidRPr="00FE793F" w:rsidRDefault="00E03741" w:rsidP="00E73104">
            <w:pPr>
              <w:jc w:val="both"/>
              <w:rPr>
                <w:rFonts w:asciiTheme="minorHAnsi" w:hAnsiTheme="minorHAnsi" w:cstheme="minorHAnsi"/>
                <w:color w:val="FFFFFF" w:themeColor="background1"/>
                <w:sz w:val="22"/>
                <w:szCs w:val="22"/>
              </w:rPr>
            </w:pPr>
            <w:r w:rsidRPr="00FE793F">
              <w:rPr>
                <w:rFonts w:asciiTheme="minorHAnsi" w:hAnsiTheme="minorHAnsi" w:cstheme="minorHAnsi"/>
                <w:b/>
                <w:bCs/>
                <w:color w:val="FFFFFF" w:themeColor="background1"/>
                <w:sz w:val="22"/>
                <w:szCs w:val="22"/>
              </w:rPr>
              <w:t>Bosnia &amp; Herz.</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669D2BF4" w14:textId="77777777" w:rsidR="00E03741" w:rsidRPr="00FE793F" w:rsidRDefault="00E03741" w:rsidP="00E73104">
            <w:pPr>
              <w:jc w:val="both"/>
              <w:rPr>
                <w:rFonts w:asciiTheme="minorHAnsi" w:hAnsiTheme="minorHAnsi" w:cstheme="minorHAnsi"/>
                <w:color w:val="FFFFFF" w:themeColor="background1"/>
                <w:sz w:val="22"/>
                <w:szCs w:val="22"/>
              </w:rPr>
            </w:pPr>
            <w:r w:rsidRPr="00FE793F">
              <w:rPr>
                <w:rFonts w:asciiTheme="minorHAnsi" w:hAnsiTheme="minorHAnsi" w:cstheme="minorHAnsi"/>
                <w:b/>
                <w:bCs/>
                <w:color w:val="FFFFFF" w:themeColor="background1"/>
                <w:sz w:val="22"/>
                <w:szCs w:val="22"/>
              </w:rPr>
              <w:t>Croatia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36AC17A4" w14:textId="77777777" w:rsidR="00E03741" w:rsidRPr="00FE793F" w:rsidRDefault="00E03741" w:rsidP="00E73104">
            <w:pPr>
              <w:jc w:val="both"/>
              <w:rPr>
                <w:rFonts w:asciiTheme="minorHAnsi" w:hAnsiTheme="minorHAnsi" w:cstheme="minorHAnsi"/>
                <w:color w:val="FFFFFF" w:themeColor="background1"/>
                <w:sz w:val="22"/>
                <w:szCs w:val="22"/>
              </w:rPr>
            </w:pPr>
            <w:r w:rsidRPr="00FE793F">
              <w:rPr>
                <w:rFonts w:asciiTheme="minorHAnsi" w:hAnsiTheme="minorHAnsi" w:cstheme="minorHAnsi"/>
                <w:b/>
                <w:bCs/>
                <w:color w:val="FFFFFF" w:themeColor="background1"/>
                <w:sz w:val="22"/>
                <w:szCs w:val="22"/>
              </w:rPr>
              <w:t>Montenegro</w:t>
            </w:r>
          </w:p>
        </w:tc>
      </w:tr>
      <w:tr w:rsidR="00FE793F" w:rsidRPr="00FE793F" w14:paraId="3C90C249"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9A8FAC9" w14:textId="77777777" w:rsidR="00E03741" w:rsidRPr="009355BF" w:rsidRDefault="00E03741" w:rsidP="00E73104">
            <w:pPr>
              <w:jc w:val="both"/>
              <w:rPr>
                <w:rFonts w:asciiTheme="minorHAnsi" w:hAnsiTheme="minorHAnsi" w:cstheme="minorHAnsi"/>
                <w:b/>
                <w:bCs/>
                <w:color w:val="auto"/>
                <w:sz w:val="22"/>
                <w:szCs w:val="22"/>
              </w:rPr>
            </w:pPr>
            <w:r w:rsidRPr="009355BF">
              <w:rPr>
                <w:rFonts w:asciiTheme="minorHAnsi" w:hAnsiTheme="minorHAnsi" w:cstheme="minorHAnsi"/>
                <w:b/>
                <w:bCs/>
                <w:color w:val="auto"/>
                <w:sz w:val="22"/>
                <w:szCs w:val="22"/>
              </w:rPr>
              <w:t>Gender Pay Gap</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2A9B954"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6.6% (2021; UNDP Albania)</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437A0DC"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22–24% (2023; BHAS)</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522ED7D"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11.1% (2023; Eurostat)</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7FDBEE2"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Present; not fully quantified (MONSTAT, 2023)</w:t>
            </w:r>
          </w:p>
        </w:tc>
      </w:tr>
      <w:tr w:rsidR="00FE793F" w:rsidRPr="00FE793F" w14:paraId="4D31EDBD"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87A50B9" w14:textId="77777777" w:rsidR="00E03741" w:rsidRPr="009355BF" w:rsidRDefault="00E03741" w:rsidP="00E73104">
            <w:pPr>
              <w:jc w:val="both"/>
              <w:rPr>
                <w:rFonts w:asciiTheme="minorHAnsi" w:hAnsiTheme="minorHAnsi" w:cstheme="minorHAnsi"/>
                <w:b/>
                <w:bCs/>
                <w:color w:val="auto"/>
                <w:sz w:val="22"/>
                <w:szCs w:val="22"/>
              </w:rPr>
            </w:pPr>
            <w:r w:rsidRPr="009355BF">
              <w:rPr>
                <w:rFonts w:asciiTheme="minorHAnsi" w:hAnsiTheme="minorHAnsi" w:cstheme="minorHAnsi"/>
                <w:b/>
                <w:bCs/>
                <w:color w:val="auto"/>
                <w:sz w:val="22"/>
                <w:szCs w:val="22"/>
              </w:rPr>
              <w:t>Female Unemployment</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77799C2"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10.9% (2023; INSTAT)</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2526512"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Higher than men (BHAS, 2023)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DFC22DB"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5th lowest EU (EIGE, 2023)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CD1F1B0"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Regional disparities (MONSTAT, 2023)</w:t>
            </w:r>
          </w:p>
        </w:tc>
      </w:tr>
      <w:tr w:rsidR="00FE793F" w:rsidRPr="00FE793F" w14:paraId="4B20B4E7"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F7A4ECB" w14:textId="77777777" w:rsidR="00E03741" w:rsidRPr="009355BF" w:rsidRDefault="00E03741" w:rsidP="00E73104">
            <w:pPr>
              <w:jc w:val="both"/>
              <w:rPr>
                <w:rFonts w:asciiTheme="minorHAnsi" w:hAnsiTheme="minorHAnsi" w:cstheme="minorHAnsi"/>
                <w:b/>
                <w:bCs/>
                <w:color w:val="auto"/>
                <w:sz w:val="22"/>
                <w:szCs w:val="22"/>
              </w:rPr>
            </w:pPr>
            <w:r w:rsidRPr="009355BF">
              <w:rPr>
                <w:rFonts w:asciiTheme="minorHAnsi" w:hAnsiTheme="minorHAnsi" w:cstheme="minorHAnsi"/>
                <w:b/>
                <w:bCs/>
                <w:color w:val="auto"/>
                <w:sz w:val="22"/>
                <w:szCs w:val="22"/>
              </w:rPr>
              <w:t>Women in Agriculture</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22D8122"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54% employed (INSTAT, 2023)</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6BFE8D2"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Majority unpaid (UN Women, 2022)</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B53703F"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Data limited (CBS, 2021)</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B05DDF5"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13% farm holders (UN Montenegro, 2025)</w:t>
            </w:r>
          </w:p>
        </w:tc>
      </w:tr>
      <w:tr w:rsidR="00FE793F" w:rsidRPr="00FE793F" w14:paraId="67902C15"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0C8E4E6" w14:textId="77777777" w:rsidR="00E03741" w:rsidRPr="009355BF" w:rsidRDefault="00E03741" w:rsidP="00E73104">
            <w:pPr>
              <w:jc w:val="both"/>
              <w:rPr>
                <w:rFonts w:asciiTheme="minorHAnsi" w:hAnsiTheme="minorHAnsi" w:cstheme="minorHAnsi"/>
                <w:b/>
                <w:bCs/>
                <w:color w:val="auto"/>
                <w:sz w:val="22"/>
                <w:szCs w:val="22"/>
              </w:rPr>
            </w:pPr>
            <w:r w:rsidRPr="009355BF">
              <w:rPr>
                <w:rFonts w:asciiTheme="minorHAnsi" w:hAnsiTheme="minorHAnsi" w:cstheme="minorHAnsi"/>
                <w:b/>
                <w:bCs/>
                <w:color w:val="auto"/>
                <w:sz w:val="22"/>
                <w:szCs w:val="22"/>
              </w:rPr>
              <w:t>Unpaid Care (Women)</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602235E"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24.7% of time (INSTAT TUS, 2011)</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B13C8DB" w14:textId="3261ABCC"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 xml:space="preserve">more than six hours per day; 67% </w:t>
            </w:r>
            <w:r w:rsidR="009B3DA4" w:rsidRPr="00FE793F">
              <w:rPr>
                <w:rFonts w:asciiTheme="minorHAnsi" w:hAnsiTheme="minorHAnsi" w:cstheme="minorHAnsi"/>
                <w:color w:val="auto"/>
                <w:sz w:val="22"/>
                <w:szCs w:val="22"/>
              </w:rPr>
              <w:t>h</w:t>
            </w:r>
            <w:r w:rsidR="009B3DA4">
              <w:rPr>
                <w:rFonts w:asciiTheme="minorHAnsi" w:hAnsiTheme="minorHAnsi" w:cstheme="minorHAnsi"/>
                <w:color w:val="auto"/>
                <w:sz w:val="22"/>
                <w:szCs w:val="22"/>
              </w:rPr>
              <w:t>ouse</w:t>
            </w:r>
            <w:r w:rsidR="009B3DA4" w:rsidRPr="00FE793F">
              <w:rPr>
                <w:rFonts w:asciiTheme="minorHAnsi" w:hAnsiTheme="minorHAnsi" w:cstheme="minorHAnsi"/>
                <w:color w:val="auto"/>
                <w:sz w:val="22"/>
                <w:szCs w:val="22"/>
              </w:rPr>
              <w:t>h</w:t>
            </w:r>
            <w:r w:rsidR="009B3DA4">
              <w:rPr>
                <w:rFonts w:asciiTheme="minorHAnsi" w:hAnsiTheme="minorHAnsi" w:cstheme="minorHAnsi"/>
                <w:color w:val="auto"/>
                <w:sz w:val="22"/>
                <w:szCs w:val="22"/>
              </w:rPr>
              <w:t>old</w:t>
            </w:r>
            <w:r w:rsidRPr="00FE793F">
              <w:rPr>
                <w:rFonts w:asciiTheme="minorHAnsi" w:hAnsiTheme="minorHAnsi" w:cstheme="minorHAnsi"/>
                <w:color w:val="auto"/>
                <w:sz w:val="22"/>
                <w:szCs w:val="22"/>
              </w:rPr>
              <w:t xml:space="preserve"> assistants (UN Women, 2023)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10D4F33"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Largest EU gap; EIGE 48.6/100 (EIGE,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6A448F9"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 xml:space="preserve">73% </w:t>
            </w:r>
            <w:proofErr w:type="gramStart"/>
            <w:r w:rsidRPr="00FE793F">
              <w:rPr>
                <w:rFonts w:asciiTheme="minorHAnsi" w:hAnsiTheme="minorHAnsi" w:cstheme="minorHAnsi"/>
                <w:color w:val="auto"/>
                <w:sz w:val="22"/>
                <w:szCs w:val="22"/>
              </w:rPr>
              <w:t>family</w:t>
            </w:r>
            <w:proofErr w:type="gramEnd"/>
            <w:r w:rsidRPr="00FE793F">
              <w:rPr>
                <w:rFonts w:asciiTheme="minorHAnsi" w:hAnsiTheme="minorHAnsi" w:cstheme="minorHAnsi"/>
                <w:color w:val="auto"/>
                <w:sz w:val="22"/>
                <w:szCs w:val="22"/>
              </w:rPr>
              <w:t xml:space="preserve"> workers (MONSTAT, 2023)</w:t>
            </w:r>
          </w:p>
        </w:tc>
      </w:tr>
      <w:tr w:rsidR="00FE793F" w:rsidRPr="00FE793F" w14:paraId="29F0E2C4"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0F8013D" w14:textId="77777777" w:rsidR="00E03741" w:rsidRPr="00353B2F" w:rsidRDefault="00E03741" w:rsidP="00E73104">
            <w:pPr>
              <w:jc w:val="both"/>
              <w:rPr>
                <w:rFonts w:asciiTheme="minorHAnsi" w:hAnsiTheme="minorHAnsi" w:cstheme="minorHAnsi"/>
                <w:b/>
                <w:bCs/>
                <w:color w:val="auto"/>
                <w:sz w:val="22"/>
                <w:szCs w:val="22"/>
              </w:rPr>
            </w:pPr>
            <w:r w:rsidRPr="00353B2F">
              <w:rPr>
                <w:rFonts w:asciiTheme="minorHAnsi" w:hAnsiTheme="minorHAnsi" w:cstheme="minorHAnsi"/>
                <w:b/>
                <w:bCs/>
                <w:color w:val="auto"/>
                <w:sz w:val="22"/>
                <w:szCs w:val="22"/>
              </w:rPr>
              <w:lastRenderedPageBreak/>
              <w:t>Unpaid Care (Men)</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554524E"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3.5% of time (INSTAT TUS, 2011)</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EE66FAC"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approximately 3 hours per day (UN Women, 2023)</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957048F"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Significantly less (EIGE, 2024)</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A56AB28"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24% self-employed (MONSTAT, 2023)</w:t>
            </w:r>
          </w:p>
        </w:tc>
      </w:tr>
    </w:tbl>
    <w:p w14:paraId="19384CC0" w14:textId="77777777" w:rsidR="00E03741" w:rsidRPr="00353B2F" w:rsidRDefault="00E03741" w:rsidP="00FE793F">
      <w:pPr>
        <w:jc w:val="both"/>
        <w:rPr>
          <w:rFonts w:asciiTheme="minorHAnsi" w:hAnsiTheme="minorHAnsi" w:cstheme="minorHAnsi"/>
          <w:i/>
          <w:iCs/>
          <w:color w:val="666666"/>
          <w:sz w:val="16"/>
          <w:szCs w:val="16"/>
        </w:rPr>
      </w:pPr>
      <w:r w:rsidRPr="00353B2F">
        <w:rPr>
          <w:rFonts w:asciiTheme="minorHAnsi" w:hAnsiTheme="minorHAnsi" w:cstheme="minorHAnsi"/>
          <w:b/>
          <w:bCs/>
          <w:i/>
          <w:iCs/>
          <w:color w:val="666666"/>
          <w:sz w:val="16"/>
          <w:szCs w:val="16"/>
        </w:rPr>
        <w:t>Sources:</w:t>
      </w:r>
      <w:r w:rsidRPr="00353B2F">
        <w:rPr>
          <w:rFonts w:asciiTheme="minorHAnsi" w:hAnsiTheme="minorHAnsi" w:cstheme="minorHAnsi"/>
          <w:i/>
          <w:iCs/>
          <w:color w:val="666666"/>
          <w:sz w:val="16"/>
          <w:szCs w:val="16"/>
        </w:rPr>
        <w:t xml:space="preserve"> National reports citing INSTAT Time Use Survey (2011), UN Women (2022, 2023), BHAS (2023), Eurostat (2023), EIGE (2024), MONSTAT (2023), UN Montenegro (2025).</w:t>
      </w:r>
    </w:p>
    <w:p w14:paraId="50B45A4E" w14:textId="77777777" w:rsidR="00FE793F" w:rsidRPr="00FE793F" w:rsidRDefault="00FE793F" w:rsidP="00FE793F">
      <w:pPr>
        <w:jc w:val="both"/>
        <w:rPr>
          <w:rFonts w:asciiTheme="minorHAnsi" w:hAnsiTheme="minorHAnsi" w:cstheme="minorHAnsi"/>
        </w:rPr>
      </w:pPr>
    </w:p>
    <w:p w14:paraId="1FE52989" w14:textId="59785243" w:rsidR="00E03741" w:rsidRPr="00556170" w:rsidRDefault="00E03741" w:rsidP="00E73104">
      <w:pPr>
        <w:pStyle w:val="Naslov2"/>
        <w:spacing w:before="0" w:after="0"/>
        <w:jc w:val="both"/>
        <w:rPr>
          <w:rFonts w:asciiTheme="minorHAnsi" w:hAnsiTheme="minorHAnsi" w:cstheme="minorHAnsi"/>
          <w:sz w:val="22"/>
          <w:szCs w:val="22"/>
        </w:rPr>
      </w:pPr>
      <w:bookmarkStart w:id="16" w:name="_Toc224128599"/>
      <w:r w:rsidRPr="00556170">
        <w:rPr>
          <w:rFonts w:asciiTheme="minorHAnsi" w:eastAsia="Arial" w:hAnsiTheme="minorHAnsi" w:cstheme="minorHAnsi"/>
          <w:b/>
          <w:bCs/>
          <w:color w:val="2E75B6"/>
          <w:sz w:val="22"/>
          <w:szCs w:val="22"/>
        </w:rPr>
        <w:t>3.1.1 Analysis of Demographic Trends</w:t>
      </w:r>
      <w:bookmarkEnd w:id="16"/>
    </w:p>
    <w:p w14:paraId="357720B2" w14:textId="77777777" w:rsidR="00E03741"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 xml:space="preserve">The socio-economic indicators reveal persistent gender disparities across all four countries, though their magnitude varies. Bosnia and Herzegovina exhibits the largest documented gender pay gap at 22–24% (2023; BHAS), while Albania reports the smallest at 6.6% (2021; UNDP Albania). All countries show patterns of occupational segregation, with women concentrated in lower-paid sectors and overrepresented in unpaid family </w:t>
      </w:r>
      <w:r w:rsidRPr="00A92C6D">
        <w:rPr>
          <w:rFonts w:asciiTheme="minorHAnsi" w:hAnsiTheme="minorHAnsi" w:cstheme="minorHAnsi"/>
          <w:color w:val="auto"/>
          <w:sz w:val="22"/>
          <w:szCs w:val="22"/>
          <w:lang w:val="en-GB"/>
        </w:rPr>
        <w:t>labour</w:t>
      </w:r>
      <w:r w:rsidRPr="00FE793F">
        <w:rPr>
          <w:rFonts w:asciiTheme="minorHAnsi" w:hAnsiTheme="minorHAnsi" w:cstheme="minorHAnsi"/>
          <w:color w:val="auto"/>
          <w:sz w:val="22"/>
          <w:szCs w:val="22"/>
        </w:rPr>
        <w:t>, particularly in agriculture.</w:t>
      </w:r>
    </w:p>
    <w:p w14:paraId="4D2F6F97" w14:textId="77777777" w:rsidR="00FE793F" w:rsidRPr="00FE793F" w:rsidRDefault="00FE793F" w:rsidP="00E73104">
      <w:pPr>
        <w:jc w:val="both"/>
        <w:rPr>
          <w:rFonts w:asciiTheme="minorHAnsi" w:hAnsiTheme="minorHAnsi" w:cstheme="minorHAnsi"/>
          <w:color w:val="auto"/>
          <w:sz w:val="22"/>
          <w:szCs w:val="22"/>
        </w:rPr>
      </w:pPr>
    </w:p>
    <w:p w14:paraId="362E21C9" w14:textId="77777777" w:rsidR="00E03741"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The burden of unpaid care work emerges as a cross-cutting regional concern. Croatia records the largest gender gap in the EU for time spent on unpaid care and domestic work, with an EIGE 'Time' domain score of just 48.6 out of 100 (2024; EIGE). Albania documents that women spend 24.7% of their time on such tasks compared to 3.5% for men (2010–2011; INSTAT Time Use Survey). In Bosnia and Herzegovina, women spend more than six hours daily on unpaid care work, constitute 67% of total unpaid household assistants, and their gross national income per capita amounts to only 53.7% of men's (2022–2023; UN Women/BHAS).</w:t>
      </w:r>
    </w:p>
    <w:p w14:paraId="666C7D78" w14:textId="77777777" w:rsidR="00FE793F" w:rsidRPr="00FE793F" w:rsidRDefault="00FE793F" w:rsidP="00E73104">
      <w:pPr>
        <w:jc w:val="both"/>
        <w:rPr>
          <w:rFonts w:asciiTheme="minorHAnsi" w:hAnsiTheme="minorHAnsi" w:cstheme="minorHAnsi"/>
          <w:color w:val="auto"/>
          <w:sz w:val="22"/>
          <w:szCs w:val="22"/>
        </w:rPr>
      </w:pPr>
    </w:p>
    <w:p w14:paraId="22D2DCAF" w14:textId="6B164553" w:rsidR="00E03741" w:rsidRPr="00556170" w:rsidRDefault="00E03741" w:rsidP="00E73104">
      <w:pPr>
        <w:pStyle w:val="Naslov2"/>
        <w:spacing w:before="0" w:after="0"/>
        <w:jc w:val="both"/>
        <w:rPr>
          <w:rFonts w:asciiTheme="minorHAnsi" w:hAnsiTheme="minorHAnsi" w:cstheme="minorHAnsi"/>
          <w:sz w:val="22"/>
          <w:szCs w:val="22"/>
        </w:rPr>
      </w:pPr>
      <w:bookmarkStart w:id="17" w:name="_Toc224128600"/>
      <w:r w:rsidRPr="00556170">
        <w:rPr>
          <w:rFonts w:asciiTheme="minorHAnsi" w:eastAsia="Arial" w:hAnsiTheme="minorHAnsi" w:cstheme="minorHAnsi"/>
          <w:b/>
          <w:bCs/>
          <w:color w:val="2E75B6"/>
          <w:sz w:val="22"/>
          <w:szCs w:val="22"/>
        </w:rPr>
        <w:t>3.2 National Legal and Policy Frameworks for Gender Equality</w:t>
      </w:r>
      <w:bookmarkEnd w:id="17"/>
    </w:p>
    <w:p w14:paraId="0E68F60D" w14:textId="77777777" w:rsidR="00E03741" w:rsidRPr="00FE793F" w:rsidRDefault="00E03741" w:rsidP="00E73104">
      <w:pPr>
        <w:jc w:val="both"/>
        <w:rPr>
          <w:rFonts w:asciiTheme="minorHAnsi" w:hAnsiTheme="minorHAnsi" w:cstheme="minorHAnsi"/>
          <w:color w:val="auto"/>
          <w:sz w:val="22"/>
          <w:szCs w:val="22"/>
        </w:rPr>
      </w:pPr>
      <w:r w:rsidRPr="00FE793F">
        <w:rPr>
          <w:rFonts w:asciiTheme="minorHAnsi" w:hAnsiTheme="minorHAnsi" w:cstheme="minorHAnsi"/>
          <w:color w:val="auto"/>
          <w:sz w:val="22"/>
          <w:szCs w:val="22"/>
        </w:rPr>
        <w:t>All four countries have established comprehensive legal frameworks for gender equality, reflecting their shared aspiration toward EU integration and adherence to international human rights standards (DIKTAS II National Gender Analyses, 2025). Each country has ratified CEDAW and enacted foundational gender equality legislation, though specific mechanisms and enforcement provisions vary.</w:t>
      </w:r>
    </w:p>
    <w:p w14:paraId="6BB40758" w14:textId="77777777" w:rsidR="00E03741" w:rsidRPr="00556170" w:rsidRDefault="00E03741" w:rsidP="00E73104">
      <w:pPr>
        <w:jc w:val="both"/>
        <w:rPr>
          <w:rFonts w:asciiTheme="minorHAnsi" w:hAnsiTheme="minorHAnsi" w:cstheme="minorHAnsi"/>
          <w:sz w:val="22"/>
          <w:szCs w:val="22"/>
        </w:rPr>
      </w:pPr>
    </w:p>
    <w:p w14:paraId="748AA4C4" w14:textId="77777777" w:rsidR="00E03741" w:rsidRPr="00556170" w:rsidRDefault="00E03741" w:rsidP="00807772">
      <w:pPr>
        <w:pStyle w:val="Naslov4"/>
      </w:pPr>
      <w:r w:rsidRPr="00556170">
        <w:t>Table 3: Legal and Policy Framework Comparison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790"/>
        <w:gridCol w:w="1790"/>
        <w:gridCol w:w="1790"/>
        <w:gridCol w:w="1790"/>
      </w:tblGrid>
      <w:tr w:rsidR="00D854A0" w:rsidRPr="00D854A0" w14:paraId="35432C62" w14:textId="77777777" w:rsidTr="003B022E">
        <w:trPr>
          <w:tblHeader/>
        </w:trPr>
        <w:tc>
          <w:tcPr>
            <w:tcW w:w="220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05DFDF54" w14:textId="77777777" w:rsidR="00E03741" w:rsidRPr="00D854A0" w:rsidRDefault="00E03741" w:rsidP="00E73104">
            <w:pPr>
              <w:jc w:val="both"/>
              <w:rPr>
                <w:rFonts w:asciiTheme="minorHAnsi" w:hAnsiTheme="minorHAnsi" w:cstheme="minorHAnsi"/>
                <w:color w:val="FFFFFF" w:themeColor="background1"/>
                <w:sz w:val="22"/>
                <w:szCs w:val="22"/>
              </w:rPr>
            </w:pPr>
            <w:r w:rsidRPr="00D854A0">
              <w:rPr>
                <w:rFonts w:asciiTheme="minorHAnsi" w:hAnsiTheme="minorHAnsi" w:cstheme="minorHAnsi"/>
                <w:b/>
                <w:bCs/>
                <w:color w:val="FFFFFF" w:themeColor="background1"/>
                <w:sz w:val="22"/>
                <w:szCs w:val="22"/>
              </w:rPr>
              <w:t>Framework Element</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7887512F" w14:textId="77777777" w:rsidR="00E03741" w:rsidRPr="00D854A0" w:rsidRDefault="00E03741" w:rsidP="00E73104">
            <w:pPr>
              <w:jc w:val="both"/>
              <w:rPr>
                <w:rFonts w:asciiTheme="minorHAnsi" w:hAnsiTheme="minorHAnsi" w:cstheme="minorHAnsi"/>
                <w:color w:val="FFFFFF" w:themeColor="background1"/>
                <w:sz w:val="22"/>
                <w:szCs w:val="22"/>
              </w:rPr>
            </w:pPr>
            <w:r w:rsidRPr="00D854A0">
              <w:rPr>
                <w:rFonts w:asciiTheme="minorHAnsi" w:hAnsiTheme="minorHAnsi" w:cstheme="minorHAnsi"/>
                <w:b/>
                <w:bCs/>
                <w:color w:val="FFFFFF" w:themeColor="background1"/>
                <w:sz w:val="22"/>
                <w:szCs w:val="22"/>
              </w:rPr>
              <w:t>Albania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7A4276B3" w14:textId="77777777" w:rsidR="00E03741" w:rsidRPr="00D854A0" w:rsidRDefault="00E03741" w:rsidP="00E73104">
            <w:pPr>
              <w:jc w:val="both"/>
              <w:rPr>
                <w:rFonts w:asciiTheme="minorHAnsi" w:hAnsiTheme="minorHAnsi" w:cstheme="minorHAnsi"/>
                <w:color w:val="FFFFFF" w:themeColor="background1"/>
                <w:sz w:val="22"/>
                <w:szCs w:val="22"/>
              </w:rPr>
            </w:pPr>
            <w:r w:rsidRPr="00D854A0">
              <w:rPr>
                <w:rFonts w:asciiTheme="minorHAnsi" w:hAnsiTheme="minorHAnsi" w:cstheme="minorHAnsi"/>
                <w:b/>
                <w:bCs/>
                <w:color w:val="FFFFFF" w:themeColor="background1"/>
                <w:sz w:val="22"/>
                <w:szCs w:val="22"/>
              </w:rPr>
              <w:t>Bosnia &amp; Herz.</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62D0B054" w14:textId="77777777" w:rsidR="00E03741" w:rsidRPr="00D854A0" w:rsidRDefault="00E03741" w:rsidP="00E73104">
            <w:pPr>
              <w:jc w:val="both"/>
              <w:rPr>
                <w:rFonts w:asciiTheme="minorHAnsi" w:hAnsiTheme="minorHAnsi" w:cstheme="minorHAnsi"/>
                <w:color w:val="FFFFFF" w:themeColor="background1"/>
                <w:sz w:val="22"/>
                <w:szCs w:val="22"/>
              </w:rPr>
            </w:pPr>
            <w:r w:rsidRPr="00D854A0">
              <w:rPr>
                <w:rFonts w:asciiTheme="minorHAnsi" w:hAnsiTheme="minorHAnsi" w:cstheme="minorHAnsi"/>
                <w:b/>
                <w:bCs/>
                <w:color w:val="FFFFFF" w:themeColor="background1"/>
                <w:sz w:val="22"/>
                <w:szCs w:val="22"/>
              </w:rPr>
              <w:t>Croatia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7B0977BB" w14:textId="77777777" w:rsidR="00E03741" w:rsidRPr="00D854A0" w:rsidRDefault="00E03741" w:rsidP="00E73104">
            <w:pPr>
              <w:jc w:val="both"/>
              <w:rPr>
                <w:rFonts w:asciiTheme="minorHAnsi" w:hAnsiTheme="minorHAnsi" w:cstheme="minorHAnsi"/>
                <w:color w:val="FFFFFF" w:themeColor="background1"/>
                <w:sz w:val="22"/>
                <w:szCs w:val="22"/>
              </w:rPr>
            </w:pPr>
            <w:r w:rsidRPr="00D854A0">
              <w:rPr>
                <w:rFonts w:asciiTheme="minorHAnsi" w:hAnsiTheme="minorHAnsi" w:cstheme="minorHAnsi"/>
                <w:b/>
                <w:bCs/>
                <w:color w:val="FFFFFF" w:themeColor="background1"/>
                <w:sz w:val="22"/>
                <w:szCs w:val="22"/>
              </w:rPr>
              <w:t>Montenegro</w:t>
            </w:r>
          </w:p>
        </w:tc>
      </w:tr>
      <w:tr w:rsidR="00D854A0" w:rsidRPr="00D854A0" w14:paraId="29711019"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D0A715B" w14:textId="77777777" w:rsidR="00E03741" w:rsidRPr="0096609F" w:rsidRDefault="00E03741" w:rsidP="00E73104">
            <w:pPr>
              <w:jc w:val="both"/>
              <w:rPr>
                <w:rFonts w:asciiTheme="minorHAnsi" w:hAnsiTheme="minorHAnsi" w:cstheme="minorHAnsi"/>
                <w:b/>
                <w:bCs/>
                <w:color w:val="auto"/>
                <w:sz w:val="22"/>
                <w:szCs w:val="22"/>
              </w:rPr>
            </w:pPr>
            <w:r w:rsidRPr="0096609F">
              <w:rPr>
                <w:rFonts w:asciiTheme="minorHAnsi" w:hAnsiTheme="minorHAnsi" w:cstheme="minorHAnsi"/>
                <w:b/>
                <w:bCs/>
                <w:color w:val="auto"/>
                <w:sz w:val="22"/>
                <w:szCs w:val="22"/>
              </w:rPr>
              <w:t>CEDAW Ratification</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4ABB462"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1994</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A33E50D"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Yes (2001)</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3E6E836"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Yes (1992)</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C6713D7"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Yes (2006)</w:t>
            </w:r>
          </w:p>
        </w:tc>
      </w:tr>
      <w:tr w:rsidR="00D854A0" w:rsidRPr="00D854A0" w14:paraId="467E8803"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183659F" w14:textId="77777777" w:rsidR="00E03741" w:rsidRPr="0096609F" w:rsidRDefault="00E03741" w:rsidP="00E73104">
            <w:pPr>
              <w:jc w:val="both"/>
              <w:rPr>
                <w:rFonts w:asciiTheme="minorHAnsi" w:hAnsiTheme="minorHAnsi" w:cstheme="minorHAnsi"/>
                <w:b/>
                <w:bCs/>
                <w:color w:val="auto"/>
                <w:sz w:val="22"/>
                <w:szCs w:val="22"/>
              </w:rPr>
            </w:pPr>
            <w:r w:rsidRPr="0096609F">
              <w:rPr>
                <w:rFonts w:asciiTheme="minorHAnsi" w:hAnsiTheme="minorHAnsi" w:cstheme="minorHAnsi"/>
                <w:b/>
                <w:bCs/>
                <w:color w:val="auto"/>
                <w:sz w:val="22"/>
                <w:szCs w:val="22"/>
              </w:rPr>
              <w:t>Primary Gender Law</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8DE7D18"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Law on Gender Equality (2008)</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A71F721"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Law on Gender Equality (2003)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1229F08"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Gender Equality Act (2008/2017)</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83BBAEB"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Law on Gender Equality (2007)</w:t>
            </w:r>
          </w:p>
        </w:tc>
      </w:tr>
      <w:tr w:rsidR="00D854A0" w:rsidRPr="00D854A0" w14:paraId="460700DB"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F34AF3B" w14:textId="77777777" w:rsidR="00E03741" w:rsidRPr="0096609F" w:rsidRDefault="00E03741" w:rsidP="00E73104">
            <w:pPr>
              <w:jc w:val="both"/>
              <w:rPr>
                <w:rFonts w:asciiTheme="minorHAnsi" w:hAnsiTheme="minorHAnsi" w:cstheme="minorHAnsi"/>
                <w:b/>
                <w:bCs/>
                <w:color w:val="auto"/>
                <w:sz w:val="22"/>
                <w:szCs w:val="22"/>
              </w:rPr>
            </w:pPr>
            <w:r w:rsidRPr="0096609F">
              <w:rPr>
                <w:rFonts w:asciiTheme="minorHAnsi" w:hAnsiTheme="minorHAnsi" w:cstheme="minorHAnsi"/>
                <w:b/>
                <w:bCs/>
                <w:color w:val="auto"/>
                <w:sz w:val="22"/>
                <w:szCs w:val="22"/>
              </w:rPr>
              <w:t>Gender Quota</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33369F7"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30% mandate</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674E234"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40% quota (not achieved)</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D16A494" w14:textId="68088E3E" w:rsidR="00E03741" w:rsidRPr="00D854A0" w:rsidRDefault="00AA78AC" w:rsidP="00E73104">
            <w:pPr>
              <w:jc w:val="both"/>
              <w:rPr>
                <w:rFonts w:asciiTheme="minorHAnsi" w:hAnsiTheme="minorHAnsi" w:cstheme="minorHAnsi"/>
                <w:color w:val="auto"/>
                <w:sz w:val="22"/>
                <w:szCs w:val="22"/>
              </w:rPr>
            </w:pPr>
            <w:r>
              <w:rPr>
                <w:rFonts w:asciiTheme="minorHAnsi" w:hAnsiTheme="minorHAnsi" w:cstheme="minorHAnsi"/>
                <w:color w:val="auto"/>
                <w:sz w:val="22"/>
                <w:szCs w:val="22"/>
              </w:rPr>
              <w:t>40% electoral quota</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8B4AABD"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30% electoral quota</w:t>
            </w:r>
          </w:p>
        </w:tc>
      </w:tr>
      <w:tr w:rsidR="00D854A0" w:rsidRPr="00D854A0" w14:paraId="57A438A9"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5B8B67D" w14:textId="77777777" w:rsidR="00E03741" w:rsidRPr="0096609F" w:rsidRDefault="00E03741" w:rsidP="00E73104">
            <w:pPr>
              <w:jc w:val="both"/>
              <w:rPr>
                <w:rFonts w:asciiTheme="minorHAnsi" w:hAnsiTheme="minorHAnsi" w:cstheme="minorHAnsi"/>
                <w:b/>
                <w:bCs/>
                <w:color w:val="auto"/>
                <w:sz w:val="22"/>
                <w:szCs w:val="22"/>
              </w:rPr>
            </w:pPr>
            <w:r w:rsidRPr="0096609F">
              <w:rPr>
                <w:rFonts w:asciiTheme="minorHAnsi" w:hAnsiTheme="minorHAnsi" w:cstheme="minorHAnsi"/>
                <w:b/>
                <w:bCs/>
                <w:color w:val="auto"/>
                <w:sz w:val="22"/>
                <w:szCs w:val="22"/>
              </w:rPr>
              <w:t>National Strategy</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A3DA696"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NSGE 2021–2030</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A2CA5C7"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Gender Action Plan</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DE0A299"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National Policy on Gender Equality</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DCAC996"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Strategy 2025–2029</w:t>
            </w:r>
          </w:p>
        </w:tc>
      </w:tr>
      <w:tr w:rsidR="00D854A0" w:rsidRPr="00D854A0" w14:paraId="49496E13"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21E9BF0" w14:textId="77777777" w:rsidR="00E03741" w:rsidRPr="0096609F" w:rsidRDefault="00E03741" w:rsidP="00E73104">
            <w:pPr>
              <w:jc w:val="both"/>
              <w:rPr>
                <w:rFonts w:asciiTheme="minorHAnsi" w:hAnsiTheme="minorHAnsi" w:cstheme="minorHAnsi"/>
                <w:b/>
                <w:bCs/>
                <w:color w:val="auto"/>
                <w:sz w:val="22"/>
                <w:szCs w:val="22"/>
              </w:rPr>
            </w:pPr>
            <w:r w:rsidRPr="0096609F">
              <w:rPr>
                <w:rFonts w:asciiTheme="minorHAnsi" w:hAnsiTheme="minorHAnsi" w:cstheme="minorHAnsi"/>
                <w:b/>
                <w:bCs/>
                <w:color w:val="auto"/>
                <w:sz w:val="22"/>
                <w:szCs w:val="22"/>
              </w:rPr>
              <w:t>Gender Budgeting</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B511948"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Limited (INSTAT/MoF)</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143C9DA"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FIGAP (partial)</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0A3A336"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Not mandated (EIGE, 2024)</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0B92190"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Limited</w:t>
            </w:r>
          </w:p>
        </w:tc>
      </w:tr>
      <w:tr w:rsidR="00D854A0" w:rsidRPr="00D854A0" w14:paraId="7A7A7513"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110A3CC" w14:textId="77777777" w:rsidR="00E03741" w:rsidRPr="0096609F" w:rsidRDefault="00E03741" w:rsidP="00E73104">
            <w:pPr>
              <w:jc w:val="both"/>
              <w:rPr>
                <w:rFonts w:asciiTheme="minorHAnsi" w:hAnsiTheme="minorHAnsi" w:cstheme="minorHAnsi"/>
                <w:b/>
                <w:bCs/>
                <w:color w:val="auto"/>
                <w:sz w:val="22"/>
                <w:szCs w:val="22"/>
              </w:rPr>
            </w:pPr>
            <w:r w:rsidRPr="0096609F">
              <w:rPr>
                <w:rFonts w:asciiTheme="minorHAnsi" w:hAnsiTheme="minorHAnsi" w:cstheme="minorHAnsi"/>
                <w:b/>
                <w:bCs/>
                <w:color w:val="auto"/>
                <w:sz w:val="22"/>
                <w:szCs w:val="22"/>
              </w:rPr>
              <w:lastRenderedPageBreak/>
              <w:t>Enforcement Mechanism</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6689B3C"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Weak (EC, 2025)</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6180345"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Weak (OHCHR,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24249EE"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No sanctions (US Dept. of State, 2023)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41AFD76" w14:textId="77777777"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Weak (CEDAW, 2024)</w:t>
            </w:r>
          </w:p>
        </w:tc>
      </w:tr>
    </w:tbl>
    <w:p w14:paraId="0281AD81" w14:textId="77777777" w:rsidR="00D854A0" w:rsidRDefault="00D854A0" w:rsidP="00D854A0"/>
    <w:p w14:paraId="46EA589B" w14:textId="745FCFAF" w:rsidR="00E03741" w:rsidRPr="00556170" w:rsidRDefault="00E03741" w:rsidP="00E73104">
      <w:pPr>
        <w:pStyle w:val="Naslov2"/>
        <w:spacing w:before="0" w:after="0"/>
        <w:jc w:val="both"/>
        <w:rPr>
          <w:rFonts w:asciiTheme="minorHAnsi" w:hAnsiTheme="minorHAnsi" w:cstheme="minorHAnsi"/>
          <w:sz w:val="22"/>
          <w:szCs w:val="22"/>
        </w:rPr>
      </w:pPr>
      <w:bookmarkStart w:id="18" w:name="_Toc224128601"/>
      <w:r w:rsidRPr="00556170">
        <w:rPr>
          <w:rFonts w:asciiTheme="minorHAnsi" w:eastAsia="Arial" w:hAnsiTheme="minorHAnsi" w:cstheme="minorHAnsi"/>
          <w:b/>
          <w:bCs/>
          <w:color w:val="2E75B6"/>
          <w:sz w:val="22"/>
          <w:szCs w:val="22"/>
        </w:rPr>
        <w:t>3.2.1 Analysis of Legal Frameworks</w:t>
      </w:r>
      <w:bookmarkEnd w:id="18"/>
    </w:p>
    <w:p w14:paraId="27561225" w14:textId="3BC5315E" w:rsidR="00E03741"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The comparative analysis reveals a consistent regional pattern</w:t>
      </w:r>
      <w:r w:rsidR="00484AD3">
        <w:rPr>
          <w:rFonts w:asciiTheme="minorHAnsi" w:hAnsiTheme="minorHAnsi" w:cstheme="minorHAnsi"/>
          <w:color w:val="auto"/>
          <w:sz w:val="22"/>
          <w:szCs w:val="22"/>
        </w:rPr>
        <w:t xml:space="preserve">, </w:t>
      </w:r>
      <w:r w:rsidRPr="00D854A0">
        <w:rPr>
          <w:rFonts w:asciiTheme="minorHAnsi" w:hAnsiTheme="minorHAnsi" w:cstheme="minorHAnsi"/>
          <w:color w:val="auto"/>
          <w:sz w:val="22"/>
          <w:szCs w:val="22"/>
        </w:rPr>
        <w:t>strong de jure frameworks coexist with weak de facto implementation. De jure refers to what exists in law</w:t>
      </w:r>
      <w:r w:rsidR="00D854A0" w:rsidRPr="00D854A0">
        <w:rPr>
          <w:rFonts w:asciiTheme="minorHAnsi" w:hAnsiTheme="minorHAnsi" w:cstheme="minorHAnsi"/>
          <w:color w:val="auto"/>
          <w:sz w:val="22"/>
          <w:szCs w:val="22"/>
        </w:rPr>
        <w:t xml:space="preserve"> </w:t>
      </w:r>
      <w:r w:rsidRPr="00D854A0">
        <w:rPr>
          <w:rFonts w:asciiTheme="minorHAnsi" w:hAnsiTheme="minorHAnsi" w:cstheme="minorHAnsi"/>
          <w:color w:val="auto"/>
          <w:sz w:val="22"/>
          <w:szCs w:val="22"/>
        </w:rPr>
        <w:t>the formal legislative commitments, constitutional provisions, and ratified international conventions. De facto refers to what happens in practice whether those legal commitments are enforced, resourced, and translated into measurable outcomes for women and men. Across all four DIKTAS II countries, the gap between these two dimensions is the defining structural characteristic of gender equality governance. All four countries have enacted comprehensive gender equality legislation and developed national strategies, yet enforcement mechanisms remain inadequate across the region. Croatia explicitly lacks sanctions for non-compliance with gender mainstreaming requirements (U.S. Department of State, 2023), while Montenegro reports that only 26.8% of public policies address gender equality despite legal mandates requiring such consideration (Law on Gender Equality Montenegro, 2007; CEDAW Concluding Observations Montenegro, 2024).</w:t>
      </w:r>
    </w:p>
    <w:p w14:paraId="6824CD29" w14:textId="77777777" w:rsidR="00484AD3" w:rsidRPr="00D854A0" w:rsidRDefault="00484AD3" w:rsidP="00E73104">
      <w:pPr>
        <w:jc w:val="both"/>
        <w:rPr>
          <w:rFonts w:asciiTheme="minorHAnsi" w:hAnsiTheme="minorHAnsi" w:cstheme="minorHAnsi"/>
          <w:color w:val="auto"/>
          <w:sz w:val="22"/>
          <w:szCs w:val="22"/>
        </w:rPr>
      </w:pPr>
    </w:p>
    <w:p w14:paraId="2C02D522" w14:textId="319B8844" w:rsidR="00E03741"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The de jure–de facto gap manifests differently in each country but follows a common pattern. In Albania, the Law on Gender Equality (2008) establishes a 30% minimum gender representation principle for public bodies, but the absence of independent monitoring and sanction mechanisms means that non-compliant institutions face no meaningful accountability (European Commission, 2025). The National Strategy for Gender Equality 2021–2030 sets out ambitious targets, but budget allocations for implementation remain insufficient relative to the scale of change required. In Croatia, the Gender Equality Act (2008, amended 2017) mandates gender mainstreaming across all public bodies, including water management institutions, but the Act explicitly contains no sanctions for non-</w:t>
      </w:r>
      <w:r w:rsidR="004C05C4" w:rsidRPr="00D854A0">
        <w:rPr>
          <w:rFonts w:asciiTheme="minorHAnsi" w:hAnsiTheme="minorHAnsi" w:cstheme="minorHAnsi"/>
          <w:color w:val="auto"/>
          <w:sz w:val="22"/>
          <w:szCs w:val="22"/>
        </w:rPr>
        <w:t xml:space="preserve">compliance </w:t>
      </w:r>
      <w:r w:rsidR="004C05C4" w:rsidRPr="00653049">
        <w:rPr>
          <w:rFonts w:asciiTheme="minorHAnsi" w:hAnsiTheme="minorHAnsi" w:cstheme="minorHAnsi"/>
          <w:color w:val="auto"/>
          <w:sz w:val="22"/>
          <w:szCs w:val="22"/>
        </w:rPr>
        <w:t>(</w:t>
      </w:r>
      <w:r w:rsidRPr="00653049">
        <w:rPr>
          <w:rFonts w:asciiTheme="minorHAnsi" w:hAnsiTheme="minorHAnsi" w:cstheme="minorHAnsi"/>
          <w:color w:val="auto"/>
          <w:sz w:val="22"/>
          <w:szCs w:val="22"/>
        </w:rPr>
        <w:t>U.S. Department of State, 2023). This renders the Act essentially aspirational in the absence of dedicated enforcement capacity and political will.</w:t>
      </w:r>
    </w:p>
    <w:p w14:paraId="26A7F178" w14:textId="77777777" w:rsidR="00484AD3" w:rsidRPr="00D854A0" w:rsidRDefault="00484AD3" w:rsidP="00E73104">
      <w:pPr>
        <w:jc w:val="both"/>
        <w:rPr>
          <w:rFonts w:asciiTheme="minorHAnsi" w:hAnsiTheme="minorHAnsi" w:cstheme="minorHAnsi"/>
          <w:color w:val="auto"/>
          <w:sz w:val="22"/>
          <w:szCs w:val="22"/>
        </w:rPr>
      </w:pPr>
    </w:p>
    <w:p w14:paraId="03B73BF8" w14:textId="13B9D5CA" w:rsidR="00E03741"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 xml:space="preserve">Bosnia and Herzegovina has established a 40% electoral gender quota, </w:t>
      </w:r>
      <w:r w:rsidR="004E4066">
        <w:rPr>
          <w:rFonts w:asciiTheme="minorHAnsi" w:hAnsiTheme="minorHAnsi" w:cstheme="minorHAnsi"/>
          <w:color w:val="auto"/>
          <w:sz w:val="22"/>
          <w:szCs w:val="22"/>
        </w:rPr>
        <w:t xml:space="preserve">along with Croatia, </w:t>
      </w:r>
      <w:r w:rsidRPr="00D854A0">
        <w:rPr>
          <w:rFonts w:asciiTheme="minorHAnsi" w:hAnsiTheme="minorHAnsi" w:cstheme="minorHAnsi"/>
          <w:color w:val="auto"/>
          <w:sz w:val="22"/>
          <w:szCs w:val="22"/>
        </w:rPr>
        <w:t>the highest in the region, yet actual parliamentary representation fell to just 19.1% (2024; Equal Future Eurasia) the lowest since 2010. Data indicate that male candidates enjoy approximately twice as much voter trust, regardless of the voter’s gender (Equal Future Eurasia, 2024). This pattern is partly explained by electoral system design: BiH’s complex proportional representation system allows political parties to control candidate list ordering, effectively enabling parties to satisfy the quota requirement on paper while placing female candidates in list positions that are unlikely to win seats. The CEDAW Committee has explicitly cited this structural loophole, alongside a general lack of political will, as key drivers of BiH’s persistently low female representation (OHCHR, 2024). This gap between quota requirements and actual outcomes exemplifies the broader implementation challenge.</w:t>
      </w:r>
    </w:p>
    <w:p w14:paraId="5133651F" w14:textId="77777777" w:rsidR="002F510B" w:rsidRPr="00D854A0" w:rsidRDefault="002F510B" w:rsidP="00E73104">
      <w:pPr>
        <w:jc w:val="both"/>
        <w:rPr>
          <w:rFonts w:asciiTheme="minorHAnsi" w:hAnsiTheme="minorHAnsi" w:cstheme="minorHAnsi"/>
          <w:color w:val="auto"/>
          <w:sz w:val="22"/>
          <w:szCs w:val="22"/>
        </w:rPr>
      </w:pPr>
    </w:p>
    <w:p w14:paraId="27843891" w14:textId="0CFA4C7C" w:rsidR="00E03741" w:rsidRPr="00D854A0" w:rsidRDefault="00E03741" w:rsidP="00E73104">
      <w:pPr>
        <w:jc w:val="both"/>
        <w:rPr>
          <w:rFonts w:asciiTheme="minorHAnsi" w:hAnsiTheme="minorHAnsi" w:cstheme="minorHAnsi"/>
          <w:color w:val="auto"/>
          <w:sz w:val="22"/>
          <w:szCs w:val="22"/>
        </w:rPr>
      </w:pPr>
      <w:r w:rsidRPr="00D854A0">
        <w:rPr>
          <w:rFonts w:asciiTheme="minorHAnsi" w:hAnsiTheme="minorHAnsi" w:cstheme="minorHAnsi"/>
          <w:color w:val="auto"/>
          <w:sz w:val="22"/>
          <w:szCs w:val="22"/>
        </w:rPr>
        <w:t xml:space="preserve">Gender-responsive budgeting (GRB) remains underdeveloped across the region. GRB is the practice of designing public budgets so that revenues and expenditures explicitly promote gender equality for example, by tracking how much is spent on </w:t>
      </w:r>
      <w:r w:rsidRPr="00A92C6D">
        <w:rPr>
          <w:rFonts w:asciiTheme="minorHAnsi" w:hAnsiTheme="minorHAnsi" w:cstheme="minorHAnsi"/>
          <w:color w:val="auto"/>
          <w:sz w:val="22"/>
          <w:szCs w:val="22"/>
          <w:lang w:val="en-GB"/>
        </w:rPr>
        <w:t>programmes</w:t>
      </w:r>
      <w:r w:rsidRPr="00D854A0">
        <w:rPr>
          <w:rFonts w:asciiTheme="minorHAnsi" w:hAnsiTheme="minorHAnsi" w:cstheme="minorHAnsi"/>
          <w:color w:val="auto"/>
          <w:sz w:val="22"/>
          <w:szCs w:val="22"/>
        </w:rPr>
        <w:t xml:space="preserve"> that specifically benefit women, or by assessing whether water infrastructure investments reduce women’s unpaid care burden. Without GRB, gender equality commitments in national strategies and legal frameworks lack the financial grounding needed for implementation. Bosnia and Herzegovina has made the most progress through its FIGAP </w:t>
      </w:r>
      <w:r w:rsidRPr="00A92C6D">
        <w:rPr>
          <w:rFonts w:asciiTheme="minorHAnsi" w:hAnsiTheme="minorHAnsi" w:cstheme="minorHAnsi"/>
          <w:color w:val="auto"/>
          <w:sz w:val="22"/>
          <w:szCs w:val="22"/>
          <w:lang w:val="en-GB"/>
        </w:rPr>
        <w:t>programme</w:t>
      </w:r>
      <w:r w:rsidRPr="00D854A0">
        <w:rPr>
          <w:rFonts w:asciiTheme="minorHAnsi" w:hAnsiTheme="minorHAnsi" w:cstheme="minorHAnsi"/>
          <w:color w:val="auto"/>
          <w:sz w:val="22"/>
          <w:szCs w:val="22"/>
        </w:rPr>
        <w:t xml:space="preserve"> a </w:t>
      </w:r>
      <w:r w:rsidRPr="00D854A0">
        <w:rPr>
          <w:rFonts w:asciiTheme="minorHAnsi" w:hAnsiTheme="minorHAnsi" w:cstheme="minorHAnsi"/>
          <w:color w:val="auto"/>
          <w:sz w:val="22"/>
          <w:szCs w:val="22"/>
        </w:rPr>
        <w:lastRenderedPageBreak/>
        <w:t xml:space="preserve">dedicated financial mechanism that channels funds toward implementation of the Gender Action Plan across government institutions, including water sector bodies though implementation remains inconsistent across entities. The absence of mandated gender budgeting in Croatia and limited application in Albania and Montenegro means that gender equality measures often function as unfunded mandates: legal obligations that institutions are expected to fulfil but for which no dedicated budget line exists. This is a critical structural barrier to progress and one of the most actionable areas for reform, since introducing GRB does not require new </w:t>
      </w:r>
      <w:proofErr w:type="gramStart"/>
      <w:r w:rsidRPr="00D854A0">
        <w:rPr>
          <w:rFonts w:asciiTheme="minorHAnsi" w:hAnsiTheme="minorHAnsi" w:cstheme="minorHAnsi"/>
          <w:color w:val="auto"/>
          <w:sz w:val="22"/>
          <w:szCs w:val="22"/>
        </w:rPr>
        <w:t>legislation</w:t>
      </w:r>
      <w:proofErr w:type="gramEnd"/>
      <w:r w:rsidRPr="00D854A0">
        <w:rPr>
          <w:rFonts w:asciiTheme="minorHAnsi" w:hAnsiTheme="minorHAnsi" w:cstheme="minorHAnsi"/>
          <w:color w:val="auto"/>
          <w:sz w:val="22"/>
          <w:szCs w:val="22"/>
        </w:rPr>
        <w:t xml:space="preserve"> only political commitment and technical capacity in budget ministries and line agencies.</w:t>
      </w:r>
    </w:p>
    <w:p w14:paraId="6F2D04CB" w14:textId="77777777" w:rsidR="00D854A0" w:rsidRDefault="00D854A0" w:rsidP="00E73104">
      <w:pPr>
        <w:pStyle w:val="Naslov2"/>
        <w:spacing w:before="0" w:after="0"/>
        <w:jc w:val="both"/>
        <w:rPr>
          <w:rFonts w:asciiTheme="minorHAnsi" w:eastAsia="Arial" w:hAnsiTheme="minorHAnsi" w:cstheme="minorHAnsi"/>
          <w:b/>
          <w:bCs/>
          <w:color w:val="2E75B6"/>
          <w:sz w:val="22"/>
          <w:szCs w:val="22"/>
        </w:rPr>
      </w:pPr>
    </w:p>
    <w:p w14:paraId="167AD13E" w14:textId="2D1DC460" w:rsidR="00E03741" w:rsidRPr="00556170" w:rsidRDefault="00E03741" w:rsidP="00E73104">
      <w:pPr>
        <w:pStyle w:val="Naslov2"/>
        <w:spacing w:before="0" w:after="0"/>
        <w:jc w:val="both"/>
        <w:rPr>
          <w:rFonts w:asciiTheme="minorHAnsi" w:hAnsiTheme="minorHAnsi" w:cstheme="minorHAnsi"/>
          <w:sz w:val="22"/>
          <w:szCs w:val="22"/>
        </w:rPr>
      </w:pPr>
      <w:bookmarkStart w:id="19" w:name="_Toc224128602"/>
      <w:r w:rsidRPr="00556170">
        <w:rPr>
          <w:rFonts w:asciiTheme="minorHAnsi" w:eastAsia="Arial" w:hAnsiTheme="minorHAnsi" w:cstheme="minorHAnsi"/>
          <w:b/>
          <w:bCs/>
          <w:color w:val="2E75B6"/>
          <w:sz w:val="22"/>
          <w:szCs w:val="22"/>
        </w:rPr>
        <w:t>3.3 Water Sector Management Structure</w:t>
      </w:r>
      <w:bookmarkEnd w:id="19"/>
    </w:p>
    <w:p w14:paraId="00BA04B4" w14:textId="20B771C7" w:rsidR="00E03741" w:rsidRPr="00484AD3" w:rsidRDefault="00E03741" w:rsidP="00E73104">
      <w:pPr>
        <w:jc w:val="both"/>
        <w:rPr>
          <w:rFonts w:asciiTheme="minorHAnsi" w:hAnsiTheme="minorHAnsi" w:cstheme="minorHAnsi"/>
          <w:color w:val="auto"/>
          <w:sz w:val="22"/>
          <w:szCs w:val="22"/>
        </w:rPr>
      </w:pPr>
      <w:r w:rsidRPr="00484AD3">
        <w:rPr>
          <w:rFonts w:asciiTheme="minorHAnsi" w:hAnsiTheme="minorHAnsi" w:cstheme="minorHAnsi"/>
          <w:color w:val="auto"/>
          <w:sz w:val="22"/>
          <w:szCs w:val="22"/>
        </w:rPr>
        <w:t xml:space="preserve">Water sector governance structures vary significantly across the four countries, ranging from Croatia’s relatively centralized model to the highly fragmented arrangements in Bosnia and Herzegovina. These structural differences have direct implications for the feasibility and effectiveness of gender mainstreaming within water governance. Understanding how each country’s water sector is </w:t>
      </w:r>
      <w:r w:rsidRPr="00A92C6D">
        <w:rPr>
          <w:rFonts w:asciiTheme="minorHAnsi" w:hAnsiTheme="minorHAnsi" w:cstheme="minorHAnsi"/>
          <w:color w:val="auto"/>
          <w:sz w:val="22"/>
          <w:szCs w:val="22"/>
          <w:lang w:val="en-GB"/>
        </w:rPr>
        <w:t>organised</w:t>
      </w:r>
      <w:r w:rsidRPr="00484AD3">
        <w:rPr>
          <w:rFonts w:asciiTheme="minorHAnsi" w:hAnsiTheme="minorHAnsi" w:cstheme="minorHAnsi"/>
          <w:color w:val="auto"/>
          <w:sz w:val="22"/>
          <w:szCs w:val="22"/>
        </w:rPr>
        <w:t xml:space="preserve"> is essential context for interpreting why gender mainstreaming progress differs so markedly across the region</w:t>
      </w:r>
      <w:r w:rsidR="00D854A0" w:rsidRPr="00484AD3">
        <w:rPr>
          <w:rFonts w:asciiTheme="minorHAnsi" w:hAnsiTheme="minorHAnsi" w:cstheme="minorHAnsi"/>
          <w:color w:val="auto"/>
          <w:sz w:val="22"/>
          <w:szCs w:val="22"/>
        </w:rPr>
        <w:t>,</w:t>
      </w:r>
      <w:r w:rsidRPr="00484AD3">
        <w:rPr>
          <w:rFonts w:asciiTheme="minorHAnsi" w:hAnsiTheme="minorHAnsi" w:cstheme="minorHAnsi"/>
          <w:color w:val="auto"/>
          <w:sz w:val="22"/>
          <w:szCs w:val="22"/>
        </w:rPr>
        <w:t xml:space="preserve"> in highly fragmented systems, a policy adopted at the national level may never reach the local utilities and river basin authorities where most day-to-day water decisions are </w:t>
      </w:r>
      <w:proofErr w:type="gramStart"/>
      <w:r w:rsidRPr="00484AD3">
        <w:rPr>
          <w:rFonts w:asciiTheme="minorHAnsi" w:hAnsiTheme="minorHAnsi" w:cstheme="minorHAnsi"/>
          <w:color w:val="auto"/>
          <w:sz w:val="22"/>
          <w:szCs w:val="22"/>
        </w:rPr>
        <w:t>actually made</w:t>
      </w:r>
      <w:proofErr w:type="gramEnd"/>
      <w:r w:rsidRPr="00484AD3">
        <w:rPr>
          <w:rFonts w:asciiTheme="minorHAnsi" w:hAnsiTheme="minorHAnsi" w:cstheme="minorHAnsi"/>
          <w:color w:val="auto"/>
          <w:sz w:val="22"/>
          <w:szCs w:val="22"/>
        </w:rPr>
        <w:t>.</w:t>
      </w:r>
    </w:p>
    <w:p w14:paraId="7B53244F" w14:textId="77777777" w:rsidR="00E03741" w:rsidRPr="00556170" w:rsidRDefault="00E03741" w:rsidP="00E73104">
      <w:pPr>
        <w:jc w:val="both"/>
        <w:rPr>
          <w:rFonts w:asciiTheme="minorHAnsi" w:hAnsiTheme="minorHAnsi" w:cstheme="minorHAnsi"/>
          <w:sz w:val="22"/>
          <w:szCs w:val="22"/>
        </w:rPr>
      </w:pPr>
    </w:p>
    <w:p w14:paraId="3FA4F05F" w14:textId="148299B7" w:rsidR="00E03741" w:rsidRPr="00556170" w:rsidRDefault="00E03741" w:rsidP="00E73104">
      <w:pPr>
        <w:pBdr>
          <w:left w:val="single" w:sz="14" w:space="8" w:color="1B5E20"/>
        </w:pBdr>
        <w:shd w:val="clear" w:color="auto" w:fill="E8F5E9"/>
        <w:ind w:left="400"/>
        <w:jc w:val="both"/>
        <w:rPr>
          <w:rFonts w:asciiTheme="minorHAnsi" w:hAnsiTheme="minorHAnsi" w:cstheme="minorHAnsi"/>
          <w:sz w:val="22"/>
          <w:szCs w:val="22"/>
        </w:rPr>
      </w:pPr>
      <w:r w:rsidRPr="00556170">
        <w:rPr>
          <w:rFonts w:asciiTheme="minorHAnsi" w:hAnsiTheme="minorHAnsi" w:cstheme="minorHAnsi"/>
          <w:b/>
          <w:bCs/>
          <w:color w:val="1B5E20"/>
          <w:sz w:val="22"/>
          <w:szCs w:val="22"/>
        </w:rPr>
        <w:t xml:space="preserve">Albania: </w:t>
      </w:r>
      <w:r w:rsidRPr="00656B21">
        <w:rPr>
          <w:rFonts w:asciiTheme="minorHAnsi" w:hAnsiTheme="minorHAnsi" w:cstheme="minorHAnsi"/>
          <w:color w:val="auto"/>
          <w:sz w:val="22"/>
          <w:szCs w:val="22"/>
        </w:rPr>
        <w:t xml:space="preserve">Water governance in Albania is overseen at the national level by the National Water Council, chaired by the Prime Minister and supported by two technical ministries: the Ministry of Agriculture, Rural Development and Water Administration (MARDWA), which is responsible for irrigation and rural water supply, and the Ministry of Infrastructure and Energy (MIE), which oversees urban water supply and sanitation. A Gender Equality Employee (GEE) from MARDWA sits on the Integrated Policy Management Group (IPMG) of the National Water Council, providing a formal entry point for gender considerations at the highest policy </w:t>
      </w:r>
      <w:proofErr w:type="gramStart"/>
      <w:r w:rsidRPr="00656B21">
        <w:rPr>
          <w:rFonts w:asciiTheme="minorHAnsi" w:hAnsiTheme="minorHAnsi" w:cstheme="minorHAnsi"/>
          <w:color w:val="auto"/>
          <w:sz w:val="22"/>
          <w:szCs w:val="22"/>
        </w:rPr>
        <w:t>level</w:t>
      </w:r>
      <w:proofErr w:type="gramEnd"/>
      <w:r w:rsidRPr="00656B21">
        <w:rPr>
          <w:rFonts w:asciiTheme="minorHAnsi" w:hAnsiTheme="minorHAnsi" w:cstheme="minorHAnsi"/>
          <w:color w:val="auto"/>
          <w:sz w:val="22"/>
          <w:szCs w:val="22"/>
        </w:rPr>
        <w:t xml:space="preserve"> a relatively advanced arrangement compared to the other three countries. In practice, however, Albania’s water sector remains fragmented at the service delivery level, with </w:t>
      </w:r>
      <w:proofErr w:type="gramStart"/>
      <w:r w:rsidRPr="00656B21">
        <w:rPr>
          <w:rFonts w:asciiTheme="minorHAnsi" w:hAnsiTheme="minorHAnsi" w:cstheme="minorHAnsi"/>
          <w:color w:val="auto"/>
          <w:sz w:val="22"/>
          <w:szCs w:val="22"/>
        </w:rPr>
        <w:t>a large number of</w:t>
      </w:r>
      <w:proofErr w:type="gramEnd"/>
      <w:r w:rsidRPr="00656B21">
        <w:rPr>
          <w:rFonts w:asciiTheme="minorHAnsi" w:hAnsiTheme="minorHAnsi" w:cstheme="minorHAnsi"/>
          <w:color w:val="auto"/>
          <w:sz w:val="22"/>
          <w:szCs w:val="22"/>
        </w:rPr>
        <w:t xml:space="preserve"> water and sewerage utilities operating at municipal level with varying technical and financial capacity. The 2025 European Commission Progress Report notes that alignment with the EU Water Framework Directive (WFD) remains incomplete, with delayed administrative reforms and weak inter-institutional coordination presenting ongoing challenges (European Commission, 2025). These operational gaps limit the reach of national-level gender policies into the utilities where most women water sector workers are employed.</w:t>
      </w:r>
    </w:p>
    <w:p w14:paraId="35A653B0" w14:textId="77777777" w:rsidR="00E03741" w:rsidRPr="00556170" w:rsidRDefault="00E03741" w:rsidP="00E73104">
      <w:pPr>
        <w:jc w:val="both"/>
        <w:rPr>
          <w:rFonts w:asciiTheme="minorHAnsi" w:hAnsiTheme="minorHAnsi" w:cstheme="minorHAnsi"/>
          <w:sz w:val="22"/>
          <w:szCs w:val="22"/>
        </w:rPr>
      </w:pPr>
    </w:p>
    <w:p w14:paraId="48E56559" w14:textId="396DB93E" w:rsidR="00E03741" w:rsidRPr="00556170" w:rsidRDefault="00E03741" w:rsidP="00E73104">
      <w:pPr>
        <w:pBdr>
          <w:left w:val="single" w:sz="14" w:space="8" w:color="B71C1C"/>
        </w:pBdr>
        <w:shd w:val="clear" w:color="auto" w:fill="FFEBEE"/>
        <w:ind w:left="400"/>
        <w:jc w:val="both"/>
        <w:rPr>
          <w:rFonts w:asciiTheme="minorHAnsi" w:hAnsiTheme="minorHAnsi" w:cstheme="minorHAnsi"/>
          <w:sz w:val="22"/>
          <w:szCs w:val="22"/>
        </w:rPr>
      </w:pPr>
      <w:r w:rsidRPr="00556170">
        <w:rPr>
          <w:rFonts w:asciiTheme="minorHAnsi" w:hAnsiTheme="minorHAnsi" w:cstheme="minorHAnsi"/>
          <w:b/>
          <w:bCs/>
          <w:color w:val="B71C1C"/>
          <w:sz w:val="22"/>
          <w:szCs w:val="22"/>
        </w:rPr>
        <w:t xml:space="preserve">Bosnia and Herzegovina: </w:t>
      </w:r>
      <w:r w:rsidRPr="00283A52">
        <w:rPr>
          <w:rFonts w:asciiTheme="minorHAnsi" w:hAnsiTheme="minorHAnsi" w:cstheme="minorHAnsi"/>
          <w:color w:val="auto"/>
          <w:sz w:val="22"/>
          <w:szCs w:val="22"/>
        </w:rPr>
        <w:t xml:space="preserve">Bosnia and Herzegovina has the most complex water governance structure among the four countries, directly reflecting its post-war constitutional architecture. Water management responsibilities are divided between the two entities the Federation of Bosnia and Herzegovina (FBiH) and </w:t>
      </w:r>
      <w:proofErr w:type="spellStart"/>
      <w:r w:rsidRPr="00283A52">
        <w:rPr>
          <w:rFonts w:asciiTheme="minorHAnsi" w:hAnsiTheme="minorHAnsi" w:cstheme="minorHAnsi"/>
          <w:color w:val="auto"/>
          <w:sz w:val="22"/>
          <w:szCs w:val="22"/>
        </w:rPr>
        <w:t>Republika</w:t>
      </w:r>
      <w:proofErr w:type="spellEnd"/>
      <w:r w:rsidRPr="00283A52">
        <w:rPr>
          <w:rFonts w:asciiTheme="minorHAnsi" w:hAnsiTheme="minorHAnsi" w:cstheme="minorHAnsi"/>
          <w:color w:val="auto"/>
          <w:sz w:val="22"/>
          <w:szCs w:val="22"/>
        </w:rPr>
        <w:t xml:space="preserve"> Srpska (RS) as well as the Brčko District, each with their own legislative frameworks, institutional arrangements, and budget lines. At the state level, the Ministry of Foreign Trade and Economic Relations is responsible for international water affairs, while the two entity-level water management agencies (for the Sava River basin and the Adriatic Sea basin) oversee resource management within their jurisdictions. Below this sit 142 local water utility companies of widely varying size and capacity. This extreme fragmentation  which the World Bank (2022) describes as among the most complex water sector governance arrangements in the Western Balkans creates major obstacles for any cross-cutting policy including gender mainstreaming</w:t>
      </w:r>
      <w:r w:rsidR="007C1402">
        <w:rPr>
          <w:rFonts w:asciiTheme="minorHAnsi" w:hAnsiTheme="minorHAnsi" w:cstheme="minorHAnsi"/>
          <w:color w:val="auto"/>
          <w:sz w:val="22"/>
          <w:szCs w:val="22"/>
        </w:rPr>
        <w:t>;</w:t>
      </w:r>
      <w:r w:rsidRPr="00283A52">
        <w:rPr>
          <w:rFonts w:asciiTheme="minorHAnsi" w:hAnsiTheme="minorHAnsi" w:cstheme="minorHAnsi"/>
          <w:color w:val="auto"/>
          <w:sz w:val="22"/>
          <w:szCs w:val="22"/>
        </w:rPr>
        <w:t xml:space="preserve"> a gender action plan adopted at the state level must be interpreted and implemented separately by two entity governments, a district, two river basin agencies, and 142 utilities, each with different institutional cultures, different data systems, and different levels of awareness of gender equality obligations.</w:t>
      </w:r>
    </w:p>
    <w:p w14:paraId="48A0AF73" w14:textId="0624E593" w:rsidR="00E03741" w:rsidRPr="002C78EF" w:rsidRDefault="00E03741" w:rsidP="00E73104">
      <w:pPr>
        <w:pBdr>
          <w:left w:val="single" w:sz="14" w:space="8" w:color="4A148C"/>
        </w:pBdr>
        <w:shd w:val="clear" w:color="auto" w:fill="F3E5F5"/>
        <w:ind w:left="400"/>
        <w:jc w:val="both"/>
        <w:rPr>
          <w:rFonts w:asciiTheme="minorHAnsi" w:hAnsiTheme="minorHAnsi" w:cstheme="minorHAnsi"/>
          <w:color w:val="auto"/>
          <w:sz w:val="22"/>
          <w:szCs w:val="22"/>
        </w:rPr>
      </w:pPr>
      <w:r w:rsidRPr="00556170">
        <w:rPr>
          <w:rFonts w:asciiTheme="minorHAnsi" w:hAnsiTheme="minorHAnsi" w:cstheme="minorHAnsi"/>
          <w:b/>
          <w:bCs/>
          <w:color w:val="4A148C"/>
          <w:sz w:val="22"/>
          <w:szCs w:val="22"/>
        </w:rPr>
        <w:lastRenderedPageBreak/>
        <w:t xml:space="preserve">Croatia: </w:t>
      </w:r>
      <w:r w:rsidRPr="002C78EF">
        <w:rPr>
          <w:rFonts w:asciiTheme="minorHAnsi" w:hAnsiTheme="minorHAnsi" w:cstheme="minorHAnsi"/>
          <w:color w:val="auto"/>
          <w:sz w:val="22"/>
          <w:szCs w:val="22"/>
        </w:rPr>
        <w:t>Croatia offers the most centralized and institutionally developed water governance model among the four countries. Croatian Waters (</w:t>
      </w:r>
      <w:proofErr w:type="spellStart"/>
      <w:r w:rsidRPr="002C78EF">
        <w:rPr>
          <w:rFonts w:asciiTheme="minorHAnsi" w:hAnsiTheme="minorHAnsi" w:cstheme="minorHAnsi"/>
          <w:color w:val="auto"/>
          <w:sz w:val="22"/>
          <w:szCs w:val="22"/>
        </w:rPr>
        <w:t>Hrvatske</w:t>
      </w:r>
      <w:proofErr w:type="spellEnd"/>
      <w:r w:rsidRPr="002C78EF">
        <w:rPr>
          <w:rFonts w:asciiTheme="minorHAnsi" w:hAnsiTheme="minorHAnsi" w:cstheme="minorHAnsi"/>
          <w:color w:val="auto"/>
          <w:sz w:val="22"/>
          <w:szCs w:val="22"/>
        </w:rPr>
        <w:t xml:space="preserve"> </w:t>
      </w:r>
      <w:proofErr w:type="spellStart"/>
      <w:r w:rsidRPr="002C78EF">
        <w:rPr>
          <w:rFonts w:asciiTheme="minorHAnsi" w:hAnsiTheme="minorHAnsi" w:cstheme="minorHAnsi"/>
          <w:color w:val="auto"/>
          <w:sz w:val="22"/>
          <w:szCs w:val="22"/>
        </w:rPr>
        <w:t>vode</w:t>
      </w:r>
      <w:proofErr w:type="spellEnd"/>
      <w:r w:rsidRPr="002C78EF">
        <w:rPr>
          <w:rFonts w:asciiTheme="minorHAnsi" w:hAnsiTheme="minorHAnsi" w:cstheme="minorHAnsi"/>
          <w:color w:val="auto"/>
          <w:sz w:val="22"/>
          <w:szCs w:val="22"/>
        </w:rPr>
        <w:t xml:space="preserve">), established as a legal entity under the Water Act (Official Gazette 66/19, 84/21, 47/23), </w:t>
      </w:r>
      <w:r w:rsidR="004E4066">
        <w:rPr>
          <w:rFonts w:asciiTheme="minorHAnsi" w:hAnsiTheme="minorHAnsi" w:cstheme="minorHAnsi"/>
          <w:color w:val="auto"/>
          <w:sz w:val="22"/>
          <w:szCs w:val="22"/>
        </w:rPr>
        <w:t xml:space="preserve">along with the Ministry </w:t>
      </w:r>
      <w:r w:rsidR="004E4066" w:rsidRPr="004E4066">
        <w:rPr>
          <w:rFonts w:asciiTheme="minorHAnsi" w:hAnsiTheme="minorHAnsi" w:cstheme="minorHAnsi"/>
          <w:color w:val="auto"/>
          <w:sz w:val="22"/>
          <w:szCs w:val="22"/>
        </w:rPr>
        <w:t>of Environmental Protection and Green Transition</w:t>
      </w:r>
      <w:r w:rsidR="00ED3FDB">
        <w:rPr>
          <w:rFonts w:asciiTheme="minorHAnsi" w:hAnsiTheme="minorHAnsi" w:cstheme="minorHAnsi"/>
          <w:color w:val="auto"/>
          <w:sz w:val="22"/>
          <w:szCs w:val="22"/>
        </w:rPr>
        <w:t>,</w:t>
      </w:r>
      <w:r w:rsidR="004E4066">
        <w:rPr>
          <w:rFonts w:asciiTheme="minorHAnsi" w:hAnsiTheme="minorHAnsi" w:cstheme="minorHAnsi"/>
          <w:color w:val="auto"/>
          <w:sz w:val="22"/>
          <w:szCs w:val="22"/>
        </w:rPr>
        <w:t xml:space="preserve"> </w:t>
      </w:r>
      <w:r w:rsidRPr="002C78EF">
        <w:rPr>
          <w:rFonts w:asciiTheme="minorHAnsi" w:hAnsiTheme="minorHAnsi" w:cstheme="minorHAnsi"/>
          <w:color w:val="auto"/>
          <w:sz w:val="22"/>
          <w:szCs w:val="22"/>
        </w:rPr>
        <w:t xml:space="preserve">is the single national authority responsible for water management, flood protection, and water infrastructure. With approximately 1,202 staff, it functions as both a regulatory and operational body, enabling consistent application of national-level policies including gender equality provisions across the entire water sector. Croatia’s full membership in the EU since 2013 requires compliance with the EU Water Framework Directive (WFD), which mandates integrated river basin management and public participation, including gender-inclusive consultation processes. The Croatian Waters Gender Equality Action Plan 2023–2026 is the most comprehensive sector-specific gender instrument among the four countries. The recent appointment of women to leadership positions at both the Ministry of Environmental Protection and Green Transition and </w:t>
      </w:r>
      <w:r w:rsidR="004E4066">
        <w:rPr>
          <w:rFonts w:asciiTheme="minorHAnsi" w:hAnsiTheme="minorHAnsi" w:cstheme="minorHAnsi"/>
          <w:color w:val="auto"/>
          <w:sz w:val="22"/>
          <w:szCs w:val="22"/>
        </w:rPr>
        <w:t xml:space="preserve">Management Board </w:t>
      </w:r>
      <w:r w:rsidRPr="002C78EF">
        <w:rPr>
          <w:rFonts w:asciiTheme="minorHAnsi" w:hAnsiTheme="minorHAnsi" w:cstheme="minorHAnsi"/>
          <w:color w:val="auto"/>
          <w:sz w:val="22"/>
          <w:szCs w:val="22"/>
        </w:rPr>
        <w:t>Croatian Waters (2025) demonstrates how centralized governance structures can facilitate gender-responsive change when political will exists.</w:t>
      </w:r>
    </w:p>
    <w:p w14:paraId="5777B3DB" w14:textId="77777777" w:rsidR="00E03741" w:rsidRPr="00556170" w:rsidRDefault="00E03741" w:rsidP="00E73104">
      <w:pPr>
        <w:jc w:val="both"/>
        <w:rPr>
          <w:rFonts w:asciiTheme="minorHAnsi" w:hAnsiTheme="minorHAnsi" w:cstheme="minorHAnsi"/>
          <w:sz w:val="22"/>
          <w:szCs w:val="22"/>
        </w:rPr>
      </w:pPr>
    </w:p>
    <w:p w14:paraId="263BB3AC" w14:textId="3C64F689" w:rsidR="00E03741" w:rsidRPr="00556170" w:rsidRDefault="00E03741" w:rsidP="00E73104">
      <w:pPr>
        <w:pBdr>
          <w:left w:val="single" w:sz="14" w:space="8" w:color="3E2723"/>
        </w:pBdr>
        <w:shd w:val="clear" w:color="auto" w:fill="EFEBE9"/>
        <w:ind w:left="400"/>
        <w:jc w:val="both"/>
        <w:rPr>
          <w:rFonts w:asciiTheme="minorHAnsi" w:hAnsiTheme="minorHAnsi" w:cstheme="minorHAnsi"/>
          <w:sz w:val="22"/>
          <w:szCs w:val="22"/>
        </w:rPr>
      </w:pPr>
      <w:r w:rsidRPr="00556170">
        <w:rPr>
          <w:rFonts w:asciiTheme="minorHAnsi" w:hAnsiTheme="minorHAnsi" w:cstheme="minorHAnsi"/>
          <w:b/>
          <w:bCs/>
          <w:color w:val="3E2723"/>
          <w:sz w:val="22"/>
          <w:szCs w:val="22"/>
        </w:rPr>
        <w:t xml:space="preserve">Montenegro: </w:t>
      </w:r>
      <w:r w:rsidRPr="00BA2565">
        <w:rPr>
          <w:rFonts w:asciiTheme="minorHAnsi" w:hAnsiTheme="minorHAnsi" w:cstheme="minorHAnsi"/>
          <w:color w:val="auto"/>
          <w:sz w:val="22"/>
          <w:szCs w:val="22"/>
        </w:rPr>
        <w:t>Montenegro’s water management responsibilities are distributed across three ministries</w:t>
      </w:r>
      <w:r w:rsidR="00F11358">
        <w:rPr>
          <w:rFonts w:asciiTheme="minorHAnsi" w:hAnsiTheme="minorHAnsi" w:cstheme="minorHAnsi"/>
          <w:color w:val="auto"/>
          <w:sz w:val="22"/>
          <w:szCs w:val="22"/>
        </w:rPr>
        <w:t xml:space="preserve">; </w:t>
      </w:r>
      <w:r w:rsidRPr="00BA2565">
        <w:rPr>
          <w:rFonts w:asciiTheme="minorHAnsi" w:hAnsiTheme="minorHAnsi" w:cstheme="minorHAnsi"/>
          <w:color w:val="auto"/>
          <w:sz w:val="22"/>
          <w:szCs w:val="22"/>
        </w:rPr>
        <w:t xml:space="preserve">the Ministry of Agriculture, Forestry and Water Management (rural water and irrigation); the Ministry of Ecology, Sustainable Development and Development of the North (environmental protection and water quality); and the Ministry of Health (drinking water standards). The Energy and Water Regulatory Agency (REGAGEN) </w:t>
      </w:r>
      <w:r w:rsidR="00BA2565" w:rsidRPr="00BA2565">
        <w:rPr>
          <w:rFonts w:asciiTheme="minorHAnsi" w:hAnsiTheme="minorHAnsi" w:cstheme="minorHAnsi"/>
          <w:color w:val="auto"/>
          <w:sz w:val="22"/>
          <w:szCs w:val="22"/>
        </w:rPr>
        <w:t>regulate</w:t>
      </w:r>
      <w:r w:rsidRPr="00BA2565">
        <w:rPr>
          <w:rFonts w:asciiTheme="minorHAnsi" w:hAnsiTheme="minorHAnsi" w:cstheme="minorHAnsi"/>
          <w:color w:val="auto"/>
          <w:sz w:val="22"/>
          <w:szCs w:val="22"/>
        </w:rPr>
        <w:t xml:space="preserve"> water services at the national level, while local governments manage utility services within their jurisdictions. This tri-ministerial fragmentation creates substantial coordination challenges for any cross-cutting policy including gender mainstreaming. In practice, it means there is no single institutional ‘home’ for gender equality in Montenegro’s water sector: the Ministry of Agriculture deals with irrigation (relevant to rural women’s economic participation), the Ministry of Ecology deals with water quality (relevant to women’s domestic water management), and the Ministry of Health deals with drinking water (relevant to women’s caregiving burdens) but no mechanism currently exists to coordinate gender mainstreaming across all three. Montenegro’s ongoing EU accession process is expected to drive consolidation and reform of this structure in the coming years (European Commission, 2025).</w:t>
      </w:r>
    </w:p>
    <w:p w14:paraId="5B68A287" w14:textId="77777777" w:rsidR="00E03741" w:rsidRPr="00556170" w:rsidRDefault="00E03741" w:rsidP="00E73104">
      <w:pPr>
        <w:jc w:val="both"/>
        <w:rPr>
          <w:rFonts w:asciiTheme="minorHAnsi" w:hAnsiTheme="minorHAnsi" w:cstheme="minorHAnsi"/>
          <w:sz w:val="22"/>
          <w:szCs w:val="22"/>
        </w:rPr>
      </w:pPr>
    </w:p>
    <w:p w14:paraId="582FF51A" w14:textId="77777777" w:rsidR="00E03741" w:rsidRPr="00556170" w:rsidRDefault="00E03741" w:rsidP="006D02DF">
      <w:pPr>
        <w:pStyle w:val="Naslov4"/>
      </w:pPr>
      <w:r w:rsidRPr="00556170">
        <w:t>Table 4: Water Sector Governance Structure Comparison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790"/>
        <w:gridCol w:w="1790"/>
        <w:gridCol w:w="1790"/>
        <w:gridCol w:w="1790"/>
      </w:tblGrid>
      <w:tr w:rsidR="00F02BC6" w:rsidRPr="00F02BC6" w14:paraId="55BD4923" w14:textId="77777777" w:rsidTr="003B022E">
        <w:trPr>
          <w:tblHeader/>
        </w:trPr>
        <w:tc>
          <w:tcPr>
            <w:tcW w:w="220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42DABB0A" w14:textId="77777777" w:rsidR="00E03741" w:rsidRPr="00F02BC6" w:rsidRDefault="00E03741" w:rsidP="00E73104">
            <w:pPr>
              <w:jc w:val="both"/>
              <w:rPr>
                <w:rFonts w:asciiTheme="minorHAnsi" w:hAnsiTheme="minorHAnsi" w:cstheme="minorHAnsi"/>
                <w:color w:val="FFFFFF" w:themeColor="background1"/>
                <w:sz w:val="22"/>
                <w:szCs w:val="22"/>
              </w:rPr>
            </w:pPr>
            <w:r w:rsidRPr="00F02BC6">
              <w:rPr>
                <w:rFonts w:asciiTheme="minorHAnsi" w:hAnsiTheme="minorHAnsi" w:cstheme="minorHAnsi"/>
                <w:b/>
                <w:bCs/>
                <w:color w:val="FFFFFF" w:themeColor="background1"/>
                <w:sz w:val="22"/>
                <w:szCs w:val="22"/>
              </w:rPr>
              <w:t>Aspect</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5C464B3E" w14:textId="77777777" w:rsidR="00E03741" w:rsidRPr="00F02BC6" w:rsidRDefault="00E03741" w:rsidP="00E73104">
            <w:pPr>
              <w:jc w:val="both"/>
              <w:rPr>
                <w:rFonts w:asciiTheme="minorHAnsi" w:hAnsiTheme="minorHAnsi" w:cstheme="minorHAnsi"/>
                <w:color w:val="FFFFFF" w:themeColor="background1"/>
                <w:sz w:val="22"/>
                <w:szCs w:val="22"/>
              </w:rPr>
            </w:pPr>
            <w:r w:rsidRPr="00F02BC6">
              <w:rPr>
                <w:rFonts w:asciiTheme="minorHAnsi" w:hAnsiTheme="minorHAnsi" w:cstheme="minorHAnsi"/>
                <w:b/>
                <w:bCs/>
                <w:color w:val="FFFFFF" w:themeColor="background1"/>
                <w:sz w:val="22"/>
                <w:szCs w:val="22"/>
              </w:rPr>
              <w:t>Albania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0FC176D9" w14:textId="77777777" w:rsidR="00E03741" w:rsidRPr="00F02BC6" w:rsidRDefault="00E03741" w:rsidP="00E73104">
            <w:pPr>
              <w:jc w:val="both"/>
              <w:rPr>
                <w:rFonts w:asciiTheme="minorHAnsi" w:hAnsiTheme="minorHAnsi" w:cstheme="minorHAnsi"/>
                <w:color w:val="FFFFFF" w:themeColor="background1"/>
                <w:sz w:val="22"/>
                <w:szCs w:val="22"/>
              </w:rPr>
            </w:pPr>
            <w:r w:rsidRPr="00F02BC6">
              <w:rPr>
                <w:rFonts w:asciiTheme="minorHAnsi" w:hAnsiTheme="minorHAnsi" w:cstheme="minorHAnsi"/>
                <w:b/>
                <w:bCs/>
                <w:color w:val="FFFFFF" w:themeColor="background1"/>
                <w:sz w:val="22"/>
                <w:szCs w:val="22"/>
              </w:rPr>
              <w:t>Bosnia &amp; Herz.</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0BF916D6" w14:textId="77777777" w:rsidR="00E03741" w:rsidRPr="00F02BC6" w:rsidRDefault="00E03741" w:rsidP="00E73104">
            <w:pPr>
              <w:jc w:val="both"/>
              <w:rPr>
                <w:rFonts w:asciiTheme="minorHAnsi" w:hAnsiTheme="minorHAnsi" w:cstheme="minorHAnsi"/>
                <w:color w:val="FFFFFF" w:themeColor="background1"/>
                <w:sz w:val="22"/>
                <w:szCs w:val="22"/>
              </w:rPr>
            </w:pPr>
            <w:r w:rsidRPr="00F02BC6">
              <w:rPr>
                <w:rFonts w:asciiTheme="minorHAnsi" w:hAnsiTheme="minorHAnsi" w:cstheme="minorHAnsi"/>
                <w:b/>
                <w:bCs/>
                <w:color w:val="FFFFFF" w:themeColor="background1"/>
                <w:sz w:val="22"/>
                <w:szCs w:val="22"/>
              </w:rPr>
              <w:t>Croatia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6DEDC577" w14:textId="77777777" w:rsidR="00E03741" w:rsidRPr="00F02BC6" w:rsidRDefault="00E03741" w:rsidP="00E73104">
            <w:pPr>
              <w:jc w:val="both"/>
              <w:rPr>
                <w:rFonts w:asciiTheme="minorHAnsi" w:hAnsiTheme="minorHAnsi" w:cstheme="minorHAnsi"/>
                <w:color w:val="FFFFFF" w:themeColor="background1"/>
                <w:sz w:val="22"/>
                <w:szCs w:val="22"/>
              </w:rPr>
            </w:pPr>
            <w:r w:rsidRPr="00F02BC6">
              <w:rPr>
                <w:rFonts w:asciiTheme="minorHAnsi" w:hAnsiTheme="minorHAnsi" w:cstheme="minorHAnsi"/>
                <w:b/>
                <w:bCs/>
                <w:color w:val="FFFFFF" w:themeColor="background1"/>
                <w:sz w:val="22"/>
                <w:szCs w:val="22"/>
              </w:rPr>
              <w:t>Montenegro</w:t>
            </w:r>
          </w:p>
        </w:tc>
      </w:tr>
      <w:tr w:rsidR="00F02BC6" w:rsidRPr="00F02BC6" w14:paraId="1D85BCB2"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9AB9490" w14:textId="77777777" w:rsidR="00E03741" w:rsidRPr="008F1FF9" w:rsidRDefault="00E03741" w:rsidP="00E73104">
            <w:pPr>
              <w:jc w:val="both"/>
              <w:rPr>
                <w:rFonts w:asciiTheme="minorHAnsi" w:hAnsiTheme="minorHAnsi" w:cstheme="minorHAnsi"/>
                <w:b/>
                <w:bCs/>
                <w:color w:val="auto"/>
                <w:sz w:val="22"/>
                <w:szCs w:val="22"/>
              </w:rPr>
            </w:pPr>
            <w:r w:rsidRPr="008F1FF9">
              <w:rPr>
                <w:rFonts w:asciiTheme="minorHAnsi" w:hAnsiTheme="minorHAnsi" w:cstheme="minorHAnsi"/>
                <w:b/>
                <w:bCs/>
                <w:color w:val="auto"/>
                <w:sz w:val="22"/>
                <w:szCs w:val="22"/>
              </w:rPr>
              <w:t>Primary Authority</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66F31C7"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National Water Council; MARDWA; MIE</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2D5747D"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Entity-level management (FBiH/RS)</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1E2A70B" w14:textId="77777777" w:rsidR="00E03741" w:rsidRPr="00F02BC6" w:rsidRDefault="00E03741" w:rsidP="00E73104">
            <w:pPr>
              <w:jc w:val="both"/>
              <w:rPr>
                <w:rFonts w:asciiTheme="minorHAnsi" w:hAnsiTheme="minorHAnsi" w:cstheme="minorHAnsi"/>
                <w:color w:val="auto"/>
                <w:sz w:val="22"/>
                <w:szCs w:val="22"/>
              </w:rPr>
            </w:pPr>
            <w:proofErr w:type="spellStart"/>
            <w:r w:rsidRPr="00F02BC6">
              <w:rPr>
                <w:rFonts w:asciiTheme="minorHAnsi" w:hAnsiTheme="minorHAnsi" w:cstheme="minorHAnsi"/>
                <w:color w:val="auto"/>
                <w:sz w:val="22"/>
                <w:szCs w:val="22"/>
              </w:rPr>
              <w:t>Hrvatske</w:t>
            </w:r>
            <w:proofErr w:type="spellEnd"/>
            <w:r w:rsidRPr="00F02BC6">
              <w:rPr>
                <w:rFonts w:asciiTheme="minorHAnsi" w:hAnsiTheme="minorHAnsi" w:cstheme="minorHAnsi"/>
                <w:color w:val="auto"/>
                <w:sz w:val="22"/>
                <w:szCs w:val="22"/>
              </w:rPr>
              <w:t xml:space="preserve"> </w:t>
            </w:r>
            <w:proofErr w:type="spellStart"/>
            <w:r w:rsidRPr="00F02BC6">
              <w:rPr>
                <w:rFonts w:asciiTheme="minorHAnsi" w:hAnsiTheme="minorHAnsi" w:cstheme="minorHAnsi"/>
                <w:color w:val="auto"/>
                <w:sz w:val="22"/>
                <w:szCs w:val="22"/>
              </w:rPr>
              <w:t>vode</w:t>
            </w:r>
            <w:proofErr w:type="spellEnd"/>
            <w:r w:rsidRPr="00F02BC6">
              <w:rPr>
                <w:rFonts w:asciiTheme="minorHAnsi" w:hAnsiTheme="minorHAnsi" w:cstheme="minorHAnsi"/>
                <w:color w:val="auto"/>
                <w:sz w:val="22"/>
                <w:szCs w:val="22"/>
              </w:rPr>
              <w:t xml:space="preserve"> (Croatian Waters)</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F2F1D5A"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Multiple ministries + REGAGEN</w:t>
            </w:r>
          </w:p>
        </w:tc>
      </w:tr>
      <w:tr w:rsidR="00F02BC6" w:rsidRPr="00F02BC6" w14:paraId="13290BF9"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EA4B894" w14:textId="77777777" w:rsidR="00E03741" w:rsidRPr="008F1FF9" w:rsidRDefault="00E03741" w:rsidP="00E73104">
            <w:pPr>
              <w:jc w:val="both"/>
              <w:rPr>
                <w:rFonts w:asciiTheme="minorHAnsi" w:hAnsiTheme="minorHAnsi" w:cstheme="minorHAnsi"/>
                <w:b/>
                <w:bCs/>
                <w:color w:val="auto"/>
                <w:sz w:val="22"/>
                <w:szCs w:val="22"/>
              </w:rPr>
            </w:pPr>
            <w:r w:rsidRPr="008F1FF9">
              <w:rPr>
                <w:rFonts w:asciiTheme="minorHAnsi" w:hAnsiTheme="minorHAnsi" w:cstheme="minorHAnsi"/>
                <w:b/>
                <w:bCs/>
                <w:color w:val="auto"/>
                <w:sz w:val="22"/>
                <w:szCs w:val="22"/>
              </w:rPr>
              <w:t>No. of Key Institutions</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049DD49"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2 ministries + National Water Council</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CBAF2FE"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2 entities + Brčko + 2 basin agencies + 142 utilities</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B08B9F7" w14:textId="31AC1BE6"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1</w:t>
            </w:r>
            <w:r w:rsidR="00ED3FDB">
              <w:rPr>
                <w:rFonts w:asciiTheme="minorHAnsi" w:hAnsiTheme="minorHAnsi" w:cstheme="minorHAnsi"/>
                <w:color w:val="auto"/>
                <w:sz w:val="22"/>
                <w:szCs w:val="22"/>
              </w:rPr>
              <w:t xml:space="preserve"> Ministry + 1</w:t>
            </w:r>
            <w:r w:rsidRPr="00F02BC6">
              <w:rPr>
                <w:rFonts w:asciiTheme="minorHAnsi" w:hAnsiTheme="minorHAnsi" w:cstheme="minorHAnsi"/>
                <w:color w:val="auto"/>
                <w:sz w:val="22"/>
                <w:szCs w:val="22"/>
              </w:rPr>
              <w:t xml:space="preserve"> central authority (Croatian Waters)</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8D309BB"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3 ministries + REGAGEN + local govts</w:t>
            </w:r>
          </w:p>
        </w:tc>
      </w:tr>
      <w:tr w:rsidR="00F02BC6" w:rsidRPr="00F02BC6" w14:paraId="26087659"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8BD1C69" w14:textId="77777777" w:rsidR="00E03741" w:rsidRPr="008F1FF9" w:rsidRDefault="00E03741" w:rsidP="00E73104">
            <w:pPr>
              <w:jc w:val="both"/>
              <w:rPr>
                <w:rFonts w:asciiTheme="minorHAnsi" w:hAnsiTheme="minorHAnsi" w:cstheme="minorHAnsi"/>
                <w:b/>
                <w:bCs/>
                <w:color w:val="auto"/>
                <w:sz w:val="22"/>
                <w:szCs w:val="22"/>
              </w:rPr>
            </w:pPr>
            <w:r w:rsidRPr="008F1FF9">
              <w:rPr>
                <w:rFonts w:asciiTheme="minorHAnsi" w:hAnsiTheme="minorHAnsi" w:cstheme="minorHAnsi"/>
                <w:b/>
                <w:bCs/>
                <w:color w:val="auto"/>
                <w:sz w:val="22"/>
                <w:szCs w:val="22"/>
              </w:rPr>
              <w:t>Gender Mechanism</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9F7B086" w14:textId="77777777" w:rsidR="00E03741" w:rsidRPr="00E644CE" w:rsidRDefault="00E03741" w:rsidP="00E73104">
            <w:pPr>
              <w:jc w:val="both"/>
              <w:rPr>
                <w:rFonts w:asciiTheme="minorHAnsi" w:hAnsiTheme="minorHAnsi" w:cstheme="minorHAnsi"/>
                <w:color w:val="auto"/>
                <w:sz w:val="22"/>
                <w:szCs w:val="22"/>
                <w:lang w:val="it-IT"/>
              </w:rPr>
            </w:pPr>
            <w:r w:rsidRPr="00E644CE">
              <w:rPr>
                <w:rFonts w:asciiTheme="minorHAnsi" w:hAnsiTheme="minorHAnsi" w:cstheme="minorHAnsi"/>
                <w:color w:val="auto"/>
                <w:sz w:val="22"/>
                <w:szCs w:val="22"/>
                <w:lang w:val="it-IT"/>
              </w:rPr>
              <w:t>GEE in IPMG (DIKTAS II Albania, 2025)</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E3BF05A"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Limited (Agency for Gender Equality)</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C808748"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Gender Action Plan 2023–2026 (Croatian Waters, 2023)</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9D2C625"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Limited; no cross-ministerial mechanism</w:t>
            </w:r>
          </w:p>
        </w:tc>
      </w:tr>
      <w:tr w:rsidR="00F02BC6" w:rsidRPr="00F02BC6" w14:paraId="03519F5D"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DB10661" w14:textId="77777777" w:rsidR="00E03741" w:rsidRPr="008F1FF9" w:rsidRDefault="00E03741" w:rsidP="00E73104">
            <w:pPr>
              <w:jc w:val="both"/>
              <w:rPr>
                <w:rFonts w:asciiTheme="minorHAnsi" w:hAnsiTheme="minorHAnsi" w:cstheme="minorHAnsi"/>
                <w:b/>
                <w:bCs/>
                <w:color w:val="auto"/>
                <w:sz w:val="22"/>
                <w:szCs w:val="22"/>
              </w:rPr>
            </w:pPr>
            <w:r w:rsidRPr="008F1FF9">
              <w:rPr>
                <w:rFonts w:asciiTheme="minorHAnsi" w:hAnsiTheme="minorHAnsi" w:cstheme="minorHAnsi"/>
                <w:b/>
                <w:bCs/>
                <w:color w:val="auto"/>
                <w:sz w:val="22"/>
                <w:szCs w:val="22"/>
              </w:rPr>
              <w:lastRenderedPageBreak/>
              <w:t>EU WFD Alignment</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B4E8D1A"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Ongoing (EC, 2025)</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F8824CC"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Partial</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4F84D72"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Full (EU member since 2013)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4BFF61D"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In progress (candidate country)</w:t>
            </w:r>
          </w:p>
        </w:tc>
      </w:tr>
      <w:tr w:rsidR="00F02BC6" w:rsidRPr="00F02BC6" w14:paraId="2E6501DF"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D5B6AC1" w14:textId="77777777" w:rsidR="00E03741" w:rsidRPr="00E553B4" w:rsidRDefault="00E03741" w:rsidP="00E73104">
            <w:pPr>
              <w:jc w:val="both"/>
              <w:rPr>
                <w:rFonts w:asciiTheme="minorHAnsi" w:hAnsiTheme="minorHAnsi" w:cstheme="minorHAnsi"/>
                <w:b/>
                <w:bCs/>
                <w:color w:val="auto"/>
                <w:sz w:val="22"/>
                <w:szCs w:val="22"/>
              </w:rPr>
            </w:pPr>
            <w:r w:rsidRPr="00E553B4">
              <w:rPr>
                <w:rFonts w:asciiTheme="minorHAnsi" w:hAnsiTheme="minorHAnsi" w:cstheme="minorHAnsi"/>
                <w:b/>
                <w:bCs/>
                <w:color w:val="auto"/>
                <w:sz w:val="22"/>
                <w:szCs w:val="22"/>
              </w:rPr>
              <w:t>Fragmentation Level</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71B6241"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High</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0953700"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Very high (most complex in region)</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76BB73F"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Centralized (lowest fragmentation)</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A61A0DD"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High (3 ministries; no single authority)</w:t>
            </w:r>
          </w:p>
        </w:tc>
      </w:tr>
      <w:tr w:rsidR="00F02BC6" w:rsidRPr="00F02BC6" w14:paraId="14D97580"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4059BB4" w14:textId="77777777" w:rsidR="00E03741" w:rsidRPr="00E553B4" w:rsidRDefault="00E03741" w:rsidP="00E73104">
            <w:pPr>
              <w:jc w:val="both"/>
              <w:rPr>
                <w:rFonts w:asciiTheme="minorHAnsi" w:hAnsiTheme="minorHAnsi" w:cstheme="minorHAnsi"/>
                <w:b/>
                <w:bCs/>
                <w:color w:val="auto"/>
                <w:sz w:val="22"/>
                <w:szCs w:val="22"/>
              </w:rPr>
            </w:pPr>
            <w:r w:rsidRPr="00E553B4">
              <w:rPr>
                <w:rFonts w:asciiTheme="minorHAnsi" w:hAnsiTheme="minorHAnsi" w:cstheme="minorHAnsi"/>
                <w:b/>
                <w:bCs/>
                <w:color w:val="auto"/>
                <w:sz w:val="22"/>
                <w:szCs w:val="22"/>
              </w:rPr>
              <w:t>Reform Status</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633447A"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Since 2015 (EC, 2025)</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7D6A801"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Ongoing; complex political constraints</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0F8043C"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Established; consolidation underway</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5C72B6B"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Ongoing; EU accession driving reform</w:t>
            </w:r>
          </w:p>
        </w:tc>
      </w:tr>
      <w:tr w:rsidR="00F02BC6" w:rsidRPr="00F02BC6" w14:paraId="0264F141"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57D69DE" w14:textId="77777777" w:rsidR="00E03741" w:rsidRPr="00E553B4" w:rsidRDefault="00E03741" w:rsidP="00E73104">
            <w:pPr>
              <w:jc w:val="both"/>
              <w:rPr>
                <w:rFonts w:asciiTheme="minorHAnsi" w:hAnsiTheme="minorHAnsi" w:cstheme="minorHAnsi"/>
                <w:b/>
                <w:bCs/>
                <w:color w:val="auto"/>
                <w:sz w:val="22"/>
                <w:szCs w:val="22"/>
              </w:rPr>
            </w:pPr>
            <w:r w:rsidRPr="00E553B4">
              <w:rPr>
                <w:rFonts w:asciiTheme="minorHAnsi" w:hAnsiTheme="minorHAnsi" w:cstheme="minorHAnsi"/>
                <w:b/>
                <w:bCs/>
                <w:color w:val="auto"/>
                <w:sz w:val="22"/>
                <w:szCs w:val="22"/>
              </w:rPr>
              <w:t>Gender Mainstreaming Risk from Fragmentation</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7535698"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Medium</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32DE342"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Very High</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2740CE2"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Low</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91EEC89"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High</w:t>
            </w:r>
          </w:p>
        </w:tc>
      </w:tr>
    </w:tbl>
    <w:p w14:paraId="758807E7" w14:textId="77777777" w:rsidR="00E03741" w:rsidRPr="002F0D0D" w:rsidRDefault="00E03741" w:rsidP="00E553B4">
      <w:pPr>
        <w:jc w:val="both"/>
        <w:rPr>
          <w:rFonts w:asciiTheme="minorHAnsi" w:hAnsiTheme="minorHAnsi" w:cstheme="minorHAnsi"/>
          <w:sz w:val="18"/>
          <w:szCs w:val="18"/>
        </w:rPr>
      </w:pPr>
      <w:r w:rsidRPr="002F0D0D">
        <w:rPr>
          <w:rFonts w:asciiTheme="minorHAnsi" w:hAnsiTheme="minorHAnsi" w:cstheme="minorHAnsi"/>
          <w:b/>
          <w:bCs/>
          <w:i/>
          <w:iCs/>
          <w:color w:val="666666"/>
          <w:sz w:val="18"/>
          <w:szCs w:val="18"/>
        </w:rPr>
        <w:t>Sources:</w:t>
      </w:r>
      <w:r w:rsidRPr="002F0D0D">
        <w:rPr>
          <w:rFonts w:asciiTheme="minorHAnsi" w:hAnsiTheme="minorHAnsi" w:cstheme="minorHAnsi"/>
          <w:i/>
          <w:iCs/>
          <w:color w:val="666666"/>
          <w:sz w:val="18"/>
          <w:szCs w:val="18"/>
        </w:rPr>
        <w:t xml:space="preserve"> DIKTAS II National Gender Analyses (2025); World Bank (2022); Croatian Waters (2025); European Commission (2025); REGAGEN Montenegro (2022).</w:t>
      </w:r>
    </w:p>
    <w:p w14:paraId="7EA41916" w14:textId="77777777" w:rsidR="00E03741" w:rsidRPr="00556170" w:rsidRDefault="00E03741" w:rsidP="00E73104">
      <w:pPr>
        <w:jc w:val="both"/>
        <w:rPr>
          <w:rFonts w:asciiTheme="minorHAnsi" w:hAnsiTheme="minorHAnsi" w:cstheme="minorHAnsi"/>
          <w:sz w:val="22"/>
          <w:szCs w:val="22"/>
        </w:rPr>
      </w:pPr>
      <w:r w:rsidRPr="00556170">
        <w:rPr>
          <w:rFonts w:asciiTheme="minorHAnsi" w:hAnsiTheme="minorHAnsi" w:cstheme="minorHAnsi"/>
          <w:sz w:val="22"/>
          <w:szCs w:val="22"/>
        </w:rPr>
        <w:br w:type="page"/>
      </w:r>
    </w:p>
    <w:p w14:paraId="78634E9C" w14:textId="77777777" w:rsidR="00E03741" w:rsidRPr="00556170" w:rsidRDefault="00E03741" w:rsidP="00E73104">
      <w:pPr>
        <w:pStyle w:val="Naslov1"/>
        <w:pBdr>
          <w:bottom w:val="single" w:sz="8" w:space="4" w:color="2E75B6"/>
        </w:pBdr>
        <w:spacing w:before="0" w:after="0"/>
        <w:jc w:val="both"/>
        <w:rPr>
          <w:rFonts w:asciiTheme="minorHAnsi" w:hAnsiTheme="minorHAnsi" w:cstheme="minorHAnsi"/>
          <w:sz w:val="22"/>
          <w:szCs w:val="22"/>
        </w:rPr>
      </w:pPr>
      <w:bookmarkStart w:id="20" w:name="_Toc224128603"/>
      <w:r w:rsidRPr="00556170">
        <w:rPr>
          <w:rFonts w:asciiTheme="minorHAnsi" w:eastAsia="Arial" w:hAnsiTheme="minorHAnsi" w:cstheme="minorHAnsi"/>
          <w:b/>
          <w:bCs/>
          <w:color w:val="1F4E79"/>
          <w:sz w:val="22"/>
          <w:szCs w:val="22"/>
        </w:rPr>
        <w:lastRenderedPageBreak/>
        <w:t>4.  COMPARATIVE GENDER ANALYSIS: WATER AS AN ASSET</w:t>
      </w:r>
      <w:bookmarkEnd w:id="20"/>
    </w:p>
    <w:p w14:paraId="14CBACFD"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This section compares findings regarding women's access to, control over, and economic opportunities derived from water resources and water sector employment across all four countries.</w:t>
      </w:r>
    </w:p>
    <w:p w14:paraId="61075773" w14:textId="77777777" w:rsidR="00F02BC6" w:rsidRPr="00556170" w:rsidRDefault="00F02BC6" w:rsidP="00E73104">
      <w:pPr>
        <w:jc w:val="both"/>
        <w:rPr>
          <w:rFonts w:asciiTheme="minorHAnsi" w:hAnsiTheme="minorHAnsi" w:cstheme="minorHAnsi"/>
          <w:sz w:val="22"/>
          <w:szCs w:val="22"/>
        </w:rPr>
      </w:pPr>
    </w:p>
    <w:p w14:paraId="64B81231" w14:textId="433913FE" w:rsidR="00E03741" w:rsidRPr="00556170" w:rsidRDefault="00E03741" w:rsidP="00E73104">
      <w:pPr>
        <w:pStyle w:val="Naslov2"/>
        <w:spacing w:before="0" w:after="0"/>
        <w:jc w:val="both"/>
        <w:rPr>
          <w:rFonts w:asciiTheme="minorHAnsi" w:hAnsiTheme="minorHAnsi" w:cstheme="minorHAnsi"/>
          <w:sz w:val="22"/>
          <w:szCs w:val="22"/>
        </w:rPr>
      </w:pPr>
      <w:bookmarkStart w:id="21" w:name="_Toc224128604"/>
      <w:r w:rsidRPr="00556170">
        <w:rPr>
          <w:rFonts w:asciiTheme="minorHAnsi" w:eastAsia="Arial" w:hAnsiTheme="minorHAnsi" w:cstheme="minorHAnsi"/>
          <w:b/>
          <w:bCs/>
          <w:color w:val="2E75B6"/>
          <w:sz w:val="22"/>
          <w:szCs w:val="22"/>
        </w:rPr>
        <w:t>4.1 Women's Employment in the Water Sector</w:t>
      </w:r>
      <w:bookmarkEnd w:id="21"/>
    </w:p>
    <w:p w14:paraId="049EC90E" w14:textId="77777777" w:rsidR="00E03741" w:rsidRPr="00F02BC6" w:rsidRDefault="00E03741" w:rsidP="00E73104">
      <w:pPr>
        <w:jc w:val="both"/>
        <w:rPr>
          <w:rFonts w:asciiTheme="minorHAnsi" w:hAnsiTheme="minorHAnsi" w:cstheme="minorHAnsi"/>
          <w:color w:val="auto"/>
          <w:sz w:val="22"/>
          <w:szCs w:val="22"/>
        </w:rPr>
      </w:pPr>
      <w:r w:rsidRPr="00F02BC6">
        <w:rPr>
          <w:rFonts w:asciiTheme="minorHAnsi" w:hAnsiTheme="minorHAnsi" w:cstheme="minorHAnsi"/>
          <w:color w:val="auto"/>
          <w:sz w:val="22"/>
          <w:szCs w:val="22"/>
        </w:rPr>
        <w:t>Across the Dinaric Karst region, women remain significantly underrepresented in water sector employment, particularly in technical and leadership positions. This pattern reflects broader societal norms that channel women into administrative and support roles while reserving engineering and management positions for men.</w:t>
      </w:r>
    </w:p>
    <w:p w14:paraId="5A93DD19" w14:textId="77777777" w:rsidR="00E03741" w:rsidRPr="00556170" w:rsidRDefault="00E03741" w:rsidP="00E73104">
      <w:pPr>
        <w:jc w:val="both"/>
        <w:rPr>
          <w:rFonts w:asciiTheme="minorHAnsi" w:hAnsiTheme="minorHAnsi" w:cstheme="minorHAnsi"/>
          <w:sz w:val="22"/>
          <w:szCs w:val="22"/>
        </w:rPr>
      </w:pPr>
    </w:p>
    <w:p w14:paraId="7595FF11" w14:textId="69310238" w:rsidR="00E03741" w:rsidRPr="00556170" w:rsidRDefault="00E03741" w:rsidP="00E73104">
      <w:pPr>
        <w:pBdr>
          <w:left w:val="single" w:sz="14" w:space="8" w:color="1B5E20"/>
        </w:pBdr>
        <w:shd w:val="clear" w:color="auto" w:fill="E8F5E9"/>
        <w:ind w:left="400"/>
        <w:jc w:val="both"/>
        <w:rPr>
          <w:rFonts w:asciiTheme="minorHAnsi" w:hAnsiTheme="minorHAnsi" w:cstheme="minorHAnsi"/>
          <w:sz w:val="22"/>
          <w:szCs w:val="22"/>
        </w:rPr>
      </w:pPr>
      <w:r w:rsidRPr="00556170">
        <w:rPr>
          <w:rFonts w:asciiTheme="minorHAnsi" w:hAnsiTheme="minorHAnsi" w:cstheme="minorHAnsi"/>
          <w:b/>
          <w:bCs/>
          <w:color w:val="1B5E20"/>
          <w:sz w:val="22"/>
          <w:szCs w:val="22"/>
        </w:rPr>
        <w:t>Albania:</w:t>
      </w:r>
      <w:r w:rsidRPr="00F02BC6">
        <w:rPr>
          <w:rFonts w:asciiTheme="minorHAnsi" w:hAnsiTheme="minorHAnsi" w:cstheme="minorHAnsi"/>
          <w:b/>
          <w:bCs/>
          <w:color w:val="auto"/>
          <w:sz w:val="22"/>
          <w:szCs w:val="22"/>
        </w:rPr>
        <w:t xml:space="preserve"> </w:t>
      </w:r>
      <w:r w:rsidRPr="00F02BC6">
        <w:rPr>
          <w:rFonts w:asciiTheme="minorHAnsi" w:hAnsiTheme="minorHAnsi" w:cstheme="minorHAnsi"/>
          <w:color w:val="auto"/>
          <w:sz w:val="22"/>
          <w:szCs w:val="22"/>
        </w:rPr>
        <w:t>Women represent 10–40% (2021; Water Sector Gender Assessment/MARDWA) of water utility staff, predominantly in administrative and finance positions. Women manage an estimated 66% of household water use (2021; Water Sector Gender Assessment) yet remain marginalized from formal water-related employment.</w:t>
      </w:r>
    </w:p>
    <w:p w14:paraId="16671A1A" w14:textId="77777777" w:rsidR="00E03741" w:rsidRPr="00556170" w:rsidRDefault="00E03741" w:rsidP="00E73104">
      <w:pPr>
        <w:jc w:val="both"/>
        <w:rPr>
          <w:rFonts w:asciiTheme="minorHAnsi" w:hAnsiTheme="minorHAnsi" w:cstheme="minorHAnsi"/>
          <w:sz w:val="22"/>
          <w:szCs w:val="22"/>
        </w:rPr>
      </w:pPr>
    </w:p>
    <w:p w14:paraId="0C6112B8" w14:textId="492142B0" w:rsidR="00E03741" w:rsidRPr="00556170" w:rsidRDefault="00E03741" w:rsidP="00E73104">
      <w:pPr>
        <w:pBdr>
          <w:left w:val="single" w:sz="14" w:space="8" w:color="B71C1C"/>
        </w:pBdr>
        <w:shd w:val="clear" w:color="auto" w:fill="FFEBEE"/>
        <w:ind w:left="400"/>
        <w:jc w:val="both"/>
        <w:rPr>
          <w:rFonts w:asciiTheme="minorHAnsi" w:hAnsiTheme="minorHAnsi" w:cstheme="minorHAnsi"/>
          <w:sz w:val="22"/>
          <w:szCs w:val="22"/>
        </w:rPr>
      </w:pPr>
      <w:r w:rsidRPr="00556170">
        <w:rPr>
          <w:rFonts w:asciiTheme="minorHAnsi" w:hAnsiTheme="minorHAnsi" w:cstheme="minorHAnsi"/>
          <w:b/>
          <w:bCs/>
          <w:color w:val="B71C1C"/>
          <w:sz w:val="22"/>
          <w:szCs w:val="22"/>
        </w:rPr>
        <w:t xml:space="preserve">Bosnia and Herzegovina: </w:t>
      </w:r>
      <w:r w:rsidRPr="00F02BC6">
        <w:rPr>
          <w:rFonts w:asciiTheme="minorHAnsi" w:hAnsiTheme="minorHAnsi" w:cstheme="minorHAnsi"/>
          <w:color w:val="auto"/>
          <w:sz w:val="22"/>
          <w:szCs w:val="22"/>
        </w:rPr>
        <w:t xml:space="preserve">Women constitute </w:t>
      </w:r>
      <w:proofErr w:type="gramStart"/>
      <w:r w:rsidRPr="00F02BC6">
        <w:rPr>
          <w:rFonts w:asciiTheme="minorHAnsi" w:hAnsiTheme="minorHAnsi" w:cstheme="minorHAnsi"/>
          <w:color w:val="auto"/>
          <w:sz w:val="22"/>
          <w:szCs w:val="22"/>
        </w:rPr>
        <w:t>the majority of</w:t>
      </w:r>
      <w:proofErr w:type="gramEnd"/>
      <w:r w:rsidRPr="00F02BC6">
        <w:rPr>
          <w:rFonts w:asciiTheme="minorHAnsi" w:hAnsiTheme="minorHAnsi" w:cstheme="minorHAnsi"/>
          <w:color w:val="auto"/>
          <w:sz w:val="22"/>
          <w:szCs w:val="22"/>
        </w:rPr>
        <w:t xml:space="preserve"> unpaid family workers (11.3% of the female </w:t>
      </w:r>
      <w:proofErr w:type="spellStart"/>
      <w:r w:rsidRPr="00F02BC6">
        <w:rPr>
          <w:rFonts w:asciiTheme="minorHAnsi" w:hAnsiTheme="minorHAnsi" w:cstheme="minorHAnsi"/>
          <w:color w:val="auto"/>
          <w:sz w:val="22"/>
          <w:szCs w:val="22"/>
        </w:rPr>
        <w:t>labour</w:t>
      </w:r>
      <w:proofErr w:type="spellEnd"/>
      <w:r w:rsidRPr="00F02BC6">
        <w:rPr>
          <w:rFonts w:asciiTheme="minorHAnsi" w:hAnsiTheme="minorHAnsi" w:cstheme="minorHAnsi"/>
          <w:color w:val="auto"/>
          <w:sz w:val="22"/>
          <w:szCs w:val="22"/>
        </w:rPr>
        <w:t xml:space="preserve"> force in </w:t>
      </w:r>
      <w:proofErr w:type="spellStart"/>
      <w:r w:rsidRPr="00F02BC6">
        <w:rPr>
          <w:rFonts w:asciiTheme="minorHAnsi" w:hAnsiTheme="minorHAnsi" w:cstheme="minorHAnsi"/>
          <w:color w:val="auto"/>
          <w:sz w:val="22"/>
          <w:szCs w:val="22"/>
        </w:rPr>
        <w:t>Republika</w:t>
      </w:r>
      <w:proofErr w:type="spellEnd"/>
      <w:r w:rsidRPr="00F02BC6">
        <w:rPr>
          <w:rFonts w:asciiTheme="minorHAnsi" w:hAnsiTheme="minorHAnsi" w:cstheme="minorHAnsi"/>
          <w:color w:val="auto"/>
          <w:sz w:val="22"/>
          <w:szCs w:val="22"/>
        </w:rPr>
        <w:t xml:space="preserve"> Srpska and 14.4% in Brčko District; 2021, BHAS) while remaining severely underrepresented in formal water sector employment. The 22–24% gender pay gap (2023; BHAS) further compounds these disparities.</w:t>
      </w:r>
    </w:p>
    <w:p w14:paraId="0317C3F6" w14:textId="77777777" w:rsidR="00E03741" w:rsidRPr="00556170" w:rsidRDefault="00E03741" w:rsidP="00E73104">
      <w:pPr>
        <w:jc w:val="both"/>
        <w:rPr>
          <w:rFonts w:asciiTheme="minorHAnsi" w:hAnsiTheme="minorHAnsi" w:cstheme="minorHAnsi"/>
          <w:sz w:val="22"/>
          <w:szCs w:val="22"/>
        </w:rPr>
      </w:pPr>
    </w:p>
    <w:p w14:paraId="41C560CD" w14:textId="1DB0A434" w:rsidR="00E03741" w:rsidRPr="00556170" w:rsidRDefault="00E03741" w:rsidP="00E73104">
      <w:pPr>
        <w:pBdr>
          <w:left w:val="single" w:sz="14" w:space="8" w:color="4A148C"/>
        </w:pBdr>
        <w:shd w:val="clear" w:color="auto" w:fill="F3E5F5"/>
        <w:ind w:left="400"/>
        <w:jc w:val="both"/>
        <w:rPr>
          <w:rFonts w:asciiTheme="minorHAnsi" w:hAnsiTheme="minorHAnsi" w:cstheme="minorHAnsi"/>
          <w:sz w:val="22"/>
          <w:szCs w:val="22"/>
        </w:rPr>
      </w:pPr>
      <w:r w:rsidRPr="00556170">
        <w:rPr>
          <w:rFonts w:asciiTheme="minorHAnsi" w:hAnsiTheme="minorHAnsi" w:cstheme="minorHAnsi"/>
          <w:b/>
          <w:bCs/>
          <w:color w:val="4A148C"/>
          <w:sz w:val="22"/>
          <w:szCs w:val="22"/>
        </w:rPr>
        <w:t xml:space="preserve">Croatia: </w:t>
      </w:r>
      <w:r w:rsidRPr="00607DA2">
        <w:rPr>
          <w:rFonts w:asciiTheme="minorHAnsi" w:hAnsiTheme="minorHAnsi" w:cstheme="minorHAnsi"/>
          <w:color w:val="auto"/>
          <w:sz w:val="22"/>
          <w:szCs w:val="22"/>
        </w:rPr>
        <w:t xml:space="preserve">Women comprise 46.8% of total staff at Croatian Waters (2025; Croatian Waters). However, vertical segregation </w:t>
      </w:r>
      <w:proofErr w:type="gramStart"/>
      <w:r w:rsidRPr="00607DA2">
        <w:rPr>
          <w:rFonts w:asciiTheme="minorHAnsi" w:hAnsiTheme="minorHAnsi" w:cstheme="minorHAnsi"/>
          <w:color w:val="auto"/>
          <w:sz w:val="22"/>
          <w:szCs w:val="22"/>
        </w:rPr>
        <w:t>persists:</w:t>
      </w:r>
      <w:proofErr w:type="gramEnd"/>
      <w:r w:rsidRPr="00607DA2">
        <w:rPr>
          <w:rFonts w:asciiTheme="minorHAnsi" w:hAnsiTheme="minorHAnsi" w:cstheme="minorHAnsi"/>
          <w:color w:val="auto"/>
          <w:sz w:val="22"/>
          <w:szCs w:val="22"/>
        </w:rPr>
        <w:t xml:space="preserve"> women hold 0% of General Director and Deputy Director positions while comprising 53.3% of Sector Head roles (2025; Croatian Waters). The 11.1% gender wage gap (2023; Eurostat) and 24.8% pension gap (2023; Eurostat) reflect the cumulative impact of occupational segregation throughout women's careers.</w:t>
      </w:r>
    </w:p>
    <w:p w14:paraId="4C1F674D" w14:textId="77777777" w:rsidR="00E03741" w:rsidRPr="00556170" w:rsidRDefault="00E03741" w:rsidP="00E73104">
      <w:pPr>
        <w:jc w:val="both"/>
        <w:rPr>
          <w:rFonts w:asciiTheme="minorHAnsi" w:hAnsiTheme="minorHAnsi" w:cstheme="minorHAnsi"/>
          <w:sz w:val="22"/>
          <w:szCs w:val="22"/>
        </w:rPr>
      </w:pPr>
    </w:p>
    <w:p w14:paraId="6BCAC2BF" w14:textId="7FA35730" w:rsidR="00E03741" w:rsidRPr="00556170" w:rsidRDefault="00E03741" w:rsidP="00E73104">
      <w:pPr>
        <w:pBdr>
          <w:left w:val="single" w:sz="14" w:space="8" w:color="3E2723"/>
        </w:pBdr>
        <w:shd w:val="clear" w:color="auto" w:fill="EFEBE9"/>
        <w:ind w:left="400"/>
        <w:jc w:val="both"/>
        <w:rPr>
          <w:rFonts w:asciiTheme="minorHAnsi" w:hAnsiTheme="minorHAnsi" w:cstheme="minorHAnsi"/>
          <w:sz w:val="22"/>
          <w:szCs w:val="22"/>
        </w:rPr>
      </w:pPr>
      <w:r w:rsidRPr="00556170">
        <w:rPr>
          <w:rFonts w:asciiTheme="minorHAnsi" w:hAnsiTheme="minorHAnsi" w:cstheme="minorHAnsi"/>
          <w:b/>
          <w:bCs/>
          <w:color w:val="3E2723"/>
          <w:sz w:val="22"/>
          <w:szCs w:val="22"/>
        </w:rPr>
        <w:t xml:space="preserve">Montenegro: </w:t>
      </w:r>
      <w:r w:rsidRPr="00791046">
        <w:rPr>
          <w:rFonts w:asciiTheme="minorHAnsi" w:hAnsiTheme="minorHAnsi" w:cstheme="minorHAnsi"/>
          <w:color w:val="auto"/>
          <w:sz w:val="22"/>
          <w:szCs w:val="22"/>
        </w:rPr>
        <w:t>Women comprise less than 20% of water sector workers overall and only 23% of licensed engineers and managers in sampled utilities (2019; World Bank). Women are clustered in administrative rather than technical or managerial roles.</w:t>
      </w:r>
    </w:p>
    <w:p w14:paraId="5C9E080E" w14:textId="77777777" w:rsidR="00E03741" w:rsidRPr="00556170" w:rsidRDefault="00E03741" w:rsidP="00E73104">
      <w:pPr>
        <w:jc w:val="both"/>
        <w:rPr>
          <w:rFonts w:asciiTheme="minorHAnsi" w:hAnsiTheme="minorHAnsi" w:cstheme="minorHAnsi"/>
          <w:sz w:val="22"/>
          <w:szCs w:val="22"/>
        </w:rPr>
      </w:pPr>
    </w:p>
    <w:p w14:paraId="35A7E5DE" w14:textId="77777777" w:rsidR="00E03741" w:rsidRPr="00556170" w:rsidRDefault="00E03741" w:rsidP="00AD26C7">
      <w:pPr>
        <w:pStyle w:val="Naslov4"/>
      </w:pPr>
      <w:r w:rsidRPr="00556170">
        <w:t>Table 5: Gender Disparities in Water Sector – Water as an Asset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790"/>
        <w:gridCol w:w="1790"/>
        <w:gridCol w:w="1790"/>
        <w:gridCol w:w="1790"/>
      </w:tblGrid>
      <w:tr w:rsidR="00963F78" w:rsidRPr="00963F78" w14:paraId="16116FD0" w14:textId="77777777" w:rsidTr="003B022E">
        <w:trPr>
          <w:tblHeader/>
        </w:trPr>
        <w:tc>
          <w:tcPr>
            <w:tcW w:w="220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052A34E4" w14:textId="77777777" w:rsidR="00E03741" w:rsidRPr="00963F78" w:rsidRDefault="00E03741" w:rsidP="00E73104">
            <w:pPr>
              <w:jc w:val="both"/>
              <w:rPr>
                <w:rFonts w:asciiTheme="minorHAnsi" w:hAnsiTheme="minorHAnsi" w:cstheme="minorHAnsi"/>
                <w:color w:val="FFFFFF" w:themeColor="background1"/>
                <w:sz w:val="22"/>
                <w:szCs w:val="22"/>
              </w:rPr>
            </w:pPr>
            <w:r w:rsidRPr="00963F78">
              <w:rPr>
                <w:rFonts w:asciiTheme="minorHAnsi" w:hAnsiTheme="minorHAnsi" w:cstheme="minorHAnsi"/>
                <w:b/>
                <w:bCs/>
                <w:color w:val="FFFFFF" w:themeColor="background1"/>
                <w:sz w:val="22"/>
                <w:szCs w:val="22"/>
              </w:rPr>
              <w:t>Indicator</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3F3BCDFE" w14:textId="77777777" w:rsidR="00E03741" w:rsidRPr="00963F78" w:rsidRDefault="00E03741" w:rsidP="00E73104">
            <w:pPr>
              <w:jc w:val="both"/>
              <w:rPr>
                <w:rFonts w:asciiTheme="minorHAnsi" w:hAnsiTheme="minorHAnsi" w:cstheme="minorHAnsi"/>
                <w:color w:val="FFFFFF" w:themeColor="background1"/>
                <w:sz w:val="22"/>
                <w:szCs w:val="22"/>
              </w:rPr>
            </w:pPr>
            <w:r w:rsidRPr="00963F78">
              <w:rPr>
                <w:rFonts w:asciiTheme="minorHAnsi" w:hAnsiTheme="minorHAnsi" w:cstheme="minorHAnsi"/>
                <w:b/>
                <w:bCs/>
                <w:color w:val="FFFFFF" w:themeColor="background1"/>
                <w:sz w:val="22"/>
                <w:szCs w:val="22"/>
              </w:rPr>
              <w:t>Albania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745A67D4" w14:textId="77777777" w:rsidR="00E03741" w:rsidRPr="00963F78" w:rsidRDefault="00E03741" w:rsidP="00E73104">
            <w:pPr>
              <w:jc w:val="both"/>
              <w:rPr>
                <w:rFonts w:asciiTheme="minorHAnsi" w:hAnsiTheme="minorHAnsi" w:cstheme="minorHAnsi"/>
                <w:color w:val="FFFFFF" w:themeColor="background1"/>
                <w:sz w:val="22"/>
                <w:szCs w:val="22"/>
              </w:rPr>
            </w:pPr>
            <w:r w:rsidRPr="00963F78">
              <w:rPr>
                <w:rFonts w:asciiTheme="minorHAnsi" w:hAnsiTheme="minorHAnsi" w:cstheme="minorHAnsi"/>
                <w:b/>
                <w:bCs/>
                <w:color w:val="FFFFFF" w:themeColor="background1"/>
                <w:sz w:val="22"/>
                <w:szCs w:val="22"/>
              </w:rPr>
              <w:t>Bosnia &amp; Herz.</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4B4E390F" w14:textId="77777777" w:rsidR="00E03741" w:rsidRPr="00963F78" w:rsidRDefault="00E03741" w:rsidP="00E73104">
            <w:pPr>
              <w:jc w:val="both"/>
              <w:rPr>
                <w:rFonts w:asciiTheme="minorHAnsi" w:hAnsiTheme="minorHAnsi" w:cstheme="minorHAnsi"/>
                <w:color w:val="FFFFFF" w:themeColor="background1"/>
                <w:sz w:val="22"/>
                <w:szCs w:val="22"/>
              </w:rPr>
            </w:pPr>
            <w:r w:rsidRPr="00963F78">
              <w:rPr>
                <w:rFonts w:asciiTheme="minorHAnsi" w:hAnsiTheme="minorHAnsi" w:cstheme="minorHAnsi"/>
                <w:b/>
                <w:bCs/>
                <w:color w:val="FFFFFF" w:themeColor="background1"/>
                <w:sz w:val="22"/>
                <w:szCs w:val="22"/>
              </w:rPr>
              <w:t>Croatia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12EFD6D5" w14:textId="77777777" w:rsidR="00E03741" w:rsidRPr="00963F78" w:rsidRDefault="00E03741" w:rsidP="00E73104">
            <w:pPr>
              <w:jc w:val="both"/>
              <w:rPr>
                <w:rFonts w:asciiTheme="minorHAnsi" w:hAnsiTheme="minorHAnsi" w:cstheme="minorHAnsi"/>
                <w:color w:val="FFFFFF" w:themeColor="background1"/>
                <w:sz w:val="22"/>
                <w:szCs w:val="22"/>
              </w:rPr>
            </w:pPr>
            <w:r w:rsidRPr="00963F78">
              <w:rPr>
                <w:rFonts w:asciiTheme="minorHAnsi" w:hAnsiTheme="minorHAnsi" w:cstheme="minorHAnsi"/>
                <w:b/>
                <w:bCs/>
                <w:color w:val="FFFFFF" w:themeColor="background1"/>
                <w:sz w:val="22"/>
                <w:szCs w:val="22"/>
              </w:rPr>
              <w:t>Montenegro</w:t>
            </w:r>
          </w:p>
        </w:tc>
      </w:tr>
      <w:tr w:rsidR="00963F78" w:rsidRPr="00963F78" w14:paraId="543FF0B6"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5FB4E83" w14:textId="77777777" w:rsidR="00E03741" w:rsidRPr="0063200F" w:rsidRDefault="00E03741" w:rsidP="00E73104">
            <w:pPr>
              <w:jc w:val="both"/>
              <w:rPr>
                <w:rFonts w:asciiTheme="minorHAnsi" w:hAnsiTheme="minorHAnsi" w:cstheme="minorHAnsi"/>
                <w:b/>
                <w:bCs/>
                <w:color w:val="auto"/>
                <w:sz w:val="22"/>
                <w:szCs w:val="22"/>
              </w:rPr>
            </w:pPr>
            <w:r w:rsidRPr="0063200F">
              <w:rPr>
                <w:rFonts w:asciiTheme="minorHAnsi" w:hAnsiTheme="minorHAnsi" w:cstheme="minorHAnsi"/>
                <w:b/>
                <w:bCs/>
                <w:color w:val="auto"/>
                <w:sz w:val="22"/>
                <w:szCs w:val="22"/>
              </w:rPr>
              <w:t>Women in Water Utilities</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4FFCA2A"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10–40% (Water Sector Assessment, 2021)</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3FB672D"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Low; data gaps (BHAS, 2022)</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EB212D9"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46.8% total staff (Croatian Waters, 2025)</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089DF14"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under 20% (World Bank, 2019)</w:t>
            </w:r>
          </w:p>
        </w:tc>
      </w:tr>
      <w:tr w:rsidR="00963F78" w:rsidRPr="00963F78" w14:paraId="5E36E15B"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40245EB" w14:textId="77777777" w:rsidR="00E03741" w:rsidRPr="0063200F" w:rsidRDefault="00E03741" w:rsidP="00E73104">
            <w:pPr>
              <w:jc w:val="both"/>
              <w:rPr>
                <w:rFonts w:asciiTheme="minorHAnsi" w:hAnsiTheme="minorHAnsi" w:cstheme="minorHAnsi"/>
                <w:b/>
                <w:bCs/>
                <w:color w:val="auto"/>
                <w:sz w:val="22"/>
                <w:szCs w:val="22"/>
              </w:rPr>
            </w:pPr>
            <w:r w:rsidRPr="0063200F">
              <w:rPr>
                <w:rFonts w:asciiTheme="minorHAnsi" w:hAnsiTheme="minorHAnsi" w:cstheme="minorHAnsi"/>
                <w:b/>
                <w:bCs/>
                <w:color w:val="auto"/>
                <w:sz w:val="22"/>
                <w:szCs w:val="22"/>
              </w:rPr>
              <w:t>Technical Positions</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6410D01"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Severely under-represented (MARDWA, 2021)</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89CC7E4"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Minority (BHAS, 2022)</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1AD3837"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Under-represented in senior roles (Croatian Waters, 2025)</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D526D45"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Minority (approximately 23% engineers; World Bank, 2019)</w:t>
            </w:r>
          </w:p>
        </w:tc>
      </w:tr>
      <w:tr w:rsidR="00963F78" w:rsidRPr="00963F78" w14:paraId="2BB8D0A7"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A705279" w14:textId="77777777" w:rsidR="00E03741" w:rsidRPr="0063200F" w:rsidRDefault="00E03741" w:rsidP="00E73104">
            <w:pPr>
              <w:jc w:val="both"/>
              <w:rPr>
                <w:rFonts w:asciiTheme="minorHAnsi" w:hAnsiTheme="minorHAnsi" w:cstheme="minorHAnsi"/>
                <w:b/>
                <w:bCs/>
                <w:color w:val="auto"/>
                <w:sz w:val="22"/>
                <w:szCs w:val="22"/>
              </w:rPr>
            </w:pPr>
            <w:r w:rsidRPr="0063200F">
              <w:rPr>
                <w:rFonts w:asciiTheme="minorHAnsi" w:hAnsiTheme="minorHAnsi" w:cstheme="minorHAnsi"/>
                <w:b/>
                <w:bCs/>
                <w:color w:val="auto"/>
                <w:sz w:val="22"/>
                <w:szCs w:val="22"/>
              </w:rPr>
              <w:t>Leadership/Director Roles</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218D3CF"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Limited (MARDWA, 2021)</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D827CBF"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Limited (Agency for Gender Eq., 2022)</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1F88F58"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0% at Director level (Croatian Waters, 2025)</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79FE248"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Limited (under 20%; World Bank, 2019)</w:t>
            </w:r>
          </w:p>
        </w:tc>
      </w:tr>
      <w:tr w:rsidR="00963F78" w:rsidRPr="00963F78" w14:paraId="327F4D04"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C29711B" w14:textId="77777777" w:rsidR="00E03741" w:rsidRPr="00C36ED2" w:rsidRDefault="00E03741" w:rsidP="00E73104">
            <w:pPr>
              <w:jc w:val="both"/>
              <w:rPr>
                <w:rFonts w:asciiTheme="minorHAnsi" w:hAnsiTheme="minorHAnsi" w:cstheme="minorHAnsi"/>
                <w:b/>
                <w:bCs/>
                <w:color w:val="auto"/>
                <w:sz w:val="22"/>
                <w:szCs w:val="22"/>
              </w:rPr>
            </w:pPr>
            <w:r w:rsidRPr="00C36ED2">
              <w:rPr>
                <w:rFonts w:asciiTheme="minorHAnsi" w:hAnsiTheme="minorHAnsi" w:cstheme="minorHAnsi"/>
                <w:b/>
                <w:bCs/>
                <w:color w:val="auto"/>
                <w:sz w:val="22"/>
                <w:szCs w:val="22"/>
              </w:rPr>
              <w:lastRenderedPageBreak/>
              <w:t>Land Ownership (Women)</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CE4FBDE"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8% (INSTAT, 2023)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79F2C38"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Men &gt;70% (BHAS, 2022)</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0703F81"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Data limited (CBS, 2021)</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D410591"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13% farm holders (UN Montenegro, 2025)</w:t>
            </w:r>
          </w:p>
        </w:tc>
      </w:tr>
      <w:tr w:rsidR="00963F78" w:rsidRPr="00963F78" w14:paraId="411B0977"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8BA54EA" w14:textId="77777777" w:rsidR="00E03741" w:rsidRPr="00C36ED2" w:rsidRDefault="00E03741" w:rsidP="00E73104">
            <w:pPr>
              <w:jc w:val="both"/>
              <w:rPr>
                <w:rFonts w:asciiTheme="minorHAnsi" w:hAnsiTheme="minorHAnsi" w:cstheme="minorHAnsi"/>
                <w:b/>
                <w:bCs/>
                <w:color w:val="auto"/>
                <w:sz w:val="22"/>
                <w:szCs w:val="22"/>
              </w:rPr>
            </w:pPr>
            <w:r w:rsidRPr="00C36ED2">
              <w:rPr>
                <w:rFonts w:asciiTheme="minorHAnsi" w:hAnsiTheme="minorHAnsi" w:cstheme="minorHAnsi"/>
                <w:b/>
                <w:bCs/>
                <w:color w:val="auto"/>
                <w:sz w:val="22"/>
                <w:szCs w:val="22"/>
              </w:rPr>
              <w:t>Gender Wage Gap</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F587344"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6.6% (UNDP Albania, 2021)</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F4AE4DF"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22–24% (BHAS, 2023)</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73B31E0"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11.1% (Eurostat, 2023)</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4F549C0" w14:textId="77777777" w:rsidR="00E03741" w:rsidRPr="00963F78" w:rsidRDefault="00E03741" w:rsidP="00E73104">
            <w:pPr>
              <w:jc w:val="both"/>
              <w:rPr>
                <w:rFonts w:asciiTheme="minorHAnsi" w:hAnsiTheme="minorHAnsi" w:cstheme="minorHAnsi"/>
                <w:color w:val="auto"/>
                <w:sz w:val="22"/>
                <w:szCs w:val="22"/>
              </w:rPr>
            </w:pPr>
            <w:r w:rsidRPr="00963F78">
              <w:rPr>
                <w:rFonts w:asciiTheme="minorHAnsi" w:hAnsiTheme="minorHAnsi" w:cstheme="minorHAnsi"/>
                <w:color w:val="auto"/>
                <w:sz w:val="22"/>
                <w:szCs w:val="22"/>
              </w:rPr>
              <w:t>Present; not fully quantified (MONSTAT, 2023)</w:t>
            </w:r>
          </w:p>
        </w:tc>
      </w:tr>
    </w:tbl>
    <w:p w14:paraId="2F300D24" w14:textId="77777777" w:rsidR="00617D60" w:rsidRDefault="00617D60" w:rsidP="00E73104">
      <w:pPr>
        <w:pStyle w:val="Naslov2"/>
        <w:spacing w:before="0" w:after="0"/>
        <w:jc w:val="both"/>
        <w:rPr>
          <w:rFonts w:asciiTheme="minorHAnsi" w:eastAsia="Arial" w:hAnsiTheme="minorHAnsi" w:cstheme="minorHAnsi"/>
          <w:b/>
          <w:bCs/>
          <w:color w:val="2E75B6"/>
          <w:sz w:val="22"/>
          <w:szCs w:val="22"/>
        </w:rPr>
      </w:pPr>
    </w:p>
    <w:p w14:paraId="4546F558" w14:textId="2A51691F" w:rsidR="00E03741" w:rsidRPr="00556170" w:rsidRDefault="00E03741" w:rsidP="00E73104">
      <w:pPr>
        <w:pStyle w:val="Naslov2"/>
        <w:spacing w:before="0" w:after="0"/>
        <w:jc w:val="both"/>
        <w:rPr>
          <w:rFonts w:asciiTheme="minorHAnsi" w:hAnsiTheme="minorHAnsi" w:cstheme="minorHAnsi"/>
          <w:sz w:val="22"/>
          <w:szCs w:val="22"/>
        </w:rPr>
      </w:pPr>
      <w:bookmarkStart w:id="22" w:name="_Toc224128605"/>
      <w:r w:rsidRPr="00556170">
        <w:rPr>
          <w:rFonts w:asciiTheme="minorHAnsi" w:eastAsia="Arial" w:hAnsiTheme="minorHAnsi" w:cstheme="minorHAnsi"/>
          <w:b/>
          <w:bCs/>
          <w:color w:val="2E75B6"/>
          <w:sz w:val="22"/>
          <w:szCs w:val="22"/>
        </w:rPr>
        <w:t>4.1.1 Analysis of Employment Patterns</w:t>
      </w:r>
      <w:bookmarkEnd w:id="22"/>
    </w:p>
    <w:p w14:paraId="4E3F0603" w14:textId="77777777" w:rsidR="00E03741" w:rsidRPr="00F27B4D" w:rsidRDefault="00E03741" w:rsidP="00E73104">
      <w:pPr>
        <w:jc w:val="both"/>
        <w:rPr>
          <w:rFonts w:asciiTheme="minorHAnsi" w:hAnsiTheme="minorHAnsi" w:cstheme="minorHAnsi"/>
          <w:color w:val="auto"/>
          <w:sz w:val="22"/>
          <w:szCs w:val="22"/>
        </w:rPr>
      </w:pPr>
      <w:r w:rsidRPr="00F27B4D">
        <w:rPr>
          <w:rFonts w:asciiTheme="minorHAnsi" w:hAnsiTheme="minorHAnsi" w:cstheme="minorHAnsi"/>
          <w:color w:val="auto"/>
          <w:sz w:val="22"/>
          <w:szCs w:val="22"/>
        </w:rPr>
        <w:t>The comparative analysis reveals two common patterns of occupational segregation across all four countries: horizontal segregation and vertical segregation.</w:t>
      </w:r>
    </w:p>
    <w:p w14:paraId="5CC86187" w14:textId="77777777" w:rsidR="00617D60" w:rsidRPr="00F27B4D" w:rsidRDefault="00617D60" w:rsidP="00E73104">
      <w:pPr>
        <w:jc w:val="both"/>
        <w:rPr>
          <w:rFonts w:asciiTheme="minorHAnsi" w:hAnsiTheme="minorHAnsi" w:cstheme="minorHAnsi"/>
          <w:color w:val="auto"/>
          <w:sz w:val="22"/>
          <w:szCs w:val="22"/>
        </w:rPr>
      </w:pPr>
    </w:p>
    <w:p w14:paraId="62D68125" w14:textId="77777777" w:rsidR="00E03741" w:rsidRPr="00F27B4D" w:rsidRDefault="00E03741" w:rsidP="00E73104">
      <w:pPr>
        <w:jc w:val="both"/>
        <w:rPr>
          <w:rFonts w:asciiTheme="minorHAnsi" w:hAnsiTheme="minorHAnsi" w:cstheme="minorHAnsi"/>
          <w:color w:val="auto"/>
          <w:sz w:val="22"/>
          <w:szCs w:val="22"/>
        </w:rPr>
      </w:pPr>
      <w:r w:rsidRPr="00F27B4D">
        <w:rPr>
          <w:rFonts w:asciiTheme="minorHAnsi" w:hAnsiTheme="minorHAnsi" w:cstheme="minorHAnsi"/>
          <w:b/>
          <w:bCs/>
          <w:color w:val="auto"/>
          <w:sz w:val="22"/>
          <w:szCs w:val="22"/>
        </w:rPr>
        <w:t>Horizontal segregation</w:t>
      </w:r>
      <w:r w:rsidRPr="00F27B4D">
        <w:rPr>
          <w:rFonts w:asciiTheme="minorHAnsi" w:hAnsiTheme="minorHAnsi" w:cstheme="minorHAnsi"/>
          <w:color w:val="auto"/>
          <w:sz w:val="22"/>
          <w:szCs w:val="22"/>
        </w:rPr>
        <w:t xml:space="preserve"> refers to the concentration of women and men in different types of roles. In all four DIKTAS II countries, women are clustered in administrative, financial, human resources, and EU project management functions, while technical operations, field work, infrastructure construction, and engineering remain male-dominated. This pattern is directly linked to gendered educational pathways: men are disproportionately enrolled in civil engineering, geodesy, hydrology, and mechanical engineering </w:t>
      </w:r>
      <w:r w:rsidRPr="00A92C6D">
        <w:rPr>
          <w:rFonts w:asciiTheme="minorHAnsi" w:hAnsiTheme="minorHAnsi" w:cstheme="minorHAnsi"/>
          <w:color w:val="auto"/>
          <w:sz w:val="22"/>
          <w:szCs w:val="22"/>
          <w:lang w:val="en-GB"/>
        </w:rPr>
        <w:t>programmes</w:t>
      </w:r>
      <w:r w:rsidRPr="00F27B4D">
        <w:rPr>
          <w:rFonts w:asciiTheme="minorHAnsi" w:hAnsiTheme="minorHAnsi" w:cstheme="minorHAnsi"/>
          <w:color w:val="auto"/>
          <w:sz w:val="22"/>
          <w:szCs w:val="22"/>
        </w:rPr>
        <w:t xml:space="preserve"> that provide the technical qualifications required for water sector careers.</w:t>
      </w:r>
    </w:p>
    <w:p w14:paraId="3205CE08" w14:textId="77777777" w:rsidR="00617D60" w:rsidRPr="00F27B4D" w:rsidRDefault="00617D60" w:rsidP="00E73104">
      <w:pPr>
        <w:jc w:val="both"/>
        <w:rPr>
          <w:rFonts w:asciiTheme="minorHAnsi" w:hAnsiTheme="minorHAnsi" w:cstheme="minorHAnsi"/>
          <w:color w:val="auto"/>
          <w:sz w:val="22"/>
          <w:szCs w:val="22"/>
        </w:rPr>
      </w:pPr>
    </w:p>
    <w:p w14:paraId="5A256366" w14:textId="77777777" w:rsidR="00E03741" w:rsidRPr="00F27B4D" w:rsidRDefault="00E03741" w:rsidP="00E73104">
      <w:pPr>
        <w:jc w:val="both"/>
        <w:rPr>
          <w:rFonts w:asciiTheme="minorHAnsi" w:hAnsiTheme="minorHAnsi" w:cstheme="minorHAnsi"/>
          <w:color w:val="auto"/>
          <w:sz w:val="22"/>
          <w:szCs w:val="22"/>
        </w:rPr>
      </w:pPr>
      <w:r w:rsidRPr="00F27B4D">
        <w:rPr>
          <w:rFonts w:asciiTheme="minorHAnsi" w:hAnsiTheme="minorHAnsi" w:cstheme="minorHAnsi"/>
          <w:b/>
          <w:bCs/>
          <w:color w:val="auto"/>
          <w:sz w:val="22"/>
          <w:szCs w:val="22"/>
        </w:rPr>
        <w:t>Vertical segregation</w:t>
      </w:r>
      <w:r w:rsidRPr="00F27B4D">
        <w:rPr>
          <w:rFonts w:asciiTheme="minorHAnsi" w:hAnsiTheme="minorHAnsi" w:cstheme="minorHAnsi"/>
          <w:color w:val="auto"/>
          <w:sz w:val="22"/>
          <w:szCs w:val="22"/>
        </w:rPr>
        <w:t xml:space="preserve"> refers to the concentration of women at lower levels of the organizational hierarchy, the ‘glass ceiling’ effect. Even in countries like Croatia where women approach parity in overall staffing (46.8% of Croatian Waters staff), they hold 0% of General Director and Deputy Director positions (Croatian Waters, 2025). The root causes identified across the region include:</w:t>
      </w:r>
    </w:p>
    <w:p w14:paraId="425AFCFB" w14:textId="77777777" w:rsidR="00617D60" w:rsidRPr="00F27B4D" w:rsidRDefault="00617D60" w:rsidP="00E73104">
      <w:pPr>
        <w:jc w:val="both"/>
        <w:rPr>
          <w:rFonts w:asciiTheme="minorHAnsi" w:hAnsiTheme="minorHAnsi" w:cstheme="minorHAnsi"/>
          <w:color w:val="auto"/>
          <w:sz w:val="22"/>
          <w:szCs w:val="22"/>
        </w:rPr>
      </w:pPr>
    </w:p>
    <w:p w14:paraId="67631CAA" w14:textId="77777777" w:rsidR="00E03741" w:rsidRPr="00F27B4D"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F27B4D">
        <w:rPr>
          <w:rFonts w:asciiTheme="minorHAnsi" w:hAnsiTheme="minorHAnsi" w:cstheme="minorHAnsi"/>
          <w:b/>
          <w:bCs/>
          <w:color w:val="auto"/>
          <w:sz w:val="22"/>
          <w:szCs w:val="22"/>
        </w:rPr>
        <w:t xml:space="preserve">Cultural norms: </w:t>
      </w:r>
      <w:r w:rsidRPr="00F27B4D">
        <w:rPr>
          <w:rFonts w:asciiTheme="minorHAnsi" w:hAnsiTheme="minorHAnsi" w:cstheme="minorHAnsi"/>
          <w:color w:val="auto"/>
          <w:sz w:val="22"/>
          <w:szCs w:val="22"/>
        </w:rPr>
        <w:t>deeply ingrained beliefs about ‘appropriate’ roles for women and men lead to informal barriers against women’s advancement into leadership.</w:t>
      </w:r>
    </w:p>
    <w:p w14:paraId="604F9314" w14:textId="77777777" w:rsidR="00E03741" w:rsidRPr="00F27B4D"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F27B4D">
        <w:rPr>
          <w:rFonts w:asciiTheme="minorHAnsi" w:hAnsiTheme="minorHAnsi" w:cstheme="minorHAnsi"/>
          <w:b/>
          <w:bCs/>
          <w:color w:val="auto"/>
          <w:sz w:val="22"/>
          <w:szCs w:val="22"/>
        </w:rPr>
        <w:t xml:space="preserve">Hiring and promotion practices: </w:t>
      </w:r>
      <w:r w:rsidRPr="00F27B4D">
        <w:rPr>
          <w:rFonts w:asciiTheme="minorHAnsi" w:hAnsiTheme="minorHAnsi" w:cstheme="minorHAnsi"/>
          <w:color w:val="auto"/>
          <w:sz w:val="22"/>
          <w:szCs w:val="22"/>
        </w:rPr>
        <w:t>traditional career trajectory expectations disadvantage women who have taken career breaks for caregiving.</w:t>
      </w:r>
    </w:p>
    <w:p w14:paraId="67CA40A1" w14:textId="77777777" w:rsidR="00E03741" w:rsidRPr="00F27B4D"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F27B4D">
        <w:rPr>
          <w:rFonts w:asciiTheme="minorHAnsi" w:hAnsiTheme="minorHAnsi" w:cstheme="minorHAnsi"/>
          <w:b/>
          <w:bCs/>
          <w:color w:val="auto"/>
          <w:sz w:val="22"/>
          <w:szCs w:val="22"/>
        </w:rPr>
        <w:t xml:space="preserve">Workplace culture: </w:t>
      </w:r>
      <w:r w:rsidRPr="00F27B4D">
        <w:rPr>
          <w:rFonts w:asciiTheme="minorHAnsi" w:hAnsiTheme="minorHAnsi" w:cstheme="minorHAnsi"/>
          <w:color w:val="auto"/>
          <w:sz w:val="22"/>
          <w:szCs w:val="22"/>
        </w:rPr>
        <w:t>rigid working hours, field assignment expectations, and limited family-friendly policies create barriers for primary caregivers, the majority of whom are women.</w:t>
      </w:r>
    </w:p>
    <w:p w14:paraId="551E3C93" w14:textId="77777777" w:rsidR="00E03741" w:rsidRPr="00F27B4D"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F27B4D">
        <w:rPr>
          <w:rFonts w:asciiTheme="minorHAnsi" w:hAnsiTheme="minorHAnsi" w:cstheme="minorHAnsi"/>
          <w:b/>
          <w:bCs/>
          <w:color w:val="auto"/>
          <w:sz w:val="22"/>
          <w:szCs w:val="22"/>
        </w:rPr>
        <w:t xml:space="preserve">Lack of mentorship: </w:t>
      </w:r>
      <w:r w:rsidRPr="00F27B4D">
        <w:rPr>
          <w:rFonts w:asciiTheme="minorHAnsi" w:hAnsiTheme="minorHAnsi" w:cstheme="minorHAnsi"/>
          <w:color w:val="auto"/>
          <w:sz w:val="22"/>
          <w:szCs w:val="22"/>
        </w:rPr>
        <w:t>women in technical fields across the region consistently report fewer formal mentorship and sponsorship opportunities compared to male colleagues.</w:t>
      </w:r>
    </w:p>
    <w:p w14:paraId="0406B650" w14:textId="77777777" w:rsidR="00E03741" w:rsidRPr="00F27B4D"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F27B4D">
        <w:rPr>
          <w:rFonts w:asciiTheme="minorHAnsi" w:hAnsiTheme="minorHAnsi" w:cstheme="minorHAnsi"/>
          <w:b/>
          <w:bCs/>
          <w:color w:val="auto"/>
          <w:sz w:val="22"/>
          <w:szCs w:val="22"/>
        </w:rPr>
        <w:t xml:space="preserve">Pay and pension gaps: </w:t>
      </w:r>
      <w:r w:rsidRPr="00F27B4D">
        <w:rPr>
          <w:rFonts w:asciiTheme="minorHAnsi" w:hAnsiTheme="minorHAnsi" w:cstheme="minorHAnsi"/>
          <w:color w:val="auto"/>
          <w:sz w:val="22"/>
          <w:szCs w:val="22"/>
        </w:rPr>
        <w:t>cumulative effects of occupational segregation are reflected in Croatia’s 11.1% gender wage gap and 24.8% gender pension gap (Eurostat, 2023), representing the long-term financial cost of a career in lower-graded roles.</w:t>
      </w:r>
    </w:p>
    <w:p w14:paraId="5D968DA5" w14:textId="77777777" w:rsidR="00F27B4D" w:rsidRPr="00556170" w:rsidRDefault="00F27B4D" w:rsidP="00F27B4D">
      <w:pPr>
        <w:pStyle w:val="Pasussalistom"/>
        <w:ind w:left="540"/>
        <w:contextualSpacing w:val="0"/>
        <w:jc w:val="both"/>
        <w:rPr>
          <w:rFonts w:asciiTheme="minorHAnsi" w:hAnsiTheme="minorHAnsi" w:cstheme="minorHAnsi"/>
          <w:sz w:val="22"/>
          <w:szCs w:val="22"/>
        </w:rPr>
      </w:pPr>
    </w:p>
    <w:p w14:paraId="108CC58D" w14:textId="73C4CBCE" w:rsidR="00E03741" w:rsidRPr="00556170" w:rsidRDefault="00E03741" w:rsidP="00E73104">
      <w:pPr>
        <w:pStyle w:val="Naslov2"/>
        <w:spacing w:before="0" w:after="0"/>
        <w:jc w:val="both"/>
        <w:rPr>
          <w:rFonts w:asciiTheme="minorHAnsi" w:hAnsiTheme="minorHAnsi" w:cstheme="minorHAnsi"/>
          <w:sz w:val="22"/>
          <w:szCs w:val="22"/>
        </w:rPr>
      </w:pPr>
      <w:bookmarkStart w:id="23" w:name="_Toc224128606"/>
      <w:r w:rsidRPr="00556170">
        <w:rPr>
          <w:rFonts w:asciiTheme="minorHAnsi" w:eastAsia="Arial" w:hAnsiTheme="minorHAnsi" w:cstheme="minorHAnsi"/>
          <w:b/>
          <w:bCs/>
          <w:color w:val="2E75B6"/>
          <w:sz w:val="22"/>
          <w:szCs w:val="22"/>
        </w:rPr>
        <w:t>4.2 Access to Water Resources and Economic Opportunities</w:t>
      </w:r>
      <w:bookmarkEnd w:id="23"/>
    </w:p>
    <w:p w14:paraId="03836554" w14:textId="77777777" w:rsidR="00E03741" w:rsidRDefault="00E03741" w:rsidP="00E73104">
      <w:pPr>
        <w:jc w:val="both"/>
        <w:rPr>
          <w:rFonts w:asciiTheme="minorHAnsi" w:hAnsiTheme="minorHAnsi" w:cstheme="minorHAnsi"/>
          <w:color w:val="auto"/>
          <w:sz w:val="22"/>
          <w:szCs w:val="22"/>
        </w:rPr>
      </w:pPr>
      <w:r w:rsidRPr="00F27B4D">
        <w:rPr>
          <w:rFonts w:asciiTheme="minorHAnsi" w:hAnsiTheme="minorHAnsi" w:cstheme="minorHAnsi"/>
          <w:color w:val="auto"/>
          <w:sz w:val="22"/>
          <w:szCs w:val="22"/>
        </w:rPr>
        <w:t>Women’s access to water as an economic resource is constrained by broader patterns of asset ownership and control across the region. Asset ownership, particularly land, is the gateway to formal credit, agricultural subsidies, water infrastructure investment, and legal standing in resource management decisions. Its concentration in men’s hands directly excludes women from the economic dimension of water governance.</w:t>
      </w:r>
    </w:p>
    <w:p w14:paraId="34F4A55F" w14:textId="77777777" w:rsidR="008A18C2" w:rsidRPr="00F27B4D" w:rsidRDefault="008A18C2" w:rsidP="00E73104">
      <w:pPr>
        <w:jc w:val="both"/>
        <w:rPr>
          <w:rFonts w:asciiTheme="minorHAnsi" w:hAnsiTheme="minorHAnsi" w:cstheme="minorHAnsi"/>
          <w:color w:val="auto"/>
          <w:sz w:val="22"/>
          <w:szCs w:val="22"/>
        </w:rPr>
      </w:pPr>
    </w:p>
    <w:p w14:paraId="62D2F658" w14:textId="77777777" w:rsidR="00E03741" w:rsidRPr="00A92C6D" w:rsidRDefault="00E03741" w:rsidP="00E73104">
      <w:pPr>
        <w:pBdr>
          <w:left w:val="single" w:sz="14" w:space="8" w:color="1B5E20"/>
        </w:pBdr>
        <w:shd w:val="clear" w:color="auto" w:fill="E8F5E9"/>
        <w:ind w:left="400"/>
        <w:jc w:val="both"/>
        <w:rPr>
          <w:rFonts w:asciiTheme="minorHAnsi" w:hAnsiTheme="minorHAnsi" w:cstheme="minorHAnsi"/>
          <w:sz w:val="22"/>
          <w:szCs w:val="22"/>
          <w:lang w:val="en-GB"/>
        </w:rPr>
      </w:pPr>
      <w:r w:rsidRPr="00556170">
        <w:rPr>
          <w:rFonts w:asciiTheme="minorHAnsi" w:hAnsiTheme="minorHAnsi" w:cstheme="minorHAnsi"/>
          <w:b/>
          <w:bCs/>
          <w:color w:val="1B5E20"/>
          <w:sz w:val="22"/>
          <w:szCs w:val="22"/>
        </w:rPr>
        <w:lastRenderedPageBreak/>
        <w:t xml:space="preserve">Albania: </w:t>
      </w:r>
      <w:r w:rsidRPr="00D50A17">
        <w:rPr>
          <w:rFonts w:asciiTheme="minorHAnsi" w:hAnsiTheme="minorHAnsi" w:cstheme="minorHAnsi"/>
          <w:color w:val="auto"/>
          <w:sz w:val="22"/>
          <w:szCs w:val="22"/>
        </w:rPr>
        <w:t xml:space="preserve">Only 8% of women own land (2023; INSTAT), severely limiting their ability to access credit, invest in water-related technologies, and make autonomous agricultural water decisions. Women manage an estimated 66% of household water use (2021; Water Sector Gender Assessment) yet remain </w:t>
      </w:r>
      <w:r w:rsidRPr="00A92C6D">
        <w:rPr>
          <w:rFonts w:asciiTheme="minorHAnsi" w:hAnsiTheme="minorHAnsi" w:cstheme="minorHAnsi"/>
          <w:color w:val="auto"/>
          <w:sz w:val="22"/>
          <w:szCs w:val="22"/>
          <w:lang w:val="en-GB"/>
        </w:rPr>
        <w:t>marginalised</w:t>
      </w:r>
      <w:r w:rsidRPr="00D50A17">
        <w:rPr>
          <w:rFonts w:asciiTheme="minorHAnsi" w:hAnsiTheme="minorHAnsi" w:cstheme="minorHAnsi"/>
          <w:color w:val="auto"/>
          <w:sz w:val="22"/>
          <w:szCs w:val="22"/>
        </w:rPr>
        <w:t xml:space="preserve"> from formal water-related employment. Albania’s female agricultural </w:t>
      </w:r>
      <w:r w:rsidRPr="00A92C6D">
        <w:rPr>
          <w:rFonts w:asciiTheme="minorHAnsi" w:hAnsiTheme="minorHAnsi" w:cstheme="minorHAnsi"/>
          <w:color w:val="auto"/>
          <w:sz w:val="22"/>
          <w:szCs w:val="22"/>
          <w:lang w:val="en-GB"/>
        </w:rPr>
        <w:t>labour force constitutes 40.1% of the total agricultural workforce, contributing 17.7% of GDP (2024; UN Women Albania). Yet only 19% of agricultural subsidy applicants in 2019 were women (UN Women Albania, 2024), a structural exclusion that directly limits rural women’s capacity to invest in water-saving technologies and irrigation improvements.</w:t>
      </w:r>
    </w:p>
    <w:p w14:paraId="52417BF6" w14:textId="77777777" w:rsidR="00E03741" w:rsidRPr="00A92C6D" w:rsidRDefault="00E03741" w:rsidP="00E73104">
      <w:pPr>
        <w:jc w:val="both"/>
        <w:rPr>
          <w:rFonts w:asciiTheme="minorHAnsi" w:hAnsiTheme="minorHAnsi" w:cstheme="minorHAnsi"/>
          <w:sz w:val="22"/>
          <w:szCs w:val="22"/>
          <w:lang w:val="en-GB"/>
        </w:rPr>
      </w:pPr>
    </w:p>
    <w:p w14:paraId="353D7F15" w14:textId="77777777" w:rsidR="00E03741" w:rsidRPr="00A92C6D" w:rsidRDefault="00E03741" w:rsidP="00E73104">
      <w:pPr>
        <w:pBdr>
          <w:left w:val="single" w:sz="14" w:space="8" w:color="B71C1C"/>
        </w:pBdr>
        <w:shd w:val="clear" w:color="auto" w:fill="FFEBEE"/>
        <w:ind w:left="400"/>
        <w:jc w:val="both"/>
        <w:rPr>
          <w:rFonts w:asciiTheme="minorHAnsi" w:hAnsiTheme="minorHAnsi" w:cstheme="minorHAnsi"/>
          <w:sz w:val="22"/>
          <w:szCs w:val="22"/>
          <w:lang w:val="en-GB"/>
        </w:rPr>
      </w:pPr>
      <w:r w:rsidRPr="00A92C6D">
        <w:rPr>
          <w:rFonts w:asciiTheme="minorHAnsi" w:hAnsiTheme="minorHAnsi" w:cstheme="minorHAnsi"/>
          <w:b/>
          <w:bCs/>
          <w:color w:val="B71C1C"/>
          <w:sz w:val="22"/>
          <w:szCs w:val="22"/>
          <w:lang w:val="en-GB"/>
        </w:rPr>
        <w:t xml:space="preserve">Bosnia and Herzegovina: </w:t>
      </w:r>
      <w:r w:rsidRPr="00A92C6D">
        <w:rPr>
          <w:rFonts w:asciiTheme="minorHAnsi" w:hAnsiTheme="minorHAnsi" w:cstheme="minorHAnsi"/>
          <w:color w:val="auto"/>
          <w:sz w:val="22"/>
          <w:szCs w:val="22"/>
          <w:lang w:val="en-GB"/>
        </w:rPr>
        <w:t xml:space="preserve">Men represent over 70% of </w:t>
      </w:r>
      <w:proofErr w:type="gramStart"/>
      <w:r w:rsidRPr="00A92C6D">
        <w:rPr>
          <w:rFonts w:asciiTheme="minorHAnsi" w:hAnsiTheme="minorHAnsi" w:cstheme="minorHAnsi"/>
          <w:color w:val="auto"/>
          <w:sz w:val="22"/>
          <w:szCs w:val="22"/>
          <w:lang w:val="en-GB"/>
        </w:rPr>
        <w:t>land owners</w:t>
      </w:r>
      <w:proofErr w:type="gramEnd"/>
      <w:r w:rsidRPr="00A92C6D">
        <w:rPr>
          <w:rFonts w:asciiTheme="minorHAnsi" w:hAnsiTheme="minorHAnsi" w:cstheme="minorHAnsi"/>
          <w:color w:val="auto"/>
          <w:sz w:val="22"/>
          <w:szCs w:val="22"/>
          <w:lang w:val="en-GB"/>
        </w:rPr>
        <w:t xml:space="preserve"> and 74% of dwelling owners (2022; BHAS). Women’s economic contributions in the water sector are often confined to the informal economy or performed as unpaid family work, making their labour invisible in official statistics (UN Women, 2022). This invisibility has a direct policy consequence: when women’s water-related labour is uncounted, it is also undervalued and excluded from public investment decisions.</w:t>
      </w:r>
    </w:p>
    <w:p w14:paraId="134125FE" w14:textId="77777777" w:rsidR="00E03741" w:rsidRPr="00A92C6D" w:rsidRDefault="00E03741" w:rsidP="00E73104">
      <w:pPr>
        <w:jc w:val="both"/>
        <w:rPr>
          <w:rFonts w:asciiTheme="minorHAnsi" w:hAnsiTheme="minorHAnsi" w:cstheme="minorHAnsi"/>
          <w:sz w:val="22"/>
          <w:szCs w:val="22"/>
          <w:lang w:val="en-GB"/>
        </w:rPr>
      </w:pPr>
    </w:p>
    <w:p w14:paraId="455B4130" w14:textId="77777777" w:rsidR="00E03741" w:rsidRPr="00A92C6D" w:rsidRDefault="00E03741" w:rsidP="00E73104">
      <w:pPr>
        <w:pBdr>
          <w:left w:val="single" w:sz="14" w:space="8" w:color="3E2723"/>
        </w:pBdr>
        <w:shd w:val="clear" w:color="auto" w:fill="EFEBE9"/>
        <w:ind w:left="400"/>
        <w:jc w:val="both"/>
        <w:rPr>
          <w:rFonts w:asciiTheme="minorHAnsi" w:hAnsiTheme="minorHAnsi" w:cstheme="minorHAnsi"/>
          <w:sz w:val="22"/>
          <w:szCs w:val="22"/>
          <w:lang w:val="en-GB"/>
        </w:rPr>
      </w:pPr>
      <w:r w:rsidRPr="00A92C6D">
        <w:rPr>
          <w:rFonts w:asciiTheme="minorHAnsi" w:hAnsiTheme="minorHAnsi" w:cstheme="minorHAnsi"/>
          <w:b/>
          <w:bCs/>
          <w:color w:val="3E2723"/>
          <w:sz w:val="22"/>
          <w:szCs w:val="22"/>
          <w:lang w:val="en-GB"/>
        </w:rPr>
        <w:t xml:space="preserve">Montenegro: </w:t>
      </w:r>
      <w:r w:rsidRPr="00A92C6D">
        <w:rPr>
          <w:rFonts w:asciiTheme="minorHAnsi" w:hAnsiTheme="minorHAnsi" w:cstheme="minorHAnsi"/>
          <w:color w:val="auto"/>
          <w:sz w:val="22"/>
          <w:szCs w:val="22"/>
          <w:lang w:val="en-GB"/>
        </w:rPr>
        <w:t>Only 13% of family farm holders are women and less than 20% of agricultural land is registered in women’s names (2025; UN Montenegro). This lack of formal land title prevents women from accessing credit and investing in water infrastructure. Women’s total contribution to GDP is 44% vs. 56% for men (2020; UNDP Montenegro), yet women constitute 73% of family workers while only 24% of the self-employed (2025; UN Montenegro/MONSTAT), illustrating of unremunerated labour being excluded from formal economic recognition.</w:t>
      </w:r>
    </w:p>
    <w:p w14:paraId="58E0A5F4" w14:textId="77777777" w:rsidR="00E03741" w:rsidRPr="00556170" w:rsidRDefault="00E03741" w:rsidP="00E73104">
      <w:pPr>
        <w:jc w:val="both"/>
        <w:rPr>
          <w:rFonts w:asciiTheme="minorHAnsi" w:hAnsiTheme="minorHAnsi" w:cstheme="minorHAnsi"/>
          <w:sz w:val="22"/>
          <w:szCs w:val="22"/>
        </w:rPr>
      </w:pPr>
    </w:p>
    <w:p w14:paraId="3D4B6179" w14:textId="77777777" w:rsidR="00E03741" w:rsidRPr="00556170" w:rsidRDefault="00E03741" w:rsidP="00E73104">
      <w:pPr>
        <w:pBdr>
          <w:left w:val="single" w:sz="14" w:space="8" w:color="4A148C"/>
        </w:pBdr>
        <w:shd w:val="clear" w:color="auto" w:fill="F3E5F5"/>
        <w:ind w:left="400"/>
        <w:jc w:val="both"/>
        <w:rPr>
          <w:rFonts w:asciiTheme="minorHAnsi" w:hAnsiTheme="minorHAnsi" w:cstheme="minorHAnsi"/>
          <w:sz w:val="22"/>
          <w:szCs w:val="22"/>
        </w:rPr>
      </w:pPr>
      <w:r w:rsidRPr="00556170">
        <w:rPr>
          <w:rFonts w:asciiTheme="minorHAnsi" w:hAnsiTheme="minorHAnsi" w:cstheme="minorHAnsi"/>
          <w:b/>
          <w:bCs/>
          <w:color w:val="4A148C"/>
          <w:sz w:val="22"/>
          <w:szCs w:val="22"/>
        </w:rPr>
        <w:t xml:space="preserve">Croatia: </w:t>
      </w:r>
      <w:r w:rsidRPr="00F3650D">
        <w:rPr>
          <w:rFonts w:asciiTheme="minorHAnsi" w:hAnsiTheme="minorHAnsi" w:cstheme="minorHAnsi"/>
          <w:color w:val="auto"/>
          <w:sz w:val="22"/>
          <w:szCs w:val="22"/>
        </w:rPr>
        <w:t>Despite higher overall development, Croatia exhibits a striking structural paradox: women account for 59.9% of university graduates (2021; Croatian Bureau of Statistics) and 55.4% of PhD holders yet face the fifth-lowest female employment rate in the EU at 65.0% (2023; Eurostat). This ‘qualification-to-employment gap’ is not a skills shortage but a structural failure: women are being educated but not absorbed into the economy at rates commensurate with their qualifications. In the water sector specifically, this manifests as near-parity in overall Croatian Waters staffing (46.8%) but a complete absence of women from Director-level positions.</w:t>
      </w:r>
    </w:p>
    <w:p w14:paraId="0FE74503" w14:textId="77777777" w:rsidR="00E03741" w:rsidRPr="00556170" w:rsidRDefault="00E03741" w:rsidP="00E73104">
      <w:pPr>
        <w:jc w:val="both"/>
        <w:rPr>
          <w:rFonts w:asciiTheme="minorHAnsi" w:hAnsiTheme="minorHAnsi" w:cstheme="minorHAnsi"/>
          <w:sz w:val="22"/>
          <w:szCs w:val="22"/>
        </w:rPr>
      </w:pPr>
      <w:r w:rsidRPr="00556170">
        <w:rPr>
          <w:rFonts w:asciiTheme="minorHAnsi" w:hAnsiTheme="minorHAnsi" w:cstheme="minorHAnsi"/>
          <w:sz w:val="22"/>
          <w:szCs w:val="22"/>
        </w:rPr>
        <w:br w:type="page"/>
      </w:r>
    </w:p>
    <w:p w14:paraId="364F46B4" w14:textId="77777777" w:rsidR="00E03741" w:rsidRPr="00556170" w:rsidRDefault="00E03741" w:rsidP="00E73104">
      <w:pPr>
        <w:pStyle w:val="Naslov1"/>
        <w:pBdr>
          <w:bottom w:val="single" w:sz="8" w:space="4" w:color="2E75B6"/>
        </w:pBdr>
        <w:spacing w:before="0" w:after="0"/>
        <w:jc w:val="both"/>
        <w:rPr>
          <w:rFonts w:asciiTheme="minorHAnsi" w:hAnsiTheme="minorHAnsi" w:cstheme="minorHAnsi"/>
          <w:sz w:val="22"/>
          <w:szCs w:val="22"/>
        </w:rPr>
      </w:pPr>
      <w:bookmarkStart w:id="24" w:name="_Toc224128607"/>
      <w:r w:rsidRPr="00556170">
        <w:rPr>
          <w:rFonts w:asciiTheme="minorHAnsi" w:eastAsia="Arial" w:hAnsiTheme="minorHAnsi" w:cstheme="minorHAnsi"/>
          <w:b/>
          <w:bCs/>
          <w:color w:val="1F4E79"/>
          <w:sz w:val="22"/>
          <w:szCs w:val="22"/>
        </w:rPr>
        <w:lastRenderedPageBreak/>
        <w:t>5</w:t>
      </w:r>
      <w:proofErr w:type="gramStart"/>
      <w:r w:rsidRPr="00556170">
        <w:rPr>
          <w:rFonts w:asciiTheme="minorHAnsi" w:eastAsia="Arial" w:hAnsiTheme="minorHAnsi" w:cstheme="minorHAnsi"/>
          <w:b/>
          <w:bCs/>
          <w:color w:val="1F4E79"/>
          <w:sz w:val="22"/>
          <w:szCs w:val="22"/>
        </w:rPr>
        <w:t>.  COMPARATIVE</w:t>
      </w:r>
      <w:proofErr w:type="gramEnd"/>
      <w:r w:rsidRPr="00556170">
        <w:rPr>
          <w:rFonts w:asciiTheme="minorHAnsi" w:eastAsia="Arial" w:hAnsiTheme="minorHAnsi" w:cstheme="minorHAnsi"/>
          <w:b/>
          <w:bCs/>
          <w:color w:val="1F4E79"/>
          <w:sz w:val="22"/>
          <w:szCs w:val="22"/>
        </w:rPr>
        <w:t xml:space="preserve"> GENDER ANALYSIS: WATER AS A SERVICE</w:t>
      </w:r>
      <w:bookmarkEnd w:id="24"/>
    </w:p>
    <w:p w14:paraId="1A582D3A" w14:textId="14D67296" w:rsidR="00E03741" w:rsidRPr="002262C8" w:rsidRDefault="00E03741" w:rsidP="00E73104">
      <w:pPr>
        <w:jc w:val="both"/>
        <w:rPr>
          <w:rFonts w:asciiTheme="minorHAnsi" w:hAnsiTheme="minorHAnsi" w:cstheme="minorHAnsi"/>
          <w:color w:val="auto"/>
          <w:sz w:val="22"/>
          <w:szCs w:val="22"/>
        </w:rPr>
      </w:pPr>
      <w:r w:rsidRPr="002262C8">
        <w:rPr>
          <w:rFonts w:asciiTheme="minorHAnsi" w:hAnsiTheme="minorHAnsi" w:cstheme="minorHAnsi"/>
          <w:color w:val="auto"/>
          <w:sz w:val="22"/>
          <w:szCs w:val="22"/>
        </w:rPr>
        <w:t xml:space="preserve">This section compares gendered burdens associated with water collection, household management, and unpaid care work. Women across the region bear disproportionate time burdens that restrict their participation in education, employment, and public life. The ‘Water as a Service’ dimension captures a fundamental dimension of gender inequality: because women are overwhelmingly assigned responsibility for household water management, the quality, reliability, and distance of water supply directly </w:t>
      </w:r>
      <w:r w:rsidR="002262C8" w:rsidRPr="002262C8">
        <w:rPr>
          <w:rFonts w:asciiTheme="minorHAnsi" w:hAnsiTheme="minorHAnsi" w:cstheme="minorHAnsi"/>
          <w:color w:val="auto"/>
          <w:sz w:val="22"/>
          <w:szCs w:val="22"/>
        </w:rPr>
        <w:t>determine</w:t>
      </w:r>
      <w:r w:rsidRPr="002262C8">
        <w:rPr>
          <w:rFonts w:asciiTheme="minorHAnsi" w:hAnsiTheme="minorHAnsi" w:cstheme="minorHAnsi"/>
          <w:color w:val="auto"/>
          <w:sz w:val="22"/>
          <w:szCs w:val="22"/>
        </w:rPr>
        <w:t xml:space="preserve"> how much of women’s time is consumed by domestic </w:t>
      </w:r>
      <w:r w:rsidRPr="00A92C6D">
        <w:rPr>
          <w:rFonts w:asciiTheme="minorHAnsi" w:hAnsiTheme="minorHAnsi" w:cstheme="minorHAnsi"/>
          <w:color w:val="auto"/>
          <w:sz w:val="22"/>
          <w:szCs w:val="22"/>
          <w:lang w:val="en-GB"/>
        </w:rPr>
        <w:t>labour.</w:t>
      </w:r>
      <w:r w:rsidRPr="002262C8">
        <w:rPr>
          <w:rFonts w:asciiTheme="minorHAnsi" w:hAnsiTheme="minorHAnsi" w:cstheme="minorHAnsi"/>
          <w:color w:val="auto"/>
          <w:sz w:val="22"/>
          <w:szCs w:val="22"/>
        </w:rPr>
        <w:t xml:space="preserve"> When water is unreliable, scarce, or distant, it is women who bear the additional burden. This section examines both the direct burden of water collection and the broader pattern of unpaid care work in which water management is embedded.</w:t>
      </w:r>
    </w:p>
    <w:p w14:paraId="34DF4AFD" w14:textId="77777777" w:rsidR="002262C8" w:rsidRPr="00556170" w:rsidRDefault="002262C8" w:rsidP="00E73104">
      <w:pPr>
        <w:jc w:val="both"/>
        <w:rPr>
          <w:rFonts w:asciiTheme="minorHAnsi" w:hAnsiTheme="minorHAnsi" w:cstheme="minorHAnsi"/>
          <w:sz w:val="22"/>
          <w:szCs w:val="22"/>
        </w:rPr>
      </w:pPr>
    </w:p>
    <w:p w14:paraId="43CBC8A3" w14:textId="60CB91D7" w:rsidR="00E03741" w:rsidRPr="00556170" w:rsidRDefault="00E03741" w:rsidP="00E73104">
      <w:pPr>
        <w:pStyle w:val="Naslov2"/>
        <w:spacing w:before="0" w:after="0"/>
        <w:jc w:val="both"/>
        <w:rPr>
          <w:rFonts w:asciiTheme="minorHAnsi" w:hAnsiTheme="minorHAnsi" w:cstheme="minorHAnsi"/>
          <w:sz w:val="22"/>
          <w:szCs w:val="22"/>
        </w:rPr>
      </w:pPr>
      <w:bookmarkStart w:id="25" w:name="_Toc224128608"/>
      <w:r w:rsidRPr="00556170">
        <w:rPr>
          <w:rFonts w:asciiTheme="minorHAnsi" w:eastAsia="Arial" w:hAnsiTheme="minorHAnsi" w:cstheme="minorHAnsi"/>
          <w:b/>
          <w:bCs/>
          <w:color w:val="2E75B6"/>
          <w:sz w:val="22"/>
          <w:szCs w:val="22"/>
        </w:rPr>
        <w:t>5.1 Time Burden and Unpaid Care Work</w:t>
      </w:r>
      <w:bookmarkEnd w:id="25"/>
    </w:p>
    <w:p w14:paraId="07BFAD6C" w14:textId="77777777" w:rsidR="00E03741" w:rsidRPr="00556170" w:rsidRDefault="00E03741" w:rsidP="00E73104">
      <w:pPr>
        <w:jc w:val="both"/>
        <w:rPr>
          <w:rFonts w:asciiTheme="minorHAnsi" w:hAnsiTheme="minorHAnsi" w:cstheme="minorHAnsi"/>
          <w:sz w:val="22"/>
          <w:szCs w:val="22"/>
        </w:rPr>
      </w:pPr>
    </w:p>
    <w:p w14:paraId="5F6CC47A" w14:textId="77777777" w:rsidR="00E03741" w:rsidRPr="00556170" w:rsidRDefault="00E03741" w:rsidP="00E73104">
      <w:pPr>
        <w:pBdr>
          <w:left w:val="single" w:sz="14" w:space="8" w:color="1B5E20"/>
        </w:pBdr>
        <w:shd w:val="clear" w:color="auto" w:fill="E8F5E9"/>
        <w:ind w:left="400"/>
        <w:jc w:val="both"/>
        <w:rPr>
          <w:rFonts w:asciiTheme="minorHAnsi" w:hAnsiTheme="minorHAnsi" w:cstheme="minorHAnsi"/>
          <w:sz w:val="22"/>
          <w:szCs w:val="22"/>
        </w:rPr>
      </w:pPr>
      <w:r w:rsidRPr="00556170">
        <w:rPr>
          <w:rFonts w:asciiTheme="minorHAnsi" w:hAnsiTheme="minorHAnsi" w:cstheme="minorHAnsi"/>
          <w:b/>
          <w:bCs/>
          <w:color w:val="1B5E20"/>
          <w:sz w:val="22"/>
          <w:szCs w:val="22"/>
        </w:rPr>
        <w:t xml:space="preserve">Albania: </w:t>
      </w:r>
      <w:r w:rsidRPr="00645DAB">
        <w:rPr>
          <w:rFonts w:asciiTheme="minorHAnsi" w:hAnsiTheme="minorHAnsi" w:cstheme="minorHAnsi"/>
          <w:color w:val="auto"/>
          <w:sz w:val="22"/>
          <w:szCs w:val="22"/>
        </w:rPr>
        <w:t>Women spend 24.7% of their time on unpaid care and domestic work compared to only 3.5% for men (2010–2011; INSTAT Time Use Survey). This equates to approximately 5.5 hours per day for women versus 0.5–1 hour per day for men, a ratio of approximately 6:1 (INSTAT, 2011). Women's share of all unpaid work reaches 86% (INSTAT, 2011). In rural areas without piped water access (approximately 20% of the rural population; 2022, WHO/UNICEF JMP), women are primarily responsible for water collection, a time-consuming task that directly limits educational and employment opportunities.</w:t>
      </w:r>
    </w:p>
    <w:p w14:paraId="6ABA57A8" w14:textId="77777777" w:rsidR="00E03741" w:rsidRPr="00556170" w:rsidRDefault="00E03741" w:rsidP="00E73104">
      <w:pPr>
        <w:jc w:val="both"/>
        <w:rPr>
          <w:rFonts w:asciiTheme="minorHAnsi" w:hAnsiTheme="minorHAnsi" w:cstheme="minorHAnsi"/>
          <w:sz w:val="22"/>
          <w:szCs w:val="22"/>
        </w:rPr>
      </w:pPr>
    </w:p>
    <w:p w14:paraId="09C1B1FC" w14:textId="77777777" w:rsidR="00E03741" w:rsidRPr="00645DAB" w:rsidRDefault="00E03741" w:rsidP="00E73104">
      <w:pPr>
        <w:pBdr>
          <w:left w:val="single" w:sz="14" w:space="8" w:color="B71C1C"/>
        </w:pBdr>
        <w:shd w:val="clear" w:color="auto" w:fill="FFEBEE"/>
        <w:ind w:left="400"/>
        <w:jc w:val="both"/>
        <w:rPr>
          <w:rFonts w:asciiTheme="minorHAnsi" w:hAnsiTheme="minorHAnsi" w:cstheme="minorHAnsi"/>
          <w:color w:val="auto"/>
          <w:sz w:val="22"/>
          <w:szCs w:val="22"/>
        </w:rPr>
      </w:pPr>
      <w:r w:rsidRPr="00556170">
        <w:rPr>
          <w:rFonts w:asciiTheme="minorHAnsi" w:hAnsiTheme="minorHAnsi" w:cstheme="minorHAnsi"/>
          <w:b/>
          <w:bCs/>
          <w:color w:val="B71C1C"/>
          <w:sz w:val="22"/>
          <w:szCs w:val="22"/>
        </w:rPr>
        <w:t xml:space="preserve">Bosnia and Herzegovina: </w:t>
      </w:r>
      <w:r w:rsidRPr="00645DAB">
        <w:rPr>
          <w:rFonts w:asciiTheme="minorHAnsi" w:hAnsiTheme="minorHAnsi" w:cstheme="minorHAnsi"/>
          <w:color w:val="auto"/>
          <w:sz w:val="22"/>
          <w:szCs w:val="22"/>
        </w:rPr>
        <w:t>Women spend more than six hours daily on unpaid care work compared to just over three hours for men (2023; UN Women/Economic Institute Sarajevo). Women constitute 67% of total unpaid household assistants (2022; UN Women). Only 46% of the population (2022; WHO/UNICEF JMP) has access to safely managed drinking water, placing additional time burdens on women in underserved areas. The UN Women Baseline Study on the Care Economy (2023) found that 85% of women cook at least once daily versus 27% of men, and only 1% of households outsource care work.</w:t>
      </w:r>
    </w:p>
    <w:p w14:paraId="66D5BDE0" w14:textId="77777777" w:rsidR="00E03741" w:rsidRPr="00556170" w:rsidRDefault="00E03741" w:rsidP="00E73104">
      <w:pPr>
        <w:jc w:val="both"/>
        <w:rPr>
          <w:rFonts w:asciiTheme="minorHAnsi" w:hAnsiTheme="minorHAnsi" w:cstheme="minorHAnsi"/>
          <w:sz w:val="22"/>
          <w:szCs w:val="22"/>
        </w:rPr>
      </w:pPr>
    </w:p>
    <w:p w14:paraId="30E23675" w14:textId="77777777" w:rsidR="00E03741" w:rsidRPr="00556170" w:rsidRDefault="00E03741" w:rsidP="00E73104">
      <w:pPr>
        <w:pBdr>
          <w:left w:val="single" w:sz="14" w:space="8" w:color="4A148C"/>
        </w:pBdr>
        <w:shd w:val="clear" w:color="auto" w:fill="F3E5F5"/>
        <w:ind w:left="400"/>
        <w:jc w:val="both"/>
        <w:rPr>
          <w:rFonts w:asciiTheme="minorHAnsi" w:hAnsiTheme="minorHAnsi" w:cstheme="minorHAnsi"/>
          <w:sz w:val="22"/>
          <w:szCs w:val="22"/>
        </w:rPr>
      </w:pPr>
      <w:r w:rsidRPr="00556170">
        <w:rPr>
          <w:rFonts w:asciiTheme="minorHAnsi" w:hAnsiTheme="minorHAnsi" w:cstheme="minorHAnsi"/>
          <w:b/>
          <w:bCs/>
          <w:color w:val="4A148C"/>
          <w:sz w:val="22"/>
          <w:szCs w:val="22"/>
        </w:rPr>
        <w:t xml:space="preserve">Croatia: </w:t>
      </w:r>
      <w:r w:rsidRPr="00883E36">
        <w:rPr>
          <w:rFonts w:asciiTheme="minorHAnsi" w:hAnsiTheme="minorHAnsi" w:cstheme="minorHAnsi"/>
          <w:color w:val="auto"/>
          <w:sz w:val="22"/>
          <w:szCs w:val="22"/>
        </w:rPr>
        <w:t xml:space="preserve">Records the largest gender gap in the EU in time spent on unpaid care and domestic work, reflected in a low EIGE 'Time' domain score of 48.6 out of 100 (2024; EIGE). The </w:t>
      </w:r>
      <w:proofErr w:type="spellStart"/>
      <w:r w:rsidRPr="00883E36">
        <w:rPr>
          <w:rFonts w:asciiTheme="minorHAnsi" w:hAnsiTheme="minorHAnsi" w:cstheme="minorHAnsi"/>
          <w:color w:val="auto"/>
          <w:sz w:val="22"/>
          <w:szCs w:val="22"/>
        </w:rPr>
        <w:t>Eurofound</w:t>
      </w:r>
      <w:proofErr w:type="spellEnd"/>
      <w:r w:rsidRPr="00883E36">
        <w:rPr>
          <w:rFonts w:asciiTheme="minorHAnsi" w:hAnsiTheme="minorHAnsi" w:cstheme="minorHAnsi"/>
          <w:color w:val="auto"/>
          <w:sz w:val="22"/>
          <w:szCs w:val="22"/>
        </w:rPr>
        <w:t xml:space="preserve"> European Working Conditions Telephone Survey (2021) revealed that Croatia has a 17-hour weekly gender gap in total working hours (paid and unpaid), the largest gap among all EU Member States (</w:t>
      </w:r>
      <w:proofErr w:type="spellStart"/>
      <w:r w:rsidRPr="00883E36">
        <w:rPr>
          <w:rFonts w:asciiTheme="minorHAnsi" w:hAnsiTheme="minorHAnsi" w:cstheme="minorHAnsi"/>
          <w:color w:val="auto"/>
          <w:sz w:val="22"/>
          <w:szCs w:val="22"/>
        </w:rPr>
        <w:t>Eurofound</w:t>
      </w:r>
      <w:proofErr w:type="spellEnd"/>
      <w:r w:rsidRPr="00883E36">
        <w:rPr>
          <w:rFonts w:asciiTheme="minorHAnsi" w:hAnsiTheme="minorHAnsi" w:cstheme="minorHAnsi"/>
          <w:color w:val="auto"/>
          <w:sz w:val="22"/>
          <w:szCs w:val="22"/>
        </w:rPr>
        <w:t xml:space="preserve">, 2022). Nearly 80% of Croatian women perform cooking or housework daily, more than double the rate for men (EIGE, 2024). Although Croatia's developed water infrastructure reduces the physical burden of water collection, the cognitive and managerial </w:t>
      </w:r>
      <w:r w:rsidRPr="00A92C6D">
        <w:rPr>
          <w:rFonts w:asciiTheme="minorHAnsi" w:hAnsiTheme="minorHAnsi" w:cstheme="minorHAnsi"/>
          <w:color w:val="auto"/>
          <w:sz w:val="22"/>
          <w:szCs w:val="22"/>
          <w:lang w:val="en-GB"/>
        </w:rPr>
        <w:t xml:space="preserve">labour </w:t>
      </w:r>
      <w:r w:rsidRPr="00883E36">
        <w:rPr>
          <w:rFonts w:asciiTheme="minorHAnsi" w:hAnsiTheme="minorHAnsi" w:cstheme="minorHAnsi"/>
          <w:color w:val="auto"/>
          <w:sz w:val="22"/>
          <w:szCs w:val="22"/>
        </w:rPr>
        <w:t>of household water management remains disproportionately allocated to women.</w:t>
      </w:r>
    </w:p>
    <w:p w14:paraId="714FF88C" w14:textId="77777777" w:rsidR="00E03741" w:rsidRPr="00556170" w:rsidRDefault="00E03741" w:rsidP="00E73104">
      <w:pPr>
        <w:jc w:val="both"/>
        <w:rPr>
          <w:rFonts w:asciiTheme="minorHAnsi" w:hAnsiTheme="minorHAnsi" w:cstheme="minorHAnsi"/>
          <w:sz w:val="22"/>
          <w:szCs w:val="22"/>
        </w:rPr>
      </w:pPr>
    </w:p>
    <w:p w14:paraId="23FF0F18" w14:textId="77777777" w:rsidR="00E03741" w:rsidRPr="00556170" w:rsidRDefault="00E03741" w:rsidP="00E73104">
      <w:pPr>
        <w:pBdr>
          <w:left w:val="single" w:sz="14" w:space="8" w:color="3E2723"/>
        </w:pBdr>
        <w:shd w:val="clear" w:color="auto" w:fill="EFEBE9"/>
        <w:ind w:left="400"/>
        <w:jc w:val="both"/>
        <w:rPr>
          <w:rFonts w:asciiTheme="minorHAnsi" w:hAnsiTheme="minorHAnsi" w:cstheme="minorHAnsi"/>
          <w:sz w:val="22"/>
          <w:szCs w:val="22"/>
        </w:rPr>
      </w:pPr>
      <w:r w:rsidRPr="00556170">
        <w:rPr>
          <w:rFonts w:asciiTheme="minorHAnsi" w:hAnsiTheme="minorHAnsi" w:cstheme="minorHAnsi"/>
          <w:b/>
          <w:bCs/>
          <w:color w:val="3E2723"/>
          <w:sz w:val="22"/>
          <w:szCs w:val="22"/>
        </w:rPr>
        <w:t xml:space="preserve">Montenegro: </w:t>
      </w:r>
      <w:r w:rsidRPr="00883E36">
        <w:rPr>
          <w:rFonts w:asciiTheme="minorHAnsi" w:hAnsiTheme="minorHAnsi" w:cstheme="minorHAnsi"/>
          <w:color w:val="auto"/>
          <w:sz w:val="22"/>
          <w:szCs w:val="22"/>
        </w:rPr>
        <w:t xml:space="preserve">In households without water on premises, 61% of men aged 15 or older are primarily responsible for collecting drinking water (2018; MONSTAT/UNICEF MICS). However, this does not exempt women from time poverty, as they bear </w:t>
      </w:r>
      <w:proofErr w:type="gramStart"/>
      <w:r w:rsidRPr="00883E36">
        <w:rPr>
          <w:rFonts w:asciiTheme="minorHAnsi" w:hAnsiTheme="minorHAnsi" w:cstheme="minorHAnsi"/>
          <w:color w:val="auto"/>
          <w:sz w:val="22"/>
          <w:szCs w:val="22"/>
        </w:rPr>
        <w:t>the majority of</w:t>
      </w:r>
      <w:proofErr w:type="gramEnd"/>
      <w:r w:rsidRPr="00883E36">
        <w:rPr>
          <w:rFonts w:asciiTheme="minorHAnsi" w:hAnsiTheme="minorHAnsi" w:cstheme="minorHAnsi"/>
          <w:color w:val="auto"/>
          <w:sz w:val="22"/>
          <w:szCs w:val="22"/>
        </w:rPr>
        <w:t xml:space="preserve"> other domestic care burdens, constituting 73% of all family workers compared to only 24% of the self-employed (2025; UN Montenegro/MONSTAT). Montenegro has never conducted a national time-use survey, representing the most critical data gap in the region (MONSTAT, 2023).</w:t>
      </w:r>
    </w:p>
    <w:p w14:paraId="0AF2C57E" w14:textId="77777777" w:rsidR="00E03741" w:rsidRDefault="00E03741" w:rsidP="00E73104">
      <w:pPr>
        <w:jc w:val="both"/>
        <w:rPr>
          <w:rFonts w:asciiTheme="minorHAnsi" w:hAnsiTheme="minorHAnsi" w:cstheme="minorHAnsi"/>
          <w:sz w:val="22"/>
          <w:szCs w:val="22"/>
        </w:rPr>
      </w:pPr>
    </w:p>
    <w:p w14:paraId="74FD13BA" w14:textId="77777777" w:rsidR="00883E36" w:rsidRDefault="00883E36" w:rsidP="00E73104">
      <w:pPr>
        <w:jc w:val="both"/>
        <w:rPr>
          <w:rFonts w:asciiTheme="minorHAnsi" w:hAnsiTheme="minorHAnsi" w:cstheme="minorHAnsi"/>
          <w:sz w:val="22"/>
          <w:szCs w:val="22"/>
        </w:rPr>
      </w:pPr>
    </w:p>
    <w:p w14:paraId="696DE4F3" w14:textId="77777777" w:rsidR="00883E36" w:rsidRDefault="00883E36" w:rsidP="00E73104">
      <w:pPr>
        <w:jc w:val="both"/>
        <w:rPr>
          <w:rFonts w:asciiTheme="minorHAnsi" w:hAnsiTheme="minorHAnsi" w:cstheme="minorHAnsi"/>
          <w:sz w:val="22"/>
          <w:szCs w:val="22"/>
        </w:rPr>
      </w:pPr>
    </w:p>
    <w:p w14:paraId="540681E7" w14:textId="77777777" w:rsidR="00883E36" w:rsidRPr="00556170" w:rsidRDefault="00883E36" w:rsidP="00E73104">
      <w:pPr>
        <w:jc w:val="both"/>
        <w:rPr>
          <w:rFonts w:asciiTheme="minorHAnsi" w:hAnsiTheme="minorHAnsi" w:cstheme="minorHAnsi"/>
          <w:sz w:val="22"/>
          <w:szCs w:val="22"/>
        </w:rPr>
      </w:pPr>
    </w:p>
    <w:p w14:paraId="1E8F27FA" w14:textId="77777777" w:rsidR="00E03741" w:rsidRPr="00556170" w:rsidRDefault="00E03741" w:rsidP="00AD26C7">
      <w:pPr>
        <w:pStyle w:val="Naslov4"/>
      </w:pPr>
      <w:r w:rsidRPr="00556170">
        <w:lastRenderedPageBreak/>
        <w:t>Table 6: Gender Disparities in Water Sector – Water as a Service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790"/>
        <w:gridCol w:w="1790"/>
        <w:gridCol w:w="1790"/>
        <w:gridCol w:w="1790"/>
      </w:tblGrid>
      <w:tr w:rsidR="00824202" w:rsidRPr="00824202" w14:paraId="64FF080C" w14:textId="77777777" w:rsidTr="003B022E">
        <w:trPr>
          <w:tblHeader/>
        </w:trPr>
        <w:tc>
          <w:tcPr>
            <w:tcW w:w="220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74FD53F2" w14:textId="77777777" w:rsidR="00E03741" w:rsidRPr="00162919" w:rsidRDefault="00E03741" w:rsidP="00E73104">
            <w:pPr>
              <w:jc w:val="both"/>
              <w:rPr>
                <w:rFonts w:asciiTheme="minorHAnsi" w:hAnsiTheme="minorHAnsi" w:cstheme="minorHAnsi"/>
                <w:color w:val="FFFFFF" w:themeColor="background1"/>
                <w:sz w:val="22"/>
                <w:szCs w:val="22"/>
              </w:rPr>
            </w:pPr>
            <w:r w:rsidRPr="00162919">
              <w:rPr>
                <w:rFonts w:asciiTheme="minorHAnsi" w:hAnsiTheme="minorHAnsi" w:cstheme="minorHAnsi"/>
                <w:b/>
                <w:bCs/>
                <w:color w:val="FFFFFF" w:themeColor="background1"/>
                <w:sz w:val="22"/>
                <w:szCs w:val="22"/>
              </w:rPr>
              <w:t>Indicator</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358A589C" w14:textId="77777777" w:rsidR="00E03741" w:rsidRPr="00162919" w:rsidRDefault="00E03741" w:rsidP="00E73104">
            <w:pPr>
              <w:jc w:val="both"/>
              <w:rPr>
                <w:rFonts w:asciiTheme="minorHAnsi" w:hAnsiTheme="minorHAnsi" w:cstheme="minorHAnsi"/>
                <w:color w:val="FFFFFF" w:themeColor="background1"/>
                <w:sz w:val="22"/>
                <w:szCs w:val="22"/>
              </w:rPr>
            </w:pPr>
            <w:r w:rsidRPr="00162919">
              <w:rPr>
                <w:rFonts w:asciiTheme="minorHAnsi" w:hAnsiTheme="minorHAnsi" w:cstheme="minorHAnsi"/>
                <w:b/>
                <w:bCs/>
                <w:color w:val="FFFFFF" w:themeColor="background1"/>
                <w:sz w:val="22"/>
                <w:szCs w:val="22"/>
              </w:rPr>
              <w:t>Albania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17762F84" w14:textId="77777777" w:rsidR="00E03741" w:rsidRPr="00162919" w:rsidRDefault="00E03741" w:rsidP="00E73104">
            <w:pPr>
              <w:jc w:val="both"/>
              <w:rPr>
                <w:rFonts w:asciiTheme="minorHAnsi" w:hAnsiTheme="minorHAnsi" w:cstheme="minorHAnsi"/>
                <w:color w:val="FFFFFF" w:themeColor="background1"/>
                <w:sz w:val="22"/>
                <w:szCs w:val="22"/>
              </w:rPr>
            </w:pPr>
            <w:r w:rsidRPr="00162919">
              <w:rPr>
                <w:rFonts w:asciiTheme="minorHAnsi" w:hAnsiTheme="minorHAnsi" w:cstheme="minorHAnsi"/>
                <w:b/>
                <w:bCs/>
                <w:color w:val="FFFFFF" w:themeColor="background1"/>
                <w:sz w:val="22"/>
                <w:szCs w:val="22"/>
              </w:rPr>
              <w:t>Bosnia &amp; Herz.</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2C09A270" w14:textId="77777777" w:rsidR="00E03741" w:rsidRPr="00162919" w:rsidRDefault="00E03741" w:rsidP="00E73104">
            <w:pPr>
              <w:jc w:val="both"/>
              <w:rPr>
                <w:rFonts w:asciiTheme="minorHAnsi" w:hAnsiTheme="minorHAnsi" w:cstheme="minorHAnsi"/>
                <w:color w:val="FFFFFF" w:themeColor="background1"/>
                <w:sz w:val="22"/>
                <w:szCs w:val="22"/>
              </w:rPr>
            </w:pPr>
            <w:r w:rsidRPr="00162919">
              <w:rPr>
                <w:rFonts w:asciiTheme="minorHAnsi" w:hAnsiTheme="minorHAnsi" w:cstheme="minorHAnsi"/>
                <w:b/>
                <w:bCs/>
                <w:color w:val="FFFFFF" w:themeColor="background1"/>
                <w:sz w:val="22"/>
                <w:szCs w:val="22"/>
              </w:rPr>
              <w:t>Croatia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08A9611B" w14:textId="77777777" w:rsidR="00E03741" w:rsidRPr="00162919" w:rsidRDefault="00E03741" w:rsidP="00E73104">
            <w:pPr>
              <w:jc w:val="both"/>
              <w:rPr>
                <w:rFonts w:asciiTheme="minorHAnsi" w:hAnsiTheme="minorHAnsi" w:cstheme="minorHAnsi"/>
                <w:color w:val="FFFFFF" w:themeColor="background1"/>
                <w:sz w:val="22"/>
                <w:szCs w:val="22"/>
              </w:rPr>
            </w:pPr>
            <w:r w:rsidRPr="00162919">
              <w:rPr>
                <w:rFonts w:asciiTheme="minorHAnsi" w:hAnsiTheme="minorHAnsi" w:cstheme="minorHAnsi"/>
                <w:b/>
                <w:bCs/>
                <w:color w:val="FFFFFF" w:themeColor="background1"/>
                <w:sz w:val="22"/>
                <w:szCs w:val="22"/>
              </w:rPr>
              <w:t>Montenegro</w:t>
            </w:r>
          </w:p>
        </w:tc>
      </w:tr>
      <w:tr w:rsidR="00824202" w:rsidRPr="00824202" w14:paraId="6F5BD39F"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6E499E4" w14:textId="77777777" w:rsidR="00E03741" w:rsidRPr="00162919" w:rsidRDefault="00E03741" w:rsidP="00E73104">
            <w:pPr>
              <w:jc w:val="both"/>
              <w:rPr>
                <w:rFonts w:asciiTheme="minorHAnsi" w:hAnsiTheme="minorHAnsi" w:cstheme="minorHAnsi"/>
                <w:b/>
                <w:bCs/>
                <w:color w:val="auto"/>
                <w:sz w:val="22"/>
                <w:szCs w:val="22"/>
              </w:rPr>
            </w:pPr>
            <w:r w:rsidRPr="00162919">
              <w:rPr>
                <w:rFonts w:asciiTheme="minorHAnsi" w:hAnsiTheme="minorHAnsi" w:cstheme="minorHAnsi"/>
                <w:b/>
                <w:bCs/>
                <w:color w:val="auto"/>
                <w:sz w:val="22"/>
                <w:szCs w:val="22"/>
              </w:rPr>
              <w:t>Unpaid Care (Women)</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AF07807"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 xml:space="preserve">24.7% of time; approximately 5.5 </w:t>
            </w:r>
            <w:proofErr w:type="spellStart"/>
            <w:r w:rsidRPr="00824202">
              <w:rPr>
                <w:rFonts w:asciiTheme="minorHAnsi" w:hAnsiTheme="minorHAnsi" w:cstheme="minorHAnsi"/>
                <w:color w:val="auto"/>
                <w:sz w:val="22"/>
                <w:szCs w:val="22"/>
              </w:rPr>
              <w:t>hrs</w:t>
            </w:r>
            <w:proofErr w:type="spellEnd"/>
            <w:r w:rsidRPr="00824202">
              <w:rPr>
                <w:rFonts w:asciiTheme="minorHAnsi" w:hAnsiTheme="minorHAnsi" w:cstheme="minorHAnsi"/>
                <w:color w:val="auto"/>
                <w:sz w:val="22"/>
                <w:szCs w:val="22"/>
              </w:rPr>
              <w:t>/day (INSTAT TUS, 2011)</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63960DC"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more than six hours per day (UN Women, 2023)</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245BA3A"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Largest EU gap; EIGE 48.6/100 (EIGE, 2024)</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80628E7"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 xml:space="preserve">73% </w:t>
            </w:r>
            <w:proofErr w:type="gramStart"/>
            <w:r w:rsidRPr="00824202">
              <w:rPr>
                <w:rFonts w:asciiTheme="minorHAnsi" w:hAnsiTheme="minorHAnsi" w:cstheme="minorHAnsi"/>
                <w:color w:val="auto"/>
                <w:sz w:val="22"/>
                <w:szCs w:val="22"/>
              </w:rPr>
              <w:t>family</w:t>
            </w:r>
            <w:proofErr w:type="gramEnd"/>
            <w:r w:rsidRPr="00824202">
              <w:rPr>
                <w:rFonts w:asciiTheme="minorHAnsi" w:hAnsiTheme="minorHAnsi" w:cstheme="minorHAnsi"/>
                <w:color w:val="auto"/>
                <w:sz w:val="22"/>
                <w:szCs w:val="22"/>
              </w:rPr>
              <w:t xml:space="preserve"> workers (MONSTAT, 2023)</w:t>
            </w:r>
          </w:p>
        </w:tc>
      </w:tr>
      <w:tr w:rsidR="00824202" w:rsidRPr="00824202" w14:paraId="1B495E96"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0D27353" w14:textId="77777777" w:rsidR="00E03741" w:rsidRPr="00162919" w:rsidRDefault="00E03741" w:rsidP="00E73104">
            <w:pPr>
              <w:jc w:val="both"/>
              <w:rPr>
                <w:rFonts w:asciiTheme="minorHAnsi" w:hAnsiTheme="minorHAnsi" w:cstheme="minorHAnsi"/>
                <w:b/>
                <w:bCs/>
                <w:color w:val="auto"/>
                <w:sz w:val="22"/>
                <w:szCs w:val="22"/>
              </w:rPr>
            </w:pPr>
            <w:r w:rsidRPr="00162919">
              <w:rPr>
                <w:rFonts w:asciiTheme="minorHAnsi" w:hAnsiTheme="minorHAnsi" w:cstheme="minorHAnsi"/>
                <w:b/>
                <w:bCs/>
                <w:color w:val="auto"/>
                <w:sz w:val="22"/>
                <w:szCs w:val="22"/>
              </w:rPr>
              <w:t>Unpaid Care (Men)</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49EF4AC"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3.5% of time; approximately 0.5–1 hour per day (INSTAT TUS, 2011)</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11D22D5"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approximately 3 hours per day (UN Women, 2023)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5CE0FA2"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Significantly less (EIGE,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D3A93EB"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24% self-employed (MONSTAT, 2023)</w:t>
            </w:r>
          </w:p>
        </w:tc>
      </w:tr>
      <w:tr w:rsidR="00824202" w:rsidRPr="00824202" w14:paraId="7290A458"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8BE6D84" w14:textId="77777777" w:rsidR="00E03741" w:rsidRPr="00162919" w:rsidRDefault="00E03741" w:rsidP="00E73104">
            <w:pPr>
              <w:jc w:val="both"/>
              <w:rPr>
                <w:rFonts w:asciiTheme="minorHAnsi" w:hAnsiTheme="minorHAnsi" w:cstheme="minorHAnsi"/>
                <w:b/>
                <w:bCs/>
                <w:color w:val="auto"/>
                <w:sz w:val="22"/>
                <w:szCs w:val="22"/>
              </w:rPr>
            </w:pPr>
            <w:r w:rsidRPr="00162919">
              <w:rPr>
                <w:rFonts w:asciiTheme="minorHAnsi" w:hAnsiTheme="minorHAnsi" w:cstheme="minorHAnsi"/>
                <w:b/>
                <w:bCs/>
                <w:color w:val="auto"/>
                <w:sz w:val="22"/>
                <w:szCs w:val="22"/>
              </w:rPr>
              <w:t>Unpaid Care Ratio (F:M)</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C7C56AA"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6:1 (INSTAT, 2011)</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9159F4E"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2:1 (UN Women, 2023)</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D8D74BD"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approximately 3:1 (</w:t>
            </w:r>
            <w:proofErr w:type="spellStart"/>
            <w:r w:rsidRPr="00824202">
              <w:rPr>
                <w:rFonts w:asciiTheme="minorHAnsi" w:hAnsiTheme="minorHAnsi" w:cstheme="minorHAnsi"/>
                <w:color w:val="auto"/>
                <w:sz w:val="22"/>
                <w:szCs w:val="22"/>
              </w:rPr>
              <w:t>Eurofound</w:t>
            </w:r>
            <w:proofErr w:type="spellEnd"/>
            <w:r w:rsidRPr="00824202">
              <w:rPr>
                <w:rFonts w:asciiTheme="minorHAnsi" w:hAnsiTheme="minorHAnsi" w:cstheme="minorHAnsi"/>
                <w:color w:val="auto"/>
                <w:sz w:val="22"/>
                <w:szCs w:val="22"/>
              </w:rPr>
              <w:t>, 2022)</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6C444CF"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No TUS data (MONSTAT)</w:t>
            </w:r>
          </w:p>
        </w:tc>
      </w:tr>
      <w:tr w:rsidR="00824202" w:rsidRPr="00824202" w14:paraId="45F5BF45"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1FDBA6E" w14:textId="77777777" w:rsidR="00E03741" w:rsidRPr="00162919" w:rsidRDefault="00E03741" w:rsidP="00E73104">
            <w:pPr>
              <w:jc w:val="both"/>
              <w:rPr>
                <w:rFonts w:asciiTheme="minorHAnsi" w:hAnsiTheme="minorHAnsi" w:cstheme="minorHAnsi"/>
                <w:b/>
                <w:bCs/>
                <w:color w:val="auto"/>
                <w:sz w:val="22"/>
                <w:szCs w:val="22"/>
              </w:rPr>
            </w:pPr>
            <w:r w:rsidRPr="00162919">
              <w:rPr>
                <w:rFonts w:asciiTheme="minorHAnsi" w:hAnsiTheme="minorHAnsi" w:cstheme="minorHAnsi"/>
                <w:b/>
                <w:bCs/>
                <w:color w:val="auto"/>
                <w:sz w:val="22"/>
                <w:szCs w:val="22"/>
              </w:rPr>
              <w:t>Water Collection Responsibility</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DE5EE8B"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Women (rural, 20% no piped access; JMP, 2022)</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8FD2982"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Women (rural; JMP, 2022)</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32E1FFE"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Less relevant (high infrastructure)</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B8E1CDA"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61% men in no-access households (MICS, 2018)</w:t>
            </w:r>
          </w:p>
        </w:tc>
      </w:tr>
      <w:tr w:rsidR="00824202" w:rsidRPr="00824202" w14:paraId="68228260"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FB79F71" w14:textId="77777777" w:rsidR="00E03741" w:rsidRPr="00162919" w:rsidRDefault="00E03741" w:rsidP="00E73104">
            <w:pPr>
              <w:jc w:val="both"/>
              <w:rPr>
                <w:rFonts w:asciiTheme="minorHAnsi" w:hAnsiTheme="minorHAnsi" w:cstheme="minorHAnsi"/>
                <w:b/>
                <w:bCs/>
                <w:color w:val="auto"/>
                <w:sz w:val="22"/>
                <w:szCs w:val="22"/>
              </w:rPr>
            </w:pPr>
            <w:r w:rsidRPr="00162919">
              <w:rPr>
                <w:rFonts w:asciiTheme="minorHAnsi" w:hAnsiTheme="minorHAnsi" w:cstheme="minorHAnsi"/>
                <w:b/>
                <w:bCs/>
                <w:color w:val="auto"/>
                <w:sz w:val="22"/>
                <w:szCs w:val="22"/>
              </w:rPr>
              <w:t>Safe Water Access</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26CA909"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71% (2024; WHO/UNICEF JMP)</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D9DA931"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46% (2022; WHO/UNICEF JMP)</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4709E5D"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approximately 94% nationally (EC, 2024)</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F77F5ED" w14:textId="77777777" w:rsidR="00E03741" w:rsidRPr="00824202" w:rsidRDefault="00E03741" w:rsidP="00E73104">
            <w:pPr>
              <w:jc w:val="both"/>
              <w:rPr>
                <w:rFonts w:asciiTheme="minorHAnsi" w:hAnsiTheme="minorHAnsi" w:cstheme="minorHAnsi"/>
                <w:color w:val="auto"/>
                <w:sz w:val="22"/>
                <w:szCs w:val="22"/>
              </w:rPr>
            </w:pPr>
            <w:r w:rsidRPr="00824202">
              <w:rPr>
                <w:rFonts w:asciiTheme="minorHAnsi" w:hAnsiTheme="minorHAnsi" w:cstheme="minorHAnsi"/>
                <w:color w:val="auto"/>
                <w:sz w:val="22"/>
                <w:szCs w:val="22"/>
              </w:rPr>
              <w:t>86% (2024; WHO/UNICEF JMP)</w:t>
            </w:r>
          </w:p>
        </w:tc>
      </w:tr>
    </w:tbl>
    <w:p w14:paraId="0EF091B1" w14:textId="77777777" w:rsidR="00E03741" w:rsidRPr="00162919" w:rsidRDefault="00E03741" w:rsidP="00162919">
      <w:pPr>
        <w:jc w:val="both"/>
        <w:rPr>
          <w:rFonts w:asciiTheme="minorHAnsi" w:hAnsiTheme="minorHAnsi" w:cstheme="minorHAnsi"/>
          <w:i/>
          <w:iCs/>
          <w:color w:val="666666"/>
          <w:sz w:val="18"/>
          <w:szCs w:val="18"/>
        </w:rPr>
      </w:pPr>
      <w:r w:rsidRPr="00162919">
        <w:rPr>
          <w:rFonts w:asciiTheme="minorHAnsi" w:hAnsiTheme="minorHAnsi" w:cstheme="minorHAnsi"/>
          <w:i/>
          <w:iCs/>
          <w:color w:val="666666"/>
          <w:sz w:val="18"/>
          <w:szCs w:val="18"/>
        </w:rPr>
        <w:t xml:space="preserve">Sources: INSTAT Time Use Survey (2011); UN Women/Economic Institute Sarajevo (2023); EIGE Gender Equality Index (2024); </w:t>
      </w:r>
      <w:proofErr w:type="spellStart"/>
      <w:r w:rsidRPr="00162919">
        <w:rPr>
          <w:rFonts w:asciiTheme="minorHAnsi" w:hAnsiTheme="minorHAnsi" w:cstheme="minorHAnsi"/>
          <w:i/>
          <w:iCs/>
          <w:color w:val="666666"/>
          <w:sz w:val="18"/>
          <w:szCs w:val="18"/>
        </w:rPr>
        <w:t>Eurofound</w:t>
      </w:r>
      <w:proofErr w:type="spellEnd"/>
      <w:r w:rsidRPr="00162919">
        <w:rPr>
          <w:rFonts w:asciiTheme="minorHAnsi" w:hAnsiTheme="minorHAnsi" w:cstheme="minorHAnsi"/>
          <w:i/>
          <w:iCs/>
          <w:color w:val="666666"/>
          <w:sz w:val="18"/>
          <w:szCs w:val="18"/>
        </w:rPr>
        <w:t xml:space="preserve"> EWCTS (2022); MONSTAT/UNICEF MICS (2018); UN Montenegro/MONSTAT (2023, 2025); WHO/UNICEF JMP (2024).</w:t>
      </w:r>
    </w:p>
    <w:p w14:paraId="0564D3D2" w14:textId="77777777" w:rsidR="00162919" w:rsidRPr="00556170" w:rsidRDefault="00162919" w:rsidP="00162919">
      <w:pPr>
        <w:jc w:val="both"/>
        <w:rPr>
          <w:rFonts w:asciiTheme="minorHAnsi" w:hAnsiTheme="minorHAnsi" w:cstheme="minorHAnsi"/>
          <w:sz w:val="22"/>
          <w:szCs w:val="22"/>
        </w:rPr>
      </w:pPr>
    </w:p>
    <w:p w14:paraId="3E11ED98" w14:textId="3634C4E1" w:rsidR="00E03741" w:rsidRPr="00556170" w:rsidRDefault="00E03741" w:rsidP="00E73104">
      <w:pPr>
        <w:pStyle w:val="Naslov2"/>
        <w:spacing w:before="0" w:after="0"/>
        <w:jc w:val="both"/>
        <w:rPr>
          <w:rFonts w:asciiTheme="minorHAnsi" w:hAnsiTheme="minorHAnsi" w:cstheme="minorHAnsi"/>
          <w:sz w:val="22"/>
          <w:szCs w:val="22"/>
        </w:rPr>
      </w:pPr>
      <w:bookmarkStart w:id="26" w:name="_Toc224128609"/>
      <w:r w:rsidRPr="00556170">
        <w:rPr>
          <w:rFonts w:asciiTheme="minorHAnsi" w:eastAsia="Arial" w:hAnsiTheme="minorHAnsi" w:cstheme="minorHAnsi"/>
          <w:b/>
          <w:bCs/>
          <w:color w:val="2E75B6"/>
          <w:sz w:val="22"/>
          <w:szCs w:val="22"/>
        </w:rPr>
        <w:t>5.2 Health Impacts and Service Quality</w:t>
      </w:r>
      <w:bookmarkEnd w:id="26"/>
    </w:p>
    <w:p w14:paraId="50D4C632" w14:textId="77777777" w:rsidR="00E03741" w:rsidRPr="000B022E" w:rsidRDefault="00E03741" w:rsidP="00E73104">
      <w:pPr>
        <w:jc w:val="both"/>
        <w:rPr>
          <w:rFonts w:asciiTheme="minorHAnsi" w:hAnsiTheme="minorHAnsi" w:cstheme="minorHAnsi"/>
          <w:color w:val="auto"/>
          <w:sz w:val="22"/>
          <w:szCs w:val="22"/>
        </w:rPr>
      </w:pPr>
      <w:r w:rsidRPr="000B022E">
        <w:rPr>
          <w:rFonts w:asciiTheme="minorHAnsi" w:hAnsiTheme="minorHAnsi" w:cstheme="minorHAnsi"/>
          <w:color w:val="auto"/>
          <w:sz w:val="22"/>
          <w:szCs w:val="22"/>
        </w:rPr>
        <w:t>Water service quality directly affects women’s health and caregiving burdens. Inadequate water supply increases the frequency and severity of waterborne disease, which falls disproportionately on women as primary caregivers. Poor sanitation at schools causes girls to miss education. Contaminated water requires time-intensive treatment or storage management, which becomes women’s unpaid responsibility. The following country-level findings illustrate these dynamics:</w:t>
      </w:r>
    </w:p>
    <w:p w14:paraId="7912E57B" w14:textId="77777777" w:rsidR="00E87A00" w:rsidRPr="000B022E" w:rsidRDefault="00E87A00" w:rsidP="00E73104">
      <w:pPr>
        <w:jc w:val="both"/>
        <w:rPr>
          <w:rFonts w:asciiTheme="minorHAnsi" w:hAnsiTheme="minorHAnsi" w:cstheme="minorHAnsi"/>
          <w:color w:val="auto"/>
          <w:sz w:val="22"/>
          <w:szCs w:val="22"/>
        </w:rPr>
      </w:pPr>
    </w:p>
    <w:p w14:paraId="0DC44E2C" w14:textId="77777777" w:rsidR="00E03741" w:rsidRPr="000B022E"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0B022E">
        <w:rPr>
          <w:rFonts w:asciiTheme="minorHAnsi" w:hAnsiTheme="minorHAnsi" w:cstheme="minorHAnsi"/>
          <w:b/>
          <w:bCs/>
          <w:color w:val="auto"/>
          <w:sz w:val="22"/>
          <w:szCs w:val="22"/>
        </w:rPr>
        <w:t xml:space="preserve">Albania: </w:t>
      </w:r>
      <w:r w:rsidRPr="000B022E">
        <w:rPr>
          <w:rFonts w:asciiTheme="minorHAnsi" w:hAnsiTheme="minorHAnsi" w:cstheme="minorHAnsi"/>
          <w:color w:val="auto"/>
          <w:sz w:val="22"/>
          <w:szCs w:val="22"/>
        </w:rPr>
        <w:t xml:space="preserve">Less than half of the urban population has 24-hour water access (2022; World Bank), disproportionately affecting low-income families and increasing women’s caregiving responsibilities when family members fall ill. A GIZ </w:t>
      </w:r>
      <w:proofErr w:type="spellStart"/>
      <w:r w:rsidRPr="000B022E">
        <w:rPr>
          <w:rFonts w:asciiTheme="minorHAnsi" w:hAnsiTheme="minorHAnsi" w:cstheme="minorHAnsi"/>
          <w:color w:val="auto"/>
          <w:sz w:val="22"/>
          <w:szCs w:val="22"/>
        </w:rPr>
        <w:t>programme</w:t>
      </w:r>
      <w:proofErr w:type="spellEnd"/>
      <w:r w:rsidRPr="000B022E">
        <w:rPr>
          <w:rFonts w:asciiTheme="minorHAnsi" w:hAnsiTheme="minorHAnsi" w:cstheme="minorHAnsi"/>
          <w:color w:val="auto"/>
          <w:sz w:val="22"/>
          <w:szCs w:val="22"/>
        </w:rPr>
        <w:t xml:space="preserve"> specifically identified inadequate school sanitation as a driver of girls’ school absenteeism (GIZ Albania, 2022), representing a direct pathway from water service failure to reduced educational attainment for girls.</w:t>
      </w:r>
    </w:p>
    <w:p w14:paraId="3EF7B7F0" w14:textId="77777777" w:rsidR="00E03741" w:rsidRPr="000B022E"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0B022E">
        <w:rPr>
          <w:rFonts w:asciiTheme="minorHAnsi" w:hAnsiTheme="minorHAnsi" w:cstheme="minorHAnsi"/>
          <w:b/>
          <w:bCs/>
          <w:color w:val="auto"/>
          <w:sz w:val="22"/>
          <w:szCs w:val="22"/>
        </w:rPr>
        <w:t xml:space="preserve">Bosnia and Herzegovina: </w:t>
      </w:r>
      <w:r w:rsidRPr="000B022E">
        <w:rPr>
          <w:rFonts w:asciiTheme="minorHAnsi" w:hAnsiTheme="minorHAnsi" w:cstheme="minorHAnsi"/>
          <w:color w:val="auto"/>
          <w:sz w:val="22"/>
          <w:szCs w:val="22"/>
        </w:rPr>
        <w:t>The 46% safe water access rate (2022; WHO/UNICEF JMP) creates significant health vulnerabilities in rural areas where monitoring is insufficient for heavy metals, pesticides, and other contaminants (BHAS/World Bank, 2022). The 2022 drought impacted 47% of the country’s land area (European Environment Agency, 2023), amplifying water-related health burdens disproportionately borne by women. Rural women in these areas face compounded burdens: longer collection distances, more frequent illness among family members, and reduced crop yields that increase economic stress.</w:t>
      </w:r>
    </w:p>
    <w:p w14:paraId="405856BE" w14:textId="77777777" w:rsidR="00E03741" w:rsidRPr="000B022E"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0B022E">
        <w:rPr>
          <w:rFonts w:asciiTheme="minorHAnsi" w:hAnsiTheme="minorHAnsi" w:cstheme="minorHAnsi"/>
          <w:b/>
          <w:bCs/>
          <w:color w:val="auto"/>
          <w:sz w:val="22"/>
          <w:szCs w:val="22"/>
        </w:rPr>
        <w:lastRenderedPageBreak/>
        <w:t xml:space="preserve">Croatia: </w:t>
      </w:r>
      <w:r w:rsidRPr="000B022E">
        <w:rPr>
          <w:rFonts w:asciiTheme="minorHAnsi" w:hAnsiTheme="minorHAnsi" w:cstheme="minorHAnsi"/>
          <w:color w:val="auto"/>
          <w:sz w:val="22"/>
          <w:szCs w:val="22"/>
        </w:rPr>
        <w:t xml:space="preserve">High water infrastructure connectivity (approximately 94% national coverage; European Commission, 2024) means health impacts are more diffuse, manifesting primarily as the </w:t>
      </w:r>
      <w:r w:rsidRPr="000B022E">
        <w:rPr>
          <w:rFonts w:asciiTheme="minorHAnsi" w:hAnsiTheme="minorHAnsi" w:cstheme="minorHAnsi"/>
          <w:b/>
          <w:bCs/>
          <w:color w:val="auto"/>
          <w:sz w:val="22"/>
          <w:szCs w:val="22"/>
        </w:rPr>
        <w:t>invisible mental load</w:t>
      </w:r>
      <w:r w:rsidRPr="000B022E">
        <w:rPr>
          <w:rFonts w:asciiTheme="minorHAnsi" w:hAnsiTheme="minorHAnsi" w:cstheme="minorHAnsi"/>
          <w:color w:val="auto"/>
          <w:sz w:val="22"/>
          <w:szCs w:val="22"/>
        </w:rPr>
        <w:t xml:space="preserve"> of managing household water quality, bill payments, and consumption monitoring: tasks that fall disproportionately on women even in well-served households (Croatian Waters, 2025). The EIGE identifies this ‘</w:t>
      </w:r>
      <w:r w:rsidRPr="00A92C6D">
        <w:rPr>
          <w:rFonts w:asciiTheme="minorHAnsi" w:hAnsiTheme="minorHAnsi" w:cstheme="minorHAnsi"/>
          <w:color w:val="auto"/>
          <w:sz w:val="22"/>
          <w:szCs w:val="22"/>
          <w:lang w:val="en-GB"/>
        </w:rPr>
        <w:t>cognitive labour’ as</w:t>
      </w:r>
      <w:r w:rsidRPr="000B022E">
        <w:rPr>
          <w:rFonts w:asciiTheme="minorHAnsi" w:hAnsiTheme="minorHAnsi" w:cstheme="minorHAnsi"/>
          <w:color w:val="auto"/>
          <w:sz w:val="22"/>
          <w:szCs w:val="22"/>
        </w:rPr>
        <w:t xml:space="preserve"> a component of the time burden gap measured in its ‘Time’ domain score of 48.6/100 (EIGE, 2024).</w:t>
      </w:r>
    </w:p>
    <w:p w14:paraId="180487B9" w14:textId="77777777" w:rsidR="00E03741" w:rsidRPr="000B022E"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0B022E">
        <w:rPr>
          <w:rFonts w:asciiTheme="minorHAnsi" w:hAnsiTheme="minorHAnsi" w:cstheme="minorHAnsi"/>
          <w:b/>
          <w:bCs/>
          <w:color w:val="auto"/>
          <w:sz w:val="22"/>
          <w:szCs w:val="22"/>
        </w:rPr>
        <w:t xml:space="preserve">Montenegro: </w:t>
      </w:r>
      <w:r w:rsidRPr="000B022E">
        <w:rPr>
          <w:rFonts w:asciiTheme="minorHAnsi" w:hAnsiTheme="minorHAnsi" w:cstheme="minorHAnsi"/>
          <w:color w:val="auto"/>
          <w:sz w:val="22"/>
          <w:szCs w:val="22"/>
        </w:rPr>
        <w:t>Fragmented governance across three ministries creates inconsistent service quality across municipalities, with significant disparities between urban and rural areas and across ethnic lines. In Roma settlements, approximately 16% of households had defective water quality (MONSTAT/UNICEF MICS, 2018). Women in these communities face compounded burdens: informal water management alongside other domestic responsibilities, with no formal recourse when service fails.</w:t>
      </w:r>
    </w:p>
    <w:p w14:paraId="00D78FBD" w14:textId="77777777" w:rsidR="00E03741" w:rsidRPr="000B022E" w:rsidRDefault="00E03741" w:rsidP="00E73104">
      <w:pPr>
        <w:jc w:val="both"/>
        <w:rPr>
          <w:rFonts w:asciiTheme="minorHAnsi" w:hAnsiTheme="minorHAnsi" w:cstheme="minorHAnsi"/>
          <w:color w:val="auto"/>
          <w:sz w:val="22"/>
          <w:szCs w:val="22"/>
        </w:rPr>
      </w:pPr>
    </w:p>
    <w:p w14:paraId="68B1FCBB" w14:textId="77777777" w:rsidR="00E03741" w:rsidRPr="000B022E" w:rsidRDefault="00E03741" w:rsidP="00E73104">
      <w:pPr>
        <w:jc w:val="both"/>
        <w:rPr>
          <w:rFonts w:asciiTheme="minorHAnsi" w:hAnsiTheme="minorHAnsi" w:cstheme="minorHAnsi"/>
          <w:color w:val="auto"/>
          <w:sz w:val="22"/>
          <w:szCs w:val="22"/>
        </w:rPr>
      </w:pPr>
      <w:r w:rsidRPr="000B022E">
        <w:rPr>
          <w:rFonts w:asciiTheme="minorHAnsi" w:hAnsiTheme="minorHAnsi" w:cstheme="minorHAnsi"/>
          <w:b/>
          <w:bCs/>
          <w:color w:val="auto"/>
          <w:sz w:val="22"/>
          <w:szCs w:val="22"/>
        </w:rPr>
        <w:t xml:space="preserve">Cross-cutting health finding: </w:t>
      </w:r>
      <w:r w:rsidRPr="000B022E">
        <w:rPr>
          <w:rFonts w:asciiTheme="minorHAnsi" w:hAnsiTheme="minorHAnsi" w:cstheme="minorHAnsi"/>
          <w:color w:val="auto"/>
          <w:sz w:val="22"/>
          <w:szCs w:val="22"/>
        </w:rPr>
        <w:t>Climate change is already amplifying health risks linked to water quality. Rising temperatures increase algal blooms and bacterial contamination in surface water sources. Increased flood frequency spreads waterborne pathogens. Both effects fall disproportionately on women, who manage household water treatment, care for sick family members, and are least likely to hold formal health insurance in rural areas (WHO, 2024; World Bank, 2024).</w:t>
      </w:r>
    </w:p>
    <w:p w14:paraId="0F397F2F" w14:textId="77777777" w:rsidR="00E03741" w:rsidRPr="000B022E" w:rsidRDefault="00E03741" w:rsidP="00E73104">
      <w:pPr>
        <w:jc w:val="both"/>
        <w:rPr>
          <w:rFonts w:asciiTheme="minorHAnsi" w:hAnsiTheme="minorHAnsi" w:cstheme="minorHAnsi"/>
          <w:color w:val="auto"/>
          <w:sz w:val="22"/>
          <w:szCs w:val="22"/>
        </w:rPr>
      </w:pPr>
      <w:r w:rsidRPr="000B022E">
        <w:rPr>
          <w:rFonts w:asciiTheme="minorHAnsi" w:hAnsiTheme="minorHAnsi" w:cstheme="minorHAnsi"/>
          <w:color w:val="auto"/>
          <w:sz w:val="22"/>
          <w:szCs w:val="22"/>
        </w:rPr>
        <w:br w:type="page"/>
      </w:r>
    </w:p>
    <w:p w14:paraId="2BD0E692" w14:textId="77777777" w:rsidR="00E03741" w:rsidRPr="00556170" w:rsidRDefault="00E03741" w:rsidP="00E73104">
      <w:pPr>
        <w:pStyle w:val="Naslov1"/>
        <w:pBdr>
          <w:bottom w:val="single" w:sz="8" w:space="4" w:color="2E75B6"/>
        </w:pBdr>
        <w:spacing w:before="0" w:after="0"/>
        <w:jc w:val="both"/>
        <w:rPr>
          <w:rFonts w:asciiTheme="minorHAnsi" w:hAnsiTheme="minorHAnsi" w:cstheme="minorHAnsi"/>
          <w:sz w:val="22"/>
          <w:szCs w:val="22"/>
        </w:rPr>
      </w:pPr>
      <w:bookmarkStart w:id="27" w:name="_Toc224128610"/>
      <w:r w:rsidRPr="00556170">
        <w:rPr>
          <w:rFonts w:asciiTheme="minorHAnsi" w:eastAsia="Arial" w:hAnsiTheme="minorHAnsi" w:cstheme="minorHAnsi"/>
          <w:b/>
          <w:bCs/>
          <w:color w:val="1F4E79"/>
          <w:sz w:val="22"/>
          <w:szCs w:val="22"/>
        </w:rPr>
        <w:lastRenderedPageBreak/>
        <w:t>6</w:t>
      </w:r>
      <w:proofErr w:type="gramStart"/>
      <w:r w:rsidRPr="00556170">
        <w:rPr>
          <w:rFonts w:asciiTheme="minorHAnsi" w:eastAsia="Arial" w:hAnsiTheme="minorHAnsi" w:cstheme="minorHAnsi"/>
          <w:b/>
          <w:bCs/>
          <w:color w:val="1F4E79"/>
          <w:sz w:val="22"/>
          <w:szCs w:val="22"/>
        </w:rPr>
        <w:t>.  COMPARATIVE</w:t>
      </w:r>
      <w:proofErr w:type="gramEnd"/>
      <w:r w:rsidRPr="00556170">
        <w:rPr>
          <w:rFonts w:asciiTheme="minorHAnsi" w:eastAsia="Arial" w:hAnsiTheme="minorHAnsi" w:cstheme="minorHAnsi"/>
          <w:b/>
          <w:bCs/>
          <w:color w:val="1F4E79"/>
          <w:sz w:val="22"/>
          <w:szCs w:val="22"/>
        </w:rPr>
        <w:t xml:space="preserve"> GENDER ANALYSIS: WATER AS A SPACE</w:t>
      </w:r>
      <w:bookmarkEnd w:id="27"/>
    </w:p>
    <w:p w14:paraId="082A473C" w14:textId="77777777" w:rsidR="00E03741" w:rsidRPr="000B022E" w:rsidRDefault="00E03741" w:rsidP="00E73104">
      <w:pPr>
        <w:jc w:val="both"/>
        <w:rPr>
          <w:rFonts w:asciiTheme="minorHAnsi" w:hAnsiTheme="minorHAnsi" w:cstheme="minorHAnsi"/>
          <w:color w:val="auto"/>
          <w:sz w:val="22"/>
          <w:szCs w:val="22"/>
        </w:rPr>
      </w:pPr>
      <w:r w:rsidRPr="000B022E">
        <w:rPr>
          <w:rFonts w:asciiTheme="minorHAnsi" w:hAnsiTheme="minorHAnsi" w:cstheme="minorHAnsi"/>
          <w:color w:val="auto"/>
          <w:sz w:val="22"/>
          <w:szCs w:val="22"/>
        </w:rPr>
        <w:t xml:space="preserve">This section compares women’s representation, voice, and influence in water governance and decision-making across all four countries. The ‘Water as a Space’ dimension is the most institutionally complex of the three analytical lenses, because it captures not just whether women are present in governance structures but whether they have meaningful influence over decisions. Research consistently shows that presence does not automatically translate to power: women can hold seats on governance bodies yet remain </w:t>
      </w:r>
      <w:proofErr w:type="spellStart"/>
      <w:r w:rsidRPr="000B022E">
        <w:rPr>
          <w:rFonts w:asciiTheme="minorHAnsi" w:hAnsiTheme="minorHAnsi" w:cstheme="minorHAnsi"/>
          <w:color w:val="auto"/>
          <w:sz w:val="22"/>
          <w:szCs w:val="22"/>
        </w:rPr>
        <w:t>marginalised</w:t>
      </w:r>
      <w:proofErr w:type="spellEnd"/>
      <w:r w:rsidRPr="000B022E">
        <w:rPr>
          <w:rFonts w:asciiTheme="minorHAnsi" w:hAnsiTheme="minorHAnsi" w:cstheme="minorHAnsi"/>
          <w:color w:val="auto"/>
          <w:sz w:val="22"/>
          <w:szCs w:val="22"/>
        </w:rPr>
        <w:t xml:space="preserve"> from core decision-making if institutional cultures, technical language, and informal networks continue to privilege male-dominated norms (UN Women &amp; UNEP-DHI, 2025). This section therefore examines both quantitative representation data and qualitative evidence of substantive influence.</w:t>
      </w:r>
    </w:p>
    <w:p w14:paraId="7EBEFD28" w14:textId="77777777" w:rsidR="000B022E" w:rsidRPr="00556170" w:rsidRDefault="000B022E" w:rsidP="00E73104">
      <w:pPr>
        <w:jc w:val="both"/>
        <w:rPr>
          <w:rFonts w:asciiTheme="minorHAnsi" w:hAnsiTheme="minorHAnsi" w:cstheme="minorHAnsi"/>
          <w:sz w:val="22"/>
          <w:szCs w:val="22"/>
        </w:rPr>
      </w:pPr>
    </w:p>
    <w:p w14:paraId="58FB7441" w14:textId="0002DE99" w:rsidR="00E03741" w:rsidRPr="00556170" w:rsidRDefault="00E03741" w:rsidP="00E73104">
      <w:pPr>
        <w:pStyle w:val="Naslov2"/>
        <w:spacing w:before="0" w:after="0"/>
        <w:jc w:val="both"/>
        <w:rPr>
          <w:rFonts w:asciiTheme="minorHAnsi" w:hAnsiTheme="minorHAnsi" w:cstheme="minorHAnsi"/>
          <w:sz w:val="22"/>
          <w:szCs w:val="22"/>
        </w:rPr>
      </w:pPr>
      <w:bookmarkStart w:id="28" w:name="_Toc224128611"/>
      <w:r w:rsidRPr="00556170">
        <w:rPr>
          <w:rFonts w:asciiTheme="minorHAnsi" w:eastAsia="Arial" w:hAnsiTheme="minorHAnsi" w:cstheme="minorHAnsi"/>
          <w:b/>
          <w:bCs/>
          <w:color w:val="2E75B6"/>
          <w:sz w:val="22"/>
          <w:szCs w:val="22"/>
        </w:rPr>
        <w:t>6.1 Political Representation and Water Governance</w:t>
      </w:r>
      <w:bookmarkEnd w:id="28"/>
    </w:p>
    <w:p w14:paraId="41A7C8F1" w14:textId="77777777" w:rsidR="00E03741" w:rsidRPr="00556170" w:rsidRDefault="00E03741" w:rsidP="00E73104">
      <w:pPr>
        <w:pBdr>
          <w:left w:val="single" w:sz="14" w:space="8" w:color="1B5E20"/>
        </w:pBdr>
        <w:shd w:val="clear" w:color="auto" w:fill="E8F5E9"/>
        <w:ind w:left="400"/>
        <w:jc w:val="both"/>
        <w:rPr>
          <w:rFonts w:asciiTheme="minorHAnsi" w:hAnsiTheme="minorHAnsi" w:cstheme="minorHAnsi"/>
          <w:sz w:val="22"/>
          <w:szCs w:val="22"/>
        </w:rPr>
      </w:pPr>
      <w:r w:rsidRPr="00556170">
        <w:rPr>
          <w:rFonts w:asciiTheme="minorHAnsi" w:hAnsiTheme="minorHAnsi" w:cstheme="minorHAnsi"/>
          <w:b/>
          <w:bCs/>
          <w:color w:val="1B5E20"/>
          <w:sz w:val="22"/>
          <w:szCs w:val="22"/>
        </w:rPr>
        <w:t xml:space="preserve">Albania: </w:t>
      </w:r>
      <w:r w:rsidRPr="000B022E">
        <w:rPr>
          <w:rFonts w:asciiTheme="minorHAnsi" w:hAnsiTheme="minorHAnsi" w:cstheme="minorHAnsi"/>
          <w:color w:val="auto"/>
          <w:sz w:val="22"/>
          <w:szCs w:val="22"/>
        </w:rPr>
        <w:t>Women hold 35% of parliamentary seats (May 2025; IPU) and 44.4% of cabinet positions (September 2025; Government of Albania), reflecting the 30% gender quota mandate and sustained institutional advocacy. Albania’s most notable gender-mainstreaming mechanism in the water sector is the inclusion of a Gender Equality Employee (GEE) from MARDWA in the National Water Council’s Integrated Policy Management Group (IPMG). This formal seat at the highest water policy body means that gender considerations are structurally embedded into national water governance deliberations rather than to ad hoc advocacy. This arrangement is the most advanced formal integration of gender expertise into water governance among the four DIKTAS II countries. However, the GEE role’s effectiveness depends on the individual’s technical authority and support from senior leadership, neither of which is institutionally guaranteed (DIKTAS II Albania, 2025).</w:t>
      </w:r>
    </w:p>
    <w:p w14:paraId="5CD48B88" w14:textId="77777777" w:rsidR="00E03741" w:rsidRPr="00556170" w:rsidRDefault="00E03741" w:rsidP="00E73104">
      <w:pPr>
        <w:jc w:val="both"/>
        <w:rPr>
          <w:rFonts w:asciiTheme="minorHAnsi" w:hAnsiTheme="minorHAnsi" w:cstheme="minorHAnsi"/>
          <w:sz w:val="22"/>
          <w:szCs w:val="22"/>
        </w:rPr>
      </w:pPr>
    </w:p>
    <w:p w14:paraId="60F9D345" w14:textId="77777777" w:rsidR="00E03741" w:rsidRPr="00556170" w:rsidRDefault="00E03741" w:rsidP="00E73104">
      <w:pPr>
        <w:pBdr>
          <w:left w:val="single" w:sz="14" w:space="8" w:color="B71C1C"/>
        </w:pBdr>
        <w:shd w:val="clear" w:color="auto" w:fill="FFEBEE"/>
        <w:ind w:left="400"/>
        <w:jc w:val="both"/>
        <w:rPr>
          <w:rFonts w:asciiTheme="minorHAnsi" w:hAnsiTheme="minorHAnsi" w:cstheme="minorHAnsi"/>
          <w:sz w:val="22"/>
          <w:szCs w:val="22"/>
        </w:rPr>
      </w:pPr>
      <w:r w:rsidRPr="00556170">
        <w:rPr>
          <w:rFonts w:asciiTheme="minorHAnsi" w:hAnsiTheme="minorHAnsi" w:cstheme="minorHAnsi"/>
          <w:b/>
          <w:bCs/>
          <w:color w:val="B71C1C"/>
          <w:sz w:val="22"/>
          <w:szCs w:val="22"/>
        </w:rPr>
        <w:t xml:space="preserve">Bosnia and Herzegovina: </w:t>
      </w:r>
      <w:r w:rsidRPr="000B022E">
        <w:rPr>
          <w:rFonts w:asciiTheme="minorHAnsi" w:hAnsiTheme="minorHAnsi" w:cstheme="minorHAnsi"/>
          <w:color w:val="auto"/>
          <w:sz w:val="22"/>
          <w:szCs w:val="22"/>
        </w:rPr>
        <w:t xml:space="preserve">Despite a 40% electoral gender quota introduced in 2013 (the highest in the region), yet women held only 19.1% of parliamentary seats as of February 2024 (Equal Future Eurasia, 2024), the lowest point since 2010. At local government level, women held 22.02% of municipal and city council positions in 2024, with women serving as mayor in only 8 of 142 local administrations (Equal Future Eurasia, 2024). Since local governments are responsible for water utility service provision, this near-total absence of women in local executive roles has direct implications for water sector gender mainstreaming: investment priorities, tariff structures, and service standards are set by bodies in which women’s voice is systematically </w:t>
      </w:r>
      <w:proofErr w:type="spellStart"/>
      <w:r w:rsidRPr="000B022E">
        <w:rPr>
          <w:rFonts w:asciiTheme="minorHAnsi" w:hAnsiTheme="minorHAnsi" w:cstheme="minorHAnsi"/>
          <w:color w:val="auto"/>
          <w:sz w:val="22"/>
          <w:szCs w:val="22"/>
        </w:rPr>
        <w:t>marginalised</w:t>
      </w:r>
      <w:proofErr w:type="spellEnd"/>
      <w:r w:rsidRPr="000B022E">
        <w:rPr>
          <w:rFonts w:asciiTheme="minorHAnsi" w:hAnsiTheme="minorHAnsi" w:cstheme="minorHAnsi"/>
          <w:color w:val="auto"/>
          <w:sz w:val="22"/>
          <w:szCs w:val="22"/>
        </w:rPr>
        <w:t>. The absence of any formal gender mechanism in the two river basin agencies compounds this structural gap.</w:t>
      </w:r>
    </w:p>
    <w:p w14:paraId="6B2AE95D" w14:textId="77777777" w:rsidR="00E03741" w:rsidRPr="00556170" w:rsidRDefault="00E03741" w:rsidP="00E73104">
      <w:pPr>
        <w:jc w:val="both"/>
        <w:rPr>
          <w:rFonts w:asciiTheme="minorHAnsi" w:hAnsiTheme="minorHAnsi" w:cstheme="minorHAnsi"/>
          <w:sz w:val="22"/>
          <w:szCs w:val="22"/>
        </w:rPr>
      </w:pPr>
    </w:p>
    <w:p w14:paraId="684772D1" w14:textId="42FC90E3" w:rsidR="00E03741" w:rsidRPr="000B022E" w:rsidRDefault="00E03741" w:rsidP="00E73104">
      <w:pPr>
        <w:pBdr>
          <w:left w:val="single" w:sz="14" w:space="8" w:color="4A148C"/>
        </w:pBdr>
        <w:shd w:val="clear" w:color="auto" w:fill="F3E5F5"/>
        <w:ind w:left="400"/>
        <w:jc w:val="both"/>
        <w:rPr>
          <w:rFonts w:asciiTheme="minorHAnsi" w:hAnsiTheme="minorHAnsi" w:cstheme="minorHAnsi"/>
          <w:color w:val="auto"/>
          <w:sz w:val="22"/>
          <w:szCs w:val="22"/>
        </w:rPr>
      </w:pPr>
      <w:r w:rsidRPr="00556170">
        <w:rPr>
          <w:rFonts w:asciiTheme="minorHAnsi" w:hAnsiTheme="minorHAnsi" w:cstheme="minorHAnsi"/>
          <w:b/>
          <w:bCs/>
          <w:color w:val="4A148C"/>
          <w:sz w:val="22"/>
          <w:szCs w:val="22"/>
        </w:rPr>
        <w:t xml:space="preserve">Croatia: </w:t>
      </w:r>
      <w:r w:rsidRPr="000B022E">
        <w:rPr>
          <w:rFonts w:asciiTheme="minorHAnsi" w:hAnsiTheme="minorHAnsi" w:cstheme="minorHAnsi"/>
          <w:color w:val="auto"/>
          <w:sz w:val="22"/>
          <w:szCs w:val="22"/>
        </w:rPr>
        <w:t xml:space="preserve">Notable progress in 2025: both the Ministry of Environmental Protection and Green Transition and </w:t>
      </w:r>
      <w:r w:rsidR="00DF7499">
        <w:rPr>
          <w:rFonts w:asciiTheme="minorHAnsi" w:hAnsiTheme="minorHAnsi" w:cstheme="minorHAnsi"/>
          <w:color w:val="auto"/>
          <w:sz w:val="22"/>
          <w:szCs w:val="22"/>
        </w:rPr>
        <w:t xml:space="preserve">Management Board of </w:t>
      </w:r>
      <w:r w:rsidRPr="000B022E">
        <w:rPr>
          <w:rFonts w:asciiTheme="minorHAnsi" w:hAnsiTheme="minorHAnsi" w:cstheme="minorHAnsi"/>
          <w:color w:val="auto"/>
          <w:sz w:val="22"/>
          <w:szCs w:val="22"/>
        </w:rPr>
        <w:t>Croatian Waters are led by women (Minister Marija Vučković and Board Chairwoman). Women comprise 28.57% of the Croatian Waters Management Board (2 of 7 members; 2025, Croatian Waters). However, the EIGE Power domain score of 49.5 out of 100 (2024; EIGE) indicates that this leadership configuration reflects individual appointments rather than systemic change. Within Croatian Waters itself, women hold 0% of General Director and Deputy Director positions, the operational leadership layer immediately below the Management Board. This contradiction, where women lead the institution externally while remaining absent from its internal executive core, illustrates the gap between formal representation and operational power that the entire region must address.</w:t>
      </w:r>
    </w:p>
    <w:p w14:paraId="180CBAA2" w14:textId="77777777" w:rsidR="00E03741" w:rsidRPr="00556170" w:rsidRDefault="00E03741" w:rsidP="00E73104">
      <w:pPr>
        <w:jc w:val="both"/>
        <w:rPr>
          <w:rFonts w:asciiTheme="minorHAnsi" w:hAnsiTheme="minorHAnsi" w:cstheme="minorHAnsi"/>
          <w:sz w:val="22"/>
          <w:szCs w:val="22"/>
        </w:rPr>
      </w:pPr>
    </w:p>
    <w:p w14:paraId="3B60923F" w14:textId="77777777" w:rsidR="00E03741" w:rsidRPr="003C3E68" w:rsidRDefault="00E03741" w:rsidP="00E73104">
      <w:pPr>
        <w:pBdr>
          <w:left w:val="single" w:sz="14" w:space="8" w:color="3E2723"/>
        </w:pBdr>
        <w:shd w:val="clear" w:color="auto" w:fill="EFEBE9"/>
        <w:ind w:left="400"/>
        <w:jc w:val="both"/>
        <w:rPr>
          <w:rFonts w:asciiTheme="minorHAnsi" w:hAnsiTheme="minorHAnsi" w:cstheme="minorHAnsi"/>
          <w:color w:val="auto"/>
          <w:sz w:val="22"/>
          <w:szCs w:val="22"/>
        </w:rPr>
      </w:pPr>
      <w:r w:rsidRPr="00556170">
        <w:rPr>
          <w:rFonts w:asciiTheme="minorHAnsi" w:hAnsiTheme="minorHAnsi" w:cstheme="minorHAnsi"/>
          <w:b/>
          <w:bCs/>
          <w:color w:val="3E2723"/>
          <w:sz w:val="22"/>
          <w:szCs w:val="22"/>
        </w:rPr>
        <w:t xml:space="preserve">Montenegro: </w:t>
      </w:r>
      <w:r w:rsidRPr="003C3E68">
        <w:rPr>
          <w:rFonts w:asciiTheme="minorHAnsi" w:hAnsiTheme="minorHAnsi" w:cstheme="minorHAnsi"/>
          <w:color w:val="auto"/>
          <w:sz w:val="22"/>
          <w:szCs w:val="22"/>
        </w:rPr>
        <w:t xml:space="preserve">Women hold 27.2% of parliamentary seats (late 2023; IPU), above the formal 30% quota threshold but still leaving women in a structural minority. The qualitative evidence is more revealing than the headline figure: research by the OSCE Mission to Montenegro (2022) and </w:t>
      </w:r>
      <w:r w:rsidRPr="003C3E68">
        <w:rPr>
          <w:rFonts w:asciiTheme="minorHAnsi" w:hAnsiTheme="minorHAnsi" w:cstheme="minorHAnsi"/>
          <w:color w:val="auto"/>
          <w:sz w:val="22"/>
          <w:szCs w:val="22"/>
        </w:rPr>
        <w:lastRenderedPageBreak/>
        <w:t>REGAGEN (2022) explicitly confirms that women ‘still have little influence on the major decisions’ relating to water governance at local, national, or transboundary levels. This points to the presence-power gap described above. The distribution of water governance responsibilities across three separate ministries, each with its own institutional culture and gender equality track record, means there is no single accountability point for improving women’s substantive influence in the sector.</w:t>
      </w:r>
    </w:p>
    <w:p w14:paraId="02D759FA" w14:textId="77777777" w:rsidR="00E03741" w:rsidRPr="000B022E" w:rsidRDefault="00E03741" w:rsidP="00E73104">
      <w:pPr>
        <w:jc w:val="both"/>
        <w:rPr>
          <w:rFonts w:asciiTheme="minorHAnsi" w:hAnsiTheme="minorHAnsi" w:cstheme="minorHAnsi"/>
          <w:sz w:val="22"/>
          <w:szCs w:val="22"/>
        </w:rPr>
      </w:pPr>
    </w:p>
    <w:p w14:paraId="1AA36C31" w14:textId="77777777" w:rsidR="00E03741" w:rsidRPr="00556170" w:rsidRDefault="00E03741" w:rsidP="009672A7">
      <w:pPr>
        <w:pStyle w:val="Naslov4"/>
      </w:pPr>
      <w:r w:rsidRPr="00556170">
        <w:t>Table 7: Gender Disparities in Water Sector – Water as a Space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790"/>
        <w:gridCol w:w="1790"/>
        <w:gridCol w:w="1790"/>
        <w:gridCol w:w="1790"/>
      </w:tblGrid>
      <w:tr w:rsidR="003C3E68" w:rsidRPr="003C3E68" w14:paraId="28EB15B7" w14:textId="77777777" w:rsidTr="003B022E">
        <w:trPr>
          <w:tblHeader/>
        </w:trPr>
        <w:tc>
          <w:tcPr>
            <w:tcW w:w="220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0A7A5944" w14:textId="77777777" w:rsidR="00E03741" w:rsidRPr="003C3E68" w:rsidRDefault="00E03741" w:rsidP="00E73104">
            <w:pPr>
              <w:jc w:val="both"/>
              <w:rPr>
                <w:rFonts w:asciiTheme="minorHAnsi" w:hAnsiTheme="minorHAnsi" w:cstheme="minorHAnsi"/>
                <w:color w:val="FFFFFF" w:themeColor="background1"/>
                <w:sz w:val="22"/>
                <w:szCs w:val="22"/>
              </w:rPr>
            </w:pPr>
            <w:r w:rsidRPr="003C3E68">
              <w:rPr>
                <w:rFonts w:asciiTheme="minorHAnsi" w:hAnsiTheme="minorHAnsi" w:cstheme="minorHAnsi"/>
                <w:b/>
                <w:bCs/>
                <w:color w:val="FFFFFF" w:themeColor="background1"/>
                <w:sz w:val="22"/>
                <w:szCs w:val="22"/>
              </w:rPr>
              <w:t>Indicator</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12BF386F" w14:textId="77777777" w:rsidR="00E03741" w:rsidRPr="003C3E68" w:rsidRDefault="00E03741" w:rsidP="00E73104">
            <w:pPr>
              <w:jc w:val="both"/>
              <w:rPr>
                <w:rFonts w:asciiTheme="minorHAnsi" w:hAnsiTheme="minorHAnsi" w:cstheme="minorHAnsi"/>
                <w:color w:val="FFFFFF" w:themeColor="background1"/>
                <w:sz w:val="22"/>
                <w:szCs w:val="22"/>
              </w:rPr>
            </w:pPr>
            <w:r w:rsidRPr="003C3E68">
              <w:rPr>
                <w:rFonts w:asciiTheme="minorHAnsi" w:hAnsiTheme="minorHAnsi" w:cstheme="minorHAnsi"/>
                <w:b/>
                <w:bCs/>
                <w:color w:val="FFFFFF" w:themeColor="background1"/>
                <w:sz w:val="22"/>
                <w:szCs w:val="22"/>
              </w:rPr>
              <w:t>Albania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4CE4ACAD" w14:textId="77777777" w:rsidR="00E03741" w:rsidRPr="003C3E68" w:rsidRDefault="00E03741" w:rsidP="00E73104">
            <w:pPr>
              <w:jc w:val="both"/>
              <w:rPr>
                <w:rFonts w:asciiTheme="minorHAnsi" w:hAnsiTheme="minorHAnsi" w:cstheme="minorHAnsi"/>
                <w:color w:val="FFFFFF" w:themeColor="background1"/>
                <w:sz w:val="22"/>
                <w:szCs w:val="22"/>
              </w:rPr>
            </w:pPr>
            <w:r w:rsidRPr="003C3E68">
              <w:rPr>
                <w:rFonts w:asciiTheme="minorHAnsi" w:hAnsiTheme="minorHAnsi" w:cstheme="minorHAnsi"/>
                <w:b/>
                <w:bCs/>
                <w:color w:val="FFFFFF" w:themeColor="background1"/>
                <w:sz w:val="22"/>
                <w:szCs w:val="22"/>
              </w:rPr>
              <w:t>Bosnia &amp; Herz.</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7BC14515" w14:textId="77777777" w:rsidR="00E03741" w:rsidRPr="003C3E68" w:rsidRDefault="00E03741" w:rsidP="00E73104">
            <w:pPr>
              <w:jc w:val="both"/>
              <w:rPr>
                <w:rFonts w:asciiTheme="minorHAnsi" w:hAnsiTheme="minorHAnsi" w:cstheme="minorHAnsi"/>
                <w:color w:val="FFFFFF" w:themeColor="background1"/>
                <w:sz w:val="22"/>
                <w:szCs w:val="22"/>
              </w:rPr>
            </w:pPr>
            <w:r w:rsidRPr="003C3E68">
              <w:rPr>
                <w:rFonts w:asciiTheme="minorHAnsi" w:hAnsiTheme="minorHAnsi" w:cstheme="minorHAnsi"/>
                <w:b/>
                <w:bCs/>
                <w:color w:val="FFFFFF" w:themeColor="background1"/>
                <w:sz w:val="22"/>
                <w:szCs w:val="22"/>
              </w:rPr>
              <w:t>Croatia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40842779" w14:textId="77777777" w:rsidR="00E03741" w:rsidRPr="003C3E68" w:rsidRDefault="00E03741" w:rsidP="00E73104">
            <w:pPr>
              <w:jc w:val="both"/>
              <w:rPr>
                <w:rFonts w:asciiTheme="minorHAnsi" w:hAnsiTheme="minorHAnsi" w:cstheme="minorHAnsi"/>
                <w:color w:val="FFFFFF" w:themeColor="background1"/>
                <w:sz w:val="22"/>
                <w:szCs w:val="22"/>
              </w:rPr>
            </w:pPr>
            <w:r w:rsidRPr="003C3E68">
              <w:rPr>
                <w:rFonts w:asciiTheme="minorHAnsi" w:hAnsiTheme="minorHAnsi" w:cstheme="minorHAnsi"/>
                <w:b/>
                <w:bCs/>
                <w:color w:val="FFFFFF" w:themeColor="background1"/>
                <w:sz w:val="22"/>
                <w:szCs w:val="22"/>
              </w:rPr>
              <w:t>Montenegro</w:t>
            </w:r>
          </w:p>
        </w:tc>
      </w:tr>
      <w:tr w:rsidR="003C3E68" w:rsidRPr="003C3E68" w14:paraId="53D34ED2"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DACCF44" w14:textId="77777777" w:rsidR="00E03741" w:rsidRPr="00FF4690" w:rsidRDefault="00E03741" w:rsidP="00E73104">
            <w:pPr>
              <w:jc w:val="both"/>
              <w:rPr>
                <w:rFonts w:asciiTheme="minorHAnsi" w:hAnsiTheme="minorHAnsi" w:cstheme="minorHAnsi"/>
                <w:b/>
                <w:bCs/>
                <w:color w:val="auto"/>
                <w:sz w:val="22"/>
                <w:szCs w:val="22"/>
              </w:rPr>
            </w:pPr>
            <w:r w:rsidRPr="00FF4690">
              <w:rPr>
                <w:rFonts w:asciiTheme="minorHAnsi" w:hAnsiTheme="minorHAnsi" w:cstheme="minorHAnsi"/>
                <w:b/>
                <w:bCs/>
                <w:color w:val="auto"/>
                <w:sz w:val="22"/>
                <w:szCs w:val="22"/>
              </w:rPr>
              <w:t>Women in Parliament</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9984FF9"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35% (May 2025, IPU)</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340EF5A"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19.1% (Feb 2024, Equal Future Eurasia)</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D2B3F1E"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33.1% (2024, IPU)</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F211946"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27.2% (2023, IPU)</w:t>
            </w:r>
          </w:p>
        </w:tc>
      </w:tr>
      <w:tr w:rsidR="003C3E68" w:rsidRPr="003C3E68" w14:paraId="6C6EAE48"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C83B790" w14:textId="77777777" w:rsidR="00E03741" w:rsidRPr="00FF4690" w:rsidRDefault="00E03741" w:rsidP="00E73104">
            <w:pPr>
              <w:jc w:val="both"/>
              <w:rPr>
                <w:rFonts w:asciiTheme="minorHAnsi" w:hAnsiTheme="minorHAnsi" w:cstheme="minorHAnsi"/>
                <w:b/>
                <w:bCs/>
                <w:color w:val="auto"/>
                <w:sz w:val="22"/>
                <w:szCs w:val="22"/>
              </w:rPr>
            </w:pPr>
            <w:r w:rsidRPr="00FF4690">
              <w:rPr>
                <w:rFonts w:asciiTheme="minorHAnsi" w:hAnsiTheme="minorHAnsi" w:cstheme="minorHAnsi"/>
                <w:b/>
                <w:bCs/>
                <w:color w:val="auto"/>
                <w:sz w:val="22"/>
                <w:szCs w:val="22"/>
              </w:rPr>
              <w:t>Cabinet Positions (Women)</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425F106"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44.4% (Sept 2025, Govt of Albania)</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E9C2144"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Limited (OHCHR,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6B4D604"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Variable (CBS, 2021)</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28326A7"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Limited (MONSTAT, 2023)</w:t>
            </w:r>
          </w:p>
        </w:tc>
      </w:tr>
      <w:tr w:rsidR="003C3E68" w:rsidRPr="003C3E68" w14:paraId="0AA49A0E"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D20E349" w14:textId="77777777" w:rsidR="00E03741" w:rsidRPr="00FF4690" w:rsidRDefault="00E03741" w:rsidP="00E73104">
            <w:pPr>
              <w:jc w:val="both"/>
              <w:rPr>
                <w:rFonts w:asciiTheme="minorHAnsi" w:hAnsiTheme="minorHAnsi" w:cstheme="minorHAnsi"/>
                <w:b/>
                <w:bCs/>
                <w:color w:val="auto"/>
                <w:sz w:val="22"/>
                <w:szCs w:val="22"/>
              </w:rPr>
            </w:pPr>
            <w:r w:rsidRPr="00FF4690">
              <w:rPr>
                <w:rFonts w:asciiTheme="minorHAnsi" w:hAnsiTheme="minorHAnsi" w:cstheme="minorHAnsi"/>
                <w:b/>
                <w:bCs/>
                <w:color w:val="auto"/>
                <w:sz w:val="22"/>
                <w:szCs w:val="22"/>
              </w:rPr>
              <w:t>Women as Local Mayors</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1BC4D59"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Data limited (IPU, 2025)</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FF0237A"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8 of 142 (5.6%) (Equal Future Eurasia, 2024)</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A8DD87C"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Variable (CBS, 2021)</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EB6ECBB"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Limited data (MONSTAT, 2023)</w:t>
            </w:r>
          </w:p>
        </w:tc>
      </w:tr>
      <w:tr w:rsidR="003C3E68" w:rsidRPr="003C3E68" w14:paraId="1B77DB08"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7B6AF93" w14:textId="77777777" w:rsidR="00E03741" w:rsidRPr="00FF4690" w:rsidRDefault="00E03741" w:rsidP="00E73104">
            <w:pPr>
              <w:jc w:val="both"/>
              <w:rPr>
                <w:rFonts w:asciiTheme="minorHAnsi" w:hAnsiTheme="minorHAnsi" w:cstheme="minorHAnsi"/>
                <w:b/>
                <w:bCs/>
                <w:color w:val="auto"/>
                <w:sz w:val="22"/>
                <w:szCs w:val="22"/>
              </w:rPr>
            </w:pPr>
            <w:r w:rsidRPr="00FF4690">
              <w:rPr>
                <w:rFonts w:asciiTheme="minorHAnsi" w:hAnsiTheme="minorHAnsi" w:cstheme="minorHAnsi"/>
                <w:b/>
                <w:bCs/>
                <w:color w:val="auto"/>
                <w:sz w:val="22"/>
                <w:szCs w:val="22"/>
              </w:rPr>
              <w:t>Water Governance Bodies</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67A85D9"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GEE in IPMG; mostly male (MARDWA, 2025)</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56DC1CF"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No formal gender mechanism in basin agencies (Agency GE, 2022)</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EB0CBDC" w14:textId="09FB326A"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 xml:space="preserve">0% directors; women lead Ministry &amp; </w:t>
            </w:r>
            <w:r w:rsidR="00DF7499">
              <w:rPr>
                <w:rFonts w:asciiTheme="minorHAnsi" w:hAnsiTheme="minorHAnsi" w:cstheme="minorHAnsi"/>
                <w:color w:val="auto"/>
                <w:sz w:val="22"/>
                <w:szCs w:val="22"/>
              </w:rPr>
              <w:t xml:space="preserve">Management Board of </w:t>
            </w:r>
            <w:r w:rsidRPr="003C3E68">
              <w:rPr>
                <w:rFonts w:asciiTheme="minorHAnsi" w:hAnsiTheme="minorHAnsi" w:cstheme="minorHAnsi"/>
                <w:color w:val="auto"/>
                <w:sz w:val="22"/>
                <w:szCs w:val="22"/>
              </w:rPr>
              <w:t>HV (2025)</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F899076"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under 20%; no cross-ministry mechanism (REGAGEN, 2022)</w:t>
            </w:r>
          </w:p>
        </w:tc>
      </w:tr>
      <w:tr w:rsidR="003C3E68" w:rsidRPr="003C3E68" w14:paraId="626CFEFC"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01A856A" w14:textId="77777777" w:rsidR="00E03741" w:rsidRPr="00FF4690" w:rsidRDefault="00E03741" w:rsidP="00E73104">
            <w:pPr>
              <w:jc w:val="both"/>
              <w:rPr>
                <w:rFonts w:asciiTheme="minorHAnsi" w:hAnsiTheme="minorHAnsi" w:cstheme="minorHAnsi"/>
                <w:b/>
                <w:bCs/>
                <w:color w:val="auto"/>
                <w:sz w:val="22"/>
                <w:szCs w:val="22"/>
              </w:rPr>
            </w:pPr>
            <w:r w:rsidRPr="00FF4690">
              <w:rPr>
                <w:rFonts w:asciiTheme="minorHAnsi" w:hAnsiTheme="minorHAnsi" w:cstheme="minorHAnsi"/>
                <w:b/>
                <w:bCs/>
                <w:color w:val="auto"/>
                <w:sz w:val="22"/>
                <w:szCs w:val="22"/>
              </w:rPr>
              <w:t>Electoral Gender Quota</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47D2698"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30% (applied)</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03E956D"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40% (unachieved – 19.1% actual)</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BF721FA"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Not mandated</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2DF7A8B"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30% (applied)</w:t>
            </w:r>
          </w:p>
        </w:tc>
      </w:tr>
      <w:tr w:rsidR="003C3E68" w:rsidRPr="003C3E68" w14:paraId="65F94DBC"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A7EF73F" w14:textId="77777777" w:rsidR="00E03741" w:rsidRPr="00FF4690" w:rsidRDefault="00E03741" w:rsidP="00E73104">
            <w:pPr>
              <w:jc w:val="both"/>
              <w:rPr>
                <w:rFonts w:asciiTheme="minorHAnsi" w:hAnsiTheme="minorHAnsi" w:cstheme="minorHAnsi"/>
                <w:b/>
                <w:bCs/>
                <w:color w:val="auto"/>
                <w:sz w:val="22"/>
                <w:szCs w:val="22"/>
              </w:rPr>
            </w:pPr>
            <w:r w:rsidRPr="00FF4690">
              <w:rPr>
                <w:rFonts w:asciiTheme="minorHAnsi" w:hAnsiTheme="minorHAnsi" w:cstheme="minorHAnsi"/>
                <w:b/>
                <w:bCs/>
                <w:color w:val="auto"/>
                <w:sz w:val="22"/>
                <w:szCs w:val="22"/>
              </w:rPr>
              <w:t>Quota Scope</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3DFDC5E"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Electoral only</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E15C9A0"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Electoral only</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4E50A45"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N/A</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1C7B863"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Electoral only</w:t>
            </w:r>
          </w:p>
        </w:tc>
      </w:tr>
      <w:tr w:rsidR="003C3E68" w:rsidRPr="003C3E68" w14:paraId="6C9F39F0"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827FFBD" w14:textId="77777777" w:rsidR="00E03741" w:rsidRPr="00FF4690" w:rsidRDefault="00E03741" w:rsidP="00E73104">
            <w:pPr>
              <w:jc w:val="both"/>
              <w:rPr>
                <w:rFonts w:asciiTheme="minorHAnsi" w:hAnsiTheme="minorHAnsi" w:cstheme="minorHAnsi"/>
                <w:b/>
                <w:bCs/>
                <w:color w:val="auto"/>
                <w:sz w:val="22"/>
                <w:szCs w:val="22"/>
              </w:rPr>
            </w:pPr>
            <w:r w:rsidRPr="00FF4690">
              <w:rPr>
                <w:rFonts w:asciiTheme="minorHAnsi" w:hAnsiTheme="minorHAnsi" w:cstheme="minorHAnsi"/>
                <w:b/>
                <w:bCs/>
                <w:color w:val="auto"/>
                <w:sz w:val="22"/>
                <w:szCs w:val="22"/>
              </w:rPr>
              <w:t>Local Government (Women)</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18AC95B"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34.6% councilors (IPU, 2025)</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45B7DC6"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22.02% councilors (Equal Future Eurasia, 2024)</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4F50D57"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Variable (CBS, 2021)</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80D9879"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Limited data (MONSTAT, 2023)</w:t>
            </w:r>
          </w:p>
        </w:tc>
      </w:tr>
      <w:tr w:rsidR="003C3E68" w:rsidRPr="003C3E68" w14:paraId="071663D6"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37EA02D" w14:textId="77777777" w:rsidR="00E03741" w:rsidRPr="00FF4690" w:rsidRDefault="00E03741" w:rsidP="00E73104">
            <w:pPr>
              <w:jc w:val="both"/>
              <w:rPr>
                <w:rFonts w:asciiTheme="minorHAnsi" w:hAnsiTheme="minorHAnsi" w:cstheme="minorHAnsi"/>
                <w:b/>
                <w:bCs/>
                <w:color w:val="auto"/>
                <w:sz w:val="22"/>
                <w:szCs w:val="22"/>
              </w:rPr>
            </w:pPr>
            <w:r w:rsidRPr="00FF4690">
              <w:rPr>
                <w:rFonts w:asciiTheme="minorHAnsi" w:hAnsiTheme="minorHAnsi" w:cstheme="minorHAnsi"/>
                <w:b/>
                <w:bCs/>
                <w:color w:val="auto"/>
                <w:sz w:val="22"/>
                <w:szCs w:val="22"/>
              </w:rPr>
              <w:t>Gender Power Score (EIGE domain,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BD3BF15"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N/A (non-EU)</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5564F37"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N/A (non-EU)</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B29A880"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49.5/100 (EIGE,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8322732" w14:textId="77777777" w:rsidR="00E03741" w:rsidRPr="003C3E68" w:rsidRDefault="00E03741" w:rsidP="00E73104">
            <w:pPr>
              <w:jc w:val="both"/>
              <w:rPr>
                <w:rFonts w:asciiTheme="minorHAnsi" w:hAnsiTheme="minorHAnsi" w:cstheme="minorHAnsi"/>
                <w:color w:val="auto"/>
                <w:sz w:val="22"/>
                <w:szCs w:val="22"/>
              </w:rPr>
            </w:pPr>
            <w:r w:rsidRPr="003C3E68">
              <w:rPr>
                <w:rFonts w:asciiTheme="minorHAnsi" w:hAnsiTheme="minorHAnsi" w:cstheme="minorHAnsi"/>
                <w:color w:val="auto"/>
                <w:sz w:val="22"/>
                <w:szCs w:val="22"/>
              </w:rPr>
              <w:t>Pilot score (EIGE, 2023)</w:t>
            </w:r>
          </w:p>
        </w:tc>
      </w:tr>
    </w:tbl>
    <w:p w14:paraId="0100C4D7" w14:textId="77777777" w:rsidR="00E03741" w:rsidRPr="003C3E68" w:rsidRDefault="00E03741" w:rsidP="003C3E68">
      <w:pPr>
        <w:jc w:val="both"/>
        <w:rPr>
          <w:rFonts w:asciiTheme="minorHAnsi" w:hAnsiTheme="minorHAnsi" w:cstheme="minorHAnsi"/>
          <w:i/>
          <w:iCs/>
          <w:color w:val="666666"/>
          <w:sz w:val="18"/>
          <w:szCs w:val="18"/>
        </w:rPr>
      </w:pPr>
      <w:r w:rsidRPr="003C3E68">
        <w:rPr>
          <w:rFonts w:asciiTheme="minorHAnsi" w:hAnsiTheme="minorHAnsi" w:cstheme="minorHAnsi"/>
          <w:i/>
          <w:iCs/>
          <w:color w:val="666666"/>
          <w:sz w:val="18"/>
          <w:szCs w:val="18"/>
        </w:rPr>
        <w:t>Sources: IPU Parline database (2024–2025); Equal Future Eurasia (2024); Croatian Waters (2025); MARDWA (2025); REGAGEN (2022); EIGE Gender Equality Index (2024); OHCHR (2024); MONSTAT (2023); Agency for Gender Equality of BiH (2022).</w:t>
      </w:r>
    </w:p>
    <w:p w14:paraId="3775472A" w14:textId="77777777" w:rsidR="003C3E68" w:rsidRPr="00556170" w:rsidRDefault="003C3E68" w:rsidP="003C3E68">
      <w:pPr>
        <w:jc w:val="both"/>
        <w:rPr>
          <w:rFonts w:asciiTheme="minorHAnsi" w:hAnsiTheme="minorHAnsi" w:cstheme="minorHAnsi"/>
          <w:sz w:val="22"/>
          <w:szCs w:val="22"/>
        </w:rPr>
      </w:pPr>
    </w:p>
    <w:p w14:paraId="158C1325" w14:textId="43C3AEE3" w:rsidR="00E03741" w:rsidRPr="00556170" w:rsidRDefault="00E03741" w:rsidP="00E73104">
      <w:pPr>
        <w:pStyle w:val="Naslov2"/>
        <w:spacing w:before="0" w:after="0"/>
        <w:jc w:val="both"/>
        <w:rPr>
          <w:rFonts w:asciiTheme="minorHAnsi" w:hAnsiTheme="minorHAnsi" w:cstheme="minorHAnsi"/>
          <w:sz w:val="22"/>
          <w:szCs w:val="22"/>
        </w:rPr>
      </w:pPr>
      <w:bookmarkStart w:id="29" w:name="_Toc224128612"/>
      <w:r w:rsidRPr="00556170">
        <w:rPr>
          <w:rFonts w:asciiTheme="minorHAnsi" w:eastAsia="Arial" w:hAnsiTheme="minorHAnsi" w:cstheme="minorHAnsi"/>
          <w:b/>
          <w:bCs/>
          <w:color w:val="2E75B6"/>
          <w:sz w:val="22"/>
          <w:szCs w:val="22"/>
        </w:rPr>
        <w:t>6.1.1 Analysis of Representation Gaps</w:t>
      </w:r>
      <w:bookmarkEnd w:id="29"/>
    </w:p>
    <w:p w14:paraId="39C73E45" w14:textId="77777777" w:rsidR="00E03741" w:rsidRPr="00084CCE" w:rsidRDefault="00E03741" w:rsidP="00E73104">
      <w:pPr>
        <w:jc w:val="both"/>
        <w:rPr>
          <w:rFonts w:asciiTheme="minorHAnsi" w:hAnsiTheme="minorHAnsi" w:cstheme="minorHAnsi"/>
          <w:color w:val="000000" w:themeColor="text1"/>
          <w:sz w:val="22"/>
          <w:szCs w:val="22"/>
        </w:rPr>
      </w:pPr>
      <w:r w:rsidRPr="00084CCE">
        <w:rPr>
          <w:rFonts w:asciiTheme="minorHAnsi" w:hAnsiTheme="minorHAnsi" w:cstheme="minorHAnsi"/>
          <w:color w:val="000000" w:themeColor="text1"/>
          <w:sz w:val="22"/>
          <w:szCs w:val="22"/>
        </w:rPr>
        <w:t xml:space="preserve">The comparative analysis reveals a consistent disconnect between political representation achievements and substantive participation in water sector governance. The central structural gap is that gender quotas universally apply to electoral positions but not to appointed technical bodies. River basin authorities, water utility boards, regulatory agencies, and technical advisory committees, the institutions that make most operational water governance decisions, fall entirely outside mandatory representation </w:t>
      </w:r>
      <w:r w:rsidRPr="00084CCE">
        <w:rPr>
          <w:rFonts w:asciiTheme="minorHAnsi" w:hAnsiTheme="minorHAnsi" w:cstheme="minorHAnsi"/>
          <w:color w:val="000000" w:themeColor="text1"/>
          <w:sz w:val="22"/>
          <w:szCs w:val="22"/>
        </w:rPr>
        <w:lastRenderedPageBreak/>
        <w:t>requirements in all four countries. This means the sector where gender mainstreaming matters most for practical water outcomes is the sector least subject to legal accountability for gender balance.</w:t>
      </w:r>
    </w:p>
    <w:p w14:paraId="2BACBB84" w14:textId="77777777" w:rsidR="00E03741" w:rsidRPr="00084CCE" w:rsidRDefault="00E03741" w:rsidP="00E73104">
      <w:pPr>
        <w:jc w:val="both"/>
        <w:rPr>
          <w:rFonts w:asciiTheme="minorHAnsi" w:hAnsiTheme="minorHAnsi" w:cstheme="minorHAnsi"/>
          <w:color w:val="000000" w:themeColor="text1"/>
          <w:sz w:val="22"/>
          <w:szCs w:val="22"/>
        </w:rPr>
      </w:pPr>
      <w:r w:rsidRPr="00084CCE">
        <w:rPr>
          <w:rFonts w:asciiTheme="minorHAnsi" w:hAnsiTheme="minorHAnsi" w:cstheme="minorHAnsi"/>
          <w:color w:val="000000" w:themeColor="text1"/>
          <w:sz w:val="22"/>
          <w:szCs w:val="22"/>
        </w:rPr>
        <w:t>Three distinct representation gap patterns are evident across the region:</w:t>
      </w:r>
    </w:p>
    <w:p w14:paraId="1CA27C0A" w14:textId="77777777" w:rsidR="00E03741" w:rsidRPr="00084CCE"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084CCE">
        <w:rPr>
          <w:rFonts w:asciiTheme="minorHAnsi" w:hAnsiTheme="minorHAnsi" w:cstheme="minorHAnsi"/>
          <w:b/>
          <w:bCs/>
          <w:color w:val="000000" w:themeColor="text1"/>
          <w:sz w:val="22"/>
          <w:szCs w:val="22"/>
        </w:rPr>
        <w:t xml:space="preserve">Formal quota failure (Bosnia and Herzegovina): </w:t>
      </w:r>
      <w:r w:rsidRPr="00084CCE">
        <w:rPr>
          <w:rFonts w:asciiTheme="minorHAnsi" w:hAnsiTheme="minorHAnsi" w:cstheme="minorHAnsi"/>
          <w:color w:val="000000" w:themeColor="text1"/>
          <w:sz w:val="22"/>
          <w:szCs w:val="22"/>
        </w:rPr>
        <w:t>a 40% quota produces 19.1% actual representation (Equal Future Eurasia, 2024) because electoral system design allows parties to satisfy quotas formally while placing women in unwinnable list positions. Male candidates enjoy approximately twice as much voter trust regardless of the voter’s gender (Equal Future Eurasia, 2024), demonstrating that legal mandates cannot substitute for the cultural shift needed to achieve substantive equality.</w:t>
      </w:r>
    </w:p>
    <w:p w14:paraId="207D513E" w14:textId="06883DD6" w:rsidR="00E03741" w:rsidRPr="00084CCE"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084CCE">
        <w:rPr>
          <w:rFonts w:asciiTheme="minorHAnsi" w:hAnsiTheme="minorHAnsi" w:cstheme="minorHAnsi"/>
          <w:b/>
          <w:bCs/>
          <w:color w:val="000000" w:themeColor="text1"/>
          <w:sz w:val="22"/>
          <w:szCs w:val="22"/>
        </w:rPr>
        <w:t xml:space="preserve">Leadership-without-power paradox (Croatia): </w:t>
      </w:r>
      <w:r w:rsidRPr="00084CCE">
        <w:rPr>
          <w:rFonts w:asciiTheme="minorHAnsi" w:hAnsiTheme="minorHAnsi" w:cstheme="minorHAnsi"/>
          <w:color w:val="000000" w:themeColor="text1"/>
          <w:sz w:val="22"/>
          <w:szCs w:val="22"/>
        </w:rPr>
        <w:t xml:space="preserve">women lead the Ministry and Croatian Waters at </w:t>
      </w:r>
      <w:r w:rsidR="00DF7499">
        <w:rPr>
          <w:rFonts w:asciiTheme="minorHAnsi" w:hAnsiTheme="minorHAnsi" w:cstheme="minorHAnsi"/>
          <w:color w:val="000000" w:themeColor="text1"/>
          <w:sz w:val="22"/>
          <w:szCs w:val="22"/>
        </w:rPr>
        <w:t xml:space="preserve">Management </w:t>
      </w:r>
      <w:r w:rsidRPr="00084CCE">
        <w:rPr>
          <w:rFonts w:asciiTheme="minorHAnsi" w:hAnsiTheme="minorHAnsi" w:cstheme="minorHAnsi"/>
          <w:color w:val="000000" w:themeColor="text1"/>
          <w:sz w:val="22"/>
          <w:szCs w:val="22"/>
        </w:rPr>
        <w:t>board level yet hold 0% of operational director positions (Croatian Waters, 2025), illustrating that high-profile appointments do not automatically shift institutional culture or resource allocation.</w:t>
      </w:r>
    </w:p>
    <w:p w14:paraId="02A2878D" w14:textId="77777777" w:rsidR="00E03741"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084CCE">
        <w:rPr>
          <w:rFonts w:asciiTheme="minorHAnsi" w:hAnsiTheme="minorHAnsi" w:cstheme="minorHAnsi"/>
          <w:b/>
          <w:bCs/>
          <w:color w:val="000000" w:themeColor="text1"/>
          <w:sz w:val="22"/>
          <w:szCs w:val="22"/>
        </w:rPr>
        <w:t xml:space="preserve">Presence-without-influence (Montenegro): </w:t>
      </w:r>
      <w:r w:rsidRPr="00084CCE">
        <w:rPr>
          <w:rFonts w:asciiTheme="minorHAnsi" w:hAnsiTheme="minorHAnsi" w:cstheme="minorHAnsi"/>
          <w:color w:val="000000" w:themeColor="text1"/>
          <w:sz w:val="22"/>
          <w:szCs w:val="22"/>
        </w:rPr>
        <w:t>27.2% parliamentary representation exists alongside documented evidence that women ‘still have little influence on major water governance decisions’ (OSCE Mission to Montenegro, 2022), confirming that numerical presence without structural voice does not constitute genuine participation.</w:t>
      </w:r>
    </w:p>
    <w:p w14:paraId="64D72C1C" w14:textId="77777777" w:rsidR="00084CCE" w:rsidRPr="00084CCE" w:rsidRDefault="00084CCE" w:rsidP="00084CCE">
      <w:pPr>
        <w:pStyle w:val="Pasussalistom"/>
        <w:ind w:left="540"/>
        <w:contextualSpacing w:val="0"/>
        <w:jc w:val="both"/>
        <w:rPr>
          <w:rFonts w:asciiTheme="minorHAnsi" w:hAnsiTheme="minorHAnsi" w:cstheme="minorHAnsi"/>
          <w:color w:val="000000" w:themeColor="text1"/>
          <w:sz w:val="22"/>
          <w:szCs w:val="22"/>
        </w:rPr>
      </w:pPr>
    </w:p>
    <w:p w14:paraId="56C4521F" w14:textId="77777777" w:rsidR="00084CCE" w:rsidRDefault="00E03741" w:rsidP="00E73104">
      <w:pPr>
        <w:jc w:val="both"/>
        <w:rPr>
          <w:rFonts w:asciiTheme="minorHAnsi" w:hAnsiTheme="minorHAnsi" w:cstheme="minorHAnsi"/>
          <w:color w:val="000000" w:themeColor="text1"/>
          <w:sz w:val="22"/>
          <w:szCs w:val="22"/>
        </w:rPr>
      </w:pPr>
      <w:r w:rsidRPr="00084CCE">
        <w:rPr>
          <w:rFonts w:asciiTheme="minorHAnsi" w:hAnsiTheme="minorHAnsi" w:cstheme="minorHAnsi"/>
          <w:b/>
          <w:bCs/>
          <w:color w:val="000000" w:themeColor="text1"/>
          <w:sz w:val="22"/>
          <w:szCs w:val="22"/>
        </w:rPr>
        <w:t xml:space="preserve">Common implication across all four countries: </w:t>
      </w:r>
      <w:r w:rsidRPr="00084CCE">
        <w:rPr>
          <w:rFonts w:asciiTheme="minorHAnsi" w:hAnsiTheme="minorHAnsi" w:cstheme="minorHAnsi"/>
          <w:color w:val="000000" w:themeColor="text1"/>
          <w:sz w:val="22"/>
          <w:szCs w:val="22"/>
        </w:rPr>
        <w:t xml:space="preserve">achieving substantive gender equality in water governance requires not only increasing women’s presence in elected bodies but also: </w:t>
      </w:r>
    </w:p>
    <w:p w14:paraId="4725456E" w14:textId="02561C21" w:rsidR="00084CCE" w:rsidRPr="00084CCE" w:rsidRDefault="000546A0" w:rsidP="00084CCE">
      <w:pPr>
        <w:pStyle w:val="Pasussalistom"/>
        <w:numPr>
          <w:ilvl w:val="0"/>
          <w:numId w:val="9"/>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E</w:t>
      </w:r>
      <w:r w:rsidR="00E03741" w:rsidRPr="00084CCE">
        <w:rPr>
          <w:rFonts w:asciiTheme="minorHAnsi" w:hAnsiTheme="minorHAnsi" w:cstheme="minorHAnsi"/>
          <w:color w:val="000000" w:themeColor="text1"/>
          <w:sz w:val="22"/>
          <w:szCs w:val="22"/>
        </w:rPr>
        <w:t xml:space="preserve">xtending quota or target requirements to appointed technical water </w:t>
      </w:r>
      <w:proofErr w:type="gramStart"/>
      <w:r w:rsidR="00E03741" w:rsidRPr="00084CCE">
        <w:rPr>
          <w:rFonts w:asciiTheme="minorHAnsi" w:hAnsiTheme="minorHAnsi" w:cstheme="minorHAnsi"/>
          <w:color w:val="000000" w:themeColor="text1"/>
          <w:sz w:val="22"/>
          <w:szCs w:val="22"/>
        </w:rPr>
        <w:t>bodies;</w:t>
      </w:r>
      <w:proofErr w:type="gramEnd"/>
      <w:r w:rsidR="00E03741" w:rsidRPr="00084CCE">
        <w:rPr>
          <w:rFonts w:asciiTheme="minorHAnsi" w:hAnsiTheme="minorHAnsi" w:cstheme="minorHAnsi"/>
          <w:color w:val="000000" w:themeColor="text1"/>
          <w:sz w:val="22"/>
          <w:szCs w:val="22"/>
        </w:rPr>
        <w:t xml:space="preserve"> </w:t>
      </w:r>
    </w:p>
    <w:p w14:paraId="290D6A83" w14:textId="5ABDDA5F" w:rsidR="00084CCE" w:rsidRPr="00084CCE" w:rsidRDefault="000546A0" w:rsidP="00084CCE">
      <w:pPr>
        <w:pStyle w:val="Pasussalistom"/>
        <w:numPr>
          <w:ilvl w:val="0"/>
          <w:numId w:val="9"/>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B</w:t>
      </w:r>
      <w:r w:rsidR="00E03741" w:rsidRPr="00084CCE">
        <w:rPr>
          <w:rFonts w:asciiTheme="minorHAnsi" w:hAnsiTheme="minorHAnsi" w:cstheme="minorHAnsi"/>
          <w:color w:val="000000" w:themeColor="text1"/>
          <w:sz w:val="22"/>
          <w:szCs w:val="22"/>
        </w:rPr>
        <w:t xml:space="preserve">uilding women’s technical authority through training and mentorship; and </w:t>
      </w:r>
    </w:p>
    <w:p w14:paraId="3036DF66" w14:textId="07FB1916" w:rsidR="00E03741" w:rsidRPr="00084CCE" w:rsidRDefault="000546A0" w:rsidP="00084CCE">
      <w:pPr>
        <w:pStyle w:val="Pasussalistom"/>
        <w:numPr>
          <w:ilvl w:val="0"/>
          <w:numId w:val="9"/>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C</w:t>
      </w:r>
      <w:r w:rsidR="00E03741" w:rsidRPr="00084CCE">
        <w:rPr>
          <w:rFonts w:asciiTheme="minorHAnsi" w:hAnsiTheme="minorHAnsi" w:cstheme="minorHAnsi"/>
          <w:color w:val="000000" w:themeColor="text1"/>
          <w:sz w:val="22"/>
          <w:szCs w:val="22"/>
        </w:rPr>
        <w:t>reating institutional accountability mechanisms that reward substantive influence, not just numerical representation.</w:t>
      </w:r>
    </w:p>
    <w:p w14:paraId="37830F17" w14:textId="77777777" w:rsidR="00084CCE" w:rsidRPr="00084CCE" w:rsidRDefault="00084CCE" w:rsidP="00E73104">
      <w:pPr>
        <w:jc w:val="both"/>
        <w:rPr>
          <w:rFonts w:asciiTheme="minorHAnsi" w:hAnsiTheme="minorHAnsi" w:cstheme="minorHAnsi"/>
          <w:color w:val="000000" w:themeColor="text1"/>
          <w:sz w:val="22"/>
          <w:szCs w:val="22"/>
        </w:rPr>
      </w:pPr>
    </w:p>
    <w:p w14:paraId="44252838" w14:textId="10AD10CA" w:rsidR="00E03741" w:rsidRPr="00556170" w:rsidRDefault="00E03741" w:rsidP="00E73104">
      <w:pPr>
        <w:pStyle w:val="Naslov2"/>
        <w:spacing w:before="0" w:after="0"/>
        <w:jc w:val="both"/>
        <w:rPr>
          <w:rFonts w:asciiTheme="minorHAnsi" w:hAnsiTheme="minorHAnsi" w:cstheme="minorHAnsi"/>
          <w:sz w:val="22"/>
          <w:szCs w:val="22"/>
        </w:rPr>
      </w:pPr>
      <w:bookmarkStart w:id="30" w:name="_Toc224128613"/>
      <w:r w:rsidRPr="00556170">
        <w:rPr>
          <w:rFonts w:asciiTheme="minorHAnsi" w:eastAsia="Arial" w:hAnsiTheme="minorHAnsi" w:cstheme="minorHAnsi"/>
          <w:b/>
          <w:bCs/>
          <w:color w:val="2E75B6"/>
          <w:sz w:val="22"/>
          <w:szCs w:val="22"/>
        </w:rPr>
        <w:t>6.2 Water Governance Body Composition</w:t>
      </w:r>
      <w:bookmarkEnd w:id="30"/>
    </w:p>
    <w:p w14:paraId="6084C6DB" w14:textId="77777777" w:rsidR="00E03741" w:rsidRDefault="00E03741" w:rsidP="00E73104">
      <w:pPr>
        <w:jc w:val="both"/>
        <w:rPr>
          <w:rFonts w:asciiTheme="minorHAnsi" w:hAnsiTheme="minorHAnsi" w:cstheme="minorHAnsi"/>
          <w:color w:val="000000" w:themeColor="text1"/>
          <w:sz w:val="22"/>
          <w:szCs w:val="22"/>
        </w:rPr>
      </w:pPr>
      <w:r w:rsidRPr="00084CCE">
        <w:rPr>
          <w:rFonts w:asciiTheme="minorHAnsi" w:hAnsiTheme="minorHAnsi" w:cstheme="minorHAnsi"/>
          <w:color w:val="000000" w:themeColor="text1"/>
          <w:sz w:val="22"/>
          <w:szCs w:val="22"/>
        </w:rPr>
        <w:t xml:space="preserve">Gender quotas do not extend to appointed technical water governance bodies in any of the four countries. River basin authorities, water utility boards, regulatory agencies, and technical advisory committees, the bodies that make most operational water decisions, fall entirely outside mandatory representation requirements. The following data, where available, </w:t>
      </w:r>
      <w:proofErr w:type="gramStart"/>
      <w:r w:rsidRPr="00084CCE">
        <w:rPr>
          <w:rFonts w:asciiTheme="minorHAnsi" w:hAnsiTheme="minorHAnsi" w:cstheme="minorHAnsi"/>
          <w:color w:val="000000" w:themeColor="text1"/>
          <w:sz w:val="22"/>
          <w:szCs w:val="22"/>
        </w:rPr>
        <w:t>illustrate</w:t>
      </w:r>
      <w:proofErr w:type="gramEnd"/>
      <w:r w:rsidRPr="00084CCE">
        <w:rPr>
          <w:rFonts w:asciiTheme="minorHAnsi" w:hAnsiTheme="minorHAnsi" w:cstheme="minorHAnsi"/>
          <w:color w:val="000000" w:themeColor="text1"/>
          <w:sz w:val="22"/>
          <w:szCs w:val="22"/>
        </w:rPr>
        <w:t xml:space="preserve"> the gender composition of these bodies.</w:t>
      </w:r>
    </w:p>
    <w:p w14:paraId="6908171A" w14:textId="77777777" w:rsidR="00286DF2" w:rsidRPr="00084CCE" w:rsidRDefault="00286DF2" w:rsidP="00E73104">
      <w:pPr>
        <w:jc w:val="both"/>
        <w:rPr>
          <w:rFonts w:asciiTheme="minorHAnsi" w:hAnsiTheme="minorHAnsi" w:cstheme="minorHAnsi"/>
          <w:color w:val="000000" w:themeColor="text1"/>
          <w:sz w:val="22"/>
          <w:szCs w:val="22"/>
        </w:rPr>
      </w:pPr>
    </w:p>
    <w:p w14:paraId="60CDA995" w14:textId="77777777" w:rsidR="00E03741" w:rsidRPr="00084CCE"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084CCE">
        <w:rPr>
          <w:rFonts w:asciiTheme="minorHAnsi" w:hAnsiTheme="minorHAnsi" w:cstheme="minorHAnsi"/>
          <w:b/>
          <w:bCs/>
          <w:color w:val="000000" w:themeColor="text1"/>
          <w:sz w:val="22"/>
          <w:szCs w:val="22"/>
        </w:rPr>
        <w:t xml:space="preserve">Albania: </w:t>
      </w:r>
      <w:r w:rsidRPr="00084CCE">
        <w:rPr>
          <w:rFonts w:asciiTheme="minorHAnsi" w:hAnsiTheme="minorHAnsi" w:cstheme="minorHAnsi"/>
          <w:color w:val="000000" w:themeColor="text1"/>
          <w:sz w:val="22"/>
          <w:szCs w:val="22"/>
        </w:rPr>
        <w:t>The National Water Council is chaired by the Prime Minister and comprises mainly ministry officials. The Integrated Policy Management Group (IPMG) includes a Gender Equality Employee (GEE) from MARDWA, providing the only formal gender mechanism in any water governance body across the four countries. No sex-disaggregated data on water utility boards is available (MARDWA, 2025).</w:t>
      </w:r>
    </w:p>
    <w:p w14:paraId="4CEF93CB" w14:textId="77777777" w:rsidR="00E03741" w:rsidRPr="00084CCE"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084CCE">
        <w:rPr>
          <w:rFonts w:asciiTheme="minorHAnsi" w:hAnsiTheme="minorHAnsi" w:cstheme="minorHAnsi"/>
          <w:b/>
          <w:bCs/>
          <w:color w:val="000000" w:themeColor="text1"/>
          <w:sz w:val="22"/>
          <w:szCs w:val="22"/>
        </w:rPr>
        <w:t xml:space="preserve">Bosnia and Herzegovina: </w:t>
      </w:r>
      <w:r w:rsidRPr="00084CCE">
        <w:rPr>
          <w:rFonts w:asciiTheme="minorHAnsi" w:hAnsiTheme="minorHAnsi" w:cstheme="minorHAnsi"/>
          <w:color w:val="000000" w:themeColor="text1"/>
          <w:sz w:val="22"/>
          <w:szCs w:val="22"/>
        </w:rPr>
        <w:t>The two river basin agencies (Sava and Adriatic) have no formal gender mainstreaming mechanism. No sex-disaggregated data on board composition is published. The 142 local water utility companies are governed by municipal authorities, where women hold mayoral roles in only 8 of 142 administrations (Equal Future Eurasia, 2024), directly limiting gender-responsive oversight of utility governance.</w:t>
      </w:r>
    </w:p>
    <w:p w14:paraId="1E05A458" w14:textId="74EAF425" w:rsidR="00E03741" w:rsidRPr="00084CCE"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084CCE">
        <w:rPr>
          <w:rFonts w:asciiTheme="minorHAnsi" w:hAnsiTheme="minorHAnsi" w:cstheme="minorHAnsi"/>
          <w:b/>
          <w:bCs/>
          <w:color w:val="000000" w:themeColor="text1"/>
          <w:sz w:val="22"/>
          <w:szCs w:val="22"/>
        </w:rPr>
        <w:t xml:space="preserve">Croatia: </w:t>
      </w:r>
      <w:r w:rsidRPr="00084CCE">
        <w:rPr>
          <w:rFonts w:asciiTheme="minorHAnsi" w:hAnsiTheme="minorHAnsi" w:cstheme="minorHAnsi"/>
          <w:color w:val="000000" w:themeColor="text1"/>
          <w:sz w:val="22"/>
          <w:szCs w:val="22"/>
        </w:rPr>
        <w:t>The Croatian Waters (</w:t>
      </w:r>
      <w:proofErr w:type="spellStart"/>
      <w:r w:rsidRPr="00084CCE">
        <w:rPr>
          <w:rFonts w:asciiTheme="minorHAnsi" w:hAnsiTheme="minorHAnsi" w:cstheme="minorHAnsi"/>
          <w:color w:val="000000" w:themeColor="text1"/>
          <w:sz w:val="22"/>
          <w:szCs w:val="22"/>
        </w:rPr>
        <w:t>Hrvatske</w:t>
      </w:r>
      <w:proofErr w:type="spellEnd"/>
      <w:r w:rsidRPr="00084CCE">
        <w:rPr>
          <w:rFonts w:asciiTheme="minorHAnsi" w:hAnsiTheme="minorHAnsi" w:cstheme="minorHAnsi"/>
          <w:color w:val="000000" w:themeColor="text1"/>
          <w:sz w:val="22"/>
          <w:szCs w:val="22"/>
        </w:rPr>
        <w:t xml:space="preserve"> </w:t>
      </w:r>
      <w:proofErr w:type="spellStart"/>
      <w:r w:rsidRPr="00084CCE">
        <w:rPr>
          <w:rFonts w:asciiTheme="minorHAnsi" w:hAnsiTheme="minorHAnsi" w:cstheme="minorHAnsi"/>
          <w:color w:val="000000" w:themeColor="text1"/>
          <w:sz w:val="22"/>
          <w:szCs w:val="22"/>
        </w:rPr>
        <w:t>vode</w:t>
      </w:r>
      <w:proofErr w:type="spellEnd"/>
      <w:r w:rsidRPr="00084CCE">
        <w:rPr>
          <w:rFonts w:asciiTheme="minorHAnsi" w:hAnsiTheme="minorHAnsi" w:cstheme="minorHAnsi"/>
          <w:color w:val="000000" w:themeColor="text1"/>
          <w:sz w:val="22"/>
          <w:szCs w:val="22"/>
        </w:rPr>
        <w:t xml:space="preserve">) Management Board comprises </w:t>
      </w:r>
      <w:r w:rsidR="00DF7499">
        <w:rPr>
          <w:rFonts w:asciiTheme="minorHAnsi" w:hAnsiTheme="minorHAnsi" w:cstheme="minorHAnsi"/>
          <w:color w:val="000000" w:themeColor="text1"/>
          <w:sz w:val="22"/>
          <w:szCs w:val="22"/>
        </w:rPr>
        <w:t xml:space="preserve">of </w:t>
      </w:r>
      <w:r w:rsidRPr="00084CCE">
        <w:rPr>
          <w:rFonts w:asciiTheme="minorHAnsi" w:hAnsiTheme="minorHAnsi" w:cstheme="minorHAnsi"/>
          <w:color w:val="000000" w:themeColor="text1"/>
          <w:sz w:val="22"/>
          <w:szCs w:val="22"/>
        </w:rPr>
        <w:t>7 members, of whom 2 (28.57%) are women (2025; Croatian Waters). Women hold 0% of General Director and Deputy Director positions and 53.3% of Sector Head positions (2025; Croatian Waters). The Gender Equality Action Plan 2023–2026 is the most comprehensive sector-specific instrument in the region but does not set binding targets for board-level representation.</w:t>
      </w:r>
    </w:p>
    <w:p w14:paraId="597E9663" w14:textId="77777777" w:rsidR="00E03741" w:rsidRPr="00084CCE"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084CCE">
        <w:rPr>
          <w:rFonts w:asciiTheme="minorHAnsi" w:hAnsiTheme="minorHAnsi" w:cstheme="minorHAnsi"/>
          <w:b/>
          <w:bCs/>
          <w:color w:val="000000" w:themeColor="text1"/>
          <w:sz w:val="22"/>
          <w:szCs w:val="22"/>
        </w:rPr>
        <w:t xml:space="preserve">Montenegro: </w:t>
      </w:r>
      <w:r w:rsidRPr="00084CCE">
        <w:rPr>
          <w:rFonts w:asciiTheme="minorHAnsi" w:hAnsiTheme="minorHAnsi" w:cstheme="minorHAnsi"/>
          <w:color w:val="000000" w:themeColor="text1"/>
          <w:sz w:val="22"/>
          <w:szCs w:val="22"/>
        </w:rPr>
        <w:t xml:space="preserve">Water governance is distributed across three ministries and REGAGEN. No sex-disaggregated data on ministerial water management staff or REGAGEN board composition is </w:t>
      </w:r>
      <w:r w:rsidRPr="00084CCE">
        <w:rPr>
          <w:rFonts w:asciiTheme="minorHAnsi" w:hAnsiTheme="minorHAnsi" w:cstheme="minorHAnsi"/>
          <w:color w:val="000000" w:themeColor="text1"/>
          <w:sz w:val="22"/>
          <w:szCs w:val="22"/>
        </w:rPr>
        <w:lastRenderedPageBreak/>
        <w:t>published. Research confirms that women have little influence on water governance decisions at any level (OSCE Mission to Montenegro, 2022).</w:t>
      </w:r>
    </w:p>
    <w:p w14:paraId="685C4CAC" w14:textId="77777777" w:rsidR="00E03741" w:rsidRPr="00084CCE" w:rsidRDefault="00E03741" w:rsidP="00E73104">
      <w:pPr>
        <w:jc w:val="both"/>
        <w:rPr>
          <w:rFonts w:asciiTheme="minorHAnsi" w:hAnsiTheme="minorHAnsi" w:cstheme="minorHAnsi"/>
          <w:color w:val="000000" w:themeColor="text1"/>
          <w:sz w:val="22"/>
          <w:szCs w:val="22"/>
        </w:rPr>
      </w:pPr>
    </w:p>
    <w:p w14:paraId="37F6543A" w14:textId="77777777" w:rsidR="00E03741" w:rsidRPr="00556170" w:rsidRDefault="00E03741" w:rsidP="00E73104">
      <w:pPr>
        <w:jc w:val="both"/>
        <w:rPr>
          <w:rFonts w:asciiTheme="minorHAnsi" w:hAnsiTheme="minorHAnsi" w:cstheme="minorHAnsi"/>
          <w:sz w:val="22"/>
          <w:szCs w:val="22"/>
        </w:rPr>
      </w:pPr>
      <w:r w:rsidRPr="00084CCE">
        <w:rPr>
          <w:rFonts w:asciiTheme="minorHAnsi" w:hAnsiTheme="minorHAnsi" w:cstheme="minorHAnsi"/>
          <w:b/>
          <w:bCs/>
          <w:color w:val="000000" w:themeColor="text1"/>
          <w:sz w:val="22"/>
          <w:szCs w:val="22"/>
        </w:rPr>
        <w:t xml:space="preserve">Regional finding: </w:t>
      </w:r>
      <w:r w:rsidRPr="007D1570">
        <w:rPr>
          <w:rFonts w:asciiTheme="minorHAnsi" w:hAnsiTheme="minorHAnsi" w:cstheme="minorHAnsi"/>
          <w:color w:val="000000" w:themeColor="text1"/>
          <w:sz w:val="22"/>
          <w:szCs w:val="22"/>
        </w:rPr>
        <w:t>The absence of gender-disaggregated data on the composition of water governance bodies, other than Croatian Waters, is itself a governance failure. It means that the institutions responsible for water management cannot be held accountable for gender balance, and that the scale of the representation gap in operational water governance is larger than available data can currently quantify. Extending sex-disaggregated reporting requirements to all water governance bodies is a prerequisite for evidence-based accountability.</w:t>
      </w:r>
    </w:p>
    <w:p w14:paraId="000A0493" w14:textId="77777777" w:rsidR="00E03741" w:rsidRPr="00556170" w:rsidRDefault="00E03741" w:rsidP="00E73104">
      <w:pPr>
        <w:jc w:val="both"/>
        <w:rPr>
          <w:rFonts w:asciiTheme="minorHAnsi" w:hAnsiTheme="minorHAnsi" w:cstheme="minorHAnsi"/>
          <w:sz w:val="22"/>
          <w:szCs w:val="22"/>
        </w:rPr>
      </w:pPr>
      <w:r w:rsidRPr="00556170">
        <w:rPr>
          <w:rFonts w:asciiTheme="minorHAnsi" w:hAnsiTheme="minorHAnsi" w:cstheme="minorHAnsi"/>
          <w:sz w:val="22"/>
          <w:szCs w:val="22"/>
        </w:rPr>
        <w:br w:type="page"/>
      </w:r>
    </w:p>
    <w:p w14:paraId="1B5E242A" w14:textId="392D9C8C" w:rsidR="00E03741" w:rsidRPr="00556170" w:rsidRDefault="00E03741" w:rsidP="00E73104">
      <w:pPr>
        <w:pStyle w:val="Naslov1"/>
        <w:pBdr>
          <w:bottom w:val="single" w:sz="8" w:space="4" w:color="2E75B6"/>
        </w:pBdr>
        <w:spacing w:before="0" w:after="0"/>
        <w:jc w:val="both"/>
        <w:rPr>
          <w:rFonts w:asciiTheme="minorHAnsi" w:hAnsiTheme="minorHAnsi" w:cstheme="minorHAnsi"/>
          <w:sz w:val="22"/>
          <w:szCs w:val="22"/>
        </w:rPr>
      </w:pPr>
      <w:bookmarkStart w:id="31" w:name="_Toc224128614"/>
      <w:r w:rsidRPr="00556170">
        <w:rPr>
          <w:rFonts w:asciiTheme="minorHAnsi" w:eastAsia="Arial" w:hAnsiTheme="minorHAnsi" w:cstheme="minorHAnsi"/>
          <w:b/>
          <w:bCs/>
          <w:color w:val="1F4E79"/>
          <w:sz w:val="22"/>
          <w:szCs w:val="22"/>
        </w:rPr>
        <w:lastRenderedPageBreak/>
        <w:t>7</w:t>
      </w:r>
      <w:r w:rsidR="00156165" w:rsidRPr="00556170">
        <w:rPr>
          <w:rFonts w:asciiTheme="minorHAnsi" w:eastAsia="Arial" w:hAnsiTheme="minorHAnsi" w:cstheme="minorHAnsi"/>
          <w:b/>
          <w:bCs/>
          <w:color w:val="1F4E79"/>
          <w:sz w:val="22"/>
          <w:szCs w:val="22"/>
        </w:rPr>
        <w:t>. IDENTIFIED</w:t>
      </w:r>
      <w:r w:rsidRPr="00556170">
        <w:rPr>
          <w:rFonts w:asciiTheme="minorHAnsi" w:eastAsia="Arial" w:hAnsiTheme="minorHAnsi" w:cstheme="minorHAnsi"/>
          <w:b/>
          <w:bCs/>
          <w:color w:val="1F4E79"/>
          <w:sz w:val="22"/>
          <w:szCs w:val="22"/>
        </w:rPr>
        <w:t xml:space="preserve"> GAPS, CHALLENGES, AND EMERGING THEMES</w:t>
      </w:r>
      <w:bookmarkEnd w:id="31"/>
    </w:p>
    <w:p w14:paraId="059E31E9" w14:textId="5A69DBAA" w:rsidR="00E03741" w:rsidRPr="00556170" w:rsidRDefault="00E03741" w:rsidP="00E73104">
      <w:pPr>
        <w:pStyle w:val="Naslov2"/>
        <w:spacing w:before="0" w:after="0"/>
        <w:jc w:val="both"/>
        <w:rPr>
          <w:rFonts w:asciiTheme="minorHAnsi" w:hAnsiTheme="minorHAnsi" w:cstheme="minorHAnsi"/>
          <w:sz w:val="22"/>
          <w:szCs w:val="22"/>
        </w:rPr>
      </w:pPr>
      <w:bookmarkStart w:id="32" w:name="_Toc224128615"/>
      <w:r w:rsidRPr="00556170">
        <w:rPr>
          <w:rFonts w:asciiTheme="minorHAnsi" w:eastAsia="Arial" w:hAnsiTheme="minorHAnsi" w:cstheme="minorHAnsi"/>
          <w:b/>
          <w:bCs/>
          <w:color w:val="2E75B6"/>
          <w:sz w:val="22"/>
          <w:szCs w:val="22"/>
        </w:rPr>
        <w:t>7.1 The Policy-to-Practice Gap</w:t>
      </w:r>
      <w:bookmarkEnd w:id="32"/>
    </w:p>
    <w:p w14:paraId="20ED5FCF"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The most significant finding across all four countries is the persistent disconnect between robust legal and policy frameworks for gender equality and their effective implementation in the water sector.</w:t>
      </w:r>
    </w:p>
    <w:p w14:paraId="335B802A" w14:textId="77777777" w:rsidR="007D1570" w:rsidRPr="00556170" w:rsidRDefault="007D1570" w:rsidP="00E73104">
      <w:pPr>
        <w:jc w:val="both"/>
        <w:rPr>
          <w:rFonts w:asciiTheme="minorHAnsi" w:hAnsiTheme="minorHAnsi" w:cstheme="minorHAnsi"/>
          <w:sz w:val="22"/>
          <w:szCs w:val="22"/>
        </w:rPr>
      </w:pPr>
    </w:p>
    <w:p w14:paraId="4D814976" w14:textId="77777777" w:rsidR="00E03741" w:rsidRPr="007D1570" w:rsidRDefault="00E03741" w:rsidP="00E73104">
      <w:pPr>
        <w:pBdr>
          <w:left w:val="single" w:sz="14" w:space="8" w:color="1B5E20"/>
        </w:pBdr>
        <w:shd w:val="clear" w:color="auto" w:fill="E8F5E9"/>
        <w:ind w:left="400"/>
        <w:jc w:val="both"/>
        <w:rPr>
          <w:rFonts w:asciiTheme="minorHAnsi" w:hAnsiTheme="minorHAnsi" w:cstheme="minorHAnsi"/>
          <w:color w:val="000000" w:themeColor="text1"/>
          <w:sz w:val="22"/>
          <w:szCs w:val="22"/>
        </w:rPr>
      </w:pPr>
      <w:r w:rsidRPr="00556170">
        <w:rPr>
          <w:rFonts w:asciiTheme="minorHAnsi" w:hAnsiTheme="minorHAnsi" w:cstheme="minorHAnsi"/>
          <w:b/>
          <w:bCs/>
          <w:color w:val="1B5E20"/>
          <w:sz w:val="22"/>
          <w:szCs w:val="22"/>
        </w:rPr>
        <w:t xml:space="preserve">Albania: </w:t>
      </w:r>
      <w:r w:rsidRPr="007D1570">
        <w:rPr>
          <w:rFonts w:asciiTheme="minorHAnsi" w:hAnsiTheme="minorHAnsi" w:cstheme="minorHAnsi"/>
          <w:color w:val="000000" w:themeColor="text1"/>
          <w:sz w:val="22"/>
          <w:szCs w:val="22"/>
        </w:rPr>
        <w:t>Despite progressive legislation and high female political representation (35% of parliament, 44.4% of cabinet), traditional gender roles persist in the water sector workforce, where women remain concentrated in administrative rather than technical positions. The Law on Gender Equality (2008) sets a 30% representation principle, but implementation mechanisms and accountability measures remain insufficient (European Commission, 2025).</w:t>
      </w:r>
    </w:p>
    <w:p w14:paraId="73EC15B8" w14:textId="77777777" w:rsidR="00E03741" w:rsidRPr="00556170" w:rsidRDefault="00E03741" w:rsidP="00E73104">
      <w:pPr>
        <w:jc w:val="both"/>
        <w:rPr>
          <w:rFonts w:asciiTheme="minorHAnsi" w:hAnsiTheme="minorHAnsi" w:cstheme="minorHAnsi"/>
          <w:sz w:val="22"/>
          <w:szCs w:val="22"/>
        </w:rPr>
      </w:pPr>
    </w:p>
    <w:p w14:paraId="430A3C97" w14:textId="77777777" w:rsidR="00E03741" w:rsidRPr="007D1570" w:rsidRDefault="00E03741" w:rsidP="00E73104">
      <w:pPr>
        <w:pBdr>
          <w:left w:val="single" w:sz="14" w:space="8" w:color="B71C1C"/>
        </w:pBdr>
        <w:shd w:val="clear" w:color="auto" w:fill="FFEBEE"/>
        <w:ind w:left="400"/>
        <w:jc w:val="both"/>
        <w:rPr>
          <w:rFonts w:asciiTheme="minorHAnsi" w:hAnsiTheme="minorHAnsi" w:cstheme="minorHAnsi"/>
          <w:color w:val="000000" w:themeColor="text1"/>
          <w:sz w:val="22"/>
          <w:szCs w:val="22"/>
        </w:rPr>
      </w:pPr>
      <w:r w:rsidRPr="00556170">
        <w:rPr>
          <w:rFonts w:asciiTheme="minorHAnsi" w:hAnsiTheme="minorHAnsi" w:cstheme="minorHAnsi"/>
          <w:b/>
          <w:bCs/>
          <w:color w:val="B71C1C"/>
          <w:sz w:val="22"/>
          <w:szCs w:val="22"/>
        </w:rPr>
        <w:t xml:space="preserve">Bosnia and Herzegovina: </w:t>
      </w:r>
      <w:r w:rsidRPr="007D1570">
        <w:rPr>
          <w:rFonts w:asciiTheme="minorHAnsi" w:hAnsiTheme="minorHAnsi" w:cstheme="minorHAnsi"/>
          <w:color w:val="000000" w:themeColor="text1"/>
          <w:sz w:val="22"/>
          <w:szCs w:val="22"/>
        </w:rPr>
        <w:t xml:space="preserve">Demonstrates the most severe implementation failure, with women's parliamentary representation at 19.1% (2024; Equal Future Eurasia) despite a 40% quota requirement. The CEDAW Committee has explicitly cited lack of political will as a factor allowing discriminatory practices to persist (OHCHR, 2024). Within the water sector, gender issues have been </w:t>
      </w:r>
      <w:proofErr w:type="spellStart"/>
      <w:r w:rsidRPr="007D1570">
        <w:rPr>
          <w:rFonts w:asciiTheme="minorHAnsi" w:hAnsiTheme="minorHAnsi" w:cstheme="minorHAnsi"/>
          <w:color w:val="000000" w:themeColor="text1"/>
          <w:sz w:val="22"/>
          <w:szCs w:val="22"/>
        </w:rPr>
        <w:t>characterised</w:t>
      </w:r>
      <w:proofErr w:type="spellEnd"/>
      <w:r w:rsidRPr="007D1570">
        <w:rPr>
          <w:rFonts w:asciiTheme="minorHAnsi" w:hAnsiTheme="minorHAnsi" w:cstheme="minorHAnsi"/>
          <w:color w:val="000000" w:themeColor="text1"/>
          <w:sz w:val="22"/>
          <w:szCs w:val="22"/>
        </w:rPr>
        <w:t xml:space="preserve"> as 'irrelevant or marginal' due to the institutional focus on engineering (WEDC Knowledge, 2014; this </w:t>
      </w:r>
      <w:proofErr w:type="spellStart"/>
      <w:r w:rsidRPr="007D1570">
        <w:rPr>
          <w:rFonts w:asciiTheme="minorHAnsi" w:hAnsiTheme="minorHAnsi" w:cstheme="minorHAnsi"/>
          <w:color w:val="000000" w:themeColor="text1"/>
          <w:sz w:val="22"/>
          <w:szCs w:val="22"/>
        </w:rPr>
        <w:t>characterisation</w:t>
      </w:r>
      <w:proofErr w:type="spellEnd"/>
      <w:r w:rsidRPr="007D1570">
        <w:rPr>
          <w:rFonts w:asciiTheme="minorHAnsi" w:hAnsiTheme="minorHAnsi" w:cstheme="minorHAnsi"/>
          <w:color w:val="000000" w:themeColor="text1"/>
          <w:sz w:val="22"/>
          <w:szCs w:val="22"/>
        </w:rPr>
        <w:t xml:space="preserve"> is noted as an older reference and may have evolved, but no more recent sector-specific assessment for BiH is available).</w:t>
      </w:r>
    </w:p>
    <w:p w14:paraId="7AC3335C" w14:textId="77777777" w:rsidR="00E03741" w:rsidRPr="00556170" w:rsidRDefault="00E03741" w:rsidP="00E73104">
      <w:pPr>
        <w:jc w:val="both"/>
        <w:rPr>
          <w:rFonts w:asciiTheme="minorHAnsi" w:hAnsiTheme="minorHAnsi" w:cstheme="minorHAnsi"/>
          <w:sz w:val="22"/>
          <w:szCs w:val="22"/>
        </w:rPr>
      </w:pPr>
    </w:p>
    <w:p w14:paraId="2D964DB4" w14:textId="77777777" w:rsidR="00E03741" w:rsidRPr="007D1570" w:rsidRDefault="00E03741" w:rsidP="00E73104">
      <w:pPr>
        <w:pBdr>
          <w:left w:val="single" w:sz="14" w:space="8" w:color="4A148C"/>
        </w:pBdr>
        <w:shd w:val="clear" w:color="auto" w:fill="F3E5F5"/>
        <w:ind w:left="400"/>
        <w:jc w:val="both"/>
        <w:rPr>
          <w:rFonts w:asciiTheme="minorHAnsi" w:hAnsiTheme="minorHAnsi" w:cstheme="minorHAnsi"/>
          <w:color w:val="000000" w:themeColor="text1"/>
          <w:sz w:val="22"/>
          <w:szCs w:val="22"/>
        </w:rPr>
      </w:pPr>
      <w:r w:rsidRPr="00556170">
        <w:rPr>
          <w:rFonts w:asciiTheme="minorHAnsi" w:hAnsiTheme="minorHAnsi" w:cstheme="minorHAnsi"/>
          <w:b/>
          <w:bCs/>
          <w:color w:val="4A148C"/>
          <w:sz w:val="22"/>
          <w:szCs w:val="22"/>
        </w:rPr>
        <w:t xml:space="preserve">Croatia: </w:t>
      </w:r>
      <w:r w:rsidRPr="007D1570">
        <w:rPr>
          <w:rFonts w:asciiTheme="minorHAnsi" w:hAnsiTheme="minorHAnsi" w:cstheme="minorHAnsi"/>
          <w:color w:val="000000" w:themeColor="text1"/>
          <w:sz w:val="22"/>
          <w:szCs w:val="22"/>
        </w:rPr>
        <w:t xml:space="preserve">Has achieved formal compliance through the Gender Equality Act and Action Plans at institutions including Croatian </w:t>
      </w:r>
      <w:proofErr w:type="gramStart"/>
      <w:r w:rsidRPr="007D1570">
        <w:rPr>
          <w:rFonts w:asciiTheme="minorHAnsi" w:hAnsiTheme="minorHAnsi" w:cstheme="minorHAnsi"/>
          <w:color w:val="000000" w:themeColor="text1"/>
          <w:sz w:val="22"/>
          <w:szCs w:val="22"/>
        </w:rPr>
        <w:t>Waters, but</w:t>
      </w:r>
      <w:proofErr w:type="gramEnd"/>
      <w:r w:rsidRPr="007D1570">
        <w:rPr>
          <w:rFonts w:asciiTheme="minorHAnsi" w:hAnsiTheme="minorHAnsi" w:cstheme="minorHAnsi"/>
          <w:color w:val="000000" w:themeColor="text1"/>
          <w:sz w:val="22"/>
          <w:szCs w:val="22"/>
        </w:rPr>
        <w:t xml:space="preserve"> lacks the enforcement mechanisms and gender budgeting required for substantive implementation. The absence of sanctions for non-compliance renders gender equality an 'unfunded mandate' (U.S. Department of State, 2023; EIGE, 2024).</w:t>
      </w:r>
    </w:p>
    <w:p w14:paraId="7A2FC0D6" w14:textId="77777777" w:rsidR="00E03741" w:rsidRPr="00556170" w:rsidRDefault="00E03741" w:rsidP="00E73104">
      <w:pPr>
        <w:jc w:val="both"/>
        <w:rPr>
          <w:rFonts w:asciiTheme="minorHAnsi" w:hAnsiTheme="minorHAnsi" w:cstheme="minorHAnsi"/>
          <w:sz w:val="22"/>
          <w:szCs w:val="22"/>
        </w:rPr>
      </w:pPr>
    </w:p>
    <w:p w14:paraId="1505D8C4" w14:textId="77777777" w:rsidR="00E03741" w:rsidRPr="007D1570" w:rsidRDefault="00E03741" w:rsidP="00E73104">
      <w:pPr>
        <w:pBdr>
          <w:left w:val="single" w:sz="14" w:space="8" w:color="3E2723"/>
        </w:pBdr>
        <w:shd w:val="clear" w:color="auto" w:fill="EFEBE9"/>
        <w:ind w:left="400"/>
        <w:jc w:val="both"/>
        <w:rPr>
          <w:rFonts w:asciiTheme="minorHAnsi" w:hAnsiTheme="minorHAnsi" w:cstheme="minorHAnsi"/>
          <w:color w:val="000000" w:themeColor="text1"/>
          <w:sz w:val="22"/>
          <w:szCs w:val="22"/>
        </w:rPr>
      </w:pPr>
      <w:r w:rsidRPr="00556170">
        <w:rPr>
          <w:rFonts w:asciiTheme="minorHAnsi" w:hAnsiTheme="minorHAnsi" w:cstheme="minorHAnsi"/>
          <w:b/>
          <w:bCs/>
          <w:color w:val="3E2723"/>
          <w:sz w:val="22"/>
          <w:szCs w:val="22"/>
        </w:rPr>
        <w:t xml:space="preserve">Montenegro: </w:t>
      </w:r>
      <w:r w:rsidRPr="007D1570">
        <w:rPr>
          <w:rFonts w:asciiTheme="minorHAnsi" w:hAnsiTheme="minorHAnsi" w:cstheme="minorHAnsi"/>
          <w:color w:val="000000" w:themeColor="text1"/>
          <w:sz w:val="22"/>
          <w:szCs w:val="22"/>
        </w:rPr>
        <w:t>Only 26.8% of public policies address gender equality despite a legal mandate requiring such consideration (Law on Gender Equality Montenegro, 2007). The CEDAW Committee has expressed concern about persistent discriminatory practices despite a comprehensive legal framework (OHCHR CEDAW Montenegro, 2024).</w:t>
      </w:r>
    </w:p>
    <w:p w14:paraId="1C5996F8" w14:textId="77777777" w:rsidR="00E03741" w:rsidRPr="00556170" w:rsidRDefault="00E03741" w:rsidP="00E73104">
      <w:pPr>
        <w:jc w:val="both"/>
        <w:rPr>
          <w:rFonts w:asciiTheme="minorHAnsi" w:hAnsiTheme="minorHAnsi" w:cstheme="minorHAnsi"/>
          <w:sz w:val="22"/>
          <w:szCs w:val="22"/>
        </w:rPr>
      </w:pPr>
    </w:p>
    <w:p w14:paraId="340171AD" w14:textId="77777777" w:rsidR="00E03741" w:rsidRPr="00556170" w:rsidRDefault="00E03741" w:rsidP="004A43D7">
      <w:pPr>
        <w:pStyle w:val="Naslov4"/>
      </w:pPr>
      <w:r w:rsidRPr="00556170">
        <w:t>Table 8: Key Gender Gaps and Challenges by Country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790"/>
        <w:gridCol w:w="1790"/>
        <w:gridCol w:w="1790"/>
        <w:gridCol w:w="1790"/>
      </w:tblGrid>
      <w:tr w:rsidR="007D1570" w:rsidRPr="007D1570" w14:paraId="1A1F0712" w14:textId="77777777" w:rsidTr="003B022E">
        <w:trPr>
          <w:tblHeader/>
        </w:trPr>
        <w:tc>
          <w:tcPr>
            <w:tcW w:w="220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3672BB90" w14:textId="77777777" w:rsidR="00E03741" w:rsidRPr="007D1570" w:rsidRDefault="00E03741" w:rsidP="00E73104">
            <w:pPr>
              <w:jc w:val="both"/>
              <w:rPr>
                <w:rFonts w:asciiTheme="minorHAnsi" w:hAnsiTheme="minorHAnsi" w:cstheme="minorHAnsi"/>
                <w:color w:val="FFFFFF" w:themeColor="background1"/>
                <w:sz w:val="22"/>
                <w:szCs w:val="22"/>
              </w:rPr>
            </w:pPr>
            <w:r w:rsidRPr="007D1570">
              <w:rPr>
                <w:rFonts w:asciiTheme="minorHAnsi" w:hAnsiTheme="minorHAnsi" w:cstheme="minorHAnsi"/>
                <w:b/>
                <w:bCs/>
                <w:color w:val="FFFFFF" w:themeColor="background1"/>
                <w:sz w:val="22"/>
                <w:szCs w:val="22"/>
              </w:rPr>
              <w:t>Challenge</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6A924240" w14:textId="77777777" w:rsidR="00E03741" w:rsidRPr="007D1570" w:rsidRDefault="00E03741" w:rsidP="00E73104">
            <w:pPr>
              <w:jc w:val="both"/>
              <w:rPr>
                <w:rFonts w:asciiTheme="minorHAnsi" w:hAnsiTheme="minorHAnsi" w:cstheme="minorHAnsi"/>
                <w:color w:val="FFFFFF" w:themeColor="background1"/>
                <w:sz w:val="22"/>
                <w:szCs w:val="22"/>
              </w:rPr>
            </w:pPr>
            <w:r w:rsidRPr="007D1570">
              <w:rPr>
                <w:rFonts w:asciiTheme="minorHAnsi" w:hAnsiTheme="minorHAnsi" w:cstheme="minorHAnsi"/>
                <w:b/>
                <w:bCs/>
                <w:color w:val="FFFFFF" w:themeColor="background1"/>
                <w:sz w:val="22"/>
                <w:szCs w:val="22"/>
              </w:rPr>
              <w:t>Albania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08048146" w14:textId="77777777" w:rsidR="00E03741" w:rsidRPr="007D1570" w:rsidRDefault="00E03741" w:rsidP="00E73104">
            <w:pPr>
              <w:jc w:val="both"/>
              <w:rPr>
                <w:rFonts w:asciiTheme="minorHAnsi" w:hAnsiTheme="minorHAnsi" w:cstheme="minorHAnsi"/>
                <w:color w:val="FFFFFF" w:themeColor="background1"/>
                <w:sz w:val="22"/>
                <w:szCs w:val="22"/>
              </w:rPr>
            </w:pPr>
            <w:r w:rsidRPr="007D1570">
              <w:rPr>
                <w:rFonts w:asciiTheme="minorHAnsi" w:hAnsiTheme="minorHAnsi" w:cstheme="minorHAnsi"/>
                <w:b/>
                <w:bCs/>
                <w:color w:val="FFFFFF" w:themeColor="background1"/>
                <w:sz w:val="22"/>
                <w:szCs w:val="22"/>
              </w:rPr>
              <w:t>Bosnia &amp; Herz.</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2FDFFCC0" w14:textId="77777777" w:rsidR="00E03741" w:rsidRPr="007D1570" w:rsidRDefault="00E03741" w:rsidP="00E73104">
            <w:pPr>
              <w:jc w:val="both"/>
              <w:rPr>
                <w:rFonts w:asciiTheme="minorHAnsi" w:hAnsiTheme="minorHAnsi" w:cstheme="minorHAnsi"/>
                <w:color w:val="FFFFFF" w:themeColor="background1"/>
                <w:sz w:val="22"/>
                <w:szCs w:val="22"/>
              </w:rPr>
            </w:pPr>
            <w:r w:rsidRPr="007D1570">
              <w:rPr>
                <w:rFonts w:asciiTheme="minorHAnsi" w:hAnsiTheme="minorHAnsi" w:cstheme="minorHAnsi"/>
                <w:b/>
                <w:bCs/>
                <w:color w:val="FFFFFF" w:themeColor="background1"/>
                <w:sz w:val="22"/>
                <w:szCs w:val="22"/>
              </w:rPr>
              <w:t>Croatia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3EF00C92" w14:textId="77777777" w:rsidR="00E03741" w:rsidRPr="007D1570" w:rsidRDefault="00E03741" w:rsidP="00E73104">
            <w:pPr>
              <w:jc w:val="both"/>
              <w:rPr>
                <w:rFonts w:asciiTheme="minorHAnsi" w:hAnsiTheme="minorHAnsi" w:cstheme="minorHAnsi"/>
                <w:color w:val="FFFFFF" w:themeColor="background1"/>
                <w:sz w:val="22"/>
                <w:szCs w:val="22"/>
              </w:rPr>
            </w:pPr>
            <w:r w:rsidRPr="007D1570">
              <w:rPr>
                <w:rFonts w:asciiTheme="minorHAnsi" w:hAnsiTheme="minorHAnsi" w:cstheme="minorHAnsi"/>
                <w:b/>
                <w:bCs/>
                <w:color w:val="FFFFFF" w:themeColor="background1"/>
                <w:sz w:val="22"/>
                <w:szCs w:val="22"/>
              </w:rPr>
              <w:t>Montenegro</w:t>
            </w:r>
          </w:p>
        </w:tc>
      </w:tr>
      <w:tr w:rsidR="007D1570" w:rsidRPr="007D1570" w14:paraId="383DB3A1"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35F02B3"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Primary Barrier</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EF7599A"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Institutional capacity (EC, 2025)</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2355B36"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Fragmentation &amp; norms (OHCHR, 2024)</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3F90087"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Enforcement gaps (US Dept. of State, 2023)</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2963A0B"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Political will (OHCHR, 2024)</w:t>
            </w:r>
          </w:p>
        </w:tc>
      </w:tr>
      <w:tr w:rsidR="007D1570" w:rsidRPr="007D1570" w14:paraId="5210ABCE"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220F617"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Data Availability</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58D9896"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Critical deficit (INSTAT, 2023)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423903B"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Critical deficit (BHAS, 2022)</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360E3D4"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Improving; operational gaps (EIGE,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710FEEE"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Limited; no TUS (MONSTAT, 2023)</w:t>
            </w:r>
          </w:p>
        </w:tc>
      </w:tr>
      <w:tr w:rsidR="007D1570" w:rsidRPr="007D1570" w14:paraId="1BD8DAFB"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49BD247"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Traditional Norms</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8DEE2D5"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Persistent; Kanun customary law (see footnote)</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9B0D494"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Deeply ingrained; patriarchal norms (CEDAW, 2024)</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FD80B60"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Persistent (EIGE, 2024)</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E396B5F"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60% prefer traditional roles (UNDP MNE, 2024)</w:t>
            </w:r>
          </w:p>
        </w:tc>
      </w:tr>
      <w:tr w:rsidR="007D1570" w:rsidRPr="007D1570" w14:paraId="1E95E7AB"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9557CE3"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lastRenderedPageBreak/>
              <w:t>Implementation Rate</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FA50907"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Low (EC, 2025)</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9580EFC"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Low (Equal Future Eurasia,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243B14A"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Formal compliance only (EIGE,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9F53243"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26.8% of policies (OHCHR, 2024)</w:t>
            </w:r>
          </w:p>
        </w:tc>
      </w:tr>
      <w:tr w:rsidR="007D1570" w:rsidRPr="007D1570" w14:paraId="7D884B8C"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7E54EDA"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Resource Allocation</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30F0931"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Insufficient</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2E06A5A"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Insufficient</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65CD875"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Not mandated</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2E8F192" w14:textId="77777777" w:rsidR="00E03741" w:rsidRPr="007D1570" w:rsidRDefault="00E03741" w:rsidP="00E73104">
            <w:pPr>
              <w:jc w:val="both"/>
              <w:rPr>
                <w:rFonts w:asciiTheme="minorHAnsi" w:hAnsiTheme="minorHAnsi" w:cstheme="minorHAnsi"/>
                <w:color w:val="000000" w:themeColor="text1"/>
                <w:sz w:val="22"/>
                <w:szCs w:val="22"/>
              </w:rPr>
            </w:pPr>
            <w:r w:rsidRPr="007D1570">
              <w:rPr>
                <w:rFonts w:asciiTheme="minorHAnsi" w:hAnsiTheme="minorHAnsi" w:cstheme="minorHAnsi"/>
                <w:color w:val="000000" w:themeColor="text1"/>
                <w:sz w:val="22"/>
                <w:szCs w:val="22"/>
              </w:rPr>
              <w:t>Insufficient</w:t>
            </w:r>
          </w:p>
        </w:tc>
      </w:tr>
    </w:tbl>
    <w:p w14:paraId="3B9036DE" w14:textId="77777777" w:rsidR="007D1570" w:rsidRDefault="007D1570" w:rsidP="007D1570"/>
    <w:p w14:paraId="70C72E12" w14:textId="6C4186CC" w:rsidR="00E03741" w:rsidRPr="00556170" w:rsidRDefault="00E03741" w:rsidP="00E73104">
      <w:pPr>
        <w:pStyle w:val="Naslov2"/>
        <w:spacing w:before="0" w:after="0"/>
        <w:jc w:val="both"/>
        <w:rPr>
          <w:rFonts w:asciiTheme="minorHAnsi" w:hAnsiTheme="minorHAnsi" w:cstheme="minorHAnsi"/>
          <w:sz w:val="22"/>
          <w:szCs w:val="22"/>
        </w:rPr>
      </w:pPr>
      <w:bookmarkStart w:id="33" w:name="_Toc224128616"/>
      <w:r w:rsidRPr="00556170">
        <w:rPr>
          <w:rFonts w:asciiTheme="minorHAnsi" w:eastAsia="Arial" w:hAnsiTheme="minorHAnsi" w:cstheme="minorHAnsi"/>
          <w:b/>
          <w:bCs/>
          <w:color w:val="2E75B6"/>
          <w:sz w:val="22"/>
          <w:szCs w:val="22"/>
        </w:rPr>
        <w:t>7.2 Data Deficiencies and Monitoring Challenges</w:t>
      </w:r>
      <w:bookmarkEnd w:id="33"/>
    </w:p>
    <w:p w14:paraId="243F5E41" w14:textId="77777777" w:rsidR="00E03741" w:rsidRDefault="00E03741" w:rsidP="00E73104">
      <w:pPr>
        <w:jc w:val="both"/>
        <w:rPr>
          <w:rFonts w:asciiTheme="minorHAnsi" w:hAnsiTheme="minorHAnsi" w:cstheme="minorHAnsi"/>
          <w:color w:val="auto"/>
          <w:sz w:val="22"/>
          <w:szCs w:val="22"/>
        </w:rPr>
      </w:pPr>
      <w:r w:rsidRPr="007D1570">
        <w:rPr>
          <w:rFonts w:asciiTheme="minorHAnsi" w:hAnsiTheme="minorHAnsi" w:cstheme="minorHAnsi"/>
          <w:color w:val="auto"/>
          <w:sz w:val="22"/>
          <w:szCs w:val="22"/>
        </w:rPr>
        <w:t>A pervasive lack of comprehensive gender-disaggregated data represents a fundamental barrier to evidence-based policymaking and accountability across the region (DIKTAS II National Gender Analyses, 2025). While all four countries have legal mandates to collect sex-disaggregated statistics, systematic application of these requirements in the water sector remains incomplete.</w:t>
      </w:r>
    </w:p>
    <w:p w14:paraId="3B4D31E5" w14:textId="77777777" w:rsidR="0070797D" w:rsidRPr="007D1570" w:rsidRDefault="0070797D" w:rsidP="00E73104">
      <w:pPr>
        <w:jc w:val="both"/>
        <w:rPr>
          <w:rFonts w:asciiTheme="minorHAnsi" w:hAnsiTheme="minorHAnsi" w:cstheme="minorHAnsi"/>
          <w:color w:val="auto"/>
          <w:sz w:val="22"/>
          <w:szCs w:val="22"/>
        </w:rPr>
      </w:pPr>
    </w:p>
    <w:p w14:paraId="2E0FA4E1" w14:textId="77777777" w:rsidR="00E03741" w:rsidRPr="007D1570"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7D1570">
        <w:rPr>
          <w:rFonts w:asciiTheme="minorHAnsi" w:hAnsiTheme="minorHAnsi" w:cstheme="minorHAnsi"/>
          <w:b/>
          <w:bCs/>
          <w:color w:val="auto"/>
          <w:sz w:val="22"/>
          <w:szCs w:val="22"/>
        </w:rPr>
        <w:t xml:space="preserve">Albania: </w:t>
      </w:r>
      <w:r w:rsidRPr="007D1570">
        <w:rPr>
          <w:rFonts w:asciiTheme="minorHAnsi" w:hAnsiTheme="minorHAnsi" w:cstheme="minorHAnsi"/>
          <w:color w:val="auto"/>
          <w:sz w:val="22"/>
          <w:szCs w:val="22"/>
        </w:rPr>
        <w:t>Lacks reliable data on women's water collection time, participation in water governance, and access to water-related assets. The national time-use survey dates to 2010–2011 (INSTAT) and requires updating.</w:t>
      </w:r>
    </w:p>
    <w:p w14:paraId="2935073C" w14:textId="77777777" w:rsidR="00E03741" w:rsidRPr="007D1570"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7D1570">
        <w:rPr>
          <w:rFonts w:asciiTheme="minorHAnsi" w:hAnsiTheme="minorHAnsi" w:cstheme="minorHAnsi"/>
          <w:b/>
          <w:bCs/>
          <w:color w:val="auto"/>
          <w:sz w:val="22"/>
          <w:szCs w:val="22"/>
        </w:rPr>
        <w:t xml:space="preserve">Bosnia and Herzegovina: </w:t>
      </w:r>
      <w:r w:rsidRPr="007D1570">
        <w:rPr>
          <w:rFonts w:asciiTheme="minorHAnsi" w:hAnsiTheme="minorHAnsi" w:cstheme="minorHAnsi"/>
          <w:color w:val="auto"/>
          <w:sz w:val="22"/>
          <w:szCs w:val="22"/>
        </w:rPr>
        <w:t>The Law on Gender Equality (2003) legally mandates gender-disaggregated data collection, but implementation remains inconsistent. Lack of comparable methodologies across entities (FBiH, RS, Brčko District) undermines data utility (BHAS, 2022).</w:t>
      </w:r>
    </w:p>
    <w:p w14:paraId="726344D0" w14:textId="77777777" w:rsidR="00E03741" w:rsidRPr="007D1570"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7D1570">
        <w:rPr>
          <w:rFonts w:asciiTheme="minorHAnsi" w:hAnsiTheme="minorHAnsi" w:cstheme="minorHAnsi"/>
          <w:b/>
          <w:bCs/>
          <w:color w:val="auto"/>
          <w:sz w:val="22"/>
          <w:szCs w:val="22"/>
        </w:rPr>
        <w:t xml:space="preserve">Croatia: </w:t>
      </w:r>
      <w:r w:rsidRPr="007D1570">
        <w:rPr>
          <w:rFonts w:asciiTheme="minorHAnsi" w:hAnsiTheme="minorHAnsi" w:cstheme="minorHAnsi"/>
          <w:color w:val="auto"/>
          <w:sz w:val="22"/>
          <w:szCs w:val="22"/>
        </w:rPr>
        <w:t>Demonstrates partial progress through sex-disaggregated staffing data at Croatian Waters (2025). However, this practice does not extend to operational domains such as field assignments, project participation, training, or emergency response activities (Croatian Waters, 2025; EIGE, 2024).</w:t>
      </w:r>
    </w:p>
    <w:p w14:paraId="6553CC5B" w14:textId="77777777" w:rsidR="00E03741"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7D1570">
        <w:rPr>
          <w:rFonts w:asciiTheme="minorHAnsi" w:hAnsiTheme="minorHAnsi" w:cstheme="minorHAnsi"/>
          <w:b/>
          <w:bCs/>
          <w:color w:val="auto"/>
          <w:sz w:val="22"/>
          <w:szCs w:val="22"/>
        </w:rPr>
        <w:t xml:space="preserve">Montenegro: </w:t>
      </w:r>
      <w:r w:rsidRPr="007D1570">
        <w:rPr>
          <w:rFonts w:asciiTheme="minorHAnsi" w:hAnsiTheme="minorHAnsi" w:cstheme="minorHAnsi"/>
          <w:color w:val="auto"/>
          <w:sz w:val="22"/>
          <w:szCs w:val="22"/>
        </w:rPr>
        <w:t>Has never conducted a national time-use survey and has no published SDG Indicator 5.4.1 headline figure. The OSCE Mission supports gender-disaggregated data collection, but systematic implementation remains limited (OSCE Mission to Montenegro, 2022; MONSTAT, 2023).</w:t>
      </w:r>
    </w:p>
    <w:p w14:paraId="3C30B8CD" w14:textId="77777777" w:rsidR="007D1570" w:rsidRPr="007D1570" w:rsidRDefault="007D1570" w:rsidP="007D1570">
      <w:pPr>
        <w:pStyle w:val="Pasussalistom"/>
        <w:ind w:left="540"/>
        <w:contextualSpacing w:val="0"/>
        <w:jc w:val="both"/>
        <w:rPr>
          <w:rFonts w:asciiTheme="minorHAnsi" w:hAnsiTheme="minorHAnsi" w:cstheme="minorHAnsi"/>
          <w:color w:val="auto"/>
          <w:sz w:val="22"/>
          <w:szCs w:val="22"/>
        </w:rPr>
      </w:pPr>
    </w:p>
    <w:p w14:paraId="5AD3B55E" w14:textId="18314F14" w:rsidR="00E03741" w:rsidRPr="00556170" w:rsidRDefault="00E03741" w:rsidP="00E73104">
      <w:pPr>
        <w:pStyle w:val="Naslov2"/>
        <w:spacing w:before="0" w:after="0"/>
        <w:jc w:val="both"/>
        <w:rPr>
          <w:rFonts w:asciiTheme="minorHAnsi" w:hAnsiTheme="minorHAnsi" w:cstheme="minorHAnsi"/>
          <w:sz w:val="22"/>
          <w:szCs w:val="22"/>
        </w:rPr>
      </w:pPr>
      <w:bookmarkStart w:id="34" w:name="_Toc224128617"/>
      <w:r w:rsidRPr="00556170">
        <w:rPr>
          <w:rFonts w:asciiTheme="minorHAnsi" w:eastAsia="Arial" w:hAnsiTheme="minorHAnsi" w:cstheme="minorHAnsi"/>
          <w:b/>
          <w:bCs/>
          <w:color w:val="2E75B6"/>
          <w:sz w:val="22"/>
          <w:szCs w:val="22"/>
        </w:rPr>
        <w:t>7.3 Intersectional Vulnerabilities</w:t>
      </w:r>
      <w:bookmarkEnd w:id="34"/>
    </w:p>
    <w:p w14:paraId="06E1D016" w14:textId="77777777" w:rsidR="00E03741" w:rsidRPr="007D1570" w:rsidRDefault="00E03741" w:rsidP="00E73104">
      <w:pPr>
        <w:jc w:val="both"/>
        <w:rPr>
          <w:rFonts w:asciiTheme="minorHAnsi" w:hAnsiTheme="minorHAnsi" w:cstheme="minorHAnsi"/>
          <w:color w:val="auto"/>
          <w:sz w:val="22"/>
          <w:szCs w:val="22"/>
        </w:rPr>
      </w:pPr>
      <w:r w:rsidRPr="007D1570">
        <w:rPr>
          <w:rFonts w:asciiTheme="minorHAnsi" w:hAnsiTheme="minorHAnsi" w:cstheme="minorHAnsi"/>
          <w:color w:val="auto"/>
          <w:sz w:val="22"/>
          <w:szCs w:val="22"/>
        </w:rPr>
        <w:t>The impacts of water sector inequalities are not uniformly distributed but are most severe for women facing multiple, intersecting forms of disadvantage. Rural location, ethnicity, age, disability, and economic status compound gender-based barriers to water access, economic participation, and governance influence.</w:t>
      </w:r>
    </w:p>
    <w:p w14:paraId="1FF895EA" w14:textId="77777777" w:rsidR="00E03741" w:rsidRPr="007D1570"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7D1570">
        <w:rPr>
          <w:rFonts w:asciiTheme="minorHAnsi" w:hAnsiTheme="minorHAnsi" w:cstheme="minorHAnsi"/>
          <w:b/>
          <w:bCs/>
          <w:color w:val="auto"/>
          <w:sz w:val="22"/>
          <w:szCs w:val="22"/>
        </w:rPr>
        <w:t xml:space="preserve">Albania: </w:t>
      </w:r>
      <w:r w:rsidRPr="007D1570">
        <w:rPr>
          <w:rFonts w:asciiTheme="minorHAnsi" w:hAnsiTheme="minorHAnsi" w:cstheme="minorHAnsi"/>
          <w:color w:val="auto"/>
          <w:sz w:val="22"/>
          <w:szCs w:val="22"/>
        </w:rPr>
        <w:t>Women in rural and mountainous areas face heightened climate-induced water scarcity risk. Women from Roma and Egyptian communities face additional barriers in accessing basic services (INSTAT, 2023; UNDP Albania, 2024).</w:t>
      </w:r>
    </w:p>
    <w:p w14:paraId="1E9BF525" w14:textId="77777777" w:rsidR="00E03741" w:rsidRPr="007D1570"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7D1570">
        <w:rPr>
          <w:rFonts w:asciiTheme="minorHAnsi" w:hAnsiTheme="minorHAnsi" w:cstheme="minorHAnsi"/>
          <w:b/>
          <w:bCs/>
          <w:color w:val="auto"/>
          <w:sz w:val="22"/>
          <w:szCs w:val="22"/>
        </w:rPr>
        <w:t xml:space="preserve">Bosnia and Herzegovina: </w:t>
      </w:r>
      <w:r w:rsidRPr="007D1570">
        <w:rPr>
          <w:rFonts w:asciiTheme="minorHAnsi" w:hAnsiTheme="minorHAnsi" w:cstheme="minorHAnsi"/>
          <w:color w:val="auto"/>
          <w:sz w:val="22"/>
          <w:szCs w:val="22"/>
        </w:rPr>
        <w:t>Roma women face compounded discrimination. A significant proportion of Roma settlements lack connection to the basic water network or sewage systems (World Bank, 2022). The legacy of conflict-related sexual violence affecting an estimated 20,000 to 50,000 individuals (Global Survivors Fund, 2022) creates additional layers of vulnerability for survivors.</w:t>
      </w:r>
      <w:r w:rsidRPr="007D1570">
        <w:rPr>
          <w:rStyle w:val="Referencafusnote"/>
          <w:rFonts w:asciiTheme="minorHAnsi" w:hAnsiTheme="minorHAnsi" w:cstheme="minorHAnsi"/>
          <w:color w:val="auto"/>
          <w:sz w:val="22"/>
          <w:szCs w:val="22"/>
        </w:rPr>
        <w:footnoteReference w:id="3"/>
      </w:r>
    </w:p>
    <w:p w14:paraId="60185CB0" w14:textId="064C9346" w:rsidR="00E03741" w:rsidRPr="007D1570"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7D1570">
        <w:rPr>
          <w:rFonts w:asciiTheme="minorHAnsi" w:hAnsiTheme="minorHAnsi" w:cstheme="minorHAnsi"/>
          <w:b/>
          <w:bCs/>
          <w:color w:val="auto"/>
          <w:sz w:val="22"/>
          <w:szCs w:val="22"/>
        </w:rPr>
        <w:t xml:space="preserve">Croatia: </w:t>
      </w:r>
      <w:r w:rsidRPr="007D1570">
        <w:rPr>
          <w:rFonts w:asciiTheme="minorHAnsi" w:hAnsiTheme="minorHAnsi" w:cstheme="minorHAnsi"/>
          <w:color w:val="auto"/>
          <w:sz w:val="22"/>
          <w:szCs w:val="22"/>
        </w:rPr>
        <w:t xml:space="preserve">Ethnic minority women (including Roma and Serbs), rural women, and women with disabilities face multiple forms of discrimination. War-affected populations from the 1991–1995 </w:t>
      </w:r>
      <w:r w:rsidR="00DF7499">
        <w:rPr>
          <w:rFonts w:asciiTheme="minorHAnsi" w:hAnsiTheme="minorHAnsi" w:cstheme="minorHAnsi"/>
          <w:color w:val="auto"/>
          <w:sz w:val="22"/>
          <w:szCs w:val="22"/>
        </w:rPr>
        <w:t>war</w:t>
      </w:r>
      <w:r w:rsidRPr="007D1570">
        <w:rPr>
          <w:rFonts w:asciiTheme="minorHAnsi" w:hAnsiTheme="minorHAnsi" w:cstheme="minorHAnsi"/>
          <w:color w:val="auto"/>
          <w:sz w:val="22"/>
          <w:szCs w:val="22"/>
        </w:rPr>
        <w:t xml:space="preserve"> retain specific vulnerabilities (UN Women, 2020).</w:t>
      </w:r>
    </w:p>
    <w:p w14:paraId="21A8BA62" w14:textId="1A29FA8B" w:rsidR="00E03741" w:rsidRPr="007D1570"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7D1570">
        <w:rPr>
          <w:rFonts w:asciiTheme="minorHAnsi" w:hAnsiTheme="minorHAnsi" w:cstheme="minorHAnsi"/>
          <w:b/>
          <w:bCs/>
          <w:color w:val="auto"/>
          <w:sz w:val="22"/>
          <w:szCs w:val="22"/>
        </w:rPr>
        <w:t xml:space="preserve">Montenegro: </w:t>
      </w:r>
      <w:r w:rsidRPr="007D1570">
        <w:rPr>
          <w:rFonts w:asciiTheme="minorHAnsi" w:hAnsiTheme="minorHAnsi" w:cstheme="minorHAnsi"/>
          <w:color w:val="auto"/>
          <w:sz w:val="22"/>
          <w:szCs w:val="22"/>
        </w:rPr>
        <w:t>Women in the northern region are significantly less likely to find employment than women in the south (UNDP Montenegro, 2022). Asset ownership data are presented in Section 4.2.</w:t>
      </w:r>
    </w:p>
    <w:p w14:paraId="61031166" w14:textId="14245FD9" w:rsidR="00E03741" w:rsidRPr="00556170" w:rsidRDefault="00E03741" w:rsidP="00E73104">
      <w:pPr>
        <w:pStyle w:val="Naslov2"/>
        <w:spacing w:before="0" w:after="0"/>
        <w:jc w:val="both"/>
        <w:rPr>
          <w:rFonts w:asciiTheme="minorHAnsi" w:hAnsiTheme="minorHAnsi" w:cstheme="minorHAnsi"/>
          <w:sz w:val="22"/>
          <w:szCs w:val="22"/>
        </w:rPr>
      </w:pPr>
      <w:bookmarkStart w:id="35" w:name="_Toc224128618"/>
      <w:r w:rsidRPr="00556170">
        <w:rPr>
          <w:rFonts w:asciiTheme="minorHAnsi" w:eastAsia="Arial" w:hAnsiTheme="minorHAnsi" w:cstheme="minorHAnsi"/>
          <w:b/>
          <w:bCs/>
          <w:color w:val="2E75B6"/>
          <w:sz w:val="22"/>
          <w:szCs w:val="22"/>
        </w:rPr>
        <w:lastRenderedPageBreak/>
        <w:t>7.4 Socio-Economic and Environmental Linkages</w:t>
      </w:r>
      <w:bookmarkEnd w:id="35"/>
    </w:p>
    <w:p w14:paraId="4DBF610D" w14:textId="77777777" w:rsidR="00E03741" w:rsidRDefault="00E03741" w:rsidP="00E73104">
      <w:pPr>
        <w:jc w:val="both"/>
        <w:rPr>
          <w:rFonts w:asciiTheme="minorHAnsi" w:hAnsiTheme="minorHAnsi" w:cstheme="minorHAnsi"/>
          <w:color w:val="auto"/>
          <w:sz w:val="22"/>
          <w:szCs w:val="22"/>
        </w:rPr>
      </w:pPr>
      <w:r w:rsidRPr="007D1570">
        <w:rPr>
          <w:rFonts w:asciiTheme="minorHAnsi" w:hAnsiTheme="minorHAnsi" w:cstheme="minorHAnsi"/>
          <w:color w:val="auto"/>
          <w:sz w:val="22"/>
          <w:szCs w:val="22"/>
        </w:rPr>
        <w:t>Environmental linkages are significant across all four countries and are compounded by gender-differentiated vulnerabilities. Albania's water resources are projected to decline by 14% by mid-century (IMF, 2022), directly affecting women's agricultural and domestic water roles. A full analysis of country-level climate impacts and the water-GBV-climate nexus is presented in Section 8.</w:t>
      </w:r>
    </w:p>
    <w:p w14:paraId="7DA74670" w14:textId="77777777" w:rsidR="001B2465" w:rsidRPr="007D1570" w:rsidRDefault="001B2465" w:rsidP="00E73104">
      <w:pPr>
        <w:jc w:val="both"/>
        <w:rPr>
          <w:rFonts w:asciiTheme="minorHAnsi" w:hAnsiTheme="minorHAnsi" w:cstheme="minorHAnsi"/>
          <w:color w:val="auto"/>
          <w:sz w:val="22"/>
          <w:szCs w:val="22"/>
        </w:rPr>
      </w:pPr>
    </w:p>
    <w:p w14:paraId="41FB183F" w14:textId="154621EA" w:rsidR="00E03741" w:rsidRDefault="00E03741" w:rsidP="00E73104">
      <w:pPr>
        <w:jc w:val="both"/>
        <w:rPr>
          <w:rFonts w:asciiTheme="minorHAnsi" w:hAnsiTheme="minorHAnsi" w:cstheme="minorHAnsi"/>
          <w:color w:val="auto"/>
          <w:sz w:val="22"/>
          <w:szCs w:val="22"/>
        </w:rPr>
      </w:pPr>
      <w:r w:rsidRPr="007D1570">
        <w:rPr>
          <w:rFonts w:asciiTheme="minorHAnsi" w:hAnsiTheme="minorHAnsi" w:cstheme="minorHAnsi"/>
          <w:color w:val="auto"/>
          <w:sz w:val="22"/>
          <w:szCs w:val="22"/>
        </w:rPr>
        <w:t xml:space="preserve">Migration dynamics also interact with water governance capacity: Albania's population declined by approximately 420,000 since 2011 (INSTAT, 2023), affecting </w:t>
      </w:r>
      <w:proofErr w:type="spellStart"/>
      <w:r w:rsidRPr="007D1570">
        <w:rPr>
          <w:rFonts w:asciiTheme="minorHAnsi" w:hAnsiTheme="minorHAnsi" w:cstheme="minorHAnsi"/>
          <w:color w:val="auto"/>
          <w:sz w:val="22"/>
          <w:szCs w:val="22"/>
        </w:rPr>
        <w:t>labour</w:t>
      </w:r>
      <w:proofErr w:type="spellEnd"/>
      <w:r w:rsidRPr="007D1570">
        <w:rPr>
          <w:rFonts w:asciiTheme="minorHAnsi" w:hAnsiTheme="minorHAnsi" w:cstheme="minorHAnsi"/>
          <w:color w:val="auto"/>
          <w:sz w:val="22"/>
          <w:szCs w:val="22"/>
        </w:rPr>
        <w:t xml:space="preserve"> availability for water infrastructure maintenance. School sanitation and girls' education impacts are addressed in Section 5.2.</w:t>
      </w:r>
    </w:p>
    <w:p w14:paraId="72EEF594" w14:textId="77777777" w:rsidR="0033511C" w:rsidRPr="007D1570" w:rsidRDefault="0033511C" w:rsidP="00E73104">
      <w:pPr>
        <w:jc w:val="both"/>
        <w:rPr>
          <w:rFonts w:asciiTheme="minorHAnsi" w:hAnsiTheme="minorHAnsi" w:cstheme="minorHAnsi"/>
          <w:color w:val="auto"/>
          <w:sz w:val="22"/>
          <w:szCs w:val="22"/>
        </w:rPr>
      </w:pPr>
    </w:p>
    <w:p w14:paraId="58DE11A3" w14:textId="5C85CD5D" w:rsidR="00E03741" w:rsidRPr="00556170" w:rsidRDefault="00E03741" w:rsidP="00E73104">
      <w:pPr>
        <w:pStyle w:val="Naslov2"/>
        <w:spacing w:before="0" w:after="0"/>
        <w:jc w:val="both"/>
        <w:rPr>
          <w:rFonts w:asciiTheme="minorHAnsi" w:hAnsiTheme="minorHAnsi" w:cstheme="minorHAnsi"/>
          <w:sz w:val="22"/>
          <w:szCs w:val="22"/>
        </w:rPr>
      </w:pPr>
      <w:bookmarkStart w:id="36" w:name="_Toc224128619"/>
      <w:r w:rsidRPr="00556170">
        <w:rPr>
          <w:rFonts w:asciiTheme="minorHAnsi" w:eastAsia="Arial" w:hAnsiTheme="minorHAnsi" w:cstheme="minorHAnsi"/>
          <w:b/>
          <w:bCs/>
          <w:color w:val="2E75B6"/>
          <w:sz w:val="22"/>
          <w:szCs w:val="22"/>
        </w:rPr>
        <w:t>7.5 Emerging Themes and Opportunities</w:t>
      </w:r>
      <w:bookmarkEnd w:id="36"/>
    </w:p>
    <w:p w14:paraId="5A577181" w14:textId="77777777" w:rsidR="00E03741" w:rsidRDefault="00E03741" w:rsidP="00E73104">
      <w:pPr>
        <w:jc w:val="both"/>
        <w:rPr>
          <w:rFonts w:asciiTheme="minorHAnsi" w:hAnsiTheme="minorHAnsi" w:cstheme="minorHAnsi"/>
          <w:color w:val="auto"/>
          <w:sz w:val="22"/>
          <w:szCs w:val="22"/>
        </w:rPr>
      </w:pPr>
      <w:r w:rsidRPr="00CA58D7">
        <w:rPr>
          <w:rFonts w:asciiTheme="minorHAnsi" w:hAnsiTheme="minorHAnsi" w:cstheme="minorHAnsi"/>
          <w:color w:val="auto"/>
          <w:sz w:val="22"/>
          <w:szCs w:val="22"/>
        </w:rPr>
        <w:t>Despite persistent challenges, positive trends and strategic opportunities for advancing gender equality in the regional water sector are evident:</w:t>
      </w:r>
    </w:p>
    <w:p w14:paraId="40E86B82" w14:textId="77777777" w:rsidR="008305B1" w:rsidRPr="00CA58D7" w:rsidRDefault="008305B1" w:rsidP="00E73104">
      <w:pPr>
        <w:jc w:val="both"/>
        <w:rPr>
          <w:rFonts w:asciiTheme="minorHAnsi" w:hAnsiTheme="minorHAnsi" w:cstheme="minorHAnsi"/>
          <w:color w:val="auto"/>
          <w:sz w:val="22"/>
          <w:szCs w:val="22"/>
        </w:rPr>
      </w:pPr>
    </w:p>
    <w:p w14:paraId="67AA5327" w14:textId="77777777" w:rsidR="00E03741" w:rsidRPr="00CA58D7"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CA58D7">
        <w:rPr>
          <w:rFonts w:asciiTheme="minorHAnsi" w:hAnsiTheme="minorHAnsi" w:cstheme="minorHAnsi"/>
          <w:b/>
          <w:bCs/>
          <w:color w:val="auto"/>
          <w:sz w:val="22"/>
          <w:szCs w:val="22"/>
        </w:rPr>
        <w:t xml:space="preserve">EU accession momentum: </w:t>
      </w:r>
      <w:r w:rsidRPr="00CA58D7">
        <w:rPr>
          <w:rFonts w:asciiTheme="minorHAnsi" w:hAnsiTheme="minorHAnsi" w:cstheme="minorHAnsi"/>
          <w:color w:val="auto"/>
          <w:sz w:val="22"/>
          <w:szCs w:val="22"/>
        </w:rPr>
        <w:t>EU accession processes create pressure and support for governance reforms, including enhanced data collection, institutional capacity building, and alignment with EU standards for gender mainstreaming. Albania, Bosnia and Herzegovina, and Montenegro are all EU candidate countries (European Commission, 2025).</w:t>
      </w:r>
    </w:p>
    <w:p w14:paraId="0C44F196" w14:textId="5AC8DAF3" w:rsidR="00E03741" w:rsidRPr="00CA58D7"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CA58D7">
        <w:rPr>
          <w:rFonts w:asciiTheme="minorHAnsi" w:hAnsiTheme="minorHAnsi" w:cstheme="minorHAnsi"/>
          <w:b/>
          <w:bCs/>
          <w:color w:val="auto"/>
          <w:sz w:val="22"/>
          <w:szCs w:val="22"/>
        </w:rPr>
        <w:t xml:space="preserve">Female leadership as a catalyst in Croatia: </w:t>
      </w:r>
      <w:r w:rsidRPr="00CA58D7">
        <w:rPr>
          <w:rFonts w:asciiTheme="minorHAnsi" w:hAnsiTheme="minorHAnsi" w:cstheme="minorHAnsi"/>
          <w:color w:val="auto"/>
          <w:sz w:val="22"/>
          <w:szCs w:val="22"/>
        </w:rPr>
        <w:t xml:space="preserve">Croatia's current configuration, with women leading both the Ministry of Environmental Protection and Green Transition and </w:t>
      </w:r>
      <w:r w:rsidR="00DF7499">
        <w:rPr>
          <w:rFonts w:asciiTheme="minorHAnsi" w:hAnsiTheme="minorHAnsi" w:cstheme="minorHAnsi"/>
          <w:color w:val="auto"/>
          <w:sz w:val="22"/>
          <w:szCs w:val="22"/>
        </w:rPr>
        <w:t xml:space="preserve">Management Board of </w:t>
      </w:r>
      <w:r w:rsidRPr="00CA58D7">
        <w:rPr>
          <w:rFonts w:asciiTheme="minorHAnsi" w:hAnsiTheme="minorHAnsi" w:cstheme="minorHAnsi"/>
          <w:color w:val="auto"/>
          <w:sz w:val="22"/>
          <w:szCs w:val="22"/>
        </w:rPr>
        <w:t>Croatian Waters (2025), represents an unprecedented concentration of influence in a traditionally male-dominated sector (Croatian Waters, 2025).</w:t>
      </w:r>
    </w:p>
    <w:p w14:paraId="4BF4C8FB" w14:textId="77777777" w:rsidR="00E03741" w:rsidRPr="00CA58D7"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CA58D7">
        <w:rPr>
          <w:rFonts w:asciiTheme="minorHAnsi" w:hAnsiTheme="minorHAnsi" w:cstheme="minorHAnsi"/>
          <w:b/>
          <w:bCs/>
          <w:color w:val="auto"/>
          <w:sz w:val="22"/>
          <w:szCs w:val="22"/>
        </w:rPr>
        <w:t xml:space="preserve">Women's environmental consciousness: </w:t>
      </w:r>
      <w:r w:rsidRPr="00CA58D7">
        <w:rPr>
          <w:rFonts w:asciiTheme="minorHAnsi" w:hAnsiTheme="minorHAnsi" w:cstheme="minorHAnsi"/>
          <w:color w:val="auto"/>
          <w:sz w:val="22"/>
          <w:szCs w:val="22"/>
        </w:rPr>
        <w:t xml:space="preserve">Research indicates that women exhibit significantly higher environmental consciousness and support for sustainability policies than men (Mandarić &amp; </w:t>
      </w:r>
      <w:proofErr w:type="spellStart"/>
      <w:r w:rsidRPr="00CA58D7">
        <w:rPr>
          <w:rFonts w:asciiTheme="minorHAnsi" w:hAnsiTheme="minorHAnsi" w:cstheme="minorHAnsi"/>
          <w:color w:val="auto"/>
          <w:sz w:val="22"/>
          <w:szCs w:val="22"/>
        </w:rPr>
        <w:t>Hunjet</w:t>
      </w:r>
      <w:proofErr w:type="spellEnd"/>
      <w:r w:rsidRPr="00CA58D7">
        <w:rPr>
          <w:rFonts w:asciiTheme="minorHAnsi" w:hAnsiTheme="minorHAnsi" w:cstheme="minorHAnsi"/>
          <w:color w:val="auto"/>
          <w:sz w:val="22"/>
          <w:szCs w:val="22"/>
        </w:rPr>
        <w:t>, 2024), suggesting a strategic leverage point for water conservation and climate adaptation campaigns across the region.</w:t>
      </w:r>
    </w:p>
    <w:p w14:paraId="08CF1596" w14:textId="77777777" w:rsidR="00E03741" w:rsidRPr="00CA58D7"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CA58D7">
        <w:rPr>
          <w:rFonts w:asciiTheme="minorHAnsi" w:hAnsiTheme="minorHAnsi" w:cstheme="minorHAnsi"/>
          <w:b/>
          <w:bCs/>
          <w:color w:val="auto"/>
          <w:sz w:val="22"/>
          <w:szCs w:val="22"/>
        </w:rPr>
        <w:t xml:space="preserve">Regional cooperation frameworks: </w:t>
      </w:r>
      <w:r w:rsidRPr="00CA58D7">
        <w:rPr>
          <w:rFonts w:asciiTheme="minorHAnsi" w:hAnsiTheme="minorHAnsi" w:cstheme="minorHAnsi"/>
          <w:color w:val="auto"/>
          <w:sz w:val="22"/>
          <w:szCs w:val="22"/>
        </w:rPr>
        <w:t>The DIKTAS II project itself, along with the OSCE's 'Women, Water Management and Conflict Prevention' project (Phase III, launched February 2023), provides opportunities for knowledge sharing, harmonized approaches, and collective advocacy (OSCE, 2023; UN Women &amp; UNEP-DHI, 2025).</w:t>
      </w:r>
    </w:p>
    <w:p w14:paraId="0B7BCB26" w14:textId="77777777" w:rsidR="00E03741" w:rsidRPr="00CA58D7"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CA58D7">
        <w:rPr>
          <w:rFonts w:asciiTheme="minorHAnsi" w:hAnsiTheme="minorHAnsi" w:cstheme="minorHAnsi"/>
          <w:b/>
          <w:bCs/>
          <w:color w:val="auto"/>
          <w:sz w:val="22"/>
          <w:szCs w:val="22"/>
        </w:rPr>
        <w:t xml:space="preserve">Digital transformation opportunities: </w:t>
      </w:r>
      <w:r w:rsidRPr="00CA58D7">
        <w:rPr>
          <w:rFonts w:asciiTheme="minorHAnsi" w:hAnsiTheme="minorHAnsi" w:cstheme="minorHAnsi"/>
          <w:color w:val="auto"/>
          <w:sz w:val="22"/>
          <w:szCs w:val="22"/>
        </w:rPr>
        <w:t>Digitalization of water sector management creates new entry points for women in data management, remote monitoring, and technical roles that may be less constrained by traditional gender norms in fieldwork environments.</w:t>
      </w:r>
    </w:p>
    <w:p w14:paraId="272D385D" w14:textId="77777777" w:rsidR="00E03741" w:rsidRPr="00CA58D7"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CA58D7">
        <w:rPr>
          <w:rFonts w:asciiTheme="minorHAnsi" w:hAnsiTheme="minorHAnsi" w:cstheme="minorHAnsi"/>
          <w:b/>
          <w:bCs/>
          <w:color w:val="auto"/>
          <w:sz w:val="22"/>
          <w:szCs w:val="22"/>
        </w:rPr>
        <w:t xml:space="preserve">Growing evidence base on water–GBV nexus: </w:t>
      </w:r>
      <w:r w:rsidRPr="00CA58D7">
        <w:rPr>
          <w:rFonts w:asciiTheme="minorHAnsi" w:hAnsiTheme="minorHAnsi" w:cstheme="minorHAnsi"/>
          <w:color w:val="auto"/>
          <w:sz w:val="22"/>
          <w:szCs w:val="22"/>
        </w:rPr>
        <w:t>The systematic review by Tallman et al. (2023) and the DIKTAS II Research Document (2026) establish five clear causal pathways from water governance failures to GBV, providing an evidence-based rationale for integrated programming.</w:t>
      </w:r>
    </w:p>
    <w:p w14:paraId="0CD80D2C" w14:textId="77777777" w:rsidR="00E03741" w:rsidRPr="00556170" w:rsidRDefault="00E03741" w:rsidP="00E73104">
      <w:pPr>
        <w:jc w:val="both"/>
        <w:rPr>
          <w:rFonts w:asciiTheme="minorHAnsi" w:hAnsiTheme="minorHAnsi" w:cstheme="minorHAnsi"/>
          <w:sz w:val="22"/>
          <w:szCs w:val="22"/>
        </w:rPr>
      </w:pPr>
      <w:r w:rsidRPr="00556170">
        <w:rPr>
          <w:rFonts w:asciiTheme="minorHAnsi" w:hAnsiTheme="minorHAnsi" w:cstheme="minorHAnsi"/>
          <w:sz w:val="22"/>
          <w:szCs w:val="22"/>
        </w:rPr>
        <w:br w:type="page"/>
      </w:r>
    </w:p>
    <w:p w14:paraId="577E0C1A" w14:textId="37044597" w:rsidR="00E03741" w:rsidRPr="008F7934" w:rsidRDefault="00E03741" w:rsidP="00E73104">
      <w:pPr>
        <w:pStyle w:val="Naslov1"/>
        <w:pBdr>
          <w:bottom w:val="single" w:sz="8" w:space="4" w:color="2E75B6"/>
        </w:pBdr>
        <w:spacing w:before="0" w:after="0"/>
        <w:jc w:val="both"/>
        <w:rPr>
          <w:rFonts w:asciiTheme="minorHAnsi" w:hAnsiTheme="minorHAnsi" w:cstheme="minorHAnsi"/>
          <w:color w:val="4472C4" w:themeColor="accent1"/>
          <w:sz w:val="22"/>
          <w:szCs w:val="22"/>
        </w:rPr>
      </w:pPr>
      <w:bookmarkStart w:id="37" w:name="_Toc224128620"/>
      <w:r w:rsidRPr="008F7934">
        <w:rPr>
          <w:rFonts w:asciiTheme="minorHAnsi" w:eastAsia="Arial" w:hAnsiTheme="minorHAnsi" w:cstheme="minorHAnsi"/>
          <w:b/>
          <w:bCs/>
          <w:color w:val="4472C4" w:themeColor="accent1"/>
          <w:sz w:val="22"/>
          <w:szCs w:val="22"/>
        </w:rPr>
        <w:lastRenderedPageBreak/>
        <w:t>8</w:t>
      </w:r>
      <w:r w:rsidR="00EB7F09" w:rsidRPr="008F7934">
        <w:rPr>
          <w:rFonts w:asciiTheme="minorHAnsi" w:eastAsia="Arial" w:hAnsiTheme="minorHAnsi" w:cstheme="minorHAnsi"/>
          <w:b/>
          <w:bCs/>
          <w:color w:val="4472C4" w:themeColor="accent1"/>
          <w:sz w:val="22"/>
          <w:szCs w:val="22"/>
        </w:rPr>
        <w:t>. CLIMATE</w:t>
      </w:r>
      <w:r w:rsidRPr="008F7934">
        <w:rPr>
          <w:rFonts w:asciiTheme="minorHAnsi" w:eastAsia="Arial" w:hAnsiTheme="minorHAnsi" w:cstheme="minorHAnsi"/>
          <w:b/>
          <w:bCs/>
          <w:color w:val="4472C4" w:themeColor="accent1"/>
          <w:sz w:val="22"/>
          <w:szCs w:val="22"/>
        </w:rPr>
        <w:t xml:space="preserve"> CHANGE, GENDER-BASED VIOLENCE, AND WATER GOVERNANCE</w:t>
      </w:r>
      <w:bookmarkEnd w:id="37"/>
    </w:p>
    <w:p w14:paraId="23295C5F" w14:textId="7509AB79" w:rsidR="00E03741" w:rsidRPr="00556170" w:rsidRDefault="00E03741" w:rsidP="00C66BD5">
      <w:pPr>
        <w:pBdr>
          <w:left w:val="single" w:sz="14" w:space="8" w:color="E65100"/>
        </w:pBdr>
        <w:shd w:val="clear" w:color="auto" w:fill="FFF3E0"/>
        <w:ind w:left="400"/>
        <w:jc w:val="both"/>
        <w:rPr>
          <w:rFonts w:asciiTheme="minorHAnsi" w:hAnsiTheme="minorHAnsi" w:cstheme="minorHAnsi"/>
          <w:sz w:val="22"/>
          <w:szCs w:val="22"/>
        </w:rPr>
      </w:pPr>
      <w:r w:rsidRPr="00556170">
        <w:rPr>
          <w:rFonts w:asciiTheme="minorHAnsi" w:hAnsiTheme="minorHAnsi" w:cstheme="minorHAnsi"/>
          <w:i/>
          <w:iCs/>
          <w:sz w:val="22"/>
          <w:szCs w:val="22"/>
        </w:rPr>
        <w:t xml:space="preserve">This section presents a cross-cutting analysis drawing from Water Sector Governance and Management, Gender-Based Violence, and Climate Change Impacts on Women and Girls: Evidence from Albania, Bosnia and Herzegovina, Croatia, and Montenegro </w:t>
      </w:r>
    </w:p>
    <w:p w14:paraId="4C4458A6" w14:textId="77777777" w:rsidR="00C66BD5" w:rsidRDefault="00C66BD5" w:rsidP="00E73104">
      <w:pPr>
        <w:pStyle w:val="Naslov2"/>
        <w:spacing w:before="0" w:after="0"/>
        <w:jc w:val="both"/>
        <w:rPr>
          <w:rFonts w:asciiTheme="minorHAnsi" w:eastAsia="Arial" w:hAnsiTheme="minorHAnsi" w:cstheme="minorHAnsi"/>
          <w:b/>
          <w:bCs/>
          <w:color w:val="E65100"/>
          <w:sz w:val="22"/>
          <w:szCs w:val="22"/>
        </w:rPr>
      </w:pPr>
    </w:p>
    <w:p w14:paraId="04C97697" w14:textId="7A15582B" w:rsidR="00E03741" w:rsidRPr="00C66BD5" w:rsidRDefault="00E03741" w:rsidP="00E73104">
      <w:pPr>
        <w:pStyle w:val="Naslov2"/>
        <w:spacing w:before="0" w:after="0"/>
        <w:jc w:val="both"/>
        <w:rPr>
          <w:rFonts w:asciiTheme="minorHAnsi" w:hAnsiTheme="minorHAnsi" w:cstheme="minorHAnsi"/>
          <w:color w:val="4472C4" w:themeColor="accent1"/>
          <w:sz w:val="22"/>
          <w:szCs w:val="22"/>
        </w:rPr>
      </w:pPr>
      <w:bookmarkStart w:id="38" w:name="_Toc224128621"/>
      <w:r w:rsidRPr="00C66BD5">
        <w:rPr>
          <w:rFonts w:asciiTheme="minorHAnsi" w:eastAsia="Arial" w:hAnsiTheme="minorHAnsi" w:cstheme="minorHAnsi"/>
          <w:b/>
          <w:bCs/>
          <w:color w:val="4472C4" w:themeColor="accent1"/>
          <w:sz w:val="22"/>
          <w:szCs w:val="22"/>
        </w:rPr>
        <w:t>8.1 Overview: The Water–GBV–Climate Nexus</w:t>
      </w:r>
      <w:bookmarkEnd w:id="38"/>
    </w:p>
    <w:p w14:paraId="3FD73CAC" w14:textId="77777777" w:rsidR="00E03741" w:rsidRPr="009771BF" w:rsidRDefault="00E03741" w:rsidP="00E73104">
      <w:pPr>
        <w:jc w:val="both"/>
        <w:rPr>
          <w:rFonts w:asciiTheme="minorHAnsi" w:hAnsiTheme="minorHAnsi" w:cstheme="minorHAnsi"/>
          <w:color w:val="000000" w:themeColor="text1"/>
          <w:sz w:val="22"/>
          <w:szCs w:val="22"/>
        </w:rPr>
      </w:pPr>
      <w:r w:rsidRPr="009771BF">
        <w:rPr>
          <w:rFonts w:asciiTheme="minorHAnsi" w:hAnsiTheme="minorHAnsi" w:cstheme="minorHAnsi"/>
          <w:color w:val="000000" w:themeColor="text1"/>
          <w:sz w:val="22"/>
          <w:szCs w:val="22"/>
        </w:rPr>
        <w:t xml:space="preserve">The Western Balkans sits at a critical intersection where water governance failures, GBV, and climate change converge to disproportionately harm women and girls. Across the four countries, GBV prevalence remains high: approximately one in two women has experienced some form of violence over her lifetime. The IPCC classifies the Western Balkans as one of Europe's most climate-exposed regions (IPCC, 2021), and over the past 20 years 118 natural hazards affected more than 4 million people, causing over US$6.6 billion in </w:t>
      </w:r>
      <w:proofErr w:type="gramStart"/>
      <w:r w:rsidRPr="009771BF">
        <w:rPr>
          <w:rFonts w:asciiTheme="minorHAnsi" w:hAnsiTheme="minorHAnsi" w:cstheme="minorHAnsi"/>
          <w:color w:val="000000" w:themeColor="text1"/>
          <w:sz w:val="22"/>
          <w:szCs w:val="22"/>
        </w:rPr>
        <w:t>damages</w:t>
      </w:r>
      <w:proofErr w:type="gramEnd"/>
      <w:r w:rsidRPr="009771BF">
        <w:rPr>
          <w:rFonts w:asciiTheme="minorHAnsi" w:hAnsiTheme="minorHAnsi" w:cstheme="minorHAnsi"/>
          <w:color w:val="000000" w:themeColor="text1"/>
          <w:sz w:val="22"/>
          <w:szCs w:val="22"/>
        </w:rPr>
        <w:t xml:space="preserve"> (World Bank, 2024). Country-level climate impact data are presented in Section 8.6.</w:t>
      </w:r>
    </w:p>
    <w:p w14:paraId="40299F6D" w14:textId="77777777" w:rsidR="009771BF" w:rsidRPr="009771BF" w:rsidRDefault="009771BF" w:rsidP="00E73104">
      <w:pPr>
        <w:jc w:val="both"/>
        <w:rPr>
          <w:rFonts w:asciiTheme="minorHAnsi" w:hAnsiTheme="minorHAnsi" w:cstheme="minorHAnsi"/>
          <w:color w:val="000000" w:themeColor="text1"/>
          <w:sz w:val="22"/>
          <w:szCs w:val="22"/>
        </w:rPr>
      </w:pPr>
    </w:p>
    <w:p w14:paraId="3F3F66B4" w14:textId="77777777" w:rsidR="00E03741" w:rsidRPr="009771BF" w:rsidRDefault="00E03741" w:rsidP="00E73104">
      <w:pPr>
        <w:jc w:val="both"/>
        <w:rPr>
          <w:rFonts w:asciiTheme="minorHAnsi" w:hAnsiTheme="minorHAnsi" w:cstheme="minorHAnsi"/>
          <w:color w:val="000000" w:themeColor="text1"/>
          <w:sz w:val="22"/>
          <w:szCs w:val="22"/>
        </w:rPr>
      </w:pPr>
      <w:r w:rsidRPr="009771BF">
        <w:rPr>
          <w:rFonts w:asciiTheme="minorHAnsi" w:hAnsiTheme="minorHAnsi" w:cstheme="minorHAnsi"/>
          <w:color w:val="000000" w:themeColor="text1"/>
          <w:sz w:val="22"/>
          <w:szCs w:val="22"/>
        </w:rPr>
        <w:t>A central finding of this section is the complete absence of peer-reviewed studies directly examining the water–GBV nexus in the Western Balkans or Southeast Europe, a significant literature gap given that global evidence already establishes clear causal pathways between water insecurity and violence against women (Tallman et al., 2023).</w:t>
      </w:r>
    </w:p>
    <w:p w14:paraId="02F9A470" w14:textId="77777777" w:rsidR="009771BF" w:rsidRPr="00556170" w:rsidRDefault="009771BF" w:rsidP="00E73104">
      <w:pPr>
        <w:jc w:val="both"/>
        <w:rPr>
          <w:rFonts w:asciiTheme="minorHAnsi" w:hAnsiTheme="minorHAnsi" w:cstheme="minorHAnsi"/>
          <w:sz w:val="22"/>
          <w:szCs w:val="22"/>
        </w:rPr>
      </w:pPr>
    </w:p>
    <w:p w14:paraId="7E53E785" w14:textId="3910C9DB" w:rsidR="00E03741" w:rsidRPr="00E760E4" w:rsidRDefault="00E03741" w:rsidP="00E73104">
      <w:pPr>
        <w:pStyle w:val="Naslov2"/>
        <w:spacing w:before="0" w:after="0"/>
        <w:jc w:val="both"/>
        <w:rPr>
          <w:rFonts w:asciiTheme="minorHAnsi" w:hAnsiTheme="minorHAnsi" w:cstheme="minorHAnsi"/>
          <w:color w:val="4472C4" w:themeColor="accent1"/>
          <w:sz w:val="22"/>
          <w:szCs w:val="22"/>
        </w:rPr>
      </w:pPr>
      <w:bookmarkStart w:id="39" w:name="_Toc224128622"/>
      <w:r w:rsidRPr="00E760E4">
        <w:rPr>
          <w:rFonts w:asciiTheme="minorHAnsi" w:eastAsia="Arial" w:hAnsiTheme="minorHAnsi" w:cstheme="minorHAnsi"/>
          <w:b/>
          <w:bCs/>
          <w:color w:val="4472C4" w:themeColor="accent1"/>
          <w:sz w:val="22"/>
          <w:szCs w:val="22"/>
        </w:rPr>
        <w:t>8.2 Definitions: Forms of GBV in Water Governance Contexts</w:t>
      </w:r>
      <w:bookmarkEnd w:id="39"/>
    </w:p>
    <w:p w14:paraId="73E5DB3D" w14:textId="77777777" w:rsidR="00E03741" w:rsidRPr="009771BF" w:rsidRDefault="00E03741" w:rsidP="00E73104">
      <w:pPr>
        <w:jc w:val="both"/>
        <w:rPr>
          <w:rFonts w:asciiTheme="minorHAnsi" w:hAnsiTheme="minorHAnsi" w:cstheme="minorHAnsi"/>
          <w:color w:val="000000" w:themeColor="text1"/>
          <w:sz w:val="22"/>
          <w:szCs w:val="22"/>
        </w:rPr>
      </w:pPr>
      <w:r w:rsidRPr="009771BF">
        <w:rPr>
          <w:rFonts w:asciiTheme="minorHAnsi" w:hAnsiTheme="minorHAnsi" w:cstheme="minorHAnsi"/>
          <w:color w:val="000000" w:themeColor="text1"/>
          <w:sz w:val="22"/>
          <w:szCs w:val="22"/>
        </w:rPr>
        <w:t>GBV in water governance contexts encompasses:</w:t>
      </w:r>
    </w:p>
    <w:p w14:paraId="5418B22A" w14:textId="77777777" w:rsidR="00E03741" w:rsidRPr="009771BF"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9771BF">
        <w:rPr>
          <w:rFonts w:asciiTheme="minorHAnsi" w:hAnsiTheme="minorHAnsi" w:cstheme="minorHAnsi"/>
          <w:color w:val="000000" w:themeColor="text1"/>
          <w:sz w:val="22"/>
          <w:szCs w:val="22"/>
        </w:rPr>
        <w:t>Physical and sexual violence during water collection journeys (including night-time collection due to intermittent supply)</w:t>
      </w:r>
    </w:p>
    <w:p w14:paraId="5277CA9A" w14:textId="77777777" w:rsidR="00E03741" w:rsidRPr="009771BF"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9771BF">
        <w:rPr>
          <w:rFonts w:asciiTheme="minorHAnsi" w:hAnsiTheme="minorHAnsi" w:cstheme="minorHAnsi"/>
          <w:color w:val="000000" w:themeColor="text1"/>
          <w:sz w:val="22"/>
          <w:szCs w:val="22"/>
        </w:rPr>
        <w:t>Psychological violence through intimidation when women fail to meet water-dependent domestic expectations</w:t>
      </w:r>
    </w:p>
    <w:p w14:paraId="58A44B83" w14:textId="77777777" w:rsidR="00E03741" w:rsidRPr="009771BF"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9771BF">
        <w:rPr>
          <w:rFonts w:asciiTheme="minorHAnsi" w:hAnsiTheme="minorHAnsi" w:cstheme="minorHAnsi"/>
          <w:color w:val="000000" w:themeColor="text1"/>
          <w:sz w:val="22"/>
          <w:szCs w:val="22"/>
        </w:rPr>
        <w:t>Economic violence through time poverty imposed by water collection duties</w:t>
      </w:r>
    </w:p>
    <w:p w14:paraId="31F1CB10" w14:textId="77777777" w:rsidR="00E03741" w:rsidRPr="009771BF"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9771BF">
        <w:rPr>
          <w:rFonts w:asciiTheme="minorHAnsi" w:hAnsiTheme="minorHAnsi" w:cstheme="minorHAnsi"/>
          <w:color w:val="000000" w:themeColor="text1"/>
          <w:sz w:val="22"/>
          <w:szCs w:val="22"/>
        </w:rPr>
        <w:t>Structural violence through exclusion from water management institutions</w:t>
      </w:r>
    </w:p>
    <w:p w14:paraId="240802ED" w14:textId="77777777" w:rsidR="00E03741"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9771BF">
        <w:rPr>
          <w:rFonts w:asciiTheme="minorHAnsi" w:hAnsiTheme="minorHAnsi" w:cstheme="minorHAnsi"/>
          <w:color w:val="000000" w:themeColor="text1"/>
          <w:sz w:val="22"/>
          <w:szCs w:val="22"/>
        </w:rPr>
        <w:t>Harmful traditional practices assigning women sole responsibility for household water management while denying them decision-making voice (UN Women, 2020; OECD, 2023; Istanbul Convention, 2011)</w:t>
      </w:r>
    </w:p>
    <w:p w14:paraId="6C1B058D" w14:textId="77777777" w:rsidR="009771BF" w:rsidRPr="009771BF" w:rsidRDefault="009771BF" w:rsidP="009771BF">
      <w:pPr>
        <w:pStyle w:val="Pasussalistom"/>
        <w:ind w:left="540"/>
        <w:contextualSpacing w:val="0"/>
        <w:jc w:val="both"/>
        <w:rPr>
          <w:rFonts w:asciiTheme="minorHAnsi" w:hAnsiTheme="minorHAnsi" w:cstheme="minorHAnsi"/>
          <w:color w:val="000000" w:themeColor="text1"/>
          <w:sz w:val="22"/>
          <w:szCs w:val="22"/>
        </w:rPr>
      </w:pPr>
    </w:p>
    <w:p w14:paraId="6264F6F7" w14:textId="77777777" w:rsidR="00E03741" w:rsidRDefault="00E03741" w:rsidP="00E73104">
      <w:pPr>
        <w:jc w:val="both"/>
        <w:rPr>
          <w:rFonts w:asciiTheme="minorHAnsi" w:hAnsiTheme="minorHAnsi" w:cstheme="minorHAnsi"/>
          <w:color w:val="000000" w:themeColor="text1"/>
          <w:sz w:val="22"/>
          <w:szCs w:val="22"/>
        </w:rPr>
      </w:pPr>
      <w:r w:rsidRPr="009771BF">
        <w:rPr>
          <w:rFonts w:asciiTheme="minorHAnsi" w:hAnsiTheme="minorHAnsi" w:cstheme="minorHAnsi"/>
          <w:color w:val="000000" w:themeColor="text1"/>
          <w:sz w:val="22"/>
          <w:szCs w:val="22"/>
        </w:rPr>
        <w:t>The concept of 'gender-based water violence', proposed by Tallman et al. (2025), refers to the spectrum of water-related stressors so extreme as to threaten the health and well-being of women and girls, constituting a distinct category of gendered harm requiring dedicated policy attention.</w:t>
      </w:r>
    </w:p>
    <w:p w14:paraId="752BB9A6" w14:textId="77777777" w:rsidR="009771BF" w:rsidRPr="009771BF" w:rsidRDefault="009771BF" w:rsidP="00E73104">
      <w:pPr>
        <w:jc w:val="both"/>
        <w:rPr>
          <w:rFonts w:asciiTheme="minorHAnsi" w:hAnsiTheme="minorHAnsi" w:cstheme="minorHAnsi"/>
          <w:color w:val="000000" w:themeColor="text1"/>
          <w:sz w:val="22"/>
          <w:szCs w:val="22"/>
        </w:rPr>
      </w:pPr>
    </w:p>
    <w:p w14:paraId="56635CC3" w14:textId="297E0BD8" w:rsidR="00E03741" w:rsidRPr="00021495" w:rsidRDefault="00E03741" w:rsidP="00E73104">
      <w:pPr>
        <w:pStyle w:val="Naslov2"/>
        <w:spacing w:before="0" w:after="0"/>
        <w:jc w:val="both"/>
        <w:rPr>
          <w:rFonts w:asciiTheme="minorHAnsi" w:hAnsiTheme="minorHAnsi" w:cstheme="minorHAnsi"/>
          <w:color w:val="4472C4" w:themeColor="accent1"/>
          <w:sz w:val="22"/>
          <w:szCs w:val="22"/>
        </w:rPr>
      </w:pPr>
      <w:bookmarkStart w:id="40" w:name="_Toc224128623"/>
      <w:r w:rsidRPr="00021495">
        <w:rPr>
          <w:rFonts w:asciiTheme="minorHAnsi" w:eastAsia="Arial" w:hAnsiTheme="minorHAnsi" w:cstheme="minorHAnsi"/>
          <w:b/>
          <w:bCs/>
          <w:color w:val="4472C4" w:themeColor="accent1"/>
          <w:sz w:val="22"/>
          <w:szCs w:val="22"/>
        </w:rPr>
        <w:t>8.3 Five Pathways from Water Governance Failures to GBV</w:t>
      </w:r>
      <w:bookmarkEnd w:id="40"/>
    </w:p>
    <w:p w14:paraId="3CEA886C" w14:textId="77777777" w:rsidR="00E03741" w:rsidRPr="00021495" w:rsidRDefault="00E03741" w:rsidP="00E73104">
      <w:pPr>
        <w:jc w:val="both"/>
        <w:rPr>
          <w:rFonts w:asciiTheme="minorHAnsi" w:hAnsiTheme="minorHAnsi" w:cstheme="minorHAnsi"/>
          <w:color w:val="000000" w:themeColor="text1"/>
          <w:sz w:val="22"/>
          <w:szCs w:val="22"/>
        </w:rPr>
      </w:pPr>
      <w:r w:rsidRPr="00021495">
        <w:rPr>
          <w:rFonts w:asciiTheme="minorHAnsi" w:hAnsiTheme="minorHAnsi" w:cstheme="minorHAnsi"/>
          <w:color w:val="000000" w:themeColor="text1"/>
          <w:sz w:val="22"/>
          <w:szCs w:val="22"/>
        </w:rPr>
        <w:t>Drawing on Tallman et al.'s (2023) systematic review of 18 peer-reviewed studies, five pathways through which water governance weaknesses contribute to GBV are identified. While established through research in sub-Saharan Africa and South Asia, the structural logic of each pathway applies to the patriarchal, rural, and climate-vulnerable contexts of the Western Balkans.</w:t>
      </w:r>
    </w:p>
    <w:p w14:paraId="0C805A13" w14:textId="77777777" w:rsidR="00E03741" w:rsidRPr="00021495"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021495">
        <w:rPr>
          <w:rFonts w:asciiTheme="minorHAnsi" w:hAnsiTheme="minorHAnsi" w:cstheme="minorHAnsi"/>
          <w:b/>
          <w:bCs/>
          <w:color w:val="000000" w:themeColor="text1"/>
          <w:sz w:val="22"/>
          <w:szCs w:val="22"/>
        </w:rPr>
        <w:t xml:space="preserve">Pathway 1 – Exposure during water collection: </w:t>
      </w:r>
      <w:r w:rsidRPr="00021495">
        <w:rPr>
          <w:rFonts w:asciiTheme="minorHAnsi" w:hAnsiTheme="minorHAnsi" w:cstheme="minorHAnsi"/>
          <w:color w:val="000000" w:themeColor="text1"/>
          <w:sz w:val="22"/>
          <w:szCs w:val="22"/>
        </w:rPr>
        <w:t>Women and girls travelling to collect water face physical and sexual violence, harassment, and assault. Documented in 94% of studies reviewed by Tallman et al. (2023). Albania's non-revenue water losses of 55–67% (2022; World Bank) result in unreliable supply that can force women to seek alternative sources at unsafe hours or locations.</w:t>
      </w:r>
    </w:p>
    <w:p w14:paraId="330C3F47" w14:textId="77777777" w:rsidR="00E03741" w:rsidRPr="00021495"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021495">
        <w:rPr>
          <w:rFonts w:asciiTheme="minorHAnsi" w:hAnsiTheme="minorHAnsi" w:cstheme="minorHAnsi"/>
          <w:b/>
          <w:bCs/>
          <w:color w:val="000000" w:themeColor="text1"/>
          <w:sz w:val="22"/>
          <w:szCs w:val="22"/>
        </w:rPr>
        <w:t xml:space="preserve">Pathway 2 – Domestic obligation failure triggering IPV: </w:t>
      </w:r>
      <w:r w:rsidRPr="00021495">
        <w:rPr>
          <w:rFonts w:asciiTheme="minorHAnsi" w:hAnsiTheme="minorHAnsi" w:cstheme="minorHAnsi"/>
          <w:color w:val="000000" w:themeColor="text1"/>
          <w:sz w:val="22"/>
          <w:szCs w:val="22"/>
        </w:rPr>
        <w:t>Water inadequacy prevents women from completing expected household tasks, triggering intimate partner violence as 'punishment'. Stevenson et al. (2012) documented this pathway in Ethiopia; Cole et al. (2024) found women in water-insecure households more than twice as likely to report GBV (OR = 2.2).</w:t>
      </w:r>
    </w:p>
    <w:p w14:paraId="77E45F5B" w14:textId="77777777" w:rsidR="00E03741" w:rsidRPr="00021495"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021495">
        <w:rPr>
          <w:rFonts w:asciiTheme="minorHAnsi" w:hAnsiTheme="minorHAnsi" w:cstheme="minorHAnsi"/>
          <w:b/>
          <w:bCs/>
          <w:color w:val="000000" w:themeColor="text1"/>
          <w:sz w:val="22"/>
          <w:szCs w:val="22"/>
        </w:rPr>
        <w:lastRenderedPageBreak/>
        <w:t xml:space="preserve">Pathway 3 – Economic disempowerment through time poverty: </w:t>
      </w:r>
      <w:r w:rsidRPr="00021495">
        <w:rPr>
          <w:rFonts w:asciiTheme="minorHAnsi" w:hAnsiTheme="minorHAnsi" w:cstheme="minorHAnsi"/>
          <w:color w:val="000000" w:themeColor="text1"/>
          <w:sz w:val="22"/>
          <w:szCs w:val="22"/>
        </w:rPr>
        <w:t>Time devoted to water collection reduces economic participation, educational access, and financial independence. Across the Western Balkans, the Female Empowerment Index scores just 52.4 out of 100, far below the EU average of 80 (Regional Cooperation Council, 2021).</w:t>
      </w:r>
    </w:p>
    <w:p w14:paraId="0F2B1ABA" w14:textId="77777777" w:rsidR="00E03741" w:rsidRPr="00021495"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021495">
        <w:rPr>
          <w:rFonts w:asciiTheme="minorHAnsi" w:hAnsiTheme="minorHAnsi" w:cstheme="minorHAnsi"/>
          <w:b/>
          <w:bCs/>
          <w:color w:val="000000" w:themeColor="text1"/>
          <w:sz w:val="22"/>
          <w:szCs w:val="22"/>
        </w:rPr>
        <w:t xml:space="preserve">Pathway 4 – Governance exclusion as structural violence: </w:t>
      </w:r>
      <w:r w:rsidRPr="00021495">
        <w:rPr>
          <w:rFonts w:asciiTheme="minorHAnsi" w:hAnsiTheme="minorHAnsi" w:cstheme="minorHAnsi"/>
          <w:color w:val="000000" w:themeColor="text1"/>
          <w:sz w:val="22"/>
          <w:szCs w:val="22"/>
        </w:rPr>
        <w:t>Women's systematic exclusion from water management perpetuates gender-insensitive infrastructure planning, creating self-reinforcing cycles of water insecurity. Globally, a World Bank study of water utilities in 28 countries found only 20% of new hires were female (World Bank, 2019).</w:t>
      </w:r>
    </w:p>
    <w:p w14:paraId="03ACFE02" w14:textId="77777777" w:rsidR="00E03741"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rPr>
      </w:pPr>
      <w:r w:rsidRPr="00021495">
        <w:rPr>
          <w:rFonts w:asciiTheme="minorHAnsi" w:hAnsiTheme="minorHAnsi" w:cstheme="minorHAnsi"/>
          <w:b/>
          <w:bCs/>
          <w:color w:val="000000" w:themeColor="text1"/>
          <w:sz w:val="22"/>
          <w:szCs w:val="22"/>
        </w:rPr>
        <w:t xml:space="preserve">Pathway 5 – Climate amplification of water–GBV dynamics: </w:t>
      </w:r>
      <w:r w:rsidRPr="00021495">
        <w:rPr>
          <w:rFonts w:asciiTheme="minorHAnsi" w:hAnsiTheme="minorHAnsi" w:cstheme="minorHAnsi"/>
          <w:color w:val="000000" w:themeColor="text1"/>
          <w:sz w:val="22"/>
          <w:szCs w:val="22"/>
        </w:rPr>
        <w:t>Drought and water scarcity intensify all preceding pathways through economic stress, food insecurity, and resource competition. Wang et al. (2025), studying 494,471 women across 42 countries, found drought at all timescales increased IPV risk (RR = 1.07 at 12-month scale). The 2022 drought impacted 47% of Bosnia and Herzegovina's area and 25% of Montenegro's territory (European Environment Agency, 2023).</w:t>
      </w:r>
    </w:p>
    <w:p w14:paraId="1AAFF090" w14:textId="77777777" w:rsidR="00021495" w:rsidRPr="00021495" w:rsidRDefault="00021495" w:rsidP="00021495">
      <w:pPr>
        <w:pStyle w:val="Pasussalistom"/>
        <w:ind w:left="540"/>
        <w:contextualSpacing w:val="0"/>
        <w:jc w:val="both"/>
        <w:rPr>
          <w:rFonts w:asciiTheme="minorHAnsi" w:hAnsiTheme="minorHAnsi" w:cstheme="minorHAnsi"/>
          <w:color w:val="000000" w:themeColor="text1"/>
          <w:sz w:val="22"/>
          <w:szCs w:val="22"/>
        </w:rPr>
      </w:pPr>
    </w:p>
    <w:p w14:paraId="1E993B31" w14:textId="43AC244B" w:rsidR="00E03741" w:rsidRPr="00021495" w:rsidRDefault="00E03741" w:rsidP="00E73104">
      <w:pPr>
        <w:pStyle w:val="Naslov2"/>
        <w:spacing w:before="0" w:after="0"/>
        <w:jc w:val="both"/>
        <w:rPr>
          <w:rFonts w:asciiTheme="minorHAnsi" w:eastAsia="Arial" w:hAnsiTheme="minorHAnsi" w:cstheme="minorHAnsi"/>
          <w:b/>
          <w:bCs/>
          <w:color w:val="4472C4" w:themeColor="accent1"/>
          <w:sz w:val="22"/>
          <w:szCs w:val="22"/>
        </w:rPr>
      </w:pPr>
      <w:bookmarkStart w:id="41" w:name="_Toc224128624"/>
      <w:r w:rsidRPr="00021495">
        <w:rPr>
          <w:rFonts w:asciiTheme="minorHAnsi" w:eastAsia="Arial" w:hAnsiTheme="minorHAnsi" w:cstheme="minorHAnsi"/>
          <w:b/>
          <w:bCs/>
          <w:color w:val="4472C4" w:themeColor="accent1"/>
          <w:sz w:val="22"/>
          <w:szCs w:val="22"/>
        </w:rPr>
        <w:t>8.4 GBV Prevalence Across the Four Countries</w:t>
      </w:r>
      <w:bookmarkEnd w:id="41"/>
    </w:p>
    <w:p w14:paraId="4194CF96" w14:textId="77777777" w:rsidR="00021495" w:rsidRPr="00021495" w:rsidRDefault="00021495" w:rsidP="00021495"/>
    <w:p w14:paraId="160E2CF6" w14:textId="77777777" w:rsidR="00E03741" w:rsidRPr="00556170" w:rsidRDefault="00E03741" w:rsidP="00E73104">
      <w:pPr>
        <w:jc w:val="both"/>
        <w:rPr>
          <w:rFonts w:asciiTheme="minorHAnsi" w:hAnsiTheme="minorHAnsi" w:cstheme="minorHAnsi"/>
          <w:sz w:val="22"/>
          <w:szCs w:val="22"/>
        </w:rPr>
      </w:pPr>
    </w:p>
    <w:p w14:paraId="38DF9FA7" w14:textId="77777777" w:rsidR="00E03741" w:rsidRPr="009969D4" w:rsidRDefault="00E03741" w:rsidP="00E73104">
      <w:pPr>
        <w:pBdr>
          <w:left w:val="single" w:sz="14" w:space="8" w:color="1B5E20"/>
        </w:pBdr>
        <w:shd w:val="clear" w:color="auto" w:fill="E8F5E9"/>
        <w:ind w:left="400"/>
        <w:jc w:val="both"/>
        <w:rPr>
          <w:rFonts w:asciiTheme="minorHAnsi" w:hAnsiTheme="minorHAnsi" w:cstheme="minorHAnsi"/>
          <w:color w:val="000000" w:themeColor="text1"/>
          <w:sz w:val="22"/>
          <w:szCs w:val="22"/>
        </w:rPr>
      </w:pPr>
      <w:r w:rsidRPr="00556170">
        <w:rPr>
          <w:rFonts w:asciiTheme="minorHAnsi" w:hAnsiTheme="minorHAnsi" w:cstheme="minorHAnsi"/>
          <w:b/>
          <w:bCs/>
          <w:color w:val="1B5E20"/>
          <w:sz w:val="22"/>
          <w:szCs w:val="22"/>
        </w:rPr>
        <w:t xml:space="preserve">Albania: </w:t>
      </w:r>
      <w:r w:rsidRPr="009969D4">
        <w:rPr>
          <w:rFonts w:asciiTheme="minorHAnsi" w:hAnsiTheme="minorHAnsi" w:cstheme="minorHAnsi"/>
          <w:color w:val="000000" w:themeColor="text1"/>
          <w:sz w:val="22"/>
          <w:szCs w:val="22"/>
        </w:rPr>
        <w:t>The INSTAT/UN Women/UNDP National Population Survey on Violence Against Women and Girls (2018, published 2019) found that 52.9% of women aged 18–74 experienced at least one form of violence in their lifetime. Intimate partner violence (IPV) affected 47% of ever-partnered women over their lifetimes, with 33.7% experiencing IPV in the preceding 12 months (INSTAT/UN Women/UNDP, 2019). Critically, only 3% of women who experienced partner violence reported to police (INSTAT/UN Women/UNDP, 2019). The OSCE Survey on Well-being and Safety of Women (2019) found 62% of Albanian women experienced psychological partner violence and 34% experienced sexual harassment since age 15 (OSCE, 2019). The Albanian Femicide Observatory documented 32 women and girls killed between 2021 and 2023, of whom 24 were classified as femicides (People's Advocate of Albania/UN Women, 2024).</w:t>
      </w:r>
      <w:r w:rsidRPr="009969D4">
        <w:rPr>
          <w:rStyle w:val="Referencafusnote"/>
          <w:rFonts w:asciiTheme="minorHAnsi" w:hAnsiTheme="minorHAnsi" w:cstheme="minorHAnsi"/>
          <w:color w:val="000000" w:themeColor="text1"/>
          <w:sz w:val="22"/>
          <w:szCs w:val="22"/>
        </w:rPr>
        <w:footnoteReference w:id="4"/>
      </w:r>
    </w:p>
    <w:p w14:paraId="75FC8BAD" w14:textId="77777777" w:rsidR="00E03741" w:rsidRPr="00556170" w:rsidRDefault="00E03741" w:rsidP="00E73104">
      <w:pPr>
        <w:jc w:val="both"/>
        <w:rPr>
          <w:rFonts w:asciiTheme="minorHAnsi" w:hAnsiTheme="minorHAnsi" w:cstheme="minorHAnsi"/>
          <w:sz w:val="22"/>
          <w:szCs w:val="22"/>
        </w:rPr>
      </w:pPr>
    </w:p>
    <w:p w14:paraId="74876D05" w14:textId="77777777" w:rsidR="00E03741" w:rsidRPr="00BB2B08" w:rsidRDefault="00E03741" w:rsidP="00E73104">
      <w:pPr>
        <w:pBdr>
          <w:left w:val="single" w:sz="14" w:space="8" w:color="B71C1C"/>
        </w:pBdr>
        <w:shd w:val="clear" w:color="auto" w:fill="FFEBEE"/>
        <w:ind w:left="400"/>
        <w:jc w:val="both"/>
        <w:rPr>
          <w:rFonts w:asciiTheme="minorHAnsi" w:hAnsiTheme="minorHAnsi" w:cstheme="minorHAnsi"/>
          <w:color w:val="000000" w:themeColor="text1"/>
          <w:sz w:val="22"/>
          <w:szCs w:val="22"/>
        </w:rPr>
      </w:pPr>
      <w:r w:rsidRPr="00556170">
        <w:rPr>
          <w:rFonts w:asciiTheme="minorHAnsi" w:hAnsiTheme="minorHAnsi" w:cstheme="minorHAnsi"/>
          <w:b/>
          <w:bCs/>
          <w:color w:val="B71C1C"/>
          <w:sz w:val="22"/>
          <w:szCs w:val="22"/>
        </w:rPr>
        <w:t xml:space="preserve">Bosnia and Herzegovina: </w:t>
      </w:r>
      <w:r w:rsidRPr="00BB2B08">
        <w:rPr>
          <w:rFonts w:asciiTheme="minorHAnsi" w:hAnsiTheme="minorHAnsi" w:cstheme="minorHAnsi"/>
          <w:color w:val="000000" w:themeColor="text1"/>
          <w:sz w:val="22"/>
          <w:szCs w:val="22"/>
        </w:rPr>
        <w:t>BiH exhibits high GBV prevalence compounded by the legacy of conflict-related sexual violence (CRSV). The OSCE Survey on Well-being and Safety of Women (2019) found approximately 48% of women experienced physical, psychological, or sexual abuse, with 84% of cases going unreported (OSCE, 2019). An estimated 20,000 to 50,000 individuals were subjected to sexual violence during the 1992–1995 war (Global Survivors Fund, 2022). UN Women research (2017) found 62% of CRSV survivors unemployed and more than half living below the poverty line (Global Survivors Fund, 2022).</w:t>
      </w:r>
    </w:p>
    <w:p w14:paraId="0A6E5EB8" w14:textId="77777777" w:rsidR="00E03741" w:rsidRPr="00BB2B08" w:rsidRDefault="00E03741" w:rsidP="00E73104">
      <w:pPr>
        <w:jc w:val="both"/>
        <w:rPr>
          <w:rFonts w:asciiTheme="minorHAnsi" w:hAnsiTheme="minorHAnsi" w:cstheme="minorHAnsi"/>
          <w:color w:val="000000" w:themeColor="text1"/>
          <w:sz w:val="22"/>
          <w:szCs w:val="22"/>
        </w:rPr>
      </w:pPr>
    </w:p>
    <w:p w14:paraId="47345CBC" w14:textId="77777777" w:rsidR="00E03741" w:rsidRPr="00BB2B08" w:rsidRDefault="00E03741" w:rsidP="00E73104">
      <w:pPr>
        <w:pBdr>
          <w:left w:val="single" w:sz="14" w:space="8" w:color="4A148C"/>
        </w:pBdr>
        <w:shd w:val="clear" w:color="auto" w:fill="F3E5F5"/>
        <w:ind w:left="400"/>
        <w:jc w:val="both"/>
        <w:rPr>
          <w:rFonts w:asciiTheme="minorHAnsi" w:hAnsiTheme="minorHAnsi" w:cstheme="minorHAnsi"/>
          <w:color w:val="000000" w:themeColor="text1"/>
          <w:sz w:val="22"/>
          <w:szCs w:val="22"/>
        </w:rPr>
      </w:pPr>
      <w:r w:rsidRPr="00556170">
        <w:rPr>
          <w:rFonts w:asciiTheme="minorHAnsi" w:hAnsiTheme="minorHAnsi" w:cstheme="minorHAnsi"/>
          <w:b/>
          <w:bCs/>
          <w:color w:val="4A148C"/>
          <w:sz w:val="22"/>
          <w:szCs w:val="22"/>
        </w:rPr>
        <w:t xml:space="preserve">Croatia: </w:t>
      </w:r>
      <w:r w:rsidRPr="00BB2B08">
        <w:rPr>
          <w:rFonts w:asciiTheme="minorHAnsi" w:hAnsiTheme="minorHAnsi" w:cstheme="minorHAnsi"/>
          <w:color w:val="000000" w:themeColor="text1"/>
          <w:sz w:val="22"/>
          <w:szCs w:val="22"/>
        </w:rPr>
        <w:t>The EU-GBV Survey (2021, published 2024) found 25.3% of ever-partnered Croatian women experienced physical or sexual IPV in their lifetimes, rising to 32% when including psychological violence (FRA/Eurostat, 2024). Between 2013 and 2020, 131 women were murdered in Croatia, with 66 killed by intimate partners (Ombudsperson for Gender Equality of Croatia, 2021). During the COVID-19 pandemic, domestic violence criminal offences increased 43.4% compared to 2019 (Ministry of Interior Croatia, 2021). GREVIO's 2023 evaluation noted Croatia's gender-neutral approach to combating violence as a structural concern (Council of Europe, 2023).</w:t>
      </w:r>
    </w:p>
    <w:p w14:paraId="3ED6725C" w14:textId="77777777" w:rsidR="00E03741" w:rsidRPr="00556170" w:rsidRDefault="00E03741" w:rsidP="00E73104">
      <w:pPr>
        <w:jc w:val="both"/>
        <w:rPr>
          <w:rFonts w:asciiTheme="minorHAnsi" w:hAnsiTheme="minorHAnsi" w:cstheme="minorHAnsi"/>
          <w:sz w:val="22"/>
          <w:szCs w:val="22"/>
        </w:rPr>
      </w:pPr>
    </w:p>
    <w:p w14:paraId="43EE1A00" w14:textId="77777777" w:rsidR="00E03741" w:rsidRPr="00556170" w:rsidRDefault="00E03741" w:rsidP="00E73104">
      <w:pPr>
        <w:pBdr>
          <w:left w:val="single" w:sz="14" w:space="8" w:color="3E2723"/>
        </w:pBdr>
        <w:shd w:val="clear" w:color="auto" w:fill="EFEBE9"/>
        <w:ind w:left="400"/>
        <w:jc w:val="both"/>
        <w:rPr>
          <w:rFonts w:asciiTheme="minorHAnsi" w:hAnsiTheme="minorHAnsi" w:cstheme="minorHAnsi"/>
          <w:sz w:val="22"/>
          <w:szCs w:val="22"/>
        </w:rPr>
      </w:pPr>
      <w:r w:rsidRPr="00556170">
        <w:rPr>
          <w:rFonts w:asciiTheme="minorHAnsi" w:hAnsiTheme="minorHAnsi" w:cstheme="minorHAnsi"/>
          <w:b/>
          <w:bCs/>
          <w:color w:val="3E2723"/>
          <w:sz w:val="22"/>
          <w:szCs w:val="22"/>
        </w:rPr>
        <w:lastRenderedPageBreak/>
        <w:t xml:space="preserve">Montenegro: </w:t>
      </w:r>
      <w:r w:rsidRPr="00FC31A2">
        <w:rPr>
          <w:rFonts w:asciiTheme="minorHAnsi" w:hAnsiTheme="minorHAnsi" w:cstheme="minorHAnsi"/>
          <w:color w:val="000000" w:themeColor="text1"/>
          <w:sz w:val="22"/>
          <w:szCs w:val="22"/>
        </w:rPr>
        <w:t>Montenegro's first EU-methodology GBV survey (MONSTAT, 2021) found 20.2% of women reported lifetime IPV. The OSCE psychological violence survey (2022) revealed that one-third of women personally experienced psychological violence, irrespective of age, education, employment status, or urban/rural location, suggesting structural rather than circumstantial drivers (OSCE Mission to Montenegro, 2022). The 2024 CEDAW Committee review expressed concern that 60% of citizens believe it is preferable for men to work while women dedicate themselves to family (OHCHR, 2024).</w:t>
      </w:r>
    </w:p>
    <w:p w14:paraId="512C4FD5" w14:textId="77777777" w:rsidR="00FC31A2" w:rsidRDefault="00FC31A2" w:rsidP="00E73104">
      <w:pPr>
        <w:pStyle w:val="Naslov2"/>
        <w:spacing w:before="0" w:after="0"/>
        <w:jc w:val="both"/>
        <w:rPr>
          <w:rFonts w:asciiTheme="minorHAnsi" w:eastAsia="Arial" w:hAnsiTheme="minorHAnsi" w:cstheme="minorHAnsi"/>
          <w:b/>
          <w:bCs/>
          <w:color w:val="E65100"/>
          <w:sz w:val="22"/>
          <w:szCs w:val="22"/>
        </w:rPr>
      </w:pPr>
    </w:p>
    <w:p w14:paraId="20683F07" w14:textId="2BFF8CE6" w:rsidR="00E03741" w:rsidRPr="00FC31A2" w:rsidRDefault="00E03741" w:rsidP="00E73104">
      <w:pPr>
        <w:pStyle w:val="Naslov2"/>
        <w:spacing w:before="0" w:after="0"/>
        <w:jc w:val="both"/>
        <w:rPr>
          <w:rFonts w:asciiTheme="minorHAnsi" w:hAnsiTheme="minorHAnsi" w:cstheme="minorHAnsi"/>
          <w:color w:val="4472C4" w:themeColor="accent1"/>
          <w:sz w:val="22"/>
          <w:szCs w:val="22"/>
        </w:rPr>
      </w:pPr>
      <w:bookmarkStart w:id="42" w:name="_Toc224128625"/>
      <w:r w:rsidRPr="00FC31A2">
        <w:rPr>
          <w:rFonts w:asciiTheme="minorHAnsi" w:eastAsia="Arial" w:hAnsiTheme="minorHAnsi" w:cstheme="minorHAnsi"/>
          <w:b/>
          <w:bCs/>
          <w:color w:val="4472C4" w:themeColor="accent1"/>
          <w:sz w:val="22"/>
          <w:szCs w:val="22"/>
        </w:rPr>
        <w:t>8.5 GBV–Climate Nexus: Comparative Table</w:t>
      </w:r>
      <w:bookmarkEnd w:id="42"/>
    </w:p>
    <w:p w14:paraId="67161861" w14:textId="77B7F427" w:rsidR="00E03741" w:rsidRPr="00FC31A2" w:rsidRDefault="00E03741" w:rsidP="004A43D7">
      <w:pPr>
        <w:pStyle w:val="Naslov4"/>
      </w:pPr>
      <w:r w:rsidRPr="00FC31A2">
        <w:t>Table 8A: GBV Indicators and Climate Vulnerability Indicators: Comparative Cross-Reference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790"/>
        <w:gridCol w:w="1790"/>
        <w:gridCol w:w="1790"/>
        <w:gridCol w:w="1790"/>
      </w:tblGrid>
      <w:tr w:rsidR="00FC31A2" w:rsidRPr="00FC31A2" w14:paraId="70515F35" w14:textId="77777777" w:rsidTr="003B022E">
        <w:trPr>
          <w:tblHeader/>
        </w:trPr>
        <w:tc>
          <w:tcPr>
            <w:tcW w:w="220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55B21C20" w14:textId="77777777" w:rsidR="00E03741" w:rsidRPr="00E276F9" w:rsidRDefault="00E03741" w:rsidP="00E73104">
            <w:pPr>
              <w:jc w:val="both"/>
              <w:rPr>
                <w:rFonts w:asciiTheme="minorHAnsi" w:hAnsiTheme="minorHAnsi" w:cstheme="minorHAnsi"/>
                <w:b/>
                <w:bCs/>
                <w:color w:val="FFFFFF" w:themeColor="background1"/>
                <w:sz w:val="22"/>
                <w:szCs w:val="22"/>
              </w:rPr>
            </w:pPr>
            <w:r w:rsidRPr="00E276F9">
              <w:rPr>
                <w:rFonts w:asciiTheme="minorHAnsi" w:hAnsiTheme="minorHAnsi" w:cstheme="minorHAnsi"/>
                <w:b/>
                <w:bCs/>
                <w:color w:val="FFFFFF" w:themeColor="background1"/>
                <w:sz w:val="22"/>
                <w:szCs w:val="22"/>
              </w:rPr>
              <w:t>Indicator</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2CEDDE21" w14:textId="77777777" w:rsidR="00E03741" w:rsidRPr="00E276F9" w:rsidRDefault="00E03741" w:rsidP="00E73104">
            <w:pPr>
              <w:jc w:val="both"/>
              <w:rPr>
                <w:rFonts w:asciiTheme="minorHAnsi" w:hAnsiTheme="minorHAnsi" w:cstheme="minorHAnsi"/>
                <w:b/>
                <w:bCs/>
                <w:color w:val="FFFFFF" w:themeColor="background1"/>
                <w:sz w:val="22"/>
                <w:szCs w:val="22"/>
              </w:rPr>
            </w:pPr>
            <w:r w:rsidRPr="00E276F9">
              <w:rPr>
                <w:rFonts w:asciiTheme="minorHAnsi" w:hAnsiTheme="minorHAnsi" w:cstheme="minorHAnsi"/>
                <w:b/>
                <w:bCs/>
                <w:color w:val="FFFFFF" w:themeColor="background1"/>
                <w:sz w:val="22"/>
                <w:szCs w:val="22"/>
              </w:rPr>
              <w:t>Albania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3C6F5E0C" w14:textId="77777777" w:rsidR="00E03741" w:rsidRPr="00E276F9" w:rsidRDefault="00E03741" w:rsidP="00E73104">
            <w:pPr>
              <w:jc w:val="both"/>
              <w:rPr>
                <w:rFonts w:asciiTheme="minorHAnsi" w:hAnsiTheme="minorHAnsi" w:cstheme="minorHAnsi"/>
                <w:b/>
                <w:bCs/>
                <w:color w:val="FFFFFF" w:themeColor="background1"/>
                <w:sz w:val="22"/>
                <w:szCs w:val="22"/>
              </w:rPr>
            </w:pPr>
            <w:r w:rsidRPr="00E276F9">
              <w:rPr>
                <w:rFonts w:asciiTheme="minorHAnsi" w:hAnsiTheme="minorHAnsi" w:cstheme="minorHAnsi"/>
                <w:b/>
                <w:bCs/>
                <w:color w:val="FFFFFF" w:themeColor="background1"/>
                <w:sz w:val="22"/>
                <w:szCs w:val="22"/>
              </w:rPr>
              <w:t>Bosnia &amp; Herz.</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1777C5D5" w14:textId="77777777" w:rsidR="00E03741" w:rsidRPr="00E276F9" w:rsidRDefault="00E03741" w:rsidP="00E73104">
            <w:pPr>
              <w:jc w:val="both"/>
              <w:rPr>
                <w:rFonts w:asciiTheme="minorHAnsi" w:hAnsiTheme="minorHAnsi" w:cstheme="minorHAnsi"/>
                <w:b/>
                <w:bCs/>
                <w:color w:val="FFFFFF" w:themeColor="background1"/>
                <w:sz w:val="22"/>
                <w:szCs w:val="22"/>
              </w:rPr>
            </w:pPr>
            <w:r w:rsidRPr="00E276F9">
              <w:rPr>
                <w:rFonts w:asciiTheme="minorHAnsi" w:hAnsiTheme="minorHAnsi" w:cstheme="minorHAnsi"/>
                <w:b/>
                <w:bCs/>
                <w:color w:val="FFFFFF" w:themeColor="background1"/>
                <w:sz w:val="22"/>
                <w:szCs w:val="22"/>
              </w:rPr>
              <w:t>Croatia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68ED3D31" w14:textId="77777777" w:rsidR="00E03741" w:rsidRPr="00E276F9" w:rsidRDefault="00E03741" w:rsidP="00E73104">
            <w:pPr>
              <w:jc w:val="both"/>
              <w:rPr>
                <w:rFonts w:asciiTheme="minorHAnsi" w:hAnsiTheme="minorHAnsi" w:cstheme="minorHAnsi"/>
                <w:b/>
                <w:bCs/>
                <w:color w:val="FFFFFF" w:themeColor="background1"/>
                <w:sz w:val="22"/>
                <w:szCs w:val="22"/>
              </w:rPr>
            </w:pPr>
            <w:r w:rsidRPr="00E276F9">
              <w:rPr>
                <w:rFonts w:asciiTheme="minorHAnsi" w:hAnsiTheme="minorHAnsi" w:cstheme="minorHAnsi"/>
                <w:b/>
                <w:bCs/>
                <w:color w:val="FFFFFF" w:themeColor="background1"/>
                <w:sz w:val="22"/>
                <w:szCs w:val="22"/>
              </w:rPr>
              <w:t>Montenegro</w:t>
            </w:r>
          </w:p>
        </w:tc>
      </w:tr>
      <w:tr w:rsidR="00FC31A2" w:rsidRPr="00FC31A2" w14:paraId="30C3070C" w14:textId="77777777" w:rsidTr="00FC31A2">
        <w:tc>
          <w:tcPr>
            <w:tcW w:w="9360" w:type="dxa"/>
            <w:gridSpan w:val="5"/>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7CBE6F5C"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GBV Indicators</w:t>
            </w:r>
          </w:p>
        </w:tc>
      </w:tr>
      <w:tr w:rsidR="00FC31A2" w:rsidRPr="00FC31A2" w14:paraId="2650EA4C" w14:textId="77777777" w:rsidTr="00FC31A2">
        <w:tc>
          <w:tcPr>
            <w:tcW w:w="220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44F21D1E"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Lifetime GBV prevalence (any form)</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1753E5DC"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52.9%; 47% IPV (INSTAT/UN Women, 2019)</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08A5FA39"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approximately 48% (OSCE, 2019)</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627D1341"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25.3% (FRA/Eurostat,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73588771"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20.2% IPV (MONSTAT, 2021)</w:t>
            </w:r>
          </w:p>
        </w:tc>
      </w:tr>
      <w:tr w:rsidR="00FC31A2" w:rsidRPr="00FC31A2" w14:paraId="1BA45767" w14:textId="77777777" w:rsidTr="00FC31A2">
        <w:tc>
          <w:tcPr>
            <w:tcW w:w="220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09391CFC"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IPV past-12-month prevalence</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6F19ABF0"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33.7% (INSTAT/UN Women, 2019)</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46E5FF76"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3.4% physical/sexual (OSCE, 2019)</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008633A7"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Not separately published</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377842B8"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7.5% domestic (MONSTAT, 2021)</w:t>
            </w:r>
          </w:p>
        </w:tc>
      </w:tr>
      <w:tr w:rsidR="00FC31A2" w:rsidRPr="00FC31A2" w14:paraId="6FCF1C82" w14:textId="77777777" w:rsidTr="00FC31A2">
        <w:tc>
          <w:tcPr>
            <w:tcW w:w="220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0AB9BF19"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Reporting rate to police</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12E4C9CC"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approximately 3% (OSCE, 2019)</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6E1E54EC"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approximately 3%; 84% unreported (OSCE, 2019)</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1CACDC52"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 xml:space="preserve">79% of DV </w:t>
            </w:r>
            <w:proofErr w:type="gramStart"/>
            <w:r w:rsidRPr="00FC31A2">
              <w:rPr>
                <w:rFonts w:asciiTheme="minorHAnsi" w:hAnsiTheme="minorHAnsi" w:cstheme="minorHAnsi"/>
                <w:color w:val="000000" w:themeColor="text1"/>
                <w:sz w:val="22"/>
                <w:szCs w:val="22"/>
              </w:rPr>
              <w:t>victims</w:t>
            </w:r>
            <w:proofErr w:type="gramEnd"/>
            <w:r w:rsidRPr="00FC31A2">
              <w:rPr>
                <w:rFonts w:asciiTheme="minorHAnsi" w:hAnsiTheme="minorHAnsi" w:cstheme="minorHAnsi"/>
                <w:color w:val="000000" w:themeColor="text1"/>
                <w:sz w:val="22"/>
                <w:szCs w:val="22"/>
              </w:rPr>
              <w:t xml:space="preserve"> female (EIGE,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2E8CEF8F"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62% fear reporting (UNDP MNE, 2024)</w:t>
            </w:r>
          </w:p>
        </w:tc>
      </w:tr>
      <w:tr w:rsidR="00FC31A2" w:rsidRPr="00FC31A2" w14:paraId="588D312C" w14:textId="77777777" w:rsidTr="00FC31A2">
        <w:tc>
          <w:tcPr>
            <w:tcW w:w="220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7785A614"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Femicide / partner killings</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5D413B09"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32 killed 2021–23; 24 femicides (People's Advocate,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2A82A628"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CRSV legacy; approximately 55 cases pending (HRW,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712D16DC"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66 partner killings 2013–20 (Ombudsperson, 2021)</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69D2D6F4"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17 killings since 2017 (UNDP MNE, 2024)</w:t>
            </w:r>
          </w:p>
        </w:tc>
      </w:tr>
      <w:tr w:rsidR="00FC31A2" w:rsidRPr="00FC31A2" w14:paraId="53D0DE0B" w14:textId="77777777" w:rsidTr="00FC31A2">
        <w:tc>
          <w:tcPr>
            <w:tcW w:w="220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3BA4395B"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Primary GBV data source/year</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26391FC4"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INSTAT/UN Women/UNDP (2019); OSCE (2019)</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78847585"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OSCE (2019)</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0C9D6EEC"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FRA/EU-GBV Survey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0EB5141A"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MONSTAT (2021); OSCE (2022)</w:t>
            </w:r>
          </w:p>
        </w:tc>
      </w:tr>
      <w:tr w:rsidR="00FC31A2" w:rsidRPr="00FC31A2" w14:paraId="3E207288" w14:textId="77777777" w:rsidTr="00FC31A2">
        <w:tc>
          <w:tcPr>
            <w:tcW w:w="9360" w:type="dxa"/>
            <w:gridSpan w:val="5"/>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0EE33978"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Climate Vulnerability Indicators</w:t>
            </w:r>
          </w:p>
        </w:tc>
      </w:tr>
      <w:tr w:rsidR="00FC31A2" w:rsidRPr="00FC31A2" w14:paraId="34E2EC38" w14:textId="77777777" w:rsidTr="00FC31A2">
        <w:tc>
          <w:tcPr>
            <w:tcW w:w="220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7DD69F3F"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ND-GAIN Rank / Score (2023)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2DA83DE8"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76th / 52.1</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2A5BB73D"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82nd / 51.2 (most vulnerable)</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1B915D5A"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53rd / 55.6 (most resilient)</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32B71665"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57th / 55.1</w:t>
            </w:r>
          </w:p>
        </w:tc>
      </w:tr>
      <w:tr w:rsidR="00FC31A2" w:rsidRPr="00FC31A2" w14:paraId="5DCDEB4C" w14:textId="77777777" w:rsidTr="00FC31A2">
        <w:tc>
          <w:tcPr>
            <w:tcW w:w="220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008CFDC9"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Climate Readiness Score (ND-GAIN, 2023)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3BF0A88A"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0.423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1A7E8988"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0.370 (lowest)</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036EEBB8"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0.493 (highest)</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5155A5FE"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0.466</w:t>
            </w:r>
          </w:p>
        </w:tc>
      </w:tr>
      <w:tr w:rsidR="00FC31A2" w:rsidRPr="00FC31A2" w14:paraId="62881F70" w14:textId="77777777" w:rsidTr="00FC31A2">
        <w:tc>
          <w:tcPr>
            <w:tcW w:w="220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3FC89D46"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Projected temp. increase</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0E465808"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1.3–2.2°C by 2050 (IMF, 2022)</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3BABD6F7"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1.5–2.5°C by 2041–70 (WB,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4A629414"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2–3°C by mid-century (WB, 2023)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42D78EA5"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1.5–2°C by 2050 (WB, 2024)</w:t>
            </w:r>
          </w:p>
        </w:tc>
      </w:tr>
      <w:tr w:rsidR="00FC31A2" w:rsidRPr="00FC31A2" w14:paraId="28CA0777" w14:textId="77777777" w:rsidTr="00FC31A2">
        <w:tc>
          <w:tcPr>
            <w:tcW w:w="220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1B2B012D"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lastRenderedPageBreak/>
              <w:t>Water resource risk</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5BD8EDFE"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−14% projected by 2070 (IMF, 2022)</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2C2F1087"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47% land area drought 2022 (EEA, 2023)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2499CA0F"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Warming 20% faster than global avg (WB, 2023)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3AE97213"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25% territory drought 2022 (EEA, 2023)</w:t>
            </w:r>
          </w:p>
        </w:tc>
      </w:tr>
      <w:tr w:rsidR="00FC31A2" w:rsidRPr="00FC31A2" w14:paraId="2A9DEACF" w14:textId="77777777" w:rsidTr="00FC31A2">
        <w:tc>
          <w:tcPr>
            <w:tcW w:w="220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698D1B6C"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Climate insurance gap</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6561EB1A"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nearly 100% (EEA, 2025)</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788541B9"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nearly 100% (EEA, 2025)</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2B374B06"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&gt;90% (EEA, 2025)</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0345DF8E"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nearly 100% (EEA, 2025)</w:t>
            </w:r>
          </w:p>
        </w:tc>
      </w:tr>
      <w:tr w:rsidR="00FC31A2" w:rsidRPr="00FC31A2" w14:paraId="550E1644" w14:textId="77777777" w:rsidTr="00FC31A2">
        <w:tc>
          <w:tcPr>
            <w:tcW w:w="220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0745BEBA"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Women in agriculture</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19B2A08B"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40.1% agric. workforce (UN Women,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74C5A619"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Majority unpaid family farm workers (UN Women, 2022)</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5D81F05C"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Data limited (CBS, 2021)</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5CEEED2F"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13% farm holders (UN Montenegro, 2025)</w:t>
            </w:r>
          </w:p>
        </w:tc>
      </w:tr>
      <w:tr w:rsidR="00FC31A2" w:rsidRPr="00FC31A2" w14:paraId="6AAF502F" w14:textId="77777777" w:rsidTr="00FC31A2">
        <w:tc>
          <w:tcPr>
            <w:tcW w:w="220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187901A7"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Gendered climate data availability</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75411A10"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Partial (UN Women,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5D91D311"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Limited (UNDP BiH, 2023)</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3E5B2BBC"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Partial (EIGE, 2024)</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4AA9AF1A"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Very limited (no TUS; EIGE, 2023)</w:t>
            </w:r>
          </w:p>
        </w:tc>
      </w:tr>
      <w:tr w:rsidR="00FC31A2" w:rsidRPr="00FC31A2" w14:paraId="4AFF7840" w14:textId="77777777" w:rsidTr="00FC31A2">
        <w:tc>
          <w:tcPr>
            <w:tcW w:w="9360" w:type="dxa"/>
            <w:gridSpan w:val="5"/>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62A40FD0"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Combined GBV + Climate Risk Assessment</w:t>
            </w:r>
          </w:p>
        </w:tc>
      </w:tr>
      <w:tr w:rsidR="00FC31A2" w:rsidRPr="00FC31A2" w14:paraId="3BF5D9F1" w14:textId="77777777" w:rsidTr="00FC31A2">
        <w:tc>
          <w:tcPr>
            <w:tcW w:w="220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45B51959"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Overall risk profile</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4F9A4CF7"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HIGH GBV + MODERATE climate risk</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6D876D34"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HIGH GBV + HIGH climate risk (most vulnerable)</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7F755D0C"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MODERATE GBV + LOW climate risk (most resilient)</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547F8A9F"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MODERATE GBV + MODERATE climate risk</w:t>
            </w:r>
          </w:p>
        </w:tc>
      </w:tr>
      <w:tr w:rsidR="00FC31A2" w:rsidRPr="00FC31A2" w14:paraId="2BB3039A" w14:textId="77777777" w:rsidTr="00FC31A2">
        <w:tc>
          <w:tcPr>
            <w:tcW w:w="220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61B6C6C5"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Water–GBV pathway most relevant</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3BF453B3"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Pathway 1 (collection exposure) + Pathway 3 (time poverty)</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273BD597"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Pathway 2 (IPV trigger) + Pathway 5 (climate amplification)</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3D7DDA59"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Pathway 4 (governance exclusion)</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202E4FAB"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Pathway 5 (climate amplification)</w:t>
            </w:r>
          </w:p>
        </w:tc>
      </w:tr>
      <w:tr w:rsidR="00FC31A2" w:rsidRPr="00FC31A2" w14:paraId="03E9F703" w14:textId="77777777" w:rsidTr="00FC31A2">
        <w:tc>
          <w:tcPr>
            <w:tcW w:w="220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0D9DF26E" w14:textId="77777777" w:rsidR="00E03741" w:rsidRPr="00225EAC" w:rsidRDefault="00E03741" w:rsidP="00E73104">
            <w:pPr>
              <w:jc w:val="both"/>
              <w:rPr>
                <w:rFonts w:asciiTheme="minorHAnsi" w:hAnsiTheme="minorHAnsi" w:cstheme="minorHAnsi"/>
                <w:b/>
                <w:bCs/>
                <w:color w:val="000000" w:themeColor="text1"/>
                <w:sz w:val="22"/>
                <w:szCs w:val="22"/>
              </w:rPr>
            </w:pPr>
            <w:r w:rsidRPr="00225EAC">
              <w:rPr>
                <w:rFonts w:asciiTheme="minorHAnsi" w:hAnsiTheme="minorHAnsi" w:cstheme="minorHAnsi"/>
                <w:b/>
                <w:bCs/>
                <w:color w:val="000000" w:themeColor="text1"/>
                <w:sz w:val="22"/>
                <w:szCs w:val="22"/>
              </w:rPr>
              <w:t>Priority recommendation</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7F6A245F"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Safety audits; update TUS 2010–11</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26025C7B"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Post-conflict integration; GBV data by water access</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43A299D9"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Gender-responsive climate planning; enforcement</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hemeFill="background1"/>
            <w:tcMar>
              <w:top w:w="80" w:type="dxa"/>
              <w:left w:w="130" w:type="dxa"/>
              <w:bottom w:w="80" w:type="dxa"/>
              <w:right w:w="130" w:type="dxa"/>
            </w:tcMar>
          </w:tcPr>
          <w:p w14:paraId="4FF4F864" w14:textId="77777777" w:rsidR="00E03741" w:rsidRPr="00FC31A2" w:rsidRDefault="00E03741" w:rsidP="00E73104">
            <w:pPr>
              <w:jc w:val="both"/>
              <w:rPr>
                <w:rFonts w:asciiTheme="minorHAnsi" w:hAnsiTheme="minorHAnsi" w:cstheme="minorHAnsi"/>
                <w:color w:val="000000" w:themeColor="text1"/>
                <w:sz w:val="22"/>
                <w:szCs w:val="22"/>
              </w:rPr>
            </w:pPr>
            <w:r w:rsidRPr="00FC31A2">
              <w:rPr>
                <w:rFonts w:asciiTheme="minorHAnsi" w:hAnsiTheme="minorHAnsi" w:cstheme="minorHAnsi"/>
                <w:color w:val="000000" w:themeColor="text1"/>
                <w:sz w:val="22"/>
                <w:szCs w:val="22"/>
              </w:rPr>
              <w:t>Commission national TUS; integrate GBV into water planning</w:t>
            </w:r>
          </w:p>
        </w:tc>
      </w:tr>
    </w:tbl>
    <w:p w14:paraId="41B5EA08" w14:textId="77777777" w:rsidR="00E03741" w:rsidRPr="00FC31A2" w:rsidRDefault="00E03741" w:rsidP="00FC31A2">
      <w:pPr>
        <w:jc w:val="both"/>
        <w:rPr>
          <w:rFonts w:asciiTheme="minorHAnsi" w:hAnsiTheme="minorHAnsi" w:cstheme="minorHAnsi"/>
          <w:i/>
          <w:iCs/>
          <w:color w:val="666666"/>
          <w:sz w:val="16"/>
          <w:szCs w:val="16"/>
        </w:rPr>
      </w:pPr>
      <w:r w:rsidRPr="00FC31A2">
        <w:rPr>
          <w:rFonts w:asciiTheme="minorHAnsi" w:hAnsiTheme="minorHAnsi" w:cstheme="minorHAnsi"/>
          <w:b/>
          <w:bCs/>
          <w:i/>
          <w:iCs/>
          <w:color w:val="666666"/>
          <w:sz w:val="16"/>
          <w:szCs w:val="16"/>
        </w:rPr>
        <w:t>Sources:</w:t>
      </w:r>
      <w:r w:rsidRPr="00FC31A2">
        <w:rPr>
          <w:rFonts w:asciiTheme="minorHAnsi" w:hAnsiTheme="minorHAnsi" w:cstheme="minorHAnsi"/>
          <w:i/>
          <w:iCs/>
          <w:color w:val="666666"/>
          <w:sz w:val="16"/>
          <w:szCs w:val="16"/>
        </w:rPr>
        <w:t xml:space="preserve"> GBV sources: INSTAT/UN Women/UNDP (2019); OSCE (2019); FRA/Eurostat EU-GBV Survey (2024); MONSTAT EU-GBV Survey (2021); OSCE Mission to Montenegro (2022); People's Advocate of Albania/UN Women (2024); UNDP Montenegro (2024); Human Rights Watch (2024); Ombudsperson for Gender Equality of Croatia (2021). Climate sources: ND-GAIN Country Index (Notre Dame Global Adaptation Initiative, 2023); IMF Country Report No. 22/363 (2022); World Bank (2023, 2024); European Environment Agency (2023, 2025). Note: Cross-country GBV comparisons should be made with caution due to methodological differences between survey instruments.</w:t>
      </w:r>
    </w:p>
    <w:p w14:paraId="3339FE0E" w14:textId="77777777" w:rsidR="00FC31A2" w:rsidRPr="00556170" w:rsidRDefault="00FC31A2" w:rsidP="00FC31A2">
      <w:pPr>
        <w:jc w:val="both"/>
        <w:rPr>
          <w:rFonts w:asciiTheme="minorHAnsi" w:hAnsiTheme="minorHAnsi" w:cstheme="minorHAnsi"/>
          <w:sz w:val="22"/>
          <w:szCs w:val="22"/>
        </w:rPr>
      </w:pPr>
    </w:p>
    <w:p w14:paraId="7AE01ABB" w14:textId="5470B1F6" w:rsidR="00E03741" w:rsidRPr="00C8772C" w:rsidRDefault="00E03741" w:rsidP="00E73104">
      <w:pPr>
        <w:pStyle w:val="Naslov2"/>
        <w:spacing w:before="0" w:after="0"/>
        <w:jc w:val="both"/>
        <w:rPr>
          <w:rFonts w:asciiTheme="minorHAnsi" w:hAnsiTheme="minorHAnsi" w:cstheme="minorHAnsi"/>
          <w:color w:val="4472C4" w:themeColor="accent1"/>
          <w:sz w:val="22"/>
          <w:szCs w:val="22"/>
        </w:rPr>
      </w:pPr>
      <w:bookmarkStart w:id="43" w:name="_Toc224128626"/>
      <w:r w:rsidRPr="00C8772C">
        <w:rPr>
          <w:rFonts w:asciiTheme="minorHAnsi" w:eastAsia="Arial" w:hAnsiTheme="minorHAnsi" w:cstheme="minorHAnsi"/>
          <w:b/>
          <w:bCs/>
          <w:color w:val="4472C4" w:themeColor="accent1"/>
          <w:sz w:val="22"/>
          <w:szCs w:val="22"/>
        </w:rPr>
        <w:t>8.6 Climate Change, Water Availability, and Gendered Impacts</w:t>
      </w:r>
      <w:bookmarkEnd w:id="43"/>
    </w:p>
    <w:p w14:paraId="026E725F" w14:textId="77777777" w:rsidR="00E03741" w:rsidRPr="00A92C6D" w:rsidRDefault="00E03741" w:rsidP="00E73104">
      <w:pPr>
        <w:jc w:val="both"/>
        <w:rPr>
          <w:rFonts w:asciiTheme="minorHAnsi" w:hAnsiTheme="minorHAnsi" w:cstheme="minorHAnsi"/>
          <w:color w:val="auto"/>
          <w:sz w:val="22"/>
          <w:szCs w:val="22"/>
          <w:lang w:val="en-GB"/>
        </w:rPr>
      </w:pPr>
      <w:r w:rsidRPr="00ED622C">
        <w:rPr>
          <w:rFonts w:asciiTheme="minorHAnsi" w:hAnsiTheme="minorHAnsi" w:cstheme="minorHAnsi"/>
          <w:color w:val="auto"/>
          <w:sz w:val="22"/>
          <w:szCs w:val="22"/>
        </w:rPr>
        <w:t xml:space="preserve">Three interconnected processes are transforming water availability: intensifying extreme precipitation events and flooding; increasing drought frequency and severity; and degrading water quality through contamination and </w:t>
      </w:r>
      <w:r w:rsidRPr="00A92C6D">
        <w:rPr>
          <w:rFonts w:asciiTheme="minorHAnsi" w:hAnsiTheme="minorHAnsi" w:cstheme="minorHAnsi"/>
          <w:color w:val="auto"/>
          <w:sz w:val="22"/>
          <w:szCs w:val="22"/>
          <w:lang w:val="en-GB"/>
        </w:rPr>
        <w:t>salinisation.</w:t>
      </w:r>
    </w:p>
    <w:p w14:paraId="7BD1FE92" w14:textId="77777777" w:rsidR="00C8772C" w:rsidRPr="00ED622C" w:rsidRDefault="00C8772C" w:rsidP="00E73104">
      <w:pPr>
        <w:jc w:val="both"/>
        <w:rPr>
          <w:rFonts w:asciiTheme="minorHAnsi" w:hAnsiTheme="minorHAnsi" w:cstheme="minorHAnsi"/>
          <w:color w:val="auto"/>
          <w:sz w:val="22"/>
          <w:szCs w:val="22"/>
        </w:rPr>
      </w:pPr>
    </w:p>
    <w:p w14:paraId="6226527E" w14:textId="77777777" w:rsidR="00E03741" w:rsidRPr="00ED622C" w:rsidRDefault="00E03741" w:rsidP="00E73104">
      <w:pPr>
        <w:jc w:val="both"/>
        <w:rPr>
          <w:rFonts w:asciiTheme="minorHAnsi" w:hAnsiTheme="minorHAnsi" w:cstheme="minorHAnsi"/>
          <w:color w:val="auto"/>
          <w:sz w:val="22"/>
          <w:szCs w:val="22"/>
        </w:rPr>
      </w:pPr>
      <w:r w:rsidRPr="00ED622C">
        <w:rPr>
          <w:rFonts w:asciiTheme="minorHAnsi" w:hAnsiTheme="minorHAnsi" w:cstheme="minorHAnsi"/>
          <w:color w:val="auto"/>
          <w:sz w:val="22"/>
          <w:szCs w:val="22"/>
        </w:rPr>
        <w:t>Croatia is warming 20% faster than the global average, with projections indicating mean annual temperature increases of 1.3–1.5°C by 2040 and up to 2.5°C by 2070 (World Bank, 2023). Albania’s climate models project water resources will decline by 14% under mid-century climate scenarios (IMF, 2022). A projected 20% reduction in regional runoff could cause a 60% reduction in hydropower production, critically affecting Albania and Montenegro, which depend heavily on hydropower (Knez et al., 2022).</w:t>
      </w:r>
    </w:p>
    <w:p w14:paraId="73379D84" w14:textId="77777777" w:rsidR="00E03741" w:rsidRDefault="00E03741" w:rsidP="00E73104">
      <w:pPr>
        <w:jc w:val="both"/>
        <w:rPr>
          <w:rFonts w:asciiTheme="minorHAnsi" w:hAnsiTheme="minorHAnsi" w:cstheme="minorHAnsi"/>
          <w:color w:val="auto"/>
          <w:sz w:val="22"/>
          <w:szCs w:val="22"/>
        </w:rPr>
      </w:pPr>
      <w:r w:rsidRPr="00ED622C">
        <w:rPr>
          <w:rFonts w:asciiTheme="minorHAnsi" w:hAnsiTheme="minorHAnsi" w:cstheme="minorHAnsi"/>
          <w:color w:val="auto"/>
          <w:sz w:val="22"/>
          <w:szCs w:val="22"/>
        </w:rPr>
        <w:lastRenderedPageBreak/>
        <w:t>These climate trends intensify women’s water-related burdens: longer water collection times during drought periods; increased caregiving burdens as water-borne diseases become more prevalent; heightened IPV risk as economic stress from agricultural water losses triggers domestic violence; and compounded exclusion from climate adaptation planning, which remains male-dominated across all four countries.</w:t>
      </w:r>
    </w:p>
    <w:p w14:paraId="0A0ACDEF" w14:textId="77777777" w:rsidR="00ED622C" w:rsidRPr="00B63E48" w:rsidRDefault="00ED622C" w:rsidP="00E73104">
      <w:pPr>
        <w:jc w:val="both"/>
        <w:rPr>
          <w:rFonts w:asciiTheme="minorHAnsi" w:hAnsiTheme="minorHAnsi" w:cstheme="minorHAnsi"/>
          <w:color w:val="4472C4" w:themeColor="accent1"/>
          <w:sz w:val="22"/>
          <w:szCs w:val="22"/>
        </w:rPr>
      </w:pPr>
    </w:p>
    <w:p w14:paraId="37A2B775" w14:textId="2D3B4409" w:rsidR="00E03741" w:rsidRPr="00B63E48" w:rsidRDefault="00E03741" w:rsidP="00E73104">
      <w:pPr>
        <w:pStyle w:val="Naslov2"/>
        <w:spacing w:before="0" w:after="0"/>
        <w:jc w:val="both"/>
        <w:rPr>
          <w:rFonts w:asciiTheme="minorHAnsi" w:hAnsiTheme="minorHAnsi" w:cstheme="minorHAnsi"/>
          <w:color w:val="4472C4" w:themeColor="accent1"/>
          <w:sz w:val="22"/>
          <w:szCs w:val="22"/>
        </w:rPr>
      </w:pPr>
      <w:bookmarkStart w:id="44" w:name="_Toc224128627"/>
      <w:r w:rsidRPr="00B63E48">
        <w:rPr>
          <w:rFonts w:asciiTheme="minorHAnsi" w:eastAsia="Arial" w:hAnsiTheme="minorHAnsi" w:cstheme="minorHAnsi"/>
          <w:b/>
          <w:bCs/>
          <w:color w:val="4472C4" w:themeColor="accent1"/>
          <w:sz w:val="22"/>
          <w:szCs w:val="22"/>
        </w:rPr>
        <w:t>8.7 Recommendations for Addressing the Water–GBV–Climate Nexus</w:t>
      </w:r>
      <w:bookmarkEnd w:id="44"/>
    </w:p>
    <w:p w14:paraId="7864C98F" w14:textId="77777777" w:rsidR="00E03741" w:rsidRPr="00C1130C"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C1130C">
        <w:rPr>
          <w:rFonts w:asciiTheme="minorHAnsi" w:hAnsiTheme="minorHAnsi" w:cstheme="minorHAnsi"/>
          <w:b/>
          <w:bCs/>
          <w:color w:val="auto"/>
          <w:sz w:val="22"/>
          <w:szCs w:val="22"/>
        </w:rPr>
        <w:t xml:space="preserve">Commission primary research: </w:t>
      </w:r>
      <w:r w:rsidRPr="00C1130C">
        <w:rPr>
          <w:rFonts w:asciiTheme="minorHAnsi" w:hAnsiTheme="minorHAnsi" w:cstheme="minorHAnsi"/>
          <w:color w:val="auto"/>
          <w:sz w:val="22"/>
          <w:szCs w:val="22"/>
        </w:rPr>
        <w:t>Baseline studies examining the water–GBV nexus in the Western Balkans context, partnering with national statistical offices and GBV service providers.</w:t>
      </w:r>
    </w:p>
    <w:p w14:paraId="4D956CC8" w14:textId="77777777" w:rsidR="00E03741" w:rsidRPr="00C1130C"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C1130C">
        <w:rPr>
          <w:rFonts w:asciiTheme="minorHAnsi" w:hAnsiTheme="minorHAnsi" w:cstheme="minorHAnsi"/>
          <w:b/>
          <w:bCs/>
          <w:color w:val="auto"/>
          <w:sz w:val="22"/>
          <w:szCs w:val="22"/>
        </w:rPr>
        <w:t xml:space="preserve">Integrate GBV screening into water sector planning: </w:t>
      </w:r>
      <w:r w:rsidRPr="00C1130C">
        <w:rPr>
          <w:rFonts w:asciiTheme="minorHAnsi" w:hAnsiTheme="minorHAnsi" w:cstheme="minorHAnsi"/>
          <w:color w:val="auto"/>
          <w:sz w:val="22"/>
          <w:szCs w:val="22"/>
        </w:rPr>
        <w:t>Safety audits of water collection points, communal facilities, and school sanitation should treat women’s safety as an explicit design criterion.</w:t>
      </w:r>
    </w:p>
    <w:p w14:paraId="787B1BFB" w14:textId="77777777" w:rsidR="00E03741" w:rsidRPr="00C1130C"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C1130C">
        <w:rPr>
          <w:rFonts w:asciiTheme="minorHAnsi" w:hAnsiTheme="minorHAnsi" w:cstheme="minorHAnsi"/>
          <w:b/>
          <w:bCs/>
          <w:color w:val="auto"/>
          <w:sz w:val="22"/>
          <w:szCs w:val="22"/>
        </w:rPr>
        <w:t xml:space="preserve">Climate-responsive infrastructure: </w:t>
      </w:r>
      <w:r w:rsidRPr="00C1130C">
        <w:rPr>
          <w:rFonts w:asciiTheme="minorHAnsi" w:hAnsiTheme="minorHAnsi" w:cstheme="minorHAnsi"/>
          <w:color w:val="auto"/>
          <w:sz w:val="22"/>
          <w:szCs w:val="22"/>
        </w:rPr>
        <w:t>Water infrastructure investments should incorporate climate resilience components that specifically reduce women’s vulnerability to water insecurity during drought and flood events.</w:t>
      </w:r>
    </w:p>
    <w:p w14:paraId="25ED5888" w14:textId="77777777" w:rsidR="00E03741" w:rsidRPr="00C1130C"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C1130C">
        <w:rPr>
          <w:rFonts w:asciiTheme="minorHAnsi" w:hAnsiTheme="minorHAnsi" w:cstheme="minorHAnsi"/>
          <w:b/>
          <w:bCs/>
          <w:color w:val="auto"/>
          <w:sz w:val="22"/>
          <w:szCs w:val="22"/>
        </w:rPr>
        <w:t xml:space="preserve">Data integration: </w:t>
      </w:r>
      <w:r w:rsidRPr="00C1130C">
        <w:rPr>
          <w:rFonts w:asciiTheme="minorHAnsi" w:hAnsiTheme="minorHAnsi" w:cstheme="minorHAnsi"/>
          <w:color w:val="auto"/>
          <w:sz w:val="22"/>
          <w:szCs w:val="22"/>
        </w:rPr>
        <w:t>GBV data collection systems should include disaggregation by water access status to establish the empirical link between water insecurity and violence.</w:t>
      </w:r>
    </w:p>
    <w:p w14:paraId="1D6A260F" w14:textId="77777777" w:rsidR="00E03741" w:rsidRPr="00C1130C"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C1130C">
        <w:rPr>
          <w:rFonts w:asciiTheme="minorHAnsi" w:hAnsiTheme="minorHAnsi" w:cstheme="minorHAnsi"/>
          <w:b/>
          <w:bCs/>
          <w:color w:val="auto"/>
          <w:sz w:val="22"/>
          <w:szCs w:val="22"/>
        </w:rPr>
        <w:t xml:space="preserve">Cross-sector coordination: </w:t>
      </w:r>
      <w:r w:rsidRPr="00C1130C">
        <w:rPr>
          <w:rFonts w:asciiTheme="minorHAnsi" w:hAnsiTheme="minorHAnsi" w:cstheme="minorHAnsi"/>
          <w:color w:val="auto"/>
          <w:sz w:val="22"/>
          <w:szCs w:val="22"/>
        </w:rPr>
        <w:t xml:space="preserve">Establish formal coordination mechanisms between water governance bodies and GBV response services in each country, </w:t>
      </w:r>
      <w:r w:rsidRPr="00A92C6D">
        <w:rPr>
          <w:rFonts w:asciiTheme="minorHAnsi" w:hAnsiTheme="minorHAnsi" w:cstheme="minorHAnsi"/>
          <w:color w:val="auto"/>
          <w:sz w:val="22"/>
          <w:szCs w:val="22"/>
          <w:lang w:val="en-GB"/>
        </w:rPr>
        <w:t>recognising t</w:t>
      </w:r>
      <w:r w:rsidRPr="00C1130C">
        <w:rPr>
          <w:rFonts w:asciiTheme="minorHAnsi" w:hAnsiTheme="minorHAnsi" w:cstheme="minorHAnsi"/>
          <w:color w:val="auto"/>
          <w:sz w:val="22"/>
          <w:szCs w:val="22"/>
        </w:rPr>
        <w:t>he structural links between the two domains.</w:t>
      </w:r>
    </w:p>
    <w:p w14:paraId="0C42E053" w14:textId="77777777" w:rsidR="00E03741" w:rsidRPr="00556170" w:rsidRDefault="00E03741" w:rsidP="00E73104">
      <w:pPr>
        <w:jc w:val="both"/>
        <w:rPr>
          <w:rFonts w:asciiTheme="minorHAnsi" w:hAnsiTheme="minorHAnsi" w:cstheme="minorHAnsi"/>
          <w:sz w:val="22"/>
          <w:szCs w:val="22"/>
        </w:rPr>
      </w:pPr>
      <w:r w:rsidRPr="00556170">
        <w:rPr>
          <w:rFonts w:asciiTheme="minorHAnsi" w:hAnsiTheme="minorHAnsi" w:cstheme="minorHAnsi"/>
          <w:sz w:val="22"/>
          <w:szCs w:val="22"/>
        </w:rPr>
        <w:br w:type="page"/>
      </w:r>
    </w:p>
    <w:p w14:paraId="7CA47F94" w14:textId="77777777" w:rsidR="00E03741" w:rsidRPr="00556170" w:rsidRDefault="00E03741" w:rsidP="00E73104">
      <w:pPr>
        <w:pStyle w:val="Naslov1"/>
        <w:pBdr>
          <w:bottom w:val="single" w:sz="8" w:space="4" w:color="2E75B6"/>
        </w:pBdr>
        <w:spacing w:before="0" w:after="0"/>
        <w:jc w:val="both"/>
        <w:rPr>
          <w:rFonts w:asciiTheme="minorHAnsi" w:hAnsiTheme="minorHAnsi" w:cstheme="minorHAnsi"/>
          <w:sz w:val="22"/>
          <w:szCs w:val="22"/>
        </w:rPr>
      </w:pPr>
      <w:bookmarkStart w:id="45" w:name="_Toc224128628"/>
      <w:r w:rsidRPr="00556170">
        <w:rPr>
          <w:rFonts w:asciiTheme="minorHAnsi" w:eastAsia="Arial" w:hAnsiTheme="minorHAnsi" w:cstheme="minorHAnsi"/>
          <w:b/>
          <w:bCs/>
          <w:color w:val="1F4E79"/>
          <w:sz w:val="22"/>
          <w:szCs w:val="22"/>
        </w:rPr>
        <w:lastRenderedPageBreak/>
        <w:t>9</w:t>
      </w:r>
      <w:proofErr w:type="gramStart"/>
      <w:r w:rsidRPr="00556170">
        <w:rPr>
          <w:rFonts w:asciiTheme="minorHAnsi" w:eastAsia="Arial" w:hAnsiTheme="minorHAnsi" w:cstheme="minorHAnsi"/>
          <w:b/>
          <w:bCs/>
          <w:color w:val="1F4E79"/>
          <w:sz w:val="22"/>
          <w:szCs w:val="22"/>
        </w:rPr>
        <w:t>.  CONCLUSIONS</w:t>
      </w:r>
      <w:proofErr w:type="gramEnd"/>
      <w:r w:rsidRPr="00556170">
        <w:rPr>
          <w:rFonts w:asciiTheme="minorHAnsi" w:eastAsia="Arial" w:hAnsiTheme="minorHAnsi" w:cstheme="minorHAnsi"/>
          <w:b/>
          <w:bCs/>
          <w:color w:val="1F4E79"/>
          <w:sz w:val="22"/>
          <w:szCs w:val="22"/>
        </w:rPr>
        <w:t xml:space="preserve"> AND STRATEGIC RECOMMENDATIONS</w:t>
      </w:r>
      <w:bookmarkEnd w:id="45"/>
    </w:p>
    <w:p w14:paraId="4DBF5025" w14:textId="720C8B74" w:rsidR="00E03741" w:rsidRPr="00556170" w:rsidRDefault="00E03741" w:rsidP="00E73104">
      <w:pPr>
        <w:pStyle w:val="Naslov2"/>
        <w:spacing w:before="0" w:after="0"/>
        <w:jc w:val="both"/>
        <w:rPr>
          <w:rFonts w:asciiTheme="minorHAnsi" w:hAnsiTheme="minorHAnsi" w:cstheme="minorHAnsi"/>
          <w:sz w:val="22"/>
          <w:szCs w:val="22"/>
        </w:rPr>
      </w:pPr>
      <w:bookmarkStart w:id="46" w:name="_Toc224128629"/>
      <w:r w:rsidRPr="00556170">
        <w:rPr>
          <w:rFonts w:asciiTheme="minorHAnsi" w:eastAsia="Arial" w:hAnsiTheme="minorHAnsi" w:cstheme="minorHAnsi"/>
          <w:b/>
          <w:bCs/>
          <w:color w:val="2E75B6"/>
          <w:sz w:val="22"/>
          <w:szCs w:val="22"/>
        </w:rPr>
        <w:t>9.1 Concluding Assessment</w:t>
      </w:r>
      <w:bookmarkEnd w:id="46"/>
    </w:p>
    <w:p w14:paraId="3F726D30"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This regional comparative analysis confirms the central hypothesis stated in Section 1.4. That hypothesis proposed that despite progressive legal frameworks and shared EU integration commitments, systemic implementation gaps, fragmented governance structures, entrenched patriarchal norms, and data deficits collectively perpetuate gender disparities in the water sector. Each element is substantiated:</w:t>
      </w:r>
    </w:p>
    <w:p w14:paraId="7A86C5F4" w14:textId="77777777" w:rsidR="00CA1C97" w:rsidRPr="00CA1C97" w:rsidRDefault="00CA1C97" w:rsidP="00E73104">
      <w:pPr>
        <w:jc w:val="both"/>
        <w:rPr>
          <w:rFonts w:asciiTheme="minorHAnsi" w:hAnsiTheme="minorHAnsi" w:cstheme="minorHAnsi"/>
          <w:color w:val="auto"/>
          <w:sz w:val="22"/>
          <w:szCs w:val="22"/>
        </w:rPr>
      </w:pPr>
    </w:p>
    <w:p w14:paraId="23D3AACC" w14:textId="77777777" w:rsidR="00E03741" w:rsidRPr="00CA1C97"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CA1C97">
        <w:rPr>
          <w:rFonts w:asciiTheme="minorHAnsi" w:hAnsiTheme="minorHAnsi" w:cstheme="minorHAnsi"/>
          <w:b/>
          <w:bCs/>
          <w:color w:val="auto"/>
          <w:sz w:val="22"/>
          <w:szCs w:val="22"/>
        </w:rPr>
        <w:t xml:space="preserve">Legal frameworks, weak implementation: </w:t>
      </w:r>
      <w:r w:rsidRPr="00CA1C97">
        <w:rPr>
          <w:rFonts w:asciiTheme="minorHAnsi" w:hAnsiTheme="minorHAnsi" w:cstheme="minorHAnsi"/>
          <w:color w:val="auto"/>
          <w:sz w:val="22"/>
          <w:szCs w:val="22"/>
        </w:rPr>
        <w:t>All four countries have enacted gender equality legislation (Section 3.2). Yet enforcement is absent or inadequate across the region: Croatia has no legal sanctions for non-compliance; Albania lacks independent monitoring; BiH achieves 19.1% parliamentary representation despite a 40% quota; Montenegro implements only 26.8% of gender equality policy mandates. The de jure–de facto gap is the defining structural characteristic.</w:t>
      </w:r>
    </w:p>
    <w:p w14:paraId="0A4C1E38" w14:textId="77777777" w:rsidR="00E03741" w:rsidRPr="00A92C6D" w:rsidRDefault="00E03741" w:rsidP="00E73104">
      <w:pPr>
        <w:pStyle w:val="Pasussalistom"/>
        <w:numPr>
          <w:ilvl w:val="0"/>
          <w:numId w:val="2"/>
        </w:numPr>
        <w:contextualSpacing w:val="0"/>
        <w:jc w:val="both"/>
        <w:rPr>
          <w:rFonts w:asciiTheme="minorHAnsi" w:hAnsiTheme="minorHAnsi" w:cstheme="minorHAnsi"/>
          <w:color w:val="auto"/>
          <w:sz w:val="22"/>
          <w:szCs w:val="22"/>
          <w:lang w:val="en-GB"/>
        </w:rPr>
      </w:pPr>
      <w:r w:rsidRPr="00CA1C97">
        <w:rPr>
          <w:rFonts w:asciiTheme="minorHAnsi" w:hAnsiTheme="minorHAnsi" w:cstheme="minorHAnsi"/>
          <w:b/>
          <w:bCs/>
          <w:color w:val="auto"/>
          <w:sz w:val="22"/>
          <w:szCs w:val="22"/>
        </w:rPr>
        <w:t xml:space="preserve">Fragmented governance impeding mainstreaming: </w:t>
      </w:r>
      <w:r w:rsidRPr="00CA1C97">
        <w:rPr>
          <w:rFonts w:asciiTheme="minorHAnsi" w:hAnsiTheme="minorHAnsi" w:cstheme="minorHAnsi"/>
          <w:color w:val="auto"/>
          <w:sz w:val="22"/>
          <w:szCs w:val="22"/>
        </w:rPr>
        <w:t xml:space="preserve">BiH’s 142 utilities and dual-entity structure, Albania’s split-ministry model, and Montenegro’s tri-ministerial arrangement all prevent national gender policies from reaching the operational level (Section 3.3). </w:t>
      </w:r>
      <w:r w:rsidRPr="00A92C6D">
        <w:rPr>
          <w:rFonts w:asciiTheme="minorHAnsi" w:hAnsiTheme="minorHAnsi" w:cstheme="minorHAnsi"/>
          <w:color w:val="auto"/>
          <w:sz w:val="22"/>
          <w:szCs w:val="22"/>
          <w:lang w:val="en-GB"/>
        </w:rPr>
        <w:t>Only Croatia’s centralised structure enables consistent sector-wide application.</w:t>
      </w:r>
    </w:p>
    <w:p w14:paraId="252FF01C" w14:textId="77777777" w:rsidR="00E03741" w:rsidRPr="00CA1C97"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CA1C97">
        <w:rPr>
          <w:rFonts w:asciiTheme="minorHAnsi" w:hAnsiTheme="minorHAnsi" w:cstheme="minorHAnsi"/>
          <w:b/>
          <w:bCs/>
          <w:color w:val="auto"/>
          <w:sz w:val="22"/>
          <w:szCs w:val="22"/>
        </w:rPr>
        <w:t xml:space="preserve">Patriarchal norms driving segregation and time poverty: </w:t>
      </w:r>
      <w:r w:rsidRPr="00CA1C97">
        <w:rPr>
          <w:rFonts w:asciiTheme="minorHAnsi" w:hAnsiTheme="minorHAnsi" w:cstheme="minorHAnsi"/>
          <w:color w:val="auto"/>
          <w:sz w:val="22"/>
          <w:szCs w:val="22"/>
        </w:rPr>
        <w:t>Horizontal and vertical occupational segregation are documented in all four countries (Section 4.1.1). Unpaid care ratios of 6:1 in Albania, 2:1 in BiH, and approximately 3:1 in Croatia confirm disproportionate domestic burdens on women (Section 5.1). Montenegro’s finding that 60% of citizens prefer men to work while women manage the household (OHCHR, 2024) illustrates the cultural dimension of this barrier.</w:t>
      </w:r>
    </w:p>
    <w:p w14:paraId="3B1B2AA1" w14:textId="77777777" w:rsidR="00E03741" w:rsidRPr="00CA1C97"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CA1C97">
        <w:rPr>
          <w:rFonts w:asciiTheme="minorHAnsi" w:hAnsiTheme="minorHAnsi" w:cstheme="minorHAnsi"/>
          <w:b/>
          <w:bCs/>
          <w:color w:val="auto"/>
          <w:sz w:val="22"/>
          <w:szCs w:val="22"/>
        </w:rPr>
        <w:t xml:space="preserve">Data deficits preventing accountability: </w:t>
      </w:r>
      <w:r w:rsidRPr="00CA1C97">
        <w:rPr>
          <w:rFonts w:asciiTheme="minorHAnsi" w:hAnsiTheme="minorHAnsi" w:cstheme="minorHAnsi"/>
          <w:color w:val="auto"/>
          <w:sz w:val="22"/>
          <w:szCs w:val="22"/>
        </w:rPr>
        <w:t>Montenegro cannot report SDG Indicator 5.4.1; Albania’s time-use data is from 2010–2011; gender-disaggregated staffing, governance membership, and asset ownership data are inconsistently collected across all four countries (Section 7.2). These gaps make progress unverifiable.</w:t>
      </w:r>
    </w:p>
    <w:p w14:paraId="1C3F2EC5" w14:textId="77777777" w:rsidR="00E03741" w:rsidRPr="00CA1C97" w:rsidRDefault="00E03741" w:rsidP="00E73104">
      <w:pPr>
        <w:pStyle w:val="Pasussalistom"/>
        <w:numPr>
          <w:ilvl w:val="0"/>
          <w:numId w:val="2"/>
        </w:numPr>
        <w:contextualSpacing w:val="0"/>
        <w:jc w:val="both"/>
        <w:rPr>
          <w:rFonts w:asciiTheme="minorHAnsi" w:hAnsiTheme="minorHAnsi" w:cstheme="minorHAnsi"/>
          <w:color w:val="auto"/>
          <w:sz w:val="22"/>
          <w:szCs w:val="22"/>
        </w:rPr>
      </w:pPr>
      <w:r w:rsidRPr="00CA1C97">
        <w:rPr>
          <w:rFonts w:asciiTheme="minorHAnsi" w:hAnsiTheme="minorHAnsi" w:cstheme="minorHAnsi"/>
          <w:b/>
          <w:bCs/>
          <w:color w:val="auto"/>
          <w:sz w:val="22"/>
          <w:szCs w:val="22"/>
        </w:rPr>
        <w:t xml:space="preserve">Disproportionate rural and vulnerable community impacts: </w:t>
      </w:r>
      <w:r w:rsidRPr="00CA1C97">
        <w:rPr>
          <w:rFonts w:asciiTheme="minorHAnsi" w:hAnsiTheme="minorHAnsi" w:cstheme="minorHAnsi"/>
          <w:color w:val="auto"/>
          <w:sz w:val="22"/>
          <w:szCs w:val="22"/>
        </w:rPr>
        <w:t>Women in rural Albania and BiH face the most acute water collection burdens; Roma women experience compounded exclusion in BiH and Montenegro; women in northern Montenegro face significantly greater employment barriers than those in the south (Section 7.3). These findings confirm the hypothesis’ emphasis on rural and vulnerable populations.</w:t>
      </w:r>
    </w:p>
    <w:p w14:paraId="3EF1EB99" w14:textId="77777777" w:rsidR="00E03741" w:rsidRPr="00CA1C97" w:rsidRDefault="00E03741" w:rsidP="00E73104">
      <w:pPr>
        <w:jc w:val="both"/>
        <w:rPr>
          <w:rFonts w:asciiTheme="minorHAnsi" w:hAnsiTheme="minorHAnsi" w:cstheme="minorHAnsi"/>
          <w:color w:val="auto"/>
          <w:sz w:val="22"/>
          <w:szCs w:val="22"/>
        </w:rPr>
      </w:pPr>
    </w:p>
    <w:p w14:paraId="61E8109D" w14:textId="77777777" w:rsidR="00E03741"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 xml:space="preserve">Three core structural barriers </w:t>
      </w:r>
      <w:proofErr w:type="gramStart"/>
      <w:r w:rsidRPr="00CA1C97">
        <w:rPr>
          <w:rFonts w:asciiTheme="minorHAnsi" w:hAnsiTheme="minorHAnsi" w:cstheme="minorHAnsi"/>
          <w:color w:val="auto"/>
          <w:sz w:val="22"/>
          <w:szCs w:val="22"/>
        </w:rPr>
        <w:t>underlie</w:t>
      </w:r>
      <w:proofErr w:type="gramEnd"/>
      <w:r w:rsidRPr="00CA1C97">
        <w:rPr>
          <w:rFonts w:asciiTheme="minorHAnsi" w:hAnsiTheme="minorHAnsi" w:cstheme="minorHAnsi"/>
          <w:color w:val="auto"/>
          <w:sz w:val="22"/>
          <w:szCs w:val="22"/>
        </w:rPr>
        <w:t xml:space="preserve"> all five observations: institutional fragmentation and insufficient governance capacity; deeply ingrained traditional gender norms; and pervasive data deficits. Section 8 adds a further dimension: the water–GBV–climate nexus is a structurally significant risk multiplier that the existing literature and policy frameworks have not yet adequately addressed in this region. Bosnia and Herzegovina faces the most acute compound risk, combining the highest climate vulnerability (ND-GAIN Rank 82), the highest documented GBV prevalence (approximately 48%; OSCE, 2019), and the lowest female parliamentary representation (19.1%; Equal Future Eurasia, 2024).</w:t>
      </w:r>
    </w:p>
    <w:p w14:paraId="06E14102" w14:textId="77777777" w:rsidR="00CA1C97" w:rsidRPr="00CA1C97" w:rsidRDefault="00CA1C97" w:rsidP="00E73104">
      <w:pPr>
        <w:jc w:val="both"/>
        <w:rPr>
          <w:rFonts w:asciiTheme="minorHAnsi" w:hAnsiTheme="minorHAnsi" w:cstheme="minorHAnsi"/>
          <w:color w:val="auto"/>
          <w:sz w:val="22"/>
          <w:szCs w:val="22"/>
        </w:rPr>
      </w:pPr>
    </w:p>
    <w:p w14:paraId="1ED2548B" w14:textId="0DE9ADA7" w:rsidR="00E03741" w:rsidRPr="00556170" w:rsidRDefault="00E03741" w:rsidP="00E73104">
      <w:pPr>
        <w:pStyle w:val="Naslov2"/>
        <w:spacing w:before="0" w:after="0"/>
        <w:jc w:val="both"/>
        <w:rPr>
          <w:rFonts w:asciiTheme="minorHAnsi" w:hAnsiTheme="minorHAnsi" w:cstheme="minorHAnsi"/>
          <w:sz w:val="22"/>
          <w:szCs w:val="22"/>
        </w:rPr>
      </w:pPr>
      <w:bookmarkStart w:id="47" w:name="_Toc224128630"/>
      <w:r w:rsidRPr="00556170">
        <w:rPr>
          <w:rFonts w:asciiTheme="minorHAnsi" w:eastAsia="Arial" w:hAnsiTheme="minorHAnsi" w:cstheme="minorHAnsi"/>
          <w:b/>
          <w:bCs/>
          <w:color w:val="2E75B6"/>
          <w:sz w:val="22"/>
          <w:szCs w:val="22"/>
        </w:rPr>
        <w:t>9.2 Strategic Recommendations for Regional Action</w:t>
      </w:r>
      <w:bookmarkEnd w:id="47"/>
    </w:p>
    <w:p w14:paraId="0602157E" w14:textId="77777777" w:rsidR="00E03741" w:rsidRPr="00AF3363" w:rsidRDefault="00E03741" w:rsidP="00AF3363">
      <w:pPr>
        <w:pStyle w:val="Naslov4"/>
      </w:pPr>
      <w:r w:rsidRPr="00AF3363">
        <w:t>Table 9: Regional Strategic Recommendations Matrix</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790"/>
        <w:gridCol w:w="1790"/>
        <w:gridCol w:w="1790"/>
        <w:gridCol w:w="1790"/>
      </w:tblGrid>
      <w:tr w:rsidR="00CA1C97" w:rsidRPr="00CA1C97" w14:paraId="1F68D741" w14:textId="77777777" w:rsidTr="003B022E">
        <w:trPr>
          <w:tblHeader/>
        </w:trPr>
        <w:tc>
          <w:tcPr>
            <w:tcW w:w="220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18FF30B5" w14:textId="77777777" w:rsidR="00E03741" w:rsidRPr="00C2129B" w:rsidRDefault="00E03741" w:rsidP="00E73104">
            <w:pPr>
              <w:jc w:val="both"/>
              <w:rPr>
                <w:rFonts w:asciiTheme="minorHAnsi" w:hAnsiTheme="minorHAnsi" w:cstheme="minorHAnsi"/>
                <w:color w:val="FFFFFF" w:themeColor="background1"/>
                <w:sz w:val="22"/>
                <w:szCs w:val="22"/>
              </w:rPr>
            </w:pPr>
            <w:r w:rsidRPr="00C2129B">
              <w:rPr>
                <w:rFonts w:asciiTheme="minorHAnsi" w:hAnsiTheme="minorHAnsi" w:cstheme="minorHAnsi"/>
                <w:b/>
                <w:bCs/>
                <w:color w:val="FFFFFF" w:themeColor="background1"/>
                <w:sz w:val="22"/>
                <w:szCs w:val="22"/>
              </w:rPr>
              <w:t>Priority Area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10FC507F" w14:textId="77777777" w:rsidR="00E03741" w:rsidRPr="00C2129B" w:rsidRDefault="00E03741" w:rsidP="00E73104">
            <w:pPr>
              <w:jc w:val="both"/>
              <w:rPr>
                <w:rFonts w:asciiTheme="minorHAnsi" w:hAnsiTheme="minorHAnsi" w:cstheme="minorHAnsi"/>
                <w:color w:val="FFFFFF" w:themeColor="background1"/>
                <w:sz w:val="22"/>
                <w:szCs w:val="22"/>
              </w:rPr>
            </w:pPr>
            <w:r w:rsidRPr="00C2129B">
              <w:rPr>
                <w:rFonts w:asciiTheme="minorHAnsi" w:hAnsiTheme="minorHAnsi" w:cstheme="minorHAnsi"/>
                <w:b/>
                <w:bCs/>
                <w:color w:val="FFFFFF" w:themeColor="background1"/>
                <w:sz w:val="22"/>
                <w:szCs w:val="22"/>
              </w:rPr>
              <w:t>Albania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3AA8C937" w14:textId="77777777" w:rsidR="00E03741" w:rsidRPr="00C2129B" w:rsidRDefault="00E03741" w:rsidP="00E73104">
            <w:pPr>
              <w:jc w:val="both"/>
              <w:rPr>
                <w:rFonts w:asciiTheme="minorHAnsi" w:hAnsiTheme="minorHAnsi" w:cstheme="minorHAnsi"/>
                <w:color w:val="FFFFFF" w:themeColor="background1"/>
                <w:sz w:val="22"/>
                <w:szCs w:val="22"/>
              </w:rPr>
            </w:pPr>
            <w:r w:rsidRPr="00C2129B">
              <w:rPr>
                <w:rFonts w:asciiTheme="minorHAnsi" w:hAnsiTheme="minorHAnsi" w:cstheme="minorHAnsi"/>
                <w:b/>
                <w:bCs/>
                <w:color w:val="FFFFFF" w:themeColor="background1"/>
                <w:sz w:val="22"/>
                <w:szCs w:val="22"/>
              </w:rPr>
              <w:t>Bosnia &amp; Herz.</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783C1BD8" w14:textId="77777777" w:rsidR="00E03741" w:rsidRPr="00C2129B" w:rsidRDefault="00E03741" w:rsidP="00E73104">
            <w:pPr>
              <w:jc w:val="both"/>
              <w:rPr>
                <w:rFonts w:asciiTheme="minorHAnsi" w:hAnsiTheme="minorHAnsi" w:cstheme="minorHAnsi"/>
                <w:color w:val="FFFFFF" w:themeColor="background1"/>
                <w:sz w:val="22"/>
                <w:szCs w:val="22"/>
              </w:rPr>
            </w:pPr>
            <w:r w:rsidRPr="00C2129B">
              <w:rPr>
                <w:rFonts w:asciiTheme="minorHAnsi" w:hAnsiTheme="minorHAnsi" w:cstheme="minorHAnsi"/>
                <w:b/>
                <w:bCs/>
                <w:color w:val="FFFFFF" w:themeColor="background1"/>
                <w:sz w:val="22"/>
                <w:szCs w:val="22"/>
              </w:rPr>
              <w:t>Croatia</w:t>
            </w:r>
          </w:p>
        </w:tc>
        <w:tc>
          <w:tcPr>
            <w:tcW w:w="179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350517A5" w14:textId="77777777" w:rsidR="00E03741" w:rsidRPr="00C2129B" w:rsidRDefault="00E03741" w:rsidP="00E73104">
            <w:pPr>
              <w:jc w:val="both"/>
              <w:rPr>
                <w:rFonts w:asciiTheme="minorHAnsi" w:hAnsiTheme="minorHAnsi" w:cstheme="minorHAnsi"/>
                <w:color w:val="FFFFFF" w:themeColor="background1"/>
                <w:sz w:val="22"/>
                <w:szCs w:val="22"/>
              </w:rPr>
            </w:pPr>
            <w:r w:rsidRPr="00C2129B">
              <w:rPr>
                <w:rFonts w:asciiTheme="minorHAnsi" w:hAnsiTheme="minorHAnsi" w:cstheme="minorHAnsi"/>
                <w:b/>
                <w:bCs/>
                <w:color w:val="FFFFFF" w:themeColor="background1"/>
                <w:sz w:val="22"/>
                <w:szCs w:val="22"/>
              </w:rPr>
              <w:t>Montenegro</w:t>
            </w:r>
          </w:p>
        </w:tc>
      </w:tr>
      <w:tr w:rsidR="00CA1C97" w:rsidRPr="00CA1C97" w14:paraId="75892946"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416A8F0" w14:textId="77777777" w:rsidR="00E03741" w:rsidRPr="00294D37" w:rsidRDefault="00E03741" w:rsidP="00E73104">
            <w:pPr>
              <w:jc w:val="both"/>
              <w:rPr>
                <w:rFonts w:asciiTheme="minorHAnsi" w:hAnsiTheme="minorHAnsi" w:cstheme="minorHAnsi"/>
                <w:b/>
                <w:bCs/>
                <w:color w:val="auto"/>
                <w:sz w:val="22"/>
                <w:szCs w:val="22"/>
              </w:rPr>
            </w:pPr>
            <w:r w:rsidRPr="00294D37">
              <w:rPr>
                <w:rFonts w:asciiTheme="minorHAnsi" w:hAnsiTheme="minorHAnsi" w:cstheme="minorHAnsi"/>
                <w:b/>
                <w:bCs/>
                <w:color w:val="auto"/>
                <w:sz w:val="22"/>
                <w:szCs w:val="22"/>
              </w:rPr>
              <w:t>Data Systems</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45BCE3D"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Update TUS (last: 2011; INSTAT); establish water sector collection</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103C5D7"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 xml:space="preserve">Mandate &amp; enforce; harmonize </w:t>
            </w:r>
            <w:r w:rsidRPr="00CA1C97">
              <w:rPr>
                <w:rFonts w:asciiTheme="minorHAnsi" w:hAnsiTheme="minorHAnsi" w:cstheme="minorHAnsi"/>
                <w:color w:val="auto"/>
                <w:sz w:val="22"/>
                <w:szCs w:val="22"/>
              </w:rPr>
              <w:lastRenderedPageBreak/>
              <w:t>across entities (BHAS)</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8C98E1D"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lastRenderedPageBreak/>
              <w:t>Expand operational data beyond staffing (EIGE rec.)</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75DD38A"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 xml:space="preserve">Commission first national TUS; strengthen </w:t>
            </w:r>
            <w:r w:rsidRPr="00CA1C97">
              <w:rPr>
                <w:rFonts w:asciiTheme="minorHAnsi" w:hAnsiTheme="minorHAnsi" w:cstheme="minorHAnsi"/>
                <w:color w:val="auto"/>
                <w:sz w:val="22"/>
                <w:szCs w:val="22"/>
              </w:rPr>
              <w:lastRenderedPageBreak/>
              <w:t>MONSTAT capacity</w:t>
            </w:r>
          </w:p>
        </w:tc>
      </w:tr>
      <w:tr w:rsidR="00CA1C97" w:rsidRPr="00CA1C97" w14:paraId="72D8918F"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A0161F6" w14:textId="77777777" w:rsidR="00E03741" w:rsidRPr="00F40EC8" w:rsidRDefault="00E03741" w:rsidP="00E73104">
            <w:pPr>
              <w:jc w:val="both"/>
              <w:rPr>
                <w:rFonts w:asciiTheme="minorHAnsi" w:hAnsiTheme="minorHAnsi" w:cstheme="minorHAnsi"/>
                <w:b/>
                <w:bCs/>
                <w:color w:val="auto"/>
                <w:sz w:val="22"/>
                <w:szCs w:val="22"/>
              </w:rPr>
            </w:pPr>
            <w:r w:rsidRPr="00F40EC8">
              <w:rPr>
                <w:rFonts w:asciiTheme="minorHAnsi" w:hAnsiTheme="minorHAnsi" w:cstheme="minorHAnsi"/>
                <w:b/>
                <w:bCs/>
                <w:color w:val="auto"/>
                <w:sz w:val="22"/>
                <w:szCs w:val="22"/>
              </w:rPr>
              <w:lastRenderedPageBreak/>
              <w:t>Capacity Building</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217D3D7"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Train GEE officials and utility staff (EC, 2025 rec.)</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7269ECC"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Address fragmentation; build inter-entity coordination</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5FA6BAB8"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Continue leadership progress; institutionalize gender roles</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A56110B"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Build institutional capacity across 3 ministries</w:t>
            </w:r>
          </w:p>
        </w:tc>
      </w:tr>
      <w:tr w:rsidR="00CA1C97" w:rsidRPr="00CA1C97" w14:paraId="51A48FDD"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9550E7C" w14:textId="77777777" w:rsidR="00E03741" w:rsidRPr="00F40EC8" w:rsidRDefault="00E03741" w:rsidP="00E73104">
            <w:pPr>
              <w:jc w:val="both"/>
              <w:rPr>
                <w:rFonts w:asciiTheme="minorHAnsi" w:hAnsiTheme="minorHAnsi" w:cstheme="minorHAnsi"/>
                <w:b/>
                <w:bCs/>
                <w:color w:val="auto"/>
                <w:sz w:val="22"/>
                <w:szCs w:val="22"/>
              </w:rPr>
            </w:pPr>
            <w:r w:rsidRPr="00F40EC8">
              <w:rPr>
                <w:rFonts w:asciiTheme="minorHAnsi" w:hAnsiTheme="minorHAnsi" w:cstheme="minorHAnsi"/>
                <w:b/>
                <w:bCs/>
                <w:color w:val="auto"/>
                <w:sz w:val="22"/>
                <w:szCs w:val="22"/>
              </w:rPr>
              <w:t>Infrastructure</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4F19AED8"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Expand rural water access (20% gap; JMP, 2022)</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75581CA"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Expand safe water access (46%; JMP, 2022)</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660FCC0"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Maintain EU standards; address climate exposure</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1CD077A"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Expand rural and Roma community coverage</w:t>
            </w:r>
          </w:p>
        </w:tc>
      </w:tr>
      <w:tr w:rsidR="00CA1C97" w:rsidRPr="00CA1C97" w14:paraId="1734C4EF"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12FE222" w14:textId="77777777" w:rsidR="00E03741" w:rsidRPr="00F40EC8" w:rsidRDefault="00E03741" w:rsidP="00E73104">
            <w:pPr>
              <w:jc w:val="both"/>
              <w:rPr>
                <w:rFonts w:asciiTheme="minorHAnsi" w:hAnsiTheme="minorHAnsi" w:cstheme="minorHAnsi"/>
                <w:b/>
                <w:bCs/>
                <w:color w:val="auto"/>
                <w:sz w:val="22"/>
                <w:szCs w:val="22"/>
              </w:rPr>
            </w:pPr>
            <w:r w:rsidRPr="00F40EC8">
              <w:rPr>
                <w:rFonts w:asciiTheme="minorHAnsi" w:hAnsiTheme="minorHAnsi" w:cstheme="minorHAnsi"/>
                <w:b/>
                <w:bCs/>
                <w:color w:val="auto"/>
                <w:sz w:val="22"/>
                <w:szCs w:val="22"/>
              </w:rPr>
              <w:t>Employment</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5030BD2"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Promote women in technical utility roles (Water Sector Assessment, 2021)</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0E9261F"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Challenge engineering-sector norms</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7B683AE4"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Address 0% director gap (Croatian Waters, 2025)</w:t>
            </w:r>
          </w:p>
        </w:tc>
        <w:tc>
          <w:tcPr>
            <w:tcW w:w="179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68A82F8B"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Increase from under 20% to 30%+ (World Bank, 2019 rec.)</w:t>
            </w:r>
          </w:p>
        </w:tc>
      </w:tr>
      <w:tr w:rsidR="00CA1C97" w:rsidRPr="00CA1C97" w14:paraId="5AA1DC98" w14:textId="77777777" w:rsidTr="003B022E">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E73CBB4" w14:textId="77777777" w:rsidR="00E03741" w:rsidRPr="00F40EC8" w:rsidRDefault="00E03741" w:rsidP="00E73104">
            <w:pPr>
              <w:jc w:val="both"/>
              <w:rPr>
                <w:rFonts w:asciiTheme="minorHAnsi" w:hAnsiTheme="minorHAnsi" w:cstheme="minorHAnsi"/>
                <w:b/>
                <w:bCs/>
                <w:color w:val="auto"/>
                <w:sz w:val="22"/>
                <w:szCs w:val="22"/>
              </w:rPr>
            </w:pPr>
            <w:r w:rsidRPr="00F40EC8">
              <w:rPr>
                <w:rFonts w:asciiTheme="minorHAnsi" w:hAnsiTheme="minorHAnsi" w:cstheme="minorHAnsi"/>
                <w:b/>
                <w:bCs/>
                <w:color w:val="auto"/>
                <w:sz w:val="22"/>
                <w:szCs w:val="22"/>
              </w:rPr>
              <w:t>GBV / Climate</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B5AB227"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Safety audits; primary research on water–GBV nexus</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01713C04"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Post-conflict integration; GBV disaggregated by water access</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018219E"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Climate-responsive planning; femicide law enforcement</w:t>
            </w:r>
          </w:p>
        </w:tc>
        <w:tc>
          <w:tcPr>
            <w:tcW w:w="179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8CEA521" w14:textId="77777777" w:rsidR="00E03741" w:rsidRPr="00CA1C97" w:rsidRDefault="00E03741" w:rsidP="00E73104">
            <w:pPr>
              <w:jc w:val="both"/>
              <w:rPr>
                <w:rFonts w:asciiTheme="minorHAnsi" w:hAnsiTheme="minorHAnsi" w:cstheme="minorHAnsi"/>
                <w:color w:val="auto"/>
                <w:sz w:val="22"/>
                <w:szCs w:val="22"/>
              </w:rPr>
            </w:pPr>
            <w:r w:rsidRPr="00CA1C97">
              <w:rPr>
                <w:rFonts w:asciiTheme="minorHAnsi" w:hAnsiTheme="minorHAnsi" w:cstheme="minorHAnsi"/>
                <w:color w:val="auto"/>
                <w:sz w:val="22"/>
                <w:szCs w:val="22"/>
              </w:rPr>
              <w:t>Regional baselines; commission national GBV survey</w:t>
            </w:r>
          </w:p>
        </w:tc>
      </w:tr>
    </w:tbl>
    <w:p w14:paraId="16E2351D" w14:textId="77777777" w:rsidR="00CA1C97" w:rsidRDefault="00CA1C97" w:rsidP="00CA1C97"/>
    <w:p w14:paraId="0E98ABDB" w14:textId="7136EE94" w:rsidR="00E03741" w:rsidRPr="00CA1C97" w:rsidRDefault="00E03741" w:rsidP="00E73104">
      <w:pPr>
        <w:pStyle w:val="Naslov3"/>
        <w:spacing w:before="0" w:after="0"/>
        <w:jc w:val="both"/>
        <w:rPr>
          <w:rFonts w:asciiTheme="minorHAnsi" w:hAnsiTheme="minorHAnsi" w:cstheme="minorHAnsi"/>
          <w:color w:val="4472C4" w:themeColor="accent1"/>
          <w:sz w:val="22"/>
          <w:szCs w:val="22"/>
        </w:rPr>
      </w:pPr>
      <w:bookmarkStart w:id="48" w:name="_Toc224128631"/>
      <w:r w:rsidRPr="00CA1C97">
        <w:rPr>
          <w:rFonts w:asciiTheme="minorHAnsi" w:eastAsia="Arial" w:hAnsiTheme="minorHAnsi" w:cstheme="minorHAnsi"/>
          <w:b/>
          <w:bCs/>
          <w:color w:val="4472C4" w:themeColor="accent1"/>
          <w:sz w:val="22"/>
          <w:szCs w:val="22"/>
        </w:rPr>
        <w:t>9.2.1 Cross-Cutting Regional Recommendations</w:t>
      </w:r>
      <w:bookmarkEnd w:id="48"/>
    </w:p>
    <w:p w14:paraId="1205B4F9" w14:textId="77777777" w:rsidR="00E03741" w:rsidRPr="00CA1C97" w:rsidRDefault="00E03741" w:rsidP="00E73104">
      <w:pPr>
        <w:jc w:val="both"/>
        <w:rPr>
          <w:rFonts w:asciiTheme="minorHAnsi" w:hAnsiTheme="minorHAnsi" w:cstheme="minorHAnsi"/>
          <w:color w:val="000000" w:themeColor="text1"/>
          <w:sz w:val="22"/>
          <w:szCs w:val="22"/>
        </w:rPr>
      </w:pPr>
      <w:r w:rsidRPr="00CA1C97">
        <w:rPr>
          <w:rFonts w:asciiTheme="minorHAnsi" w:hAnsiTheme="minorHAnsi" w:cstheme="minorHAnsi"/>
          <w:color w:val="000000" w:themeColor="text1"/>
          <w:sz w:val="22"/>
          <w:szCs w:val="22"/>
        </w:rPr>
        <w:t>The following five recommendations apply across all four countries and warrant coordinated regional implementation:</w:t>
      </w:r>
    </w:p>
    <w:p w14:paraId="0B4253EC" w14:textId="77777777" w:rsidR="00CA1C97" w:rsidRPr="00CA1C97" w:rsidRDefault="00CA1C97" w:rsidP="00E73104">
      <w:pPr>
        <w:jc w:val="both"/>
        <w:rPr>
          <w:rFonts w:asciiTheme="minorHAnsi" w:hAnsiTheme="minorHAnsi" w:cstheme="minorHAnsi"/>
          <w:color w:val="000000" w:themeColor="text1"/>
          <w:sz w:val="22"/>
          <w:szCs w:val="22"/>
        </w:rPr>
      </w:pPr>
    </w:p>
    <w:p w14:paraId="7FFC61B6" w14:textId="77777777" w:rsidR="00E03741" w:rsidRPr="00A92C6D"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lang w:val="en-GB"/>
        </w:rPr>
      </w:pPr>
      <w:r w:rsidRPr="00CA1C97">
        <w:rPr>
          <w:rFonts w:asciiTheme="minorHAnsi" w:hAnsiTheme="minorHAnsi" w:cstheme="minorHAnsi"/>
          <w:b/>
          <w:bCs/>
          <w:color w:val="000000" w:themeColor="text1"/>
          <w:sz w:val="22"/>
          <w:szCs w:val="22"/>
        </w:rPr>
        <w:t xml:space="preserve">1. </w:t>
      </w:r>
      <w:r w:rsidRPr="00A92C6D">
        <w:rPr>
          <w:rFonts w:asciiTheme="minorHAnsi" w:hAnsiTheme="minorHAnsi" w:cstheme="minorHAnsi"/>
          <w:b/>
          <w:bCs/>
          <w:color w:val="000000" w:themeColor="text1"/>
          <w:sz w:val="22"/>
          <w:szCs w:val="22"/>
          <w:lang w:val="en-GB"/>
        </w:rPr>
        <w:t xml:space="preserve">Harmonised data collection standards: </w:t>
      </w:r>
      <w:r w:rsidRPr="00A92C6D">
        <w:rPr>
          <w:rFonts w:asciiTheme="minorHAnsi" w:hAnsiTheme="minorHAnsi" w:cstheme="minorHAnsi"/>
          <w:color w:val="000000" w:themeColor="text1"/>
          <w:sz w:val="22"/>
          <w:szCs w:val="22"/>
          <w:lang w:val="en-GB"/>
        </w:rPr>
        <w:t>Develop and implement sex-disaggregated data standards across the region to enable meaningful cross-country comparison and regional monitoring. Standards should encompass water sector employment, time-use burdens, service access, asset ownership, and governance participation. The UNESCO-WWAP toolkit on sex-disaggregated water data provides a reference framework (UNESCO/WWAP, 2024).</w:t>
      </w:r>
    </w:p>
    <w:p w14:paraId="103D783C" w14:textId="77777777" w:rsidR="00E03741" w:rsidRPr="00A92C6D"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lang w:val="en-GB"/>
        </w:rPr>
      </w:pPr>
      <w:r w:rsidRPr="00A92C6D">
        <w:rPr>
          <w:rFonts w:asciiTheme="minorHAnsi" w:hAnsiTheme="minorHAnsi" w:cstheme="minorHAnsi"/>
          <w:b/>
          <w:bCs/>
          <w:color w:val="000000" w:themeColor="text1"/>
          <w:sz w:val="22"/>
          <w:szCs w:val="22"/>
          <w:lang w:val="en-GB"/>
        </w:rPr>
        <w:t xml:space="preserve">2. Regional knowledge sharing mechanisms: </w:t>
      </w:r>
      <w:r w:rsidRPr="00A92C6D">
        <w:rPr>
          <w:rFonts w:asciiTheme="minorHAnsi" w:hAnsiTheme="minorHAnsi" w:cstheme="minorHAnsi"/>
          <w:color w:val="000000" w:themeColor="text1"/>
          <w:sz w:val="22"/>
          <w:szCs w:val="22"/>
          <w:lang w:val="en-GB"/>
        </w:rPr>
        <w:t>Establish regular regional forums, a shared online platform, and cross-country learning visits focused on women’s employment in water utilities, community-level governance participation, and GBV-water integration.</w:t>
      </w:r>
    </w:p>
    <w:p w14:paraId="213A45AE" w14:textId="77777777" w:rsidR="00E03741" w:rsidRPr="00A92C6D"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lang w:val="en-GB"/>
        </w:rPr>
      </w:pPr>
      <w:r w:rsidRPr="00A92C6D">
        <w:rPr>
          <w:rFonts w:asciiTheme="minorHAnsi" w:hAnsiTheme="minorHAnsi" w:cstheme="minorHAnsi"/>
          <w:b/>
          <w:bCs/>
          <w:color w:val="000000" w:themeColor="text1"/>
          <w:sz w:val="22"/>
          <w:szCs w:val="22"/>
          <w:lang w:val="en-GB"/>
        </w:rPr>
        <w:t xml:space="preserve">3. Coordinated capacity building: </w:t>
      </w:r>
      <w:r w:rsidRPr="00A92C6D">
        <w:rPr>
          <w:rFonts w:asciiTheme="minorHAnsi" w:hAnsiTheme="minorHAnsi" w:cstheme="minorHAnsi"/>
          <w:color w:val="000000" w:themeColor="text1"/>
          <w:sz w:val="22"/>
          <w:szCs w:val="22"/>
          <w:lang w:val="en-GB"/>
        </w:rPr>
        <w:t>Develop programmes to address common skills gaps including gender analysis and mainstreaming, gender-responsive budgeting, sex-disaggregated data collection and analysis, and inclusive consultation methodologies. Programmes should target both national institutions and local water governance bodies.</w:t>
      </w:r>
    </w:p>
    <w:p w14:paraId="538FDA4F" w14:textId="77777777" w:rsidR="00E03741" w:rsidRPr="00A92C6D"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lang w:val="en-GB"/>
        </w:rPr>
      </w:pPr>
      <w:r w:rsidRPr="00A92C6D">
        <w:rPr>
          <w:rFonts w:asciiTheme="minorHAnsi" w:hAnsiTheme="minorHAnsi" w:cstheme="minorHAnsi"/>
          <w:b/>
          <w:bCs/>
          <w:color w:val="000000" w:themeColor="text1"/>
          <w:sz w:val="22"/>
          <w:szCs w:val="22"/>
          <w:lang w:val="en-GB"/>
        </w:rPr>
        <w:t xml:space="preserve">4. Joint monitoring and evaluation: </w:t>
      </w:r>
      <w:r w:rsidRPr="00A92C6D">
        <w:rPr>
          <w:rFonts w:asciiTheme="minorHAnsi" w:hAnsiTheme="minorHAnsi" w:cstheme="minorHAnsi"/>
          <w:color w:val="000000" w:themeColor="text1"/>
          <w:sz w:val="22"/>
          <w:szCs w:val="22"/>
          <w:lang w:val="en-GB"/>
        </w:rPr>
        <w:t>Establish frameworks to track regional progress toward gender equality in water governance, including harmonised indicators aligned with SDG 5 and SDG 6, regular reporting mechanisms, and accountability structures enabling mutual learning and peer support.</w:t>
      </w:r>
    </w:p>
    <w:p w14:paraId="50B6E815" w14:textId="77777777" w:rsidR="00E03741" w:rsidRPr="00A92C6D"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lang w:val="en-GB"/>
        </w:rPr>
      </w:pPr>
      <w:r w:rsidRPr="00CA1C97">
        <w:rPr>
          <w:rFonts w:asciiTheme="minorHAnsi" w:hAnsiTheme="minorHAnsi" w:cstheme="minorHAnsi"/>
          <w:b/>
          <w:bCs/>
          <w:color w:val="000000" w:themeColor="text1"/>
          <w:sz w:val="22"/>
          <w:szCs w:val="22"/>
        </w:rPr>
        <w:lastRenderedPageBreak/>
        <w:t>5. Water–GBV–climate integration</w:t>
      </w:r>
      <w:r w:rsidRPr="00A92C6D">
        <w:rPr>
          <w:rFonts w:asciiTheme="minorHAnsi" w:hAnsiTheme="minorHAnsi" w:cstheme="minorHAnsi"/>
          <w:b/>
          <w:bCs/>
          <w:color w:val="000000" w:themeColor="text1"/>
          <w:sz w:val="22"/>
          <w:szCs w:val="22"/>
          <w:lang w:val="en-GB"/>
        </w:rPr>
        <w:t xml:space="preserve">: </w:t>
      </w:r>
      <w:r w:rsidRPr="00A92C6D">
        <w:rPr>
          <w:rFonts w:asciiTheme="minorHAnsi" w:hAnsiTheme="minorHAnsi" w:cstheme="minorHAnsi"/>
          <w:color w:val="000000" w:themeColor="text1"/>
          <w:sz w:val="22"/>
          <w:szCs w:val="22"/>
          <w:lang w:val="en-GB"/>
        </w:rPr>
        <w:t>Incorporate GBV risk assessment and climate vulnerability analysis into regional water governance frameworks, prioritising countries with the highest compound risk (particularly Bosnia and Herzegovina and Albania), as detailed in Section 8.</w:t>
      </w:r>
    </w:p>
    <w:p w14:paraId="0F3C5D5A" w14:textId="77777777" w:rsidR="00CA1C97" w:rsidRPr="00A92C6D" w:rsidRDefault="00CA1C97" w:rsidP="00CA1C97">
      <w:pPr>
        <w:pStyle w:val="Pasussalistom"/>
        <w:ind w:left="540"/>
        <w:contextualSpacing w:val="0"/>
        <w:jc w:val="both"/>
        <w:rPr>
          <w:rFonts w:asciiTheme="minorHAnsi" w:hAnsiTheme="minorHAnsi" w:cstheme="minorHAnsi"/>
          <w:color w:val="000000" w:themeColor="text1"/>
          <w:sz w:val="22"/>
          <w:szCs w:val="22"/>
          <w:lang w:val="en-GB"/>
        </w:rPr>
      </w:pPr>
    </w:p>
    <w:p w14:paraId="13F2503D" w14:textId="072C21DE" w:rsidR="00E03741" w:rsidRPr="00CA1C97" w:rsidRDefault="00E03741" w:rsidP="00E73104">
      <w:pPr>
        <w:pStyle w:val="Naslov3"/>
        <w:spacing w:before="0" w:after="0"/>
        <w:jc w:val="both"/>
        <w:rPr>
          <w:rFonts w:asciiTheme="minorHAnsi" w:hAnsiTheme="minorHAnsi" w:cstheme="minorHAnsi"/>
          <w:color w:val="4472C4" w:themeColor="accent1"/>
          <w:sz w:val="22"/>
          <w:szCs w:val="22"/>
        </w:rPr>
      </w:pPr>
      <w:bookmarkStart w:id="49" w:name="_Toc224128632"/>
      <w:r w:rsidRPr="00CA1C97">
        <w:rPr>
          <w:rFonts w:asciiTheme="minorHAnsi" w:eastAsia="Arial" w:hAnsiTheme="minorHAnsi" w:cstheme="minorHAnsi"/>
          <w:b/>
          <w:bCs/>
          <w:color w:val="4472C4" w:themeColor="accent1"/>
          <w:sz w:val="22"/>
          <w:szCs w:val="22"/>
        </w:rPr>
        <w:t>9.2.2 Country-Specific Recommendations</w:t>
      </w:r>
      <w:bookmarkEnd w:id="49"/>
    </w:p>
    <w:p w14:paraId="623D63FD" w14:textId="77777777" w:rsidR="000A533E" w:rsidRDefault="00E03741" w:rsidP="00E73104">
      <w:pPr>
        <w:jc w:val="both"/>
        <w:rPr>
          <w:rFonts w:asciiTheme="minorHAnsi" w:hAnsiTheme="minorHAnsi" w:cstheme="minorHAnsi"/>
          <w:b/>
          <w:bCs/>
          <w:color w:val="000000" w:themeColor="text1"/>
          <w:sz w:val="22"/>
          <w:szCs w:val="22"/>
        </w:rPr>
      </w:pPr>
      <w:r w:rsidRPr="00B63E48">
        <w:rPr>
          <w:rFonts w:asciiTheme="minorHAnsi" w:hAnsiTheme="minorHAnsi" w:cstheme="minorHAnsi"/>
          <w:b/>
          <w:bCs/>
          <w:color w:val="000000" w:themeColor="text1"/>
          <w:sz w:val="22"/>
          <w:szCs w:val="22"/>
        </w:rPr>
        <w:t xml:space="preserve">Albania: </w:t>
      </w:r>
    </w:p>
    <w:p w14:paraId="5A821F22" w14:textId="19FED829" w:rsidR="000A533E" w:rsidRPr="00A92C6D" w:rsidRDefault="00E03741" w:rsidP="000A533E">
      <w:pPr>
        <w:pStyle w:val="Pasussalistom"/>
        <w:numPr>
          <w:ilvl w:val="0"/>
          <w:numId w:val="11"/>
        </w:numPr>
        <w:jc w:val="both"/>
        <w:rPr>
          <w:rFonts w:asciiTheme="minorHAnsi" w:hAnsiTheme="minorHAnsi" w:cstheme="minorHAnsi"/>
          <w:color w:val="000000" w:themeColor="text1"/>
          <w:sz w:val="22"/>
          <w:szCs w:val="22"/>
          <w:lang w:val="en-GB"/>
        </w:rPr>
      </w:pPr>
      <w:r w:rsidRPr="00A92C6D">
        <w:rPr>
          <w:rFonts w:asciiTheme="minorHAnsi" w:hAnsiTheme="minorHAnsi" w:cstheme="minorHAnsi"/>
          <w:color w:val="000000" w:themeColor="text1"/>
          <w:sz w:val="22"/>
          <w:szCs w:val="22"/>
          <w:lang w:val="en-GB"/>
        </w:rPr>
        <w:t xml:space="preserve">Strengthen the capacity and authority of Gender Equality Employees within water governance </w:t>
      </w:r>
      <w:proofErr w:type="gramStart"/>
      <w:r w:rsidRPr="00A92C6D">
        <w:rPr>
          <w:rFonts w:asciiTheme="minorHAnsi" w:hAnsiTheme="minorHAnsi" w:cstheme="minorHAnsi"/>
          <w:color w:val="000000" w:themeColor="text1"/>
          <w:sz w:val="22"/>
          <w:szCs w:val="22"/>
          <w:lang w:val="en-GB"/>
        </w:rPr>
        <w:t>institutions;</w:t>
      </w:r>
      <w:proofErr w:type="gramEnd"/>
      <w:r w:rsidRPr="00A92C6D">
        <w:rPr>
          <w:rFonts w:asciiTheme="minorHAnsi" w:hAnsiTheme="minorHAnsi" w:cstheme="minorHAnsi"/>
          <w:color w:val="000000" w:themeColor="text1"/>
          <w:sz w:val="22"/>
          <w:szCs w:val="22"/>
          <w:lang w:val="en-GB"/>
        </w:rPr>
        <w:t xml:space="preserve"> </w:t>
      </w:r>
    </w:p>
    <w:p w14:paraId="5BC653A7" w14:textId="52C8D5E7" w:rsidR="000A533E" w:rsidRPr="00A92C6D" w:rsidRDefault="00E03741" w:rsidP="000A533E">
      <w:pPr>
        <w:pStyle w:val="Pasussalistom"/>
        <w:numPr>
          <w:ilvl w:val="0"/>
          <w:numId w:val="11"/>
        </w:numPr>
        <w:jc w:val="both"/>
        <w:rPr>
          <w:rFonts w:asciiTheme="minorHAnsi" w:hAnsiTheme="minorHAnsi" w:cstheme="minorHAnsi"/>
          <w:color w:val="000000" w:themeColor="text1"/>
          <w:sz w:val="22"/>
          <w:szCs w:val="22"/>
          <w:lang w:val="en-GB"/>
        </w:rPr>
      </w:pPr>
      <w:r w:rsidRPr="00A92C6D">
        <w:rPr>
          <w:rFonts w:asciiTheme="minorHAnsi" w:hAnsiTheme="minorHAnsi" w:cstheme="minorHAnsi"/>
          <w:color w:val="000000" w:themeColor="text1"/>
          <w:sz w:val="22"/>
          <w:szCs w:val="22"/>
          <w:lang w:val="en-GB"/>
        </w:rPr>
        <w:t>update the national time-use survey (last: INSTAT, 2011</w:t>
      </w:r>
      <w:proofErr w:type="gramStart"/>
      <w:r w:rsidRPr="00A92C6D">
        <w:rPr>
          <w:rFonts w:asciiTheme="minorHAnsi" w:hAnsiTheme="minorHAnsi" w:cstheme="minorHAnsi"/>
          <w:color w:val="000000" w:themeColor="text1"/>
          <w:sz w:val="22"/>
          <w:szCs w:val="22"/>
          <w:lang w:val="en-GB"/>
        </w:rPr>
        <w:t>);</w:t>
      </w:r>
      <w:proofErr w:type="gramEnd"/>
      <w:r w:rsidRPr="00A92C6D">
        <w:rPr>
          <w:rFonts w:asciiTheme="minorHAnsi" w:hAnsiTheme="minorHAnsi" w:cstheme="minorHAnsi"/>
          <w:color w:val="000000" w:themeColor="text1"/>
          <w:sz w:val="22"/>
          <w:szCs w:val="22"/>
          <w:lang w:val="en-GB"/>
        </w:rPr>
        <w:t xml:space="preserve"> </w:t>
      </w:r>
    </w:p>
    <w:p w14:paraId="01AA4F2A" w14:textId="537B1B4E" w:rsidR="000A533E" w:rsidRPr="00A92C6D" w:rsidRDefault="00E03741" w:rsidP="000A533E">
      <w:pPr>
        <w:pStyle w:val="Pasussalistom"/>
        <w:numPr>
          <w:ilvl w:val="0"/>
          <w:numId w:val="11"/>
        </w:numPr>
        <w:jc w:val="both"/>
        <w:rPr>
          <w:rFonts w:asciiTheme="minorHAnsi" w:hAnsiTheme="minorHAnsi" w:cstheme="minorHAnsi"/>
          <w:color w:val="000000" w:themeColor="text1"/>
          <w:sz w:val="22"/>
          <w:szCs w:val="22"/>
          <w:lang w:val="en-GB"/>
        </w:rPr>
      </w:pPr>
      <w:r w:rsidRPr="00A92C6D">
        <w:rPr>
          <w:rFonts w:asciiTheme="minorHAnsi" w:hAnsiTheme="minorHAnsi" w:cstheme="minorHAnsi"/>
          <w:color w:val="000000" w:themeColor="text1"/>
          <w:sz w:val="22"/>
          <w:szCs w:val="22"/>
          <w:lang w:val="en-GB"/>
        </w:rPr>
        <w:t xml:space="preserve">implement targeted programmes to increase women’s participation in technical water sector careers; (4) address rural water supply gaps (approximately 20% without piped access); and </w:t>
      </w:r>
    </w:p>
    <w:p w14:paraId="51FCE922" w14:textId="3016B81C" w:rsidR="00E03741" w:rsidRPr="00A92C6D" w:rsidRDefault="00E03741" w:rsidP="000A533E">
      <w:pPr>
        <w:pStyle w:val="Pasussalistom"/>
        <w:numPr>
          <w:ilvl w:val="0"/>
          <w:numId w:val="11"/>
        </w:numPr>
        <w:jc w:val="both"/>
        <w:rPr>
          <w:rFonts w:asciiTheme="minorHAnsi" w:hAnsiTheme="minorHAnsi" w:cstheme="minorHAnsi"/>
          <w:color w:val="000000" w:themeColor="text1"/>
          <w:sz w:val="22"/>
          <w:szCs w:val="22"/>
          <w:lang w:val="en-GB"/>
        </w:rPr>
      </w:pPr>
      <w:r w:rsidRPr="00A92C6D">
        <w:rPr>
          <w:rFonts w:asciiTheme="minorHAnsi" w:hAnsiTheme="minorHAnsi" w:cstheme="minorHAnsi"/>
          <w:color w:val="000000" w:themeColor="text1"/>
          <w:sz w:val="22"/>
          <w:szCs w:val="22"/>
          <w:lang w:val="en-GB"/>
        </w:rPr>
        <w:t>commission primary research on the water–GBV nexus, given Albania’s highest documented GBV prevalence in the region.</w:t>
      </w:r>
    </w:p>
    <w:p w14:paraId="4FCDFB0A" w14:textId="77777777" w:rsidR="00B63E48" w:rsidRPr="00A92C6D" w:rsidRDefault="00B63E48" w:rsidP="00E73104">
      <w:pPr>
        <w:jc w:val="both"/>
        <w:rPr>
          <w:rFonts w:asciiTheme="minorHAnsi" w:hAnsiTheme="minorHAnsi" w:cstheme="minorHAnsi"/>
          <w:b/>
          <w:bCs/>
          <w:color w:val="000000" w:themeColor="text1"/>
          <w:sz w:val="22"/>
          <w:szCs w:val="22"/>
          <w:lang w:val="en-GB"/>
        </w:rPr>
      </w:pPr>
    </w:p>
    <w:p w14:paraId="1180F57C" w14:textId="77777777" w:rsidR="000A533E" w:rsidRPr="00A92C6D" w:rsidRDefault="00E03741" w:rsidP="00E73104">
      <w:pPr>
        <w:jc w:val="both"/>
        <w:rPr>
          <w:rFonts w:asciiTheme="minorHAnsi" w:hAnsiTheme="minorHAnsi" w:cstheme="minorHAnsi"/>
          <w:b/>
          <w:bCs/>
          <w:color w:val="000000" w:themeColor="text1"/>
          <w:sz w:val="22"/>
          <w:szCs w:val="22"/>
          <w:lang w:val="en-GB"/>
        </w:rPr>
      </w:pPr>
      <w:r w:rsidRPr="00A92C6D">
        <w:rPr>
          <w:rFonts w:asciiTheme="minorHAnsi" w:hAnsiTheme="minorHAnsi" w:cstheme="minorHAnsi"/>
          <w:b/>
          <w:bCs/>
          <w:color w:val="000000" w:themeColor="text1"/>
          <w:sz w:val="22"/>
          <w:szCs w:val="22"/>
          <w:lang w:val="en-GB"/>
        </w:rPr>
        <w:t xml:space="preserve">Bosnia and Herzegovina: </w:t>
      </w:r>
    </w:p>
    <w:p w14:paraId="5B37E9DB" w14:textId="754B6363" w:rsidR="000A533E" w:rsidRPr="00A92C6D" w:rsidRDefault="00E03741" w:rsidP="000A533E">
      <w:pPr>
        <w:pStyle w:val="Pasussalistom"/>
        <w:numPr>
          <w:ilvl w:val="0"/>
          <w:numId w:val="13"/>
        </w:numPr>
        <w:jc w:val="both"/>
        <w:rPr>
          <w:rFonts w:asciiTheme="minorHAnsi" w:hAnsiTheme="minorHAnsi" w:cstheme="minorHAnsi"/>
          <w:color w:val="000000" w:themeColor="text1"/>
          <w:sz w:val="22"/>
          <w:szCs w:val="22"/>
          <w:lang w:val="en-GB"/>
        </w:rPr>
      </w:pPr>
      <w:r w:rsidRPr="00A92C6D">
        <w:rPr>
          <w:rFonts w:asciiTheme="minorHAnsi" w:hAnsiTheme="minorHAnsi" w:cstheme="minorHAnsi"/>
          <w:color w:val="000000" w:themeColor="text1"/>
          <w:sz w:val="22"/>
          <w:szCs w:val="22"/>
          <w:lang w:val="en-GB"/>
        </w:rPr>
        <w:t xml:space="preserve">Strengthen enforcement mechanisms and accountability for gender quota </w:t>
      </w:r>
      <w:proofErr w:type="gramStart"/>
      <w:r w:rsidRPr="00A92C6D">
        <w:rPr>
          <w:rFonts w:asciiTheme="minorHAnsi" w:hAnsiTheme="minorHAnsi" w:cstheme="minorHAnsi"/>
          <w:color w:val="000000" w:themeColor="text1"/>
          <w:sz w:val="22"/>
          <w:szCs w:val="22"/>
          <w:lang w:val="en-GB"/>
        </w:rPr>
        <w:t>compliance;</w:t>
      </w:r>
      <w:proofErr w:type="gramEnd"/>
      <w:r w:rsidRPr="00A92C6D">
        <w:rPr>
          <w:rFonts w:asciiTheme="minorHAnsi" w:hAnsiTheme="minorHAnsi" w:cstheme="minorHAnsi"/>
          <w:color w:val="000000" w:themeColor="text1"/>
          <w:sz w:val="22"/>
          <w:szCs w:val="22"/>
          <w:lang w:val="en-GB"/>
        </w:rPr>
        <w:t xml:space="preserve"> </w:t>
      </w:r>
    </w:p>
    <w:p w14:paraId="7FF47FBB" w14:textId="6C2E0768" w:rsidR="000A533E" w:rsidRPr="00A92C6D" w:rsidRDefault="00E03741" w:rsidP="000A533E">
      <w:pPr>
        <w:pStyle w:val="Pasussalistom"/>
        <w:numPr>
          <w:ilvl w:val="0"/>
          <w:numId w:val="13"/>
        </w:numPr>
        <w:jc w:val="both"/>
        <w:rPr>
          <w:rFonts w:asciiTheme="minorHAnsi" w:hAnsiTheme="minorHAnsi" w:cstheme="minorHAnsi"/>
          <w:color w:val="000000" w:themeColor="text1"/>
          <w:sz w:val="22"/>
          <w:szCs w:val="22"/>
          <w:lang w:val="en-GB"/>
        </w:rPr>
      </w:pPr>
      <w:r w:rsidRPr="00A92C6D">
        <w:rPr>
          <w:rFonts w:asciiTheme="minorHAnsi" w:hAnsiTheme="minorHAnsi" w:cstheme="minorHAnsi"/>
          <w:color w:val="000000" w:themeColor="text1"/>
          <w:sz w:val="22"/>
          <w:szCs w:val="22"/>
          <w:lang w:val="en-GB"/>
        </w:rPr>
        <w:t xml:space="preserve">mandate systematic gender-disaggregated data collection across </w:t>
      </w:r>
      <w:proofErr w:type="gramStart"/>
      <w:r w:rsidRPr="00A92C6D">
        <w:rPr>
          <w:rFonts w:asciiTheme="minorHAnsi" w:hAnsiTheme="minorHAnsi" w:cstheme="minorHAnsi"/>
          <w:color w:val="000000" w:themeColor="text1"/>
          <w:sz w:val="22"/>
          <w:szCs w:val="22"/>
          <w:lang w:val="en-GB"/>
        </w:rPr>
        <w:t>entities;</w:t>
      </w:r>
      <w:proofErr w:type="gramEnd"/>
      <w:r w:rsidRPr="00A92C6D">
        <w:rPr>
          <w:rFonts w:asciiTheme="minorHAnsi" w:hAnsiTheme="minorHAnsi" w:cstheme="minorHAnsi"/>
          <w:color w:val="000000" w:themeColor="text1"/>
          <w:sz w:val="22"/>
          <w:szCs w:val="22"/>
          <w:lang w:val="en-GB"/>
        </w:rPr>
        <w:t xml:space="preserve"> </w:t>
      </w:r>
    </w:p>
    <w:p w14:paraId="48C61EFA" w14:textId="0085085B" w:rsidR="000A533E" w:rsidRPr="00A92C6D" w:rsidRDefault="00E03741" w:rsidP="000A533E">
      <w:pPr>
        <w:pStyle w:val="Pasussalistom"/>
        <w:numPr>
          <w:ilvl w:val="0"/>
          <w:numId w:val="13"/>
        </w:numPr>
        <w:jc w:val="both"/>
        <w:rPr>
          <w:rFonts w:asciiTheme="minorHAnsi" w:hAnsiTheme="minorHAnsi" w:cstheme="minorHAnsi"/>
          <w:color w:val="000000" w:themeColor="text1"/>
          <w:sz w:val="22"/>
          <w:szCs w:val="22"/>
          <w:lang w:val="en-GB"/>
        </w:rPr>
      </w:pPr>
      <w:r w:rsidRPr="00A92C6D">
        <w:rPr>
          <w:rFonts w:asciiTheme="minorHAnsi" w:hAnsiTheme="minorHAnsi" w:cstheme="minorHAnsi"/>
          <w:color w:val="000000" w:themeColor="text1"/>
          <w:sz w:val="22"/>
          <w:szCs w:val="22"/>
          <w:lang w:val="en-GB"/>
        </w:rPr>
        <w:t xml:space="preserve">implement gender-responsive budgeting across all water management </w:t>
      </w:r>
      <w:proofErr w:type="gramStart"/>
      <w:r w:rsidRPr="00A92C6D">
        <w:rPr>
          <w:rFonts w:asciiTheme="minorHAnsi" w:hAnsiTheme="minorHAnsi" w:cstheme="minorHAnsi"/>
          <w:color w:val="000000" w:themeColor="text1"/>
          <w:sz w:val="22"/>
          <w:szCs w:val="22"/>
          <w:lang w:val="en-GB"/>
        </w:rPr>
        <w:t>bodies;</w:t>
      </w:r>
      <w:proofErr w:type="gramEnd"/>
      <w:r w:rsidRPr="00A92C6D">
        <w:rPr>
          <w:rFonts w:asciiTheme="minorHAnsi" w:hAnsiTheme="minorHAnsi" w:cstheme="minorHAnsi"/>
          <w:color w:val="000000" w:themeColor="text1"/>
          <w:sz w:val="22"/>
          <w:szCs w:val="22"/>
          <w:lang w:val="en-GB"/>
        </w:rPr>
        <w:t xml:space="preserve"> </w:t>
      </w:r>
    </w:p>
    <w:p w14:paraId="3F1D5643" w14:textId="6DA73E65" w:rsidR="000A533E" w:rsidRPr="00A92C6D" w:rsidRDefault="00E03741" w:rsidP="000A533E">
      <w:pPr>
        <w:pStyle w:val="Pasussalistom"/>
        <w:numPr>
          <w:ilvl w:val="0"/>
          <w:numId w:val="13"/>
        </w:numPr>
        <w:jc w:val="both"/>
        <w:rPr>
          <w:rFonts w:asciiTheme="minorHAnsi" w:hAnsiTheme="minorHAnsi" w:cstheme="minorHAnsi"/>
          <w:color w:val="000000" w:themeColor="text1"/>
          <w:sz w:val="22"/>
          <w:szCs w:val="22"/>
          <w:lang w:val="en-GB"/>
        </w:rPr>
      </w:pPr>
      <w:r w:rsidRPr="00A92C6D">
        <w:rPr>
          <w:rFonts w:asciiTheme="minorHAnsi" w:hAnsiTheme="minorHAnsi" w:cstheme="minorHAnsi"/>
          <w:color w:val="000000" w:themeColor="text1"/>
          <w:sz w:val="22"/>
          <w:szCs w:val="22"/>
          <w:lang w:val="en-GB"/>
        </w:rPr>
        <w:t xml:space="preserve">increase women’s representation in local water governance structures; and </w:t>
      </w:r>
    </w:p>
    <w:p w14:paraId="6E88A74C" w14:textId="27B28FC0" w:rsidR="00E03741" w:rsidRPr="00A92C6D" w:rsidRDefault="00E03741" w:rsidP="000A533E">
      <w:pPr>
        <w:pStyle w:val="Pasussalistom"/>
        <w:numPr>
          <w:ilvl w:val="0"/>
          <w:numId w:val="13"/>
        </w:numPr>
        <w:jc w:val="both"/>
        <w:rPr>
          <w:rFonts w:asciiTheme="minorHAnsi" w:hAnsiTheme="minorHAnsi" w:cstheme="minorHAnsi"/>
          <w:color w:val="000000" w:themeColor="text1"/>
          <w:sz w:val="22"/>
          <w:szCs w:val="22"/>
          <w:lang w:val="en-GB"/>
        </w:rPr>
      </w:pPr>
      <w:r w:rsidRPr="00A92C6D">
        <w:rPr>
          <w:rFonts w:asciiTheme="minorHAnsi" w:hAnsiTheme="minorHAnsi" w:cstheme="minorHAnsi"/>
          <w:color w:val="000000" w:themeColor="text1"/>
          <w:sz w:val="22"/>
          <w:szCs w:val="22"/>
          <w:lang w:val="en-GB"/>
        </w:rPr>
        <w:t>develop specific programmes for conflict-affected CRSV survivors.</w:t>
      </w:r>
    </w:p>
    <w:p w14:paraId="10BC99D2" w14:textId="77777777" w:rsidR="00B63E48" w:rsidRPr="00A92C6D" w:rsidRDefault="00B63E48" w:rsidP="00E73104">
      <w:pPr>
        <w:jc w:val="both"/>
        <w:rPr>
          <w:rFonts w:asciiTheme="minorHAnsi" w:hAnsiTheme="minorHAnsi" w:cstheme="minorHAnsi"/>
          <w:b/>
          <w:bCs/>
          <w:color w:val="000000" w:themeColor="text1"/>
          <w:sz w:val="22"/>
          <w:szCs w:val="22"/>
          <w:lang w:val="en-GB"/>
        </w:rPr>
      </w:pPr>
    </w:p>
    <w:p w14:paraId="584B73A9" w14:textId="77777777" w:rsidR="000A533E" w:rsidRPr="00A92C6D" w:rsidRDefault="00E03741" w:rsidP="00E73104">
      <w:pPr>
        <w:jc w:val="both"/>
        <w:rPr>
          <w:rFonts w:asciiTheme="minorHAnsi" w:hAnsiTheme="minorHAnsi" w:cstheme="minorHAnsi"/>
          <w:b/>
          <w:bCs/>
          <w:color w:val="000000" w:themeColor="text1"/>
          <w:sz w:val="22"/>
          <w:szCs w:val="22"/>
          <w:lang w:val="en-GB"/>
        </w:rPr>
      </w:pPr>
      <w:r w:rsidRPr="00A92C6D">
        <w:rPr>
          <w:rFonts w:asciiTheme="minorHAnsi" w:hAnsiTheme="minorHAnsi" w:cstheme="minorHAnsi"/>
          <w:b/>
          <w:bCs/>
          <w:color w:val="000000" w:themeColor="text1"/>
          <w:sz w:val="22"/>
          <w:szCs w:val="22"/>
          <w:lang w:val="en-GB"/>
        </w:rPr>
        <w:t xml:space="preserve">Croatia: </w:t>
      </w:r>
    </w:p>
    <w:p w14:paraId="77BAC879" w14:textId="13030AE6" w:rsidR="000A533E" w:rsidRPr="00A92C6D" w:rsidRDefault="00E03741" w:rsidP="000A533E">
      <w:pPr>
        <w:pStyle w:val="Pasussalistom"/>
        <w:numPr>
          <w:ilvl w:val="0"/>
          <w:numId w:val="15"/>
        </w:numPr>
        <w:jc w:val="both"/>
        <w:rPr>
          <w:rFonts w:asciiTheme="minorHAnsi" w:hAnsiTheme="minorHAnsi" w:cstheme="minorHAnsi"/>
          <w:color w:val="000000" w:themeColor="text1"/>
          <w:sz w:val="22"/>
          <w:szCs w:val="22"/>
          <w:lang w:val="en-GB"/>
        </w:rPr>
      </w:pPr>
      <w:r w:rsidRPr="00A92C6D">
        <w:rPr>
          <w:rFonts w:asciiTheme="minorHAnsi" w:hAnsiTheme="minorHAnsi" w:cstheme="minorHAnsi"/>
          <w:color w:val="000000" w:themeColor="text1"/>
          <w:sz w:val="22"/>
          <w:szCs w:val="22"/>
          <w:lang w:val="en-GB"/>
        </w:rPr>
        <w:t xml:space="preserve">Introduce mandated gender-responsive budgeting in water sector </w:t>
      </w:r>
      <w:proofErr w:type="gramStart"/>
      <w:r w:rsidRPr="00A92C6D">
        <w:rPr>
          <w:rFonts w:asciiTheme="minorHAnsi" w:hAnsiTheme="minorHAnsi" w:cstheme="minorHAnsi"/>
          <w:color w:val="000000" w:themeColor="text1"/>
          <w:sz w:val="22"/>
          <w:szCs w:val="22"/>
          <w:lang w:val="en-GB"/>
        </w:rPr>
        <w:t>planning;</w:t>
      </w:r>
      <w:proofErr w:type="gramEnd"/>
      <w:r w:rsidRPr="00A92C6D">
        <w:rPr>
          <w:rFonts w:asciiTheme="minorHAnsi" w:hAnsiTheme="minorHAnsi" w:cstheme="minorHAnsi"/>
          <w:color w:val="000000" w:themeColor="text1"/>
          <w:sz w:val="22"/>
          <w:szCs w:val="22"/>
          <w:lang w:val="en-GB"/>
        </w:rPr>
        <w:t xml:space="preserve"> </w:t>
      </w:r>
    </w:p>
    <w:p w14:paraId="32EB8228" w14:textId="24BB44D3" w:rsidR="000A533E" w:rsidRPr="00A92C6D" w:rsidRDefault="00E03741" w:rsidP="000A533E">
      <w:pPr>
        <w:pStyle w:val="Pasussalistom"/>
        <w:numPr>
          <w:ilvl w:val="0"/>
          <w:numId w:val="15"/>
        </w:numPr>
        <w:jc w:val="both"/>
        <w:rPr>
          <w:rFonts w:asciiTheme="minorHAnsi" w:hAnsiTheme="minorHAnsi" w:cstheme="minorHAnsi"/>
          <w:color w:val="000000" w:themeColor="text1"/>
          <w:sz w:val="22"/>
          <w:szCs w:val="22"/>
          <w:lang w:val="en-GB"/>
        </w:rPr>
      </w:pPr>
      <w:r w:rsidRPr="00A92C6D">
        <w:rPr>
          <w:rFonts w:asciiTheme="minorHAnsi" w:hAnsiTheme="minorHAnsi" w:cstheme="minorHAnsi"/>
          <w:color w:val="000000" w:themeColor="text1"/>
          <w:sz w:val="22"/>
          <w:szCs w:val="22"/>
          <w:lang w:val="en-GB"/>
        </w:rPr>
        <w:t xml:space="preserve">expand sex-disaggregated data collection to operational domains beyond </w:t>
      </w:r>
      <w:proofErr w:type="gramStart"/>
      <w:r w:rsidRPr="00A92C6D">
        <w:rPr>
          <w:rFonts w:asciiTheme="minorHAnsi" w:hAnsiTheme="minorHAnsi" w:cstheme="minorHAnsi"/>
          <w:color w:val="000000" w:themeColor="text1"/>
          <w:sz w:val="22"/>
          <w:szCs w:val="22"/>
          <w:lang w:val="en-GB"/>
        </w:rPr>
        <w:t>staffing;</w:t>
      </w:r>
      <w:proofErr w:type="gramEnd"/>
      <w:r w:rsidRPr="00A92C6D">
        <w:rPr>
          <w:rFonts w:asciiTheme="minorHAnsi" w:hAnsiTheme="minorHAnsi" w:cstheme="minorHAnsi"/>
          <w:color w:val="000000" w:themeColor="text1"/>
          <w:sz w:val="22"/>
          <w:szCs w:val="22"/>
          <w:lang w:val="en-GB"/>
        </w:rPr>
        <w:t xml:space="preserve"> </w:t>
      </w:r>
    </w:p>
    <w:p w14:paraId="16032B62" w14:textId="7C0F127C" w:rsidR="000A533E" w:rsidRPr="00A92C6D" w:rsidRDefault="00E03741" w:rsidP="000A533E">
      <w:pPr>
        <w:pStyle w:val="Pasussalistom"/>
        <w:numPr>
          <w:ilvl w:val="0"/>
          <w:numId w:val="15"/>
        </w:numPr>
        <w:jc w:val="both"/>
        <w:rPr>
          <w:rFonts w:asciiTheme="minorHAnsi" w:hAnsiTheme="minorHAnsi" w:cstheme="minorHAnsi"/>
          <w:color w:val="000000" w:themeColor="text1"/>
          <w:sz w:val="22"/>
          <w:szCs w:val="22"/>
          <w:lang w:val="en-GB"/>
        </w:rPr>
      </w:pPr>
      <w:r w:rsidRPr="00A92C6D">
        <w:rPr>
          <w:rFonts w:asciiTheme="minorHAnsi" w:hAnsiTheme="minorHAnsi" w:cstheme="minorHAnsi"/>
          <w:color w:val="000000" w:themeColor="text1"/>
          <w:sz w:val="22"/>
          <w:szCs w:val="22"/>
          <w:lang w:val="en-GB"/>
        </w:rPr>
        <w:t xml:space="preserve">implement targeted measures to address vertical segregation and promote women into senior </w:t>
      </w:r>
      <w:proofErr w:type="gramStart"/>
      <w:r w:rsidRPr="00A92C6D">
        <w:rPr>
          <w:rFonts w:asciiTheme="minorHAnsi" w:hAnsiTheme="minorHAnsi" w:cstheme="minorHAnsi"/>
          <w:color w:val="000000" w:themeColor="text1"/>
          <w:sz w:val="22"/>
          <w:szCs w:val="22"/>
          <w:lang w:val="en-GB"/>
        </w:rPr>
        <w:t>leadership;</w:t>
      </w:r>
      <w:proofErr w:type="gramEnd"/>
      <w:r w:rsidRPr="00A92C6D">
        <w:rPr>
          <w:rFonts w:asciiTheme="minorHAnsi" w:hAnsiTheme="minorHAnsi" w:cstheme="minorHAnsi"/>
          <w:color w:val="000000" w:themeColor="text1"/>
          <w:sz w:val="22"/>
          <w:szCs w:val="22"/>
          <w:lang w:val="en-GB"/>
        </w:rPr>
        <w:t xml:space="preserve"> </w:t>
      </w:r>
    </w:p>
    <w:p w14:paraId="3AF8D388" w14:textId="39F5DE1A" w:rsidR="000A533E" w:rsidRPr="00A92C6D" w:rsidRDefault="00E03741" w:rsidP="000A533E">
      <w:pPr>
        <w:pStyle w:val="Pasussalistom"/>
        <w:numPr>
          <w:ilvl w:val="0"/>
          <w:numId w:val="15"/>
        </w:numPr>
        <w:jc w:val="both"/>
        <w:rPr>
          <w:rFonts w:asciiTheme="minorHAnsi" w:hAnsiTheme="minorHAnsi" w:cstheme="minorHAnsi"/>
          <w:color w:val="000000" w:themeColor="text1"/>
          <w:sz w:val="22"/>
          <w:szCs w:val="22"/>
          <w:lang w:val="en-GB"/>
        </w:rPr>
      </w:pPr>
      <w:r w:rsidRPr="00A92C6D">
        <w:rPr>
          <w:rFonts w:asciiTheme="minorHAnsi" w:hAnsiTheme="minorHAnsi" w:cstheme="minorHAnsi"/>
          <w:color w:val="000000" w:themeColor="text1"/>
          <w:sz w:val="22"/>
          <w:szCs w:val="22"/>
          <w:lang w:val="en-GB"/>
        </w:rPr>
        <w:t xml:space="preserve">institutionalise gender expertise to ensure continuity beyond individual leadership mandates; and </w:t>
      </w:r>
    </w:p>
    <w:p w14:paraId="0B8708AC" w14:textId="7E448249" w:rsidR="00E03741" w:rsidRPr="00A92C6D" w:rsidRDefault="00E03741" w:rsidP="000A533E">
      <w:pPr>
        <w:pStyle w:val="Pasussalistom"/>
        <w:numPr>
          <w:ilvl w:val="0"/>
          <w:numId w:val="15"/>
        </w:numPr>
        <w:jc w:val="both"/>
        <w:rPr>
          <w:rFonts w:asciiTheme="minorHAnsi" w:hAnsiTheme="minorHAnsi" w:cstheme="minorHAnsi"/>
          <w:color w:val="000000" w:themeColor="text1"/>
          <w:sz w:val="22"/>
          <w:szCs w:val="22"/>
          <w:lang w:val="en-GB"/>
        </w:rPr>
      </w:pPr>
      <w:r w:rsidRPr="00A92C6D">
        <w:rPr>
          <w:rFonts w:asciiTheme="minorHAnsi" w:hAnsiTheme="minorHAnsi" w:cstheme="minorHAnsi"/>
          <w:color w:val="000000" w:themeColor="text1"/>
          <w:sz w:val="22"/>
          <w:szCs w:val="22"/>
          <w:lang w:val="en-GB"/>
        </w:rPr>
        <w:t xml:space="preserve">leverage </w:t>
      </w:r>
      <w:proofErr w:type="gramStart"/>
      <w:r w:rsidRPr="00A92C6D">
        <w:rPr>
          <w:rFonts w:asciiTheme="minorHAnsi" w:hAnsiTheme="minorHAnsi" w:cstheme="minorHAnsi"/>
          <w:color w:val="000000" w:themeColor="text1"/>
          <w:sz w:val="22"/>
          <w:szCs w:val="22"/>
          <w:lang w:val="en-GB"/>
        </w:rPr>
        <w:t>women’s</w:t>
      </w:r>
      <w:proofErr w:type="gramEnd"/>
      <w:r w:rsidRPr="00A92C6D">
        <w:rPr>
          <w:rFonts w:asciiTheme="minorHAnsi" w:hAnsiTheme="minorHAnsi" w:cstheme="minorHAnsi"/>
          <w:color w:val="000000" w:themeColor="text1"/>
          <w:sz w:val="22"/>
          <w:szCs w:val="22"/>
          <w:lang w:val="en-GB"/>
        </w:rPr>
        <w:t xml:space="preserve"> demonstrated higher environmental consciousness in climate adaptation strategies.</w:t>
      </w:r>
    </w:p>
    <w:p w14:paraId="0E3E182D" w14:textId="77777777" w:rsidR="00B4118E" w:rsidRPr="00B63E48" w:rsidRDefault="00B4118E" w:rsidP="00E73104">
      <w:pPr>
        <w:jc w:val="both"/>
        <w:rPr>
          <w:rFonts w:asciiTheme="minorHAnsi" w:hAnsiTheme="minorHAnsi" w:cstheme="minorHAnsi"/>
          <w:color w:val="000000" w:themeColor="text1"/>
          <w:sz w:val="22"/>
          <w:szCs w:val="22"/>
        </w:rPr>
      </w:pPr>
    </w:p>
    <w:p w14:paraId="08856F92" w14:textId="77777777" w:rsidR="000A533E" w:rsidRDefault="00E03741" w:rsidP="00E73104">
      <w:pPr>
        <w:jc w:val="both"/>
        <w:rPr>
          <w:rFonts w:asciiTheme="minorHAnsi" w:hAnsiTheme="minorHAnsi" w:cstheme="minorHAnsi"/>
          <w:b/>
          <w:bCs/>
          <w:color w:val="000000" w:themeColor="text1"/>
          <w:sz w:val="22"/>
          <w:szCs w:val="22"/>
        </w:rPr>
      </w:pPr>
      <w:r w:rsidRPr="00B63E48">
        <w:rPr>
          <w:rFonts w:asciiTheme="minorHAnsi" w:hAnsiTheme="minorHAnsi" w:cstheme="minorHAnsi"/>
          <w:b/>
          <w:bCs/>
          <w:color w:val="000000" w:themeColor="text1"/>
          <w:sz w:val="22"/>
          <w:szCs w:val="22"/>
        </w:rPr>
        <w:t xml:space="preserve">Montenegro: </w:t>
      </w:r>
    </w:p>
    <w:p w14:paraId="1D655B5D" w14:textId="068640B0" w:rsidR="000A533E" w:rsidRPr="000A533E" w:rsidRDefault="00E03741" w:rsidP="000A533E">
      <w:pPr>
        <w:pStyle w:val="Pasussalistom"/>
        <w:numPr>
          <w:ilvl w:val="0"/>
          <w:numId w:val="17"/>
        </w:numPr>
        <w:jc w:val="both"/>
        <w:rPr>
          <w:rFonts w:asciiTheme="minorHAnsi" w:hAnsiTheme="minorHAnsi" w:cstheme="minorHAnsi"/>
          <w:color w:val="000000" w:themeColor="text1"/>
          <w:sz w:val="22"/>
          <w:szCs w:val="22"/>
        </w:rPr>
      </w:pPr>
      <w:r w:rsidRPr="000A533E">
        <w:rPr>
          <w:rFonts w:asciiTheme="minorHAnsi" w:hAnsiTheme="minorHAnsi" w:cstheme="minorHAnsi"/>
          <w:color w:val="000000" w:themeColor="text1"/>
          <w:sz w:val="22"/>
          <w:szCs w:val="22"/>
        </w:rPr>
        <w:t xml:space="preserve">Commission Montenegro’s first national time-use survey to close the most critical data gap in the </w:t>
      </w:r>
      <w:proofErr w:type="gramStart"/>
      <w:r w:rsidRPr="000A533E">
        <w:rPr>
          <w:rFonts w:asciiTheme="minorHAnsi" w:hAnsiTheme="minorHAnsi" w:cstheme="minorHAnsi"/>
          <w:color w:val="000000" w:themeColor="text1"/>
          <w:sz w:val="22"/>
          <w:szCs w:val="22"/>
        </w:rPr>
        <w:t>region;</w:t>
      </w:r>
      <w:proofErr w:type="gramEnd"/>
      <w:r w:rsidRPr="000A533E">
        <w:rPr>
          <w:rFonts w:asciiTheme="minorHAnsi" w:hAnsiTheme="minorHAnsi" w:cstheme="minorHAnsi"/>
          <w:color w:val="000000" w:themeColor="text1"/>
          <w:sz w:val="22"/>
          <w:szCs w:val="22"/>
        </w:rPr>
        <w:t xml:space="preserve"> </w:t>
      </w:r>
    </w:p>
    <w:p w14:paraId="3686C7CB" w14:textId="6A0FECB9" w:rsidR="000A533E" w:rsidRPr="000A533E" w:rsidRDefault="00E03741" w:rsidP="000A533E">
      <w:pPr>
        <w:pStyle w:val="Pasussalistom"/>
        <w:numPr>
          <w:ilvl w:val="0"/>
          <w:numId w:val="17"/>
        </w:numPr>
        <w:jc w:val="both"/>
        <w:rPr>
          <w:rFonts w:asciiTheme="minorHAnsi" w:hAnsiTheme="minorHAnsi" w:cstheme="minorHAnsi"/>
          <w:color w:val="000000" w:themeColor="text1"/>
          <w:sz w:val="22"/>
          <w:szCs w:val="22"/>
        </w:rPr>
      </w:pPr>
      <w:r w:rsidRPr="000A533E">
        <w:rPr>
          <w:rFonts w:asciiTheme="minorHAnsi" w:hAnsiTheme="minorHAnsi" w:cstheme="minorHAnsi"/>
          <w:color w:val="000000" w:themeColor="text1"/>
          <w:sz w:val="22"/>
          <w:szCs w:val="22"/>
        </w:rPr>
        <w:t xml:space="preserve">strengthen accountability mechanisms for the Law on Gender </w:t>
      </w:r>
      <w:proofErr w:type="gramStart"/>
      <w:r w:rsidRPr="000A533E">
        <w:rPr>
          <w:rFonts w:asciiTheme="minorHAnsi" w:hAnsiTheme="minorHAnsi" w:cstheme="minorHAnsi"/>
          <w:color w:val="000000" w:themeColor="text1"/>
          <w:sz w:val="22"/>
          <w:szCs w:val="22"/>
        </w:rPr>
        <w:t>Equality;</w:t>
      </w:r>
      <w:proofErr w:type="gramEnd"/>
      <w:r w:rsidRPr="000A533E">
        <w:rPr>
          <w:rFonts w:asciiTheme="minorHAnsi" w:hAnsiTheme="minorHAnsi" w:cstheme="minorHAnsi"/>
          <w:color w:val="000000" w:themeColor="text1"/>
          <w:sz w:val="22"/>
          <w:szCs w:val="22"/>
        </w:rPr>
        <w:t xml:space="preserve"> </w:t>
      </w:r>
    </w:p>
    <w:p w14:paraId="3074B50D" w14:textId="132EC8F8" w:rsidR="000A533E" w:rsidRPr="000A533E" w:rsidRDefault="00E03741" w:rsidP="000A533E">
      <w:pPr>
        <w:pStyle w:val="Pasussalistom"/>
        <w:numPr>
          <w:ilvl w:val="0"/>
          <w:numId w:val="17"/>
        </w:numPr>
        <w:jc w:val="both"/>
        <w:rPr>
          <w:rFonts w:asciiTheme="minorHAnsi" w:hAnsiTheme="minorHAnsi" w:cstheme="minorHAnsi"/>
          <w:color w:val="000000" w:themeColor="text1"/>
          <w:sz w:val="22"/>
          <w:szCs w:val="22"/>
        </w:rPr>
      </w:pPr>
      <w:r w:rsidRPr="000A533E">
        <w:rPr>
          <w:rFonts w:asciiTheme="minorHAnsi" w:hAnsiTheme="minorHAnsi" w:cstheme="minorHAnsi"/>
          <w:color w:val="000000" w:themeColor="text1"/>
          <w:sz w:val="22"/>
          <w:szCs w:val="22"/>
        </w:rPr>
        <w:t>promote women’s access to technical and managerial positions within water utilities (current: under 20%</w:t>
      </w:r>
      <w:proofErr w:type="gramStart"/>
      <w:r w:rsidRPr="000A533E">
        <w:rPr>
          <w:rFonts w:asciiTheme="minorHAnsi" w:hAnsiTheme="minorHAnsi" w:cstheme="minorHAnsi"/>
          <w:color w:val="000000" w:themeColor="text1"/>
          <w:sz w:val="22"/>
          <w:szCs w:val="22"/>
        </w:rPr>
        <w:t>);</w:t>
      </w:r>
      <w:proofErr w:type="gramEnd"/>
      <w:r w:rsidRPr="000A533E">
        <w:rPr>
          <w:rFonts w:asciiTheme="minorHAnsi" w:hAnsiTheme="minorHAnsi" w:cstheme="minorHAnsi"/>
          <w:color w:val="000000" w:themeColor="text1"/>
          <w:sz w:val="22"/>
          <w:szCs w:val="22"/>
        </w:rPr>
        <w:t xml:space="preserve"> </w:t>
      </w:r>
    </w:p>
    <w:p w14:paraId="6286598D" w14:textId="75383061" w:rsidR="000A533E" w:rsidRPr="000A533E" w:rsidRDefault="00E03741" w:rsidP="000A533E">
      <w:pPr>
        <w:pStyle w:val="Pasussalistom"/>
        <w:numPr>
          <w:ilvl w:val="0"/>
          <w:numId w:val="17"/>
        </w:numPr>
        <w:jc w:val="both"/>
        <w:rPr>
          <w:rFonts w:asciiTheme="minorHAnsi" w:hAnsiTheme="minorHAnsi" w:cstheme="minorHAnsi"/>
          <w:color w:val="000000" w:themeColor="text1"/>
          <w:sz w:val="22"/>
          <w:szCs w:val="22"/>
        </w:rPr>
      </w:pPr>
      <w:r w:rsidRPr="000A533E">
        <w:rPr>
          <w:rFonts w:asciiTheme="minorHAnsi" w:hAnsiTheme="minorHAnsi" w:cstheme="minorHAnsi"/>
          <w:color w:val="000000" w:themeColor="text1"/>
          <w:sz w:val="22"/>
          <w:szCs w:val="22"/>
        </w:rPr>
        <w:t xml:space="preserve">address the employment gap between northern and southern regions; and </w:t>
      </w:r>
    </w:p>
    <w:p w14:paraId="56645DEA" w14:textId="4B3D6772" w:rsidR="00E03741" w:rsidRPr="000A533E" w:rsidRDefault="00E03741" w:rsidP="000A533E">
      <w:pPr>
        <w:pStyle w:val="Pasussalistom"/>
        <w:numPr>
          <w:ilvl w:val="0"/>
          <w:numId w:val="17"/>
        </w:numPr>
        <w:jc w:val="both"/>
        <w:rPr>
          <w:rFonts w:asciiTheme="minorHAnsi" w:hAnsiTheme="minorHAnsi" w:cstheme="minorHAnsi"/>
          <w:color w:val="000000" w:themeColor="text1"/>
          <w:sz w:val="22"/>
          <w:szCs w:val="22"/>
        </w:rPr>
      </w:pPr>
      <w:r w:rsidRPr="000A533E">
        <w:rPr>
          <w:rFonts w:asciiTheme="minorHAnsi" w:hAnsiTheme="minorHAnsi" w:cstheme="minorHAnsi"/>
          <w:color w:val="000000" w:themeColor="text1"/>
          <w:sz w:val="22"/>
          <w:szCs w:val="22"/>
        </w:rPr>
        <w:t>integrate GBV risk assessment into water infrastructure planning, given the amplifying role of drought exposure.</w:t>
      </w:r>
    </w:p>
    <w:p w14:paraId="19B09FE2" w14:textId="77777777" w:rsidR="00B63E48" w:rsidRDefault="00B63E48" w:rsidP="00E73104">
      <w:pPr>
        <w:jc w:val="both"/>
        <w:rPr>
          <w:rFonts w:asciiTheme="minorHAnsi" w:hAnsiTheme="minorHAnsi" w:cstheme="minorHAnsi"/>
          <w:color w:val="000000" w:themeColor="text1"/>
          <w:sz w:val="22"/>
          <w:szCs w:val="22"/>
        </w:rPr>
      </w:pPr>
    </w:p>
    <w:p w14:paraId="3FF33458" w14:textId="77777777" w:rsidR="00403CE1" w:rsidRDefault="00403CE1" w:rsidP="00E73104">
      <w:pPr>
        <w:jc w:val="both"/>
        <w:rPr>
          <w:rFonts w:asciiTheme="minorHAnsi" w:hAnsiTheme="minorHAnsi" w:cstheme="minorHAnsi"/>
          <w:color w:val="000000" w:themeColor="text1"/>
          <w:sz w:val="22"/>
          <w:szCs w:val="22"/>
        </w:rPr>
      </w:pPr>
    </w:p>
    <w:p w14:paraId="5E15C97A" w14:textId="77777777" w:rsidR="00403CE1" w:rsidRDefault="00403CE1" w:rsidP="00E73104">
      <w:pPr>
        <w:jc w:val="both"/>
        <w:rPr>
          <w:rFonts w:asciiTheme="minorHAnsi" w:hAnsiTheme="minorHAnsi" w:cstheme="minorHAnsi"/>
          <w:color w:val="000000" w:themeColor="text1"/>
          <w:sz w:val="22"/>
          <w:szCs w:val="22"/>
        </w:rPr>
      </w:pPr>
    </w:p>
    <w:p w14:paraId="6F8523A4" w14:textId="77777777" w:rsidR="00403CE1" w:rsidRDefault="00403CE1" w:rsidP="00E73104">
      <w:pPr>
        <w:jc w:val="both"/>
        <w:rPr>
          <w:rFonts w:asciiTheme="minorHAnsi" w:hAnsiTheme="minorHAnsi" w:cstheme="minorHAnsi"/>
          <w:color w:val="000000" w:themeColor="text1"/>
          <w:sz w:val="22"/>
          <w:szCs w:val="22"/>
        </w:rPr>
      </w:pPr>
    </w:p>
    <w:p w14:paraId="3BE02101" w14:textId="77777777" w:rsidR="00403CE1" w:rsidRDefault="00403CE1" w:rsidP="00E73104">
      <w:pPr>
        <w:jc w:val="both"/>
        <w:rPr>
          <w:rFonts w:asciiTheme="minorHAnsi" w:hAnsiTheme="minorHAnsi" w:cstheme="minorHAnsi"/>
          <w:color w:val="000000" w:themeColor="text1"/>
          <w:sz w:val="22"/>
          <w:szCs w:val="22"/>
        </w:rPr>
      </w:pPr>
    </w:p>
    <w:p w14:paraId="147A7436" w14:textId="77777777" w:rsidR="00403CE1" w:rsidRDefault="00403CE1" w:rsidP="00E73104">
      <w:pPr>
        <w:jc w:val="both"/>
        <w:rPr>
          <w:rFonts w:asciiTheme="minorHAnsi" w:hAnsiTheme="minorHAnsi" w:cstheme="minorHAnsi"/>
          <w:color w:val="000000" w:themeColor="text1"/>
          <w:sz w:val="22"/>
          <w:szCs w:val="22"/>
        </w:rPr>
      </w:pPr>
    </w:p>
    <w:p w14:paraId="7743B855" w14:textId="77777777" w:rsidR="00403CE1" w:rsidRPr="00B63E48" w:rsidRDefault="00403CE1" w:rsidP="00E73104">
      <w:pPr>
        <w:jc w:val="both"/>
        <w:rPr>
          <w:rFonts w:asciiTheme="minorHAnsi" w:hAnsiTheme="minorHAnsi" w:cstheme="minorHAnsi"/>
          <w:color w:val="000000" w:themeColor="text1"/>
          <w:sz w:val="22"/>
          <w:szCs w:val="22"/>
        </w:rPr>
      </w:pPr>
    </w:p>
    <w:p w14:paraId="6373B305" w14:textId="3F2EBF6C" w:rsidR="00E03741" w:rsidRPr="00556170" w:rsidRDefault="00E03741" w:rsidP="00E73104">
      <w:pPr>
        <w:pStyle w:val="Naslov2"/>
        <w:spacing w:before="0" w:after="0"/>
        <w:jc w:val="both"/>
        <w:rPr>
          <w:rFonts w:asciiTheme="minorHAnsi" w:hAnsiTheme="minorHAnsi" w:cstheme="minorHAnsi"/>
          <w:sz w:val="22"/>
          <w:szCs w:val="22"/>
        </w:rPr>
      </w:pPr>
      <w:bookmarkStart w:id="50" w:name="_Toc224128633"/>
      <w:r w:rsidRPr="00556170">
        <w:rPr>
          <w:rFonts w:asciiTheme="minorHAnsi" w:eastAsia="Arial" w:hAnsiTheme="minorHAnsi" w:cstheme="minorHAnsi"/>
          <w:b/>
          <w:bCs/>
          <w:color w:val="2E75B6"/>
          <w:sz w:val="22"/>
          <w:szCs w:val="22"/>
        </w:rPr>
        <w:lastRenderedPageBreak/>
        <w:t>9.3 Roadmap for DIKTAS II Gender Mainstreaming</w:t>
      </w:r>
      <w:bookmarkEnd w:id="50"/>
    </w:p>
    <w:p w14:paraId="68A7BEED" w14:textId="77777777" w:rsidR="00E03741" w:rsidRPr="00A92C6D"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lang w:val="gsw-FR"/>
        </w:rPr>
      </w:pPr>
      <w:r w:rsidRPr="00A92C6D">
        <w:rPr>
          <w:rFonts w:asciiTheme="minorHAnsi" w:hAnsiTheme="minorHAnsi" w:cstheme="minorHAnsi"/>
          <w:b/>
          <w:bCs/>
          <w:color w:val="000000" w:themeColor="text1"/>
          <w:sz w:val="22"/>
          <w:szCs w:val="22"/>
          <w:lang w:val="gsw-FR"/>
        </w:rPr>
        <w:t xml:space="preserve">Immediate term (Year 1): </w:t>
      </w:r>
      <w:r w:rsidRPr="00A92C6D">
        <w:rPr>
          <w:rFonts w:asciiTheme="minorHAnsi" w:hAnsiTheme="minorHAnsi" w:cstheme="minorHAnsi"/>
          <w:color w:val="000000" w:themeColor="text1"/>
          <w:sz w:val="22"/>
          <w:szCs w:val="22"/>
          <w:lang w:val="gsw-FR"/>
        </w:rPr>
        <w:t>Establish baseline gender assessments for all participating water bodies; develop and disseminate harmonised gender-disaggregated data collection tools; conduct initial capacity building workshops; integrate gender considerations into all project planning processes; initiate safety audits of water collection points in rural Albania and BiH.</w:t>
      </w:r>
    </w:p>
    <w:p w14:paraId="06546A76" w14:textId="77777777" w:rsidR="00E03741" w:rsidRPr="00A92C6D"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lang w:val="gsw-FR"/>
        </w:rPr>
      </w:pPr>
      <w:r w:rsidRPr="00A92C6D">
        <w:rPr>
          <w:rFonts w:asciiTheme="minorHAnsi" w:hAnsiTheme="minorHAnsi" w:cstheme="minorHAnsi"/>
          <w:b/>
          <w:bCs/>
          <w:color w:val="000000" w:themeColor="text1"/>
          <w:sz w:val="22"/>
          <w:szCs w:val="22"/>
          <w:lang w:val="gsw-FR"/>
        </w:rPr>
        <w:t xml:space="preserve">Medium term (Years 2–3): </w:t>
      </w:r>
      <w:r w:rsidRPr="00A92C6D">
        <w:rPr>
          <w:rFonts w:asciiTheme="minorHAnsi" w:hAnsiTheme="minorHAnsi" w:cstheme="minorHAnsi"/>
          <w:color w:val="000000" w:themeColor="text1"/>
          <w:sz w:val="22"/>
          <w:szCs w:val="22"/>
          <w:lang w:val="gsw-FR"/>
        </w:rPr>
        <w:t>Support development or strengthening of national action plans for gender equality in water governance; facilitate regional exchange of best practices; implement targeted interventions to increase women’s participation in technical careers; initiate baseline research on the water–GBV nexus; support Montenegro’s commissioning of a national time-use survey.</w:t>
      </w:r>
    </w:p>
    <w:p w14:paraId="6F84D49B" w14:textId="77777777" w:rsidR="00E03741" w:rsidRPr="00A92C6D" w:rsidRDefault="00E03741" w:rsidP="00E73104">
      <w:pPr>
        <w:pStyle w:val="Pasussalistom"/>
        <w:numPr>
          <w:ilvl w:val="0"/>
          <w:numId w:val="2"/>
        </w:numPr>
        <w:contextualSpacing w:val="0"/>
        <w:jc w:val="both"/>
        <w:rPr>
          <w:rFonts w:asciiTheme="minorHAnsi" w:hAnsiTheme="minorHAnsi" w:cstheme="minorHAnsi"/>
          <w:color w:val="000000" w:themeColor="text1"/>
          <w:sz w:val="22"/>
          <w:szCs w:val="22"/>
          <w:lang w:val="gsw-FR"/>
        </w:rPr>
      </w:pPr>
      <w:r w:rsidRPr="00A92C6D">
        <w:rPr>
          <w:rFonts w:asciiTheme="minorHAnsi" w:hAnsiTheme="minorHAnsi" w:cstheme="minorHAnsi"/>
          <w:b/>
          <w:bCs/>
          <w:color w:val="000000" w:themeColor="text1"/>
          <w:sz w:val="22"/>
          <w:szCs w:val="22"/>
          <w:lang w:val="gsw-FR"/>
        </w:rPr>
        <w:t xml:space="preserve">Longer term (Years 4–5 and beyond): </w:t>
      </w:r>
      <w:r w:rsidRPr="00A92C6D">
        <w:rPr>
          <w:rFonts w:asciiTheme="minorHAnsi" w:hAnsiTheme="minorHAnsi" w:cstheme="minorHAnsi"/>
          <w:color w:val="000000" w:themeColor="text1"/>
          <w:sz w:val="22"/>
          <w:szCs w:val="22"/>
          <w:lang w:val="gsw-FR"/>
        </w:rPr>
        <w:t>Support institutionalisation of gender mainstreaming mechanisms within permanent water governance structures; document and disseminate lessons learned; advocate for strengthened policy frameworks based on evidence generated; ensure gender considerations are integrated into transboundary water governance mechanisms across the Dinaric Karst region.</w:t>
      </w:r>
    </w:p>
    <w:p w14:paraId="55DD30CC" w14:textId="77777777" w:rsidR="00E03741" w:rsidRPr="00A92C6D" w:rsidRDefault="00E03741" w:rsidP="00E73104">
      <w:pPr>
        <w:jc w:val="both"/>
        <w:rPr>
          <w:rFonts w:asciiTheme="minorHAnsi" w:hAnsiTheme="minorHAnsi" w:cstheme="minorHAnsi"/>
          <w:color w:val="000000" w:themeColor="text1"/>
          <w:sz w:val="22"/>
          <w:szCs w:val="22"/>
          <w:lang w:val="gsw-FR"/>
        </w:rPr>
      </w:pPr>
      <w:r w:rsidRPr="00A92C6D">
        <w:rPr>
          <w:rFonts w:asciiTheme="minorHAnsi" w:hAnsiTheme="minorHAnsi" w:cstheme="minorHAnsi"/>
          <w:color w:val="000000" w:themeColor="text1"/>
          <w:sz w:val="22"/>
          <w:szCs w:val="22"/>
          <w:lang w:val="gsw-FR"/>
        </w:rPr>
        <w:br w:type="page"/>
      </w:r>
    </w:p>
    <w:p w14:paraId="21A5F0EE" w14:textId="77777777" w:rsidR="00E03741" w:rsidRPr="00556170" w:rsidRDefault="00E03741" w:rsidP="00E73104">
      <w:pPr>
        <w:pStyle w:val="Naslov1"/>
        <w:pBdr>
          <w:bottom w:val="single" w:sz="8" w:space="4" w:color="2E75B6"/>
        </w:pBdr>
        <w:spacing w:before="0" w:after="0"/>
        <w:jc w:val="both"/>
        <w:rPr>
          <w:rFonts w:asciiTheme="minorHAnsi" w:hAnsiTheme="minorHAnsi" w:cstheme="minorHAnsi"/>
          <w:sz w:val="22"/>
          <w:szCs w:val="22"/>
        </w:rPr>
      </w:pPr>
      <w:bookmarkStart w:id="51" w:name="_Toc224127238"/>
      <w:bookmarkStart w:id="52" w:name="_Toc224128634"/>
      <w:r w:rsidRPr="00556170">
        <w:rPr>
          <w:rFonts w:asciiTheme="minorHAnsi" w:eastAsia="Arial" w:hAnsiTheme="minorHAnsi" w:cstheme="minorHAnsi"/>
          <w:b/>
          <w:bCs/>
          <w:color w:val="1F4E79"/>
          <w:sz w:val="22"/>
          <w:szCs w:val="22"/>
        </w:rPr>
        <w:lastRenderedPageBreak/>
        <w:t>ANNEXES</w:t>
      </w:r>
      <w:bookmarkEnd w:id="51"/>
      <w:bookmarkEnd w:id="52"/>
    </w:p>
    <w:p w14:paraId="7618A6BC" w14:textId="77777777" w:rsidR="00E03741" w:rsidRPr="00556170" w:rsidRDefault="00E03741" w:rsidP="00E73104">
      <w:pPr>
        <w:pStyle w:val="Naslov2"/>
        <w:spacing w:before="0" w:after="0"/>
        <w:jc w:val="both"/>
        <w:rPr>
          <w:rFonts w:asciiTheme="minorHAnsi" w:hAnsiTheme="minorHAnsi" w:cstheme="minorHAnsi"/>
          <w:sz w:val="22"/>
          <w:szCs w:val="22"/>
        </w:rPr>
      </w:pPr>
      <w:bookmarkStart w:id="53" w:name="_Toc224127239"/>
      <w:bookmarkStart w:id="54" w:name="_Toc224128635"/>
      <w:r w:rsidRPr="00556170">
        <w:rPr>
          <w:rFonts w:asciiTheme="minorHAnsi" w:eastAsia="Arial" w:hAnsiTheme="minorHAnsi" w:cstheme="minorHAnsi"/>
          <w:b/>
          <w:bCs/>
          <w:color w:val="2E75B6"/>
          <w:sz w:val="22"/>
          <w:szCs w:val="22"/>
        </w:rPr>
        <w:t>Annex A: Country Profile Summaries</w:t>
      </w:r>
      <w:bookmarkEnd w:id="53"/>
      <w:bookmarkEnd w:id="54"/>
    </w:p>
    <w:p w14:paraId="2AC1770E" w14:textId="0E590943" w:rsidR="00E03741" w:rsidRPr="000A533E" w:rsidRDefault="00E03741" w:rsidP="000A533E">
      <w:pPr>
        <w:pStyle w:val="Naslov3"/>
        <w:shd w:val="clear" w:color="auto" w:fill="2F5496" w:themeFill="accent1" w:themeFillShade="BF"/>
        <w:spacing w:before="0" w:after="0"/>
        <w:jc w:val="both"/>
        <w:rPr>
          <w:rFonts w:asciiTheme="minorHAnsi" w:hAnsiTheme="minorHAnsi" w:cstheme="minorHAnsi"/>
          <w:color w:val="FFFFFF" w:themeColor="background1"/>
          <w:sz w:val="22"/>
          <w:szCs w:val="22"/>
        </w:rPr>
      </w:pPr>
      <w:bookmarkStart w:id="55" w:name="_Toc224127240"/>
      <w:bookmarkStart w:id="56" w:name="_Toc224128636"/>
      <w:r w:rsidRPr="000A533E">
        <w:rPr>
          <w:rFonts w:asciiTheme="minorHAnsi" w:eastAsia="Arial" w:hAnsiTheme="minorHAnsi" w:cstheme="minorHAnsi"/>
          <w:b/>
          <w:bCs/>
          <w:color w:val="FFFFFF" w:themeColor="background1"/>
          <w:sz w:val="22"/>
          <w:szCs w:val="22"/>
        </w:rPr>
        <w:t>A.1 Albania Country Profile</w:t>
      </w:r>
      <w:bookmarkEnd w:id="55"/>
      <w:bookmarkEnd w:id="56"/>
    </w:p>
    <w:p w14:paraId="5B011832" w14:textId="77777777" w:rsidR="00E03741" w:rsidRPr="000A533E" w:rsidRDefault="00E03741" w:rsidP="00E73104">
      <w:pPr>
        <w:jc w:val="both"/>
        <w:rPr>
          <w:rFonts w:asciiTheme="minorHAnsi" w:hAnsiTheme="minorHAnsi" w:cstheme="minorHAnsi"/>
          <w:color w:val="000000" w:themeColor="text1"/>
          <w:sz w:val="22"/>
          <w:szCs w:val="22"/>
        </w:rPr>
      </w:pPr>
      <w:r w:rsidRPr="000A533E">
        <w:rPr>
          <w:rFonts w:asciiTheme="minorHAnsi" w:hAnsiTheme="minorHAnsi" w:cstheme="minorHAnsi"/>
          <w:b/>
          <w:bCs/>
          <w:color w:val="000000" w:themeColor="text1"/>
          <w:sz w:val="22"/>
          <w:szCs w:val="22"/>
        </w:rPr>
        <w:t xml:space="preserve">Population and Demographics: </w:t>
      </w:r>
      <w:r w:rsidRPr="000A533E">
        <w:rPr>
          <w:rFonts w:asciiTheme="minorHAnsi" w:hAnsiTheme="minorHAnsi" w:cstheme="minorHAnsi"/>
          <w:color w:val="000000" w:themeColor="text1"/>
          <w:sz w:val="22"/>
          <w:szCs w:val="22"/>
        </w:rPr>
        <w:t>Albania’s population stands at approximately 2.4 million (2023 Census; INSTAT, 2023), representing a decline of approximately 420,000 since 2011. Women constitute 50.4% of the population. Life expectancy is 78 years for males and 82 years for females (WHO, 2024). The total fertility rate is 1.32 children per woman (INSTAT, 2023).</w:t>
      </w:r>
    </w:p>
    <w:p w14:paraId="540A1446" w14:textId="77777777" w:rsidR="00E03741" w:rsidRPr="000A533E" w:rsidRDefault="00E03741" w:rsidP="00E73104">
      <w:pPr>
        <w:jc w:val="both"/>
        <w:rPr>
          <w:rFonts w:asciiTheme="minorHAnsi" w:hAnsiTheme="minorHAnsi" w:cstheme="minorHAnsi"/>
          <w:color w:val="000000" w:themeColor="text1"/>
          <w:sz w:val="22"/>
          <w:szCs w:val="22"/>
        </w:rPr>
      </w:pPr>
      <w:r w:rsidRPr="000A533E">
        <w:rPr>
          <w:rFonts w:asciiTheme="minorHAnsi" w:hAnsiTheme="minorHAnsi" w:cstheme="minorHAnsi"/>
          <w:b/>
          <w:bCs/>
          <w:color w:val="000000" w:themeColor="text1"/>
          <w:sz w:val="22"/>
          <w:szCs w:val="22"/>
        </w:rPr>
        <w:t xml:space="preserve">Gender Parity Index: </w:t>
      </w:r>
      <w:r w:rsidRPr="000A533E">
        <w:rPr>
          <w:rFonts w:asciiTheme="minorHAnsi" w:hAnsiTheme="minorHAnsi" w:cstheme="minorHAnsi"/>
          <w:color w:val="000000" w:themeColor="text1"/>
          <w:sz w:val="22"/>
          <w:szCs w:val="22"/>
        </w:rPr>
        <w:t xml:space="preserve">Primary school enrolment GPI: 1.018 (2021; UNESCO UIS via World Bank, 2023). Secondary school enrolment GPI: 1.031 (2021; UNESCO UIS via World Bank, 2023). Female </w:t>
      </w:r>
      <w:proofErr w:type="spellStart"/>
      <w:r w:rsidRPr="000A533E">
        <w:rPr>
          <w:rFonts w:asciiTheme="minorHAnsi" w:hAnsiTheme="minorHAnsi" w:cstheme="minorHAnsi"/>
          <w:color w:val="000000" w:themeColor="text1"/>
          <w:sz w:val="22"/>
          <w:szCs w:val="22"/>
        </w:rPr>
        <w:t>labour</w:t>
      </w:r>
      <w:proofErr w:type="spellEnd"/>
      <w:r w:rsidRPr="000A533E">
        <w:rPr>
          <w:rFonts w:asciiTheme="minorHAnsi" w:hAnsiTheme="minorHAnsi" w:cstheme="minorHAnsi"/>
          <w:color w:val="000000" w:themeColor="text1"/>
          <w:sz w:val="22"/>
          <w:szCs w:val="22"/>
        </w:rPr>
        <w:t xml:space="preserve"> force participation rate: 57.95% (2023; World Bank/INSTAT). WEF Global Gender Gap Index 2024 score: 0.780 (Rank 24/146; WEF, 2024).</w:t>
      </w:r>
    </w:p>
    <w:p w14:paraId="21B8A0AA" w14:textId="77777777" w:rsidR="00E03741" w:rsidRPr="000A533E" w:rsidRDefault="00E03741" w:rsidP="00E73104">
      <w:pPr>
        <w:jc w:val="both"/>
        <w:rPr>
          <w:rFonts w:asciiTheme="minorHAnsi" w:hAnsiTheme="minorHAnsi" w:cstheme="minorHAnsi"/>
          <w:color w:val="000000" w:themeColor="text1"/>
          <w:sz w:val="22"/>
          <w:szCs w:val="22"/>
        </w:rPr>
      </w:pPr>
      <w:r w:rsidRPr="000A533E">
        <w:rPr>
          <w:rFonts w:asciiTheme="minorHAnsi" w:hAnsiTheme="minorHAnsi" w:cstheme="minorHAnsi"/>
          <w:b/>
          <w:bCs/>
          <w:color w:val="000000" w:themeColor="text1"/>
          <w:sz w:val="22"/>
          <w:szCs w:val="22"/>
        </w:rPr>
        <w:t xml:space="preserve">Legal Framework: </w:t>
      </w:r>
      <w:r w:rsidRPr="000A533E">
        <w:rPr>
          <w:rFonts w:asciiTheme="minorHAnsi" w:hAnsiTheme="minorHAnsi" w:cstheme="minorHAnsi"/>
          <w:color w:val="000000" w:themeColor="text1"/>
          <w:sz w:val="22"/>
          <w:szCs w:val="22"/>
        </w:rPr>
        <w:t>Albania ratified CEDAW in 1994. The Law on Gender Equality (2008) provides protection from gender-based discrimination and establishes a 30% minimum gender representation principle for public institutions. The National Strategy for Gender Equality 2021–2030 guides national efforts.</w:t>
      </w:r>
    </w:p>
    <w:p w14:paraId="42F86E6D" w14:textId="77777777" w:rsidR="00E03741" w:rsidRDefault="00E03741" w:rsidP="00E73104">
      <w:pPr>
        <w:jc w:val="both"/>
        <w:rPr>
          <w:rFonts w:asciiTheme="minorHAnsi" w:hAnsiTheme="minorHAnsi" w:cstheme="minorHAnsi"/>
          <w:color w:val="000000" w:themeColor="text1"/>
          <w:sz w:val="22"/>
          <w:szCs w:val="22"/>
        </w:rPr>
      </w:pPr>
      <w:r w:rsidRPr="000A533E">
        <w:rPr>
          <w:rFonts w:asciiTheme="minorHAnsi" w:hAnsiTheme="minorHAnsi" w:cstheme="minorHAnsi"/>
          <w:b/>
          <w:bCs/>
          <w:color w:val="000000" w:themeColor="text1"/>
          <w:sz w:val="22"/>
          <w:szCs w:val="22"/>
        </w:rPr>
        <w:t xml:space="preserve">Key Gender Indicators: </w:t>
      </w:r>
      <w:r w:rsidRPr="000A533E">
        <w:rPr>
          <w:rFonts w:asciiTheme="minorHAnsi" w:hAnsiTheme="minorHAnsi" w:cstheme="minorHAnsi"/>
          <w:color w:val="000000" w:themeColor="text1"/>
          <w:sz w:val="22"/>
          <w:szCs w:val="22"/>
        </w:rPr>
        <w:t>Women hold 35% of parliamentary seats (May 2025; IPU) and 44.4% of cabinet positions (September 2025; Government of Albania). In water utilities, women represent 10–40% of staff (2021; Water Sector Gender Assessment), concentrated in administrative roles. Only 8% of women own land (INSTAT, 2023). The gender pay gap is 6.6% (2021; UNDP Albania). Women spend 24.7% of their time on unpaid care work compared to 3.5% for men (2010–2011; INSTAT Time Use Survey). GBV lifetime prevalence: 52.9% (INSTAT/UN Women/UNDP, 2019).</w:t>
      </w:r>
    </w:p>
    <w:p w14:paraId="32C3CB12" w14:textId="77777777" w:rsidR="000A533E" w:rsidRPr="000A533E" w:rsidRDefault="000A533E" w:rsidP="00E73104">
      <w:pPr>
        <w:jc w:val="both"/>
        <w:rPr>
          <w:rFonts w:asciiTheme="minorHAnsi" w:hAnsiTheme="minorHAnsi" w:cstheme="minorHAnsi"/>
          <w:color w:val="000000" w:themeColor="text1"/>
          <w:sz w:val="22"/>
          <w:szCs w:val="22"/>
        </w:rPr>
      </w:pPr>
    </w:p>
    <w:p w14:paraId="4FB12F2D" w14:textId="1C522E62" w:rsidR="00E03741" w:rsidRPr="000A533E" w:rsidRDefault="00E03741" w:rsidP="000A533E">
      <w:pPr>
        <w:pStyle w:val="Naslov3"/>
        <w:shd w:val="clear" w:color="auto" w:fill="2F5496" w:themeFill="accent1" w:themeFillShade="BF"/>
        <w:spacing w:before="0" w:after="0"/>
        <w:jc w:val="both"/>
        <w:rPr>
          <w:rFonts w:asciiTheme="minorHAnsi" w:hAnsiTheme="minorHAnsi" w:cstheme="minorHAnsi"/>
          <w:color w:val="FFFFFF" w:themeColor="background1"/>
          <w:sz w:val="22"/>
          <w:szCs w:val="22"/>
        </w:rPr>
      </w:pPr>
      <w:bookmarkStart w:id="57" w:name="_Toc224127241"/>
      <w:bookmarkStart w:id="58" w:name="_Toc224128637"/>
      <w:r w:rsidRPr="000A533E">
        <w:rPr>
          <w:rFonts w:asciiTheme="minorHAnsi" w:eastAsia="Arial" w:hAnsiTheme="minorHAnsi" w:cstheme="minorHAnsi"/>
          <w:b/>
          <w:bCs/>
          <w:color w:val="FFFFFF" w:themeColor="background1"/>
          <w:sz w:val="22"/>
          <w:szCs w:val="22"/>
        </w:rPr>
        <w:t>A.2 Bosnia and Herzegovina Country Profile</w:t>
      </w:r>
      <w:bookmarkEnd w:id="57"/>
      <w:bookmarkEnd w:id="58"/>
    </w:p>
    <w:p w14:paraId="5B6BBA8C" w14:textId="77777777" w:rsidR="00E03741" w:rsidRPr="000A533E" w:rsidRDefault="00E03741" w:rsidP="00E73104">
      <w:pPr>
        <w:jc w:val="both"/>
        <w:rPr>
          <w:rFonts w:asciiTheme="minorHAnsi" w:hAnsiTheme="minorHAnsi" w:cstheme="minorHAnsi"/>
          <w:color w:val="000000" w:themeColor="text1"/>
          <w:sz w:val="22"/>
          <w:szCs w:val="22"/>
        </w:rPr>
      </w:pPr>
      <w:r w:rsidRPr="000A533E">
        <w:rPr>
          <w:rFonts w:asciiTheme="minorHAnsi" w:hAnsiTheme="minorHAnsi" w:cstheme="minorHAnsi"/>
          <w:b/>
          <w:bCs/>
          <w:color w:val="000000" w:themeColor="text1"/>
          <w:sz w:val="22"/>
          <w:szCs w:val="22"/>
        </w:rPr>
        <w:t xml:space="preserve">Population and Demographics: </w:t>
      </w:r>
      <w:r w:rsidRPr="000A533E">
        <w:rPr>
          <w:rFonts w:asciiTheme="minorHAnsi" w:hAnsiTheme="minorHAnsi" w:cstheme="minorHAnsi"/>
          <w:color w:val="000000" w:themeColor="text1"/>
          <w:sz w:val="22"/>
          <w:szCs w:val="22"/>
        </w:rPr>
        <w:t>The population is estimated at 3.27 million (2025; BHAS), with women comprising more than 50%. Life expectancy is 75.02 years for males and 81.15 years for females (WHO, 2024). Adult literacy rates are 99.4% for males and 97.1% for females (BHAS, 2022).</w:t>
      </w:r>
    </w:p>
    <w:p w14:paraId="4EE06799" w14:textId="77777777" w:rsidR="00E03741" w:rsidRPr="000A533E" w:rsidRDefault="00E03741" w:rsidP="00E73104">
      <w:pPr>
        <w:jc w:val="both"/>
        <w:rPr>
          <w:rFonts w:asciiTheme="minorHAnsi" w:hAnsiTheme="minorHAnsi" w:cstheme="minorHAnsi"/>
          <w:color w:val="000000" w:themeColor="text1"/>
          <w:sz w:val="22"/>
          <w:szCs w:val="22"/>
        </w:rPr>
      </w:pPr>
      <w:r w:rsidRPr="000A533E">
        <w:rPr>
          <w:rFonts w:asciiTheme="minorHAnsi" w:hAnsiTheme="minorHAnsi" w:cstheme="minorHAnsi"/>
          <w:b/>
          <w:bCs/>
          <w:color w:val="000000" w:themeColor="text1"/>
          <w:sz w:val="22"/>
          <w:szCs w:val="22"/>
        </w:rPr>
        <w:t xml:space="preserve">Gender Parity Index: </w:t>
      </w:r>
      <w:r w:rsidRPr="000A533E">
        <w:rPr>
          <w:rFonts w:asciiTheme="minorHAnsi" w:hAnsiTheme="minorHAnsi" w:cstheme="minorHAnsi"/>
          <w:color w:val="000000" w:themeColor="text1"/>
          <w:sz w:val="22"/>
          <w:szCs w:val="22"/>
        </w:rPr>
        <w:t xml:space="preserve">Education sub-index score: 0.992 (WEF Global Gender Gap Report, 2024). Female </w:t>
      </w:r>
      <w:proofErr w:type="spellStart"/>
      <w:r w:rsidRPr="000A533E">
        <w:rPr>
          <w:rFonts w:asciiTheme="minorHAnsi" w:hAnsiTheme="minorHAnsi" w:cstheme="minorHAnsi"/>
          <w:color w:val="000000" w:themeColor="text1"/>
          <w:sz w:val="22"/>
          <w:szCs w:val="22"/>
        </w:rPr>
        <w:t>labour</w:t>
      </w:r>
      <w:proofErr w:type="spellEnd"/>
      <w:r w:rsidRPr="000A533E">
        <w:rPr>
          <w:rFonts w:asciiTheme="minorHAnsi" w:hAnsiTheme="minorHAnsi" w:cstheme="minorHAnsi"/>
          <w:color w:val="000000" w:themeColor="text1"/>
          <w:sz w:val="22"/>
          <w:szCs w:val="22"/>
        </w:rPr>
        <w:t xml:space="preserve"> force participation rate: below 55% (2023; BHAS). WEF Global Gender Gap Index 2024 score: 0.710 (Rank 80/146; WEF, 2024). GBV lifetime prevalence: approximately 48% (OSCE, 2019).</w:t>
      </w:r>
    </w:p>
    <w:p w14:paraId="11F33127" w14:textId="77777777" w:rsidR="00E03741" w:rsidRDefault="00E03741" w:rsidP="00E73104">
      <w:pPr>
        <w:jc w:val="both"/>
        <w:rPr>
          <w:rFonts w:asciiTheme="minorHAnsi" w:hAnsiTheme="minorHAnsi" w:cstheme="minorHAnsi"/>
          <w:color w:val="000000" w:themeColor="text1"/>
          <w:sz w:val="22"/>
          <w:szCs w:val="22"/>
        </w:rPr>
      </w:pPr>
      <w:r w:rsidRPr="000A533E">
        <w:rPr>
          <w:rFonts w:asciiTheme="minorHAnsi" w:hAnsiTheme="minorHAnsi" w:cstheme="minorHAnsi"/>
          <w:b/>
          <w:bCs/>
          <w:color w:val="000000" w:themeColor="text1"/>
          <w:sz w:val="22"/>
          <w:szCs w:val="22"/>
        </w:rPr>
        <w:t xml:space="preserve">Key Gender Indicators: </w:t>
      </w:r>
      <w:r w:rsidRPr="000A533E">
        <w:rPr>
          <w:rFonts w:asciiTheme="minorHAnsi" w:hAnsiTheme="minorHAnsi" w:cstheme="minorHAnsi"/>
          <w:color w:val="000000" w:themeColor="text1"/>
          <w:sz w:val="22"/>
          <w:szCs w:val="22"/>
        </w:rPr>
        <w:t xml:space="preserve">Women hold only 19.1% of parliamentary seats despite a 40% electoral quota (2024; Equal Future Eurasia). The gender </w:t>
      </w:r>
      <w:proofErr w:type="gramStart"/>
      <w:r w:rsidRPr="000A533E">
        <w:rPr>
          <w:rFonts w:asciiTheme="minorHAnsi" w:hAnsiTheme="minorHAnsi" w:cstheme="minorHAnsi"/>
          <w:color w:val="000000" w:themeColor="text1"/>
          <w:sz w:val="22"/>
          <w:szCs w:val="22"/>
        </w:rPr>
        <w:t>pay</w:t>
      </w:r>
      <w:proofErr w:type="gramEnd"/>
      <w:r w:rsidRPr="000A533E">
        <w:rPr>
          <w:rFonts w:asciiTheme="minorHAnsi" w:hAnsiTheme="minorHAnsi" w:cstheme="minorHAnsi"/>
          <w:color w:val="000000" w:themeColor="text1"/>
          <w:sz w:val="22"/>
          <w:szCs w:val="22"/>
        </w:rPr>
        <w:t xml:space="preserve"> gap ranges from 22–24% (2023; BHAS). Women constitute 67% of total unpaid household assistants (2022; UN Women). Only 46% of the population has access to safely managed drinking water (2022; WHO/UNICEF JMP). Women’s GNI per capita is only 53.7% of men’s (2022; UN Women/BHAS).</w:t>
      </w:r>
    </w:p>
    <w:p w14:paraId="2B75AF20" w14:textId="77777777" w:rsidR="000A533E" w:rsidRPr="000A533E" w:rsidRDefault="000A533E" w:rsidP="00E73104">
      <w:pPr>
        <w:jc w:val="both"/>
        <w:rPr>
          <w:rFonts w:asciiTheme="minorHAnsi" w:hAnsiTheme="minorHAnsi" w:cstheme="minorHAnsi"/>
          <w:color w:val="000000" w:themeColor="text1"/>
          <w:sz w:val="22"/>
          <w:szCs w:val="22"/>
        </w:rPr>
      </w:pPr>
    </w:p>
    <w:p w14:paraId="39B14D1B" w14:textId="5CCC1792" w:rsidR="00E03741" w:rsidRPr="000A533E" w:rsidRDefault="00E03741" w:rsidP="000A533E">
      <w:pPr>
        <w:pStyle w:val="Naslov3"/>
        <w:shd w:val="clear" w:color="auto" w:fill="2F5496" w:themeFill="accent1" w:themeFillShade="BF"/>
        <w:spacing w:before="0" w:after="0"/>
        <w:jc w:val="both"/>
        <w:rPr>
          <w:rFonts w:asciiTheme="minorHAnsi" w:hAnsiTheme="minorHAnsi" w:cstheme="minorHAnsi"/>
          <w:color w:val="FFFFFF" w:themeColor="background1"/>
          <w:sz w:val="22"/>
          <w:szCs w:val="22"/>
        </w:rPr>
      </w:pPr>
      <w:bookmarkStart w:id="59" w:name="_Toc224127242"/>
      <w:bookmarkStart w:id="60" w:name="_Toc224128638"/>
      <w:r w:rsidRPr="000A533E">
        <w:rPr>
          <w:rFonts w:asciiTheme="minorHAnsi" w:eastAsia="Arial" w:hAnsiTheme="minorHAnsi" w:cstheme="minorHAnsi"/>
          <w:b/>
          <w:bCs/>
          <w:color w:val="FFFFFF" w:themeColor="background1"/>
          <w:sz w:val="22"/>
          <w:szCs w:val="22"/>
        </w:rPr>
        <w:t>A.3 Croatia Country Profile</w:t>
      </w:r>
      <w:bookmarkEnd w:id="59"/>
      <w:bookmarkEnd w:id="60"/>
    </w:p>
    <w:p w14:paraId="61E7D787" w14:textId="77777777" w:rsidR="00E03741" w:rsidRPr="000A533E" w:rsidRDefault="00E03741" w:rsidP="00E73104">
      <w:pPr>
        <w:jc w:val="both"/>
        <w:rPr>
          <w:rFonts w:asciiTheme="minorHAnsi" w:hAnsiTheme="minorHAnsi" w:cstheme="minorHAnsi"/>
          <w:color w:val="000000" w:themeColor="text1"/>
          <w:sz w:val="22"/>
          <w:szCs w:val="22"/>
        </w:rPr>
      </w:pPr>
      <w:r w:rsidRPr="000A533E">
        <w:rPr>
          <w:rFonts w:asciiTheme="minorHAnsi" w:hAnsiTheme="minorHAnsi" w:cstheme="minorHAnsi"/>
          <w:b/>
          <w:bCs/>
          <w:color w:val="000000" w:themeColor="text1"/>
          <w:sz w:val="22"/>
          <w:szCs w:val="22"/>
        </w:rPr>
        <w:t xml:space="preserve">Population and Demographics: </w:t>
      </w:r>
      <w:r w:rsidRPr="000A533E">
        <w:rPr>
          <w:rFonts w:asciiTheme="minorHAnsi" w:hAnsiTheme="minorHAnsi" w:cstheme="minorHAnsi"/>
          <w:color w:val="000000" w:themeColor="text1"/>
          <w:sz w:val="22"/>
          <w:szCs w:val="22"/>
        </w:rPr>
        <w:t>The 2021 Census recorded a population of 3.87 million (Croatian Bureau of Statistics, 2021), with women comprising 51.8%. Life expectancy is 75.4 years for males and 81.8 years for females (Eurostat, 2023). Women account for 59.9% of university graduates and 55.4% of PhD holders (CBS, 2021).</w:t>
      </w:r>
    </w:p>
    <w:p w14:paraId="16444444" w14:textId="77777777" w:rsidR="00E03741" w:rsidRPr="000A533E" w:rsidRDefault="00E03741" w:rsidP="00E73104">
      <w:pPr>
        <w:jc w:val="both"/>
        <w:rPr>
          <w:rFonts w:asciiTheme="minorHAnsi" w:hAnsiTheme="minorHAnsi" w:cstheme="minorHAnsi"/>
          <w:color w:val="000000" w:themeColor="text1"/>
          <w:sz w:val="22"/>
          <w:szCs w:val="22"/>
        </w:rPr>
      </w:pPr>
      <w:r w:rsidRPr="000A533E">
        <w:rPr>
          <w:rFonts w:asciiTheme="minorHAnsi" w:hAnsiTheme="minorHAnsi" w:cstheme="minorHAnsi"/>
          <w:b/>
          <w:bCs/>
          <w:color w:val="000000" w:themeColor="text1"/>
          <w:sz w:val="22"/>
          <w:szCs w:val="22"/>
        </w:rPr>
        <w:t xml:space="preserve">Gender Parity Index: </w:t>
      </w:r>
      <w:r w:rsidRPr="000A533E">
        <w:rPr>
          <w:rFonts w:asciiTheme="minorHAnsi" w:hAnsiTheme="minorHAnsi" w:cstheme="minorHAnsi"/>
          <w:color w:val="000000" w:themeColor="text1"/>
          <w:sz w:val="22"/>
          <w:szCs w:val="22"/>
        </w:rPr>
        <w:t>Education sub-index score: 0.998 (WEF, 2024). EIGE Gender Equality Index score: 60.7/100 (below EU average of 70.2; EIGE, 2024). WEF Global Gender Gap Index 2024 score: 0.723 (Rank 62/146; WEF, 2024). EIGE ‘Time’ domain score: 48.6/100 (largest gender gap in EU in unpaid care; EIGE, 2024). Female employment rate: 65.0% (</w:t>
      </w:r>
      <w:proofErr w:type="gramStart"/>
      <w:r w:rsidRPr="000A533E">
        <w:rPr>
          <w:rFonts w:asciiTheme="minorHAnsi" w:hAnsiTheme="minorHAnsi" w:cstheme="minorHAnsi"/>
          <w:color w:val="000000" w:themeColor="text1"/>
          <w:sz w:val="22"/>
          <w:szCs w:val="22"/>
        </w:rPr>
        <w:t>fifth-lowest</w:t>
      </w:r>
      <w:proofErr w:type="gramEnd"/>
      <w:r w:rsidRPr="000A533E">
        <w:rPr>
          <w:rFonts w:asciiTheme="minorHAnsi" w:hAnsiTheme="minorHAnsi" w:cstheme="minorHAnsi"/>
          <w:color w:val="000000" w:themeColor="text1"/>
          <w:sz w:val="22"/>
          <w:szCs w:val="22"/>
        </w:rPr>
        <w:t xml:space="preserve"> in EU; Eurostat, 2023).</w:t>
      </w:r>
    </w:p>
    <w:p w14:paraId="53FB9F99" w14:textId="77777777" w:rsidR="00E03741" w:rsidRPr="000A533E" w:rsidRDefault="00E03741" w:rsidP="00E73104">
      <w:pPr>
        <w:jc w:val="both"/>
        <w:rPr>
          <w:rFonts w:asciiTheme="minorHAnsi" w:hAnsiTheme="minorHAnsi" w:cstheme="minorHAnsi"/>
          <w:color w:val="000000" w:themeColor="text1"/>
          <w:sz w:val="22"/>
          <w:szCs w:val="22"/>
        </w:rPr>
      </w:pPr>
      <w:r w:rsidRPr="000A533E">
        <w:rPr>
          <w:rFonts w:asciiTheme="minorHAnsi" w:hAnsiTheme="minorHAnsi" w:cstheme="minorHAnsi"/>
          <w:b/>
          <w:bCs/>
          <w:color w:val="000000" w:themeColor="text1"/>
          <w:sz w:val="22"/>
          <w:szCs w:val="22"/>
        </w:rPr>
        <w:t xml:space="preserve">Key Gender Indicators: </w:t>
      </w:r>
      <w:r w:rsidRPr="000A533E">
        <w:rPr>
          <w:rFonts w:asciiTheme="minorHAnsi" w:hAnsiTheme="minorHAnsi" w:cstheme="minorHAnsi"/>
          <w:color w:val="000000" w:themeColor="text1"/>
          <w:sz w:val="22"/>
          <w:szCs w:val="22"/>
        </w:rPr>
        <w:t>Women comprise 46.8% of Croatian Waters staff (2025; Croatian Waters) but hold 0% of General Director/Deputy positions. Women hold 33.1% of parliamentary seats (2024; IPU). Gender wage gap: 11.1% (2023; Eurostat). Gender pension gap: 24.8% (2023; Eurostat). GBV lifetime prevalence: 25.3% (FRA/EU-GBV Survey, 2024).</w:t>
      </w:r>
    </w:p>
    <w:p w14:paraId="77268194" w14:textId="22A073E6" w:rsidR="00E03741" w:rsidRPr="000A533E" w:rsidRDefault="00E03741" w:rsidP="000A533E">
      <w:pPr>
        <w:pStyle w:val="Naslov3"/>
        <w:shd w:val="clear" w:color="auto" w:fill="2F5496" w:themeFill="accent1" w:themeFillShade="BF"/>
        <w:spacing w:before="0" w:after="0"/>
        <w:jc w:val="both"/>
        <w:rPr>
          <w:rFonts w:asciiTheme="minorHAnsi" w:hAnsiTheme="minorHAnsi" w:cstheme="minorHAnsi"/>
          <w:color w:val="FFFFFF" w:themeColor="background1"/>
          <w:sz w:val="22"/>
          <w:szCs w:val="22"/>
        </w:rPr>
      </w:pPr>
      <w:bookmarkStart w:id="61" w:name="_Toc224127243"/>
      <w:bookmarkStart w:id="62" w:name="_Toc224128639"/>
      <w:r w:rsidRPr="000A533E">
        <w:rPr>
          <w:rFonts w:asciiTheme="minorHAnsi" w:eastAsia="Arial" w:hAnsiTheme="minorHAnsi" w:cstheme="minorHAnsi"/>
          <w:b/>
          <w:bCs/>
          <w:color w:val="FFFFFF" w:themeColor="background1"/>
          <w:sz w:val="22"/>
          <w:szCs w:val="22"/>
        </w:rPr>
        <w:lastRenderedPageBreak/>
        <w:t>A.4 Montenegro Country Profile</w:t>
      </w:r>
      <w:bookmarkEnd w:id="61"/>
      <w:bookmarkEnd w:id="62"/>
    </w:p>
    <w:p w14:paraId="1B45F22B" w14:textId="77777777" w:rsidR="00E03741" w:rsidRPr="000A533E" w:rsidRDefault="00E03741" w:rsidP="00E73104">
      <w:pPr>
        <w:jc w:val="both"/>
        <w:rPr>
          <w:rFonts w:asciiTheme="minorHAnsi" w:hAnsiTheme="minorHAnsi" w:cstheme="minorHAnsi"/>
          <w:color w:val="000000" w:themeColor="text1"/>
          <w:sz w:val="22"/>
          <w:szCs w:val="22"/>
        </w:rPr>
      </w:pPr>
      <w:r w:rsidRPr="000A533E">
        <w:rPr>
          <w:rFonts w:asciiTheme="minorHAnsi" w:hAnsiTheme="minorHAnsi" w:cstheme="minorHAnsi"/>
          <w:b/>
          <w:bCs/>
          <w:color w:val="000000" w:themeColor="text1"/>
          <w:sz w:val="22"/>
          <w:szCs w:val="22"/>
        </w:rPr>
        <w:t xml:space="preserve">Population and Demographics: </w:t>
      </w:r>
      <w:r w:rsidRPr="000A533E">
        <w:rPr>
          <w:rFonts w:asciiTheme="minorHAnsi" w:hAnsiTheme="minorHAnsi" w:cstheme="minorHAnsi"/>
          <w:color w:val="000000" w:themeColor="text1"/>
          <w:sz w:val="22"/>
          <w:szCs w:val="22"/>
        </w:rPr>
        <w:t>The 2023 Census recorded a population of 623,633 (MONSTAT, 2023). Life expectancy is 75.32 years for males and 80.27 years for females (WHO, 2024). The total fertility rate is 1.81 children per woman (MONSTAT, 2023).</w:t>
      </w:r>
    </w:p>
    <w:p w14:paraId="65682892" w14:textId="77777777" w:rsidR="00E03741" w:rsidRPr="000A533E" w:rsidRDefault="00E03741" w:rsidP="00E73104">
      <w:pPr>
        <w:jc w:val="both"/>
        <w:rPr>
          <w:rFonts w:asciiTheme="minorHAnsi" w:hAnsiTheme="minorHAnsi" w:cstheme="minorHAnsi"/>
          <w:color w:val="000000" w:themeColor="text1"/>
          <w:sz w:val="22"/>
          <w:szCs w:val="22"/>
        </w:rPr>
      </w:pPr>
      <w:r w:rsidRPr="000A533E">
        <w:rPr>
          <w:rFonts w:asciiTheme="minorHAnsi" w:hAnsiTheme="minorHAnsi" w:cstheme="minorHAnsi"/>
          <w:b/>
          <w:bCs/>
          <w:color w:val="000000" w:themeColor="text1"/>
          <w:sz w:val="22"/>
          <w:szCs w:val="22"/>
        </w:rPr>
        <w:t xml:space="preserve">Gender Parity Index: </w:t>
      </w:r>
      <w:r w:rsidRPr="000A533E">
        <w:rPr>
          <w:rFonts w:asciiTheme="minorHAnsi" w:hAnsiTheme="minorHAnsi" w:cstheme="minorHAnsi"/>
          <w:color w:val="000000" w:themeColor="text1"/>
          <w:sz w:val="22"/>
          <w:szCs w:val="22"/>
        </w:rPr>
        <w:t xml:space="preserve">Primary and lower-secondary GPI: 1.007 (2019; UNESCO UIS via World Bank, 2023). Upper-secondary GPI: 1.022 (2019; UNESCO UIS via World Bank, 2023). Female </w:t>
      </w:r>
      <w:proofErr w:type="spellStart"/>
      <w:r w:rsidRPr="000A533E">
        <w:rPr>
          <w:rFonts w:asciiTheme="minorHAnsi" w:hAnsiTheme="minorHAnsi" w:cstheme="minorHAnsi"/>
          <w:color w:val="000000" w:themeColor="text1"/>
          <w:sz w:val="22"/>
          <w:szCs w:val="22"/>
        </w:rPr>
        <w:t>labour</w:t>
      </w:r>
      <w:proofErr w:type="spellEnd"/>
      <w:r w:rsidRPr="000A533E">
        <w:rPr>
          <w:rFonts w:asciiTheme="minorHAnsi" w:hAnsiTheme="minorHAnsi" w:cstheme="minorHAnsi"/>
          <w:color w:val="000000" w:themeColor="text1"/>
          <w:sz w:val="22"/>
          <w:szCs w:val="22"/>
        </w:rPr>
        <w:t xml:space="preserve"> force participation rate: below 55% (2023; MONSTAT). WEF Global Gender Gap Index 2024 score: 0.718 (Rank 67/146; WEF, 2024). EIGE pilot Gender Equality Index score: 59.3/100 (2023; EIGE). No national time-use survey conducted.</w:t>
      </w:r>
    </w:p>
    <w:p w14:paraId="67E957C8" w14:textId="77777777" w:rsidR="00E03741" w:rsidRDefault="00E03741" w:rsidP="00E73104">
      <w:pPr>
        <w:jc w:val="both"/>
        <w:rPr>
          <w:rFonts w:asciiTheme="minorHAnsi" w:hAnsiTheme="minorHAnsi" w:cstheme="minorHAnsi"/>
          <w:color w:val="000000" w:themeColor="text1"/>
          <w:sz w:val="22"/>
          <w:szCs w:val="22"/>
        </w:rPr>
      </w:pPr>
      <w:r w:rsidRPr="000A533E">
        <w:rPr>
          <w:rFonts w:asciiTheme="minorHAnsi" w:hAnsiTheme="minorHAnsi" w:cstheme="minorHAnsi"/>
          <w:b/>
          <w:bCs/>
          <w:color w:val="000000" w:themeColor="text1"/>
          <w:sz w:val="22"/>
          <w:szCs w:val="22"/>
        </w:rPr>
        <w:t xml:space="preserve">Key Gender Indicators: </w:t>
      </w:r>
      <w:r w:rsidRPr="000A533E">
        <w:rPr>
          <w:rFonts w:asciiTheme="minorHAnsi" w:hAnsiTheme="minorHAnsi" w:cstheme="minorHAnsi"/>
          <w:color w:val="000000" w:themeColor="text1"/>
          <w:sz w:val="22"/>
          <w:szCs w:val="22"/>
        </w:rPr>
        <w:t>Women hold 27.2% of parliamentary seats (2023; IPU). Women’s contribution to GDP: 44% compared with 56% for men (2020; UNDP Montenegro). Women constitute 73% of family workers but only 24% of the self-employed (2025; UN Montenegro/MONSTAT). Only 13% of family farm holders are women (UN Montenegro, 2025). Women represent under 20% of water sector workers (2019; World Bank). GBV lifetime prevalence: 20.2% (MONSTAT EU-GBV Survey, 2021).</w:t>
      </w:r>
    </w:p>
    <w:p w14:paraId="7A1E47D1" w14:textId="77777777" w:rsidR="000A533E" w:rsidRPr="000A533E" w:rsidRDefault="000A533E" w:rsidP="00E73104">
      <w:pPr>
        <w:jc w:val="both"/>
        <w:rPr>
          <w:rFonts w:asciiTheme="minorHAnsi" w:hAnsiTheme="minorHAnsi" w:cstheme="minorHAnsi"/>
          <w:color w:val="000000" w:themeColor="text1"/>
          <w:sz w:val="22"/>
          <w:szCs w:val="22"/>
        </w:rPr>
      </w:pPr>
    </w:p>
    <w:p w14:paraId="7DD97F53" w14:textId="77777777" w:rsidR="00E03741" w:rsidRPr="00556170" w:rsidRDefault="00E03741" w:rsidP="00E73104">
      <w:pPr>
        <w:pStyle w:val="Naslov2"/>
        <w:spacing w:before="0" w:after="0"/>
        <w:jc w:val="both"/>
        <w:rPr>
          <w:rFonts w:asciiTheme="minorHAnsi" w:hAnsiTheme="minorHAnsi" w:cstheme="minorHAnsi"/>
          <w:sz w:val="22"/>
          <w:szCs w:val="22"/>
        </w:rPr>
      </w:pPr>
      <w:bookmarkStart w:id="63" w:name="_Toc224127244"/>
      <w:bookmarkStart w:id="64" w:name="_Toc224128640"/>
      <w:r w:rsidRPr="00556170">
        <w:rPr>
          <w:rFonts w:asciiTheme="minorHAnsi" w:eastAsia="Arial" w:hAnsiTheme="minorHAnsi" w:cstheme="minorHAnsi"/>
          <w:b/>
          <w:bCs/>
          <w:color w:val="2E75B6"/>
          <w:sz w:val="22"/>
          <w:szCs w:val="22"/>
        </w:rPr>
        <w:t>Annex B: Stakeholder Mapping</w:t>
      </w:r>
      <w:bookmarkEnd w:id="63"/>
      <w:bookmarkEnd w:id="64"/>
    </w:p>
    <w:p w14:paraId="1BF69408" w14:textId="7AF1B0C4" w:rsidR="00E03741" w:rsidRDefault="00E03741" w:rsidP="00E73104">
      <w:pPr>
        <w:pStyle w:val="Naslov3"/>
        <w:spacing w:before="0" w:after="0"/>
        <w:jc w:val="both"/>
        <w:rPr>
          <w:rFonts w:asciiTheme="minorHAnsi" w:eastAsia="Arial" w:hAnsiTheme="minorHAnsi" w:cstheme="minorHAnsi"/>
          <w:b/>
          <w:bCs/>
          <w:color w:val="404040"/>
          <w:sz w:val="22"/>
          <w:szCs w:val="22"/>
        </w:rPr>
      </w:pPr>
      <w:bookmarkStart w:id="65" w:name="_Toc224127245"/>
      <w:bookmarkStart w:id="66" w:name="_Toc224128641"/>
      <w:r w:rsidRPr="00556170">
        <w:rPr>
          <w:rFonts w:asciiTheme="minorHAnsi" w:eastAsia="Arial" w:hAnsiTheme="minorHAnsi" w:cstheme="minorHAnsi"/>
          <w:b/>
          <w:bCs/>
          <w:color w:val="404040"/>
          <w:sz w:val="22"/>
          <w:szCs w:val="22"/>
        </w:rPr>
        <w:t>B.1 Governmental Institutions</w:t>
      </w:r>
      <w:bookmarkEnd w:id="65"/>
      <w:bookmarkEnd w:id="66"/>
    </w:p>
    <w:p w14:paraId="08E3EAD4" w14:textId="77777777" w:rsidR="00650EF2" w:rsidRPr="00650EF2" w:rsidRDefault="00650EF2" w:rsidP="00650EF2"/>
    <w:tbl>
      <w:tblPr>
        <w:tblW w:w="8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2000"/>
        <w:gridCol w:w="2000"/>
        <w:gridCol w:w="1950"/>
      </w:tblGrid>
      <w:tr w:rsidR="00650EF2" w:rsidRPr="00650EF2" w14:paraId="234E6E48" w14:textId="77777777" w:rsidTr="00650EF2">
        <w:trPr>
          <w:tblHeader/>
          <w:jc w:val="center"/>
        </w:trPr>
        <w:tc>
          <w:tcPr>
            <w:tcW w:w="220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5D99BA91" w14:textId="77777777" w:rsidR="00E03741" w:rsidRPr="00650EF2" w:rsidRDefault="00E03741" w:rsidP="00E73104">
            <w:pPr>
              <w:jc w:val="both"/>
              <w:rPr>
                <w:rFonts w:asciiTheme="minorHAnsi" w:hAnsiTheme="minorHAnsi" w:cstheme="minorHAnsi"/>
                <w:color w:val="FFFFFF" w:themeColor="background1"/>
                <w:sz w:val="22"/>
                <w:szCs w:val="22"/>
              </w:rPr>
            </w:pPr>
            <w:r w:rsidRPr="00650EF2">
              <w:rPr>
                <w:rFonts w:asciiTheme="minorHAnsi" w:hAnsiTheme="minorHAnsi" w:cstheme="minorHAnsi"/>
                <w:b/>
                <w:bCs/>
                <w:color w:val="FFFFFF" w:themeColor="background1"/>
                <w:sz w:val="22"/>
                <w:szCs w:val="22"/>
              </w:rPr>
              <w:t>Country</w:t>
            </w:r>
          </w:p>
        </w:tc>
        <w:tc>
          <w:tcPr>
            <w:tcW w:w="200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6D972756" w14:textId="77777777" w:rsidR="00E03741" w:rsidRPr="00650EF2" w:rsidRDefault="00E03741" w:rsidP="00E73104">
            <w:pPr>
              <w:jc w:val="both"/>
              <w:rPr>
                <w:rFonts w:asciiTheme="minorHAnsi" w:hAnsiTheme="minorHAnsi" w:cstheme="minorHAnsi"/>
                <w:color w:val="FFFFFF" w:themeColor="background1"/>
                <w:sz w:val="22"/>
                <w:szCs w:val="22"/>
              </w:rPr>
            </w:pPr>
            <w:r w:rsidRPr="00650EF2">
              <w:rPr>
                <w:rFonts w:asciiTheme="minorHAnsi" w:hAnsiTheme="minorHAnsi" w:cstheme="minorHAnsi"/>
                <w:b/>
                <w:bCs/>
                <w:color w:val="FFFFFF" w:themeColor="background1"/>
                <w:sz w:val="22"/>
                <w:szCs w:val="22"/>
              </w:rPr>
              <w:t>Water Governance Bodies</w:t>
            </w:r>
          </w:p>
        </w:tc>
        <w:tc>
          <w:tcPr>
            <w:tcW w:w="200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5ACD0633" w14:textId="77777777" w:rsidR="00E03741" w:rsidRPr="00650EF2" w:rsidRDefault="00E03741" w:rsidP="00E73104">
            <w:pPr>
              <w:jc w:val="both"/>
              <w:rPr>
                <w:rFonts w:asciiTheme="minorHAnsi" w:hAnsiTheme="minorHAnsi" w:cstheme="minorHAnsi"/>
                <w:color w:val="FFFFFF" w:themeColor="background1"/>
                <w:sz w:val="22"/>
                <w:szCs w:val="22"/>
              </w:rPr>
            </w:pPr>
            <w:r w:rsidRPr="00650EF2">
              <w:rPr>
                <w:rFonts w:asciiTheme="minorHAnsi" w:hAnsiTheme="minorHAnsi" w:cstheme="minorHAnsi"/>
                <w:b/>
                <w:bCs/>
                <w:color w:val="FFFFFF" w:themeColor="background1"/>
                <w:sz w:val="22"/>
                <w:szCs w:val="22"/>
              </w:rPr>
              <w:t>Gender Equality Bodies</w:t>
            </w:r>
          </w:p>
        </w:tc>
        <w:tc>
          <w:tcPr>
            <w:tcW w:w="1950" w:type="dxa"/>
            <w:tcBorders>
              <w:top w:val="single" w:sz="1" w:space="0" w:color="BDD7EE"/>
              <w:left w:val="single" w:sz="1" w:space="0" w:color="BDD7EE"/>
              <w:bottom w:val="single" w:sz="1" w:space="0" w:color="BDD7EE"/>
              <w:right w:val="single" w:sz="1" w:space="0" w:color="BDD7EE"/>
            </w:tcBorders>
            <w:shd w:val="clear" w:color="auto" w:fill="1F4E79"/>
            <w:tcMar>
              <w:top w:w="80" w:type="dxa"/>
              <w:left w:w="130" w:type="dxa"/>
              <w:bottom w:w="80" w:type="dxa"/>
              <w:right w:w="130" w:type="dxa"/>
            </w:tcMar>
            <w:vAlign w:val="center"/>
          </w:tcPr>
          <w:p w14:paraId="0673CB64" w14:textId="77777777" w:rsidR="00E03741" w:rsidRPr="00650EF2" w:rsidRDefault="00E03741" w:rsidP="00E73104">
            <w:pPr>
              <w:jc w:val="both"/>
              <w:rPr>
                <w:rFonts w:asciiTheme="minorHAnsi" w:hAnsiTheme="minorHAnsi" w:cstheme="minorHAnsi"/>
                <w:color w:val="FFFFFF" w:themeColor="background1"/>
                <w:sz w:val="22"/>
                <w:szCs w:val="22"/>
              </w:rPr>
            </w:pPr>
            <w:r w:rsidRPr="00650EF2">
              <w:rPr>
                <w:rFonts w:asciiTheme="minorHAnsi" w:hAnsiTheme="minorHAnsi" w:cstheme="minorHAnsi"/>
                <w:b/>
                <w:bCs/>
                <w:color w:val="FFFFFF" w:themeColor="background1"/>
                <w:sz w:val="22"/>
                <w:szCs w:val="22"/>
              </w:rPr>
              <w:t>Primary Data Source</w:t>
            </w:r>
          </w:p>
        </w:tc>
      </w:tr>
      <w:tr w:rsidR="00650EF2" w:rsidRPr="00650EF2" w14:paraId="498FFD5F" w14:textId="77777777" w:rsidTr="00650EF2">
        <w:trPr>
          <w:jc w:val="center"/>
        </w:trPr>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2E9876B" w14:textId="77777777"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color w:val="000000" w:themeColor="text1"/>
                <w:sz w:val="22"/>
                <w:szCs w:val="22"/>
              </w:rPr>
              <w:t>Albania</w:t>
            </w:r>
          </w:p>
        </w:tc>
        <w:tc>
          <w:tcPr>
            <w:tcW w:w="20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3FCBD62" w14:textId="77777777"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color w:val="000000" w:themeColor="text1"/>
                <w:sz w:val="22"/>
                <w:szCs w:val="22"/>
              </w:rPr>
              <w:t>National Water Council; MARDWA; MIE</w:t>
            </w:r>
          </w:p>
        </w:tc>
        <w:tc>
          <w:tcPr>
            <w:tcW w:w="20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31FA2435" w14:textId="77777777"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color w:val="000000" w:themeColor="text1"/>
                <w:sz w:val="22"/>
                <w:szCs w:val="22"/>
              </w:rPr>
              <w:t>Ministry of Health and Social Protection; Gender Equality Agency</w:t>
            </w:r>
          </w:p>
        </w:tc>
        <w:tc>
          <w:tcPr>
            <w:tcW w:w="195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644BC34B" w14:textId="77777777"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color w:val="000000" w:themeColor="text1"/>
                <w:sz w:val="22"/>
                <w:szCs w:val="22"/>
              </w:rPr>
              <w:t>INSTAT; EC Albania Progress Reports</w:t>
            </w:r>
          </w:p>
        </w:tc>
      </w:tr>
      <w:tr w:rsidR="00650EF2" w:rsidRPr="00650EF2" w14:paraId="44E4D849" w14:textId="77777777" w:rsidTr="00650EF2">
        <w:trPr>
          <w:jc w:val="center"/>
        </w:trPr>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3F7F948" w14:textId="77777777"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color w:val="000000" w:themeColor="text1"/>
                <w:sz w:val="22"/>
                <w:szCs w:val="22"/>
              </w:rPr>
              <w:t>Bosnia &amp; Herzegovina</w:t>
            </w:r>
          </w:p>
        </w:tc>
        <w:tc>
          <w:tcPr>
            <w:tcW w:w="20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B231BD8" w14:textId="77777777"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color w:val="000000" w:themeColor="text1"/>
                <w:sz w:val="22"/>
                <w:szCs w:val="22"/>
              </w:rPr>
              <w:t>Entity Ministries (FBiH/RS); Water Agencies (Sava/Adriatic)</w:t>
            </w:r>
          </w:p>
        </w:tc>
        <w:tc>
          <w:tcPr>
            <w:tcW w:w="20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1CEFFB66" w14:textId="77777777"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color w:val="000000" w:themeColor="text1"/>
                <w:sz w:val="22"/>
                <w:szCs w:val="22"/>
              </w:rPr>
              <w:t>Gender Equality Agency of BiH; Entity Gender Centers</w:t>
            </w:r>
          </w:p>
        </w:tc>
        <w:tc>
          <w:tcPr>
            <w:tcW w:w="195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3D8C27EF" w14:textId="77777777"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color w:val="000000" w:themeColor="text1"/>
                <w:sz w:val="22"/>
                <w:szCs w:val="22"/>
              </w:rPr>
              <w:t>BHAS; Agency for Gender Equality</w:t>
            </w:r>
          </w:p>
        </w:tc>
      </w:tr>
      <w:tr w:rsidR="00650EF2" w:rsidRPr="00650EF2" w14:paraId="7BA5C142" w14:textId="77777777" w:rsidTr="00650EF2">
        <w:trPr>
          <w:jc w:val="center"/>
        </w:trPr>
        <w:tc>
          <w:tcPr>
            <w:tcW w:w="22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1A4A47E8" w14:textId="77777777"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color w:val="000000" w:themeColor="text1"/>
                <w:sz w:val="22"/>
                <w:szCs w:val="22"/>
              </w:rPr>
              <w:t>Croatia</w:t>
            </w:r>
          </w:p>
        </w:tc>
        <w:tc>
          <w:tcPr>
            <w:tcW w:w="20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2EB54B86" w14:textId="77777777"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color w:val="000000" w:themeColor="text1"/>
                <w:sz w:val="22"/>
                <w:szCs w:val="22"/>
              </w:rPr>
              <w:t>Ministry of Environmental Protection; Croatian Waters (</w:t>
            </w:r>
            <w:proofErr w:type="spellStart"/>
            <w:r w:rsidRPr="00650EF2">
              <w:rPr>
                <w:rFonts w:asciiTheme="minorHAnsi" w:hAnsiTheme="minorHAnsi" w:cstheme="minorHAnsi"/>
                <w:color w:val="000000" w:themeColor="text1"/>
                <w:sz w:val="22"/>
                <w:szCs w:val="22"/>
              </w:rPr>
              <w:t>Hrvatske</w:t>
            </w:r>
            <w:proofErr w:type="spellEnd"/>
            <w:r w:rsidRPr="00650EF2">
              <w:rPr>
                <w:rFonts w:asciiTheme="minorHAnsi" w:hAnsiTheme="minorHAnsi" w:cstheme="minorHAnsi"/>
                <w:color w:val="000000" w:themeColor="text1"/>
                <w:sz w:val="22"/>
                <w:szCs w:val="22"/>
              </w:rPr>
              <w:t xml:space="preserve"> </w:t>
            </w:r>
            <w:proofErr w:type="spellStart"/>
            <w:r w:rsidRPr="00650EF2">
              <w:rPr>
                <w:rFonts w:asciiTheme="minorHAnsi" w:hAnsiTheme="minorHAnsi" w:cstheme="minorHAnsi"/>
                <w:color w:val="000000" w:themeColor="text1"/>
                <w:sz w:val="22"/>
                <w:szCs w:val="22"/>
              </w:rPr>
              <w:t>vode</w:t>
            </w:r>
            <w:proofErr w:type="spellEnd"/>
            <w:r w:rsidRPr="00650EF2">
              <w:rPr>
                <w:rFonts w:asciiTheme="minorHAnsi" w:hAnsiTheme="minorHAnsi" w:cstheme="minorHAnsi"/>
                <w:color w:val="000000" w:themeColor="text1"/>
                <w:sz w:val="22"/>
                <w:szCs w:val="22"/>
              </w:rPr>
              <w:t>)</w:t>
            </w:r>
          </w:p>
        </w:tc>
        <w:tc>
          <w:tcPr>
            <w:tcW w:w="200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7C1F2F04" w14:textId="26D23306"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color w:val="000000" w:themeColor="text1"/>
                <w:sz w:val="22"/>
                <w:szCs w:val="22"/>
              </w:rPr>
              <w:t>Office for Gender Equality</w:t>
            </w:r>
            <w:r w:rsidR="006C38BE">
              <w:t xml:space="preserve"> </w:t>
            </w:r>
            <w:r w:rsidR="006C38BE" w:rsidRPr="006C38BE">
              <w:rPr>
                <w:rFonts w:asciiTheme="minorHAnsi" w:hAnsiTheme="minorHAnsi" w:cstheme="minorHAnsi"/>
                <w:color w:val="000000" w:themeColor="text1"/>
                <w:sz w:val="22"/>
                <w:szCs w:val="22"/>
              </w:rPr>
              <w:t>of the Government of the Republic of Croatia</w:t>
            </w:r>
            <w:r w:rsidRPr="00650EF2">
              <w:rPr>
                <w:rFonts w:asciiTheme="minorHAnsi" w:hAnsiTheme="minorHAnsi" w:cstheme="minorHAnsi"/>
                <w:color w:val="000000" w:themeColor="text1"/>
                <w:sz w:val="22"/>
                <w:szCs w:val="22"/>
              </w:rPr>
              <w:t>; Ombudsperson for Gender Equality</w:t>
            </w:r>
          </w:p>
        </w:tc>
        <w:tc>
          <w:tcPr>
            <w:tcW w:w="1950" w:type="dxa"/>
            <w:tcBorders>
              <w:top w:val="single" w:sz="1" w:space="0" w:color="BDD7EE"/>
              <w:left w:val="single" w:sz="1" w:space="0" w:color="BDD7EE"/>
              <w:bottom w:val="single" w:sz="1" w:space="0" w:color="BDD7EE"/>
              <w:right w:val="single" w:sz="1" w:space="0" w:color="BDD7EE"/>
            </w:tcBorders>
            <w:shd w:val="clear" w:color="auto" w:fill="F7FBFF"/>
            <w:tcMar>
              <w:top w:w="80" w:type="dxa"/>
              <w:left w:w="130" w:type="dxa"/>
              <w:bottom w:w="80" w:type="dxa"/>
              <w:right w:w="130" w:type="dxa"/>
            </w:tcMar>
            <w:vAlign w:val="center"/>
          </w:tcPr>
          <w:p w14:paraId="535B9667" w14:textId="77777777"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color w:val="000000" w:themeColor="text1"/>
                <w:sz w:val="22"/>
                <w:szCs w:val="22"/>
              </w:rPr>
              <w:t>CBS; EIGE</w:t>
            </w:r>
          </w:p>
        </w:tc>
      </w:tr>
      <w:tr w:rsidR="00650EF2" w:rsidRPr="00650EF2" w14:paraId="2BA99CFF" w14:textId="77777777" w:rsidTr="00650EF2">
        <w:trPr>
          <w:jc w:val="center"/>
        </w:trPr>
        <w:tc>
          <w:tcPr>
            <w:tcW w:w="22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20F40AFF" w14:textId="77777777"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color w:val="000000" w:themeColor="text1"/>
                <w:sz w:val="22"/>
                <w:szCs w:val="22"/>
              </w:rPr>
              <w:t>Montenegro</w:t>
            </w:r>
          </w:p>
        </w:tc>
        <w:tc>
          <w:tcPr>
            <w:tcW w:w="20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D56A297" w14:textId="77777777"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color w:val="000000" w:themeColor="text1"/>
                <w:sz w:val="22"/>
                <w:szCs w:val="22"/>
              </w:rPr>
              <w:t>Ministry of Agriculture; Ministry of Ecology; REGAGEN</w:t>
            </w:r>
          </w:p>
        </w:tc>
        <w:tc>
          <w:tcPr>
            <w:tcW w:w="200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0FA85F6A" w14:textId="77777777"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color w:val="000000" w:themeColor="text1"/>
                <w:sz w:val="22"/>
                <w:szCs w:val="22"/>
              </w:rPr>
              <w:t>Ministry for Human and Minority Rights; Gender Equality Department</w:t>
            </w:r>
          </w:p>
        </w:tc>
        <w:tc>
          <w:tcPr>
            <w:tcW w:w="1950" w:type="dxa"/>
            <w:tcBorders>
              <w:top w:val="single" w:sz="1" w:space="0" w:color="BDD7EE"/>
              <w:left w:val="single" w:sz="1" w:space="0" w:color="BDD7EE"/>
              <w:bottom w:val="single" w:sz="1" w:space="0" w:color="BDD7EE"/>
              <w:right w:val="single" w:sz="1" w:space="0" w:color="BDD7EE"/>
            </w:tcBorders>
            <w:shd w:val="clear" w:color="auto" w:fill="FFFFFF"/>
            <w:tcMar>
              <w:top w:w="80" w:type="dxa"/>
              <w:left w:w="130" w:type="dxa"/>
              <w:bottom w:w="80" w:type="dxa"/>
              <w:right w:w="130" w:type="dxa"/>
            </w:tcMar>
            <w:vAlign w:val="center"/>
          </w:tcPr>
          <w:p w14:paraId="49610FD8" w14:textId="77777777"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color w:val="000000" w:themeColor="text1"/>
                <w:sz w:val="22"/>
                <w:szCs w:val="22"/>
              </w:rPr>
              <w:t>MONSTAT; World Bank</w:t>
            </w:r>
          </w:p>
        </w:tc>
      </w:tr>
    </w:tbl>
    <w:p w14:paraId="24F8C013" w14:textId="77777777" w:rsidR="00E03741" w:rsidRPr="00556170" w:rsidRDefault="00E03741" w:rsidP="00E73104">
      <w:pPr>
        <w:jc w:val="both"/>
        <w:rPr>
          <w:rFonts w:asciiTheme="minorHAnsi" w:hAnsiTheme="minorHAnsi" w:cstheme="minorHAnsi"/>
          <w:sz w:val="22"/>
          <w:szCs w:val="22"/>
        </w:rPr>
      </w:pPr>
    </w:p>
    <w:p w14:paraId="75ED5FC8" w14:textId="311A4F22" w:rsidR="00E03741" w:rsidRPr="00650EF2" w:rsidRDefault="00E03741" w:rsidP="00E73104">
      <w:pPr>
        <w:jc w:val="both"/>
        <w:rPr>
          <w:rFonts w:asciiTheme="minorHAnsi" w:hAnsiTheme="minorHAnsi" w:cstheme="minorHAnsi"/>
          <w:color w:val="000000" w:themeColor="text1"/>
          <w:sz w:val="22"/>
          <w:szCs w:val="22"/>
        </w:rPr>
      </w:pPr>
      <w:r w:rsidRPr="00650EF2">
        <w:rPr>
          <w:rFonts w:asciiTheme="minorHAnsi" w:hAnsiTheme="minorHAnsi" w:cstheme="minorHAnsi"/>
          <w:b/>
          <w:bCs/>
          <w:color w:val="000000" w:themeColor="text1"/>
          <w:sz w:val="22"/>
          <w:szCs w:val="22"/>
        </w:rPr>
        <w:t>B.2 International Partners</w:t>
      </w:r>
      <w:r w:rsidRPr="00650EF2">
        <w:rPr>
          <w:rFonts w:asciiTheme="minorHAnsi" w:hAnsiTheme="minorHAnsi" w:cstheme="minorHAnsi"/>
          <w:color w:val="000000" w:themeColor="text1"/>
          <w:sz w:val="22"/>
          <w:szCs w:val="22"/>
        </w:rPr>
        <w:t>: Key international partners supporting gender equality and water governance include UN Women, UNDP, UNESCO, FAO, UNICEF, World Bank Group, GEF, OSCE Missions in each country, European Commission Delegations, EBRD, GIZ, and the Regional Cooperation Council (RCC).</w:t>
      </w:r>
    </w:p>
    <w:p w14:paraId="2E80756B" w14:textId="77777777" w:rsidR="00E03741" w:rsidRPr="00556170" w:rsidRDefault="00E03741" w:rsidP="00E73104">
      <w:pPr>
        <w:jc w:val="both"/>
        <w:rPr>
          <w:rFonts w:asciiTheme="minorHAnsi" w:hAnsiTheme="minorHAnsi" w:cstheme="minorHAnsi"/>
          <w:sz w:val="22"/>
          <w:szCs w:val="22"/>
        </w:rPr>
      </w:pPr>
      <w:r w:rsidRPr="00556170">
        <w:rPr>
          <w:rFonts w:asciiTheme="minorHAnsi" w:hAnsiTheme="minorHAnsi" w:cstheme="minorHAnsi"/>
          <w:sz w:val="22"/>
          <w:szCs w:val="22"/>
        </w:rPr>
        <w:br w:type="page"/>
      </w:r>
    </w:p>
    <w:p w14:paraId="112543CB" w14:textId="77777777" w:rsidR="00E03741" w:rsidRPr="00556170" w:rsidRDefault="00E03741" w:rsidP="00E73104">
      <w:pPr>
        <w:pStyle w:val="Naslov1"/>
        <w:pBdr>
          <w:bottom w:val="single" w:sz="8" w:space="4" w:color="2E75B6"/>
        </w:pBdr>
        <w:spacing w:before="0" w:after="0"/>
        <w:jc w:val="both"/>
        <w:rPr>
          <w:rFonts w:asciiTheme="minorHAnsi" w:hAnsiTheme="minorHAnsi" w:cstheme="minorHAnsi"/>
          <w:sz w:val="22"/>
          <w:szCs w:val="22"/>
        </w:rPr>
      </w:pPr>
      <w:bookmarkStart w:id="67" w:name="_Toc224128642"/>
      <w:r w:rsidRPr="00556170">
        <w:rPr>
          <w:rFonts w:asciiTheme="minorHAnsi" w:eastAsia="Arial" w:hAnsiTheme="minorHAnsi" w:cstheme="minorHAnsi"/>
          <w:b/>
          <w:bCs/>
          <w:color w:val="1F4E79"/>
          <w:sz w:val="22"/>
          <w:szCs w:val="22"/>
        </w:rPr>
        <w:lastRenderedPageBreak/>
        <w:t>REFERENCES</w:t>
      </w:r>
      <w:bookmarkEnd w:id="67"/>
    </w:p>
    <w:p w14:paraId="586AFF59" w14:textId="77777777" w:rsidR="00E03741" w:rsidRPr="00556170" w:rsidRDefault="00E03741" w:rsidP="00E73104">
      <w:pPr>
        <w:jc w:val="both"/>
        <w:rPr>
          <w:rFonts w:asciiTheme="minorHAnsi" w:hAnsiTheme="minorHAnsi" w:cstheme="minorHAnsi"/>
          <w:sz w:val="22"/>
          <w:szCs w:val="22"/>
        </w:rPr>
      </w:pPr>
    </w:p>
    <w:p w14:paraId="1BD2E7C7"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Agency for Gender Equality of BiH. (2018). Gender statistics in Bosnia and Herzegovina. Sarajevo: Agency for Gender Equality of BiH.</w:t>
      </w:r>
    </w:p>
    <w:p w14:paraId="05128D18"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Albanian Femicide Observatory / People's Advocate of Albania. (2024). Femicide report 2021–2023. Tirana: People’s Advocate (with UN Women Albania support).</w:t>
      </w:r>
    </w:p>
    <w:p w14:paraId="33BB965B"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BHAS (Agency for Statistics of Bosnia and Herzegovina). (2022). Women and men in Bosnia and Herzegovina 2022. Sarajevo: BHAS.</w:t>
      </w:r>
    </w:p>
    <w:p w14:paraId="3E83E338"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Choudhary, N., et al. (2020). Household water access and intimate partner violence: Evidence from Nepal. Journal of Water and Health, 18(4), 560–573.</w:t>
      </w:r>
    </w:p>
    <w:p w14:paraId="64B0C417"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Cole, T., et al. (2024). Water insecurity and gender-based violence in Indonesia: A mixed-methods study. Global Health: Science and Practice, 12(1), e2300189.</w:t>
      </w:r>
    </w:p>
    <w:p w14:paraId="6C5FA402"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Council of Europe. (2005). Gender budgeting: Final report of the group of specialists on gender budgeting. Strasbourg: Council of Europe.</w:t>
      </w:r>
    </w:p>
    <w:p w14:paraId="2C23D205"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Council of Europe. (2011). Convention on preventing and combating violence against women and domestic violence (Istanbul Convention). Strasbourg: Council of Europe.</w:t>
      </w:r>
    </w:p>
    <w:p w14:paraId="753CD5DE"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Council of Europe/GREVIO. (2022). Baseline evaluation report: Bosnia and Herzegovina. Strasbourg: GREVIO.</w:t>
      </w:r>
    </w:p>
    <w:p w14:paraId="39E58D80"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Council of Europe/GREVIO. (2023). Evaluation report: Croatia. Strasbourg: GREVIO.</w:t>
      </w:r>
    </w:p>
    <w:p w14:paraId="3672380C"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Croatian Bureau of Statistics (CBS). (2021). Census of population, households and dwellings 2021. Zagreb: CBS.</w:t>
      </w:r>
    </w:p>
    <w:p w14:paraId="56DD0850"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Croatian Waters (</w:t>
      </w:r>
      <w:proofErr w:type="spellStart"/>
      <w:r w:rsidRPr="00ED2B97">
        <w:rPr>
          <w:rFonts w:asciiTheme="minorHAnsi" w:hAnsiTheme="minorHAnsi" w:cstheme="minorHAnsi"/>
          <w:color w:val="000000" w:themeColor="text1"/>
          <w:sz w:val="22"/>
          <w:szCs w:val="22"/>
        </w:rPr>
        <w:t>Hrvatske</w:t>
      </w:r>
      <w:proofErr w:type="spellEnd"/>
      <w:r w:rsidRPr="00ED2B97">
        <w:rPr>
          <w:rFonts w:asciiTheme="minorHAnsi" w:hAnsiTheme="minorHAnsi" w:cstheme="minorHAnsi"/>
          <w:color w:val="000000" w:themeColor="text1"/>
          <w:sz w:val="22"/>
          <w:szCs w:val="22"/>
        </w:rPr>
        <w:t xml:space="preserve"> </w:t>
      </w:r>
      <w:proofErr w:type="spellStart"/>
      <w:r w:rsidRPr="00ED2B97">
        <w:rPr>
          <w:rFonts w:asciiTheme="minorHAnsi" w:hAnsiTheme="minorHAnsi" w:cstheme="minorHAnsi"/>
          <w:color w:val="000000" w:themeColor="text1"/>
          <w:sz w:val="22"/>
          <w:szCs w:val="22"/>
        </w:rPr>
        <w:t>vode</w:t>
      </w:r>
      <w:proofErr w:type="spellEnd"/>
      <w:r w:rsidRPr="00ED2B97">
        <w:rPr>
          <w:rFonts w:asciiTheme="minorHAnsi" w:hAnsiTheme="minorHAnsi" w:cstheme="minorHAnsi"/>
          <w:color w:val="000000" w:themeColor="text1"/>
          <w:sz w:val="22"/>
          <w:szCs w:val="22"/>
        </w:rPr>
        <w:t>). (2023). Action plan for gender equality at Croatian Waters 2023–2026. Zagreb: Croatian Waters.</w:t>
      </w:r>
    </w:p>
    <w:p w14:paraId="7894CABD"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Croatian Waters. (2025). Staff and management board composition data. Zagreb: Croatian Waters [Institutional data].</w:t>
      </w:r>
    </w:p>
    <w:p w14:paraId="7F32A127"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DIKTAS II National Gender Analyses. (2025). National water sector gender analyses: Albania, Bosnia and Herzegovina, Croatia, and Montenegro (Output 6.2). DIKTAS II Project / UNESCO / GEF / UNDP.</w:t>
      </w:r>
    </w:p>
    <w:p w14:paraId="545D55F8"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DIKTAS II Research Document. (2026). Water sector governance and management, gender-based violence, and climate change impacts on women and girls: Evidence from Albania, Bosnia and Herzegovina, Croatia, and Montenegro. DIKTAS II Project, February 2026.</w:t>
      </w:r>
    </w:p>
    <w:p w14:paraId="1BB7EE3A"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EIGE (European Institute for Gender Equality). (2023). Gender equality index 2023: Croatia country profile. Vilnius: EIGE. https://eige.europa.eu/gender-equality-index/2023/country/HR</w:t>
      </w:r>
    </w:p>
    <w:p w14:paraId="7A3AE675"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EIGE. (2023). Montenegro gender equality index (pilot). Vilnius: EIGE.</w:t>
      </w:r>
    </w:p>
    <w:p w14:paraId="40A809F8"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EIGE. (2024). Gender equality index 2024. Vilnius: EIGE. https://eige.europa.eu/gender-equality-index/2024</w:t>
      </w:r>
    </w:p>
    <w:p w14:paraId="0993457D"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Epstein, A., et al. (2020). Drought and intimate partner violence: Cross-national evidence from sub-Saharan Africa. Global Environmental Change, 63, 102065.</w:t>
      </w:r>
    </w:p>
    <w:p w14:paraId="71DD9071"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Equal Future Eurasia. (2024). Women’s representation in politics and public administration: Bosnia and Herzegovina. https://equalfuture-eurasia.org</w:t>
      </w:r>
    </w:p>
    <w:p w14:paraId="5BFB3C8E"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European Commission. (2025). Albania 2025 report (Commission Staff Working Document). Brussels: European Commission.</w:t>
      </w:r>
    </w:p>
    <w:p w14:paraId="504EF704"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European Environment Agency (EEA). (2023). European drought observatory: 2022 drought assessment. Copenhagen: EEA.</w:t>
      </w:r>
    </w:p>
    <w:p w14:paraId="00672FB8"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European Environment Agency. (2025). Economic losses and fatalities from weather- and climate-related extremes in Europe. Copenhagen: EEA.</w:t>
      </w:r>
    </w:p>
    <w:p w14:paraId="119E6277" w14:textId="77777777" w:rsidR="00E03741" w:rsidRPr="00ED2B97" w:rsidRDefault="00E03741" w:rsidP="00E73104">
      <w:pPr>
        <w:ind w:left="720" w:hanging="720"/>
        <w:jc w:val="both"/>
        <w:rPr>
          <w:rFonts w:asciiTheme="minorHAnsi" w:hAnsiTheme="minorHAnsi" w:cstheme="minorHAnsi"/>
          <w:color w:val="000000" w:themeColor="text1"/>
          <w:sz w:val="22"/>
          <w:szCs w:val="22"/>
        </w:rPr>
      </w:pPr>
      <w:proofErr w:type="spellStart"/>
      <w:r w:rsidRPr="00ED2B97">
        <w:rPr>
          <w:rFonts w:asciiTheme="minorHAnsi" w:hAnsiTheme="minorHAnsi" w:cstheme="minorHAnsi"/>
          <w:color w:val="000000" w:themeColor="text1"/>
          <w:sz w:val="22"/>
          <w:szCs w:val="22"/>
        </w:rPr>
        <w:t>Eurofound</w:t>
      </w:r>
      <w:proofErr w:type="spellEnd"/>
      <w:r w:rsidRPr="00ED2B97">
        <w:rPr>
          <w:rFonts w:asciiTheme="minorHAnsi" w:hAnsiTheme="minorHAnsi" w:cstheme="minorHAnsi"/>
          <w:color w:val="000000" w:themeColor="text1"/>
          <w:sz w:val="22"/>
          <w:szCs w:val="22"/>
        </w:rPr>
        <w:t>. (2022). European working conditions telephone survey 2021. Dublin: European Foundation for the Improvement of Living and Working Conditions.</w:t>
      </w:r>
    </w:p>
    <w:p w14:paraId="043420B0"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lastRenderedPageBreak/>
        <w:t>FRA/Eurostat (European Union Agency for Fundamental Rights / Eurostat). (2024). EU gender-based violence survey (2021 data release). Luxembourg: Publications Office of the European Union.</w:t>
      </w:r>
    </w:p>
    <w:p w14:paraId="5ED6BD49"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 xml:space="preserve">GIZ Albania. (2022). School WASH </w:t>
      </w:r>
      <w:proofErr w:type="spellStart"/>
      <w:r w:rsidRPr="00ED2B97">
        <w:rPr>
          <w:rFonts w:asciiTheme="minorHAnsi" w:hAnsiTheme="minorHAnsi" w:cstheme="minorHAnsi"/>
          <w:color w:val="000000" w:themeColor="text1"/>
          <w:sz w:val="22"/>
          <w:szCs w:val="22"/>
        </w:rPr>
        <w:t>programme</w:t>
      </w:r>
      <w:proofErr w:type="spellEnd"/>
      <w:r w:rsidRPr="00ED2B97">
        <w:rPr>
          <w:rFonts w:asciiTheme="minorHAnsi" w:hAnsiTheme="minorHAnsi" w:cstheme="minorHAnsi"/>
          <w:color w:val="000000" w:themeColor="text1"/>
          <w:sz w:val="22"/>
          <w:szCs w:val="22"/>
        </w:rPr>
        <w:t>: Gender and sanitation findings. Tirana: GIZ.</w:t>
      </w:r>
    </w:p>
    <w:p w14:paraId="6F287223"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Global Survivors Fund. (2022). Reparations for survivors of conflict-related sexual violence in Bosnia and Herzegovina. Geneva: Global Survivors Fund.</w:t>
      </w:r>
    </w:p>
    <w:p w14:paraId="7DAFAC36"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Government of Albania. (2025). Cabinet composition, September 2025. Tirana: Government of Albania.</w:t>
      </w:r>
    </w:p>
    <w:p w14:paraId="576E8B6D"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GWP (Global Water Partnership). (2000). Integrated water resources management (TAC Background Paper No. 4). Stockholm: GWP.</w:t>
      </w:r>
    </w:p>
    <w:p w14:paraId="46E7BF85"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Human Rights Watch. (2024). World report 2024: Bosnia and Herzegovina. New York: HRW.</w:t>
      </w:r>
    </w:p>
    <w:p w14:paraId="43AB32E0"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IMF. (2022). Albania: Selected issues. IMF Staff Country Reports, 2022(363). https://doi.org/10.5089/9798400221866.002</w:t>
      </w:r>
    </w:p>
    <w:p w14:paraId="19CB81E3"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INSTAT (Institute of Statistics of Albania). (2011). Albanian time use survey 2010–2011. Tirana: INSTAT with UN Women.</w:t>
      </w:r>
    </w:p>
    <w:p w14:paraId="2F429205"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INSTAT. (2023). Population and housing census 2023: Preliminary results. Tirana: INSTAT.</w:t>
      </w:r>
    </w:p>
    <w:p w14:paraId="27E89845"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INSTAT / UN Women / UNDP Albania. (2019). National survey on violence against women and girls in Albania (2018 data). Tirana: INSTAT.</w:t>
      </w:r>
    </w:p>
    <w:p w14:paraId="2126495D"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Inter-Parliamentary Union (IPU). (2024–2025). Parline: Data on women in national parliaments. https://data.ipu.org</w:t>
      </w:r>
    </w:p>
    <w:p w14:paraId="54D93466"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Knez, M., et al. (2022). Climate change in the Western Balkans and EU Green Deal: Status, mitigation and challenges. Energy, Sustainability and Society, 12(1), Article 3. https://doi.org/10.1186/s13705-021-00328-y</w:t>
      </w:r>
    </w:p>
    <w:p w14:paraId="2BBC0F10"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 xml:space="preserve">Mandarić, M., &amp; </w:t>
      </w:r>
      <w:proofErr w:type="spellStart"/>
      <w:r w:rsidRPr="00ED2B97">
        <w:rPr>
          <w:rFonts w:asciiTheme="minorHAnsi" w:hAnsiTheme="minorHAnsi" w:cstheme="minorHAnsi"/>
          <w:color w:val="000000" w:themeColor="text1"/>
          <w:sz w:val="22"/>
          <w:szCs w:val="22"/>
        </w:rPr>
        <w:t>Hunjet</w:t>
      </w:r>
      <w:proofErr w:type="spellEnd"/>
      <w:r w:rsidRPr="00ED2B97">
        <w:rPr>
          <w:rFonts w:asciiTheme="minorHAnsi" w:hAnsiTheme="minorHAnsi" w:cstheme="minorHAnsi"/>
          <w:color w:val="000000" w:themeColor="text1"/>
          <w:sz w:val="22"/>
          <w:szCs w:val="22"/>
        </w:rPr>
        <w:t>, A. (2024). Gender disparities in pro-environmental attitudes: Implications for sustainable business practices in Croatia. Sustainability, 16(9), 3501.</w:t>
      </w:r>
    </w:p>
    <w:p w14:paraId="689AA2C4"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Ministry of Interior Croatia. (2021). Statistical report on domestic violence offences 2020. Zagreb: Ministry of Interior.</w:t>
      </w:r>
    </w:p>
    <w:p w14:paraId="0F631DC3"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MONSTAT (Statistical Office of Montenegro). (2021). EU-methodology gender-based violence survey: Montenegro. Podgorica: MONSTAT.</w:t>
      </w:r>
    </w:p>
    <w:p w14:paraId="68796C2C"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MONSTAT. (2023). Census of population, households and dwellings 2023: Montenegro. Podgorica: MONSTAT.</w:t>
      </w:r>
    </w:p>
    <w:p w14:paraId="1537C5E1"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MONSTAT / UNICEF. (2018). Multiple indicator cluster survey (MICS): Montenegro 2018. Podgorica: MONSTAT.</w:t>
      </w:r>
    </w:p>
    <w:p w14:paraId="17AEFFD0"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Notre Dame Global Adaptation Initiative (ND-GAIN). (2023). ND-GAIN country index 2023. University of Notre Dame. https://gain.nd.edu</w:t>
      </w:r>
    </w:p>
    <w:p w14:paraId="2F989572"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OECD. (2023). A toolkit for gender-responsive water governance. Paris: OECD.</w:t>
      </w:r>
    </w:p>
    <w:p w14:paraId="0BAA09D0"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OHCHR. (2024). CEDAW/C/MNE/CO/3: Concluding observations on the third periodic report of Montenegro. Geneva: UN Office of the High Commissioner for Human Rights.</w:t>
      </w:r>
    </w:p>
    <w:p w14:paraId="15472A69"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Ombudsperson for Gender Equality of Croatia. (2021). Annual report 2020: Femicide data 2013–2020. Zagreb: Ombudsperson for Gender Equality.</w:t>
      </w:r>
    </w:p>
    <w:p w14:paraId="6632BA4F" w14:textId="77777777" w:rsidR="00E03741" w:rsidRPr="00E644CE" w:rsidRDefault="00E03741" w:rsidP="00E73104">
      <w:pPr>
        <w:ind w:left="720" w:hanging="720"/>
        <w:jc w:val="both"/>
        <w:rPr>
          <w:rFonts w:asciiTheme="minorHAnsi" w:hAnsiTheme="minorHAnsi" w:cstheme="minorHAnsi"/>
          <w:color w:val="000000" w:themeColor="text1"/>
          <w:sz w:val="22"/>
          <w:szCs w:val="22"/>
          <w:lang w:val="it-IT"/>
        </w:rPr>
      </w:pPr>
      <w:r w:rsidRPr="00ED2B97">
        <w:rPr>
          <w:rFonts w:asciiTheme="minorHAnsi" w:hAnsiTheme="minorHAnsi" w:cstheme="minorHAnsi"/>
          <w:color w:val="000000" w:themeColor="text1"/>
          <w:sz w:val="22"/>
          <w:szCs w:val="22"/>
        </w:rPr>
        <w:t xml:space="preserve">OSCE (Organization for Security and Co-operation in Europe). (2019). Survey on the well-being and safety of women: Western Balkans. </w:t>
      </w:r>
      <w:r w:rsidRPr="00E644CE">
        <w:rPr>
          <w:rFonts w:asciiTheme="minorHAnsi" w:hAnsiTheme="minorHAnsi" w:cstheme="minorHAnsi"/>
          <w:color w:val="000000" w:themeColor="text1"/>
          <w:sz w:val="22"/>
          <w:szCs w:val="22"/>
          <w:lang w:val="it-IT"/>
        </w:rPr>
        <w:t>Vienna: OSCE Secretariat. https://www.osce.org/chairmanship/423557</w:t>
      </w:r>
    </w:p>
    <w:p w14:paraId="4322636F" w14:textId="77777777" w:rsidR="00E03741" w:rsidRPr="00E644CE" w:rsidRDefault="00E03741" w:rsidP="00E73104">
      <w:pPr>
        <w:ind w:left="720" w:hanging="720"/>
        <w:jc w:val="both"/>
        <w:rPr>
          <w:rFonts w:asciiTheme="minorHAnsi" w:hAnsiTheme="minorHAnsi" w:cstheme="minorHAnsi"/>
          <w:color w:val="000000" w:themeColor="text1"/>
          <w:sz w:val="22"/>
          <w:szCs w:val="22"/>
          <w:lang w:val="it-IT"/>
        </w:rPr>
      </w:pPr>
      <w:r w:rsidRPr="00E644CE">
        <w:rPr>
          <w:rFonts w:asciiTheme="minorHAnsi" w:hAnsiTheme="minorHAnsi" w:cstheme="minorHAnsi"/>
          <w:color w:val="000000" w:themeColor="text1"/>
          <w:sz w:val="22"/>
          <w:szCs w:val="22"/>
          <w:lang w:val="it-IT"/>
        </w:rPr>
        <w:t>OSCE Mission to BiH. (2019). Domestic violence in Bosnia and Herzegovina. Sarajevo: OSCE.</w:t>
      </w:r>
    </w:p>
    <w:p w14:paraId="194D6109"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OSCE Mission to Montenegro. (2022). Survey on psychological violence against women in Montenegro. Podgorica: OSCE.</w:t>
      </w:r>
    </w:p>
    <w:p w14:paraId="4890433A"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OSCE. (2023). Women, water management and conflict prevention, Phase III. Vienna: OSCE.</w:t>
      </w:r>
    </w:p>
    <w:p w14:paraId="616FE14F"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People's Advocate of Albania / UN Women. (2024). Albanian femicide observatory report 2021–2023. Tirana: People's Advocate.</w:t>
      </w:r>
    </w:p>
    <w:p w14:paraId="1C237A5A"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lastRenderedPageBreak/>
        <w:t>Regional Cooperation Council (RCC). (2021). Balkan barometer: Female empowerment index. Sarajevo: RCC.</w:t>
      </w:r>
    </w:p>
    <w:p w14:paraId="1819A2B1"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Stevenson, E. G. J., et al. (2012). Water insecurity and domestic violence in Ethiopia. Global Health Action, 5(1), 15250.</w:t>
      </w:r>
    </w:p>
    <w:p w14:paraId="2A832B88"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Tallman, P., et al. (2023). Water insecurity and violence against women: A systematic review. WIREs Water, 10(4), e1638. https://doi.org/10.1002/wat2.1638</w:t>
      </w:r>
    </w:p>
    <w:p w14:paraId="0529C1F9"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Tallman, P., et al. (2025). Gender-based water violence: A new theoretical framework. Water Resources Research, 61(1), e2024WR036890.</w:t>
      </w:r>
    </w:p>
    <w:p w14:paraId="2E031E76"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UN Montenegro. (2025). Women and agriculture in Montenegro. Podgorica: United Nations Montenegro.</w:t>
      </w:r>
    </w:p>
    <w:p w14:paraId="48B466C3"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UN Women. (2020). Violence against women and girls: Facts and figures. New York: UN Women.</w:t>
      </w:r>
    </w:p>
    <w:p w14:paraId="4BD73522"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UN Women. (2022). Bosnia and Herzegovina gender country profile. New York: UN Women. https://eca.unwomen.org</w:t>
      </w:r>
    </w:p>
    <w:p w14:paraId="1A1E4194"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UN Women &amp; UNEP-DHI. (2025). Policy brief: Gender equality in water governance (March 2025). New York: UN Women.</w:t>
      </w:r>
    </w:p>
    <w:p w14:paraId="15C697A5"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UN Women Albania. (2024). Agriculture and rural development gender mainstreaming guidance. Tirana: UN Women Albania.</w:t>
      </w:r>
    </w:p>
    <w:p w14:paraId="7EB4565A"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UN Women / Economic Institute Sarajevo. (2023). Baseline study on the care economy in Bosnia and Herzegovina (2022 data). Sarajevo: UN Women BiH.</w:t>
      </w:r>
    </w:p>
    <w:p w14:paraId="6761AA7C"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 xml:space="preserve">UNESCO / WWAP. (2024). Gender and water: Sex-disaggregated water data toolkit. Paris: UNESCO World Water Assessment </w:t>
      </w:r>
      <w:proofErr w:type="spellStart"/>
      <w:r w:rsidRPr="00ED2B97">
        <w:rPr>
          <w:rFonts w:asciiTheme="minorHAnsi" w:hAnsiTheme="minorHAnsi" w:cstheme="minorHAnsi"/>
          <w:color w:val="000000" w:themeColor="text1"/>
          <w:sz w:val="22"/>
          <w:szCs w:val="22"/>
        </w:rPr>
        <w:t>Programme</w:t>
      </w:r>
      <w:proofErr w:type="spellEnd"/>
      <w:r w:rsidRPr="00ED2B97">
        <w:rPr>
          <w:rFonts w:asciiTheme="minorHAnsi" w:hAnsiTheme="minorHAnsi" w:cstheme="minorHAnsi"/>
          <w:color w:val="000000" w:themeColor="text1"/>
          <w:sz w:val="22"/>
          <w:szCs w:val="22"/>
        </w:rPr>
        <w:t>.</w:t>
      </w:r>
    </w:p>
    <w:p w14:paraId="28D6578D"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UNDP Albania. (2019). National study on violence against women in Albania 2018. Tirana: UNDP.</w:t>
      </w:r>
    </w:p>
    <w:p w14:paraId="41E98368"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UNDP Montenegro. (2020). Women’s contribution to GDP in Montenegro. Podgorica: UNDP.</w:t>
      </w:r>
    </w:p>
    <w:p w14:paraId="3662F5B0"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UNDP Montenegro. (2022). Gender and employment in Montenegro: Regional disparities. Podgorica: UNDP.</w:t>
      </w:r>
    </w:p>
    <w:p w14:paraId="0D7830AA"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UNDP Montenegro. (2024). Addressing gender-based violence: Cross-institutional cooperation and systemic response. Podgorica: UNDP.</w:t>
      </w:r>
    </w:p>
    <w:p w14:paraId="56EFA76C"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U.S. Department of State. (2023). Croatia 2023 country reports on human rights practices. Washington, DC: U.S. Department of State.</w:t>
      </w:r>
    </w:p>
    <w:p w14:paraId="42F6C6E1"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Wang, X., et al. (2025). Drought and intimate partner violence: Cross-country evidence from 42 countries. Nature Climate Change, 15(1), 48–56.</w:t>
      </w:r>
    </w:p>
    <w:p w14:paraId="10388E1E"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WEDC Knowledge. (2014). Gender and water utilities: Knowledge and practice. Loughborough: WEDC.</w:t>
      </w:r>
    </w:p>
    <w:p w14:paraId="64B0C959"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WEF (World Economic Forum). (2024). Global gender gap report 2024. Geneva: WEF. https://www.weforum.org/publications/global-gender-gap-report-2024</w:t>
      </w:r>
    </w:p>
    <w:p w14:paraId="6D293ADD"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 xml:space="preserve">WHO/UNICEF JMP (Joint Monitoring </w:t>
      </w:r>
      <w:proofErr w:type="spellStart"/>
      <w:r w:rsidRPr="00ED2B97">
        <w:rPr>
          <w:rFonts w:asciiTheme="minorHAnsi" w:hAnsiTheme="minorHAnsi" w:cstheme="minorHAnsi"/>
          <w:color w:val="000000" w:themeColor="text1"/>
          <w:sz w:val="22"/>
          <w:szCs w:val="22"/>
        </w:rPr>
        <w:t>Programme</w:t>
      </w:r>
      <w:proofErr w:type="spellEnd"/>
      <w:r w:rsidRPr="00ED2B97">
        <w:rPr>
          <w:rFonts w:asciiTheme="minorHAnsi" w:hAnsiTheme="minorHAnsi" w:cstheme="minorHAnsi"/>
          <w:color w:val="000000" w:themeColor="text1"/>
          <w:sz w:val="22"/>
          <w:szCs w:val="22"/>
        </w:rPr>
        <w:t>). (2024). Progress on household drinking water, sanitation and hygiene 2000–2024. Geneva: WHO.</w:t>
      </w:r>
    </w:p>
    <w:p w14:paraId="61C420D3"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World Bank. (2017). The rising tide: A new look at water and gender. Washington, DC: World Bank Group. https://openknowledge.worldbank.org/handle/10986/26602</w:t>
      </w:r>
    </w:p>
    <w:p w14:paraId="3C2C3843"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World Bank. (2018). Montenegro: IWRM country report. Washington, DC: World Bank.</w:t>
      </w:r>
    </w:p>
    <w:p w14:paraId="0777349D"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World Bank. (2019). Women in water utilities: Removing barriers. Washington, DC: World Bank Group.</w:t>
      </w:r>
    </w:p>
    <w:p w14:paraId="032A2F73"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World Bank. (2022). Albania: Water sector assessment. Washington, DC: World Bank.</w:t>
      </w:r>
    </w:p>
    <w:p w14:paraId="046AFC0A"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World Bank. (2022). Bosnia and Herzegovina: Water supply and sanitation assessment. Washington, DC: World Bank.</w:t>
      </w:r>
    </w:p>
    <w:p w14:paraId="1753B406"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World Bank. (2023). Croatia climate change country note. Washington, DC: World Bank.</w:t>
      </w:r>
    </w:p>
    <w:p w14:paraId="012E10FB"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 xml:space="preserve">World Bank. (2023). Western Balkans </w:t>
      </w:r>
      <w:proofErr w:type="spellStart"/>
      <w:r w:rsidRPr="00ED2B97">
        <w:rPr>
          <w:rFonts w:asciiTheme="minorHAnsi" w:hAnsiTheme="minorHAnsi" w:cstheme="minorHAnsi"/>
          <w:color w:val="000000" w:themeColor="text1"/>
          <w:sz w:val="22"/>
          <w:szCs w:val="22"/>
        </w:rPr>
        <w:t>labour</w:t>
      </w:r>
      <w:proofErr w:type="spellEnd"/>
      <w:r w:rsidRPr="00ED2B97">
        <w:rPr>
          <w:rFonts w:asciiTheme="minorHAnsi" w:hAnsiTheme="minorHAnsi" w:cstheme="minorHAnsi"/>
          <w:color w:val="000000" w:themeColor="text1"/>
          <w:sz w:val="22"/>
          <w:szCs w:val="22"/>
        </w:rPr>
        <w:t xml:space="preserve"> market brief. Washington, DC: World Bank.</w:t>
      </w:r>
    </w:p>
    <w:p w14:paraId="5F4E2A5C"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World Bank. (2024). Climate change development report: Western Balkans. Washington, DC: World Bank.</w:t>
      </w:r>
    </w:p>
    <w:p w14:paraId="54BC0452" w14:textId="77777777" w:rsidR="00E03741" w:rsidRPr="00ED2B97" w:rsidRDefault="00E03741" w:rsidP="00E73104">
      <w:pPr>
        <w:ind w:left="720" w:hanging="720"/>
        <w:jc w:val="both"/>
        <w:rPr>
          <w:rFonts w:asciiTheme="minorHAnsi" w:hAnsiTheme="minorHAnsi" w:cstheme="minorHAnsi"/>
          <w:color w:val="000000" w:themeColor="text1"/>
          <w:sz w:val="22"/>
          <w:szCs w:val="22"/>
        </w:rPr>
      </w:pPr>
      <w:r w:rsidRPr="00ED2B97">
        <w:rPr>
          <w:rFonts w:asciiTheme="minorHAnsi" w:hAnsiTheme="minorHAnsi" w:cstheme="minorHAnsi"/>
          <w:color w:val="000000" w:themeColor="text1"/>
          <w:sz w:val="22"/>
          <w:szCs w:val="22"/>
        </w:rPr>
        <w:t>World Bank. (2024). Montenegro country gender assessment. Washington, DC: World Bank.</w:t>
      </w:r>
    </w:p>
    <w:p w14:paraId="4BFE92E8" w14:textId="77777777" w:rsidR="00E03741" w:rsidRPr="00556170" w:rsidRDefault="00E03741" w:rsidP="00E73104">
      <w:pPr>
        <w:jc w:val="both"/>
        <w:rPr>
          <w:rFonts w:asciiTheme="minorHAnsi" w:hAnsiTheme="minorHAnsi" w:cstheme="minorHAnsi"/>
          <w:sz w:val="22"/>
          <w:szCs w:val="22"/>
        </w:rPr>
      </w:pPr>
    </w:p>
    <w:p w14:paraId="76FD6056" w14:textId="77777777" w:rsidR="00ED3307" w:rsidRPr="00556170" w:rsidRDefault="00ED3307" w:rsidP="00E73104">
      <w:pPr>
        <w:jc w:val="both"/>
        <w:rPr>
          <w:rFonts w:asciiTheme="minorHAnsi" w:hAnsiTheme="minorHAnsi" w:cstheme="minorHAnsi"/>
          <w:sz w:val="22"/>
          <w:szCs w:val="22"/>
        </w:rPr>
      </w:pPr>
    </w:p>
    <w:sectPr w:rsidR="00ED3307" w:rsidRPr="00556170" w:rsidSect="0019704F">
      <w:headerReference w:type="default" r:id="rId13"/>
      <w:footerReference w:type="default" r:id="rId14"/>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99FC4" w14:textId="77777777" w:rsidR="00A101DE" w:rsidRDefault="00A101DE" w:rsidP="00E03741">
      <w:r>
        <w:separator/>
      </w:r>
    </w:p>
  </w:endnote>
  <w:endnote w:type="continuationSeparator" w:id="0">
    <w:p w14:paraId="7AD55591" w14:textId="77777777" w:rsidR="00A101DE" w:rsidRDefault="00A101DE" w:rsidP="00E03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D28BB" w14:textId="33AC446C" w:rsidR="00E03741" w:rsidRDefault="00E03741">
    <w:pPr>
      <w:pBdr>
        <w:top w:val="single" w:sz="4" w:space="4" w:color="2E75B6"/>
      </w:pBdr>
      <w:tabs>
        <w:tab w:val="right" w:pos="8640"/>
      </w:tabs>
    </w:pPr>
    <w:r>
      <w:rPr>
        <w:color w:val="888888"/>
        <w:sz w:val="16"/>
        <w:szCs w:val="16"/>
      </w:rPr>
      <w:tab/>
      <w:t xml:space="preserve">Page </w:t>
    </w:r>
    <w:r>
      <w:rPr>
        <w:color w:val="888888"/>
        <w:sz w:val="16"/>
        <w:szCs w:val="16"/>
      </w:rPr>
      <w:fldChar w:fldCharType="begin"/>
    </w:r>
    <w:r>
      <w:rPr>
        <w:color w:val="888888"/>
        <w:sz w:val="16"/>
        <w:szCs w:val="16"/>
      </w:rPr>
      <w:instrText>PAGE</w:instrText>
    </w:r>
    <w:r>
      <w:rPr>
        <w:color w:val="888888"/>
        <w:sz w:val="16"/>
        <w:szCs w:val="16"/>
      </w:rPr>
      <w:fldChar w:fldCharType="separate"/>
    </w:r>
    <w:r>
      <w:rPr>
        <w:noProof/>
        <w:color w:val="888888"/>
        <w:sz w:val="16"/>
        <w:szCs w:val="16"/>
      </w:rPr>
      <w:t>1</w:t>
    </w:r>
    <w:r>
      <w:rPr>
        <w:color w:val="8888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8BD67" w14:textId="77777777" w:rsidR="00A101DE" w:rsidRDefault="00A101DE" w:rsidP="00E03741">
      <w:r>
        <w:separator/>
      </w:r>
    </w:p>
  </w:footnote>
  <w:footnote w:type="continuationSeparator" w:id="0">
    <w:p w14:paraId="7AF80EC2" w14:textId="77777777" w:rsidR="00A101DE" w:rsidRDefault="00A101DE" w:rsidP="00E03741">
      <w:r>
        <w:continuationSeparator/>
      </w:r>
    </w:p>
  </w:footnote>
  <w:footnote w:id="1">
    <w:p w14:paraId="1976682D" w14:textId="77777777" w:rsidR="00E03741" w:rsidRPr="00B66EC1" w:rsidRDefault="00E03741" w:rsidP="00FC00CC">
      <w:pPr>
        <w:jc w:val="both"/>
        <w:rPr>
          <w:rFonts w:asciiTheme="minorHAnsi" w:hAnsiTheme="minorHAnsi" w:cstheme="minorHAnsi"/>
          <w:sz w:val="18"/>
          <w:szCs w:val="18"/>
        </w:rPr>
      </w:pPr>
      <w:r w:rsidRPr="00B66EC1">
        <w:rPr>
          <w:rStyle w:val="Referencafusnote"/>
          <w:rFonts w:asciiTheme="minorHAnsi" w:hAnsiTheme="minorHAnsi" w:cstheme="minorHAnsi"/>
          <w:sz w:val="18"/>
          <w:szCs w:val="18"/>
        </w:rPr>
        <w:footnoteRef/>
      </w:r>
      <w:r w:rsidRPr="00B66EC1">
        <w:rPr>
          <w:rFonts w:asciiTheme="minorHAnsi" w:hAnsiTheme="minorHAnsi" w:cstheme="minorHAnsi"/>
          <w:sz w:val="18"/>
          <w:szCs w:val="18"/>
        </w:rPr>
        <w:t xml:space="preserve">Gender Parity Index (GPI): A ratio of female-to-male values for a given indicator. GPI = 1 indicates parity; GPI &gt; 1 </w:t>
      </w:r>
      <w:proofErr w:type="spellStart"/>
      <w:r w:rsidRPr="00B66EC1">
        <w:rPr>
          <w:rFonts w:asciiTheme="minorHAnsi" w:hAnsiTheme="minorHAnsi" w:cstheme="minorHAnsi"/>
          <w:sz w:val="18"/>
          <w:szCs w:val="18"/>
        </w:rPr>
        <w:t>favours</w:t>
      </w:r>
      <w:proofErr w:type="spellEnd"/>
      <w:r w:rsidRPr="00B66EC1">
        <w:rPr>
          <w:rFonts w:asciiTheme="minorHAnsi" w:hAnsiTheme="minorHAnsi" w:cstheme="minorHAnsi"/>
          <w:sz w:val="18"/>
          <w:szCs w:val="18"/>
        </w:rPr>
        <w:t xml:space="preserve"> women; GPI &lt; 1 </w:t>
      </w:r>
      <w:proofErr w:type="spellStart"/>
      <w:r w:rsidRPr="00B66EC1">
        <w:rPr>
          <w:rFonts w:asciiTheme="minorHAnsi" w:hAnsiTheme="minorHAnsi" w:cstheme="minorHAnsi"/>
          <w:sz w:val="18"/>
          <w:szCs w:val="18"/>
        </w:rPr>
        <w:t>favours</w:t>
      </w:r>
      <w:proofErr w:type="spellEnd"/>
      <w:r w:rsidRPr="00B66EC1">
        <w:rPr>
          <w:rFonts w:asciiTheme="minorHAnsi" w:hAnsiTheme="minorHAnsi" w:cstheme="minorHAnsi"/>
          <w:sz w:val="18"/>
          <w:szCs w:val="18"/>
        </w:rPr>
        <w:t xml:space="preserve"> men. Source: UNESCO Institute for Statistics (UIS) methodology.</w:t>
      </w:r>
    </w:p>
  </w:footnote>
  <w:footnote w:id="2">
    <w:p w14:paraId="50D3493F" w14:textId="77777777" w:rsidR="00E03741" w:rsidRPr="001624A1" w:rsidRDefault="00E03741" w:rsidP="001624A1">
      <w:pPr>
        <w:jc w:val="both"/>
        <w:rPr>
          <w:rFonts w:asciiTheme="minorHAnsi" w:hAnsiTheme="minorHAnsi" w:cstheme="minorHAnsi"/>
        </w:rPr>
      </w:pPr>
      <w:r w:rsidRPr="001624A1">
        <w:rPr>
          <w:rStyle w:val="Referencafusnote"/>
          <w:rFonts w:asciiTheme="minorHAnsi" w:hAnsiTheme="minorHAnsi" w:cstheme="minorHAnsi"/>
        </w:rPr>
        <w:footnoteRef/>
      </w:r>
      <w:r w:rsidRPr="001624A1">
        <w:rPr>
          <w:rFonts w:asciiTheme="minorHAnsi" w:hAnsiTheme="minorHAnsi" w:cstheme="minorHAnsi"/>
        </w:rPr>
        <w:t>Montenegro has never conducted a national time-use survey and has no published SDG Indicator 5.4.1 headline figure, representing the most critical data gap in the region (MONSTAT, 2023).</w:t>
      </w:r>
    </w:p>
  </w:footnote>
  <w:footnote w:id="3">
    <w:p w14:paraId="54ADC59C" w14:textId="77777777" w:rsidR="00E03741" w:rsidRPr="00013458" w:rsidRDefault="00E03741" w:rsidP="00013458">
      <w:pPr>
        <w:jc w:val="both"/>
        <w:rPr>
          <w:rFonts w:asciiTheme="minorHAnsi" w:hAnsiTheme="minorHAnsi" w:cstheme="minorHAnsi"/>
        </w:rPr>
      </w:pPr>
      <w:r w:rsidRPr="00013458">
        <w:rPr>
          <w:rStyle w:val="Referencafusnote"/>
          <w:rFonts w:asciiTheme="minorHAnsi" w:hAnsiTheme="minorHAnsi" w:cstheme="minorHAnsi"/>
          <w:sz w:val="18"/>
          <w:szCs w:val="18"/>
        </w:rPr>
        <w:footnoteRef/>
      </w:r>
      <w:r w:rsidRPr="00013458">
        <w:rPr>
          <w:rFonts w:asciiTheme="minorHAnsi" w:hAnsiTheme="minorHAnsi" w:cstheme="minorHAnsi"/>
          <w:sz w:val="18"/>
          <w:szCs w:val="18"/>
        </w:rPr>
        <w:t xml:space="preserve">Conflict-related sexual violence (CRSV): As of August 2023, 55 cases against 122 defendants were pending in Bosnian courts. Only two </w:t>
      </w:r>
      <w:proofErr w:type="gramStart"/>
      <w:r w:rsidRPr="00013458">
        <w:rPr>
          <w:rFonts w:asciiTheme="minorHAnsi" w:hAnsiTheme="minorHAnsi" w:cstheme="minorHAnsi"/>
          <w:sz w:val="18"/>
          <w:szCs w:val="18"/>
        </w:rPr>
        <w:t>first-instance</w:t>
      </w:r>
      <w:proofErr w:type="gramEnd"/>
      <w:r w:rsidRPr="00013458">
        <w:rPr>
          <w:rFonts w:asciiTheme="minorHAnsi" w:hAnsiTheme="minorHAnsi" w:cstheme="minorHAnsi"/>
          <w:sz w:val="18"/>
          <w:szCs w:val="18"/>
        </w:rPr>
        <w:t xml:space="preserve"> and two final judgments had been reached (Human Rights Watch, 2024).</w:t>
      </w:r>
    </w:p>
  </w:footnote>
  <w:footnote w:id="4">
    <w:p w14:paraId="2982D5B4" w14:textId="77777777" w:rsidR="00E03741" w:rsidRPr="00FC31A2" w:rsidRDefault="00E03741" w:rsidP="009E6B40">
      <w:pPr>
        <w:jc w:val="both"/>
        <w:rPr>
          <w:rFonts w:asciiTheme="minorHAnsi" w:hAnsiTheme="minorHAnsi" w:cstheme="minorHAnsi"/>
        </w:rPr>
      </w:pPr>
      <w:r w:rsidRPr="00FC31A2">
        <w:rPr>
          <w:rStyle w:val="Referencafusnote"/>
          <w:rFonts w:asciiTheme="minorHAnsi" w:hAnsiTheme="minorHAnsi" w:cstheme="minorHAnsi"/>
          <w:sz w:val="16"/>
          <w:szCs w:val="16"/>
        </w:rPr>
        <w:footnoteRef/>
      </w:r>
      <w:r w:rsidRPr="00FC31A2">
        <w:rPr>
          <w:rFonts w:asciiTheme="minorHAnsi" w:hAnsiTheme="minorHAnsi" w:cstheme="minorHAnsi"/>
          <w:sz w:val="16"/>
          <w:szCs w:val="16"/>
        </w:rPr>
        <w:t>Data caveat: Direct comparison of GBV prevalence figures across countries requires caution. Albania data uses the INSTAT/UN Women/UNDP National Population Survey methodology (2018); BiH uses the OSCE Well-being and Safety survey (2019); Croatia uses the EU-GBV Survey (2021); Montenegro uses the MONSTAT EU-methodology survey (2021). Survey instruments, age ranges, and reference periods differ.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D20AD" w14:textId="13A8A312" w:rsidR="00E03741" w:rsidRPr="003E7196" w:rsidRDefault="003E7196" w:rsidP="003E7196">
    <w:pPr>
      <w:pStyle w:val="Zaglavljestranice"/>
    </w:pPr>
    <w:r>
      <w:rPr>
        <w:noProof/>
      </w:rPr>
      <mc:AlternateContent>
        <mc:Choice Requires="wps">
          <w:drawing>
            <wp:anchor distT="0" distB="0" distL="114300" distR="114300" simplePos="0" relativeHeight="251661312" behindDoc="0" locked="0" layoutInCell="1" allowOverlap="1" wp14:anchorId="4784B897" wp14:editId="2307A852">
              <wp:simplePos x="0" y="0"/>
              <wp:positionH relativeFrom="column">
                <wp:posOffset>1073791</wp:posOffset>
              </wp:positionH>
              <wp:positionV relativeFrom="paragraph">
                <wp:posOffset>427204</wp:posOffset>
              </wp:positionV>
              <wp:extent cx="5257800" cy="95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52578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938D43"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4.55pt,33.65pt" to="498.55pt,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" strokecolor="#4472c4 [3204]" strokeweight=".5pt">
              <v:stroke joinstyle="miter"/>
            </v:line>
          </w:pict>
        </mc:Fallback>
      </mc:AlternateContent>
    </w:r>
    <w:r w:rsidRPr="00E36ECF">
      <w:rPr>
        <w:noProof/>
      </w:rPr>
      <w:drawing>
        <wp:anchor distT="0" distB="0" distL="114300" distR="114300" simplePos="0" relativeHeight="251659264" behindDoc="0" locked="0" layoutInCell="1" allowOverlap="1" wp14:anchorId="7816B2BB" wp14:editId="43ADB49B">
          <wp:simplePos x="0" y="0"/>
          <wp:positionH relativeFrom="margin">
            <wp:align>left</wp:align>
          </wp:positionH>
          <wp:positionV relativeFrom="paragraph">
            <wp:posOffset>-160026</wp:posOffset>
          </wp:positionV>
          <wp:extent cx="1099997" cy="61912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9997" cy="6191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5359D"/>
    <w:multiLevelType w:val="hybridMultilevel"/>
    <w:tmpl w:val="B8565728"/>
    <w:lvl w:ilvl="0" w:tplc="43B03E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5C01CD"/>
    <w:multiLevelType w:val="hybridMultilevel"/>
    <w:tmpl w:val="A2B6AFDA"/>
    <w:lvl w:ilvl="0" w:tplc="73BC54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623B7B"/>
    <w:multiLevelType w:val="hybridMultilevel"/>
    <w:tmpl w:val="52D676F8"/>
    <w:lvl w:ilvl="0" w:tplc="73BC54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3F5028"/>
    <w:multiLevelType w:val="hybridMultilevel"/>
    <w:tmpl w:val="F7181582"/>
    <w:lvl w:ilvl="0" w:tplc="73BC54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1C30FF"/>
    <w:multiLevelType w:val="hybridMultilevel"/>
    <w:tmpl w:val="CA2EEAA2"/>
    <w:lvl w:ilvl="0" w:tplc="73BC54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132C64"/>
    <w:multiLevelType w:val="hybridMultilevel"/>
    <w:tmpl w:val="BA4A5D90"/>
    <w:lvl w:ilvl="0" w:tplc="73BC54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0B54AE"/>
    <w:multiLevelType w:val="hybridMultilevel"/>
    <w:tmpl w:val="CFFC9630"/>
    <w:lvl w:ilvl="0" w:tplc="73BC54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3B3A98"/>
    <w:multiLevelType w:val="hybridMultilevel"/>
    <w:tmpl w:val="9B2A0400"/>
    <w:lvl w:ilvl="0" w:tplc="D1B00AB0">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C83FA2"/>
    <w:multiLevelType w:val="hybridMultilevel"/>
    <w:tmpl w:val="14E84E8C"/>
    <w:lvl w:ilvl="0" w:tplc="73BC54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5F2FD5"/>
    <w:multiLevelType w:val="hybridMultilevel"/>
    <w:tmpl w:val="67081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833AF1"/>
    <w:multiLevelType w:val="hybridMultilevel"/>
    <w:tmpl w:val="CD327F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131DD2"/>
    <w:multiLevelType w:val="hybridMultilevel"/>
    <w:tmpl w:val="C8D413DC"/>
    <w:lvl w:ilvl="0" w:tplc="3EC45B6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B00BBB"/>
    <w:multiLevelType w:val="hybridMultilevel"/>
    <w:tmpl w:val="487E94A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C31644E"/>
    <w:multiLevelType w:val="hybridMultilevel"/>
    <w:tmpl w:val="8118F112"/>
    <w:lvl w:ilvl="0" w:tplc="02166A94">
      <w:start w:val="1"/>
      <w:numFmt w:val="bullet"/>
      <w:lvlText w:val="•"/>
      <w:lvlJc w:val="left"/>
      <w:pPr>
        <w:ind w:left="540" w:hanging="360"/>
      </w:pPr>
    </w:lvl>
    <w:lvl w:ilvl="1" w:tplc="270C51DC">
      <w:numFmt w:val="decimal"/>
      <w:lvlText w:val=""/>
      <w:lvlJc w:val="left"/>
    </w:lvl>
    <w:lvl w:ilvl="2" w:tplc="C03A1496">
      <w:numFmt w:val="decimal"/>
      <w:lvlText w:val=""/>
      <w:lvlJc w:val="left"/>
    </w:lvl>
    <w:lvl w:ilvl="3" w:tplc="133A01B8">
      <w:numFmt w:val="decimal"/>
      <w:lvlText w:val=""/>
      <w:lvlJc w:val="left"/>
    </w:lvl>
    <w:lvl w:ilvl="4" w:tplc="6EDEC58A">
      <w:numFmt w:val="decimal"/>
      <w:lvlText w:val=""/>
      <w:lvlJc w:val="left"/>
    </w:lvl>
    <w:lvl w:ilvl="5" w:tplc="CCB26EFE">
      <w:numFmt w:val="decimal"/>
      <w:lvlText w:val=""/>
      <w:lvlJc w:val="left"/>
    </w:lvl>
    <w:lvl w:ilvl="6" w:tplc="8E82918C">
      <w:numFmt w:val="decimal"/>
      <w:lvlText w:val=""/>
      <w:lvlJc w:val="left"/>
    </w:lvl>
    <w:lvl w:ilvl="7" w:tplc="1BAE235A">
      <w:numFmt w:val="decimal"/>
      <w:lvlText w:val=""/>
      <w:lvlJc w:val="left"/>
    </w:lvl>
    <w:lvl w:ilvl="8" w:tplc="B69E8240">
      <w:numFmt w:val="decimal"/>
      <w:lvlText w:val=""/>
      <w:lvlJc w:val="left"/>
    </w:lvl>
  </w:abstractNum>
  <w:abstractNum w:abstractNumId="14" w15:restartNumberingAfterBreak="0">
    <w:nsid w:val="637D1031"/>
    <w:multiLevelType w:val="hybridMultilevel"/>
    <w:tmpl w:val="C19CFD96"/>
    <w:lvl w:ilvl="0" w:tplc="73BC54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D01448"/>
    <w:multiLevelType w:val="hybridMultilevel"/>
    <w:tmpl w:val="98C8D0AC"/>
    <w:lvl w:ilvl="0" w:tplc="E6EA251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D92082"/>
    <w:multiLevelType w:val="hybridMultilevel"/>
    <w:tmpl w:val="8A7EA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18217D"/>
    <w:multiLevelType w:val="hybridMultilevel"/>
    <w:tmpl w:val="01F0CAB4"/>
    <w:lvl w:ilvl="0" w:tplc="D0446970">
      <w:start w:val="1"/>
      <w:numFmt w:val="bullet"/>
      <w:lvlText w:val="●"/>
      <w:lvlJc w:val="left"/>
      <w:pPr>
        <w:ind w:left="720" w:hanging="360"/>
      </w:pPr>
    </w:lvl>
    <w:lvl w:ilvl="1" w:tplc="6D2A751A">
      <w:start w:val="1"/>
      <w:numFmt w:val="bullet"/>
      <w:lvlText w:val="○"/>
      <w:lvlJc w:val="left"/>
      <w:pPr>
        <w:ind w:left="1440" w:hanging="360"/>
      </w:pPr>
    </w:lvl>
    <w:lvl w:ilvl="2" w:tplc="07D6E712">
      <w:start w:val="1"/>
      <w:numFmt w:val="bullet"/>
      <w:lvlText w:val="■"/>
      <w:lvlJc w:val="left"/>
      <w:pPr>
        <w:ind w:left="2160" w:hanging="360"/>
      </w:pPr>
    </w:lvl>
    <w:lvl w:ilvl="3" w:tplc="2EDE40C4">
      <w:start w:val="1"/>
      <w:numFmt w:val="bullet"/>
      <w:lvlText w:val="●"/>
      <w:lvlJc w:val="left"/>
      <w:pPr>
        <w:ind w:left="2880" w:hanging="360"/>
      </w:pPr>
    </w:lvl>
    <w:lvl w:ilvl="4" w:tplc="097E6842">
      <w:start w:val="1"/>
      <w:numFmt w:val="bullet"/>
      <w:lvlText w:val="○"/>
      <w:lvlJc w:val="left"/>
      <w:pPr>
        <w:ind w:left="3600" w:hanging="360"/>
      </w:pPr>
    </w:lvl>
    <w:lvl w:ilvl="5" w:tplc="4858A418">
      <w:start w:val="1"/>
      <w:numFmt w:val="bullet"/>
      <w:lvlText w:val="■"/>
      <w:lvlJc w:val="left"/>
      <w:pPr>
        <w:ind w:left="4320" w:hanging="360"/>
      </w:pPr>
    </w:lvl>
    <w:lvl w:ilvl="6" w:tplc="BFEC6520">
      <w:start w:val="1"/>
      <w:numFmt w:val="bullet"/>
      <w:lvlText w:val="●"/>
      <w:lvlJc w:val="left"/>
      <w:pPr>
        <w:ind w:left="5040" w:hanging="360"/>
      </w:pPr>
    </w:lvl>
    <w:lvl w:ilvl="7" w:tplc="DE80577C">
      <w:start w:val="1"/>
      <w:numFmt w:val="bullet"/>
      <w:lvlText w:val="●"/>
      <w:lvlJc w:val="left"/>
      <w:pPr>
        <w:ind w:left="5760" w:hanging="360"/>
      </w:pPr>
    </w:lvl>
    <w:lvl w:ilvl="8" w:tplc="B35C6E92">
      <w:start w:val="1"/>
      <w:numFmt w:val="bullet"/>
      <w:lvlText w:val="●"/>
      <w:lvlJc w:val="left"/>
      <w:pPr>
        <w:ind w:left="6480" w:hanging="360"/>
      </w:pPr>
    </w:lvl>
  </w:abstractNum>
  <w:abstractNum w:abstractNumId="18" w15:restartNumberingAfterBreak="0">
    <w:nsid w:val="78147BF7"/>
    <w:multiLevelType w:val="hybridMultilevel"/>
    <w:tmpl w:val="F04AD17C"/>
    <w:lvl w:ilvl="0" w:tplc="73BC54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483410">
    <w:abstractNumId w:val="17"/>
    <w:lvlOverride w:ilvl="0">
      <w:startOverride w:val="1"/>
    </w:lvlOverride>
  </w:num>
  <w:num w:numId="2" w16cid:durableId="1725979402">
    <w:abstractNumId w:val="13"/>
    <w:lvlOverride w:ilvl="0">
      <w:startOverride w:val="1"/>
    </w:lvlOverride>
  </w:num>
  <w:num w:numId="3" w16cid:durableId="1206134997">
    <w:abstractNumId w:val="9"/>
  </w:num>
  <w:num w:numId="4" w16cid:durableId="251479006">
    <w:abstractNumId w:val="7"/>
  </w:num>
  <w:num w:numId="5" w16cid:durableId="1333142359">
    <w:abstractNumId w:val="16"/>
  </w:num>
  <w:num w:numId="6" w16cid:durableId="282660697">
    <w:abstractNumId w:val="15"/>
  </w:num>
  <w:num w:numId="7" w16cid:durableId="681399142">
    <w:abstractNumId w:val="12"/>
  </w:num>
  <w:num w:numId="8" w16cid:durableId="1673951491">
    <w:abstractNumId w:val="10"/>
  </w:num>
  <w:num w:numId="9" w16cid:durableId="1544368220">
    <w:abstractNumId w:val="4"/>
  </w:num>
  <w:num w:numId="10" w16cid:durableId="274869027">
    <w:abstractNumId w:val="1"/>
  </w:num>
  <w:num w:numId="11" w16cid:durableId="1759517033">
    <w:abstractNumId w:val="18"/>
  </w:num>
  <w:num w:numId="12" w16cid:durableId="671567263">
    <w:abstractNumId w:val="6"/>
  </w:num>
  <w:num w:numId="13" w16cid:durableId="236938051">
    <w:abstractNumId w:val="5"/>
  </w:num>
  <w:num w:numId="14" w16cid:durableId="661932035">
    <w:abstractNumId w:val="14"/>
  </w:num>
  <w:num w:numId="15" w16cid:durableId="1343511197">
    <w:abstractNumId w:val="8"/>
  </w:num>
  <w:num w:numId="16" w16cid:durableId="364411779">
    <w:abstractNumId w:val="2"/>
  </w:num>
  <w:num w:numId="17" w16cid:durableId="691953733">
    <w:abstractNumId w:val="3"/>
  </w:num>
  <w:num w:numId="18" w16cid:durableId="101264217">
    <w:abstractNumId w:val="11"/>
  </w:num>
  <w:num w:numId="19" w16cid:durableId="850797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741"/>
    <w:rsid w:val="00013458"/>
    <w:rsid w:val="00021495"/>
    <w:rsid w:val="00030B75"/>
    <w:rsid w:val="000378D4"/>
    <w:rsid w:val="000546A0"/>
    <w:rsid w:val="00066B71"/>
    <w:rsid w:val="00067F56"/>
    <w:rsid w:val="00067F6C"/>
    <w:rsid w:val="0007220E"/>
    <w:rsid w:val="0007735B"/>
    <w:rsid w:val="00077E1E"/>
    <w:rsid w:val="00084CCE"/>
    <w:rsid w:val="000A533E"/>
    <w:rsid w:val="000B022E"/>
    <w:rsid w:val="000B3B83"/>
    <w:rsid w:val="000C51B8"/>
    <w:rsid w:val="000D17D0"/>
    <w:rsid w:val="000D3E44"/>
    <w:rsid w:val="000E2B8C"/>
    <w:rsid w:val="00113F42"/>
    <w:rsid w:val="00115CE5"/>
    <w:rsid w:val="00154738"/>
    <w:rsid w:val="00156165"/>
    <w:rsid w:val="001618E2"/>
    <w:rsid w:val="001624A1"/>
    <w:rsid w:val="00162919"/>
    <w:rsid w:val="00173937"/>
    <w:rsid w:val="00194852"/>
    <w:rsid w:val="0019704F"/>
    <w:rsid w:val="001A08AB"/>
    <w:rsid w:val="001B2465"/>
    <w:rsid w:val="001C48CB"/>
    <w:rsid w:val="00201A0A"/>
    <w:rsid w:val="00212CE5"/>
    <w:rsid w:val="0021754B"/>
    <w:rsid w:val="00225EAC"/>
    <w:rsid w:val="002262C8"/>
    <w:rsid w:val="002459B2"/>
    <w:rsid w:val="002702C6"/>
    <w:rsid w:val="002715BD"/>
    <w:rsid w:val="00283A52"/>
    <w:rsid w:val="00286DF2"/>
    <w:rsid w:val="00294D37"/>
    <w:rsid w:val="00295F5B"/>
    <w:rsid w:val="00296FE4"/>
    <w:rsid w:val="002A66D7"/>
    <w:rsid w:val="002A7E47"/>
    <w:rsid w:val="002B55AB"/>
    <w:rsid w:val="002C78EF"/>
    <w:rsid w:val="002D4667"/>
    <w:rsid w:val="002E1A7C"/>
    <w:rsid w:val="002F0D0D"/>
    <w:rsid w:val="002F510B"/>
    <w:rsid w:val="00301CF1"/>
    <w:rsid w:val="0033511C"/>
    <w:rsid w:val="0034630A"/>
    <w:rsid w:val="00347672"/>
    <w:rsid w:val="00353B2F"/>
    <w:rsid w:val="00354D7D"/>
    <w:rsid w:val="0037414E"/>
    <w:rsid w:val="00375655"/>
    <w:rsid w:val="003810FF"/>
    <w:rsid w:val="00384C46"/>
    <w:rsid w:val="003926FF"/>
    <w:rsid w:val="003B3738"/>
    <w:rsid w:val="003C3E68"/>
    <w:rsid w:val="003D0925"/>
    <w:rsid w:val="003E7196"/>
    <w:rsid w:val="003F1E44"/>
    <w:rsid w:val="00403CE1"/>
    <w:rsid w:val="00407274"/>
    <w:rsid w:val="004201C7"/>
    <w:rsid w:val="00453C58"/>
    <w:rsid w:val="00484734"/>
    <w:rsid w:val="00484AD3"/>
    <w:rsid w:val="00496C2A"/>
    <w:rsid w:val="004A2791"/>
    <w:rsid w:val="004A43D7"/>
    <w:rsid w:val="004B3F4D"/>
    <w:rsid w:val="004C05C4"/>
    <w:rsid w:val="004C7BF9"/>
    <w:rsid w:val="004E4066"/>
    <w:rsid w:val="00504978"/>
    <w:rsid w:val="00510A40"/>
    <w:rsid w:val="00524956"/>
    <w:rsid w:val="00533E84"/>
    <w:rsid w:val="00556170"/>
    <w:rsid w:val="00564012"/>
    <w:rsid w:val="005861FD"/>
    <w:rsid w:val="00590B98"/>
    <w:rsid w:val="005A693C"/>
    <w:rsid w:val="005B6739"/>
    <w:rsid w:val="005D31F5"/>
    <w:rsid w:val="005E6D46"/>
    <w:rsid w:val="00603354"/>
    <w:rsid w:val="00607DA2"/>
    <w:rsid w:val="00617D60"/>
    <w:rsid w:val="00627ED8"/>
    <w:rsid w:val="0063200F"/>
    <w:rsid w:val="006417B0"/>
    <w:rsid w:val="00645DAB"/>
    <w:rsid w:val="00650EF2"/>
    <w:rsid w:val="00653049"/>
    <w:rsid w:val="00656B21"/>
    <w:rsid w:val="00671869"/>
    <w:rsid w:val="00677073"/>
    <w:rsid w:val="00682C86"/>
    <w:rsid w:val="006876D1"/>
    <w:rsid w:val="006B1111"/>
    <w:rsid w:val="006B111E"/>
    <w:rsid w:val="006C38BE"/>
    <w:rsid w:val="006C545B"/>
    <w:rsid w:val="006D02DF"/>
    <w:rsid w:val="00702C83"/>
    <w:rsid w:val="00703030"/>
    <w:rsid w:val="00704185"/>
    <w:rsid w:val="007044FB"/>
    <w:rsid w:val="0070797D"/>
    <w:rsid w:val="0071204A"/>
    <w:rsid w:val="00712141"/>
    <w:rsid w:val="00724AA7"/>
    <w:rsid w:val="00733C88"/>
    <w:rsid w:val="00736D9E"/>
    <w:rsid w:val="00775844"/>
    <w:rsid w:val="00783007"/>
    <w:rsid w:val="00790D04"/>
    <w:rsid w:val="00791046"/>
    <w:rsid w:val="00796EED"/>
    <w:rsid w:val="007971A1"/>
    <w:rsid w:val="007A683F"/>
    <w:rsid w:val="007B05FB"/>
    <w:rsid w:val="007C1402"/>
    <w:rsid w:val="007D03E2"/>
    <w:rsid w:val="007D1570"/>
    <w:rsid w:val="007D1D8B"/>
    <w:rsid w:val="007D7C7D"/>
    <w:rsid w:val="007E58D6"/>
    <w:rsid w:val="007E7D0B"/>
    <w:rsid w:val="007F4506"/>
    <w:rsid w:val="00807772"/>
    <w:rsid w:val="0081797B"/>
    <w:rsid w:val="008236FF"/>
    <w:rsid w:val="00824202"/>
    <w:rsid w:val="008305B1"/>
    <w:rsid w:val="00837516"/>
    <w:rsid w:val="00870240"/>
    <w:rsid w:val="00871F4C"/>
    <w:rsid w:val="00882949"/>
    <w:rsid w:val="00883E36"/>
    <w:rsid w:val="008A18C2"/>
    <w:rsid w:val="008B59DB"/>
    <w:rsid w:val="008C6057"/>
    <w:rsid w:val="008E7047"/>
    <w:rsid w:val="008F1FF9"/>
    <w:rsid w:val="008F7934"/>
    <w:rsid w:val="00903993"/>
    <w:rsid w:val="009232AD"/>
    <w:rsid w:val="00931B2F"/>
    <w:rsid w:val="009355BF"/>
    <w:rsid w:val="00955AC5"/>
    <w:rsid w:val="00963F78"/>
    <w:rsid w:val="0096609F"/>
    <w:rsid w:val="009672A7"/>
    <w:rsid w:val="00970A4A"/>
    <w:rsid w:val="009771BF"/>
    <w:rsid w:val="00995182"/>
    <w:rsid w:val="009963E4"/>
    <w:rsid w:val="009969D4"/>
    <w:rsid w:val="009B1761"/>
    <w:rsid w:val="009B3DA4"/>
    <w:rsid w:val="009E09E8"/>
    <w:rsid w:val="009E1001"/>
    <w:rsid w:val="009E2E77"/>
    <w:rsid w:val="009E6B40"/>
    <w:rsid w:val="009F58FC"/>
    <w:rsid w:val="00A01851"/>
    <w:rsid w:val="00A101DE"/>
    <w:rsid w:val="00A31EF6"/>
    <w:rsid w:val="00A57E1C"/>
    <w:rsid w:val="00A62769"/>
    <w:rsid w:val="00A9084C"/>
    <w:rsid w:val="00A92C6D"/>
    <w:rsid w:val="00AA78AC"/>
    <w:rsid w:val="00AC3F3F"/>
    <w:rsid w:val="00AD26C7"/>
    <w:rsid w:val="00AD562C"/>
    <w:rsid w:val="00AF244C"/>
    <w:rsid w:val="00AF3363"/>
    <w:rsid w:val="00AF6CAF"/>
    <w:rsid w:val="00B207A9"/>
    <w:rsid w:val="00B265A3"/>
    <w:rsid w:val="00B4118E"/>
    <w:rsid w:val="00B63E48"/>
    <w:rsid w:val="00B66EC1"/>
    <w:rsid w:val="00B7665C"/>
    <w:rsid w:val="00B810B8"/>
    <w:rsid w:val="00B86C34"/>
    <w:rsid w:val="00BA2565"/>
    <w:rsid w:val="00BA37FE"/>
    <w:rsid w:val="00BB2B08"/>
    <w:rsid w:val="00BB4DAC"/>
    <w:rsid w:val="00BC377D"/>
    <w:rsid w:val="00BF5746"/>
    <w:rsid w:val="00C0282E"/>
    <w:rsid w:val="00C1130C"/>
    <w:rsid w:val="00C2129B"/>
    <w:rsid w:val="00C25DDE"/>
    <w:rsid w:val="00C32C73"/>
    <w:rsid w:val="00C36ED2"/>
    <w:rsid w:val="00C40153"/>
    <w:rsid w:val="00C66BD5"/>
    <w:rsid w:val="00C72F48"/>
    <w:rsid w:val="00C7770E"/>
    <w:rsid w:val="00C8772C"/>
    <w:rsid w:val="00CA1C97"/>
    <w:rsid w:val="00CA2CB5"/>
    <w:rsid w:val="00CA58D7"/>
    <w:rsid w:val="00CB13C4"/>
    <w:rsid w:val="00CC4585"/>
    <w:rsid w:val="00CC4DEC"/>
    <w:rsid w:val="00CC600A"/>
    <w:rsid w:val="00CD2B5F"/>
    <w:rsid w:val="00CD36AA"/>
    <w:rsid w:val="00CE711A"/>
    <w:rsid w:val="00D14A99"/>
    <w:rsid w:val="00D17DB7"/>
    <w:rsid w:val="00D3675A"/>
    <w:rsid w:val="00D42893"/>
    <w:rsid w:val="00D46269"/>
    <w:rsid w:val="00D50A17"/>
    <w:rsid w:val="00D63C56"/>
    <w:rsid w:val="00D67898"/>
    <w:rsid w:val="00D854A0"/>
    <w:rsid w:val="00DB1798"/>
    <w:rsid w:val="00DB3F41"/>
    <w:rsid w:val="00DC0355"/>
    <w:rsid w:val="00DF681E"/>
    <w:rsid w:val="00DF7499"/>
    <w:rsid w:val="00E03741"/>
    <w:rsid w:val="00E178CA"/>
    <w:rsid w:val="00E27081"/>
    <w:rsid w:val="00E276F9"/>
    <w:rsid w:val="00E5038C"/>
    <w:rsid w:val="00E553B4"/>
    <w:rsid w:val="00E644CE"/>
    <w:rsid w:val="00E65D1B"/>
    <w:rsid w:val="00E73104"/>
    <w:rsid w:val="00E74B51"/>
    <w:rsid w:val="00E752FD"/>
    <w:rsid w:val="00E76097"/>
    <w:rsid w:val="00E760E4"/>
    <w:rsid w:val="00E87A00"/>
    <w:rsid w:val="00E9056D"/>
    <w:rsid w:val="00E94A2D"/>
    <w:rsid w:val="00EA41B0"/>
    <w:rsid w:val="00EB05F1"/>
    <w:rsid w:val="00EB7F09"/>
    <w:rsid w:val="00ED2B97"/>
    <w:rsid w:val="00ED3307"/>
    <w:rsid w:val="00ED3FDB"/>
    <w:rsid w:val="00ED4EE0"/>
    <w:rsid w:val="00ED622C"/>
    <w:rsid w:val="00EE780B"/>
    <w:rsid w:val="00F00735"/>
    <w:rsid w:val="00F02BC6"/>
    <w:rsid w:val="00F07FD7"/>
    <w:rsid w:val="00F11358"/>
    <w:rsid w:val="00F22DE8"/>
    <w:rsid w:val="00F266E3"/>
    <w:rsid w:val="00F27B4D"/>
    <w:rsid w:val="00F3518E"/>
    <w:rsid w:val="00F3650D"/>
    <w:rsid w:val="00F40EC8"/>
    <w:rsid w:val="00F6396D"/>
    <w:rsid w:val="00F702BE"/>
    <w:rsid w:val="00F80EAB"/>
    <w:rsid w:val="00F86BF3"/>
    <w:rsid w:val="00FC00CC"/>
    <w:rsid w:val="00FC31A2"/>
    <w:rsid w:val="00FC3970"/>
    <w:rsid w:val="00FE43D4"/>
    <w:rsid w:val="00FE793F"/>
    <w:rsid w:val="00FF46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ED14E"/>
  <w15:chartTrackingRefBased/>
  <w15:docId w15:val="{A3CAA73C-8B5E-4063-B380-DBFDEC760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741"/>
    <w:pPr>
      <w:spacing w:after="0" w:line="240" w:lineRule="auto"/>
    </w:pPr>
    <w:rPr>
      <w:rFonts w:ascii="Arial" w:eastAsia="Arial" w:hAnsi="Arial" w:cs="Arial"/>
      <w:color w:val="404040"/>
      <w:kern w:val="0"/>
      <w:sz w:val="20"/>
      <w:szCs w:val="20"/>
      <w14:ligatures w14:val="none"/>
    </w:rPr>
  </w:style>
  <w:style w:type="paragraph" w:styleId="Naslov1">
    <w:name w:val="heading 1"/>
    <w:basedOn w:val="Normal"/>
    <w:next w:val="Normal"/>
    <w:link w:val="Naslov1Char"/>
    <w:uiPriority w:val="9"/>
    <w:qFormat/>
    <w:rsid w:val="00E037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unhideWhenUsed/>
    <w:qFormat/>
    <w:rsid w:val="00E037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unhideWhenUsed/>
    <w:qFormat/>
    <w:rsid w:val="00E03741"/>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unhideWhenUsed/>
    <w:qFormat/>
    <w:rsid w:val="00E03741"/>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E03741"/>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E03741"/>
    <w:pPr>
      <w:keepNext/>
      <w:keepLines/>
      <w:spacing w:before="4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E03741"/>
    <w:pPr>
      <w:keepNext/>
      <w:keepLines/>
      <w:spacing w:before="4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E03741"/>
    <w:pPr>
      <w:keepNext/>
      <w:keepLines/>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E03741"/>
    <w:pPr>
      <w:keepNext/>
      <w:keepLines/>
      <w:outlineLvl w:val="8"/>
    </w:pPr>
    <w:rPr>
      <w:rFonts w:eastAsiaTheme="majorEastAsia" w:cstheme="majorBidi"/>
      <w:color w:val="272727" w:themeColor="text1" w:themeTint="D8"/>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character" w:customStyle="1" w:styleId="Naslov1Char">
    <w:name w:val="Naslov 1 Char"/>
    <w:basedOn w:val="Podrazumevanifontpasusa"/>
    <w:link w:val="Naslov1"/>
    <w:uiPriority w:val="9"/>
    <w:rsid w:val="00E03741"/>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Podrazumevanifontpasusa"/>
    <w:link w:val="Naslov2"/>
    <w:uiPriority w:val="9"/>
    <w:rsid w:val="00E03741"/>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Podrazumevanifontpasusa"/>
    <w:link w:val="Naslov3"/>
    <w:uiPriority w:val="9"/>
    <w:rsid w:val="00E03741"/>
    <w:rPr>
      <w:rFonts w:eastAsiaTheme="majorEastAsia" w:cstheme="majorBidi"/>
      <w:color w:val="2F5496" w:themeColor="accent1" w:themeShade="BF"/>
      <w:sz w:val="28"/>
      <w:szCs w:val="28"/>
    </w:rPr>
  </w:style>
  <w:style w:type="character" w:customStyle="1" w:styleId="Naslov4Char">
    <w:name w:val="Naslov 4 Char"/>
    <w:basedOn w:val="Podrazumevanifontpasusa"/>
    <w:link w:val="Naslov4"/>
    <w:uiPriority w:val="9"/>
    <w:rsid w:val="00E03741"/>
    <w:rPr>
      <w:rFonts w:eastAsiaTheme="majorEastAsia" w:cstheme="majorBidi"/>
      <w:i/>
      <w:iCs/>
      <w:color w:val="2F5496" w:themeColor="accent1" w:themeShade="BF"/>
    </w:rPr>
  </w:style>
  <w:style w:type="character" w:customStyle="1" w:styleId="Naslov5Char">
    <w:name w:val="Naslov 5 Char"/>
    <w:basedOn w:val="Podrazumevanifontpasusa"/>
    <w:link w:val="Naslov5"/>
    <w:uiPriority w:val="9"/>
    <w:semiHidden/>
    <w:rsid w:val="00E03741"/>
    <w:rPr>
      <w:rFonts w:eastAsiaTheme="majorEastAsia" w:cstheme="majorBidi"/>
      <w:color w:val="2F5496" w:themeColor="accent1" w:themeShade="BF"/>
    </w:rPr>
  </w:style>
  <w:style w:type="character" w:customStyle="1" w:styleId="Naslov6Char">
    <w:name w:val="Naslov 6 Char"/>
    <w:basedOn w:val="Podrazumevanifontpasusa"/>
    <w:link w:val="Naslov6"/>
    <w:uiPriority w:val="9"/>
    <w:semiHidden/>
    <w:rsid w:val="00E03741"/>
    <w:rPr>
      <w:rFonts w:eastAsiaTheme="majorEastAsia" w:cstheme="majorBidi"/>
      <w:i/>
      <w:iCs/>
      <w:color w:val="595959" w:themeColor="text1" w:themeTint="A6"/>
    </w:rPr>
  </w:style>
  <w:style w:type="character" w:customStyle="1" w:styleId="Naslov7Char">
    <w:name w:val="Naslov 7 Char"/>
    <w:basedOn w:val="Podrazumevanifontpasusa"/>
    <w:link w:val="Naslov7"/>
    <w:uiPriority w:val="9"/>
    <w:semiHidden/>
    <w:rsid w:val="00E03741"/>
    <w:rPr>
      <w:rFonts w:eastAsiaTheme="majorEastAsia" w:cstheme="majorBidi"/>
      <w:color w:val="595959" w:themeColor="text1" w:themeTint="A6"/>
    </w:rPr>
  </w:style>
  <w:style w:type="character" w:customStyle="1" w:styleId="Naslov8Char">
    <w:name w:val="Naslov 8 Char"/>
    <w:basedOn w:val="Podrazumevanifontpasusa"/>
    <w:link w:val="Naslov8"/>
    <w:uiPriority w:val="9"/>
    <w:semiHidden/>
    <w:rsid w:val="00E03741"/>
    <w:rPr>
      <w:rFonts w:eastAsiaTheme="majorEastAsia" w:cstheme="majorBidi"/>
      <w:i/>
      <w:iCs/>
      <w:color w:val="272727" w:themeColor="text1" w:themeTint="D8"/>
    </w:rPr>
  </w:style>
  <w:style w:type="character" w:customStyle="1" w:styleId="Naslov9Char">
    <w:name w:val="Naslov 9 Char"/>
    <w:basedOn w:val="Podrazumevanifontpasusa"/>
    <w:link w:val="Naslov9"/>
    <w:uiPriority w:val="9"/>
    <w:semiHidden/>
    <w:rsid w:val="00E03741"/>
    <w:rPr>
      <w:rFonts w:eastAsiaTheme="majorEastAsia" w:cstheme="majorBidi"/>
      <w:color w:val="272727" w:themeColor="text1" w:themeTint="D8"/>
    </w:rPr>
  </w:style>
  <w:style w:type="paragraph" w:styleId="Naslov">
    <w:name w:val="Title"/>
    <w:basedOn w:val="Normal"/>
    <w:next w:val="Normal"/>
    <w:link w:val="NaslovChar"/>
    <w:uiPriority w:val="10"/>
    <w:qFormat/>
    <w:rsid w:val="00E03741"/>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Podrazumevanifontpasusa"/>
    <w:link w:val="Naslov"/>
    <w:uiPriority w:val="10"/>
    <w:rsid w:val="00E03741"/>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E03741"/>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Podrazumevanifontpasusa"/>
    <w:link w:val="Podnaslov"/>
    <w:uiPriority w:val="11"/>
    <w:rsid w:val="00E03741"/>
    <w:rPr>
      <w:rFonts w:eastAsiaTheme="majorEastAsia" w:cstheme="majorBidi"/>
      <w:color w:val="595959" w:themeColor="text1" w:themeTint="A6"/>
      <w:spacing w:val="15"/>
      <w:sz w:val="28"/>
      <w:szCs w:val="28"/>
    </w:rPr>
  </w:style>
  <w:style w:type="paragraph" w:styleId="Navoenje">
    <w:name w:val="Quote"/>
    <w:basedOn w:val="Normal"/>
    <w:next w:val="Normal"/>
    <w:link w:val="NavoenjeChar"/>
    <w:uiPriority w:val="29"/>
    <w:qFormat/>
    <w:rsid w:val="00E03741"/>
    <w:pPr>
      <w:spacing w:before="160"/>
      <w:jc w:val="center"/>
    </w:pPr>
    <w:rPr>
      <w:i/>
      <w:iCs/>
      <w:color w:val="404040" w:themeColor="text1" w:themeTint="BF"/>
    </w:rPr>
  </w:style>
  <w:style w:type="character" w:customStyle="1" w:styleId="NavoenjeChar">
    <w:name w:val="Navođenje Char"/>
    <w:basedOn w:val="Podrazumevanifontpasusa"/>
    <w:link w:val="Navoenje"/>
    <w:uiPriority w:val="29"/>
    <w:rsid w:val="00E03741"/>
    <w:rPr>
      <w:i/>
      <w:iCs/>
      <w:color w:val="404040" w:themeColor="text1" w:themeTint="BF"/>
    </w:rPr>
  </w:style>
  <w:style w:type="paragraph" w:styleId="Pasussalistom">
    <w:name w:val="List Paragraph"/>
    <w:basedOn w:val="Normal"/>
    <w:qFormat/>
    <w:rsid w:val="00E03741"/>
    <w:pPr>
      <w:ind w:left="720"/>
      <w:contextualSpacing/>
    </w:pPr>
  </w:style>
  <w:style w:type="character" w:styleId="Izrazitonaglaavanje">
    <w:name w:val="Intense Emphasis"/>
    <w:basedOn w:val="Podrazumevanifontpasusa"/>
    <w:uiPriority w:val="21"/>
    <w:qFormat/>
    <w:rsid w:val="00E03741"/>
    <w:rPr>
      <w:i/>
      <w:iCs/>
      <w:color w:val="2F5496" w:themeColor="accent1" w:themeShade="BF"/>
    </w:rPr>
  </w:style>
  <w:style w:type="paragraph" w:styleId="Podebljaninavodnici">
    <w:name w:val="Intense Quote"/>
    <w:basedOn w:val="Normal"/>
    <w:next w:val="Normal"/>
    <w:link w:val="PodebljaninavodniciChar"/>
    <w:uiPriority w:val="30"/>
    <w:qFormat/>
    <w:rsid w:val="00E037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PodebljaninavodniciChar">
    <w:name w:val="Podebljani navodnici Char"/>
    <w:basedOn w:val="Podrazumevanifontpasusa"/>
    <w:link w:val="Podebljaninavodnici"/>
    <w:uiPriority w:val="30"/>
    <w:rsid w:val="00E03741"/>
    <w:rPr>
      <w:i/>
      <w:iCs/>
      <w:color w:val="2F5496" w:themeColor="accent1" w:themeShade="BF"/>
    </w:rPr>
  </w:style>
  <w:style w:type="character" w:styleId="Izrazitareferenca">
    <w:name w:val="Intense Reference"/>
    <w:basedOn w:val="Podrazumevanifontpasusa"/>
    <w:uiPriority w:val="32"/>
    <w:qFormat/>
    <w:rsid w:val="00E03741"/>
    <w:rPr>
      <w:b/>
      <w:bCs/>
      <w:smallCaps/>
      <w:color w:val="2F5496" w:themeColor="accent1" w:themeShade="BF"/>
      <w:spacing w:val="5"/>
    </w:rPr>
  </w:style>
  <w:style w:type="paragraph" w:customStyle="1" w:styleId="Strong1">
    <w:name w:val="Strong1"/>
    <w:qFormat/>
    <w:rsid w:val="00E03741"/>
    <w:pPr>
      <w:spacing w:after="0" w:line="240" w:lineRule="auto"/>
    </w:pPr>
    <w:rPr>
      <w:rFonts w:ascii="Arial" w:eastAsia="Arial" w:hAnsi="Arial" w:cs="Arial"/>
      <w:b/>
      <w:bCs/>
      <w:color w:val="404040"/>
      <w:kern w:val="0"/>
      <w:sz w:val="20"/>
      <w:szCs w:val="20"/>
      <w14:ligatures w14:val="none"/>
    </w:rPr>
  </w:style>
  <w:style w:type="character" w:styleId="Hiperveza">
    <w:name w:val="Hyperlink"/>
    <w:uiPriority w:val="99"/>
    <w:unhideWhenUsed/>
    <w:rsid w:val="00E03741"/>
    <w:rPr>
      <w:color w:val="0563C1"/>
      <w:u w:val="single"/>
    </w:rPr>
  </w:style>
  <w:style w:type="character" w:styleId="Referencafusnote">
    <w:name w:val="footnote reference"/>
    <w:uiPriority w:val="99"/>
    <w:semiHidden/>
    <w:unhideWhenUsed/>
    <w:rsid w:val="00E03741"/>
    <w:rPr>
      <w:vertAlign w:val="superscript"/>
    </w:rPr>
  </w:style>
  <w:style w:type="paragraph" w:styleId="Tekstfusnote">
    <w:name w:val="footnote text"/>
    <w:link w:val="TekstfusnoteChar"/>
    <w:uiPriority w:val="99"/>
    <w:semiHidden/>
    <w:unhideWhenUsed/>
    <w:rsid w:val="00E03741"/>
    <w:pPr>
      <w:spacing w:after="0" w:line="240" w:lineRule="auto"/>
    </w:pPr>
    <w:rPr>
      <w:rFonts w:ascii="Arial" w:eastAsia="Arial" w:hAnsi="Arial" w:cs="Arial"/>
      <w:color w:val="404040"/>
      <w:kern w:val="0"/>
      <w:sz w:val="20"/>
      <w:szCs w:val="20"/>
      <w14:ligatures w14:val="none"/>
    </w:rPr>
  </w:style>
  <w:style w:type="character" w:customStyle="1" w:styleId="TekstfusnoteChar">
    <w:name w:val="Tekst fusnote Char"/>
    <w:basedOn w:val="Podrazumevanifontpasusa"/>
    <w:link w:val="Tekstfusnote"/>
    <w:uiPriority w:val="99"/>
    <w:semiHidden/>
    <w:rsid w:val="00E03741"/>
    <w:rPr>
      <w:rFonts w:ascii="Arial" w:eastAsia="Arial" w:hAnsi="Arial" w:cs="Arial"/>
      <w:color w:val="404040"/>
      <w:kern w:val="0"/>
      <w:sz w:val="20"/>
      <w:szCs w:val="20"/>
      <w14:ligatures w14:val="none"/>
    </w:rPr>
  </w:style>
  <w:style w:type="character" w:styleId="Ispraenahiperveza">
    <w:name w:val="FollowedHyperlink"/>
    <w:basedOn w:val="Podrazumevanifontpasusa"/>
    <w:uiPriority w:val="99"/>
    <w:semiHidden/>
    <w:unhideWhenUsed/>
    <w:rsid w:val="00E03741"/>
    <w:rPr>
      <w:color w:val="954F72" w:themeColor="followedHyperlink"/>
      <w:u w:val="single"/>
    </w:rPr>
  </w:style>
  <w:style w:type="paragraph" w:styleId="Zaglavljestranice">
    <w:name w:val="header"/>
    <w:basedOn w:val="Normal"/>
    <w:link w:val="ZaglavljestraniceChar"/>
    <w:uiPriority w:val="99"/>
    <w:unhideWhenUsed/>
    <w:rsid w:val="004201C7"/>
    <w:pPr>
      <w:tabs>
        <w:tab w:val="center" w:pos="4680"/>
        <w:tab w:val="right" w:pos="9360"/>
      </w:tabs>
    </w:pPr>
  </w:style>
  <w:style w:type="character" w:customStyle="1" w:styleId="ZaglavljestraniceChar">
    <w:name w:val="Zaglavlje stranice Char"/>
    <w:basedOn w:val="Podrazumevanifontpasusa"/>
    <w:link w:val="Zaglavljestranice"/>
    <w:uiPriority w:val="99"/>
    <w:rsid w:val="004201C7"/>
    <w:rPr>
      <w:rFonts w:ascii="Arial" w:eastAsia="Arial" w:hAnsi="Arial" w:cs="Arial"/>
      <w:color w:val="404040"/>
      <w:kern w:val="0"/>
      <w:sz w:val="20"/>
      <w:szCs w:val="20"/>
      <w14:ligatures w14:val="none"/>
    </w:rPr>
  </w:style>
  <w:style w:type="paragraph" w:styleId="Podnojestranice">
    <w:name w:val="footer"/>
    <w:basedOn w:val="Normal"/>
    <w:link w:val="PodnojestraniceChar"/>
    <w:uiPriority w:val="99"/>
    <w:unhideWhenUsed/>
    <w:rsid w:val="004201C7"/>
    <w:pPr>
      <w:tabs>
        <w:tab w:val="center" w:pos="4680"/>
        <w:tab w:val="right" w:pos="9360"/>
      </w:tabs>
    </w:pPr>
  </w:style>
  <w:style w:type="character" w:customStyle="1" w:styleId="PodnojestraniceChar">
    <w:name w:val="Podnožje stranice Char"/>
    <w:basedOn w:val="Podrazumevanifontpasusa"/>
    <w:link w:val="Podnojestranice"/>
    <w:uiPriority w:val="99"/>
    <w:rsid w:val="004201C7"/>
    <w:rPr>
      <w:rFonts w:ascii="Arial" w:eastAsia="Arial" w:hAnsi="Arial" w:cs="Arial"/>
      <w:color w:val="404040"/>
      <w:kern w:val="0"/>
      <w:sz w:val="20"/>
      <w:szCs w:val="20"/>
      <w14:ligatures w14:val="none"/>
    </w:rPr>
  </w:style>
  <w:style w:type="paragraph" w:styleId="Naslovsadraja">
    <w:name w:val="TOC Heading"/>
    <w:basedOn w:val="Naslov1"/>
    <w:next w:val="Normal"/>
    <w:uiPriority w:val="39"/>
    <w:unhideWhenUsed/>
    <w:qFormat/>
    <w:rsid w:val="00B265A3"/>
    <w:pPr>
      <w:spacing w:before="240" w:after="0" w:line="259" w:lineRule="auto"/>
      <w:outlineLvl w:val="9"/>
    </w:pPr>
    <w:rPr>
      <w:sz w:val="32"/>
      <w:szCs w:val="32"/>
    </w:rPr>
  </w:style>
  <w:style w:type="paragraph" w:styleId="SADRAJ1">
    <w:name w:val="toc 1"/>
    <w:basedOn w:val="Normal"/>
    <w:next w:val="Normal"/>
    <w:autoRedefine/>
    <w:uiPriority w:val="39"/>
    <w:unhideWhenUsed/>
    <w:rsid w:val="00CD2B5F"/>
    <w:pPr>
      <w:tabs>
        <w:tab w:val="right" w:leader="dot" w:pos="9350"/>
      </w:tabs>
      <w:spacing w:after="100"/>
    </w:pPr>
    <w:rPr>
      <w:rFonts w:asciiTheme="minorHAnsi" w:hAnsiTheme="minorHAnsi" w:cstheme="minorHAnsi"/>
      <w:b/>
      <w:bCs/>
      <w:noProof/>
      <w:color w:val="000000" w:themeColor="text1"/>
      <w:sz w:val="22"/>
      <w:szCs w:val="22"/>
    </w:rPr>
  </w:style>
  <w:style w:type="paragraph" w:styleId="SADRAJ3">
    <w:name w:val="toc 3"/>
    <w:basedOn w:val="Normal"/>
    <w:next w:val="Normal"/>
    <w:autoRedefine/>
    <w:uiPriority w:val="39"/>
    <w:unhideWhenUsed/>
    <w:rsid w:val="00B265A3"/>
    <w:pPr>
      <w:spacing w:after="100"/>
      <w:ind w:left="400"/>
    </w:pPr>
  </w:style>
  <w:style w:type="paragraph" w:styleId="SADRAJ2">
    <w:name w:val="toc 2"/>
    <w:basedOn w:val="Normal"/>
    <w:next w:val="Normal"/>
    <w:autoRedefine/>
    <w:uiPriority w:val="39"/>
    <w:unhideWhenUsed/>
    <w:rsid w:val="00B265A3"/>
    <w:pPr>
      <w:spacing w:after="100"/>
      <w:ind w:left="200"/>
    </w:pPr>
  </w:style>
  <w:style w:type="paragraph" w:styleId="Korektura">
    <w:name w:val="Revision"/>
    <w:hidden/>
    <w:uiPriority w:val="99"/>
    <w:semiHidden/>
    <w:rsid w:val="00CE711A"/>
    <w:pPr>
      <w:spacing w:after="0" w:line="240" w:lineRule="auto"/>
    </w:pPr>
    <w:rPr>
      <w:rFonts w:ascii="Arial" w:eastAsia="Arial" w:hAnsi="Arial" w:cs="Arial"/>
      <w:color w:val="404040"/>
      <w:kern w:val="0"/>
      <w:sz w:val="20"/>
      <w:szCs w:val="20"/>
      <w14:ligatures w14:val="none"/>
    </w:rPr>
  </w:style>
  <w:style w:type="paragraph" w:customStyle="1" w:styleId="Default">
    <w:name w:val="Default"/>
    <w:rsid w:val="00733C88"/>
    <w:pPr>
      <w:autoSpaceDE w:val="0"/>
      <w:autoSpaceDN w:val="0"/>
      <w:adjustRightInd w:val="0"/>
      <w:spacing w:after="0" w:line="240" w:lineRule="auto"/>
    </w:pPr>
    <w:rPr>
      <w:rFonts w:ascii="Cambria" w:hAnsi="Cambria" w:cs="Cambria"/>
      <w:color w:val="000000"/>
      <w:kern w:val="0"/>
      <w:lang w:val="sr-Latn-RS"/>
      <w14:ligatures w14:val="none"/>
    </w:rPr>
  </w:style>
  <w:style w:type="paragraph" w:styleId="Natpis">
    <w:name w:val="caption"/>
    <w:basedOn w:val="Normal"/>
    <w:next w:val="Normal"/>
    <w:uiPriority w:val="35"/>
    <w:unhideWhenUsed/>
    <w:qFormat/>
    <w:rsid w:val="00A57E1C"/>
    <w:pPr>
      <w:spacing w:after="200"/>
    </w:pPr>
    <w:rPr>
      <w:i/>
      <w:iCs/>
      <w:color w:val="44546A" w:themeColor="text2"/>
      <w:sz w:val="18"/>
      <w:szCs w:val="18"/>
    </w:rPr>
  </w:style>
  <w:style w:type="paragraph" w:styleId="Tabelailustracija">
    <w:name w:val="table of figures"/>
    <w:basedOn w:val="Normal"/>
    <w:next w:val="Normal"/>
    <w:uiPriority w:val="99"/>
    <w:unhideWhenUsed/>
    <w:rsid w:val="00A57E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234DB-A46E-41AA-821B-B27F6EA43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50</Pages>
  <Words>19527</Words>
  <Characters>111306</Characters>
  <Application>Microsoft Office Word</Application>
  <DocSecurity>0</DocSecurity>
  <Lines>927</Lines>
  <Paragraphs>261</Paragraphs>
  <ScaleCrop>false</ScaleCrop>
  <Company/>
  <LinksUpToDate>false</LinksUpToDate>
  <CharactersWithSpaces>130572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Umme Kulsoom</dc:creator>
  <cp:keywords/>
  <dc:description/>
  <cp:lastModifiedBy>Boban Jolovic</cp:lastModifiedBy>
  <cp:revision>82</cp:revision>
  <dcterms:created xsi:type="dcterms:W3CDTF">2026-02-20T13:14:00Z</dcterms:created>
  <dcterms:modified xsi:type="dcterms:W3CDTF">2026-03-12T13:44:00Z</dcterms:modified>
</cp:coreProperties>
</file>