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5529EA" w14:textId="77777777" w:rsidR="00825FC2" w:rsidRPr="00302BD2" w:rsidRDefault="00825FC2" w:rsidP="00825FC2">
      <w:pPr>
        <w:rPr>
          <w:lang w:val="en-GB"/>
        </w:rPr>
      </w:pPr>
      <w:r w:rsidRPr="00302BD2">
        <w:rPr>
          <w:noProof/>
          <w:lang w:val="en-GB"/>
        </w:rPr>
        <w:drawing>
          <wp:anchor distT="0" distB="0" distL="114300" distR="114300" simplePos="0" relativeHeight="251660288" behindDoc="0" locked="0" layoutInCell="1" allowOverlap="1" wp14:anchorId="279976D6" wp14:editId="4570BF8A">
            <wp:simplePos x="0" y="0"/>
            <wp:positionH relativeFrom="margin">
              <wp:posOffset>2537460</wp:posOffset>
            </wp:positionH>
            <wp:positionV relativeFrom="paragraph">
              <wp:posOffset>107950</wp:posOffset>
            </wp:positionV>
            <wp:extent cx="1018540" cy="718820"/>
            <wp:effectExtent l="0" t="0" r="0" b="5080"/>
            <wp:wrapSquare wrapText="bothSides"/>
            <wp:docPr id="115013395"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r w:rsidRPr="00302BD2">
        <w:rPr>
          <w:noProof/>
          <w:lang w:val="en-GB"/>
        </w:rPr>
        <w:drawing>
          <wp:anchor distT="0" distB="0" distL="114300" distR="114300" simplePos="0" relativeHeight="251659264" behindDoc="1" locked="0" layoutInCell="1" allowOverlap="1" wp14:anchorId="1170FC22" wp14:editId="36856684">
            <wp:simplePos x="0" y="0"/>
            <wp:positionH relativeFrom="margin">
              <wp:posOffset>5362575</wp:posOffset>
            </wp:positionH>
            <wp:positionV relativeFrom="margin">
              <wp:align>top</wp:align>
            </wp:positionV>
            <wp:extent cx="441325" cy="1000125"/>
            <wp:effectExtent l="0" t="0" r="0" b="9525"/>
            <wp:wrapTight wrapText="bothSides">
              <wp:wrapPolygon edited="0">
                <wp:start x="0" y="0"/>
                <wp:lineTo x="0" y="21394"/>
                <wp:lineTo x="20512" y="21394"/>
                <wp:lineTo x="20512" y="0"/>
                <wp:lineTo x="0" y="0"/>
              </wp:wrapPolygon>
            </wp:wrapTight>
            <wp:docPr id="4499238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1325" cy="1000125"/>
                    </a:xfrm>
                    <a:prstGeom prst="rect">
                      <a:avLst/>
                    </a:prstGeom>
                  </pic:spPr>
                </pic:pic>
              </a:graphicData>
            </a:graphic>
            <wp14:sizeRelH relativeFrom="margin">
              <wp14:pctWidth>0</wp14:pctWidth>
            </wp14:sizeRelH>
            <wp14:sizeRelV relativeFrom="margin">
              <wp14:pctHeight>0</wp14:pctHeight>
            </wp14:sizeRelV>
          </wp:anchor>
        </w:drawing>
      </w:r>
      <w:r w:rsidRPr="00302BD2">
        <w:rPr>
          <w:noProof/>
          <w:lang w:val="en-GB"/>
        </w:rPr>
        <w:drawing>
          <wp:anchor distT="0" distB="0" distL="114300" distR="114300" simplePos="0" relativeHeight="251661312" behindDoc="0" locked="0" layoutInCell="1" allowOverlap="1" wp14:anchorId="36BA9857" wp14:editId="2F7318E6">
            <wp:simplePos x="0" y="0"/>
            <wp:positionH relativeFrom="column">
              <wp:posOffset>0</wp:posOffset>
            </wp:positionH>
            <wp:positionV relativeFrom="paragraph">
              <wp:posOffset>222885</wp:posOffset>
            </wp:positionV>
            <wp:extent cx="1024890" cy="619125"/>
            <wp:effectExtent l="0" t="0" r="3810" b="9525"/>
            <wp:wrapSquare wrapText="bothSides"/>
            <wp:docPr id="883982370"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p>
    <w:p w14:paraId="1D35CDAD" w14:textId="77777777" w:rsidR="00825FC2" w:rsidRPr="00302BD2" w:rsidRDefault="00825FC2" w:rsidP="00825FC2">
      <w:pPr>
        <w:rPr>
          <w:lang w:val="en-GB"/>
        </w:rPr>
      </w:pPr>
    </w:p>
    <w:p w14:paraId="34202D41" w14:textId="77777777" w:rsidR="00825FC2" w:rsidRPr="00302BD2" w:rsidRDefault="00825FC2" w:rsidP="00825FC2">
      <w:pPr>
        <w:rPr>
          <w:lang w:val="en-GB"/>
        </w:rPr>
      </w:pPr>
    </w:p>
    <w:p w14:paraId="5174F46C" w14:textId="77777777" w:rsidR="00825FC2" w:rsidRPr="00302BD2" w:rsidRDefault="00825FC2" w:rsidP="00825FC2">
      <w:pPr>
        <w:rPr>
          <w:lang w:val="en-GB"/>
        </w:rPr>
      </w:pPr>
    </w:p>
    <w:p w14:paraId="0ED1BCF6" w14:textId="77777777" w:rsidR="00825FC2" w:rsidRPr="00302BD2" w:rsidRDefault="00825FC2" w:rsidP="00825FC2">
      <w:pPr>
        <w:rPr>
          <w:lang w:val="en-GB"/>
        </w:rPr>
      </w:pPr>
    </w:p>
    <w:p w14:paraId="1F4AE829" w14:textId="77777777" w:rsidR="00825FC2" w:rsidRPr="00302BD2" w:rsidRDefault="00825FC2" w:rsidP="00825FC2">
      <w:pPr>
        <w:tabs>
          <w:tab w:val="left" w:pos="5520"/>
        </w:tabs>
        <w:rPr>
          <w:lang w:val="en-GB"/>
        </w:rPr>
      </w:pPr>
      <w:r w:rsidRPr="00302BD2">
        <w:rPr>
          <w:lang w:val="en-GB"/>
        </w:rPr>
        <w:tab/>
      </w:r>
    </w:p>
    <w:p w14:paraId="17B9289D" w14:textId="77777777" w:rsidR="00825FC2" w:rsidRPr="00302BD2" w:rsidRDefault="00825FC2" w:rsidP="00825FC2">
      <w:pPr>
        <w:tabs>
          <w:tab w:val="left" w:pos="5520"/>
        </w:tabs>
        <w:rPr>
          <w:lang w:val="en-GB"/>
        </w:rPr>
      </w:pPr>
    </w:p>
    <w:p w14:paraId="3557DFF5" w14:textId="77777777" w:rsidR="00825FC2" w:rsidRPr="00302BD2" w:rsidRDefault="00825FC2" w:rsidP="00825FC2">
      <w:pPr>
        <w:rPr>
          <w:lang w:val="en-GB"/>
        </w:rPr>
      </w:pPr>
    </w:p>
    <w:p w14:paraId="07379A71" w14:textId="77777777" w:rsidR="00825FC2" w:rsidRPr="00302BD2" w:rsidRDefault="00825FC2" w:rsidP="00825FC2">
      <w:pPr>
        <w:tabs>
          <w:tab w:val="left" w:pos="3540"/>
        </w:tabs>
        <w:jc w:val="center"/>
        <w:rPr>
          <w:lang w:val="en-GB"/>
        </w:rPr>
      </w:pPr>
      <w:r w:rsidRPr="00302BD2">
        <w:rPr>
          <w:noProof/>
          <w:lang w:val="en-GB"/>
        </w:rPr>
        <w:drawing>
          <wp:inline distT="0" distB="0" distL="0" distR="0" wp14:anchorId="6D8EFA7B" wp14:editId="212C331A">
            <wp:extent cx="2927547" cy="164774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90778" cy="1683336"/>
                    </a:xfrm>
                    <a:prstGeom prst="rect">
                      <a:avLst/>
                    </a:prstGeom>
                  </pic:spPr>
                </pic:pic>
              </a:graphicData>
            </a:graphic>
          </wp:inline>
        </w:drawing>
      </w:r>
    </w:p>
    <w:p w14:paraId="7B2C8BC2" w14:textId="77777777" w:rsidR="00825FC2" w:rsidRPr="00302BD2" w:rsidRDefault="00825FC2" w:rsidP="00825FC2">
      <w:pPr>
        <w:jc w:val="center"/>
        <w:rPr>
          <w:b/>
          <w:color w:val="0F4761" w:themeColor="accent1" w:themeShade="BF"/>
          <w:sz w:val="28"/>
          <w:szCs w:val="28"/>
          <w:lang w:val="en-GB"/>
        </w:rPr>
      </w:pPr>
      <w:r w:rsidRPr="00302BD2">
        <w:rPr>
          <w:b/>
          <w:color w:val="0F4761" w:themeColor="accent1" w:themeShade="BF"/>
          <w:sz w:val="28"/>
          <w:szCs w:val="28"/>
          <w:lang w:val="en-GB"/>
        </w:rPr>
        <w:t>IMPLEMENTATION OF THE STRATEGIC ACTION PROGRAMME (SAP) OF THE DINARIC KARST AQUIFER SYSTEM: IMPROVING GROUNDWATER GOVERNANCE AND SUSTAINABILITY OF RELATED ECOSYSTEMS</w:t>
      </w:r>
    </w:p>
    <w:p w14:paraId="76FA7FD8" w14:textId="77777777" w:rsidR="00825FC2" w:rsidRPr="00302BD2" w:rsidRDefault="00825FC2" w:rsidP="00825FC2">
      <w:pPr>
        <w:rPr>
          <w:lang w:val="en-GB"/>
        </w:rPr>
      </w:pPr>
    </w:p>
    <w:p w14:paraId="030770BE" w14:textId="77777777" w:rsidR="00825FC2" w:rsidRPr="00302BD2" w:rsidRDefault="00825FC2" w:rsidP="00825FC2">
      <w:pPr>
        <w:pStyle w:val="Default"/>
        <w:jc w:val="center"/>
        <w:rPr>
          <w:rFonts w:asciiTheme="minorHAnsi" w:hAnsiTheme="minorHAnsi" w:cstheme="minorHAnsi"/>
          <w:b/>
          <w:bCs/>
          <w:color w:val="0F4761" w:themeColor="accent1" w:themeShade="BF"/>
          <w:sz w:val="36"/>
          <w:szCs w:val="36"/>
          <w:lang w:val="en-GB"/>
        </w:rPr>
      </w:pPr>
      <w:r w:rsidRPr="00302BD2">
        <w:rPr>
          <w:rFonts w:asciiTheme="minorHAnsi" w:hAnsiTheme="minorHAnsi" w:cstheme="minorHAnsi"/>
          <w:b/>
          <w:bCs/>
          <w:color w:val="0F4761" w:themeColor="accent1" w:themeShade="BF"/>
          <w:sz w:val="36"/>
          <w:szCs w:val="36"/>
          <w:lang w:val="en-GB"/>
        </w:rPr>
        <w:t>OUTPUT 1.</w:t>
      </w:r>
      <w:r>
        <w:rPr>
          <w:rFonts w:asciiTheme="minorHAnsi" w:hAnsiTheme="minorHAnsi" w:cstheme="minorHAnsi"/>
          <w:b/>
          <w:bCs/>
          <w:color w:val="0F4761" w:themeColor="accent1" w:themeShade="BF"/>
          <w:sz w:val="36"/>
          <w:szCs w:val="36"/>
          <w:lang w:val="en-GB"/>
        </w:rPr>
        <w:t>3</w:t>
      </w:r>
    </w:p>
    <w:p w14:paraId="4F7CD275" w14:textId="77777777" w:rsidR="00825FC2" w:rsidRPr="00302BD2" w:rsidRDefault="00825FC2" w:rsidP="00825FC2">
      <w:pPr>
        <w:pStyle w:val="Default"/>
        <w:jc w:val="center"/>
        <w:rPr>
          <w:rFonts w:asciiTheme="minorHAnsi" w:hAnsiTheme="minorHAnsi" w:cstheme="minorHAnsi"/>
          <w:b/>
          <w:bCs/>
          <w:color w:val="0F4761" w:themeColor="accent1" w:themeShade="BF"/>
          <w:sz w:val="28"/>
          <w:szCs w:val="28"/>
          <w:lang w:val="en-GB"/>
        </w:rPr>
      </w:pPr>
    </w:p>
    <w:p w14:paraId="02A2BD82" w14:textId="5ABA8181" w:rsidR="00825FC2" w:rsidRPr="00302BD2" w:rsidRDefault="00825FC2" w:rsidP="00825FC2">
      <w:pPr>
        <w:pStyle w:val="Default"/>
        <w:jc w:val="center"/>
        <w:rPr>
          <w:rFonts w:asciiTheme="minorHAnsi" w:hAnsiTheme="minorHAnsi" w:cstheme="minorHAnsi"/>
          <w:b/>
          <w:bCs/>
          <w:color w:val="0F4761" w:themeColor="accent1" w:themeShade="BF"/>
          <w:sz w:val="36"/>
          <w:szCs w:val="36"/>
          <w:lang w:val="en-GB"/>
        </w:rPr>
      </w:pPr>
      <w:r>
        <w:rPr>
          <w:rFonts w:asciiTheme="minorHAnsi" w:hAnsiTheme="minorHAnsi" w:cstheme="minorHAnsi"/>
          <w:b/>
          <w:bCs/>
          <w:color w:val="0F4761" w:themeColor="accent1" w:themeShade="BF"/>
          <w:sz w:val="36"/>
          <w:szCs w:val="36"/>
          <w:lang w:val="en-GB"/>
        </w:rPr>
        <w:t>BILATERAL</w:t>
      </w:r>
      <w:r w:rsidRPr="00302BD2">
        <w:rPr>
          <w:rFonts w:asciiTheme="minorHAnsi" w:hAnsiTheme="minorHAnsi" w:cstheme="minorHAnsi"/>
          <w:b/>
          <w:bCs/>
          <w:color w:val="0F4761" w:themeColor="accent1" w:themeShade="BF"/>
          <w:sz w:val="36"/>
          <w:szCs w:val="36"/>
          <w:lang w:val="en-GB"/>
        </w:rPr>
        <w:t xml:space="preserve"> </w:t>
      </w:r>
      <w:r>
        <w:rPr>
          <w:rFonts w:asciiTheme="minorHAnsi" w:hAnsiTheme="minorHAnsi" w:cstheme="minorHAnsi"/>
          <w:b/>
          <w:bCs/>
          <w:color w:val="0F4761" w:themeColor="accent1" w:themeShade="BF"/>
          <w:sz w:val="36"/>
          <w:szCs w:val="36"/>
          <w:lang w:val="en-GB"/>
        </w:rPr>
        <w:t>AGREEMENT BOSNIA</w:t>
      </w:r>
      <w:r w:rsidR="00D140E8">
        <w:rPr>
          <w:rFonts w:asciiTheme="minorHAnsi" w:hAnsiTheme="minorHAnsi" w:cstheme="minorHAnsi"/>
          <w:b/>
          <w:bCs/>
          <w:color w:val="0F4761" w:themeColor="accent1" w:themeShade="BF"/>
          <w:sz w:val="36"/>
          <w:szCs w:val="36"/>
          <w:lang w:val="en-GB"/>
        </w:rPr>
        <w:t xml:space="preserve"> AND</w:t>
      </w:r>
      <w:r w:rsidR="000B50C6">
        <w:rPr>
          <w:rFonts w:asciiTheme="minorHAnsi" w:hAnsiTheme="minorHAnsi" w:cstheme="minorHAnsi"/>
          <w:b/>
          <w:bCs/>
          <w:color w:val="0F4761" w:themeColor="accent1" w:themeShade="BF"/>
          <w:sz w:val="36"/>
          <w:szCs w:val="36"/>
          <w:lang w:val="en-GB"/>
        </w:rPr>
        <w:t xml:space="preserve"> </w:t>
      </w:r>
      <w:r>
        <w:rPr>
          <w:rFonts w:asciiTheme="minorHAnsi" w:hAnsiTheme="minorHAnsi" w:cstheme="minorHAnsi"/>
          <w:b/>
          <w:bCs/>
          <w:color w:val="0F4761" w:themeColor="accent1" w:themeShade="BF"/>
          <w:sz w:val="36"/>
          <w:szCs w:val="36"/>
          <w:lang w:val="en-GB"/>
        </w:rPr>
        <w:t>HERZEGOVINA &amp; CROATIA:</w:t>
      </w:r>
    </w:p>
    <w:p w14:paraId="384CD707" w14:textId="77777777" w:rsidR="00825FC2" w:rsidRPr="00302BD2" w:rsidRDefault="00825FC2" w:rsidP="00825FC2">
      <w:pPr>
        <w:pStyle w:val="Default"/>
        <w:jc w:val="center"/>
        <w:rPr>
          <w:rFonts w:asciiTheme="minorHAnsi" w:hAnsiTheme="minorHAnsi" w:cstheme="minorHAnsi"/>
          <w:b/>
          <w:bCs/>
          <w:color w:val="0F4761" w:themeColor="accent1" w:themeShade="BF"/>
          <w:sz w:val="36"/>
          <w:szCs w:val="36"/>
          <w:lang w:val="en-GB"/>
        </w:rPr>
      </w:pPr>
      <w:r>
        <w:rPr>
          <w:rFonts w:asciiTheme="minorHAnsi" w:hAnsiTheme="minorHAnsi" w:cstheme="minorHAnsi"/>
          <w:b/>
          <w:bCs/>
          <w:color w:val="0F4761" w:themeColor="accent1" w:themeShade="BF"/>
          <w:sz w:val="36"/>
          <w:szCs w:val="36"/>
          <w:lang w:val="en-GB"/>
        </w:rPr>
        <w:t>Proposed amendments for groundwater purposes</w:t>
      </w:r>
    </w:p>
    <w:p w14:paraId="76E2073A" w14:textId="77777777" w:rsidR="00825FC2" w:rsidRPr="00302BD2" w:rsidRDefault="00825FC2" w:rsidP="00825FC2">
      <w:pPr>
        <w:rPr>
          <w:lang w:val="en-GB"/>
        </w:rPr>
      </w:pPr>
    </w:p>
    <w:p w14:paraId="583C2B30" w14:textId="77777777" w:rsidR="00825FC2" w:rsidRPr="00302BD2" w:rsidRDefault="00825FC2" w:rsidP="00825FC2">
      <w:pPr>
        <w:rPr>
          <w:lang w:val="en-GB"/>
        </w:rPr>
      </w:pPr>
    </w:p>
    <w:p w14:paraId="1751B8AA" w14:textId="77777777" w:rsidR="00825FC2" w:rsidRPr="00302BD2" w:rsidRDefault="00825FC2" w:rsidP="00825FC2">
      <w:pPr>
        <w:rPr>
          <w:lang w:val="en-GB"/>
        </w:rPr>
      </w:pPr>
    </w:p>
    <w:p w14:paraId="35261EA3" w14:textId="77777777" w:rsidR="00825FC2" w:rsidRPr="00302BD2" w:rsidRDefault="00825FC2" w:rsidP="00825FC2">
      <w:pPr>
        <w:jc w:val="center"/>
        <w:rPr>
          <w:color w:val="002060"/>
          <w:lang w:val="en-GB"/>
        </w:rPr>
      </w:pPr>
      <w:r>
        <w:rPr>
          <w:color w:val="002060"/>
          <w:lang w:val="en-GB"/>
        </w:rPr>
        <w:t>APRIL</w:t>
      </w:r>
      <w:r w:rsidRPr="00302BD2">
        <w:rPr>
          <w:color w:val="002060"/>
          <w:lang w:val="en-GB"/>
        </w:rPr>
        <w:t xml:space="preserve"> 202</w:t>
      </w:r>
      <w:r>
        <w:rPr>
          <w:color w:val="002060"/>
          <w:lang w:val="en-GB"/>
        </w:rPr>
        <w:t>6</w:t>
      </w:r>
    </w:p>
    <w:p w14:paraId="127214A1" w14:textId="77777777" w:rsidR="00825FC2" w:rsidRPr="00302BD2" w:rsidRDefault="00825FC2" w:rsidP="00825FC2">
      <w:pPr>
        <w:rPr>
          <w:lang w:val="en-GB"/>
        </w:rPr>
      </w:pPr>
    </w:p>
    <w:p w14:paraId="3D8E2DEB" w14:textId="77777777" w:rsidR="00825FC2" w:rsidRPr="00302BD2" w:rsidRDefault="00825FC2" w:rsidP="00825FC2">
      <w:pPr>
        <w:jc w:val="center"/>
        <w:rPr>
          <w:lang w:val="en-GB"/>
        </w:rPr>
      </w:pPr>
      <w:r w:rsidRPr="00302BD2">
        <w:rPr>
          <w:noProof/>
          <w:lang w:val="en-GB"/>
        </w:rPr>
        <w:drawing>
          <wp:inline distT="0" distB="0" distL="0" distR="0" wp14:anchorId="37B12E02" wp14:editId="233EDA18">
            <wp:extent cx="3734435" cy="609600"/>
            <wp:effectExtent l="0" t="0" r="0" b="0"/>
            <wp:docPr id="1814883663"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15466"/>
                    <a:stretch/>
                  </pic:blipFill>
                  <pic:spPr bwMode="auto">
                    <a:xfrm>
                      <a:off x="0" y="0"/>
                      <a:ext cx="3734435" cy="609600"/>
                    </a:xfrm>
                    <a:prstGeom prst="rect">
                      <a:avLst/>
                    </a:prstGeom>
                    <a:noFill/>
                    <a:ln>
                      <a:noFill/>
                    </a:ln>
                    <a:effectLst/>
                  </pic:spPr>
                </pic:pic>
              </a:graphicData>
            </a:graphic>
          </wp:inline>
        </w:drawing>
      </w:r>
    </w:p>
    <w:p w14:paraId="12846A83" w14:textId="77777777" w:rsidR="00825FC2" w:rsidRDefault="00825FC2" w:rsidP="00825FC2"/>
    <w:p w14:paraId="4FABBF59" w14:textId="77777777" w:rsidR="004F2AB1" w:rsidRDefault="004F2AB1" w:rsidP="00825FC2"/>
    <w:p w14:paraId="7C62399A" w14:textId="77777777" w:rsidR="008073D5" w:rsidRPr="0000684E" w:rsidRDefault="008073D5" w:rsidP="008073D5">
      <w:pPr>
        <w:jc w:val="center"/>
        <w:rPr>
          <w:rFonts w:ascii="Cambria" w:hAnsi="Cambria" w:cs="Calibri"/>
          <w:sz w:val="28"/>
          <w:szCs w:val="28"/>
          <w:lang w:val="en-GB"/>
        </w:rPr>
      </w:pPr>
      <w:r w:rsidRPr="0000684E">
        <w:rPr>
          <w:rFonts w:ascii="Cambria" w:hAnsi="Cambria" w:cs="Calibri"/>
          <w:sz w:val="28"/>
          <w:szCs w:val="28"/>
          <w:lang w:val="en-GB"/>
        </w:rPr>
        <w:t>Table of content</w:t>
      </w:r>
    </w:p>
    <w:p w14:paraId="21135493" w14:textId="77777777" w:rsidR="008073D5" w:rsidRPr="008073D5" w:rsidRDefault="008073D5" w:rsidP="008073D5">
      <w:pPr>
        <w:jc w:val="center"/>
        <w:rPr>
          <w:rFonts w:ascii="Calibri" w:hAnsi="Calibri" w:cs="Calibri"/>
          <w:sz w:val="24"/>
          <w:szCs w:val="24"/>
        </w:rPr>
      </w:pPr>
    </w:p>
    <w:p w14:paraId="0F1BCD65" w14:textId="07DA3594" w:rsidR="007A752D" w:rsidRDefault="007A752D">
      <w:pPr>
        <w:pStyle w:val="Sadraj1"/>
        <w:tabs>
          <w:tab w:val="right" w:leader="dot" w:pos="9062"/>
        </w:tabs>
        <w:rPr>
          <w:rFonts w:eastAsiaTheme="minorEastAsia"/>
          <w:b w:val="0"/>
          <w:bCs w:val="0"/>
          <w:caps w:val="0"/>
          <w:noProof/>
          <w:sz w:val="24"/>
          <w:szCs w:val="24"/>
          <w:lang w:val="fr-FR" w:eastAsia="fr-FR"/>
        </w:rPr>
      </w:pPr>
      <w:r>
        <w:fldChar w:fldCharType="begin"/>
      </w:r>
      <w:r>
        <w:instrText xml:space="preserve"> TOC \o "1-3" \h \z \u </w:instrText>
      </w:r>
      <w:r>
        <w:fldChar w:fldCharType="separate"/>
      </w:r>
      <w:hyperlink w:anchor="_Toc229079447" w:history="1">
        <w:r w:rsidRPr="00871AC4">
          <w:rPr>
            <w:rStyle w:val="Hiperveza"/>
            <w:noProof/>
            <w:lang w:val="en-GB"/>
          </w:rPr>
          <w:t>1. Introduction</w:t>
        </w:r>
        <w:r>
          <w:rPr>
            <w:noProof/>
            <w:webHidden/>
          </w:rPr>
          <w:tab/>
        </w:r>
        <w:r>
          <w:rPr>
            <w:noProof/>
            <w:webHidden/>
          </w:rPr>
          <w:fldChar w:fldCharType="begin"/>
        </w:r>
        <w:r>
          <w:rPr>
            <w:noProof/>
            <w:webHidden/>
          </w:rPr>
          <w:instrText xml:space="preserve"> PAGEREF _Toc229079447 \h </w:instrText>
        </w:r>
        <w:r>
          <w:rPr>
            <w:noProof/>
            <w:webHidden/>
          </w:rPr>
        </w:r>
        <w:r>
          <w:rPr>
            <w:noProof/>
            <w:webHidden/>
          </w:rPr>
          <w:fldChar w:fldCharType="separate"/>
        </w:r>
        <w:r>
          <w:rPr>
            <w:noProof/>
            <w:webHidden/>
          </w:rPr>
          <w:t>4</w:t>
        </w:r>
        <w:r>
          <w:rPr>
            <w:noProof/>
            <w:webHidden/>
          </w:rPr>
          <w:fldChar w:fldCharType="end"/>
        </w:r>
      </w:hyperlink>
    </w:p>
    <w:p w14:paraId="38A35AC8" w14:textId="74122561" w:rsidR="007A752D" w:rsidRDefault="007A752D">
      <w:pPr>
        <w:pStyle w:val="Sadraj1"/>
        <w:tabs>
          <w:tab w:val="right" w:leader="dot" w:pos="9062"/>
        </w:tabs>
        <w:rPr>
          <w:rFonts w:eastAsiaTheme="minorEastAsia"/>
          <w:b w:val="0"/>
          <w:bCs w:val="0"/>
          <w:caps w:val="0"/>
          <w:noProof/>
          <w:sz w:val="24"/>
          <w:szCs w:val="24"/>
          <w:lang w:val="fr-FR" w:eastAsia="fr-FR"/>
        </w:rPr>
      </w:pPr>
      <w:hyperlink w:anchor="_Toc229079448" w:history="1">
        <w:r w:rsidRPr="00871AC4">
          <w:rPr>
            <w:rStyle w:val="Hiperveza"/>
            <w:noProof/>
            <w:lang w:val="en-GB"/>
          </w:rPr>
          <w:t>2. Purpose, Scope and Methodology</w:t>
        </w:r>
        <w:r>
          <w:rPr>
            <w:noProof/>
            <w:webHidden/>
          </w:rPr>
          <w:tab/>
        </w:r>
        <w:r>
          <w:rPr>
            <w:noProof/>
            <w:webHidden/>
          </w:rPr>
          <w:fldChar w:fldCharType="begin"/>
        </w:r>
        <w:r>
          <w:rPr>
            <w:noProof/>
            <w:webHidden/>
          </w:rPr>
          <w:instrText xml:space="preserve"> PAGEREF _Toc229079448 \h </w:instrText>
        </w:r>
        <w:r>
          <w:rPr>
            <w:noProof/>
            <w:webHidden/>
          </w:rPr>
        </w:r>
        <w:r>
          <w:rPr>
            <w:noProof/>
            <w:webHidden/>
          </w:rPr>
          <w:fldChar w:fldCharType="separate"/>
        </w:r>
        <w:r>
          <w:rPr>
            <w:noProof/>
            <w:webHidden/>
          </w:rPr>
          <w:t>5</w:t>
        </w:r>
        <w:r>
          <w:rPr>
            <w:noProof/>
            <w:webHidden/>
          </w:rPr>
          <w:fldChar w:fldCharType="end"/>
        </w:r>
      </w:hyperlink>
    </w:p>
    <w:p w14:paraId="6DDE823F" w14:textId="2D27113F" w:rsidR="007A752D" w:rsidRDefault="007A752D">
      <w:pPr>
        <w:pStyle w:val="Sadraj1"/>
        <w:tabs>
          <w:tab w:val="right" w:leader="dot" w:pos="9062"/>
        </w:tabs>
        <w:rPr>
          <w:rFonts w:eastAsiaTheme="minorEastAsia"/>
          <w:b w:val="0"/>
          <w:bCs w:val="0"/>
          <w:caps w:val="0"/>
          <w:noProof/>
          <w:sz w:val="24"/>
          <w:szCs w:val="24"/>
          <w:lang w:val="fr-FR" w:eastAsia="fr-FR"/>
        </w:rPr>
      </w:pPr>
      <w:hyperlink w:anchor="_Toc229079449" w:history="1">
        <w:r w:rsidRPr="00871AC4">
          <w:rPr>
            <w:rStyle w:val="Hiperveza"/>
            <w:noProof/>
            <w:lang w:val="en-GB"/>
          </w:rPr>
          <w:t>3. Current Bilateral Framework (1996 Agreement)</w:t>
        </w:r>
        <w:r>
          <w:rPr>
            <w:noProof/>
            <w:webHidden/>
          </w:rPr>
          <w:tab/>
        </w:r>
        <w:r>
          <w:rPr>
            <w:noProof/>
            <w:webHidden/>
          </w:rPr>
          <w:fldChar w:fldCharType="begin"/>
        </w:r>
        <w:r>
          <w:rPr>
            <w:noProof/>
            <w:webHidden/>
          </w:rPr>
          <w:instrText xml:space="preserve"> PAGEREF _Toc229079449 \h </w:instrText>
        </w:r>
        <w:r>
          <w:rPr>
            <w:noProof/>
            <w:webHidden/>
          </w:rPr>
        </w:r>
        <w:r>
          <w:rPr>
            <w:noProof/>
            <w:webHidden/>
          </w:rPr>
          <w:fldChar w:fldCharType="separate"/>
        </w:r>
        <w:r>
          <w:rPr>
            <w:noProof/>
            <w:webHidden/>
          </w:rPr>
          <w:t>6</w:t>
        </w:r>
        <w:r>
          <w:rPr>
            <w:noProof/>
            <w:webHidden/>
          </w:rPr>
          <w:fldChar w:fldCharType="end"/>
        </w:r>
      </w:hyperlink>
    </w:p>
    <w:p w14:paraId="0C3791B1" w14:textId="3ACA7401" w:rsidR="007A752D" w:rsidRDefault="007A752D">
      <w:pPr>
        <w:pStyle w:val="Sadraj1"/>
        <w:tabs>
          <w:tab w:val="right" w:leader="dot" w:pos="9062"/>
        </w:tabs>
        <w:rPr>
          <w:rFonts w:eastAsiaTheme="minorEastAsia"/>
          <w:b w:val="0"/>
          <w:bCs w:val="0"/>
          <w:caps w:val="0"/>
          <w:noProof/>
          <w:sz w:val="24"/>
          <w:szCs w:val="24"/>
          <w:lang w:val="fr-FR" w:eastAsia="fr-FR"/>
        </w:rPr>
      </w:pPr>
      <w:hyperlink w:anchor="_Toc229079450" w:history="1">
        <w:r w:rsidRPr="00871AC4">
          <w:rPr>
            <w:rStyle w:val="Hiperveza"/>
            <w:noProof/>
            <w:lang w:val="en-GB"/>
          </w:rPr>
          <w:t>4. Diagnostic: Groundwater and GDE Governance Gaps</w:t>
        </w:r>
        <w:r>
          <w:rPr>
            <w:noProof/>
            <w:webHidden/>
          </w:rPr>
          <w:tab/>
        </w:r>
        <w:r>
          <w:rPr>
            <w:noProof/>
            <w:webHidden/>
          </w:rPr>
          <w:fldChar w:fldCharType="begin"/>
        </w:r>
        <w:r>
          <w:rPr>
            <w:noProof/>
            <w:webHidden/>
          </w:rPr>
          <w:instrText xml:space="preserve"> PAGEREF _Toc229079450 \h </w:instrText>
        </w:r>
        <w:r>
          <w:rPr>
            <w:noProof/>
            <w:webHidden/>
          </w:rPr>
        </w:r>
        <w:r>
          <w:rPr>
            <w:noProof/>
            <w:webHidden/>
          </w:rPr>
          <w:fldChar w:fldCharType="separate"/>
        </w:r>
        <w:r>
          <w:rPr>
            <w:noProof/>
            <w:webHidden/>
          </w:rPr>
          <w:t>7</w:t>
        </w:r>
        <w:r>
          <w:rPr>
            <w:noProof/>
            <w:webHidden/>
          </w:rPr>
          <w:fldChar w:fldCharType="end"/>
        </w:r>
      </w:hyperlink>
    </w:p>
    <w:p w14:paraId="4ADCEEDE" w14:textId="06251612" w:rsidR="007A752D" w:rsidRDefault="007A752D">
      <w:pPr>
        <w:pStyle w:val="Sadraj2"/>
        <w:tabs>
          <w:tab w:val="right" w:leader="dot" w:pos="9062"/>
        </w:tabs>
        <w:rPr>
          <w:rFonts w:eastAsiaTheme="minorEastAsia"/>
          <w:smallCaps w:val="0"/>
          <w:noProof/>
          <w:sz w:val="24"/>
          <w:szCs w:val="24"/>
          <w:lang w:val="fr-FR" w:eastAsia="fr-FR"/>
        </w:rPr>
      </w:pPr>
      <w:hyperlink w:anchor="_Toc229079451" w:history="1">
        <w:r w:rsidRPr="00871AC4">
          <w:rPr>
            <w:rStyle w:val="Hiperveza"/>
            <w:rFonts w:eastAsia="Times New Roman"/>
            <w:noProof/>
            <w:lang w:val="en-GB" w:eastAsia="en-GB"/>
          </w:rPr>
          <w:t>4.1 Legal Clarity and Scope Gaps</w:t>
        </w:r>
        <w:r>
          <w:rPr>
            <w:noProof/>
            <w:webHidden/>
          </w:rPr>
          <w:tab/>
        </w:r>
        <w:r>
          <w:rPr>
            <w:noProof/>
            <w:webHidden/>
          </w:rPr>
          <w:fldChar w:fldCharType="begin"/>
        </w:r>
        <w:r>
          <w:rPr>
            <w:noProof/>
            <w:webHidden/>
          </w:rPr>
          <w:instrText xml:space="preserve"> PAGEREF _Toc229079451 \h </w:instrText>
        </w:r>
        <w:r>
          <w:rPr>
            <w:noProof/>
            <w:webHidden/>
          </w:rPr>
        </w:r>
        <w:r>
          <w:rPr>
            <w:noProof/>
            <w:webHidden/>
          </w:rPr>
          <w:fldChar w:fldCharType="separate"/>
        </w:r>
        <w:r>
          <w:rPr>
            <w:noProof/>
            <w:webHidden/>
          </w:rPr>
          <w:t>8</w:t>
        </w:r>
        <w:r>
          <w:rPr>
            <w:noProof/>
            <w:webHidden/>
          </w:rPr>
          <w:fldChar w:fldCharType="end"/>
        </w:r>
      </w:hyperlink>
    </w:p>
    <w:p w14:paraId="18C4A400" w14:textId="57F4B5D0" w:rsidR="007A752D" w:rsidRDefault="007A752D">
      <w:pPr>
        <w:pStyle w:val="Sadraj2"/>
        <w:tabs>
          <w:tab w:val="right" w:leader="dot" w:pos="9062"/>
        </w:tabs>
        <w:rPr>
          <w:rFonts w:eastAsiaTheme="minorEastAsia"/>
          <w:smallCaps w:val="0"/>
          <w:noProof/>
          <w:sz w:val="24"/>
          <w:szCs w:val="24"/>
          <w:lang w:val="fr-FR" w:eastAsia="fr-FR"/>
        </w:rPr>
      </w:pPr>
      <w:hyperlink w:anchor="_Toc229079452" w:history="1">
        <w:r w:rsidRPr="00871AC4">
          <w:rPr>
            <w:rStyle w:val="Hiperveza"/>
            <w:rFonts w:eastAsia="Times New Roman"/>
            <w:noProof/>
            <w:lang w:val="en-GB" w:eastAsia="en-GB"/>
          </w:rPr>
          <w:t>4.2 Monitoring and Data Gaps</w:t>
        </w:r>
        <w:r>
          <w:rPr>
            <w:noProof/>
            <w:webHidden/>
          </w:rPr>
          <w:tab/>
        </w:r>
        <w:r>
          <w:rPr>
            <w:noProof/>
            <w:webHidden/>
          </w:rPr>
          <w:fldChar w:fldCharType="begin"/>
        </w:r>
        <w:r>
          <w:rPr>
            <w:noProof/>
            <w:webHidden/>
          </w:rPr>
          <w:instrText xml:space="preserve"> PAGEREF _Toc229079452 \h </w:instrText>
        </w:r>
        <w:r>
          <w:rPr>
            <w:noProof/>
            <w:webHidden/>
          </w:rPr>
        </w:r>
        <w:r>
          <w:rPr>
            <w:noProof/>
            <w:webHidden/>
          </w:rPr>
          <w:fldChar w:fldCharType="separate"/>
        </w:r>
        <w:r>
          <w:rPr>
            <w:noProof/>
            <w:webHidden/>
          </w:rPr>
          <w:t>8</w:t>
        </w:r>
        <w:r>
          <w:rPr>
            <w:noProof/>
            <w:webHidden/>
          </w:rPr>
          <w:fldChar w:fldCharType="end"/>
        </w:r>
      </w:hyperlink>
    </w:p>
    <w:p w14:paraId="4AD45650" w14:textId="4810DE47" w:rsidR="007A752D" w:rsidRDefault="007A752D">
      <w:pPr>
        <w:pStyle w:val="Sadraj2"/>
        <w:tabs>
          <w:tab w:val="right" w:leader="dot" w:pos="9062"/>
        </w:tabs>
        <w:rPr>
          <w:rFonts w:eastAsiaTheme="minorEastAsia"/>
          <w:smallCaps w:val="0"/>
          <w:noProof/>
          <w:sz w:val="24"/>
          <w:szCs w:val="24"/>
          <w:lang w:val="fr-FR" w:eastAsia="fr-FR"/>
        </w:rPr>
      </w:pPr>
      <w:hyperlink w:anchor="_Toc229079453" w:history="1">
        <w:r w:rsidRPr="00871AC4">
          <w:rPr>
            <w:rStyle w:val="Hiperveza"/>
            <w:rFonts w:eastAsia="Times New Roman"/>
            <w:noProof/>
            <w:lang w:val="en-GB" w:eastAsia="en-GB"/>
          </w:rPr>
          <w:t>4.3 Planning Integration and Spatial Governance Gaps</w:t>
        </w:r>
        <w:r>
          <w:rPr>
            <w:noProof/>
            <w:webHidden/>
          </w:rPr>
          <w:tab/>
        </w:r>
        <w:r>
          <w:rPr>
            <w:noProof/>
            <w:webHidden/>
          </w:rPr>
          <w:fldChar w:fldCharType="begin"/>
        </w:r>
        <w:r>
          <w:rPr>
            <w:noProof/>
            <w:webHidden/>
          </w:rPr>
          <w:instrText xml:space="preserve"> PAGEREF _Toc229079453 \h </w:instrText>
        </w:r>
        <w:r>
          <w:rPr>
            <w:noProof/>
            <w:webHidden/>
          </w:rPr>
        </w:r>
        <w:r>
          <w:rPr>
            <w:noProof/>
            <w:webHidden/>
          </w:rPr>
          <w:fldChar w:fldCharType="separate"/>
        </w:r>
        <w:r>
          <w:rPr>
            <w:noProof/>
            <w:webHidden/>
          </w:rPr>
          <w:t>9</w:t>
        </w:r>
        <w:r>
          <w:rPr>
            <w:noProof/>
            <w:webHidden/>
          </w:rPr>
          <w:fldChar w:fldCharType="end"/>
        </w:r>
      </w:hyperlink>
    </w:p>
    <w:p w14:paraId="4F000B63" w14:textId="1A824DF9" w:rsidR="007A752D" w:rsidRDefault="007A752D">
      <w:pPr>
        <w:pStyle w:val="Sadraj2"/>
        <w:tabs>
          <w:tab w:val="right" w:leader="dot" w:pos="9062"/>
        </w:tabs>
        <w:rPr>
          <w:rFonts w:eastAsiaTheme="minorEastAsia"/>
          <w:smallCaps w:val="0"/>
          <w:noProof/>
          <w:sz w:val="24"/>
          <w:szCs w:val="24"/>
          <w:lang w:val="fr-FR" w:eastAsia="fr-FR"/>
        </w:rPr>
      </w:pPr>
      <w:hyperlink w:anchor="_Toc229079454" w:history="1">
        <w:r w:rsidRPr="00871AC4">
          <w:rPr>
            <w:rStyle w:val="Hiperveza"/>
            <w:rFonts w:eastAsia="Times New Roman"/>
            <w:noProof/>
            <w:lang w:val="en-GB" w:eastAsia="en-GB"/>
          </w:rPr>
          <w:t>4.4 Institutional Capacity and Compliance Gaps</w:t>
        </w:r>
        <w:r>
          <w:rPr>
            <w:noProof/>
            <w:webHidden/>
          </w:rPr>
          <w:tab/>
        </w:r>
        <w:r>
          <w:rPr>
            <w:noProof/>
            <w:webHidden/>
          </w:rPr>
          <w:fldChar w:fldCharType="begin"/>
        </w:r>
        <w:r>
          <w:rPr>
            <w:noProof/>
            <w:webHidden/>
          </w:rPr>
          <w:instrText xml:space="preserve"> PAGEREF _Toc229079454 \h </w:instrText>
        </w:r>
        <w:r>
          <w:rPr>
            <w:noProof/>
            <w:webHidden/>
          </w:rPr>
        </w:r>
        <w:r>
          <w:rPr>
            <w:noProof/>
            <w:webHidden/>
          </w:rPr>
          <w:fldChar w:fldCharType="separate"/>
        </w:r>
        <w:r>
          <w:rPr>
            <w:noProof/>
            <w:webHidden/>
          </w:rPr>
          <w:t>9</w:t>
        </w:r>
        <w:r>
          <w:rPr>
            <w:noProof/>
            <w:webHidden/>
          </w:rPr>
          <w:fldChar w:fldCharType="end"/>
        </w:r>
      </w:hyperlink>
    </w:p>
    <w:p w14:paraId="4FC1A403" w14:textId="62FA4032" w:rsidR="007A752D" w:rsidRDefault="007A752D">
      <w:pPr>
        <w:pStyle w:val="Sadraj1"/>
        <w:tabs>
          <w:tab w:val="right" w:leader="dot" w:pos="9062"/>
        </w:tabs>
        <w:rPr>
          <w:rFonts w:eastAsiaTheme="minorEastAsia"/>
          <w:b w:val="0"/>
          <w:bCs w:val="0"/>
          <w:caps w:val="0"/>
          <w:noProof/>
          <w:sz w:val="24"/>
          <w:szCs w:val="24"/>
          <w:lang w:val="fr-FR" w:eastAsia="fr-FR"/>
        </w:rPr>
      </w:pPr>
      <w:hyperlink w:anchor="_Toc229079455" w:history="1">
        <w:r w:rsidRPr="00871AC4">
          <w:rPr>
            <w:rStyle w:val="Hiperveza"/>
            <w:noProof/>
            <w:lang w:val="en-GB"/>
          </w:rPr>
          <w:t>5. Evidence from the Una and Neretva TBAs: why amendments are needed?</w:t>
        </w:r>
        <w:r>
          <w:rPr>
            <w:noProof/>
            <w:webHidden/>
          </w:rPr>
          <w:tab/>
        </w:r>
        <w:r>
          <w:rPr>
            <w:noProof/>
            <w:webHidden/>
          </w:rPr>
          <w:fldChar w:fldCharType="begin"/>
        </w:r>
        <w:r>
          <w:rPr>
            <w:noProof/>
            <w:webHidden/>
          </w:rPr>
          <w:instrText xml:space="preserve"> PAGEREF _Toc229079455 \h </w:instrText>
        </w:r>
        <w:r>
          <w:rPr>
            <w:noProof/>
            <w:webHidden/>
          </w:rPr>
        </w:r>
        <w:r>
          <w:rPr>
            <w:noProof/>
            <w:webHidden/>
          </w:rPr>
          <w:fldChar w:fldCharType="separate"/>
        </w:r>
        <w:r>
          <w:rPr>
            <w:noProof/>
            <w:webHidden/>
          </w:rPr>
          <w:t>10</w:t>
        </w:r>
        <w:r>
          <w:rPr>
            <w:noProof/>
            <w:webHidden/>
          </w:rPr>
          <w:fldChar w:fldCharType="end"/>
        </w:r>
      </w:hyperlink>
    </w:p>
    <w:p w14:paraId="52BDF921" w14:textId="314B0CDC" w:rsidR="007A752D" w:rsidRDefault="007A752D">
      <w:pPr>
        <w:pStyle w:val="Sadraj2"/>
        <w:tabs>
          <w:tab w:val="right" w:leader="dot" w:pos="9062"/>
        </w:tabs>
        <w:rPr>
          <w:rFonts w:eastAsiaTheme="minorEastAsia"/>
          <w:smallCaps w:val="0"/>
          <w:noProof/>
          <w:sz w:val="24"/>
          <w:szCs w:val="24"/>
          <w:lang w:val="fr-FR" w:eastAsia="fr-FR"/>
        </w:rPr>
      </w:pPr>
      <w:hyperlink w:anchor="_Toc229079456" w:history="1">
        <w:r w:rsidRPr="00871AC4">
          <w:rPr>
            <w:rStyle w:val="Hiperveza"/>
            <w:rFonts w:eastAsia="Times New Roman"/>
            <w:noProof/>
            <w:lang w:val="en-GB" w:eastAsia="en-GB"/>
          </w:rPr>
          <w:t>5.1 Karst Vulnerability and Connectivity</w:t>
        </w:r>
        <w:r>
          <w:rPr>
            <w:noProof/>
            <w:webHidden/>
          </w:rPr>
          <w:tab/>
        </w:r>
        <w:r>
          <w:rPr>
            <w:noProof/>
            <w:webHidden/>
          </w:rPr>
          <w:fldChar w:fldCharType="begin"/>
        </w:r>
        <w:r>
          <w:rPr>
            <w:noProof/>
            <w:webHidden/>
          </w:rPr>
          <w:instrText xml:space="preserve"> PAGEREF _Toc229079456 \h </w:instrText>
        </w:r>
        <w:r>
          <w:rPr>
            <w:noProof/>
            <w:webHidden/>
          </w:rPr>
        </w:r>
        <w:r>
          <w:rPr>
            <w:noProof/>
            <w:webHidden/>
          </w:rPr>
          <w:fldChar w:fldCharType="separate"/>
        </w:r>
        <w:r>
          <w:rPr>
            <w:noProof/>
            <w:webHidden/>
          </w:rPr>
          <w:t>10</w:t>
        </w:r>
        <w:r>
          <w:rPr>
            <w:noProof/>
            <w:webHidden/>
          </w:rPr>
          <w:fldChar w:fldCharType="end"/>
        </w:r>
      </w:hyperlink>
    </w:p>
    <w:p w14:paraId="5D0B525C" w14:textId="564A32C5" w:rsidR="007A752D" w:rsidRDefault="007A752D">
      <w:pPr>
        <w:pStyle w:val="Sadraj2"/>
        <w:tabs>
          <w:tab w:val="right" w:leader="dot" w:pos="9062"/>
        </w:tabs>
        <w:rPr>
          <w:rFonts w:eastAsiaTheme="minorEastAsia"/>
          <w:smallCaps w:val="0"/>
          <w:noProof/>
          <w:sz w:val="24"/>
          <w:szCs w:val="24"/>
          <w:lang w:val="fr-FR" w:eastAsia="fr-FR"/>
        </w:rPr>
      </w:pPr>
      <w:hyperlink w:anchor="_Toc229079457" w:history="1">
        <w:r w:rsidRPr="00871AC4">
          <w:rPr>
            <w:rStyle w:val="Hiperveza"/>
            <w:rFonts w:eastAsia="Times New Roman"/>
            <w:noProof/>
            <w:lang w:val="en-GB" w:eastAsia="en-GB"/>
          </w:rPr>
          <w:t>5.2 Drinking Water Dependency</w:t>
        </w:r>
        <w:r>
          <w:rPr>
            <w:noProof/>
            <w:webHidden/>
          </w:rPr>
          <w:tab/>
        </w:r>
        <w:r>
          <w:rPr>
            <w:noProof/>
            <w:webHidden/>
          </w:rPr>
          <w:fldChar w:fldCharType="begin"/>
        </w:r>
        <w:r>
          <w:rPr>
            <w:noProof/>
            <w:webHidden/>
          </w:rPr>
          <w:instrText xml:space="preserve"> PAGEREF _Toc229079457 \h </w:instrText>
        </w:r>
        <w:r>
          <w:rPr>
            <w:noProof/>
            <w:webHidden/>
          </w:rPr>
        </w:r>
        <w:r>
          <w:rPr>
            <w:noProof/>
            <w:webHidden/>
          </w:rPr>
          <w:fldChar w:fldCharType="separate"/>
        </w:r>
        <w:r>
          <w:rPr>
            <w:noProof/>
            <w:webHidden/>
          </w:rPr>
          <w:t>10</w:t>
        </w:r>
        <w:r>
          <w:rPr>
            <w:noProof/>
            <w:webHidden/>
          </w:rPr>
          <w:fldChar w:fldCharType="end"/>
        </w:r>
      </w:hyperlink>
    </w:p>
    <w:p w14:paraId="1663786E" w14:textId="1C97807C" w:rsidR="007A752D" w:rsidRDefault="007A752D">
      <w:pPr>
        <w:pStyle w:val="Sadraj2"/>
        <w:tabs>
          <w:tab w:val="right" w:leader="dot" w:pos="9062"/>
        </w:tabs>
        <w:rPr>
          <w:rFonts w:eastAsiaTheme="minorEastAsia"/>
          <w:smallCaps w:val="0"/>
          <w:noProof/>
          <w:sz w:val="24"/>
          <w:szCs w:val="24"/>
          <w:lang w:val="fr-FR" w:eastAsia="fr-FR"/>
        </w:rPr>
      </w:pPr>
      <w:hyperlink w:anchor="_Toc229079458" w:history="1">
        <w:r w:rsidRPr="00871AC4">
          <w:rPr>
            <w:rStyle w:val="Hiperveza"/>
            <w:rFonts w:eastAsia="Times New Roman"/>
            <w:noProof/>
            <w:lang w:val="en-GB" w:eastAsia="en-GB"/>
          </w:rPr>
          <w:t>5.3 Pressure Hotspots</w:t>
        </w:r>
        <w:r>
          <w:rPr>
            <w:noProof/>
            <w:webHidden/>
          </w:rPr>
          <w:tab/>
        </w:r>
        <w:r>
          <w:rPr>
            <w:noProof/>
            <w:webHidden/>
          </w:rPr>
          <w:fldChar w:fldCharType="begin"/>
        </w:r>
        <w:r>
          <w:rPr>
            <w:noProof/>
            <w:webHidden/>
          </w:rPr>
          <w:instrText xml:space="preserve"> PAGEREF _Toc229079458 \h </w:instrText>
        </w:r>
        <w:r>
          <w:rPr>
            <w:noProof/>
            <w:webHidden/>
          </w:rPr>
        </w:r>
        <w:r>
          <w:rPr>
            <w:noProof/>
            <w:webHidden/>
          </w:rPr>
          <w:fldChar w:fldCharType="separate"/>
        </w:r>
        <w:r>
          <w:rPr>
            <w:noProof/>
            <w:webHidden/>
          </w:rPr>
          <w:t>10</w:t>
        </w:r>
        <w:r>
          <w:rPr>
            <w:noProof/>
            <w:webHidden/>
          </w:rPr>
          <w:fldChar w:fldCharType="end"/>
        </w:r>
      </w:hyperlink>
    </w:p>
    <w:p w14:paraId="010FC1BF" w14:textId="69536F50" w:rsidR="007A752D" w:rsidRDefault="007A752D">
      <w:pPr>
        <w:pStyle w:val="Sadraj2"/>
        <w:tabs>
          <w:tab w:val="right" w:leader="dot" w:pos="9062"/>
        </w:tabs>
        <w:rPr>
          <w:rFonts w:eastAsiaTheme="minorEastAsia"/>
          <w:smallCaps w:val="0"/>
          <w:noProof/>
          <w:sz w:val="24"/>
          <w:szCs w:val="24"/>
          <w:lang w:val="fr-FR" w:eastAsia="fr-FR"/>
        </w:rPr>
      </w:pPr>
      <w:hyperlink w:anchor="_Toc229079459" w:history="1">
        <w:r w:rsidRPr="00871AC4">
          <w:rPr>
            <w:rStyle w:val="Hiperveza"/>
            <w:rFonts w:ascii="Calibri" w:eastAsia="Times New Roman" w:hAnsi="Calibri" w:cs="Calibri"/>
            <w:noProof/>
            <w:kern w:val="0"/>
            <w:lang w:val="en-GB" w:eastAsia="en-GB"/>
            <w14:ligatures w14:val="none"/>
          </w:rPr>
          <w:t>Due to rapid subsurface flow and limited natural attenuation in karst aquifers, these localized pressures can propagate quickly across borders, resulting in disproportionate transboundary impacts on groundwater quality and groundwater-dependent ecosystems.</w:t>
        </w:r>
        <w:r>
          <w:rPr>
            <w:noProof/>
            <w:webHidden/>
          </w:rPr>
          <w:tab/>
        </w:r>
        <w:r>
          <w:rPr>
            <w:noProof/>
            <w:webHidden/>
          </w:rPr>
          <w:fldChar w:fldCharType="begin"/>
        </w:r>
        <w:r>
          <w:rPr>
            <w:noProof/>
            <w:webHidden/>
          </w:rPr>
          <w:instrText xml:space="preserve"> PAGEREF _Toc229079459 \h </w:instrText>
        </w:r>
        <w:r>
          <w:rPr>
            <w:noProof/>
            <w:webHidden/>
          </w:rPr>
        </w:r>
        <w:r>
          <w:rPr>
            <w:noProof/>
            <w:webHidden/>
          </w:rPr>
          <w:fldChar w:fldCharType="separate"/>
        </w:r>
        <w:r>
          <w:rPr>
            <w:noProof/>
            <w:webHidden/>
          </w:rPr>
          <w:t>11</w:t>
        </w:r>
        <w:r>
          <w:rPr>
            <w:noProof/>
            <w:webHidden/>
          </w:rPr>
          <w:fldChar w:fldCharType="end"/>
        </w:r>
      </w:hyperlink>
    </w:p>
    <w:p w14:paraId="54886F30" w14:textId="40A4C69F" w:rsidR="007A752D" w:rsidRDefault="007A752D">
      <w:pPr>
        <w:pStyle w:val="Sadraj2"/>
        <w:tabs>
          <w:tab w:val="right" w:leader="dot" w:pos="9062"/>
        </w:tabs>
        <w:rPr>
          <w:rFonts w:eastAsiaTheme="minorEastAsia"/>
          <w:smallCaps w:val="0"/>
          <w:noProof/>
          <w:sz w:val="24"/>
          <w:szCs w:val="24"/>
          <w:lang w:val="fr-FR" w:eastAsia="fr-FR"/>
        </w:rPr>
      </w:pPr>
      <w:hyperlink w:anchor="_Toc229079460" w:history="1">
        <w:r w:rsidRPr="00871AC4">
          <w:rPr>
            <w:rStyle w:val="Hiperveza"/>
            <w:rFonts w:eastAsia="Times New Roman"/>
            <w:noProof/>
            <w:lang w:val="en-GB" w:eastAsia="en-GB"/>
          </w:rPr>
          <w:t>5.4 Governance limitations</w:t>
        </w:r>
        <w:r>
          <w:rPr>
            <w:noProof/>
            <w:webHidden/>
          </w:rPr>
          <w:tab/>
        </w:r>
        <w:r>
          <w:rPr>
            <w:noProof/>
            <w:webHidden/>
          </w:rPr>
          <w:fldChar w:fldCharType="begin"/>
        </w:r>
        <w:r>
          <w:rPr>
            <w:noProof/>
            <w:webHidden/>
          </w:rPr>
          <w:instrText xml:space="preserve"> PAGEREF _Toc229079460 \h </w:instrText>
        </w:r>
        <w:r>
          <w:rPr>
            <w:noProof/>
            <w:webHidden/>
          </w:rPr>
        </w:r>
        <w:r>
          <w:rPr>
            <w:noProof/>
            <w:webHidden/>
          </w:rPr>
          <w:fldChar w:fldCharType="separate"/>
        </w:r>
        <w:r>
          <w:rPr>
            <w:noProof/>
            <w:webHidden/>
          </w:rPr>
          <w:t>11</w:t>
        </w:r>
        <w:r>
          <w:rPr>
            <w:noProof/>
            <w:webHidden/>
          </w:rPr>
          <w:fldChar w:fldCharType="end"/>
        </w:r>
      </w:hyperlink>
    </w:p>
    <w:p w14:paraId="111E6420" w14:textId="0CEB5B04" w:rsidR="007A752D" w:rsidRDefault="007A752D">
      <w:pPr>
        <w:pStyle w:val="Sadraj2"/>
        <w:tabs>
          <w:tab w:val="right" w:leader="dot" w:pos="9062"/>
        </w:tabs>
        <w:rPr>
          <w:rFonts w:eastAsiaTheme="minorEastAsia"/>
          <w:smallCaps w:val="0"/>
          <w:noProof/>
          <w:sz w:val="24"/>
          <w:szCs w:val="24"/>
          <w:lang w:val="fr-FR" w:eastAsia="fr-FR"/>
        </w:rPr>
      </w:pPr>
      <w:hyperlink w:anchor="_Toc229079461" w:history="1">
        <w:r w:rsidRPr="00871AC4">
          <w:rPr>
            <w:rStyle w:val="Hiperveza"/>
            <w:rFonts w:eastAsia="Times New Roman"/>
            <w:noProof/>
            <w:lang w:val="en-GB" w:eastAsia="en-GB"/>
          </w:rPr>
          <w:t>5.5 Conclusion</w:t>
        </w:r>
        <w:r>
          <w:rPr>
            <w:noProof/>
            <w:webHidden/>
          </w:rPr>
          <w:tab/>
        </w:r>
        <w:r>
          <w:rPr>
            <w:noProof/>
            <w:webHidden/>
          </w:rPr>
          <w:fldChar w:fldCharType="begin"/>
        </w:r>
        <w:r>
          <w:rPr>
            <w:noProof/>
            <w:webHidden/>
          </w:rPr>
          <w:instrText xml:space="preserve"> PAGEREF _Toc229079461 \h </w:instrText>
        </w:r>
        <w:r>
          <w:rPr>
            <w:noProof/>
            <w:webHidden/>
          </w:rPr>
        </w:r>
        <w:r>
          <w:rPr>
            <w:noProof/>
            <w:webHidden/>
          </w:rPr>
          <w:fldChar w:fldCharType="separate"/>
        </w:r>
        <w:r>
          <w:rPr>
            <w:noProof/>
            <w:webHidden/>
          </w:rPr>
          <w:t>11</w:t>
        </w:r>
        <w:r>
          <w:rPr>
            <w:noProof/>
            <w:webHidden/>
          </w:rPr>
          <w:fldChar w:fldCharType="end"/>
        </w:r>
      </w:hyperlink>
    </w:p>
    <w:p w14:paraId="55F3DCD7" w14:textId="32A89DC2" w:rsidR="007A752D" w:rsidRDefault="007A752D">
      <w:pPr>
        <w:pStyle w:val="Sadraj1"/>
        <w:tabs>
          <w:tab w:val="right" w:leader="dot" w:pos="9062"/>
        </w:tabs>
        <w:rPr>
          <w:rFonts w:eastAsiaTheme="minorEastAsia"/>
          <w:b w:val="0"/>
          <w:bCs w:val="0"/>
          <w:caps w:val="0"/>
          <w:noProof/>
          <w:sz w:val="24"/>
          <w:szCs w:val="24"/>
          <w:lang w:val="fr-FR" w:eastAsia="fr-FR"/>
        </w:rPr>
      </w:pPr>
      <w:hyperlink w:anchor="_Toc229079462" w:history="1">
        <w:r w:rsidRPr="00871AC4">
          <w:rPr>
            <w:rStyle w:val="Hiperveza"/>
            <w:noProof/>
            <w:lang w:val="en-GB"/>
          </w:rPr>
          <w:t>6. Objectives for an Agreement Addendum/Protocol</w:t>
        </w:r>
        <w:r>
          <w:rPr>
            <w:noProof/>
            <w:webHidden/>
          </w:rPr>
          <w:tab/>
        </w:r>
        <w:r>
          <w:rPr>
            <w:noProof/>
            <w:webHidden/>
          </w:rPr>
          <w:fldChar w:fldCharType="begin"/>
        </w:r>
        <w:r>
          <w:rPr>
            <w:noProof/>
            <w:webHidden/>
          </w:rPr>
          <w:instrText xml:space="preserve"> PAGEREF _Toc229079462 \h </w:instrText>
        </w:r>
        <w:r>
          <w:rPr>
            <w:noProof/>
            <w:webHidden/>
          </w:rPr>
        </w:r>
        <w:r>
          <w:rPr>
            <w:noProof/>
            <w:webHidden/>
          </w:rPr>
          <w:fldChar w:fldCharType="separate"/>
        </w:r>
        <w:r>
          <w:rPr>
            <w:noProof/>
            <w:webHidden/>
          </w:rPr>
          <w:t>12</w:t>
        </w:r>
        <w:r>
          <w:rPr>
            <w:noProof/>
            <w:webHidden/>
          </w:rPr>
          <w:fldChar w:fldCharType="end"/>
        </w:r>
      </w:hyperlink>
    </w:p>
    <w:p w14:paraId="076C0D4F" w14:textId="1488DA0E" w:rsidR="007A752D" w:rsidRDefault="007A752D">
      <w:pPr>
        <w:pStyle w:val="Sadraj1"/>
        <w:tabs>
          <w:tab w:val="right" w:leader="dot" w:pos="9062"/>
        </w:tabs>
        <w:rPr>
          <w:rFonts w:eastAsiaTheme="minorEastAsia"/>
          <w:b w:val="0"/>
          <w:bCs w:val="0"/>
          <w:caps w:val="0"/>
          <w:noProof/>
          <w:sz w:val="24"/>
          <w:szCs w:val="24"/>
          <w:lang w:val="fr-FR" w:eastAsia="fr-FR"/>
        </w:rPr>
      </w:pPr>
      <w:hyperlink w:anchor="_Toc229079463" w:history="1">
        <w:r w:rsidRPr="00871AC4">
          <w:rPr>
            <w:rStyle w:val="Hiperveza"/>
            <w:noProof/>
            <w:lang w:val="en-GB"/>
          </w:rPr>
          <w:t>7. Proposed Legal Amendments and Key Action Points</w:t>
        </w:r>
        <w:r>
          <w:rPr>
            <w:noProof/>
            <w:webHidden/>
          </w:rPr>
          <w:tab/>
        </w:r>
        <w:r>
          <w:rPr>
            <w:noProof/>
            <w:webHidden/>
          </w:rPr>
          <w:fldChar w:fldCharType="begin"/>
        </w:r>
        <w:r>
          <w:rPr>
            <w:noProof/>
            <w:webHidden/>
          </w:rPr>
          <w:instrText xml:space="preserve"> PAGEREF _Toc229079463 \h </w:instrText>
        </w:r>
        <w:r>
          <w:rPr>
            <w:noProof/>
            <w:webHidden/>
          </w:rPr>
        </w:r>
        <w:r>
          <w:rPr>
            <w:noProof/>
            <w:webHidden/>
          </w:rPr>
          <w:fldChar w:fldCharType="separate"/>
        </w:r>
        <w:r>
          <w:rPr>
            <w:noProof/>
            <w:webHidden/>
          </w:rPr>
          <w:t>14</w:t>
        </w:r>
        <w:r>
          <w:rPr>
            <w:noProof/>
            <w:webHidden/>
          </w:rPr>
          <w:fldChar w:fldCharType="end"/>
        </w:r>
      </w:hyperlink>
    </w:p>
    <w:p w14:paraId="57474413" w14:textId="6F5535CF" w:rsidR="007A752D" w:rsidRDefault="007A752D">
      <w:pPr>
        <w:pStyle w:val="Sadraj1"/>
        <w:tabs>
          <w:tab w:val="right" w:leader="dot" w:pos="9062"/>
        </w:tabs>
        <w:rPr>
          <w:rFonts w:eastAsiaTheme="minorEastAsia"/>
          <w:b w:val="0"/>
          <w:bCs w:val="0"/>
          <w:caps w:val="0"/>
          <w:noProof/>
          <w:sz w:val="24"/>
          <w:szCs w:val="24"/>
          <w:lang w:val="fr-FR" w:eastAsia="fr-FR"/>
        </w:rPr>
      </w:pPr>
      <w:hyperlink w:anchor="_Toc229079464" w:history="1">
        <w:r w:rsidRPr="00871AC4">
          <w:rPr>
            <w:rStyle w:val="Hiperveza"/>
            <w:noProof/>
            <w:lang w:val="en-GB"/>
          </w:rPr>
          <w:t>8. Implementation Roadmap (Phased, 36 months)</w:t>
        </w:r>
        <w:r>
          <w:rPr>
            <w:noProof/>
            <w:webHidden/>
          </w:rPr>
          <w:tab/>
        </w:r>
        <w:r>
          <w:rPr>
            <w:noProof/>
            <w:webHidden/>
          </w:rPr>
          <w:fldChar w:fldCharType="begin"/>
        </w:r>
        <w:r>
          <w:rPr>
            <w:noProof/>
            <w:webHidden/>
          </w:rPr>
          <w:instrText xml:space="preserve"> PAGEREF _Toc229079464 \h </w:instrText>
        </w:r>
        <w:r>
          <w:rPr>
            <w:noProof/>
            <w:webHidden/>
          </w:rPr>
        </w:r>
        <w:r>
          <w:rPr>
            <w:noProof/>
            <w:webHidden/>
          </w:rPr>
          <w:fldChar w:fldCharType="separate"/>
        </w:r>
        <w:r>
          <w:rPr>
            <w:noProof/>
            <w:webHidden/>
          </w:rPr>
          <w:t>15</w:t>
        </w:r>
        <w:r>
          <w:rPr>
            <w:noProof/>
            <w:webHidden/>
          </w:rPr>
          <w:fldChar w:fldCharType="end"/>
        </w:r>
      </w:hyperlink>
    </w:p>
    <w:p w14:paraId="640B6577" w14:textId="60BFE513" w:rsidR="007A752D" w:rsidRDefault="007A752D">
      <w:pPr>
        <w:pStyle w:val="Sadraj2"/>
        <w:tabs>
          <w:tab w:val="right" w:leader="dot" w:pos="9062"/>
        </w:tabs>
        <w:rPr>
          <w:rFonts w:eastAsiaTheme="minorEastAsia"/>
          <w:smallCaps w:val="0"/>
          <w:noProof/>
          <w:sz w:val="24"/>
          <w:szCs w:val="24"/>
          <w:lang w:val="fr-FR" w:eastAsia="fr-FR"/>
        </w:rPr>
      </w:pPr>
      <w:hyperlink w:anchor="_Toc229079465" w:history="1">
        <w:r w:rsidRPr="00871AC4">
          <w:rPr>
            <w:rStyle w:val="Hiperveza"/>
            <w:rFonts w:eastAsia="Times New Roman"/>
            <w:noProof/>
            <w:lang w:val="en-GB" w:eastAsia="en-GB"/>
          </w:rPr>
          <w:t>8.1 Phase 1 (0–12 months)</w:t>
        </w:r>
        <w:r>
          <w:rPr>
            <w:noProof/>
            <w:webHidden/>
          </w:rPr>
          <w:tab/>
        </w:r>
        <w:r>
          <w:rPr>
            <w:noProof/>
            <w:webHidden/>
          </w:rPr>
          <w:fldChar w:fldCharType="begin"/>
        </w:r>
        <w:r>
          <w:rPr>
            <w:noProof/>
            <w:webHidden/>
          </w:rPr>
          <w:instrText xml:space="preserve"> PAGEREF _Toc229079465 \h </w:instrText>
        </w:r>
        <w:r>
          <w:rPr>
            <w:noProof/>
            <w:webHidden/>
          </w:rPr>
        </w:r>
        <w:r>
          <w:rPr>
            <w:noProof/>
            <w:webHidden/>
          </w:rPr>
          <w:fldChar w:fldCharType="separate"/>
        </w:r>
        <w:r>
          <w:rPr>
            <w:noProof/>
            <w:webHidden/>
          </w:rPr>
          <w:t>15</w:t>
        </w:r>
        <w:r>
          <w:rPr>
            <w:noProof/>
            <w:webHidden/>
          </w:rPr>
          <w:fldChar w:fldCharType="end"/>
        </w:r>
      </w:hyperlink>
    </w:p>
    <w:p w14:paraId="24407AE5" w14:textId="4690ED51" w:rsidR="007A752D" w:rsidRDefault="007A752D">
      <w:pPr>
        <w:pStyle w:val="Sadraj2"/>
        <w:tabs>
          <w:tab w:val="right" w:leader="dot" w:pos="9062"/>
        </w:tabs>
        <w:rPr>
          <w:rFonts w:eastAsiaTheme="minorEastAsia"/>
          <w:smallCaps w:val="0"/>
          <w:noProof/>
          <w:sz w:val="24"/>
          <w:szCs w:val="24"/>
          <w:lang w:val="fr-FR" w:eastAsia="fr-FR"/>
        </w:rPr>
      </w:pPr>
      <w:hyperlink w:anchor="_Toc229079466" w:history="1">
        <w:r w:rsidRPr="00871AC4">
          <w:rPr>
            <w:rStyle w:val="Hiperveza"/>
            <w:rFonts w:eastAsia="Times New Roman"/>
            <w:noProof/>
            <w:lang w:val="en-GB" w:eastAsia="en-GB"/>
          </w:rPr>
          <w:t>8.2 Phase 2 (12–24 months)</w:t>
        </w:r>
        <w:r>
          <w:rPr>
            <w:noProof/>
            <w:webHidden/>
          </w:rPr>
          <w:tab/>
        </w:r>
        <w:r>
          <w:rPr>
            <w:noProof/>
            <w:webHidden/>
          </w:rPr>
          <w:fldChar w:fldCharType="begin"/>
        </w:r>
        <w:r>
          <w:rPr>
            <w:noProof/>
            <w:webHidden/>
          </w:rPr>
          <w:instrText xml:space="preserve"> PAGEREF _Toc229079466 \h </w:instrText>
        </w:r>
        <w:r>
          <w:rPr>
            <w:noProof/>
            <w:webHidden/>
          </w:rPr>
        </w:r>
        <w:r>
          <w:rPr>
            <w:noProof/>
            <w:webHidden/>
          </w:rPr>
          <w:fldChar w:fldCharType="separate"/>
        </w:r>
        <w:r>
          <w:rPr>
            <w:noProof/>
            <w:webHidden/>
          </w:rPr>
          <w:t>15</w:t>
        </w:r>
        <w:r>
          <w:rPr>
            <w:noProof/>
            <w:webHidden/>
          </w:rPr>
          <w:fldChar w:fldCharType="end"/>
        </w:r>
      </w:hyperlink>
    </w:p>
    <w:p w14:paraId="58B775E9" w14:textId="6542006E" w:rsidR="007A752D" w:rsidRDefault="007A752D">
      <w:pPr>
        <w:pStyle w:val="Sadraj2"/>
        <w:tabs>
          <w:tab w:val="right" w:leader="dot" w:pos="9062"/>
        </w:tabs>
        <w:rPr>
          <w:rFonts w:eastAsiaTheme="minorEastAsia"/>
          <w:smallCaps w:val="0"/>
          <w:noProof/>
          <w:sz w:val="24"/>
          <w:szCs w:val="24"/>
          <w:lang w:val="fr-FR" w:eastAsia="fr-FR"/>
        </w:rPr>
      </w:pPr>
      <w:hyperlink w:anchor="_Toc229079467" w:history="1">
        <w:r w:rsidRPr="00871AC4">
          <w:rPr>
            <w:rStyle w:val="Hiperveza"/>
            <w:rFonts w:eastAsia="Times New Roman"/>
            <w:noProof/>
            <w:lang w:val="en-GB" w:eastAsia="en-GB"/>
          </w:rPr>
          <w:t>8.3 Phase 3 (24–36 months)</w:t>
        </w:r>
        <w:r>
          <w:rPr>
            <w:noProof/>
            <w:webHidden/>
          </w:rPr>
          <w:tab/>
        </w:r>
        <w:r>
          <w:rPr>
            <w:noProof/>
            <w:webHidden/>
          </w:rPr>
          <w:fldChar w:fldCharType="begin"/>
        </w:r>
        <w:r>
          <w:rPr>
            <w:noProof/>
            <w:webHidden/>
          </w:rPr>
          <w:instrText xml:space="preserve"> PAGEREF _Toc229079467 \h </w:instrText>
        </w:r>
        <w:r>
          <w:rPr>
            <w:noProof/>
            <w:webHidden/>
          </w:rPr>
        </w:r>
        <w:r>
          <w:rPr>
            <w:noProof/>
            <w:webHidden/>
          </w:rPr>
          <w:fldChar w:fldCharType="separate"/>
        </w:r>
        <w:r>
          <w:rPr>
            <w:noProof/>
            <w:webHidden/>
          </w:rPr>
          <w:t>15</w:t>
        </w:r>
        <w:r>
          <w:rPr>
            <w:noProof/>
            <w:webHidden/>
          </w:rPr>
          <w:fldChar w:fldCharType="end"/>
        </w:r>
      </w:hyperlink>
    </w:p>
    <w:p w14:paraId="113359DE" w14:textId="0CE12D04" w:rsidR="007A752D" w:rsidRDefault="007A752D">
      <w:pPr>
        <w:pStyle w:val="Sadraj1"/>
        <w:tabs>
          <w:tab w:val="right" w:leader="dot" w:pos="9062"/>
        </w:tabs>
        <w:rPr>
          <w:rFonts w:eastAsiaTheme="minorEastAsia"/>
          <w:b w:val="0"/>
          <w:bCs w:val="0"/>
          <w:caps w:val="0"/>
          <w:noProof/>
          <w:sz w:val="24"/>
          <w:szCs w:val="24"/>
          <w:lang w:val="fr-FR" w:eastAsia="fr-FR"/>
        </w:rPr>
      </w:pPr>
      <w:hyperlink w:anchor="_Toc229079468" w:history="1">
        <w:r w:rsidRPr="00871AC4">
          <w:rPr>
            <w:rStyle w:val="Hiperveza"/>
            <w:noProof/>
            <w:lang w:val="en-GB"/>
          </w:rPr>
          <w:t>9. Risks and Mitigation Measures</w:t>
        </w:r>
        <w:r>
          <w:rPr>
            <w:noProof/>
            <w:webHidden/>
          </w:rPr>
          <w:tab/>
        </w:r>
        <w:r>
          <w:rPr>
            <w:noProof/>
            <w:webHidden/>
          </w:rPr>
          <w:fldChar w:fldCharType="begin"/>
        </w:r>
        <w:r>
          <w:rPr>
            <w:noProof/>
            <w:webHidden/>
          </w:rPr>
          <w:instrText xml:space="preserve"> PAGEREF _Toc229079468 \h </w:instrText>
        </w:r>
        <w:r>
          <w:rPr>
            <w:noProof/>
            <w:webHidden/>
          </w:rPr>
        </w:r>
        <w:r>
          <w:rPr>
            <w:noProof/>
            <w:webHidden/>
          </w:rPr>
          <w:fldChar w:fldCharType="separate"/>
        </w:r>
        <w:r>
          <w:rPr>
            <w:noProof/>
            <w:webHidden/>
          </w:rPr>
          <w:t>16</w:t>
        </w:r>
        <w:r>
          <w:rPr>
            <w:noProof/>
            <w:webHidden/>
          </w:rPr>
          <w:fldChar w:fldCharType="end"/>
        </w:r>
      </w:hyperlink>
    </w:p>
    <w:p w14:paraId="7A0B548A" w14:textId="56160FD9" w:rsidR="007A752D" w:rsidRDefault="007A752D">
      <w:pPr>
        <w:pStyle w:val="Sadraj2"/>
        <w:tabs>
          <w:tab w:val="right" w:leader="dot" w:pos="9062"/>
        </w:tabs>
        <w:rPr>
          <w:rFonts w:eastAsiaTheme="minorEastAsia"/>
          <w:smallCaps w:val="0"/>
          <w:noProof/>
          <w:sz w:val="24"/>
          <w:szCs w:val="24"/>
          <w:lang w:val="fr-FR" w:eastAsia="fr-FR"/>
        </w:rPr>
      </w:pPr>
      <w:hyperlink w:anchor="_Toc229079469" w:history="1">
        <w:r w:rsidRPr="00871AC4">
          <w:rPr>
            <w:rStyle w:val="Hiperveza"/>
            <w:rFonts w:eastAsia="Times New Roman"/>
            <w:noProof/>
            <w:lang w:val="en-GB" w:eastAsia="en-GB"/>
          </w:rPr>
          <w:t>9.1 Legal and Institutional Risks</w:t>
        </w:r>
        <w:r>
          <w:rPr>
            <w:noProof/>
            <w:webHidden/>
          </w:rPr>
          <w:tab/>
        </w:r>
        <w:r>
          <w:rPr>
            <w:noProof/>
            <w:webHidden/>
          </w:rPr>
          <w:fldChar w:fldCharType="begin"/>
        </w:r>
        <w:r>
          <w:rPr>
            <w:noProof/>
            <w:webHidden/>
          </w:rPr>
          <w:instrText xml:space="preserve"> PAGEREF _Toc229079469 \h </w:instrText>
        </w:r>
        <w:r>
          <w:rPr>
            <w:noProof/>
            <w:webHidden/>
          </w:rPr>
        </w:r>
        <w:r>
          <w:rPr>
            <w:noProof/>
            <w:webHidden/>
          </w:rPr>
          <w:fldChar w:fldCharType="separate"/>
        </w:r>
        <w:r>
          <w:rPr>
            <w:noProof/>
            <w:webHidden/>
          </w:rPr>
          <w:t>16</w:t>
        </w:r>
        <w:r>
          <w:rPr>
            <w:noProof/>
            <w:webHidden/>
          </w:rPr>
          <w:fldChar w:fldCharType="end"/>
        </w:r>
      </w:hyperlink>
    </w:p>
    <w:p w14:paraId="1FB7297F" w14:textId="4961D4FD" w:rsidR="007A752D" w:rsidRDefault="007A752D">
      <w:pPr>
        <w:pStyle w:val="Sadraj2"/>
        <w:tabs>
          <w:tab w:val="right" w:leader="dot" w:pos="9062"/>
        </w:tabs>
        <w:rPr>
          <w:rFonts w:eastAsiaTheme="minorEastAsia"/>
          <w:smallCaps w:val="0"/>
          <w:noProof/>
          <w:sz w:val="24"/>
          <w:szCs w:val="24"/>
          <w:lang w:val="fr-FR" w:eastAsia="fr-FR"/>
        </w:rPr>
      </w:pPr>
      <w:hyperlink w:anchor="_Toc229079470" w:history="1">
        <w:r w:rsidRPr="00871AC4">
          <w:rPr>
            <w:rStyle w:val="Hiperveza"/>
            <w:rFonts w:eastAsia="Times New Roman"/>
            <w:noProof/>
            <w:lang w:val="en-GB" w:eastAsia="en-GB"/>
          </w:rPr>
          <w:t>9.2 Technical Risks</w:t>
        </w:r>
        <w:r>
          <w:rPr>
            <w:noProof/>
            <w:webHidden/>
          </w:rPr>
          <w:tab/>
        </w:r>
        <w:r>
          <w:rPr>
            <w:noProof/>
            <w:webHidden/>
          </w:rPr>
          <w:fldChar w:fldCharType="begin"/>
        </w:r>
        <w:r>
          <w:rPr>
            <w:noProof/>
            <w:webHidden/>
          </w:rPr>
          <w:instrText xml:space="preserve"> PAGEREF _Toc229079470 \h </w:instrText>
        </w:r>
        <w:r>
          <w:rPr>
            <w:noProof/>
            <w:webHidden/>
          </w:rPr>
        </w:r>
        <w:r>
          <w:rPr>
            <w:noProof/>
            <w:webHidden/>
          </w:rPr>
          <w:fldChar w:fldCharType="separate"/>
        </w:r>
        <w:r>
          <w:rPr>
            <w:noProof/>
            <w:webHidden/>
          </w:rPr>
          <w:t>16</w:t>
        </w:r>
        <w:r>
          <w:rPr>
            <w:noProof/>
            <w:webHidden/>
          </w:rPr>
          <w:fldChar w:fldCharType="end"/>
        </w:r>
      </w:hyperlink>
    </w:p>
    <w:p w14:paraId="50BFAE40" w14:textId="0C18DD4F" w:rsidR="007A752D" w:rsidRDefault="007A752D">
      <w:pPr>
        <w:pStyle w:val="Sadraj2"/>
        <w:tabs>
          <w:tab w:val="right" w:leader="dot" w:pos="9062"/>
        </w:tabs>
        <w:rPr>
          <w:rFonts w:eastAsiaTheme="minorEastAsia"/>
          <w:smallCaps w:val="0"/>
          <w:noProof/>
          <w:sz w:val="24"/>
          <w:szCs w:val="24"/>
          <w:lang w:val="fr-FR" w:eastAsia="fr-FR"/>
        </w:rPr>
      </w:pPr>
      <w:hyperlink w:anchor="_Toc229079471" w:history="1">
        <w:r w:rsidRPr="00871AC4">
          <w:rPr>
            <w:rStyle w:val="Hiperveza"/>
            <w:rFonts w:eastAsia="Times New Roman"/>
            <w:noProof/>
            <w:lang w:val="en-GB" w:eastAsia="en-GB"/>
          </w:rPr>
          <w:t>9.3 Financial Risks</w:t>
        </w:r>
        <w:r>
          <w:rPr>
            <w:noProof/>
            <w:webHidden/>
          </w:rPr>
          <w:tab/>
        </w:r>
        <w:r>
          <w:rPr>
            <w:noProof/>
            <w:webHidden/>
          </w:rPr>
          <w:fldChar w:fldCharType="begin"/>
        </w:r>
        <w:r>
          <w:rPr>
            <w:noProof/>
            <w:webHidden/>
          </w:rPr>
          <w:instrText xml:space="preserve"> PAGEREF _Toc229079471 \h </w:instrText>
        </w:r>
        <w:r>
          <w:rPr>
            <w:noProof/>
            <w:webHidden/>
          </w:rPr>
        </w:r>
        <w:r>
          <w:rPr>
            <w:noProof/>
            <w:webHidden/>
          </w:rPr>
          <w:fldChar w:fldCharType="separate"/>
        </w:r>
        <w:r>
          <w:rPr>
            <w:noProof/>
            <w:webHidden/>
          </w:rPr>
          <w:t>17</w:t>
        </w:r>
        <w:r>
          <w:rPr>
            <w:noProof/>
            <w:webHidden/>
          </w:rPr>
          <w:fldChar w:fldCharType="end"/>
        </w:r>
      </w:hyperlink>
    </w:p>
    <w:p w14:paraId="648CA12B" w14:textId="56110C8B" w:rsidR="007A752D" w:rsidRDefault="007A752D">
      <w:pPr>
        <w:pStyle w:val="Sadraj2"/>
        <w:tabs>
          <w:tab w:val="right" w:leader="dot" w:pos="9062"/>
        </w:tabs>
        <w:rPr>
          <w:rFonts w:eastAsiaTheme="minorEastAsia"/>
          <w:smallCaps w:val="0"/>
          <w:noProof/>
          <w:sz w:val="24"/>
          <w:szCs w:val="24"/>
          <w:lang w:val="fr-FR" w:eastAsia="fr-FR"/>
        </w:rPr>
      </w:pPr>
      <w:hyperlink w:anchor="_Toc229079472" w:history="1">
        <w:r w:rsidRPr="00871AC4">
          <w:rPr>
            <w:rStyle w:val="Hiperveza"/>
            <w:rFonts w:eastAsia="Times New Roman"/>
            <w:noProof/>
            <w:lang w:val="en-GB" w:eastAsia="en-GB"/>
          </w:rPr>
          <w:t>9.4 Political Risks</w:t>
        </w:r>
        <w:r>
          <w:rPr>
            <w:noProof/>
            <w:webHidden/>
          </w:rPr>
          <w:tab/>
        </w:r>
        <w:r>
          <w:rPr>
            <w:noProof/>
            <w:webHidden/>
          </w:rPr>
          <w:fldChar w:fldCharType="begin"/>
        </w:r>
        <w:r>
          <w:rPr>
            <w:noProof/>
            <w:webHidden/>
          </w:rPr>
          <w:instrText xml:space="preserve"> PAGEREF _Toc229079472 \h </w:instrText>
        </w:r>
        <w:r>
          <w:rPr>
            <w:noProof/>
            <w:webHidden/>
          </w:rPr>
        </w:r>
        <w:r>
          <w:rPr>
            <w:noProof/>
            <w:webHidden/>
          </w:rPr>
          <w:fldChar w:fldCharType="separate"/>
        </w:r>
        <w:r>
          <w:rPr>
            <w:noProof/>
            <w:webHidden/>
          </w:rPr>
          <w:t>17</w:t>
        </w:r>
        <w:r>
          <w:rPr>
            <w:noProof/>
            <w:webHidden/>
          </w:rPr>
          <w:fldChar w:fldCharType="end"/>
        </w:r>
      </w:hyperlink>
    </w:p>
    <w:p w14:paraId="020FD940" w14:textId="150EE3E8" w:rsidR="007A752D" w:rsidRDefault="007A752D">
      <w:pPr>
        <w:pStyle w:val="Sadraj1"/>
        <w:tabs>
          <w:tab w:val="right" w:leader="dot" w:pos="9062"/>
        </w:tabs>
        <w:rPr>
          <w:rFonts w:eastAsiaTheme="minorEastAsia"/>
          <w:b w:val="0"/>
          <w:bCs w:val="0"/>
          <w:caps w:val="0"/>
          <w:noProof/>
          <w:sz w:val="24"/>
          <w:szCs w:val="24"/>
          <w:lang w:val="fr-FR" w:eastAsia="fr-FR"/>
        </w:rPr>
      </w:pPr>
      <w:hyperlink w:anchor="_Toc229079473" w:history="1">
        <w:r w:rsidRPr="00871AC4">
          <w:rPr>
            <w:rStyle w:val="Hiperveza"/>
            <w:noProof/>
            <w:lang w:val="en-GB"/>
          </w:rPr>
          <w:t>10. Conclusions and Next Steps</w:t>
        </w:r>
        <w:r>
          <w:rPr>
            <w:noProof/>
            <w:webHidden/>
          </w:rPr>
          <w:tab/>
        </w:r>
        <w:r>
          <w:rPr>
            <w:noProof/>
            <w:webHidden/>
          </w:rPr>
          <w:fldChar w:fldCharType="begin"/>
        </w:r>
        <w:r>
          <w:rPr>
            <w:noProof/>
            <w:webHidden/>
          </w:rPr>
          <w:instrText xml:space="preserve"> PAGEREF _Toc229079473 \h </w:instrText>
        </w:r>
        <w:r>
          <w:rPr>
            <w:noProof/>
            <w:webHidden/>
          </w:rPr>
        </w:r>
        <w:r>
          <w:rPr>
            <w:noProof/>
            <w:webHidden/>
          </w:rPr>
          <w:fldChar w:fldCharType="separate"/>
        </w:r>
        <w:r>
          <w:rPr>
            <w:noProof/>
            <w:webHidden/>
          </w:rPr>
          <w:t>17</w:t>
        </w:r>
        <w:r>
          <w:rPr>
            <w:noProof/>
            <w:webHidden/>
          </w:rPr>
          <w:fldChar w:fldCharType="end"/>
        </w:r>
      </w:hyperlink>
    </w:p>
    <w:p w14:paraId="7CF6EAC5" w14:textId="350E0B92" w:rsidR="00825FC2" w:rsidRDefault="007A752D" w:rsidP="00825FC2">
      <w:r>
        <w:rPr>
          <w:sz w:val="20"/>
          <w:szCs w:val="20"/>
        </w:rPr>
        <w:fldChar w:fldCharType="end"/>
      </w:r>
    </w:p>
    <w:p w14:paraId="0382CFE7" w14:textId="4B70DBA5" w:rsidR="008073D5" w:rsidRDefault="008073D5">
      <w:pPr>
        <w:rPr>
          <w:rFonts w:ascii="Calibri" w:hAnsi="Calibri" w:cs="Calibri"/>
          <w:b/>
          <w:bCs/>
          <w:sz w:val="24"/>
          <w:szCs w:val="24"/>
          <w:lang w:val="en-GB"/>
        </w:rPr>
      </w:pPr>
      <w:r>
        <w:rPr>
          <w:rFonts w:ascii="Calibri" w:hAnsi="Calibri" w:cs="Calibri"/>
          <w:b/>
          <w:bCs/>
          <w:sz w:val="24"/>
          <w:szCs w:val="24"/>
          <w:lang w:val="en-GB"/>
        </w:rPr>
        <w:br w:type="page"/>
      </w:r>
    </w:p>
    <w:p w14:paraId="43A7312B" w14:textId="77777777" w:rsidR="00825FC2" w:rsidRDefault="00825FC2" w:rsidP="00906D03">
      <w:pPr>
        <w:jc w:val="both"/>
        <w:rPr>
          <w:rFonts w:ascii="Calibri" w:hAnsi="Calibri" w:cs="Calibri"/>
          <w:b/>
          <w:bCs/>
          <w:sz w:val="24"/>
          <w:szCs w:val="24"/>
          <w:lang w:val="en-GB"/>
        </w:rPr>
      </w:pPr>
    </w:p>
    <w:p w14:paraId="124C98AB" w14:textId="77777777" w:rsidR="008073D5" w:rsidRPr="004D584D" w:rsidRDefault="008073D5" w:rsidP="008073D5">
      <w:pPr>
        <w:rPr>
          <w:rFonts w:ascii="Cambria" w:hAnsi="Cambria"/>
          <w:b/>
          <w:bCs/>
        </w:rPr>
      </w:pPr>
      <w:r w:rsidRPr="004D584D">
        <w:rPr>
          <w:rFonts w:ascii="Cambria" w:hAnsi="Cambria"/>
          <w:b/>
          <w:bCs/>
        </w:rPr>
        <w:t>PREPARED BY DIKTAS II PROJECT TEAM</w:t>
      </w:r>
    </w:p>
    <w:p w14:paraId="1F89A11B" w14:textId="77777777" w:rsidR="008073D5" w:rsidRPr="004D584D" w:rsidRDefault="008073D5" w:rsidP="008073D5">
      <w:pPr>
        <w:rPr>
          <w:rFonts w:ascii="Cambria" w:hAnsi="Cambria"/>
        </w:rPr>
      </w:pPr>
      <w:r>
        <w:rPr>
          <w:rFonts w:ascii="Cambria" w:hAnsi="Cambria"/>
        </w:rPr>
        <w:t>Raya Marina Stephan</w:t>
      </w:r>
    </w:p>
    <w:p w14:paraId="45A93612" w14:textId="75C2F628" w:rsidR="00825FC2" w:rsidRDefault="008073D5" w:rsidP="00906D03">
      <w:pPr>
        <w:jc w:val="both"/>
        <w:rPr>
          <w:rFonts w:ascii="Calibri" w:hAnsi="Calibri" w:cs="Calibri"/>
          <w:sz w:val="24"/>
          <w:szCs w:val="24"/>
          <w:lang w:val="en-GB"/>
        </w:rPr>
      </w:pPr>
      <w:r w:rsidRPr="008073D5">
        <w:rPr>
          <w:rFonts w:ascii="Calibri" w:hAnsi="Calibri" w:cs="Calibri"/>
          <w:sz w:val="24"/>
          <w:szCs w:val="24"/>
          <w:lang w:val="en-GB"/>
        </w:rPr>
        <w:t>Selma Čengi</w:t>
      </w:r>
      <w:r w:rsidR="00362709">
        <w:rPr>
          <w:rFonts w:ascii="Calibri" w:hAnsi="Calibri" w:cs="Calibri"/>
          <w:sz w:val="24"/>
          <w:szCs w:val="24"/>
          <w:lang w:val="en-GB"/>
        </w:rPr>
        <w:t>ć</w:t>
      </w:r>
    </w:p>
    <w:p w14:paraId="296A8415" w14:textId="536A53BE" w:rsidR="00825FC2" w:rsidRDefault="007414A9" w:rsidP="00906D03">
      <w:pPr>
        <w:jc w:val="both"/>
        <w:rPr>
          <w:rFonts w:ascii="Calibri" w:hAnsi="Calibri" w:cs="Calibri"/>
          <w:b/>
          <w:bCs/>
          <w:sz w:val="24"/>
          <w:szCs w:val="24"/>
          <w:lang w:val="en-GB"/>
        </w:rPr>
      </w:pPr>
      <w:r>
        <w:rPr>
          <w:rFonts w:ascii="Calibri" w:hAnsi="Calibri" w:cs="Calibri"/>
          <w:sz w:val="24"/>
          <w:szCs w:val="24"/>
          <w:lang w:val="en-GB"/>
        </w:rPr>
        <w:t>Zoran Nakić</w:t>
      </w:r>
    </w:p>
    <w:p w14:paraId="7034FE6C" w14:textId="14F0FB55" w:rsidR="008073D5" w:rsidRDefault="008073D5">
      <w:pPr>
        <w:rPr>
          <w:rFonts w:ascii="Calibri" w:hAnsi="Calibri" w:cs="Calibri"/>
          <w:b/>
          <w:bCs/>
          <w:sz w:val="24"/>
          <w:szCs w:val="24"/>
          <w:lang w:val="en-GB"/>
        </w:rPr>
      </w:pPr>
      <w:r>
        <w:rPr>
          <w:rFonts w:ascii="Calibri" w:hAnsi="Calibri" w:cs="Calibri"/>
          <w:b/>
          <w:bCs/>
          <w:sz w:val="24"/>
          <w:szCs w:val="24"/>
          <w:lang w:val="en-GB"/>
        </w:rPr>
        <w:br w:type="page"/>
      </w:r>
    </w:p>
    <w:p w14:paraId="7BE6A1F9" w14:textId="77777777" w:rsidR="00825FC2" w:rsidRDefault="00825FC2" w:rsidP="00906D03">
      <w:pPr>
        <w:jc w:val="both"/>
        <w:rPr>
          <w:rFonts w:ascii="Calibri" w:hAnsi="Calibri" w:cs="Calibri"/>
          <w:b/>
          <w:bCs/>
          <w:sz w:val="24"/>
          <w:szCs w:val="24"/>
          <w:lang w:val="en-GB"/>
        </w:rPr>
      </w:pPr>
    </w:p>
    <w:p w14:paraId="5CF10333" w14:textId="1FAD1DEF" w:rsidR="0076514E" w:rsidRPr="000C1958" w:rsidRDefault="0076514E" w:rsidP="004F2AB1">
      <w:pPr>
        <w:pStyle w:val="Naslov1"/>
        <w:rPr>
          <w:color w:val="7030A0"/>
          <w:lang w:val="en-GB"/>
        </w:rPr>
      </w:pPr>
      <w:bookmarkStart w:id="0" w:name="_Toc229079447"/>
      <w:r w:rsidRPr="000C1958">
        <w:rPr>
          <w:lang w:val="en-GB"/>
        </w:rPr>
        <w:t xml:space="preserve">1. </w:t>
      </w:r>
      <w:r w:rsidR="008C6F7D" w:rsidRPr="000C1958">
        <w:rPr>
          <w:lang w:val="en-GB"/>
        </w:rPr>
        <w:t>Introduction</w:t>
      </w:r>
      <w:bookmarkEnd w:id="0"/>
      <w:r w:rsidRPr="000C1958">
        <w:rPr>
          <w:lang w:val="en-GB"/>
        </w:rPr>
        <w:t xml:space="preserve"> </w:t>
      </w:r>
    </w:p>
    <w:p w14:paraId="7EAA49D8" w14:textId="311B7990" w:rsidR="00235902" w:rsidRPr="000B50C6" w:rsidRDefault="009F4AA7" w:rsidP="00906D03">
      <w:pPr>
        <w:jc w:val="both"/>
        <w:rPr>
          <w:rFonts w:ascii="Calibri" w:hAnsi="Calibri" w:cs="Calibri"/>
          <w:sz w:val="24"/>
          <w:szCs w:val="24"/>
          <w:lang w:val="en-GB"/>
        </w:rPr>
      </w:pPr>
      <w:r w:rsidRPr="000B50C6">
        <w:rPr>
          <w:rFonts w:ascii="Calibri" w:hAnsi="Calibri" w:cs="Calibri"/>
          <w:sz w:val="24"/>
          <w:szCs w:val="24"/>
          <w:lang w:val="en-GB"/>
        </w:rPr>
        <w:t xml:space="preserve">The Agreement between </w:t>
      </w:r>
      <w:r w:rsidR="006D2C9D" w:rsidRPr="000B50C6">
        <w:rPr>
          <w:rFonts w:ascii="Calibri" w:hAnsi="Calibri" w:cs="Calibri"/>
          <w:sz w:val="24"/>
          <w:szCs w:val="24"/>
          <w:lang w:val="en-GB"/>
        </w:rPr>
        <w:t xml:space="preserve">the government of the Republic of Croatia and the government of Bosnia Herzegovina on the regulation of water management relations was </w:t>
      </w:r>
      <w:r w:rsidR="00232C8B" w:rsidRPr="000B50C6">
        <w:rPr>
          <w:rFonts w:ascii="Calibri" w:hAnsi="Calibri" w:cs="Calibri"/>
          <w:sz w:val="24"/>
          <w:szCs w:val="24"/>
          <w:lang w:val="en-GB"/>
        </w:rPr>
        <w:t xml:space="preserve">signed </w:t>
      </w:r>
      <w:r w:rsidR="006D2C9D" w:rsidRPr="000B50C6">
        <w:rPr>
          <w:rFonts w:ascii="Calibri" w:hAnsi="Calibri" w:cs="Calibri"/>
          <w:sz w:val="24"/>
          <w:szCs w:val="24"/>
          <w:lang w:val="en-GB"/>
        </w:rPr>
        <w:t>in 1996.</w:t>
      </w:r>
      <w:r w:rsidR="00235902" w:rsidRPr="000B50C6">
        <w:rPr>
          <w:rFonts w:ascii="Calibri" w:hAnsi="Calibri" w:cs="Calibri"/>
          <w:sz w:val="24"/>
          <w:szCs w:val="24"/>
          <w:lang w:val="en-GB"/>
        </w:rPr>
        <w:t>It is an agreement about cooperation between the two countries on all transboundary watercourses</w:t>
      </w:r>
      <w:r w:rsidR="00502B80" w:rsidRPr="000B50C6">
        <w:rPr>
          <w:rFonts w:ascii="Calibri" w:hAnsi="Calibri" w:cs="Calibri"/>
          <w:sz w:val="24"/>
          <w:szCs w:val="24"/>
          <w:lang w:val="en-GB"/>
        </w:rPr>
        <w:t xml:space="preserve">. </w:t>
      </w:r>
    </w:p>
    <w:p w14:paraId="4A6657A9" w14:textId="6A52DF08" w:rsidR="006D2C9D" w:rsidRPr="000B50C6" w:rsidRDefault="006D2C9D" w:rsidP="00906D03">
      <w:pPr>
        <w:jc w:val="both"/>
        <w:rPr>
          <w:rFonts w:ascii="Calibri" w:hAnsi="Calibri" w:cs="Calibri"/>
          <w:sz w:val="24"/>
          <w:szCs w:val="24"/>
          <w:lang w:val="en-GB"/>
        </w:rPr>
      </w:pPr>
      <w:r w:rsidRPr="000B50C6">
        <w:rPr>
          <w:rFonts w:ascii="Calibri" w:hAnsi="Calibri" w:cs="Calibri"/>
          <w:sz w:val="24"/>
          <w:szCs w:val="24"/>
          <w:lang w:val="en-GB"/>
        </w:rPr>
        <w:t xml:space="preserve">It provides for general principles </w:t>
      </w:r>
      <w:r w:rsidR="000C1958" w:rsidRPr="000B50C6">
        <w:rPr>
          <w:rFonts w:ascii="Calibri" w:hAnsi="Calibri" w:cs="Calibri"/>
          <w:sz w:val="24"/>
          <w:szCs w:val="24"/>
          <w:lang w:val="en-GB"/>
        </w:rPr>
        <w:t xml:space="preserve">related to </w:t>
      </w:r>
      <w:r w:rsidR="000E38D5" w:rsidRPr="000B50C6">
        <w:rPr>
          <w:rFonts w:ascii="Calibri" w:hAnsi="Calibri" w:cs="Calibri"/>
          <w:sz w:val="24"/>
          <w:szCs w:val="24"/>
          <w:lang w:val="en-GB"/>
        </w:rPr>
        <w:t xml:space="preserve">the </w:t>
      </w:r>
      <w:r w:rsidRPr="000B50C6">
        <w:rPr>
          <w:rFonts w:ascii="Calibri" w:hAnsi="Calibri" w:cs="Calibri"/>
          <w:sz w:val="24"/>
          <w:szCs w:val="24"/>
          <w:lang w:val="en-GB"/>
        </w:rPr>
        <w:t>management</w:t>
      </w:r>
      <w:r w:rsidR="000E38D5" w:rsidRPr="000B50C6">
        <w:rPr>
          <w:rFonts w:ascii="Calibri" w:hAnsi="Calibri" w:cs="Calibri"/>
          <w:sz w:val="24"/>
          <w:szCs w:val="24"/>
          <w:lang w:val="en-GB"/>
        </w:rPr>
        <w:t xml:space="preserve"> of the</w:t>
      </w:r>
      <w:r w:rsidR="000C1958" w:rsidRPr="000B50C6">
        <w:rPr>
          <w:rFonts w:ascii="Calibri" w:hAnsi="Calibri" w:cs="Calibri"/>
          <w:sz w:val="24"/>
          <w:szCs w:val="24"/>
          <w:lang w:val="en-GB"/>
        </w:rPr>
        <w:t>se</w:t>
      </w:r>
      <w:r w:rsidR="000E38D5" w:rsidRPr="000B50C6">
        <w:rPr>
          <w:rFonts w:ascii="Calibri" w:hAnsi="Calibri" w:cs="Calibri"/>
          <w:sz w:val="24"/>
          <w:szCs w:val="24"/>
          <w:lang w:val="en-GB"/>
        </w:rPr>
        <w:t xml:space="preserve"> transboundary watercourses</w:t>
      </w:r>
      <w:r w:rsidRPr="000B50C6">
        <w:rPr>
          <w:rFonts w:ascii="Calibri" w:hAnsi="Calibri" w:cs="Calibri"/>
          <w:sz w:val="24"/>
          <w:szCs w:val="24"/>
          <w:lang w:val="en-GB"/>
        </w:rPr>
        <w:t xml:space="preserve"> and establishes </w:t>
      </w:r>
      <w:r w:rsidR="000E38D5" w:rsidRPr="000B50C6">
        <w:rPr>
          <w:rFonts w:ascii="Calibri" w:hAnsi="Calibri" w:cs="Calibri"/>
          <w:sz w:val="24"/>
          <w:szCs w:val="24"/>
          <w:lang w:val="en-GB"/>
        </w:rPr>
        <w:t xml:space="preserve">a </w:t>
      </w:r>
      <w:r w:rsidRPr="000B50C6">
        <w:rPr>
          <w:rFonts w:ascii="Calibri" w:hAnsi="Calibri" w:cs="Calibri"/>
          <w:sz w:val="24"/>
          <w:szCs w:val="24"/>
          <w:lang w:val="en-GB"/>
        </w:rPr>
        <w:t xml:space="preserve">Joint Commission. </w:t>
      </w:r>
    </w:p>
    <w:p w14:paraId="34E92950" w14:textId="77777777" w:rsidR="006F0496" w:rsidRPr="000B50C6" w:rsidRDefault="006F0496" w:rsidP="006F0496">
      <w:pPr>
        <w:pStyle w:val="StandardWeb"/>
        <w:rPr>
          <w:rFonts w:ascii="Calibri" w:hAnsi="Calibri" w:cs="Calibri"/>
        </w:rPr>
      </w:pPr>
      <w:r w:rsidRPr="000B50C6">
        <w:rPr>
          <w:rFonts w:ascii="Calibri" w:hAnsi="Calibri" w:cs="Calibri"/>
        </w:rPr>
        <w:t>Within the framework of the DIKTAS</w:t>
      </w:r>
      <w:r w:rsidRPr="000B50C6">
        <w:rPr>
          <w:rFonts w:ascii="Calibri" w:hAnsi="Calibri" w:cs="Calibri"/>
        </w:rPr>
        <w:noBreakHyphen/>
        <w:t xml:space="preserve">2 project, four transboundary aquifers between Croatia (HR) and Bosnia and Herzegovina (BiH) have been identified as areas of concern, namely: the Neretva TBA, the </w:t>
      </w:r>
      <w:proofErr w:type="spellStart"/>
      <w:r w:rsidRPr="000B50C6">
        <w:rPr>
          <w:rFonts w:ascii="Calibri" w:hAnsi="Calibri" w:cs="Calibri"/>
        </w:rPr>
        <w:t>Trebišnjica</w:t>
      </w:r>
      <w:proofErr w:type="spellEnd"/>
      <w:r w:rsidRPr="000B50C6">
        <w:rPr>
          <w:rFonts w:ascii="Calibri" w:hAnsi="Calibri" w:cs="Calibri"/>
        </w:rPr>
        <w:t xml:space="preserve"> TBA, the Una TBA, and the Cetina TBA.</w:t>
      </w:r>
    </w:p>
    <w:p w14:paraId="52DE604A" w14:textId="560740A6" w:rsidR="006F0496" w:rsidRPr="000B50C6" w:rsidRDefault="006F0496" w:rsidP="00D16418">
      <w:pPr>
        <w:jc w:val="both"/>
        <w:rPr>
          <w:rFonts w:ascii="Calibri" w:hAnsi="Calibri" w:cs="Calibri"/>
          <w:sz w:val="24"/>
          <w:szCs w:val="24"/>
          <w:lang w:val="en-GB"/>
        </w:rPr>
      </w:pPr>
      <w:r w:rsidRPr="000B50C6">
        <w:rPr>
          <w:rFonts w:ascii="Calibri" w:hAnsi="Calibri" w:cs="Calibri"/>
          <w:sz w:val="24"/>
          <w:szCs w:val="24"/>
          <w:lang w:val="en-GB"/>
        </w:rPr>
        <w:t>For the purposes of this analysis, documentation developed for the Una and Neretva TBAs, such as the Bilateral Groundwater Governance Diagnostic Analysis (BGGDA) for both TBAs and the Joint Action Program (JAP) for the Una TBA, ha</w:t>
      </w:r>
      <w:r w:rsidR="00537C1E" w:rsidRPr="000B50C6">
        <w:rPr>
          <w:rFonts w:ascii="Calibri" w:hAnsi="Calibri" w:cs="Calibri"/>
          <w:sz w:val="24"/>
          <w:szCs w:val="24"/>
          <w:lang w:val="en-GB"/>
        </w:rPr>
        <w:t>ve</w:t>
      </w:r>
      <w:r w:rsidRPr="000B50C6">
        <w:rPr>
          <w:rFonts w:ascii="Calibri" w:hAnsi="Calibri" w:cs="Calibri"/>
          <w:sz w:val="24"/>
          <w:szCs w:val="24"/>
          <w:lang w:val="en-GB"/>
        </w:rPr>
        <w:t xml:space="preserve"> been used.</w:t>
      </w:r>
    </w:p>
    <w:p w14:paraId="1B2FA6AF" w14:textId="77777777" w:rsidR="000B50C6" w:rsidRDefault="006D2C9D" w:rsidP="000B50C6">
      <w:pPr>
        <w:jc w:val="both"/>
        <w:rPr>
          <w:rFonts w:ascii="Calibri" w:hAnsi="Calibri" w:cs="Calibri"/>
          <w:sz w:val="24"/>
          <w:szCs w:val="24"/>
          <w:lang w:val="en-GB"/>
        </w:rPr>
      </w:pPr>
      <w:r w:rsidRPr="000B50C6">
        <w:rPr>
          <w:rFonts w:ascii="Calibri" w:hAnsi="Calibri" w:cs="Calibri"/>
          <w:sz w:val="24"/>
          <w:szCs w:val="24"/>
          <w:lang w:val="en-GB"/>
        </w:rPr>
        <w:t xml:space="preserve">The TBA Una extends across </w:t>
      </w:r>
      <w:r w:rsidR="00E637AA" w:rsidRPr="000B50C6">
        <w:rPr>
          <w:rFonts w:ascii="Calibri" w:hAnsi="Calibri" w:cs="Calibri"/>
          <w:sz w:val="24"/>
          <w:szCs w:val="24"/>
          <w:lang w:val="en-GB"/>
        </w:rPr>
        <w:t>BiH</w:t>
      </w:r>
      <w:r w:rsidRPr="000B50C6">
        <w:rPr>
          <w:rFonts w:ascii="Calibri" w:hAnsi="Calibri" w:cs="Calibri"/>
          <w:sz w:val="24"/>
          <w:szCs w:val="24"/>
          <w:lang w:val="en-GB"/>
        </w:rPr>
        <w:t xml:space="preserve"> and </w:t>
      </w:r>
      <w:r w:rsidR="00E637AA" w:rsidRPr="000B50C6">
        <w:rPr>
          <w:rFonts w:ascii="Calibri" w:hAnsi="Calibri" w:cs="Calibri"/>
          <w:sz w:val="24"/>
          <w:szCs w:val="24"/>
          <w:lang w:val="en-GB"/>
        </w:rPr>
        <w:t xml:space="preserve">HR </w:t>
      </w:r>
      <w:r w:rsidRPr="000B50C6">
        <w:rPr>
          <w:rFonts w:ascii="Calibri" w:hAnsi="Calibri" w:cs="Calibri"/>
          <w:sz w:val="24"/>
          <w:szCs w:val="24"/>
          <w:lang w:val="en-GB"/>
        </w:rPr>
        <w:t>within the Black Sea basin</w:t>
      </w:r>
      <w:r w:rsidR="0086730E" w:rsidRPr="000B50C6">
        <w:rPr>
          <w:rFonts w:ascii="Calibri" w:hAnsi="Calibri" w:cs="Calibri"/>
          <w:sz w:val="24"/>
          <w:szCs w:val="24"/>
          <w:lang w:val="en-GB"/>
        </w:rPr>
        <w:t xml:space="preserve"> occupying a predominantly</w:t>
      </w:r>
      <w:r w:rsidR="0086730E" w:rsidRPr="000C1958">
        <w:rPr>
          <w:rFonts w:ascii="Calibri" w:hAnsi="Calibri" w:cs="Calibri"/>
          <w:sz w:val="24"/>
          <w:szCs w:val="24"/>
          <w:lang w:val="en-GB"/>
        </w:rPr>
        <w:t xml:space="preserve"> karst landscape, deeply fractured and faulted, creating highly permeable aquifers with rapid groundwater circulation through conduits and fissures. Recharge occurs mainly from precipitation and sinking streams, with high infiltration rates of rainfall, while groundwater velocities can reach several centimetres per second. Groundwater from the TBA Una is a primary source of drinking water and sustains ecosystems of exceptional ecological value. These ecosystems depend on stable hydrological conditions and clean water, yet they face growing pressures from tourism, agriculture, and urban development. The hydrogeological complexity of the TBA Una, its ecological significance, and socio-economic importance require coordinated governance</w:t>
      </w:r>
      <w:r w:rsidR="0086730E" w:rsidRPr="006F0496">
        <w:rPr>
          <w:rFonts w:ascii="Calibri" w:hAnsi="Calibri" w:cs="Calibri"/>
          <w:sz w:val="24"/>
          <w:szCs w:val="24"/>
          <w:lang w:val="en-GB"/>
        </w:rPr>
        <w:t xml:space="preserve">. </w:t>
      </w:r>
      <w:r w:rsidR="006F0496" w:rsidRPr="000B50C6">
        <w:rPr>
          <w:rFonts w:ascii="Calibri" w:hAnsi="Calibri" w:cs="Calibri"/>
          <w:sz w:val="24"/>
          <w:szCs w:val="24"/>
          <w:lang w:val="en-GB"/>
        </w:rPr>
        <w:t>Although the permanent population within the aquifer area is relatively small on both sides of the border, groundwater plays a strategic role in drinking</w:t>
      </w:r>
      <w:r w:rsidR="006F0496" w:rsidRPr="000B50C6">
        <w:rPr>
          <w:rFonts w:ascii="Calibri" w:hAnsi="Calibri" w:cs="Calibri"/>
          <w:sz w:val="24"/>
          <w:szCs w:val="24"/>
          <w:lang w:val="en-GB"/>
        </w:rPr>
        <w:noBreakHyphen/>
        <w:t>water supply, tourism, and local livelihoods, particularly in BiH. The dominant drivers of groundwater vulnerability across the entire TBA include decentralized sanitation systems with high reliance on septic tanks, seasonal tourism peaks, and limited monitoring. These pressures interact with the highly sensitive karst hydrogeology</w:t>
      </w:r>
      <w:r w:rsidR="002C63EA" w:rsidRPr="000B50C6">
        <w:rPr>
          <w:rFonts w:ascii="Calibri" w:hAnsi="Calibri" w:cs="Calibri"/>
          <w:sz w:val="24"/>
          <w:szCs w:val="24"/>
          <w:lang w:val="en-GB"/>
        </w:rPr>
        <w:t xml:space="preserve">, resulting in a system with low tolerance </w:t>
      </w:r>
      <w:r w:rsidR="005579FA" w:rsidRPr="000B50C6">
        <w:rPr>
          <w:rFonts w:ascii="Calibri" w:hAnsi="Calibri" w:cs="Calibri"/>
          <w:sz w:val="24"/>
          <w:szCs w:val="24"/>
          <w:lang w:val="en-GB"/>
        </w:rPr>
        <w:t>for performance degradation.</w:t>
      </w:r>
      <w:r w:rsidR="002C63EA" w:rsidRPr="000B50C6">
        <w:rPr>
          <w:rFonts w:ascii="Calibri" w:hAnsi="Calibri" w:cs="Calibri"/>
          <w:sz w:val="24"/>
          <w:szCs w:val="24"/>
          <w:lang w:val="en-GB"/>
        </w:rPr>
        <w:t xml:space="preserve"> </w:t>
      </w:r>
    </w:p>
    <w:p w14:paraId="351B33B7" w14:textId="66C12830" w:rsidR="00D16418" w:rsidRPr="000B50C6" w:rsidRDefault="00235902" w:rsidP="000B50C6">
      <w:pPr>
        <w:jc w:val="both"/>
        <w:rPr>
          <w:rFonts w:ascii="Calibri" w:hAnsi="Calibri" w:cs="Calibri"/>
          <w:sz w:val="24"/>
          <w:szCs w:val="24"/>
          <w:lang w:val="en-GB"/>
        </w:rPr>
      </w:pPr>
      <w:proofErr w:type="spellStart"/>
      <w:r w:rsidRPr="000B50C6">
        <w:rPr>
          <w:rFonts w:ascii="Calibri" w:hAnsi="Calibri" w:cs="Calibri"/>
          <w:sz w:val="24"/>
          <w:szCs w:val="24"/>
        </w:rPr>
        <w:t>The</w:t>
      </w:r>
      <w:proofErr w:type="spellEnd"/>
      <w:r w:rsidRPr="000B50C6">
        <w:rPr>
          <w:rFonts w:ascii="Calibri" w:hAnsi="Calibri" w:cs="Calibri"/>
          <w:sz w:val="24"/>
          <w:szCs w:val="24"/>
        </w:rPr>
        <w:t xml:space="preserve"> TBA Neretva </w:t>
      </w:r>
      <w:proofErr w:type="spellStart"/>
      <w:r w:rsidRPr="000B50C6">
        <w:rPr>
          <w:rFonts w:ascii="Calibri" w:hAnsi="Calibri" w:cs="Calibri"/>
          <w:sz w:val="24"/>
          <w:szCs w:val="24"/>
        </w:rPr>
        <w:t>extends</w:t>
      </w:r>
      <w:proofErr w:type="spellEnd"/>
      <w:r w:rsidRPr="000B50C6">
        <w:rPr>
          <w:rFonts w:ascii="Calibri" w:hAnsi="Calibri" w:cs="Calibri"/>
          <w:sz w:val="24"/>
          <w:szCs w:val="24"/>
        </w:rPr>
        <w:t xml:space="preserve"> across Bosnia and Herzegovina and Croatia along the western border of Herzegovina within the Adriatic basin. It is formed in thick Mesozoic limestones and dolomites of the Dinaric karst, with fractured and cavernous rocks creating highly permeable aquifers characterized by rapid conduit flow and short residence times. Recharge occurs mainly from precipitation and sinking streams on poljes, with infiltration often exceeding sixty percent, while groundwater velocities reach several centimetres per second. Springs and coastal </w:t>
      </w:r>
      <w:proofErr w:type="spellStart"/>
      <w:r w:rsidRPr="000B50C6">
        <w:rPr>
          <w:rFonts w:ascii="Calibri" w:hAnsi="Calibri" w:cs="Calibri"/>
          <w:sz w:val="24"/>
          <w:szCs w:val="24"/>
        </w:rPr>
        <w:t>vruljas</w:t>
      </w:r>
      <w:proofErr w:type="spellEnd"/>
      <w:r w:rsidRPr="000B50C6">
        <w:rPr>
          <w:rFonts w:ascii="Calibri" w:hAnsi="Calibri" w:cs="Calibri"/>
          <w:sz w:val="24"/>
          <w:szCs w:val="24"/>
        </w:rPr>
        <w:t xml:space="preserve"> are highly sensitive to sea</w:t>
      </w:r>
      <w:r w:rsidRPr="000B50C6">
        <w:rPr>
          <w:rFonts w:ascii="Calibri" w:hAnsi="Calibri" w:cs="Calibri"/>
          <w:sz w:val="24"/>
          <w:szCs w:val="24"/>
        </w:rPr>
        <w:noBreakHyphen/>
        <w:t>level changes and salinity intrusion, reflecting strong hydrogeological connectivity. Groundwater from the TBA Neretva is the primary source of drinking water for local communities and sustains groundwater</w:t>
      </w:r>
      <w:r w:rsidRPr="000B50C6">
        <w:rPr>
          <w:rFonts w:ascii="Calibri" w:hAnsi="Calibri" w:cs="Calibri"/>
          <w:sz w:val="24"/>
          <w:szCs w:val="24"/>
        </w:rPr>
        <w:noBreakHyphen/>
        <w:t xml:space="preserve">dependent ecosystems of </w:t>
      </w:r>
      <w:r w:rsidRPr="000B50C6">
        <w:rPr>
          <w:rFonts w:ascii="Calibri" w:hAnsi="Calibri" w:cs="Calibri"/>
          <w:sz w:val="24"/>
          <w:szCs w:val="24"/>
        </w:rPr>
        <w:lastRenderedPageBreak/>
        <w:t>international importance in the Neretva delta. These ecosystems, together with semi</w:t>
      </w:r>
      <w:r w:rsidRPr="000B50C6">
        <w:rPr>
          <w:rFonts w:ascii="Calibri" w:hAnsi="Calibri" w:cs="Calibri"/>
          <w:sz w:val="24"/>
          <w:szCs w:val="24"/>
        </w:rPr>
        <w:noBreakHyphen/>
        <w:t xml:space="preserve">urban and rural settlements, face growing pressures from sanitation gaps, diffuse agricultural pollution, upstream hydropower operations, and seasonal tourism demand. </w:t>
      </w:r>
    </w:p>
    <w:p w14:paraId="2B1E937E" w14:textId="03A391C0" w:rsidR="0086730E" w:rsidRPr="000B50C6" w:rsidRDefault="00A3673F" w:rsidP="000B50C6">
      <w:pPr>
        <w:pStyle w:val="StandardWeb"/>
        <w:spacing w:after="160" w:afterAutospacing="0" w:line="259" w:lineRule="auto"/>
        <w:jc w:val="both"/>
        <w:rPr>
          <w:rFonts w:ascii="Calibri" w:hAnsi="Calibri" w:cs="Calibri"/>
        </w:rPr>
      </w:pPr>
      <w:r w:rsidRPr="000B50C6">
        <w:rPr>
          <w:rFonts w:ascii="Calibri" w:hAnsi="Calibri" w:cs="Calibri"/>
        </w:rPr>
        <w:t>As in the case of the Una TBA, t</w:t>
      </w:r>
      <w:r w:rsidR="00235902" w:rsidRPr="000B50C6">
        <w:rPr>
          <w:rFonts w:ascii="Calibri" w:hAnsi="Calibri" w:cs="Calibri"/>
        </w:rPr>
        <w:t>he hydrogeological complexity of the Neretva TBA, combined with its ecological significance and socio</w:t>
      </w:r>
      <w:r w:rsidR="00235902" w:rsidRPr="000B50C6">
        <w:rPr>
          <w:rFonts w:ascii="Calibri" w:hAnsi="Calibri" w:cs="Calibri"/>
        </w:rPr>
        <w:noBreakHyphen/>
        <w:t>economic importance, underscores the need for coordinated transboundary governance and aquifer</w:t>
      </w:r>
      <w:r w:rsidR="00235902" w:rsidRPr="000B50C6">
        <w:rPr>
          <w:rFonts w:ascii="Calibri" w:hAnsi="Calibri" w:cs="Calibri"/>
        </w:rPr>
        <w:noBreakHyphen/>
        <w:t>specific provisions within the bilateral framework.</w:t>
      </w:r>
    </w:p>
    <w:p w14:paraId="6C5C71F9" w14:textId="3C076FE3" w:rsidR="009F4AA7" w:rsidRPr="000B50C6" w:rsidRDefault="009F4AA7" w:rsidP="000B50C6">
      <w:pPr>
        <w:jc w:val="both"/>
        <w:rPr>
          <w:rFonts w:ascii="Calibri" w:hAnsi="Calibri" w:cs="Calibri"/>
          <w:sz w:val="24"/>
          <w:szCs w:val="24"/>
          <w:lang w:val="en-US"/>
        </w:rPr>
      </w:pPr>
      <w:r w:rsidRPr="000B50C6">
        <w:rPr>
          <w:rFonts w:ascii="Calibri" w:hAnsi="Calibri" w:cs="Calibri"/>
          <w:sz w:val="24"/>
          <w:szCs w:val="24"/>
          <w:lang w:val="en-US"/>
        </w:rPr>
        <w:t>The BGGDA findings</w:t>
      </w:r>
      <w:r w:rsidR="00E637AA" w:rsidRPr="000B50C6">
        <w:rPr>
          <w:rFonts w:ascii="Calibri" w:hAnsi="Calibri" w:cs="Calibri"/>
          <w:sz w:val="24"/>
          <w:szCs w:val="24"/>
          <w:lang w:val="en-US"/>
        </w:rPr>
        <w:t xml:space="preserve"> for Una and Neretva TBA</w:t>
      </w:r>
      <w:r w:rsidRPr="000B50C6">
        <w:rPr>
          <w:rFonts w:ascii="Calibri" w:hAnsi="Calibri" w:cs="Calibri"/>
          <w:sz w:val="24"/>
          <w:szCs w:val="24"/>
          <w:lang w:val="en-US"/>
        </w:rPr>
        <w:t xml:space="preserve"> highlight </w:t>
      </w:r>
      <w:r w:rsidR="00520E4D" w:rsidRPr="000B50C6">
        <w:rPr>
          <w:rFonts w:ascii="Calibri" w:hAnsi="Calibri" w:cs="Calibri"/>
          <w:sz w:val="24"/>
          <w:szCs w:val="24"/>
          <w:lang w:val="en-US"/>
        </w:rPr>
        <w:t xml:space="preserve">the differences in groundwater governance between the two countries. Mainly </w:t>
      </w:r>
      <w:r w:rsidR="00E637AA" w:rsidRPr="000B50C6">
        <w:rPr>
          <w:rFonts w:ascii="Calibri" w:hAnsi="Calibri" w:cs="Calibri"/>
          <w:sz w:val="24"/>
          <w:szCs w:val="24"/>
          <w:lang w:val="en-GB"/>
        </w:rPr>
        <w:t xml:space="preserve">HR </w:t>
      </w:r>
      <w:r w:rsidR="00520E4D" w:rsidRPr="000B50C6">
        <w:rPr>
          <w:rFonts w:ascii="Calibri" w:hAnsi="Calibri" w:cs="Calibri"/>
          <w:sz w:val="24"/>
          <w:szCs w:val="24"/>
          <w:lang w:val="en-GB"/>
        </w:rPr>
        <w:t xml:space="preserve">provides a stronger regulatory baseline, aligned on the EU framework fully transposing the WFD and the GWD, but operational enforcement should be improved further. </w:t>
      </w:r>
      <w:r w:rsidR="00E637AA" w:rsidRPr="000B50C6">
        <w:rPr>
          <w:rFonts w:ascii="Calibri" w:hAnsi="Calibri" w:cs="Calibri"/>
          <w:sz w:val="24"/>
          <w:szCs w:val="24"/>
          <w:lang w:val="en-GB"/>
        </w:rPr>
        <w:t>BiH</w:t>
      </w:r>
      <w:r w:rsidR="00520E4D" w:rsidRPr="000B50C6">
        <w:rPr>
          <w:rFonts w:ascii="Calibri" w:hAnsi="Calibri" w:cs="Calibri"/>
          <w:sz w:val="24"/>
          <w:szCs w:val="24"/>
          <w:lang w:val="en-GB"/>
        </w:rPr>
        <w:t xml:space="preserve"> </w:t>
      </w:r>
      <w:r w:rsidR="00562528" w:rsidRPr="000B50C6">
        <w:rPr>
          <w:rFonts w:ascii="Calibri" w:hAnsi="Calibri" w:cs="Calibri"/>
          <w:sz w:val="24"/>
          <w:szCs w:val="24"/>
          <w:lang w:val="en-GB"/>
        </w:rPr>
        <w:t>has highly d</w:t>
      </w:r>
      <w:r w:rsidR="003F4BEB" w:rsidRPr="000B50C6">
        <w:rPr>
          <w:rFonts w:ascii="Calibri" w:hAnsi="Calibri" w:cs="Calibri"/>
          <w:sz w:val="24"/>
          <w:szCs w:val="24"/>
          <w:lang w:val="en-GB"/>
        </w:rPr>
        <w:t>ecentralized governance between entities and cantons</w:t>
      </w:r>
      <w:r w:rsidR="003F4BEB" w:rsidRPr="000B50C6">
        <w:rPr>
          <w:rFonts w:ascii="Calibri" w:hAnsi="Calibri" w:cs="Calibri"/>
          <w:sz w:val="24"/>
          <w:szCs w:val="24"/>
        </w:rPr>
        <w:t xml:space="preserve"> </w:t>
      </w:r>
      <w:r w:rsidR="00520E4D" w:rsidRPr="000B50C6">
        <w:rPr>
          <w:rFonts w:ascii="Calibri" w:hAnsi="Calibri" w:cs="Calibri"/>
          <w:sz w:val="24"/>
          <w:szCs w:val="24"/>
          <w:lang w:val="en-GB"/>
        </w:rPr>
        <w:t xml:space="preserve">and </w:t>
      </w:r>
      <w:r w:rsidR="00562528" w:rsidRPr="000B50C6">
        <w:rPr>
          <w:rFonts w:ascii="Calibri" w:hAnsi="Calibri" w:cs="Calibri"/>
          <w:sz w:val="24"/>
          <w:szCs w:val="24"/>
          <w:lang w:val="en-GB"/>
        </w:rPr>
        <w:t xml:space="preserve">faces </w:t>
      </w:r>
      <w:r w:rsidR="00520E4D" w:rsidRPr="000B50C6">
        <w:rPr>
          <w:rFonts w:ascii="Calibri" w:hAnsi="Calibri" w:cs="Calibri"/>
          <w:sz w:val="24"/>
          <w:szCs w:val="24"/>
          <w:lang w:val="en-GB"/>
        </w:rPr>
        <w:t>under resourcing</w:t>
      </w:r>
      <w:r w:rsidR="00906D03" w:rsidRPr="000B50C6">
        <w:rPr>
          <w:rFonts w:ascii="Calibri" w:hAnsi="Calibri" w:cs="Calibri"/>
          <w:sz w:val="24"/>
          <w:szCs w:val="24"/>
          <w:lang w:val="en-GB"/>
        </w:rPr>
        <w:t>. BIH i</w:t>
      </w:r>
      <w:r w:rsidR="00520E4D" w:rsidRPr="000B50C6">
        <w:rPr>
          <w:rFonts w:ascii="Calibri" w:hAnsi="Calibri" w:cs="Calibri"/>
          <w:sz w:val="24"/>
          <w:szCs w:val="24"/>
          <w:lang w:val="en-GB"/>
        </w:rPr>
        <w:t xml:space="preserve">s </w:t>
      </w:r>
      <w:r w:rsidR="00562528" w:rsidRPr="000B50C6">
        <w:rPr>
          <w:rFonts w:ascii="Calibri" w:hAnsi="Calibri" w:cs="Calibri"/>
          <w:sz w:val="24"/>
          <w:szCs w:val="24"/>
          <w:lang w:val="en-GB"/>
        </w:rPr>
        <w:t xml:space="preserve">to high extent aligned with WFD but </w:t>
      </w:r>
      <w:r w:rsidR="00520E4D" w:rsidRPr="000B50C6">
        <w:rPr>
          <w:rFonts w:ascii="Calibri" w:hAnsi="Calibri" w:cs="Calibri"/>
          <w:sz w:val="24"/>
          <w:szCs w:val="24"/>
          <w:lang w:val="en-GB"/>
        </w:rPr>
        <w:t>only partially aligned with EU</w:t>
      </w:r>
      <w:r w:rsidR="00562528" w:rsidRPr="000B50C6">
        <w:rPr>
          <w:rFonts w:ascii="Calibri" w:hAnsi="Calibri" w:cs="Calibri"/>
          <w:sz w:val="24"/>
          <w:szCs w:val="24"/>
          <w:lang w:val="en-GB"/>
        </w:rPr>
        <w:t xml:space="preserve"> </w:t>
      </w:r>
      <w:r w:rsidR="000C1958" w:rsidRPr="000B50C6">
        <w:rPr>
          <w:rFonts w:ascii="Calibri" w:hAnsi="Calibri" w:cs="Calibri"/>
          <w:sz w:val="24"/>
          <w:szCs w:val="24"/>
          <w:lang w:val="en-GB"/>
        </w:rPr>
        <w:t>GWD.</w:t>
      </w:r>
      <w:r w:rsidR="00520E4D" w:rsidRPr="000B50C6">
        <w:rPr>
          <w:rFonts w:ascii="Calibri" w:hAnsi="Calibri" w:cs="Calibri"/>
          <w:sz w:val="24"/>
          <w:szCs w:val="24"/>
          <w:lang w:val="en-GB"/>
        </w:rPr>
        <w:t xml:space="preserve"> Important differences concern the implementation of</w:t>
      </w:r>
      <w:r w:rsidR="00E637AA" w:rsidRPr="000B50C6">
        <w:rPr>
          <w:rFonts w:ascii="Calibri" w:hAnsi="Calibri" w:cs="Calibri"/>
          <w:sz w:val="24"/>
          <w:szCs w:val="24"/>
          <w:lang w:val="en-GB"/>
        </w:rPr>
        <w:t xml:space="preserve"> criteria for delineation and protection measures for</w:t>
      </w:r>
      <w:r w:rsidR="00520E4D" w:rsidRPr="000B50C6">
        <w:rPr>
          <w:rFonts w:ascii="Calibri" w:hAnsi="Calibri" w:cs="Calibri"/>
          <w:sz w:val="24"/>
          <w:szCs w:val="24"/>
          <w:lang w:val="en-GB"/>
        </w:rPr>
        <w:t xml:space="preserve"> sanitary protection zone</w:t>
      </w:r>
      <w:r w:rsidR="00562528" w:rsidRPr="000B50C6">
        <w:rPr>
          <w:rFonts w:ascii="Calibri" w:hAnsi="Calibri" w:cs="Calibri"/>
          <w:sz w:val="24"/>
          <w:szCs w:val="24"/>
        </w:rPr>
        <w:t xml:space="preserve"> </w:t>
      </w:r>
      <w:r w:rsidR="00562528" w:rsidRPr="000B50C6">
        <w:rPr>
          <w:rFonts w:ascii="Calibri" w:hAnsi="Calibri" w:cs="Calibri"/>
          <w:sz w:val="24"/>
          <w:szCs w:val="24"/>
          <w:lang w:val="en-GB"/>
        </w:rPr>
        <w:t xml:space="preserve">in </w:t>
      </w:r>
      <w:r w:rsidR="00A3673F" w:rsidRPr="000B50C6">
        <w:rPr>
          <w:rFonts w:ascii="Calibri" w:hAnsi="Calibri" w:cs="Calibri"/>
          <w:sz w:val="24"/>
          <w:szCs w:val="24"/>
          <w:lang w:val="en-GB"/>
        </w:rPr>
        <w:t xml:space="preserve">the </w:t>
      </w:r>
      <w:r w:rsidR="00562528" w:rsidRPr="000B50C6">
        <w:rPr>
          <w:rFonts w:ascii="Calibri" w:hAnsi="Calibri" w:cs="Calibri"/>
          <w:sz w:val="24"/>
          <w:szCs w:val="24"/>
          <w:lang w:val="en-GB"/>
        </w:rPr>
        <w:t>two countries</w:t>
      </w:r>
      <w:r w:rsidR="00520E4D" w:rsidRPr="000B50C6">
        <w:rPr>
          <w:rFonts w:ascii="Calibri" w:hAnsi="Calibri" w:cs="Calibri"/>
          <w:sz w:val="24"/>
          <w:szCs w:val="24"/>
          <w:lang w:val="en-GB"/>
        </w:rPr>
        <w:t>. Monitoring remains a weakness</w:t>
      </w:r>
      <w:r w:rsidR="00562528" w:rsidRPr="000B50C6">
        <w:rPr>
          <w:rFonts w:ascii="Calibri" w:hAnsi="Calibri" w:cs="Calibri"/>
          <w:sz w:val="24"/>
          <w:szCs w:val="24"/>
          <w:lang w:val="en-GB"/>
        </w:rPr>
        <w:t xml:space="preserve"> in B&amp;H</w:t>
      </w:r>
      <w:r w:rsidR="00A70EDC" w:rsidRPr="000B50C6">
        <w:rPr>
          <w:rFonts w:ascii="Calibri" w:hAnsi="Calibri" w:cs="Calibri"/>
          <w:sz w:val="24"/>
          <w:szCs w:val="24"/>
          <w:lang w:val="en-GB"/>
        </w:rPr>
        <w:t xml:space="preserve"> as well as land use control.</w:t>
      </w:r>
      <w:r w:rsidR="00A3673F" w:rsidRPr="000B50C6">
        <w:rPr>
          <w:rFonts w:ascii="Calibri" w:hAnsi="Calibri" w:cs="Calibri"/>
          <w:sz w:val="24"/>
          <w:szCs w:val="24"/>
          <w:lang w:val="en-GB"/>
        </w:rPr>
        <w:t xml:space="preserve"> </w:t>
      </w:r>
      <w:r w:rsidRPr="000B50C6">
        <w:rPr>
          <w:rFonts w:ascii="Calibri" w:hAnsi="Calibri" w:cs="Calibri"/>
          <w:sz w:val="24"/>
          <w:szCs w:val="24"/>
          <w:lang w:val="en-US"/>
        </w:rPr>
        <w:t>In light of these findings, there is a justified need to amend or supplement the existing bilateral Agreement in order to</w:t>
      </w:r>
      <w:r w:rsidR="00D140E8" w:rsidRPr="000B50C6">
        <w:rPr>
          <w:rFonts w:ascii="Calibri" w:hAnsi="Calibri" w:cs="Calibri"/>
          <w:sz w:val="24"/>
          <w:szCs w:val="24"/>
          <w:lang w:val="en-US"/>
        </w:rPr>
        <w:t>: 1)</w:t>
      </w:r>
      <w:r w:rsidRPr="000B50C6">
        <w:rPr>
          <w:rFonts w:ascii="Calibri" w:hAnsi="Calibri" w:cs="Calibri"/>
          <w:sz w:val="24"/>
          <w:szCs w:val="24"/>
          <w:lang w:val="en-US"/>
        </w:rPr>
        <w:t xml:space="preserve"> explicitly recognize shared groundwater bodies and GDEs,</w:t>
      </w:r>
      <w:r w:rsidR="00D140E8" w:rsidRPr="000B50C6">
        <w:rPr>
          <w:rFonts w:ascii="Calibri" w:hAnsi="Calibri" w:cs="Calibri"/>
          <w:sz w:val="24"/>
          <w:szCs w:val="24"/>
          <w:lang w:val="en-US"/>
        </w:rPr>
        <w:t xml:space="preserve"> 2)</w:t>
      </w:r>
      <w:r w:rsidRPr="000B50C6">
        <w:rPr>
          <w:rFonts w:ascii="Calibri" w:hAnsi="Calibri" w:cs="Calibri"/>
          <w:sz w:val="24"/>
          <w:szCs w:val="24"/>
          <w:lang w:val="en-US"/>
        </w:rPr>
        <w:t xml:space="preserve"> establish joint monitoring and data exchange mechanisms, </w:t>
      </w:r>
      <w:r w:rsidR="00D140E8" w:rsidRPr="000B50C6">
        <w:rPr>
          <w:rFonts w:ascii="Calibri" w:hAnsi="Calibri" w:cs="Calibri"/>
          <w:sz w:val="24"/>
          <w:szCs w:val="24"/>
          <w:lang w:val="en-US"/>
        </w:rPr>
        <w:t xml:space="preserve">3) </w:t>
      </w:r>
      <w:r w:rsidRPr="000B50C6">
        <w:rPr>
          <w:rFonts w:ascii="Calibri" w:hAnsi="Calibri" w:cs="Calibri"/>
          <w:sz w:val="24"/>
          <w:szCs w:val="24"/>
          <w:lang w:val="en-US"/>
        </w:rPr>
        <w:t xml:space="preserve">coordinate cross-border sanitary protection zones (SPZ) principles in karst areas, and </w:t>
      </w:r>
      <w:r w:rsidR="00D140E8" w:rsidRPr="000B50C6">
        <w:rPr>
          <w:rFonts w:ascii="Calibri" w:hAnsi="Calibri" w:cs="Calibri"/>
          <w:sz w:val="24"/>
          <w:szCs w:val="24"/>
          <w:lang w:val="en-US"/>
        </w:rPr>
        <w:t xml:space="preserve">4) </w:t>
      </w:r>
      <w:r w:rsidRPr="000B50C6">
        <w:rPr>
          <w:rFonts w:ascii="Calibri" w:hAnsi="Calibri" w:cs="Calibri"/>
          <w:sz w:val="24"/>
          <w:szCs w:val="24"/>
          <w:lang w:val="en-US"/>
        </w:rPr>
        <w:t xml:space="preserve">institutionalize groundwater-specific cooperation under the Joint Commission framework. The development of this cooperation between </w:t>
      </w:r>
      <w:r w:rsidR="00E637AA" w:rsidRPr="000B50C6">
        <w:rPr>
          <w:rFonts w:ascii="Calibri" w:hAnsi="Calibri" w:cs="Calibri"/>
          <w:sz w:val="24"/>
          <w:szCs w:val="24"/>
          <w:lang w:val="en-US"/>
        </w:rPr>
        <w:t xml:space="preserve">HR </w:t>
      </w:r>
      <w:r w:rsidR="00A70EDC" w:rsidRPr="000B50C6">
        <w:rPr>
          <w:rFonts w:ascii="Calibri" w:hAnsi="Calibri" w:cs="Calibri"/>
          <w:sz w:val="24"/>
          <w:szCs w:val="24"/>
          <w:lang w:val="en-US"/>
        </w:rPr>
        <w:t xml:space="preserve">and </w:t>
      </w:r>
      <w:r w:rsidR="00E637AA" w:rsidRPr="000B50C6">
        <w:rPr>
          <w:rFonts w:ascii="Calibri" w:hAnsi="Calibri" w:cs="Calibri"/>
          <w:sz w:val="24"/>
          <w:szCs w:val="24"/>
          <w:lang w:val="en-US"/>
        </w:rPr>
        <w:t>BiH</w:t>
      </w:r>
      <w:r w:rsidRPr="000B50C6">
        <w:rPr>
          <w:rFonts w:ascii="Calibri" w:hAnsi="Calibri" w:cs="Calibri"/>
          <w:sz w:val="24"/>
          <w:szCs w:val="24"/>
          <w:lang w:val="en-US"/>
        </w:rPr>
        <w:t xml:space="preserve"> would take place in coordination with the Consultation and Information Exchange body, as proposed in the Draft Multilateral Agreement. </w:t>
      </w:r>
    </w:p>
    <w:p w14:paraId="318D4216" w14:textId="3DC764AC" w:rsidR="009F4AA7" w:rsidRPr="000B50C6" w:rsidRDefault="009F4AA7" w:rsidP="000B50C6">
      <w:pPr>
        <w:jc w:val="both"/>
        <w:rPr>
          <w:rFonts w:ascii="Calibri" w:hAnsi="Calibri" w:cs="Calibri"/>
          <w:sz w:val="24"/>
          <w:szCs w:val="24"/>
          <w:lang w:val="en-US"/>
        </w:rPr>
      </w:pPr>
      <w:r w:rsidRPr="000B50C6">
        <w:rPr>
          <w:rFonts w:ascii="Calibri" w:hAnsi="Calibri" w:cs="Calibri"/>
          <w:sz w:val="24"/>
          <w:szCs w:val="24"/>
          <w:lang w:val="en-US"/>
        </w:rPr>
        <w:t xml:space="preserve">This </w:t>
      </w:r>
      <w:r w:rsidR="00A70EDC" w:rsidRPr="000B50C6">
        <w:rPr>
          <w:rFonts w:ascii="Calibri" w:hAnsi="Calibri" w:cs="Calibri"/>
          <w:sz w:val="24"/>
          <w:szCs w:val="24"/>
          <w:lang w:val="en-US"/>
        </w:rPr>
        <w:t>report</w:t>
      </w:r>
      <w:r w:rsidRPr="000B50C6">
        <w:rPr>
          <w:rFonts w:ascii="Calibri" w:hAnsi="Calibri" w:cs="Calibri"/>
          <w:sz w:val="24"/>
          <w:szCs w:val="24"/>
          <w:lang w:val="en-US"/>
        </w:rPr>
        <w:t xml:space="preserve"> provides a legal-technical foundation for amending or supplementing the </w:t>
      </w:r>
      <w:r w:rsidR="00A70EDC" w:rsidRPr="000B50C6">
        <w:rPr>
          <w:rFonts w:ascii="Calibri" w:hAnsi="Calibri" w:cs="Calibri"/>
          <w:sz w:val="24"/>
          <w:szCs w:val="24"/>
          <w:lang w:val="en-US"/>
        </w:rPr>
        <w:t>1996</w:t>
      </w:r>
      <w:r w:rsidRPr="000B50C6">
        <w:rPr>
          <w:rFonts w:ascii="Calibri" w:hAnsi="Calibri" w:cs="Calibri"/>
          <w:sz w:val="24"/>
          <w:szCs w:val="24"/>
          <w:lang w:val="en-US"/>
        </w:rPr>
        <w:t xml:space="preserve"> Agreement through a dedicated Addendum or Protocol focused on transboundary groundwater governance.</w:t>
      </w:r>
    </w:p>
    <w:p w14:paraId="1BC8FB7C" w14:textId="77777777" w:rsidR="004F2AB1" w:rsidRPr="000C1958" w:rsidRDefault="004F2AB1" w:rsidP="00906D03">
      <w:pPr>
        <w:jc w:val="both"/>
        <w:rPr>
          <w:rFonts w:ascii="Calibri" w:hAnsi="Calibri" w:cs="Calibri"/>
          <w:sz w:val="24"/>
          <w:szCs w:val="24"/>
          <w:lang w:val="en-US"/>
        </w:rPr>
      </w:pPr>
    </w:p>
    <w:p w14:paraId="3C90CC39" w14:textId="3889DD7B" w:rsidR="0076514E" w:rsidRPr="000C1958" w:rsidRDefault="0076514E" w:rsidP="004F2AB1">
      <w:pPr>
        <w:pStyle w:val="Naslov1"/>
        <w:rPr>
          <w:color w:val="7030A0"/>
          <w:lang w:val="en-GB"/>
        </w:rPr>
      </w:pPr>
      <w:bookmarkStart w:id="1" w:name="_Toc229079448"/>
      <w:r w:rsidRPr="000C1958">
        <w:rPr>
          <w:lang w:val="en-GB"/>
        </w:rPr>
        <w:t>2. Purpose, Scope and Method</w:t>
      </w:r>
      <w:r w:rsidR="008C6F7D" w:rsidRPr="000C1958">
        <w:rPr>
          <w:lang w:val="en-GB"/>
        </w:rPr>
        <w:t>ology</w:t>
      </w:r>
      <w:bookmarkEnd w:id="1"/>
    </w:p>
    <w:p w14:paraId="2D5E8457" w14:textId="2A8A5A54" w:rsidR="00326D23" w:rsidRPr="000C1958" w:rsidRDefault="00326D23" w:rsidP="00906D03">
      <w:pPr>
        <w:jc w:val="both"/>
        <w:rPr>
          <w:rFonts w:ascii="Calibri" w:hAnsi="Calibri" w:cs="Calibri"/>
          <w:sz w:val="24"/>
          <w:szCs w:val="24"/>
          <w:lang w:val="en-GB"/>
        </w:rPr>
      </w:pPr>
      <w:r w:rsidRPr="000C1958">
        <w:rPr>
          <w:rFonts w:ascii="Calibri" w:hAnsi="Calibri" w:cs="Calibri"/>
          <w:sz w:val="24"/>
          <w:szCs w:val="24"/>
          <w:lang w:val="en-GB"/>
        </w:rPr>
        <w:t xml:space="preserve">The purpose of this report is to assess the 1996 water cooperation </w:t>
      </w:r>
      <w:r w:rsidR="00572CAB">
        <w:rPr>
          <w:rFonts w:ascii="Calibri" w:hAnsi="Calibri" w:cs="Calibri"/>
          <w:sz w:val="24"/>
          <w:szCs w:val="24"/>
          <w:lang w:val="en-GB"/>
        </w:rPr>
        <w:t>A</w:t>
      </w:r>
      <w:r w:rsidRPr="000C1958">
        <w:rPr>
          <w:rFonts w:ascii="Calibri" w:hAnsi="Calibri" w:cs="Calibri"/>
          <w:sz w:val="24"/>
          <w:szCs w:val="24"/>
          <w:lang w:val="en-GB"/>
        </w:rPr>
        <w:t xml:space="preserve">greement between </w:t>
      </w:r>
      <w:r w:rsidR="00D140E8">
        <w:rPr>
          <w:rFonts w:ascii="Calibri" w:hAnsi="Calibri" w:cs="Calibri"/>
          <w:sz w:val="24"/>
          <w:szCs w:val="24"/>
          <w:lang w:val="en-GB"/>
        </w:rPr>
        <w:t>BiH</w:t>
      </w:r>
      <w:r w:rsidRPr="000C1958">
        <w:rPr>
          <w:rFonts w:ascii="Calibri" w:hAnsi="Calibri" w:cs="Calibri"/>
          <w:sz w:val="24"/>
          <w:szCs w:val="24"/>
          <w:lang w:val="en-GB"/>
        </w:rPr>
        <w:t xml:space="preserve"> and </w:t>
      </w:r>
      <w:r w:rsidR="00D140E8">
        <w:rPr>
          <w:rFonts w:ascii="Calibri" w:hAnsi="Calibri" w:cs="Calibri"/>
          <w:sz w:val="24"/>
          <w:szCs w:val="24"/>
          <w:lang w:val="en-GB"/>
        </w:rPr>
        <w:t>Croatia</w:t>
      </w:r>
      <w:r w:rsidR="00D140E8" w:rsidRPr="000C1958">
        <w:rPr>
          <w:rFonts w:ascii="Calibri" w:hAnsi="Calibri" w:cs="Calibri"/>
          <w:sz w:val="24"/>
          <w:szCs w:val="24"/>
          <w:lang w:val="en-GB"/>
        </w:rPr>
        <w:t xml:space="preserve"> </w:t>
      </w:r>
      <w:r w:rsidRPr="000C1958">
        <w:rPr>
          <w:rFonts w:ascii="Calibri" w:hAnsi="Calibri" w:cs="Calibri"/>
          <w:sz w:val="24"/>
          <w:szCs w:val="24"/>
          <w:lang w:val="en-GB"/>
        </w:rPr>
        <w:t xml:space="preserve">regarding its implementation to transboundary groundwater between the two countries, and to propose based on the findings an annex or addendum focusing specifically on transboundary aquifers and related dependent ecosystems. </w:t>
      </w:r>
    </w:p>
    <w:p w14:paraId="1E07CB02" w14:textId="61E595A3" w:rsidR="00326D23" w:rsidRPr="000C1958" w:rsidRDefault="00326D23" w:rsidP="00906D03">
      <w:pPr>
        <w:jc w:val="both"/>
        <w:rPr>
          <w:rFonts w:ascii="Calibri" w:hAnsi="Calibri" w:cs="Calibri"/>
          <w:sz w:val="24"/>
          <w:szCs w:val="24"/>
          <w:lang w:val="en-GB"/>
        </w:rPr>
      </w:pPr>
      <w:r w:rsidRPr="000C1958">
        <w:rPr>
          <w:rFonts w:ascii="Calibri" w:hAnsi="Calibri" w:cs="Calibri"/>
          <w:sz w:val="24"/>
          <w:szCs w:val="24"/>
          <w:lang w:val="en-GB"/>
        </w:rPr>
        <w:t xml:space="preserve">The first step is to </w:t>
      </w:r>
      <w:r w:rsidR="000B50C6" w:rsidRPr="000C1958">
        <w:rPr>
          <w:rFonts w:ascii="Calibri" w:hAnsi="Calibri" w:cs="Calibri"/>
          <w:sz w:val="24"/>
          <w:szCs w:val="24"/>
          <w:lang w:val="en-GB"/>
        </w:rPr>
        <w:t>analyse</w:t>
      </w:r>
      <w:r w:rsidRPr="000C1958">
        <w:rPr>
          <w:rFonts w:ascii="Calibri" w:hAnsi="Calibri" w:cs="Calibri"/>
          <w:sz w:val="24"/>
          <w:szCs w:val="24"/>
          <w:lang w:val="en-GB"/>
        </w:rPr>
        <w:t xml:space="preserve"> the provisions and principles of th</w:t>
      </w:r>
      <w:r w:rsidR="006979B2" w:rsidRPr="000C1958">
        <w:rPr>
          <w:rFonts w:ascii="Calibri" w:hAnsi="Calibri" w:cs="Calibri"/>
          <w:sz w:val="24"/>
          <w:szCs w:val="24"/>
          <w:lang w:val="en-GB"/>
        </w:rPr>
        <w:t>is</w:t>
      </w:r>
      <w:r w:rsidRPr="000C1958">
        <w:rPr>
          <w:rFonts w:ascii="Calibri" w:hAnsi="Calibri" w:cs="Calibri"/>
          <w:sz w:val="24"/>
          <w:szCs w:val="24"/>
          <w:lang w:val="en-GB"/>
        </w:rPr>
        <w:t xml:space="preserve"> water cooperation and their possible application to the specific characteristics of transboundary </w:t>
      </w:r>
      <w:r w:rsidR="000B50C6" w:rsidRPr="000C1958">
        <w:rPr>
          <w:rFonts w:ascii="Calibri" w:hAnsi="Calibri" w:cs="Calibri"/>
          <w:sz w:val="24"/>
          <w:szCs w:val="24"/>
          <w:lang w:val="en-GB"/>
        </w:rPr>
        <w:t>aquifers and</w:t>
      </w:r>
      <w:r w:rsidRPr="000C1958">
        <w:rPr>
          <w:rFonts w:ascii="Calibri" w:hAnsi="Calibri" w:cs="Calibri"/>
          <w:sz w:val="24"/>
          <w:szCs w:val="24"/>
          <w:lang w:val="en-GB"/>
        </w:rPr>
        <w:t xml:space="preserve"> highlighting the gaps. These findings will be compared with the conclusions from the Bilateral Groundwater Governance Diagnostic Analysis for the transboundary aquifer </w:t>
      </w:r>
      <w:r w:rsidR="006979B2" w:rsidRPr="000C1958">
        <w:rPr>
          <w:rFonts w:ascii="Calibri" w:hAnsi="Calibri" w:cs="Calibri"/>
          <w:sz w:val="24"/>
          <w:szCs w:val="24"/>
          <w:lang w:val="en-GB"/>
        </w:rPr>
        <w:t>Una</w:t>
      </w:r>
      <w:r w:rsidR="00D140E8">
        <w:rPr>
          <w:rFonts w:ascii="Calibri" w:hAnsi="Calibri" w:cs="Calibri"/>
          <w:sz w:val="24"/>
          <w:szCs w:val="24"/>
          <w:lang w:val="en-GB"/>
        </w:rPr>
        <w:t xml:space="preserve"> and Neretva</w:t>
      </w:r>
      <w:r w:rsidRPr="000C1958">
        <w:rPr>
          <w:rFonts w:ascii="Calibri" w:hAnsi="Calibri" w:cs="Calibri"/>
          <w:sz w:val="24"/>
          <w:szCs w:val="24"/>
          <w:lang w:val="en-GB"/>
        </w:rPr>
        <w:t>. This comparison will allow to identify</w:t>
      </w:r>
      <w:r w:rsidR="008D7405">
        <w:rPr>
          <w:rFonts w:ascii="Calibri" w:hAnsi="Calibri" w:cs="Calibri"/>
          <w:sz w:val="24"/>
          <w:szCs w:val="24"/>
          <w:lang w:val="en-GB"/>
        </w:rPr>
        <w:t xml:space="preserve"> </w:t>
      </w:r>
      <w:r w:rsidR="008D7405" w:rsidRPr="00201D1D">
        <w:rPr>
          <w:rFonts w:ascii="Calibri" w:hAnsi="Calibri" w:cs="Calibri"/>
          <w:sz w:val="24"/>
          <w:szCs w:val="24"/>
          <w:lang w:val="en-GB"/>
        </w:rPr>
        <w:t xml:space="preserve">more specific provisions and measures which would need to apply to the </w:t>
      </w:r>
      <w:r w:rsidR="008D7405">
        <w:rPr>
          <w:rFonts w:ascii="Calibri" w:hAnsi="Calibri" w:cs="Calibri"/>
          <w:sz w:val="24"/>
          <w:szCs w:val="24"/>
          <w:lang w:val="en-GB"/>
        </w:rPr>
        <w:t xml:space="preserve">transboundary aquifers between the two countries such as </w:t>
      </w:r>
      <w:r w:rsidR="00D140E8">
        <w:rPr>
          <w:rFonts w:ascii="Calibri" w:hAnsi="Calibri" w:cs="Calibri"/>
          <w:sz w:val="24"/>
          <w:szCs w:val="24"/>
          <w:lang w:val="en-GB"/>
        </w:rPr>
        <w:t xml:space="preserve">the harmonization principles and concepts for issues 1-4 defined </w:t>
      </w:r>
      <w:r w:rsidR="008D7405">
        <w:rPr>
          <w:rFonts w:ascii="Calibri" w:hAnsi="Calibri" w:cs="Calibri"/>
          <w:sz w:val="24"/>
          <w:szCs w:val="24"/>
          <w:lang w:val="en-GB"/>
        </w:rPr>
        <w:t xml:space="preserve">below, based on the cases of Una and Neretva. Such provisions </w:t>
      </w:r>
      <w:r w:rsidRPr="000C1958">
        <w:rPr>
          <w:rFonts w:ascii="Calibri" w:hAnsi="Calibri" w:cs="Calibri"/>
          <w:sz w:val="24"/>
          <w:szCs w:val="24"/>
          <w:lang w:val="en-GB"/>
        </w:rPr>
        <w:t>do not need to be included in a formal amendment of the bilateral agreement</w:t>
      </w:r>
      <w:r w:rsidR="000B50C6">
        <w:rPr>
          <w:rFonts w:ascii="Calibri" w:hAnsi="Calibri" w:cs="Calibri"/>
          <w:sz w:val="24"/>
          <w:szCs w:val="24"/>
          <w:lang w:val="en-GB"/>
        </w:rPr>
        <w:t>.</w:t>
      </w:r>
      <w:r w:rsidRPr="000C1958">
        <w:rPr>
          <w:rFonts w:ascii="Calibri" w:hAnsi="Calibri" w:cs="Calibri"/>
          <w:sz w:val="24"/>
          <w:szCs w:val="24"/>
          <w:lang w:val="en-GB"/>
        </w:rPr>
        <w:t xml:space="preserve"> </w:t>
      </w:r>
      <w:r w:rsidR="000B50C6">
        <w:rPr>
          <w:rFonts w:ascii="Calibri" w:hAnsi="Calibri" w:cs="Calibri"/>
          <w:sz w:val="24"/>
          <w:szCs w:val="24"/>
          <w:lang w:val="en-GB"/>
        </w:rPr>
        <w:lastRenderedPageBreak/>
        <w:t>S</w:t>
      </w:r>
      <w:r w:rsidR="00D140E8" w:rsidRPr="00D140E8">
        <w:rPr>
          <w:rFonts w:ascii="Calibri" w:hAnsi="Calibri" w:cs="Calibri"/>
          <w:sz w:val="24"/>
          <w:szCs w:val="24"/>
          <w:lang w:val="en-GB"/>
        </w:rPr>
        <w:t xml:space="preserve">pecific and operational measures </w:t>
      </w:r>
      <w:r w:rsidR="008D7405">
        <w:rPr>
          <w:rFonts w:ascii="Calibri" w:hAnsi="Calibri" w:cs="Calibri"/>
          <w:sz w:val="24"/>
          <w:szCs w:val="24"/>
          <w:lang w:val="en-GB"/>
        </w:rPr>
        <w:t xml:space="preserve">for transboundary aquifers </w:t>
      </w:r>
      <w:r w:rsidR="00D140E8" w:rsidRPr="00D140E8">
        <w:rPr>
          <w:rFonts w:ascii="Calibri" w:hAnsi="Calibri" w:cs="Calibri"/>
          <w:sz w:val="24"/>
          <w:szCs w:val="24"/>
          <w:lang w:val="en-GB"/>
        </w:rPr>
        <w:t>may be set out in an annex or addendum to the bilateral agreement, which would be subject to simpler and less burdensome formal requirements for their application.</w:t>
      </w:r>
      <w:r w:rsidRPr="000C1958">
        <w:rPr>
          <w:rFonts w:ascii="Calibri" w:hAnsi="Calibri" w:cs="Calibri"/>
          <w:sz w:val="24"/>
          <w:szCs w:val="24"/>
          <w:lang w:val="en-GB"/>
        </w:rPr>
        <w:t xml:space="preserve"> </w:t>
      </w:r>
    </w:p>
    <w:p w14:paraId="6B58165B" w14:textId="3C50CDFE" w:rsidR="00326D23" w:rsidRPr="000C1958" w:rsidRDefault="00326D23" w:rsidP="00906D03">
      <w:pPr>
        <w:jc w:val="both"/>
        <w:rPr>
          <w:rFonts w:ascii="Calibri" w:hAnsi="Calibri" w:cs="Calibri"/>
          <w:sz w:val="24"/>
          <w:szCs w:val="24"/>
          <w:lang w:val="en-GB"/>
        </w:rPr>
      </w:pPr>
    </w:p>
    <w:p w14:paraId="3D3B3E66" w14:textId="54510CBC" w:rsidR="0076514E" w:rsidRPr="000C1958" w:rsidRDefault="0076514E" w:rsidP="004F2AB1">
      <w:pPr>
        <w:pStyle w:val="Naslov1"/>
        <w:rPr>
          <w:color w:val="7030A0"/>
          <w:lang w:val="en-GB"/>
        </w:rPr>
      </w:pPr>
      <w:bookmarkStart w:id="2" w:name="_Toc229079449"/>
      <w:r w:rsidRPr="000C1958">
        <w:rPr>
          <w:lang w:val="en-GB"/>
        </w:rPr>
        <w:t>3. Current Bilateral Framework (1996 Agreement)</w:t>
      </w:r>
      <w:bookmarkEnd w:id="2"/>
      <w:r w:rsidRPr="000C1958">
        <w:rPr>
          <w:lang w:val="en-GB"/>
        </w:rPr>
        <w:t xml:space="preserve"> </w:t>
      </w:r>
    </w:p>
    <w:p w14:paraId="46B4BC0D" w14:textId="08B54794" w:rsidR="00BF2CBC" w:rsidRPr="000C1958" w:rsidRDefault="00AF67F5" w:rsidP="00906D03">
      <w:pPr>
        <w:jc w:val="both"/>
        <w:rPr>
          <w:rFonts w:ascii="Calibri" w:hAnsi="Calibri" w:cs="Calibri"/>
          <w:sz w:val="24"/>
          <w:szCs w:val="24"/>
          <w:lang w:val="en-GB"/>
        </w:rPr>
      </w:pPr>
      <w:r w:rsidRPr="000C1958">
        <w:rPr>
          <w:rFonts w:ascii="Calibri" w:hAnsi="Calibri" w:cs="Calibri"/>
          <w:sz w:val="24"/>
          <w:szCs w:val="24"/>
          <w:lang w:val="en-GB"/>
        </w:rPr>
        <w:t xml:space="preserve">The </w:t>
      </w:r>
      <w:r w:rsidR="00572CAB">
        <w:rPr>
          <w:rFonts w:ascii="Calibri" w:hAnsi="Calibri" w:cs="Calibri"/>
          <w:sz w:val="24"/>
          <w:szCs w:val="24"/>
          <w:lang w:val="en-GB"/>
        </w:rPr>
        <w:t>A</w:t>
      </w:r>
      <w:r w:rsidRPr="000C1958">
        <w:rPr>
          <w:rFonts w:ascii="Calibri" w:hAnsi="Calibri" w:cs="Calibri"/>
          <w:sz w:val="24"/>
          <w:szCs w:val="24"/>
          <w:lang w:val="en-GB"/>
        </w:rPr>
        <w:t xml:space="preserve">greement between </w:t>
      </w:r>
      <w:r w:rsidR="00572CAB">
        <w:rPr>
          <w:rFonts w:ascii="Calibri" w:hAnsi="Calibri" w:cs="Calibri"/>
          <w:sz w:val="24"/>
          <w:szCs w:val="24"/>
          <w:lang w:val="en-GB"/>
        </w:rPr>
        <w:t>BiH</w:t>
      </w:r>
      <w:r w:rsidRPr="000C1958">
        <w:rPr>
          <w:rFonts w:ascii="Calibri" w:hAnsi="Calibri" w:cs="Calibri"/>
          <w:sz w:val="24"/>
          <w:szCs w:val="24"/>
          <w:lang w:val="en-GB"/>
        </w:rPr>
        <w:t xml:space="preserve"> and </w:t>
      </w:r>
      <w:r w:rsidR="00572CAB">
        <w:rPr>
          <w:rFonts w:ascii="Calibri" w:hAnsi="Calibri" w:cs="Calibri"/>
          <w:sz w:val="24"/>
          <w:szCs w:val="24"/>
          <w:lang w:val="en-GB"/>
        </w:rPr>
        <w:t>HR</w:t>
      </w:r>
      <w:r w:rsidR="00572CAB" w:rsidRPr="000C1958">
        <w:rPr>
          <w:rFonts w:ascii="Calibri" w:hAnsi="Calibri" w:cs="Calibri"/>
          <w:sz w:val="24"/>
          <w:szCs w:val="24"/>
          <w:lang w:val="en-GB"/>
        </w:rPr>
        <w:t xml:space="preserve"> </w:t>
      </w:r>
      <w:r w:rsidRPr="000C1958">
        <w:rPr>
          <w:rFonts w:ascii="Calibri" w:hAnsi="Calibri" w:cs="Calibri"/>
          <w:sz w:val="24"/>
          <w:szCs w:val="24"/>
          <w:lang w:val="en-GB"/>
        </w:rPr>
        <w:t>is based on the Convention on the Protection and Use of Transboundary Watercourses and International Lakes (1992</w:t>
      </w:r>
      <w:r w:rsidR="00843376" w:rsidRPr="000C1958">
        <w:rPr>
          <w:rFonts w:ascii="Calibri" w:hAnsi="Calibri" w:cs="Calibri"/>
          <w:sz w:val="24"/>
          <w:szCs w:val="24"/>
          <w:lang w:val="en-GB"/>
        </w:rPr>
        <w:t>)</w:t>
      </w:r>
      <w:r w:rsidRPr="000C1958">
        <w:rPr>
          <w:rFonts w:ascii="Calibri" w:hAnsi="Calibri" w:cs="Calibri"/>
          <w:sz w:val="24"/>
          <w:szCs w:val="24"/>
          <w:lang w:val="en-GB"/>
        </w:rPr>
        <w:t xml:space="preserve"> (</w:t>
      </w:r>
      <w:r w:rsidR="00843376" w:rsidRPr="000C1958">
        <w:rPr>
          <w:rFonts w:ascii="Calibri" w:hAnsi="Calibri" w:cs="Calibri"/>
          <w:sz w:val="24"/>
          <w:szCs w:val="24"/>
          <w:lang w:val="en-GB"/>
        </w:rPr>
        <w:t>Water</w:t>
      </w:r>
      <w:r w:rsidRPr="000C1958">
        <w:rPr>
          <w:rFonts w:ascii="Calibri" w:hAnsi="Calibri" w:cs="Calibri"/>
          <w:sz w:val="24"/>
          <w:szCs w:val="24"/>
          <w:lang w:val="en-GB"/>
        </w:rPr>
        <w:t xml:space="preserve"> Convention)</w:t>
      </w:r>
      <w:r w:rsidR="00843376" w:rsidRPr="000C1958">
        <w:rPr>
          <w:rStyle w:val="Referencafusnote"/>
          <w:rFonts w:ascii="Calibri" w:hAnsi="Calibri" w:cs="Calibri"/>
          <w:sz w:val="24"/>
          <w:szCs w:val="24"/>
          <w:lang w:val="en-GB"/>
        </w:rPr>
        <w:footnoteReference w:id="1"/>
      </w:r>
      <w:r w:rsidR="00BF2CBC" w:rsidRPr="000C1958">
        <w:rPr>
          <w:rFonts w:ascii="Calibri" w:hAnsi="Calibri" w:cs="Calibri"/>
          <w:sz w:val="24"/>
          <w:szCs w:val="24"/>
          <w:lang w:val="en-GB"/>
        </w:rPr>
        <w:t>. It is the only instrument to which this agreement refers.</w:t>
      </w:r>
    </w:p>
    <w:p w14:paraId="55BDDDAB" w14:textId="3288E0F8" w:rsidR="00BF2CBC" w:rsidRPr="000C1958" w:rsidRDefault="00BF2CBC" w:rsidP="00906D03">
      <w:pPr>
        <w:jc w:val="both"/>
        <w:rPr>
          <w:rFonts w:ascii="Calibri" w:hAnsi="Calibri" w:cs="Calibri"/>
          <w:sz w:val="24"/>
          <w:szCs w:val="24"/>
          <w:lang w:val="en-GB"/>
        </w:rPr>
      </w:pPr>
      <w:r w:rsidRPr="000C1958">
        <w:rPr>
          <w:rFonts w:ascii="Calibri" w:hAnsi="Calibri" w:cs="Calibri"/>
          <w:sz w:val="24"/>
          <w:szCs w:val="24"/>
          <w:lang w:val="en-GB"/>
        </w:rPr>
        <w:t xml:space="preserve">With this </w:t>
      </w:r>
      <w:r w:rsidR="00572CAB">
        <w:rPr>
          <w:rFonts w:ascii="Calibri" w:hAnsi="Calibri" w:cs="Calibri"/>
          <w:sz w:val="24"/>
          <w:szCs w:val="24"/>
          <w:lang w:val="en-GB"/>
        </w:rPr>
        <w:t>A</w:t>
      </w:r>
      <w:r w:rsidRPr="000C1958">
        <w:rPr>
          <w:rFonts w:ascii="Calibri" w:hAnsi="Calibri" w:cs="Calibri"/>
          <w:sz w:val="24"/>
          <w:szCs w:val="24"/>
          <w:lang w:val="en-GB"/>
        </w:rPr>
        <w:t>greement</w:t>
      </w:r>
      <w:r w:rsidR="0030781F" w:rsidRPr="000C1958">
        <w:rPr>
          <w:rFonts w:ascii="Calibri" w:hAnsi="Calibri" w:cs="Calibri"/>
          <w:sz w:val="24"/>
          <w:szCs w:val="24"/>
          <w:lang w:val="en-GB"/>
        </w:rPr>
        <w:t>,</w:t>
      </w:r>
      <w:r w:rsidRPr="000C1958">
        <w:rPr>
          <w:rFonts w:ascii="Calibri" w:hAnsi="Calibri" w:cs="Calibri"/>
          <w:sz w:val="24"/>
          <w:szCs w:val="24"/>
          <w:lang w:val="en-GB"/>
        </w:rPr>
        <w:t xml:space="preserve"> </w:t>
      </w:r>
      <w:r w:rsidR="00572CAB">
        <w:rPr>
          <w:rFonts w:ascii="Calibri" w:hAnsi="Calibri" w:cs="Calibri"/>
          <w:sz w:val="24"/>
          <w:szCs w:val="24"/>
          <w:lang w:val="en-GB"/>
        </w:rPr>
        <w:t>BiH</w:t>
      </w:r>
      <w:r w:rsidRPr="000C1958">
        <w:rPr>
          <w:rFonts w:ascii="Calibri" w:hAnsi="Calibri" w:cs="Calibri"/>
          <w:sz w:val="24"/>
          <w:szCs w:val="24"/>
          <w:lang w:val="en-GB"/>
        </w:rPr>
        <w:t xml:space="preserve"> and </w:t>
      </w:r>
      <w:r w:rsidR="00572CAB">
        <w:rPr>
          <w:rFonts w:ascii="Calibri" w:hAnsi="Calibri" w:cs="Calibri"/>
          <w:sz w:val="24"/>
          <w:szCs w:val="24"/>
          <w:lang w:val="en-GB"/>
        </w:rPr>
        <w:t>HR</w:t>
      </w:r>
      <w:r w:rsidR="00572CAB" w:rsidRPr="000C1958">
        <w:rPr>
          <w:rFonts w:ascii="Calibri" w:hAnsi="Calibri" w:cs="Calibri"/>
          <w:sz w:val="24"/>
          <w:szCs w:val="24"/>
          <w:lang w:val="en-GB"/>
        </w:rPr>
        <w:t xml:space="preserve"> </w:t>
      </w:r>
      <w:r w:rsidR="00E34121" w:rsidRPr="000C1958">
        <w:rPr>
          <w:rFonts w:ascii="Calibri" w:hAnsi="Calibri" w:cs="Calibri"/>
          <w:sz w:val="24"/>
          <w:szCs w:val="24"/>
          <w:lang w:val="en-GB"/>
        </w:rPr>
        <w:t xml:space="preserve">recognize that it is necessary to establish activities and measures for the management of their waters of mutual interest. The national competent authorities in water management shall </w:t>
      </w:r>
      <w:r w:rsidR="008B60C6" w:rsidRPr="000C1958">
        <w:rPr>
          <w:rFonts w:ascii="Calibri" w:hAnsi="Calibri" w:cs="Calibri"/>
          <w:sz w:val="24"/>
          <w:szCs w:val="24"/>
          <w:lang w:val="en-GB"/>
        </w:rPr>
        <w:t>initiate</w:t>
      </w:r>
      <w:r w:rsidR="00E34121" w:rsidRPr="000C1958">
        <w:rPr>
          <w:rFonts w:ascii="Calibri" w:hAnsi="Calibri" w:cs="Calibri"/>
          <w:sz w:val="24"/>
          <w:szCs w:val="24"/>
          <w:lang w:val="en-GB"/>
        </w:rPr>
        <w:t xml:space="preserve"> the </w:t>
      </w:r>
      <w:r w:rsidR="008B60C6" w:rsidRPr="000C1958">
        <w:rPr>
          <w:rFonts w:ascii="Calibri" w:hAnsi="Calibri" w:cs="Calibri"/>
          <w:sz w:val="24"/>
          <w:szCs w:val="24"/>
          <w:lang w:val="en-GB"/>
        </w:rPr>
        <w:t xml:space="preserve">required steps for cooperation on water management through direct contacts between themselves to carry out cooperation activities. </w:t>
      </w:r>
    </w:p>
    <w:p w14:paraId="061F569E" w14:textId="3FF3E40B" w:rsidR="009A1B7A" w:rsidRPr="000C1958" w:rsidRDefault="008B60C6" w:rsidP="00906D03">
      <w:pPr>
        <w:jc w:val="both"/>
        <w:rPr>
          <w:rFonts w:ascii="Calibri" w:hAnsi="Calibri" w:cs="Calibri"/>
          <w:sz w:val="24"/>
          <w:szCs w:val="24"/>
          <w:lang w:val="en-GB"/>
        </w:rPr>
      </w:pPr>
      <w:r w:rsidRPr="000C1958">
        <w:rPr>
          <w:rFonts w:ascii="Calibri" w:hAnsi="Calibri" w:cs="Calibri"/>
          <w:sz w:val="24"/>
          <w:szCs w:val="24"/>
          <w:lang w:val="en-GB"/>
        </w:rPr>
        <w:t>Th</w:t>
      </w:r>
      <w:r w:rsidR="002A0AEE" w:rsidRPr="000C1958">
        <w:rPr>
          <w:rFonts w:ascii="Calibri" w:hAnsi="Calibri" w:cs="Calibri"/>
          <w:sz w:val="24"/>
          <w:szCs w:val="24"/>
          <w:lang w:val="en-GB"/>
        </w:rPr>
        <w:t xml:space="preserve">e </w:t>
      </w:r>
      <w:r w:rsidR="00572CAB">
        <w:rPr>
          <w:rFonts w:ascii="Calibri" w:hAnsi="Calibri" w:cs="Calibri"/>
          <w:sz w:val="24"/>
          <w:szCs w:val="24"/>
          <w:lang w:val="en-GB"/>
        </w:rPr>
        <w:t>A</w:t>
      </w:r>
      <w:r w:rsidR="002A0AEE" w:rsidRPr="000C1958">
        <w:rPr>
          <w:rFonts w:ascii="Calibri" w:hAnsi="Calibri" w:cs="Calibri"/>
          <w:sz w:val="24"/>
          <w:szCs w:val="24"/>
          <w:lang w:val="en-GB"/>
        </w:rPr>
        <w:t xml:space="preserve">greement does </w:t>
      </w:r>
      <w:r w:rsidR="009A1B7A" w:rsidRPr="000C1958">
        <w:rPr>
          <w:rFonts w:ascii="Calibri" w:hAnsi="Calibri" w:cs="Calibri"/>
          <w:sz w:val="24"/>
          <w:szCs w:val="24"/>
          <w:lang w:val="en-GB"/>
        </w:rPr>
        <w:t xml:space="preserve">not mention </w:t>
      </w:r>
      <w:r w:rsidR="00A3673F">
        <w:rPr>
          <w:rFonts w:ascii="Calibri" w:hAnsi="Calibri" w:cs="Calibri"/>
          <w:sz w:val="24"/>
          <w:szCs w:val="24"/>
          <w:lang w:val="en-GB"/>
        </w:rPr>
        <w:t xml:space="preserve">the </w:t>
      </w:r>
      <w:r w:rsidR="009A1B7A" w:rsidRPr="000C1958">
        <w:rPr>
          <w:rFonts w:ascii="Calibri" w:hAnsi="Calibri" w:cs="Calibri"/>
          <w:sz w:val="24"/>
          <w:szCs w:val="24"/>
          <w:lang w:val="en-GB"/>
        </w:rPr>
        <w:t xml:space="preserve">specific authorities to play a role in transboundary water cooperation leaving a flexibility and an </w:t>
      </w:r>
      <w:r w:rsidR="0030781F" w:rsidRPr="000C1958">
        <w:rPr>
          <w:rFonts w:ascii="Calibri" w:hAnsi="Calibri" w:cs="Calibri"/>
          <w:sz w:val="24"/>
          <w:szCs w:val="24"/>
          <w:lang w:val="en-GB"/>
        </w:rPr>
        <w:t>openness</w:t>
      </w:r>
      <w:r w:rsidR="009A1B7A" w:rsidRPr="000C1958">
        <w:rPr>
          <w:rFonts w:ascii="Calibri" w:hAnsi="Calibri" w:cs="Calibri"/>
          <w:sz w:val="24"/>
          <w:szCs w:val="24"/>
          <w:lang w:val="en-GB"/>
        </w:rPr>
        <w:t xml:space="preserve"> at the level of the countries. </w:t>
      </w:r>
      <w:r w:rsidR="00572CAB" w:rsidRPr="000C1958">
        <w:rPr>
          <w:rFonts w:ascii="Calibri" w:hAnsi="Calibri" w:cs="Calibri"/>
          <w:sz w:val="24"/>
          <w:szCs w:val="24"/>
          <w:lang w:val="en-GB"/>
        </w:rPr>
        <w:t>Therefore,</w:t>
      </w:r>
      <w:r w:rsidR="0030781F" w:rsidRPr="000C1958">
        <w:rPr>
          <w:rFonts w:ascii="Calibri" w:hAnsi="Calibri" w:cs="Calibri"/>
          <w:sz w:val="24"/>
          <w:szCs w:val="24"/>
          <w:lang w:val="en-GB"/>
        </w:rPr>
        <w:t xml:space="preserve"> according to this provision, and based on the institutional framework of the two countries derived from the </w:t>
      </w:r>
      <w:r w:rsidR="00107F64">
        <w:rPr>
          <w:rFonts w:ascii="Calibri" w:hAnsi="Calibri" w:cs="Calibri"/>
          <w:sz w:val="24"/>
          <w:szCs w:val="24"/>
          <w:lang w:val="en-GB"/>
        </w:rPr>
        <w:t xml:space="preserve">Bilateral </w:t>
      </w:r>
      <w:r w:rsidR="0030781F" w:rsidRPr="000C1958">
        <w:rPr>
          <w:rFonts w:ascii="Calibri" w:hAnsi="Calibri" w:cs="Calibri"/>
          <w:sz w:val="24"/>
          <w:szCs w:val="24"/>
          <w:lang w:val="en-GB"/>
        </w:rPr>
        <w:t>Groundwater Governance Diagnostic Analysis</w:t>
      </w:r>
      <w:r w:rsidR="00572CAB">
        <w:rPr>
          <w:rFonts w:ascii="Calibri" w:hAnsi="Calibri" w:cs="Calibri"/>
          <w:sz w:val="24"/>
          <w:szCs w:val="24"/>
          <w:lang w:val="en-GB"/>
        </w:rPr>
        <w:t xml:space="preserve"> for Una and </w:t>
      </w:r>
      <w:r w:rsidR="00107F64">
        <w:rPr>
          <w:rFonts w:ascii="Calibri" w:hAnsi="Calibri" w:cs="Calibri"/>
          <w:sz w:val="24"/>
          <w:szCs w:val="24"/>
          <w:lang w:val="en-GB"/>
        </w:rPr>
        <w:t xml:space="preserve">for </w:t>
      </w:r>
      <w:r w:rsidR="00572CAB">
        <w:rPr>
          <w:rFonts w:ascii="Calibri" w:hAnsi="Calibri" w:cs="Calibri"/>
          <w:sz w:val="24"/>
          <w:szCs w:val="24"/>
          <w:lang w:val="en-GB"/>
        </w:rPr>
        <w:t>Neretva TBA</w:t>
      </w:r>
      <w:r w:rsidR="0030781F" w:rsidRPr="000C1958">
        <w:rPr>
          <w:rFonts w:ascii="Calibri" w:hAnsi="Calibri" w:cs="Calibri"/>
          <w:sz w:val="24"/>
          <w:szCs w:val="24"/>
          <w:lang w:val="en-GB"/>
        </w:rPr>
        <w:t>, the following institutions could be involved:</w:t>
      </w:r>
    </w:p>
    <w:p w14:paraId="6E851198" w14:textId="0A806080" w:rsidR="00864192" w:rsidRPr="000C1958" w:rsidRDefault="00A87002" w:rsidP="00906D03">
      <w:pPr>
        <w:pStyle w:val="Odlomakpopisa"/>
        <w:numPr>
          <w:ilvl w:val="0"/>
          <w:numId w:val="4"/>
        </w:numPr>
        <w:jc w:val="both"/>
        <w:rPr>
          <w:rFonts w:ascii="Calibri" w:hAnsi="Calibri" w:cs="Calibri"/>
          <w:sz w:val="24"/>
          <w:szCs w:val="24"/>
          <w:lang w:val="en-GB"/>
        </w:rPr>
      </w:pPr>
      <w:r w:rsidRPr="000C1958">
        <w:rPr>
          <w:rFonts w:ascii="Calibri" w:hAnsi="Calibri" w:cs="Calibri"/>
          <w:sz w:val="24"/>
          <w:szCs w:val="24"/>
          <w:lang w:val="en-GB"/>
        </w:rPr>
        <w:t xml:space="preserve">In </w:t>
      </w:r>
      <w:r w:rsidR="00572CAB">
        <w:rPr>
          <w:rFonts w:ascii="Calibri" w:hAnsi="Calibri" w:cs="Calibri"/>
          <w:sz w:val="24"/>
          <w:szCs w:val="24"/>
          <w:lang w:val="en-GB"/>
        </w:rPr>
        <w:t>BiH</w:t>
      </w:r>
      <w:r w:rsidRPr="000C1958">
        <w:rPr>
          <w:rFonts w:ascii="Calibri" w:hAnsi="Calibri" w:cs="Calibri"/>
          <w:sz w:val="24"/>
          <w:szCs w:val="24"/>
          <w:lang w:val="en-GB"/>
        </w:rPr>
        <w:t>: at the level of the entities,</w:t>
      </w:r>
      <w:r w:rsidR="00864192" w:rsidRPr="000C1958">
        <w:rPr>
          <w:rFonts w:ascii="Calibri" w:hAnsi="Calibri" w:cs="Calibri"/>
          <w:sz w:val="24"/>
          <w:szCs w:val="24"/>
          <w:lang w:val="en-GB"/>
        </w:rPr>
        <w:t xml:space="preserve"> entities Ministries responsible for water issues, </w:t>
      </w:r>
      <w:r w:rsidRPr="000C1958">
        <w:rPr>
          <w:rFonts w:ascii="Calibri" w:hAnsi="Calibri" w:cs="Calibri"/>
          <w:sz w:val="24"/>
          <w:szCs w:val="24"/>
          <w:lang w:val="en-GB"/>
        </w:rPr>
        <w:t xml:space="preserve"> the water agencies or institution</w:t>
      </w:r>
      <w:r w:rsidR="00F00B9F" w:rsidRPr="000C1958">
        <w:rPr>
          <w:rFonts w:ascii="Calibri" w:hAnsi="Calibri" w:cs="Calibri"/>
          <w:sz w:val="24"/>
          <w:szCs w:val="24"/>
          <w:lang w:val="en-GB"/>
        </w:rPr>
        <w:t xml:space="preserve"> </w:t>
      </w:r>
      <w:r w:rsidR="00214E54" w:rsidRPr="000C1958">
        <w:rPr>
          <w:rFonts w:ascii="Calibri" w:hAnsi="Calibri" w:cs="Calibri"/>
          <w:sz w:val="24"/>
          <w:szCs w:val="24"/>
          <w:lang w:val="en-US"/>
        </w:rPr>
        <w:t>Agency for watershed area of Adriatic Sea (AVP Jadran) and Agency for watershed area of Sava River (AVP Sava) and Public Institution “Vode Srpske” in RS (PI Vode Srpske); which are responsible for the overall water management including monitoring, issuing water permits, and planning groundwater protection measures </w:t>
      </w:r>
      <w:r w:rsidR="00864192" w:rsidRPr="000C1958">
        <w:rPr>
          <w:rFonts w:ascii="Calibri" w:hAnsi="Calibri" w:cs="Calibri"/>
          <w:sz w:val="24"/>
          <w:szCs w:val="24"/>
          <w:lang w:val="en-US"/>
        </w:rPr>
        <w:t>. At the local level, cantonal Ministries responsible for water and environment in FBIH and municipalities and public utility companies which manage operational tasks such as water supply, wastewater, and source protection.</w:t>
      </w:r>
    </w:p>
    <w:p w14:paraId="55ED59B2" w14:textId="4D3DB917" w:rsidR="00A87002" w:rsidRPr="000C1958" w:rsidRDefault="00572CAB" w:rsidP="00906D03">
      <w:pPr>
        <w:pStyle w:val="Odlomakpopisa"/>
        <w:numPr>
          <w:ilvl w:val="0"/>
          <w:numId w:val="4"/>
        </w:numPr>
        <w:jc w:val="both"/>
        <w:rPr>
          <w:rFonts w:ascii="Calibri" w:hAnsi="Calibri" w:cs="Calibri"/>
          <w:sz w:val="24"/>
          <w:szCs w:val="24"/>
          <w:lang w:val="en-GB"/>
        </w:rPr>
      </w:pPr>
      <w:r w:rsidRPr="00572CAB">
        <w:rPr>
          <w:rFonts w:ascii="Calibri" w:hAnsi="Calibri" w:cs="Calibri"/>
          <w:sz w:val="24"/>
          <w:szCs w:val="24"/>
          <w:lang w:val="en-GB"/>
        </w:rPr>
        <w:t>In Croatia, responsibility for water and groundwater governance is led at the national level by the Ministry of Environmental Protection and Green Transition, which sets water policy and regulatory oversight, while Croatian Waters (</w:t>
      </w:r>
      <w:proofErr w:type="spellStart"/>
      <w:r w:rsidRPr="00572CAB">
        <w:rPr>
          <w:rFonts w:ascii="Calibri" w:hAnsi="Calibri" w:cs="Calibri"/>
          <w:sz w:val="24"/>
          <w:szCs w:val="24"/>
          <w:lang w:val="en-GB"/>
        </w:rPr>
        <w:t>Hrvatske</w:t>
      </w:r>
      <w:proofErr w:type="spellEnd"/>
      <w:r w:rsidRPr="00572CAB">
        <w:rPr>
          <w:rFonts w:ascii="Calibri" w:hAnsi="Calibri" w:cs="Calibri"/>
          <w:sz w:val="24"/>
          <w:szCs w:val="24"/>
          <w:lang w:val="en-GB"/>
        </w:rPr>
        <w:t xml:space="preserve"> </w:t>
      </w:r>
      <w:proofErr w:type="spellStart"/>
      <w:r w:rsidRPr="00572CAB">
        <w:rPr>
          <w:rFonts w:ascii="Calibri" w:hAnsi="Calibri" w:cs="Calibri"/>
          <w:sz w:val="24"/>
          <w:szCs w:val="24"/>
          <w:lang w:val="en-GB"/>
        </w:rPr>
        <w:t>vode</w:t>
      </w:r>
      <w:proofErr w:type="spellEnd"/>
      <w:r w:rsidRPr="00572CAB">
        <w:rPr>
          <w:rFonts w:ascii="Calibri" w:hAnsi="Calibri" w:cs="Calibri"/>
          <w:sz w:val="24"/>
          <w:szCs w:val="24"/>
          <w:lang w:val="en-GB"/>
        </w:rPr>
        <w:t>) acts as the principal implementing authority for water management measures; at the local level, municipalities and public utility companies are responsible for operational functions, including drinking</w:t>
      </w:r>
      <w:r w:rsidRPr="00572CAB">
        <w:rPr>
          <w:rFonts w:ascii="Cambria Math" w:hAnsi="Cambria Math" w:cs="Cambria Math"/>
          <w:sz w:val="24"/>
          <w:szCs w:val="24"/>
          <w:lang w:val="en-GB"/>
        </w:rPr>
        <w:t>‑</w:t>
      </w:r>
      <w:r w:rsidRPr="00572CAB">
        <w:rPr>
          <w:rFonts w:ascii="Calibri" w:hAnsi="Calibri" w:cs="Calibri"/>
          <w:sz w:val="24"/>
          <w:szCs w:val="24"/>
          <w:lang w:val="en-GB"/>
        </w:rPr>
        <w:t>water supply, wastewater management and the application of source</w:t>
      </w:r>
      <w:r w:rsidRPr="00572CAB">
        <w:rPr>
          <w:rFonts w:ascii="Cambria Math" w:hAnsi="Cambria Math" w:cs="Cambria Math"/>
          <w:sz w:val="24"/>
          <w:szCs w:val="24"/>
          <w:lang w:val="en-GB"/>
        </w:rPr>
        <w:t>‑</w:t>
      </w:r>
      <w:r w:rsidRPr="00572CAB">
        <w:rPr>
          <w:rFonts w:ascii="Calibri" w:hAnsi="Calibri" w:cs="Calibri"/>
          <w:sz w:val="24"/>
          <w:szCs w:val="24"/>
          <w:lang w:val="en-GB"/>
        </w:rPr>
        <w:t>protection measures.</w:t>
      </w:r>
    </w:p>
    <w:p w14:paraId="15706D35" w14:textId="050247A9" w:rsidR="0030781F" w:rsidRPr="000C1958" w:rsidRDefault="00214E54" w:rsidP="00906D03">
      <w:pPr>
        <w:jc w:val="both"/>
        <w:rPr>
          <w:rFonts w:ascii="Calibri" w:hAnsi="Calibri" w:cs="Calibri"/>
          <w:sz w:val="24"/>
          <w:szCs w:val="24"/>
          <w:lang w:val="en-GB"/>
        </w:rPr>
      </w:pPr>
      <w:r w:rsidRPr="000C1958">
        <w:rPr>
          <w:rFonts w:ascii="Calibri" w:hAnsi="Calibri" w:cs="Calibri"/>
          <w:sz w:val="24"/>
          <w:szCs w:val="24"/>
          <w:lang w:val="en-GB"/>
        </w:rPr>
        <w:t xml:space="preserve">The </w:t>
      </w:r>
      <w:r w:rsidR="00572CAB">
        <w:rPr>
          <w:rFonts w:ascii="Calibri" w:hAnsi="Calibri" w:cs="Calibri"/>
          <w:sz w:val="24"/>
          <w:szCs w:val="24"/>
          <w:lang w:val="en-GB"/>
        </w:rPr>
        <w:t>A</w:t>
      </w:r>
      <w:r w:rsidRPr="000C1958">
        <w:rPr>
          <w:rFonts w:ascii="Calibri" w:hAnsi="Calibri" w:cs="Calibri"/>
          <w:sz w:val="24"/>
          <w:szCs w:val="24"/>
          <w:lang w:val="en-GB"/>
        </w:rPr>
        <w:t xml:space="preserve">greement has a wide application as it covers water use, water pollution prevention, protection against harmful effects of water, maintenance of water management facilities, reconstruction of war-damaged water management facilities, and construction of new ones. </w:t>
      </w:r>
      <w:r w:rsidRPr="000C1958">
        <w:rPr>
          <w:rFonts w:ascii="Calibri" w:hAnsi="Calibri" w:cs="Calibri"/>
          <w:sz w:val="24"/>
          <w:szCs w:val="24"/>
          <w:lang w:val="en-GB"/>
        </w:rPr>
        <w:lastRenderedPageBreak/>
        <w:t xml:space="preserve">The </w:t>
      </w:r>
      <w:r w:rsidR="00107F64">
        <w:rPr>
          <w:rFonts w:ascii="Calibri" w:hAnsi="Calibri" w:cs="Calibri"/>
          <w:sz w:val="24"/>
          <w:szCs w:val="24"/>
          <w:lang w:val="en-GB"/>
        </w:rPr>
        <w:t xml:space="preserve">two </w:t>
      </w:r>
      <w:r w:rsidRPr="000C1958">
        <w:rPr>
          <w:rFonts w:ascii="Calibri" w:hAnsi="Calibri" w:cs="Calibri"/>
          <w:sz w:val="24"/>
          <w:szCs w:val="24"/>
          <w:lang w:val="en-GB"/>
        </w:rPr>
        <w:t>Parties</w:t>
      </w:r>
      <w:r w:rsidR="00572CAB">
        <w:rPr>
          <w:rFonts w:ascii="Calibri" w:hAnsi="Calibri" w:cs="Calibri"/>
          <w:sz w:val="24"/>
          <w:szCs w:val="24"/>
          <w:lang w:val="en-GB"/>
        </w:rPr>
        <w:t xml:space="preserve"> </w:t>
      </w:r>
      <w:r w:rsidR="00F4710F" w:rsidRPr="000C1958">
        <w:rPr>
          <w:rFonts w:ascii="Calibri" w:hAnsi="Calibri" w:cs="Calibri"/>
          <w:sz w:val="24"/>
          <w:szCs w:val="24"/>
          <w:lang w:val="en-GB"/>
        </w:rPr>
        <w:t xml:space="preserve">might </w:t>
      </w:r>
      <w:r w:rsidRPr="000C1958">
        <w:rPr>
          <w:rFonts w:ascii="Calibri" w:hAnsi="Calibri" w:cs="Calibri"/>
          <w:sz w:val="24"/>
          <w:szCs w:val="24"/>
          <w:lang w:val="en-GB"/>
        </w:rPr>
        <w:t>jointly prepare studies and documentations on these issues, and when necessary</w:t>
      </w:r>
      <w:r w:rsidR="000246D5">
        <w:rPr>
          <w:rFonts w:ascii="Calibri" w:hAnsi="Calibri" w:cs="Calibri"/>
          <w:sz w:val="24"/>
          <w:szCs w:val="24"/>
          <w:lang w:val="en-GB"/>
        </w:rPr>
        <w:t>,</w:t>
      </w:r>
      <w:r w:rsidRPr="000C1958">
        <w:rPr>
          <w:rFonts w:ascii="Calibri" w:hAnsi="Calibri" w:cs="Calibri"/>
          <w:sz w:val="24"/>
          <w:szCs w:val="24"/>
          <w:lang w:val="en-GB"/>
        </w:rPr>
        <w:t xml:space="preserve"> execute the related works. </w:t>
      </w:r>
      <w:r w:rsidR="00A3673F">
        <w:rPr>
          <w:rFonts w:ascii="Calibri" w:hAnsi="Calibri" w:cs="Calibri"/>
          <w:sz w:val="24"/>
          <w:szCs w:val="24"/>
          <w:lang w:val="en-GB"/>
        </w:rPr>
        <w:t>This has not often happened.</w:t>
      </w:r>
    </w:p>
    <w:p w14:paraId="780E70EF" w14:textId="12CD2D7F" w:rsidR="009A1B7A" w:rsidRPr="000C1958" w:rsidRDefault="00214E54" w:rsidP="00906D03">
      <w:pPr>
        <w:jc w:val="both"/>
        <w:rPr>
          <w:rFonts w:ascii="Calibri" w:hAnsi="Calibri" w:cs="Calibri"/>
          <w:sz w:val="24"/>
          <w:szCs w:val="24"/>
          <w:lang w:val="en-GB"/>
        </w:rPr>
      </w:pPr>
      <w:r w:rsidRPr="000C1958">
        <w:rPr>
          <w:rFonts w:ascii="Calibri" w:hAnsi="Calibri" w:cs="Calibri"/>
          <w:sz w:val="24"/>
          <w:szCs w:val="24"/>
          <w:lang w:val="en-GB"/>
        </w:rPr>
        <w:t xml:space="preserve">These activities apply to the watercourses that form the common state border between the </w:t>
      </w:r>
      <w:r w:rsidR="00572CAB">
        <w:rPr>
          <w:rFonts w:ascii="Calibri" w:hAnsi="Calibri" w:cs="Calibri"/>
          <w:sz w:val="24"/>
          <w:szCs w:val="24"/>
          <w:lang w:val="en-GB"/>
        </w:rPr>
        <w:t>HR</w:t>
      </w:r>
      <w:r w:rsidRPr="000C1958">
        <w:rPr>
          <w:rFonts w:ascii="Calibri" w:hAnsi="Calibri" w:cs="Calibri"/>
          <w:sz w:val="24"/>
          <w:szCs w:val="24"/>
          <w:lang w:val="en-GB"/>
        </w:rPr>
        <w:t xml:space="preserve"> and </w:t>
      </w:r>
      <w:r w:rsidR="00572CAB">
        <w:rPr>
          <w:rFonts w:ascii="Calibri" w:hAnsi="Calibri" w:cs="Calibri"/>
          <w:sz w:val="24"/>
          <w:szCs w:val="24"/>
          <w:lang w:val="en-GB"/>
        </w:rPr>
        <w:t>BiH</w:t>
      </w:r>
      <w:r w:rsidRPr="000C1958">
        <w:rPr>
          <w:rFonts w:ascii="Calibri" w:hAnsi="Calibri" w:cs="Calibri"/>
          <w:sz w:val="24"/>
          <w:szCs w:val="24"/>
          <w:lang w:val="en-GB"/>
        </w:rPr>
        <w:t xml:space="preserve"> or are intersected by it. The </w:t>
      </w:r>
      <w:r w:rsidR="00572CAB">
        <w:rPr>
          <w:rFonts w:ascii="Calibri" w:hAnsi="Calibri" w:cs="Calibri"/>
          <w:sz w:val="24"/>
          <w:szCs w:val="24"/>
          <w:lang w:val="en-GB"/>
        </w:rPr>
        <w:t>A</w:t>
      </w:r>
      <w:r w:rsidRPr="000C1958">
        <w:rPr>
          <w:rFonts w:ascii="Calibri" w:hAnsi="Calibri" w:cs="Calibri"/>
          <w:sz w:val="24"/>
          <w:szCs w:val="24"/>
          <w:lang w:val="en-GB"/>
        </w:rPr>
        <w:t>greement does not provide the definition of a watercourse</w:t>
      </w:r>
      <w:r w:rsidR="006B08C5" w:rsidRPr="000C1958">
        <w:rPr>
          <w:rFonts w:ascii="Calibri" w:hAnsi="Calibri" w:cs="Calibri"/>
          <w:sz w:val="24"/>
          <w:szCs w:val="24"/>
          <w:lang w:val="en-GB"/>
        </w:rPr>
        <w:t xml:space="preserve">, it is therefore not sure it covers groundwater, even partially. </w:t>
      </w:r>
    </w:p>
    <w:p w14:paraId="1F3EBFAD" w14:textId="64572A1D" w:rsidR="00035911" w:rsidRPr="000C1958" w:rsidRDefault="006B08C5" w:rsidP="00906D03">
      <w:pPr>
        <w:jc w:val="both"/>
        <w:rPr>
          <w:rFonts w:ascii="Calibri" w:hAnsi="Calibri" w:cs="Calibri"/>
          <w:sz w:val="24"/>
          <w:szCs w:val="24"/>
          <w:lang w:val="en-GB"/>
        </w:rPr>
      </w:pPr>
      <w:r w:rsidRPr="000C1958">
        <w:rPr>
          <w:rFonts w:ascii="Calibri" w:hAnsi="Calibri" w:cs="Calibri"/>
          <w:sz w:val="24"/>
          <w:szCs w:val="24"/>
          <w:lang w:val="en-GB"/>
        </w:rPr>
        <w:t xml:space="preserve">The </w:t>
      </w:r>
      <w:r w:rsidR="00572CAB">
        <w:rPr>
          <w:rFonts w:ascii="Calibri" w:hAnsi="Calibri" w:cs="Calibri"/>
          <w:sz w:val="24"/>
          <w:szCs w:val="24"/>
          <w:lang w:val="en-GB"/>
        </w:rPr>
        <w:t>A</w:t>
      </w:r>
      <w:r w:rsidRPr="000C1958">
        <w:rPr>
          <w:rFonts w:ascii="Calibri" w:hAnsi="Calibri" w:cs="Calibri"/>
          <w:sz w:val="24"/>
          <w:szCs w:val="24"/>
          <w:lang w:val="en-GB"/>
        </w:rPr>
        <w:t xml:space="preserve">greement </w:t>
      </w:r>
      <w:r w:rsidR="00035911" w:rsidRPr="000C1958">
        <w:rPr>
          <w:rFonts w:ascii="Calibri" w:hAnsi="Calibri" w:cs="Calibri"/>
          <w:sz w:val="24"/>
          <w:szCs w:val="24"/>
          <w:lang w:val="en-GB"/>
        </w:rPr>
        <w:t xml:space="preserve">refers to the principle of international water </w:t>
      </w:r>
      <w:r w:rsidR="00A3673F">
        <w:rPr>
          <w:rFonts w:ascii="Calibri" w:hAnsi="Calibri" w:cs="Calibri"/>
          <w:sz w:val="24"/>
          <w:szCs w:val="24"/>
          <w:lang w:val="en-GB"/>
        </w:rPr>
        <w:t>of</w:t>
      </w:r>
      <w:r w:rsidR="00035911" w:rsidRPr="000C1958">
        <w:rPr>
          <w:rFonts w:ascii="Calibri" w:hAnsi="Calibri" w:cs="Calibri"/>
          <w:sz w:val="24"/>
          <w:szCs w:val="24"/>
          <w:lang w:val="en-GB"/>
        </w:rPr>
        <w:t xml:space="preserve"> equitable and reasonable use. It adds that the use needs also to consider the environment, and that all necessary measures to prevent pollution should be adopted. In case of pollution events, the Parties should inform each other. </w:t>
      </w:r>
    </w:p>
    <w:p w14:paraId="013BE772" w14:textId="7B7F5BC3" w:rsidR="00F4710F" w:rsidRPr="000C1958" w:rsidRDefault="00035911" w:rsidP="000C1958">
      <w:pPr>
        <w:jc w:val="both"/>
        <w:rPr>
          <w:rFonts w:ascii="Calibri" w:eastAsia="Times New Roman" w:hAnsi="Calibri" w:cs="Calibri"/>
          <w:kern w:val="0"/>
          <w:sz w:val="24"/>
          <w:szCs w:val="24"/>
          <w:lang w:val="en-GB" w:eastAsia="en-GB"/>
          <w14:ligatures w14:val="none"/>
        </w:rPr>
      </w:pPr>
      <w:r w:rsidRPr="000C1958">
        <w:rPr>
          <w:rFonts w:ascii="Calibri" w:hAnsi="Calibri" w:cs="Calibri"/>
          <w:sz w:val="24"/>
          <w:szCs w:val="24"/>
          <w:lang w:val="en-GB"/>
        </w:rPr>
        <w:t xml:space="preserve">The </w:t>
      </w:r>
      <w:r w:rsidR="00572CAB">
        <w:rPr>
          <w:rFonts w:ascii="Calibri" w:hAnsi="Calibri" w:cs="Calibri"/>
          <w:sz w:val="24"/>
          <w:szCs w:val="24"/>
          <w:lang w:val="en-GB"/>
        </w:rPr>
        <w:t>A</w:t>
      </w:r>
      <w:r w:rsidRPr="000C1958">
        <w:rPr>
          <w:rFonts w:ascii="Calibri" w:hAnsi="Calibri" w:cs="Calibri"/>
          <w:sz w:val="24"/>
          <w:szCs w:val="24"/>
          <w:lang w:val="en-GB"/>
        </w:rPr>
        <w:t>greement establishes a Joint Water Management Commission</w:t>
      </w:r>
      <w:r w:rsidR="00572CAB">
        <w:rPr>
          <w:rFonts w:ascii="Calibri" w:hAnsi="Calibri" w:cs="Calibri"/>
          <w:sz w:val="24"/>
          <w:szCs w:val="24"/>
          <w:lang w:val="en-GB"/>
        </w:rPr>
        <w:t xml:space="preserve"> (JWMC)</w:t>
      </w:r>
      <w:r w:rsidRPr="000C1958">
        <w:rPr>
          <w:rFonts w:ascii="Calibri" w:hAnsi="Calibri" w:cs="Calibri"/>
          <w:sz w:val="24"/>
          <w:szCs w:val="24"/>
          <w:lang w:val="en-GB"/>
        </w:rPr>
        <w:t xml:space="preserve"> composed of six members, three from each country consisting of a Chairperson, a Deputy and a Technical Secretary. If necessary</w:t>
      </w:r>
      <w:r w:rsidR="000246D5">
        <w:rPr>
          <w:rFonts w:ascii="Calibri" w:hAnsi="Calibri" w:cs="Calibri"/>
          <w:sz w:val="24"/>
          <w:szCs w:val="24"/>
          <w:lang w:val="en-GB"/>
        </w:rPr>
        <w:t xml:space="preserve">, </w:t>
      </w:r>
      <w:r w:rsidRPr="000C1958">
        <w:rPr>
          <w:rFonts w:ascii="Calibri" w:hAnsi="Calibri" w:cs="Calibri"/>
          <w:sz w:val="24"/>
          <w:szCs w:val="24"/>
          <w:lang w:val="en-GB"/>
        </w:rPr>
        <w:t xml:space="preserve">experts on a specific issue can be involved in the Commission’s work. </w:t>
      </w:r>
      <w:r w:rsidR="00A3673F">
        <w:rPr>
          <w:rFonts w:ascii="Calibri" w:hAnsi="Calibri" w:cs="Calibri"/>
          <w:sz w:val="24"/>
          <w:szCs w:val="24"/>
          <w:lang w:val="en-GB"/>
        </w:rPr>
        <w:t xml:space="preserve">According to the agreement, the </w:t>
      </w:r>
      <w:r w:rsidR="00572CAB">
        <w:rPr>
          <w:rFonts w:ascii="Calibri" w:hAnsi="Calibri" w:cs="Calibri"/>
          <w:sz w:val="24"/>
          <w:szCs w:val="24"/>
          <w:lang w:val="en-GB"/>
        </w:rPr>
        <w:t xml:space="preserve">JWMC </w:t>
      </w:r>
      <w:r w:rsidR="00A3673F">
        <w:rPr>
          <w:rFonts w:ascii="Calibri" w:hAnsi="Calibri" w:cs="Calibri"/>
          <w:sz w:val="24"/>
          <w:szCs w:val="24"/>
          <w:lang w:val="en-GB"/>
        </w:rPr>
        <w:t xml:space="preserve">will adopt a Rulebook </w:t>
      </w:r>
      <w:r w:rsidR="00A3673F">
        <w:rPr>
          <w:rFonts w:ascii="Calibri" w:eastAsia="Times New Roman" w:hAnsi="Calibri" w:cs="Calibri"/>
          <w:kern w:val="0"/>
          <w:sz w:val="24"/>
          <w:szCs w:val="24"/>
          <w:lang w:val="en-GB" w:eastAsia="en-GB"/>
          <w14:ligatures w14:val="none"/>
        </w:rPr>
        <w:t>to regulate its jurisdiction and operations.</w:t>
      </w:r>
    </w:p>
    <w:p w14:paraId="51286405" w14:textId="5FF034DC" w:rsidR="00F4710F" w:rsidRPr="000C1958" w:rsidRDefault="00F4710F" w:rsidP="000C1958">
      <w:pPr>
        <w:pStyle w:val="StandardWeb"/>
        <w:jc w:val="both"/>
        <w:rPr>
          <w:rFonts w:ascii="Calibri" w:hAnsi="Calibri" w:cs="Calibri"/>
        </w:rPr>
      </w:pPr>
      <w:r w:rsidRPr="000C1958">
        <w:rPr>
          <w:rFonts w:ascii="Calibri" w:hAnsi="Calibri" w:cs="Calibri"/>
        </w:rPr>
        <w:t xml:space="preserve">The </w:t>
      </w:r>
      <w:r w:rsidR="00572CAB">
        <w:rPr>
          <w:rFonts w:ascii="Calibri" w:hAnsi="Calibri" w:cs="Calibri"/>
        </w:rPr>
        <w:t>JWMC</w:t>
      </w:r>
      <w:r w:rsidR="00572CAB" w:rsidRPr="000C1958">
        <w:rPr>
          <w:rFonts w:ascii="Calibri" w:hAnsi="Calibri" w:cs="Calibri"/>
        </w:rPr>
        <w:t xml:space="preserve"> </w:t>
      </w:r>
      <w:r w:rsidRPr="000C1958">
        <w:rPr>
          <w:rFonts w:ascii="Calibri" w:hAnsi="Calibri" w:cs="Calibri"/>
        </w:rPr>
        <w:t>serves as the primary forum for</w:t>
      </w:r>
      <w:r w:rsidR="00EC05AE">
        <w:rPr>
          <w:rFonts w:ascii="Calibri" w:hAnsi="Calibri" w:cs="Calibri"/>
        </w:rPr>
        <w:t xml:space="preserve"> planning and </w:t>
      </w:r>
      <w:r w:rsidRPr="000C1958">
        <w:rPr>
          <w:rFonts w:ascii="Calibri" w:hAnsi="Calibri" w:cs="Calibri"/>
        </w:rPr>
        <w:t xml:space="preserve">joint data </w:t>
      </w:r>
      <w:r w:rsidR="00EC05AE" w:rsidRPr="00EC05AE">
        <w:rPr>
          <w:rFonts w:ascii="Calibri" w:hAnsi="Calibri" w:cs="Calibri"/>
        </w:rPr>
        <w:t>exchange ensuring</w:t>
      </w:r>
      <w:r w:rsidRPr="000C1958">
        <w:rPr>
          <w:rFonts w:ascii="Calibri" w:hAnsi="Calibri" w:cs="Calibri"/>
        </w:rPr>
        <w:t xml:space="preserve"> that both countries have a structured channel for addressing transboundary water issues</w:t>
      </w:r>
      <w:r w:rsidR="00107F64">
        <w:rPr>
          <w:rStyle w:val="Referencafusnote"/>
          <w:rFonts w:ascii="Calibri" w:hAnsi="Calibri" w:cs="Calibri"/>
        </w:rPr>
        <w:footnoteReference w:id="2"/>
      </w:r>
      <w:r w:rsidRPr="000C1958">
        <w:rPr>
          <w:rFonts w:ascii="Calibri" w:hAnsi="Calibri" w:cs="Calibri"/>
        </w:rPr>
        <w:t>.</w:t>
      </w:r>
      <w:r w:rsidR="00A3673F">
        <w:rPr>
          <w:rFonts w:ascii="Calibri" w:hAnsi="Calibri" w:cs="Calibri"/>
        </w:rPr>
        <w:t xml:space="preserve"> </w:t>
      </w:r>
    </w:p>
    <w:p w14:paraId="1591E81D" w14:textId="423E1A9D" w:rsidR="00F4710F" w:rsidRPr="000C1958" w:rsidRDefault="00BF0663" w:rsidP="000C1958">
      <w:pPr>
        <w:pStyle w:val="StandardWeb"/>
        <w:jc w:val="both"/>
        <w:rPr>
          <w:rFonts w:ascii="Calibri" w:hAnsi="Calibri" w:cs="Calibri"/>
        </w:rPr>
      </w:pPr>
      <w:r>
        <w:rPr>
          <w:rFonts w:ascii="Calibri" w:hAnsi="Calibri" w:cs="Calibri"/>
        </w:rPr>
        <w:t xml:space="preserve">Among the activities it has undertaken, the Commission drafted </w:t>
      </w:r>
      <w:r w:rsidRPr="00EC3489">
        <w:rPr>
          <w:rFonts w:ascii="Calibri" w:hAnsi="Calibri" w:cs="Calibri"/>
        </w:rPr>
        <w:t>several years ago</w:t>
      </w:r>
      <w:r w:rsidRPr="00EC05AE">
        <w:rPr>
          <w:rFonts w:ascii="Calibri" w:hAnsi="Calibri" w:cs="Calibri"/>
        </w:rPr>
        <w:t xml:space="preserve"> </w:t>
      </w:r>
      <w:r>
        <w:rPr>
          <w:rFonts w:ascii="Calibri" w:hAnsi="Calibri" w:cs="Calibri"/>
        </w:rPr>
        <w:t xml:space="preserve">a </w:t>
      </w:r>
      <w:r w:rsidR="00EC05AE" w:rsidRPr="00EC05AE">
        <w:rPr>
          <w:rFonts w:ascii="Calibri" w:hAnsi="Calibri" w:cs="Calibri"/>
        </w:rPr>
        <w:t>Rulebook</w:t>
      </w:r>
      <w:r w:rsidR="00F4710F" w:rsidRPr="000C1958">
        <w:rPr>
          <w:rFonts w:ascii="Calibri" w:hAnsi="Calibri" w:cs="Calibri"/>
        </w:rPr>
        <w:t xml:space="preserve"> on cross-border sanitary protection </w:t>
      </w:r>
      <w:r w:rsidR="00F4710F" w:rsidRPr="007A752D">
        <w:rPr>
          <w:rFonts w:ascii="Calibri" w:hAnsi="Calibri" w:cs="Calibri"/>
        </w:rPr>
        <w:t>zones</w:t>
      </w:r>
      <w:r w:rsidR="007A752D">
        <w:rPr>
          <w:rFonts w:ascii="Calibri" w:hAnsi="Calibri" w:cs="Calibri"/>
        </w:rPr>
        <w:t>.</w:t>
      </w:r>
      <w:r w:rsidR="00F4710F" w:rsidRPr="007A752D">
        <w:rPr>
          <w:rFonts w:ascii="Calibri" w:hAnsi="Calibri" w:cs="Calibri"/>
        </w:rPr>
        <w:t xml:space="preserve"> However</w:t>
      </w:r>
      <w:r w:rsidR="00F4710F" w:rsidRPr="000C1958">
        <w:rPr>
          <w:rFonts w:ascii="Calibri" w:hAnsi="Calibri" w:cs="Calibri"/>
        </w:rPr>
        <w:t xml:space="preserve">, the Rulebook was never formally adopted, leaving a regulatory gap in the bilateral framework. As a result, each country continues to apply its own national procedures for defining and enforcing sanitary protection zones, without mutual recognition or harmonization. </w:t>
      </w:r>
    </w:p>
    <w:p w14:paraId="4F333ED5" w14:textId="78B0F138" w:rsidR="006B08C5" w:rsidRPr="000C1958" w:rsidRDefault="00BF0663" w:rsidP="00906D03">
      <w:pPr>
        <w:jc w:val="both"/>
        <w:rPr>
          <w:rFonts w:ascii="Calibri" w:hAnsi="Calibri" w:cs="Calibri"/>
          <w:sz w:val="24"/>
          <w:szCs w:val="24"/>
          <w:lang w:val="en-GB"/>
        </w:rPr>
      </w:pPr>
      <w:r>
        <w:rPr>
          <w:rFonts w:ascii="Calibri" w:hAnsi="Calibri" w:cs="Calibri"/>
          <w:sz w:val="24"/>
          <w:szCs w:val="24"/>
          <w:lang w:val="en-GB"/>
        </w:rPr>
        <w:t>T</w:t>
      </w:r>
      <w:r w:rsidR="00DC6F28" w:rsidRPr="000C1958">
        <w:rPr>
          <w:rFonts w:ascii="Calibri" w:hAnsi="Calibri" w:cs="Calibri"/>
          <w:sz w:val="24"/>
          <w:szCs w:val="24"/>
          <w:lang w:val="en-GB"/>
        </w:rPr>
        <w:t>he agreement concludes with a provision on the settlement of disputes</w:t>
      </w:r>
      <w:r w:rsidR="008C641C" w:rsidRPr="000C1958">
        <w:rPr>
          <w:rFonts w:ascii="Calibri" w:hAnsi="Calibri" w:cs="Calibri"/>
          <w:sz w:val="24"/>
          <w:szCs w:val="24"/>
          <w:lang w:val="en-GB"/>
        </w:rPr>
        <w:t xml:space="preserve">, on its entry into force, and its duration (indefinite period). </w:t>
      </w:r>
    </w:p>
    <w:p w14:paraId="4A0E8B58" w14:textId="068EAA83" w:rsidR="008C641C" w:rsidRPr="000C1958" w:rsidRDefault="008C641C" w:rsidP="00906D03">
      <w:pPr>
        <w:jc w:val="both"/>
        <w:rPr>
          <w:rFonts w:ascii="Calibri" w:hAnsi="Calibri" w:cs="Calibri"/>
          <w:sz w:val="24"/>
          <w:szCs w:val="24"/>
          <w:lang w:val="en-GB"/>
        </w:rPr>
      </w:pPr>
      <w:r w:rsidRPr="000C1958">
        <w:rPr>
          <w:rFonts w:ascii="Calibri" w:hAnsi="Calibri" w:cs="Calibri"/>
          <w:sz w:val="24"/>
          <w:szCs w:val="24"/>
          <w:lang w:val="en-GB"/>
        </w:rPr>
        <w:t xml:space="preserve">The agreement between </w:t>
      </w:r>
      <w:r w:rsidR="00572CAB">
        <w:rPr>
          <w:rFonts w:ascii="Calibri" w:hAnsi="Calibri" w:cs="Calibri"/>
          <w:sz w:val="24"/>
          <w:szCs w:val="24"/>
          <w:lang w:val="en-GB"/>
        </w:rPr>
        <w:t>BiH</w:t>
      </w:r>
      <w:r w:rsidRPr="000C1958">
        <w:rPr>
          <w:rFonts w:ascii="Calibri" w:hAnsi="Calibri" w:cs="Calibri"/>
          <w:sz w:val="24"/>
          <w:szCs w:val="24"/>
          <w:lang w:val="en-GB"/>
        </w:rPr>
        <w:t xml:space="preserve"> and </w:t>
      </w:r>
      <w:r w:rsidR="00572CAB">
        <w:rPr>
          <w:rFonts w:ascii="Calibri" w:hAnsi="Calibri" w:cs="Calibri"/>
          <w:sz w:val="24"/>
          <w:szCs w:val="24"/>
          <w:lang w:val="en-GB"/>
        </w:rPr>
        <w:t>HR</w:t>
      </w:r>
      <w:r w:rsidR="00572CAB" w:rsidRPr="000C1958">
        <w:rPr>
          <w:rFonts w:ascii="Calibri" w:hAnsi="Calibri" w:cs="Calibri"/>
          <w:sz w:val="24"/>
          <w:szCs w:val="24"/>
          <w:lang w:val="en-GB"/>
        </w:rPr>
        <w:t xml:space="preserve"> </w:t>
      </w:r>
      <w:r w:rsidRPr="000C1958">
        <w:rPr>
          <w:rFonts w:ascii="Calibri" w:hAnsi="Calibri" w:cs="Calibri"/>
          <w:sz w:val="24"/>
          <w:szCs w:val="24"/>
          <w:lang w:val="en-GB"/>
        </w:rPr>
        <w:t xml:space="preserve">remains largely generic and does not explicitly address groundwater, focusing instead on general water management, pollution control, and infrastructure maintenance. It lacks detailed provisions for groundwater monitoring, data exchange, or aquifer-specific management. </w:t>
      </w:r>
    </w:p>
    <w:p w14:paraId="55805B75" w14:textId="778FFA41" w:rsidR="00C71DA0" w:rsidRPr="000C1958" w:rsidRDefault="00C71DA0" w:rsidP="00906D03">
      <w:pPr>
        <w:jc w:val="both"/>
        <w:rPr>
          <w:rFonts w:ascii="Calibri" w:hAnsi="Calibri" w:cs="Calibri"/>
          <w:sz w:val="24"/>
          <w:szCs w:val="24"/>
          <w:lang w:val="en-GB"/>
        </w:rPr>
      </w:pPr>
    </w:p>
    <w:p w14:paraId="2459DB68" w14:textId="3722F7EA" w:rsidR="00BF0663" w:rsidRPr="00EC05AE" w:rsidRDefault="0076514E" w:rsidP="004F2AB1">
      <w:pPr>
        <w:pStyle w:val="Naslov1"/>
        <w:rPr>
          <w:color w:val="7030A0"/>
          <w:lang w:val="en-GB"/>
        </w:rPr>
      </w:pPr>
      <w:bookmarkStart w:id="3" w:name="_Toc229079450"/>
      <w:r w:rsidRPr="000C1958">
        <w:rPr>
          <w:lang w:val="en-GB"/>
        </w:rPr>
        <w:t>4</w:t>
      </w:r>
      <w:r w:rsidRPr="00EC05AE">
        <w:rPr>
          <w:lang w:val="en-GB"/>
        </w:rPr>
        <w:t>. Diagnostic: Groundwater and GDE Governance Gaps</w:t>
      </w:r>
      <w:bookmarkEnd w:id="3"/>
      <w:r w:rsidRPr="00EC05AE">
        <w:rPr>
          <w:lang w:val="en-GB"/>
        </w:rPr>
        <w:t xml:space="preserve"> </w:t>
      </w:r>
    </w:p>
    <w:p w14:paraId="730CD271" w14:textId="01817625" w:rsidR="00403A44" w:rsidRPr="00EC05AE" w:rsidRDefault="004F2AB1" w:rsidP="00EF150F">
      <w:pPr>
        <w:jc w:val="both"/>
        <w:rPr>
          <w:rFonts w:ascii="Calibri" w:eastAsia="Times New Roman" w:hAnsi="Calibri" w:cs="Calibri"/>
          <w:kern w:val="0"/>
          <w:sz w:val="24"/>
          <w:szCs w:val="24"/>
          <w:lang w:val="en-GB" w:eastAsia="en-GB"/>
          <w14:ligatures w14:val="none"/>
        </w:rPr>
      </w:pPr>
      <w:r>
        <w:rPr>
          <w:rFonts w:ascii="Calibri" w:eastAsia="Times New Roman" w:hAnsi="Calibri" w:cs="Calibri"/>
          <w:kern w:val="0"/>
          <w:sz w:val="24"/>
          <w:szCs w:val="24"/>
          <w:lang w:val="en-GB" w:eastAsia="en-GB"/>
          <w14:ligatures w14:val="none"/>
        </w:rPr>
        <w:t>T</w:t>
      </w:r>
      <w:r w:rsidR="00403A44" w:rsidRPr="00EC05AE">
        <w:rPr>
          <w:rFonts w:ascii="Calibri" w:eastAsia="Times New Roman" w:hAnsi="Calibri" w:cs="Calibri"/>
          <w:kern w:val="0"/>
          <w:sz w:val="24"/>
          <w:szCs w:val="24"/>
          <w:lang w:val="en-GB" w:eastAsia="en-GB"/>
          <w14:ligatures w14:val="none"/>
        </w:rPr>
        <w:t>his chapter provides a structured diagnostic of legal, institutional, and operational gaps in groundwater and groundwater</w:t>
      </w:r>
      <w:r w:rsidR="00403A44" w:rsidRPr="00EC05AE">
        <w:rPr>
          <w:rFonts w:ascii="Calibri" w:eastAsia="Times New Roman" w:hAnsi="Calibri" w:cs="Calibri"/>
          <w:kern w:val="0"/>
          <w:sz w:val="24"/>
          <w:szCs w:val="24"/>
          <w:lang w:val="en-GB" w:eastAsia="en-GB"/>
          <w14:ligatures w14:val="none"/>
        </w:rPr>
        <w:noBreakHyphen/>
        <w:t xml:space="preserve">dependent ecosystem (GDE) governance within the </w:t>
      </w:r>
      <w:r w:rsidR="00C01983">
        <w:rPr>
          <w:rFonts w:ascii="Calibri" w:eastAsia="Times New Roman" w:hAnsi="Calibri" w:cs="Calibri"/>
          <w:kern w:val="0"/>
          <w:sz w:val="24"/>
          <w:szCs w:val="24"/>
          <w:lang w:val="en-GB" w:eastAsia="en-GB"/>
          <w14:ligatures w14:val="none"/>
        </w:rPr>
        <w:t>BiH-HR</w:t>
      </w:r>
      <w:r w:rsidR="00403A44" w:rsidRPr="00EC05AE">
        <w:rPr>
          <w:rFonts w:ascii="Calibri" w:eastAsia="Times New Roman" w:hAnsi="Calibri" w:cs="Calibri"/>
          <w:kern w:val="0"/>
          <w:sz w:val="24"/>
          <w:szCs w:val="24"/>
          <w:lang w:val="en-GB" w:eastAsia="en-GB"/>
          <w14:ligatures w14:val="none"/>
        </w:rPr>
        <w:t xml:space="preserve"> bilateral framework. The analysis builds upon the </w:t>
      </w:r>
      <w:r w:rsidR="00C01983">
        <w:rPr>
          <w:rFonts w:ascii="Calibri" w:eastAsia="Times New Roman" w:hAnsi="Calibri" w:cs="Calibri"/>
          <w:kern w:val="0"/>
          <w:sz w:val="24"/>
          <w:szCs w:val="24"/>
          <w:lang w:val="en-GB" w:eastAsia="en-GB"/>
          <w14:ligatures w14:val="none"/>
        </w:rPr>
        <w:t xml:space="preserve">bilateral groundwater diagnostic analyses </w:t>
      </w:r>
      <w:r w:rsidR="00C01983">
        <w:rPr>
          <w:rFonts w:ascii="Calibri" w:eastAsia="Times New Roman" w:hAnsi="Calibri" w:cs="Calibri"/>
          <w:kern w:val="0"/>
          <w:sz w:val="24"/>
          <w:szCs w:val="24"/>
          <w:lang w:val="en-GB" w:eastAsia="en-GB"/>
          <w14:ligatures w14:val="none"/>
        </w:rPr>
        <w:lastRenderedPageBreak/>
        <w:t>for Una and Neretva TBA</w:t>
      </w:r>
      <w:r w:rsidR="00BF0663">
        <w:rPr>
          <w:rFonts w:ascii="Calibri" w:eastAsia="Times New Roman" w:hAnsi="Calibri" w:cs="Calibri"/>
          <w:kern w:val="0"/>
          <w:sz w:val="24"/>
          <w:szCs w:val="24"/>
          <w:lang w:val="en-GB" w:eastAsia="en-GB"/>
          <w14:ligatures w14:val="none"/>
        </w:rPr>
        <w:t xml:space="preserve"> </w:t>
      </w:r>
      <w:r w:rsidR="00403A44" w:rsidRPr="00EC05AE">
        <w:rPr>
          <w:rFonts w:ascii="Calibri" w:eastAsia="Times New Roman" w:hAnsi="Calibri" w:cs="Calibri"/>
          <w:kern w:val="0"/>
          <w:sz w:val="24"/>
          <w:szCs w:val="24"/>
          <w:lang w:val="en-GB" w:eastAsia="en-GB"/>
          <w14:ligatures w14:val="none"/>
        </w:rPr>
        <w:t>and examines shortcomings across four key dimensions: legal clarity, operational mechanisms, planning integration, and institutional capacity and compliance.</w:t>
      </w:r>
    </w:p>
    <w:p w14:paraId="52B87BED" w14:textId="67CFC652" w:rsidR="008D4606" w:rsidRPr="00EC05AE" w:rsidRDefault="008D4606" w:rsidP="00EC05AE">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C05AE">
        <w:rPr>
          <w:rFonts w:ascii="Calibri" w:eastAsia="Times New Roman" w:hAnsi="Calibri" w:cs="Calibri"/>
          <w:kern w:val="0"/>
          <w:sz w:val="24"/>
          <w:szCs w:val="24"/>
          <w:lang w:val="en-GB" w:eastAsia="en-GB"/>
          <w14:ligatures w14:val="none"/>
        </w:rPr>
        <w:t xml:space="preserve">The </w:t>
      </w:r>
      <w:r w:rsidR="00BF0663">
        <w:rPr>
          <w:rFonts w:ascii="Calibri" w:eastAsia="Times New Roman" w:hAnsi="Calibri" w:cs="Calibri"/>
          <w:kern w:val="0"/>
          <w:sz w:val="24"/>
          <w:szCs w:val="24"/>
          <w:lang w:val="en-GB" w:eastAsia="en-GB"/>
          <w14:ligatures w14:val="none"/>
        </w:rPr>
        <w:t xml:space="preserve">framework in </w:t>
      </w:r>
      <w:r w:rsidR="00C01983">
        <w:rPr>
          <w:rFonts w:ascii="Calibri" w:eastAsia="Times New Roman" w:hAnsi="Calibri" w:cs="Calibri"/>
          <w:kern w:val="0"/>
          <w:sz w:val="24"/>
          <w:szCs w:val="24"/>
          <w:lang w:val="en-GB" w:eastAsia="en-GB"/>
          <w14:ligatures w14:val="none"/>
        </w:rPr>
        <w:t>BiH</w:t>
      </w:r>
      <w:r w:rsidR="00BF0663">
        <w:rPr>
          <w:rFonts w:ascii="Calibri" w:eastAsia="Times New Roman" w:hAnsi="Calibri" w:cs="Calibri"/>
          <w:kern w:val="0"/>
          <w:sz w:val="24"/>
          <w:szCs w:val="24"/>
          <w:lang w:val="en-GB" w:eastAsia="en-GB"/>
          <w14:ligatures w14:val="none"/>
        </w:rPr>
        <w:t xml:space="preserve"> and </w:t>
      </w:r>
      <w:r w:rsidR="00C01983">
        <w:rPr>
          <w:rFonts w:ascii="Calibri" w:eastAsia="Times New Roman" w:hAnsi="Calibri" w:cs="Calibri"/>
          <w:kern w:val="0"/>
          <w:sz w:val="24"/>
          <w:szCs w:val="24"/>
          <w:lang w:val="en-GB" w:eastAsia="en-GB"/>
          <w14:ligatures w14:val="none"/>
        </w:rPr>
        <w:t>HR</w:t>
      </w:r>
      <w:r w:rsidR="00C01983" w:rsidRPr="00EC05AE">
        <w:rPr>
          <w:rFonts w:ascii="Calibri" w:eastAsia="Times New Roman" w:hAnsi="Calibri" w:cs="Calibri"/>
          <w:kern w:val="0"/>
          <w:sz w:val="24"/>
          <w:szCs w:val="24"/>
          <w:lang w:val="en-GB" w:eastAsia="en-GB"/>
          <w14:ligatures w14:val="none"/>
        </w:rPr>
        <w:t xml:space="preserve"> </w:t>
      </w:r>
      <w:r w:rsidRPr="00EC05AE">
        <w:rPr>
          <w:rFonts w:ascii="Calibri" w:eastAsia="Times New Roman" w:hAnsi="Calibri" w:cs="Calibri"/>
          <w:kern w:val="0"/>
          <w:sz w:val="24"/>
          <w:szCs w:val="24"/>
          <w:lang w:val="en-GB" w:eastAsia="en-GB"/>
          <w14:ligatures w14:val="none"/>
        </w:rPr>
        <w:t xml:space="preserve">reveals substantial </w:t>
      </w:r>
      <w:r w:rsidR="00C01983">
        <w:rPr>
          <w:rFonts w:ascii="Calibri" w:eastAsia="Times New Roman" w:hAnsi="Calibri" w:cs="Calibri"/>
          <w:kern w:val="0"/>
          <w:sz w:val="24"/>
          <w:szCs w:val="24"/>
          <w:lang w:val="en-GB" w:eastAsia="en-GB"/>
          <w14:ligatures w14:val="none"/>
        </w:rPr>
        <w:t>differences</w:t>
      </w:r>
      <w:r w:rsidR="00C01983" w:rsidRPr="00EC05AE">
        <w:rPr>
          <w:rFonts w:ascii="Calibri" w:eastAsia="Times New Roman" w:hAnsi="Calibri" w:cs="Calibri"/>
          <w:kern w:val="0"/>
          <w:sz w:val="24"/>
          <w:szCs w:val="24"/>
          <w:lang w:val="en-GB" w:eastAsia="en-GB"/>
          <w14:ligatures w14:val="none"/>
        </w:rPr>
        <w:t xml:space="preserve"> </w:t>
      </w:r>
      <w:r w:rsidRPr="00EC05AE">
        <w:rPr>
          <w:rFonts w:ascii="Calibri" w:eastAsia="Times New Roman" w:hAnsi="Calibri" w:cs="Calibri"/>
          <w:kern w:val="0"/>
          <w:sz w:val="24"/>
          <w:szCs w:val="24"/>
          <w:lang w:val="en-GB" w:eastAsia="en-GB"/>
          <w14:ligatures w14:val="none"/>
        </w:rPr>
        <w:t xml:space="preserve">in legal clarity, operational mechanisms, planning integration, and institutional capacity. Anchored in evidence of SPZ discrepancies, partial GWD transposition in BiH, and fragmented monitoring, these gaps highlight the urgent need for harmonized methodologies, and stronger institutional coordination to ensure effective governance of </w:t>
      </w:r>
      <w:r w:rsidR="00C01983">
        <w:rPr>
          <w:rFonts w:ascii="Calibri" w:eastAsia="Times New Roman" w:hAnsi="Calibri" w:cs="Calibri"/>
          <w:kern w:val="0"/>
          <w:sz w:val="24"/>
          <w:szCs w:val="24"/>
          <w:lang w:val="en-GB" w:eastAsia="en-GB"/>
          <w14:ligatures w14:val="none"/>
        </w:rPr>
        <w:t>transboundary</w:t>
      </w:r>
      <w:r w:rsidR="00C01983" w:rsidRPr="00EC05AE">
        <w:rPr>
          <w:rFonts w:ascii="Calibri" w:eastAsia="Times New Roman" w:hAnsi="Calibri" w:cs="Calibri"/>
          <w:kern w:val="0"/>
          <w:sz w:val="24"/>
          <w:szCs w:val="24"/>
          <w:lang w:val="en-GB" w:eastAsia="en-GB"/>
          <w14:ligatures w14:val="none"/>
        </w:rPr>
        <w:t xml:space="preserve"> </w:t>
      </w:r>
      <w:r w:rsidRPr="00EC05AE">
        <w:rPr>
          <w:rFonts w:ascii="Calibri" w:eastAsia="Times New Roman" w:hAnsi="Calibri" w:cs="Calibri"/>
          <w:kern w:val="0"/>
          <w:sz w:val="24"/>
          <w:szCs w:val="24"/>
          <w:lang w:val="en-GB" w:eastAsia="en-GB"/>
          <w14:ligatures w14:val="none"/>
        </w:rPr>
        <w:t>karst aquifers.</w:t>
      </w:r>
    </w:p>
    <w:p w14:paraId="4DF229D1" w14:textId="28F81A2C" w:rsidR="00403A44" w:rsidRPr="00EC05AE" w:rsidRDefault="00403A44" w:rsidP="00EC05AE">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C05AE">
        <w:rPr>
          <w:rFonts w:ascii="Calibri" w:eastAsia="Times New Roman" w:hAnsi="Calibri" w:cs="Calibri"/>
          <w:kern w:val="0"/>
          <w:sz w:val="24"/>
          <w:szCs w:val="24"/>
          <w:lang w:val="en-GB" w:eastAsia="en-GB"/>
          <w14:ligatures w14:val="none"/>
        </w:rPr>
        <w:t xml:space="preserve">The diagnostic confirms that </w:t>
      </w:r>
      <w:r w:rsidR="00C01983">
        <w:rPr>
          <w:rFonts w:ascii="Calibri" w:eastAsia="Times New Roman" w:hAnsi="Calibri" w:cs="Calibri"/>
          <w:kern w:val="0"/>
          <w:sz w:val="24"/>
          <w:szCs w:val="24"/>
          <w:lang w:val="en-GB" w:eastAsia="en-GB"/>
          <w14:ligatures w14:val="none"/>
        </w:rPr>
        <w:t>HR</w:t>
      </w:r>
      <w:r w:rsidR="00C01983" w:rsidRPr="00EC05AE">
        <w:rPr>
          <w:rFonts w:ascii="Calibri" w:eastAsia="Times New Roman" w:hAnsi="Calibri" w:cs="Calibri"/>
          <w:kern w:val="0"/>
          <w:sz w:val="24"/>
          <w:szCs w:val="24"/>
          <w:lang w:val="en-GB" w:eastAsia="en-GB"/>
          <w14:ligatures w14:val="none"/>
        </w:rPr>
        <w:t xml:space="preserve"> </w:t>
      </w:r>
      <w:r w:rsidRPr="00EC05AE">
        <w:rPr>
          <w:rFonts w:ascii="Calibri" w:eastAsia="Times New Roman" w:hAnsi="Calibri" w:cs="Calibri"/>
          <w:kern w:val="0"/>
          <w:sz w:val="24"/>
          <w:szCs w:val="24"/>
          <w:lang w:val="en-GB" w:eastAsia="en-GB"/>
          <w14:ligatures w14:val="none"/>
        </w:rPr>
        <w:t>has largely harmonized its water legislation with the EU Water Framework Directive (WFD) and the Groundwater Directive (GWD), while Bosnia and Herzegovina remains partially compliant, with fragmented implementation across entities and cantons. These disparities create significant challenges for harmonized management of transboundary aquifers and underscore the need for targeted legal and institutional convergence.</w:t>
      </w:r>
    </w:p>
    <w:p w14:paraId="5E3B1F00" w14:textId="77777777" w:rsidR="00403A44" w:rsidRPr="00EC05AE" w:rsidRDefault="00403A44" w:rsidP="004F2AB1">
      <w:pPr>
        <w:pStyle w:val="Naslov2"/>
        <w:rPr>
          <w:rFonts w:eastAsia="Times New Roman"/>
          <w:lang w:val="en-GB" w:eastAsia="en-GB"/>
        </w:rPr>
      </w:pPr>
      <w:bookmarkStart w:id="4" w:name="_Toc229079451"/>
      <w:r w:rsidRPr="00EC05AE">
        <w:rPr>
          <w:rFonts w:eastAsia="Times New Roman"/>
          <w:lang w:val="en-GB" w:eastAsia="en-GB"/>
        </w:rPr>
        <w:t>4.1 Legal Clarity and Scope Gaps</w:t>
      </w:r>
      <w:bookmarkEnd w:id="4"/>
    </w:p>
    <w:p w14:paraId="0182C05C" w14:textId="179229A3" w:rsidR="00BF0663" w:rsidRPr="00EC3489" w:rsidRDefault="00120A8A" w:rsidP="00BF0663">
      <w:pPr>
        <w:pStyle w:val="StandardWeb"/>
        <w:jc w:val="both"/>
        <w:rPr>
          <w:rFonts w:ascii="Calibri" w:hAnsi="Calibri" w:cs="Calibri"/>
        </w:rPr>
      </w:pPr>
      <w:r w:rsidRPr="007A752D">
        <w:rPr>
          <w:rStyle w:val="Naglaeno"/>
          <w:rFonts w:ascii="Calibri" w:hAnsi="Calibri" w:cs="Calibri"/>
          <w:b w:val="0"/>
          <w:bCs w:val="0"/>
        </w:rPr>
        <w:t>The current bilateral Agreement on Water Management Relations (1996)</w:t>
      </w:r>
      <w:r w:rsidRPr="000C1958">
        <w:rPr>
          <w:rFonts w:ascii="Calibri" w:hAnsi="Calibri" w:cs="Calibri"/>
        </w:rPr>
        <w:t xml:space="preserve"> applies broadly to “water management relations” between </w:t>
      </w:r>
      <w:r w:rsidR="00C01983">
        <w:rPr>
          <w:rFonts w:ascii="Calibri" w:hAnsi="Calibri" w:cs="Calibri"/>
        </w:rPr>
        <w:t>BiH</w:t>
      </w:r>
      <w:r w:rsidRPr="000C1958">
        <w:rPr>
          <w:rFonts w:ascii="Calibri" w:hAnsi="Calibri" w:cs="Calibri"/>
        </w:rPr>
        <w:t xml:space="preserve"> and </w:t>
      </w:r>
      <w:r w:rsidR="00C01983">
        <w:rPr>
          <w:rFonts w:ascii="Calibri" w:hAnsi="Calibri" w:cs="Calibri"/>
        </w:rPr>
        <w:t>HR</w:t>
      </w:r>
      <w:r w:rsidRPr="000C1958">
        <w:rPr>
          <w:rFonts w:ascii="Calibri" w:hAnsi="Calibri" w:cs="Calibri"/>
        </w:rPr>
        <w:t xml:space="preserve">. It created the </w:t>
      </w:r>
      <w:r w:rsidR="00C01983" w:rsidRPr="000C1958">
        <w:rPr>
          <w:rFonts w:ascii="Calibri" w:hAnsi="Calibri" w:cs="Calibri"/>
        </w:rPr>
        <w:t>Joint Water Management Commission</w:t>
      </w:r>
      <w:r w:rsidR="00C01983">
        <w:rPr>
          <w:rFonts w:ascii="Calibri" w:hAnsi="Calibri" w:cs="Calibri"/>
        </w:rPr>
        <w:t xml:space="preserve"> </w:t>
      </w:r>
      <w:r w:rsidRPr="000C1958">
        <w:rPr>
          <w:rFonts w:ascii="Calibri" w:hAnsi="Calibri" w:cs="Calibri"/>
        </w:rPr>
        <w:t xml:space="preserve">as the institutional mechanism for cooperation. However, the Agreement </w:t>
      </w:r>
      <w:r w:rsidR="00BF0663">
        <w:rPr>
          <w:rFonts w:ascii="Calibri" w:hAnsi="Calibri" w:cs="Calibri"/>
        </w:rPr>
        <w:t xml:space="preserve">remains general and </w:t>
      </w:r>
      <w:r w:rsidRPr="000C1958">
        <w:rPr>
          <w:rFonts w:ascii="Calibri" w:hAnsi="Calibri" w:cs="Calibri"/>
        </w:rPr>
        <w:t>does not explicitly</w:t>
      </w:r>
      <w:r w:rsidR="00BF0663">
        <w:rPr>
          <w:rFonts w:ascii="Calibri" w:hAnsi="Calibri" w:cs="Calibri"/>
        </w:rPr>
        <w:t xml:space="preserve"> cover groundwater, which represents a fundamental gap, regarding the transboundary aquifers between the two countries. In </w:t>
      </w:r>
      <w:r w:rsidR="00C01983">
        <w:rPr>
          <w:rFonts w:ascii="Calibri" w:hAnsi="Calibri" w:cs="Calibri"/>
        </w:rPr>
        <w:t>addition,</w:t>
      </w:r>
      <w:r w:rsidR="00BF0663">
        <w:rPr>
          <w:rFonts w:ascii="Calibri" w:hAnsi="Calibri" w:cs="Calibri"/>
        </w:rPr>
        <w:t xml:space="preserve"> its principles do not address the specific characteristics of groundwater, not to mention the </w:t>
      </w:r>
      <w:r w:rsidR="000B50C6" w:rsidRPr="00EC3489">
        <w:rPr>
          <w:rFonts w:ascii="Calibri" w:hAnsi="Calibri" w:cs="Calibri"/>
        </w:rPr>
        <w:t>vulnerabilities</w:t>
      </w:r>
      <w:r w:rsidR="00BF0663" w:rsidRPr="00EC3489">
        <w:rPr>
          <w:rFonts w:ascii="Calibri" w:hAnsi="Calibri" w:cs="Calibri"/>
        </w:rPr>
        <w:t xml:space="preserve"> of karst aquifers.</w:t>
      </w:r>
      <w:r w:rsidR="00C01983">
        <w:rPr>
          <w:rFonts w:ascii="Calibri" w:hAnsi="Calibri" w:cs="Calibri"/>
        </w:rPr>
        <w:t xml:space="preserve"> </w:t>
      </w:r>
    </w:p>
    <w:p w14:paraId="723E348C" w14:textId="4F2FBE0F" w:rsidR="003214BD" w:rsidRPr="000C1958" w:rsidRDefault="00C01983" w:rsidP="000C1958">
      <w:pPr>
        <w:pStyle w:val="StandardWeb"/>
        <w:jc w:val="both"/>
        <w:rPr>
          <w:rFonts w:ascii="Calibri" w:hAnsi="Calibri" w:cs="Calibri"/>
        </w:rPr>
      </w:pPr>
      <w:r>
        <w:rPr>
          <w:rFonts w:ascii="Calibri" w:hAnsi="Calibri" w:cs="Calibri"/>
        </w:rPr>
        <w:t>HR</w:t>
      </w:r>
      <w:r w:rsidRPr="000C1958">
        <w:rPr>
          <w:rFonts w:ascii="Calibri" w:hAnsi="Calibri" w:cs="Calibri"/>
        </w:rPr>
        <w:t xml:space="preserve"> </w:t>
      </w:r>
      <w:r w:rsidR="003214BD" w:rsidRPr="000C1958">
        <w:rPr>
          <w:rFonts w:ascii="Calibri" w:hAnsi="Calibri" w:cs="Calibri"/>
        </w:rPr>
        <w:t xml:space="preserve">has fully transposed the EU Groundwater Directive, while </w:t>
      </w:r>
      <w:r>
        <w:rPr>
          <w:rFonts w:ascii="Calibri" w:hAnsi="Calibri" w:cs="Calibri"/>
        </w:rPr>
        <w:t>BiH</w:t>
      </w:r>
      <w:r w:rsidR="003214BD" w:rsidRPr="000C1958">
        <w:rPr>
          <w:rFonts w:ascii="Calibri" w:hAnsi="Calibri" w:cs="Calibri"/>
        </w:rPr>
        <w:t xml:space="preserve"> has only partially transposed GWD requirements. </w:t>
      </w:r>
      <w:r>
        <w:rPr>
          <w:rFonts w:ascii="Calibri" w:hAnsi="Calibri" w:cs="Calibri"/>
        </w:rPr>
        <w:t>HR</w:t>
      </w:r>
      <w:r w:rsidRPr="000C1958">
        <w:rPr>
          <w:rFonts w:ascii="Calibri" w:hAnsi="Calibri" w:cs="Calibri"/>
        </w:rPr>
        <w:t xml:space="preserve"> </w:t>
      </w:r>
      <w:r w:rsidR="003214BD" w:rsidRPr="000C1958">
        <w:rPr>
          <w:rFonts w:ascii="Calibri" w:hAnsi="Calibri" w:cs="Calibri"/>
        </w:rPr>
        <w:t>applies detailed criteria for</w:t>
      </w:r>
      <w:r>
        <w:rPr>
          <w:rFonts w:ascii="Calibri" w:hAnsi="Calibri" w:cs="Calibri"/>
        </w:rPr>
        <w:t xml:space="preserve"> delineation and establishment of protection measures in</w:t>
      </w:r>
      <w:r w:rsidR="003214BD" w:rsidRPr="000C1958">
        <w:rPr>
          <w:rFonts w:ascii="Calibri" w:hAnsi="Calibri" w:cs="Calibri"/>
        </w:rPr>
        <w:t xml:space="preserve"> sanitary protection zones (SPZ), whereas BiH regulates SPZ at the entity level with fragmented </w:t>
      </w:r>
      <w:r w:rsidR="00EC05AE" w:rsidRPr="00EC05AE">
        <w:rPr>
          <w:rFonts w:ascii="Calibri" w:hAnsi="Calibri" w:cs="Calibri"/>
        </w:rPr>
        <w:t>approaches.</w:t>
      </w:r>
      <w:r w:rsidR="003214BD" w:rsidRPr="000C1958">
        <w:rPr>
          <w:rFonts w:ascii="Calibri" w:hAnsi="Calibri" w:cs="Calibri"/>
        </w:rPr>
        <w:t xml:space="preserve"> Contrast to FB</w:t>
      </w:r>
      <w:r w:rsidR="00DE0CB7">
        <w:rPr>
          <w:rFonts w:ascii="Calibri" w:hAnsi="Calibri" w:cs="Calibri"/>
        </w:rPr>
        <w:t>i</w:t>
      </w:r>
      <w:r w:rsidR="00EC05AE" w:rsidRPr="00EC05AE">
        <w:rPr>
          <w:rFonts w:ascii="Calibri" w:hAnsi="Calibri" w:cs="Calibri"/>
        </w:rPr>
        <w:t xml:space="preserve">H, </w:t>
      </w:r>
      <w:r w:rsidR="00EC05AE">
        <w:rPr>
          <w:rFonts w:ascii="Calibri" w:hAnsi="Calibri" w:cs="Calibri"/>
        </w:rPr>
        <w:t>i</w:t>
      </w:r>
      <w:r w:rsidR="00EC05AE" w:rsidRPr="00EC05AE">
        <w:rPr>
          <w:rFonts w:ascii="Calibri" w:hAnsi="Calibri" w:cs="Calibri"/>
        </w:rPr>
        <w:t>n</w:t>
      </w:r>
      <w:r w:rsidR="003214BD" w:rsidRPr="000C1958">
        <w:rPr>
          <w:rFonts w:ascii="Calibri" w:hAnsi="Calibri" w:cs="Calibri"/>
        </w:rPr>
        <w:t xml:space="preserve"> RS there are no specific criteria for delineating zones in karst areas</w:t>
      </w:r>
      <w:r w:rsidR="00EC05AE">
        <w:rPr>
          <w:rFonts w:ascii="Calibri" w:hAnsi="Calibri" w:cs="Calibri"/>
        </w:rPr>
        <w:t>.</w:t>
      </w:r>
      <w:r w:rsidR="003214BD" w:rsidRPr="000C1958">
        <w:rPr>
          <w:rFonts w:ascii="Calibri" w:hAnsi="Calibri" w:cs="Calibri"/>
        </w:rPr>
        <w:t xml:space="preserve"> A critical gap in BiH is the lack of standardized entities’ methodologies for vulnerability assessment and uniform application of technical criteria. </w:t>
      </w:r>
    </w:p>
    <w:p w14:paraId="72329FF7" w14:textId="3FAA6C53" w:rsidR="00120A8A" w:rsidRPr="000C1958" w:rsidRDefault="00120A8A" w:rsidP="000C1958">
      <w:pPr>
        <w:pStyle w:val="StandardWeb"/>
        <w:jc w:val="both"/>
        <w:rPr>
          <w:rFonts w:ascii="Calibri" w:hAnsi="Calibri" w:cs="Calibri"/>
        </w:rPr>
      </w:pPr>
      <w:r w:rsidRPr="000C1958">
        <w:rPr>
          <w:rFonts w:ascii="Calibri" w:hAnsi="Calibri" w:cs="Calibri"/>
        </w:rPr>
        <w:t>Thus, the first major governance gap concerns insufficient legal specificity and cross</w:t>
      </w:r>
      <w:r w:rsidRPr="000C1958">
        <w:rPr>
          <w:rFonts w:ascii="Calibri" w:hAnsi="Calibri" w:cs="Calibri"/>
        </w:rPr>
        <w:noBreakHyphen/>
        <w:t xml:space="preserve">border clarity regarding </w:t>
      </w:r>
      <w:r w:rsidR="00DE0CB7">
        <w:rPr>
          <w:rFonts w:ascii="Calibri" w:hAnsi="Calibri" w:cs="Calibri"/>
        </w:rPr>
        <w:t>transboundary</w:t>
      </w:r>
      <w:r w:rsidR="00DE0CB7" w:rsidRPr="000C1958">
        <w:rPr>
          <w:rFonts w:ascii="Calibri" w:hAnsi="Calibri" w:cs="Calibri"/>
        </w:rPr>
        <w:t xml:space="preserve"> </w:t>
      </w:r>
      <w:r w:rsidR="00DE0CB7">
        <w:rPr>
          <w:rFonts w:ascii="Calibri" w:hAnsi="Calibri" w:cs="Calibri"/>
        </w:rPr>
        <w:t>groundwater</w:t>
      </w:r>
      <w:r w:rsidR="00DE0CB7" w:rsidRPr="000C1958">
        <w:rPr>
          <w:rFonts w:ascii="Calibri" w:hAnsi="Calibri" w:cs="Calibri"/>
        </w:rPr>
        <w:t xml:space="preserve"> </w:t>
      </w:r>
      <w:r w:rsidRPr="000C1958">
        <w:rPr>
          <w:rFonts w:ascii="Calibri" w:hAnsi="Calibri" w:cs="Calibri"/>
        </w:rPr>
        <w:t xml:space="preserve">and </w:t>
      </w:r>
      <w:r w:rsidR="00DE0CB7">
        <w:rPr>
          <w:rFonts w:ascii="Calibri" w:hAnsi="Calibri" w:cs="Calibri"/>
        </w:rPr>
        <w:t>its</w:t>
      </w:r>
      <w:r w:rsidR="00DE0CB7" w:rsidRPr="000C1958">
        <w:rPr>
          <w:rFonts w:ascii="Calibri" w:hAnsi="Calibri" w:cs="Calibri"/>
        </w:rPr>
        <w:t xml:space="preserve"> </w:t>
      </w:r>
      <w:r w:rsidRPr="000C1958">
        <w:rPr>
          <w:rFonts w:ascii="Calibri" w:hAnsi="Calibri" w:cs="Calibri"/>
        </w:rPr>
        <w:t xml:space="preserve">dependent ecosystems. </w:t>
      </w:r>
      <w:r w:rsidR="00DE0CB7" w:rsidRPr="00DE0CB7">
        <w:rPr>
          <w:rFonts w:ascii="Calibri" w:hAnsi="Calibri" w:cs="Calibri"/>
        </w:rPr>
        <w:t>Upgrading the Agreement to explicitly include transboundary aquifers and to provide for groundwater monitoring, data exchange, and aquifer</w:t>
      </w:r>
      <w:r w:rsidR="00DE0CB7" w:rsidRPr="00DE0CB7">
        <w:rPr>
          <w:rFonts w:ascii="Cambria Math" w:hAnsi="Cambria Math" w:cs="Cambria Math"/>
        </w:rPr>
        <w:t>‑</w:t>
      </w:r>
      <w:r w:rsidR="00DE0CB7" w:rsidRPr="00DE0CB7">
        <w:rPr>
          <w:rFonts w:ascii="Calibri" w:hAnsi="Calibri" w:cs="Calibri"/>
        </w:rPr>
        <w:t xml:space="preserve">specific management would significantly strengthen transboundary water governance between </w:t>
      </w:r>
      <w:r w:rsidR="00DE0CB7">
        <w:rPr>
          <w:rFonts w:ascii="Calibri" w:hAnsi="Calibri" w:cs="Calibri"/>
        </w:rPr>
        <w:t>BiH</w:t>
      </w:r>
      <w:r w:rsidR="00DE0CB7" w:rsidRPr="00DE0CB7">
        <w:rPr>
          <w:rFonts w:ascii="Calibri" w:hAnsi="Calibri" w:cs="Calibri"/>
        </w:rPr>
        <w:t xml:space="preserve"> and </w:t>
      </w:r>
      <w:r w:rsidR="00DE0CB7">
        <w:rPr>
          <w:rFonts w:ascii="Calibri" w:hAnsi="Calibri" w:cs="Calibri"/>
        </w:rPr>
        <w:t>HR</w:t>
      </w:r>
      <w:r w:rsidR="00EE276B">
        <w:rPr>
          <w:rFonts w:ascii="Calibri" w:hAnsi="Calibri" w:cs="Calibri"/>
        </w:rPr>
        <w:t xml:space="preserve">. </w:t>
      </w:r>
    </w:p>
    <w:p w14:paraId="1C1401FE" w14:textId="4FDBA496" w:rsidR="00403A44" w:rsidRPr="000C1958" w:rsidRDefault="00403A44" w:rsidP="004F2AB1">
      <w:pPr>
        <w:pStyle w:val="Naslov2"/>
        <w:rPr>
          <w:rFonts w:eastAsia="Times New Roman"/>
          <w:lang w:val="en-GB" w:eastAsia="en-GB"/>
        </w:rPr>
      </w:pPr>
      <w:bookmarkStart w:id="5" w:name="_Toc229079452"/>
      <w:r w:rsidRPr="000C1958">
        <w:rPr>
          <w:rFonts w:eastAsia="Times New Roman"/>
          <w:lang w:val="en-GB" w:eastAsia="en-GB"/>
        </w:rPr>
        <w:t>4.2 Monitoring and Data Gaps</w:t>
      </w:r>
      <w:bookmarkEnd w:id="5"/>
    </w:p>
    <w:p w14:paraId="4D385F89" w14:textId="71B81B73" w:rsidR="00F14F54" w:rsidRPr="000C1958" w:rsidRDefault="00F14F54" w:rsidP="000C1958">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0C1958">
        <w:rPr>
          <w:rFonts w:ascii="Calibri" w:eastAsia="Times New Roman" w:hAnsi="Calibri" w:cs="Calibri"/>
          <w:kern w:val="0"/>
          <w:sz w:val="24"/>
          <w:szCs w:val="24"/>
          <w:lang w:val="en-GB" w:eastAsia="en-GB"/>
          <w14:ligatures w14:val="none"/>
        </w:rPr>
        <w:t>Croatia applies a standardized methodology for groundwater monitoring, aligned with EU Common Implementation Strategy guidance. Monitoring networks cover quantitative and chemical parameters, ecological flows, and groundwater-dependent ecosystems, ensuring compliance with WFD and GWD requirements. Data are integrated into national information systems and made accessible under the INSPIRE Directive and the Act on the Right of Access to Information, promoting transparency.</w:t>
      </w:r>
    </w:p>
    <w:p w14:paraId="613350F4" w14:textId="099D0CF8" w:rsidR="00E46400" w:rsidRPr="000C1958" w:rsidRDefault="00F14F54" w:rsidP="00EC05AE">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0C1958">
        <w:rPr>
          <w:rFonts w:ascii="Calibri" w:eastAsia="Times New Roman" w:hAnsi="Calibri" w:cs="Calibri"/>
          <w:kern w:val="0"/>
          <w:sz w:val="24"/>
          <w:szCs w:val="24"/>
          <w:lang w:val="en-GB" w:eastAsia="en-GB"/>
          <w14:ligatures w14:val="none"/>
        </w:rPr>
        <w:lastRenderedPageBreak/>
        <w:t xml:space="preserve">In </w:t>
      </w:r>
      <w:r w:rsidR="00DE0CB7">
        <w:rPr>
          <w:rFonts w:ascii="Calibri" w:eastAsia="Times New Roman" w:hAnsi="Calibri" w:cs="Calibri"/>
          <w:kern w:val="0"/>
          <w:sz w:val="24"/>
          <w:szCs w:val="24"/>
          <w:lang w:val="en-GB" w:eastAsia="en-GB"/>
          <w14:ligatures w14:val="none"/>
        </w:rPr>
        <w:t>BiH</w:t>
      </w:r>
      <w:r w:rsidRPr="000C1958">
        <w:rPr>
          <w:rFonts w:ascii="Calibri" w:eastAsia="Times New Roman" w:hAnsi="Calibri" w:cs="Calibri"/>
          <w:kern w:val="0"/>
          <w:sz w:val="24"/>
          <w:szCs w:val="24"/>
          <w:lang w:val="en-GB" w:eastAsia="en-GB"/>
          <w14:ligatures w14:val="none"/>
        </w:rPr>
        <w:t xml:space="preserve">, monitoring obligations are legally prescribed but operationally weak. Monitoring of groundwater bodies is carried out on several groundwater bodies in the Sava basin in </w:t>
      </w:r>
      <w:proofErr w:type="gramStart"/>
      <w:r w:rsidRPr="000C1958">
        <w:rPr>
          <w:rFonts w:ascii="Calibri" w:eastAsia="Times New Roman" w:hAnsi="Calibri" w:cs="Calibri"/>
          <w:kern w:val="0"/>
          <w:sz w:val="24"/>
          <w:szCs w:val="24"/>
          <w:lang w:val="en-GB" w:eastAsia="en-GB"/>
          <w14:ligatures w14:val="none"/>
        </w:rPr>
        <w:t>FBiH</w:t>
      </w:r>
      <w:r w:rsidRPr="00EC05AE">
        <w:rPr>
          <w:rFonts w:ascii="Calibri" w:eastAsia="Times New Roman" w:hAnsi="Calibri" w:cs="Calibri"/>
          <w:kern w:val="0"/>
          <w:sz w:val="24"/>
          <w:szCs w:val="24"/>
          <w:lang w:val="en-GB" w:eastAsia="en-GB"/>
          <w14:ligatures w14:val="none"/>
        </w:rPr>
        <w:t xml:space="preserve">, </w:t>
      </w:r>
      <w:r w:rsidR="00EC05AE">
        <w:rPr>
          <w:rFonts w:ascii="Calibri" w:eastAsia="Times New Roman" w:hAnsi="Calibri" w:cs="Calibri"/>
          <w:kern w:val="0"/>
          <w:sz w:val="24"/>
          <w:szCs w:val="24"/>
          <w:lang w:val="en-GB" w:eastAsia="en-GB"/>
          <w14:ligatures w14:val="none"/>
        </w:rPr>
        <w:t>and</w:t>
      </w:r>
      <w:proofErr w:type="gramEnd"/>
      <w:r w:rsidRPr="00EC05AE">
        <w:rPr>
          <w:rFonts w:ascii="Calibri" w:eastAsia="Times New Roman" w:hAnsi="Calibri" w:cs="Calibri"/>
          <w:kern w:val="0"/>
          <w:sz w:val="24"/>
          <w:szCs w:val="24"/>
          <w:lang w:val="en-GB" w:eastAsia="en-GB"/>
          <w14:ligatures w14:val="none"/>
        </w:rPr>
        <w:t xml:space="preserve"> </w:t>
      </w:r>
      <w:r w:rsidRPr="000C1958">
        <w:rPr>
          <w:rFonts w:ascii="Calibri" w:eastAsia="Times New Roman" w:hAnsi="Calibri" w:cs="Calibri"/>
          <w:kern w:val="0"/>
          <w:sz w:val="24"/>
          <w:szCs w:val="24"/>
          <w:lang w:val="en-GB" w:eastAsia="en-GB"/>
          <w14:ligatures w14:val="none"/>
        </w:rPr>
        <w:t>typically focuses on drinking</w:t>
      </w:r>
      <w:r w:rsidRPr="000C1958">
        <w:rPr>
          <w:rFonts w:ascii="Cambria Math" w:eastAsia="Times New Roman" w:hAnsi="Cambria Math" w:cs="Cambria Math"/>
          <w:kern w:val="0"/>
          <w:sz w:val="24"/>
          <w:szCs w:val="24"/>
          <w:lang w:val="en-GB" w:eastAsia="en-GB"/>
          <w14:ligatures w14:val="none"/>
        </w:rPr>
        <w:t>‑</w:t>
      </w:r>
      <w:r w:rsidRPr="000C1958">
        <w:rPr>
          <w:rFonts w:ascii="Calibri" w:eastAsia="Times New Roman" w:hAnsi="Calibri" w:cs="Calibri"/>
          <w:kern w:val="0"/>
          <w:sz w:val="24"/>
          <w:szCs w:val="24"/>
          <w:lang w:val="en-GB" w:eastAsia="en-GB"/>
          <w14:ligatures w14:val="none"/>
        </w:rPr>
        <w:t>water sources</w:t>
      </w:r>
      <w:r w:rsidR="00DE0CB7">
        <w:rPr>
          <w:rFonts w:ascii="Calibri" w:eastAsia="Times New Roman" w:hAnsi="Calibri" w:cs="Calibri"/>
          <w:kern w:val="0"/>
          <w:sz w:val="24"/>
          <w:szCs w:val="24"/>
          <w:lang w:val="en-GB" w:eastAsia="en-GB"/>
          <w14:ligatures w14:val="none"/>
        </w:rPr>
        <w:t xml:space="preserve"> - </w:t>
      </w:r>
      <w:r w:rsidRPr="000C1958">
        <w:rPr>
          <w:rFonts w:ascii="Calibri" w:eastAsia="Times New Roman" w:hAnsi="Calibri" w:cs="Calibri"/>
          <w:kern w:val="0"/>
          <w:sz w:val="24"/>
          <w:szCs w:val="24"/>
          <w:lang w:val="en-GB" w:eastAsia="en-GB"/>
          <w14:ligatures w14:val="none"/>
        </w:rPr>
        <w:t>such as karst springs</w:t>
      </w:r>
      <w:r w:rsidR="00DE0CB7">
        <w:rPr>
          <w:rFonts w:ascii="Calibri" w:eastAsia="Times New Roman" w:hAnsi="Calibri" w:cs="Calibri"/>
          <w:kern w:val="0"/>
          <w:sz w:val="24"/>
          <w:szCs w:val="24"/>
          <w:lang w:val="en-GB" w:eastAsia="en-GB"/>
          <w14:ligatures w14:val="none"/>
        </w:rPr>
        <w:t xml:space="preserve"> - </w:t>
      </w:r>
      <w:r w:rsidRPr="000C1958">
        <w:rPr>
          <w:rFonts w:ascii="Calibri" w:eastAsia="Times New Roman" w:hAnsi="Calibri" w:cs="Calibri"/>
          <w:kern w:val="0"/>
          <w:sz w:val="24"/>
          <w:szCs w:val="24"/>
          <w:lang w:val="en-GB" w:eastAsia="en-GB"/>
          <w14:ligatures w14:val="none"/>
        </w:rPr>
        <w:t xml:space="preserve">rather than on groundwater bodies as integrated hydrogeological units and ecological indicators are rarely included. </w:t>
      </w:r>
      <w:r w:rsidR="00E46400" w:rsidRPr="000C1958">
        <w:rPr>
          <w:rFonts w:ascii="Calibri" w:eastAsia="Times New Roman" w:hAnsi="Calibri" w:cs="Calibri"/>
          <w:kern w:val="0"/>
          <w:sz w:val="24"/>
          <w:szCs w:val="24"/>
          <w:lang w:val="en-GB" w:eastAsia="en-GB"/>
          <w14:ligatures w14:val="none"/>
        </w:rPr>
        <w:t xml:space="preserve">Although each entity has developed its own Water Information System (VIS), these remain fragmented, with limited interoperability and poor data exchange between entities. </w:t>
      </w:r>
    </w:p>
    <w:p w14:paraId="1B8A8646" w14:textId="77777777" w:rsidR="00E46400" w:rsidRPr="000C1958" w:rsidRDefault="00403A44" w:rsidP="000C1958">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0C1958">
        <w:rPr>
          <w:rFonts w:ascii="Calibri" w:eastAsia="Times New Roman" w:hAnsi="Calibri" w:cs="Calibri"/>
          <w:kern w:val="0"/>
          <w:sz w:val="24"/>
          <w:szCs w:val="24"/>
          <w:lang w:val="en-GB" w:eastAsia="en-GB"/>
          <w14:ligatures w14:val="none"/>
        </w:rPr>
        <w:t xml:space="preserve">Both countries prohibit direct wastewater discharges but lack harmonized methodologies for assessing indirect infiltration risks. </w:t>
      </w:r>
    </w:p>
    <w:p w14:paraId="469D35F4" w14:textId="69074C86" w:rsidR="00403A44" w:rsidRPr="00EC05AE" w:rsidRDefault="00403A44" w:rsidP="00EC05AE">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C05AE">
        <w:rPr>
          <w:rFonts w:ascii="Calibri" w:eastAsia="Times New Roman" w:hAnsi="Calibri" w:cs="Calibri"/>
          <w:kern w:val="0"/>
          <w:sz w:val="24"/>
          <w:szCs w:val="24"/>
          <w:lang w:val="en-GB" w:eastAsia="en-GB"/>
          <w14:ligatures w14:val="none"/>
        </w:rPr>
        <w:t>No joint monitoring network exists</w:t>
      </w:r>
      <w:r w:rsidR="00EC05AE">
        <w:rPr>
          <w:rFonts w:ascii="Calibri" w:eastAsia="Times New Roman" w:hAnsi="Calibri" w:cs="Calibri"/>
          <w:kern w:val="0"/>
          <w:sz w:val="24"/>
          <w:szCs w:val="24"/>
          <w:lang w:val="en-GB" w:eastAsia="en-GB"/>
          <w14:ligatures w14:val="none"/>
        </w:rPr>
        <w:t xml:space="preserve"> between </w:t>
      </w:r>
      <w:r w:rsidR="00DE0CB7">
        <w:rPr>
          <w:rFonts w:ascii="Calibri" w:eastAsia="Times New Roman" w:hAnsi="Calibri" w:cs="Calibri"/>
          <w:kern w:val="0"/>
          <w:sz w:val="24"/>
          <w:szCs w:val="24"/>
          <w:lang w:val="en-GB" w:eastAsia="en-GB"/>
          <w14:ligatures w14:val="none"/>
        </w:rPr>
        <w:t xml:space="preserve">HR </w:t>
      </w:r>
      <w:r w:rsidR="00EC05AE">
        <w:rPr>
          <w:rFonts w:ascii="Calibri" w:eastAsia="Times New Roman" w:hAnsi="Calibri" w:cs="Calibri"/>
          <w:kern w:val="0"/>
          <w:sz w:val="24"/>
          <w:szCs w:val="24"/>
          <w:lang w:val="en-GB" w:eastAsia="en-GB"/>
          <w14:ligatures w14:val="none"/>
        </w:rPr>
        <w:t>and BIH</w:t>
      </w:r>
      <w:r w:rsidRPr="00EC05AE">
        <w:rPr>
          <w:rFonts w:ascii="Calibri" w:eastAsia="Times New Roman" w:hAnsi="Calibri" w:cs="Calibri"/>
          <w:kern w:val="0"/>
          <w:sz w:val="24"/>
          <w:szCs w:val="24"/>
          <w:lang w:val="en-GB" w:eastAsia="en-GB"/>
          <w14:ligatures w14:val="none"/>
        </w:rPr>
        <w:t xml:space="preserve">, and data exchange remains </w:t>
      </w:r>
      <w:r w:rsidR="0092649B" w:rsidRPr="00EC05AE">
        <w:rPr>
          <w:rFonts w:ascii="Calibri" w:eastAsia="Times New Roman" w:hAnsi="Calibri" w:cs="Calibri"/>
          <w:kern w:val="0"/>
          <w:sz w:val="24"/>
          <w:szCs w:val="24"/>
          <w:lang w:val="en-GB" w:eastAsia="en-GB"/>
          <w14:ligatures w14:val="none"/>
        </w:rPr>
        <w:t>very limited</w:t>
      </w:r>
      <w:r w:rsidR="00EE276B">
        <w:rPr>
          <w:rFonts w:ascii="Calibri" w:eastAsia="Times New Roman" w:hAnsi="Calibri" w:cs="Calibri"/>
          <w:kern w:val="0"/>
          <w:sz w:val="24"/>
          <w:szCs w:val="24"/>
          <w:lang w:val="en-GB" w:eastAsia="en-GB"/>
          <w14:ligatures w14:val="none"/>
        </w:rPr>
        <w:t>.</w:t>
      </w:r>
      <w:r w:rsidR="0092649B" w:rsidRPr="00EC05AE">
        <w:rPr>
          <w:rFonts w:ascii="Calibri" w:eastAsia="Times New Roman" w:hAnsi="Calibri" w:cs="Calibri"/>
          <w:kern w:val="0"/>
          <w:sz w:val="24"/>
          <w:szCs w:val="24"/>
          <w:lang w:val="en-GB" w:eastAsia="en-GB"/>
          <w14:ligatures w14:val="none"/>
        </w:rPr>
        <w:t xml:space="preserve"> </w:t>
      </w:r>
      <w:r w:rsidRPr="00EC05AE">
        <w:rPr>
          <w:rFonts w:ascii="Calibri" w:eastAsia="Times New Roman" w:hAnsi="Calibri" w:cs="Calibri"/>
          <w:kern w:val="0"/>
          <w:sz w:val="24"/>
          <w:szCs w:val="24"/>
          <w:lang w:val="en-GB" w:eastAsia="en-GB"/>
          <w14:ligatures w14:val="none"/>
        </w:rPr>
        <w:t xml:space="preserve">Without coordinated monitoring and harmonized parameters, </w:t>
      </w:r>
      <w:r w:rsidR="00B920BC" w:rsidRPr="00EC05AE">
        <w:rPr>
          <w:rFonts w:ascii="Calibri" w:eastAsia="Times New Roman" w:hAnsi="Calibri" w:cs="Calibri"/>
          <w:kern w:val="0"/>
          <w:sz w:val="24"/>
          <w:szCs w:val="24"/>
          <w:lang w:val="en-GB" w:eastAsia="en-GB"/>
          <w14:ligatures w14:val="none"/>
        </w:rPr>
        <w:t xml:space="preserve">transboundary </w:t>
      </w:r>
      <w:r w:rsidRPr="00EC05AE">
        <w:rPr>
          <w:rFonts w:ascii="Calibri" w:eastAsia="Times New Roman" w:hAnsi="Calibri" w:cs="Calibri"/>
          <w:kern w:val="0"/>
          <w:sz w:val="24"/>
          <w:szCs w:val="24"/>
          <w:lang w:val="en-GB" w:eastAsia="en-GB"/>
          <w14:ligatures w14:val="none"/>
        </w:rPr>
        <w:t>karst aquifers remain vulnerable to contamination events</w:t>
      </w:r>
      <w:r w:rsidR="00B920BC" w:rsidRPr="00EC05AE">
        <w:rPr>
          <w:rFonts w:ascii="Calibri" w:eastAsia="Times New Roman" w:hAnsi="Calibri" w:cs="Calibri"/>
          <w:kern w:val="0"/>
          <w:sz w:val="24"/>
          <w:szCs w:val="24"/>
          <w:lang w:val="en-GB" w:eastAsia="en-GB"/>
          <w14:ligatures w14:val="none"/>
        </w:rPr>
        <w:t>, constraining early warning and preventive action.</w:t>
      </w:r>
    </w:p>
    <w:p w14:paraId="5CCAF20A" w14:textId="2F527AEE" w:rsidR="00B57AF5" w:rsidRPr="00DE0CB7" w:rsidRDefault="00B57AF5" w:rsidP="000C1958">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0C1958">
        <w:rPr>
          <w:rStyle w:val="Naglaeno"/>
          <w:rFonts w:ascii="Calibri" w:hAnsi="Calibri" w:cs="Calibri"/>
          <w:sz w:val="24"/>
          <w:szCs w:val="24"/>
        </w:rPr>
        <w:t>Gap:</w:t>
      </w:r>
      <w:r w:rsidRPr="000C1958">
        <w:rPr>
          <w:rFonts w:ascii="Calibri" w:hAnsi="Calibri" w:cs="Calibri"/>
          <w:sz w:val="24"/>
          <w:szCs w:val="24"/>
        </w:rPr>
        <w:t xml:space="preserve"> </w:t>
      </w:r>
      <w:r w:rsidRPr="007A752D">
        <w:rPr>
          <w:rFonts w:ascii="Calibri" w:hAnsi="Calibri" w:cs="Calibri"/>
          <w:sz w:val="24"/>
          <w:szCs w:val="24"/>
          <w:lang w:val="en-GB"/>
        </w:rPr>
        <w:t>Absence of joint monitoring, harmonized parameters, and coordinated data exchange mechanisms.</w:t>
      </w:r>
    </w:p>
    <w:p w14:paraId="182BB2D3" w14:textId="77777777" w:rsidR="00403A44" w:rsidRPr="000C1958" w:rsidRDefault="00403A44" w:rsidP="004F2AB1">
      <w:pPr>
        <w:pStyle w:val="Naslov2"/>
        <w:rPr>
          <w:rFonts w:eastAsia="Times New Roman"/>
          <w:lang w:val="en-GB" w:eastAsia="en-GB"/>
        </w:rPr>
      </w:pPr>
      <w:bookmarkStart w:id="6" w:name="_Toc229079453"/>
      <w:r w:rsidRPr="000C1958">
        <w:rPr>
          <w:rFonts w:eastAsia="Times New Roman"/>
          <w:lang w:val="en-GB" w:eastAsia="en-GB"/>
        </w:rPr>
        <w:t>4.3 Planning Integration and Spatial Governance Gaps</w:t>
      </w:r>
      <w:bookmarkEnd w:id="6"/>
    </w:p>
    <w:p w14:paraId="5F7812AE" w14:textId="2C8A8AEC" w:rsidR="00403A44" w:rsidRPr="000C1958" w:rsidRDefault="007375C7" w:rsidP="000C1958">
      <w:pPr>
        <w:spacing w:before="100" w:beforeAutospacing="1" w:after="100" w:afterAutospacing="1" w:line="240" w:lineRule="auto"/>
        <w:jc w:val="both"/>
        <w:rPr>
          <w:rFonts w:ascii="Calibri" w:hAnsi="Calibri" w:cs="Calibri"/>
          <w:sz w:val="24"/>
          <w:szCs w:val="24"/>
          <w:lang w:val="en-GB"/>
        </w:rPr>
      </w:pPr>
      <w:r w:rsidRPr="007375C7">
        <w:rPr>
          <w:rFonts w:ascii="Calibri" w:eastAsia="Times New Roman" w:hAnsi="Calibri" w:cs="Calibri"/>
          <w:kern w:val="0"/>
          <w:sz w:val="24"/>
          <w:szCs w:val="24"/>
          <w:lang w:val="en-GB" w:eastAsia="en-GB"/>
          <w14:ligatures w14:val="none"/>
        </w:rPr>
        <w:t xml:space="preserve"> In principle, both countries struggle with delayed incorporation of SPZs into spatial plans and incomplete enforcement of restrictions, exposing sensitive recharge areas to uncontrolled land use changes, primarily due to limited administration capacity and financing sources for protection measures implementation</w:t>
      </w:r>
      <w:r>
        <w:rPr>
          <w:rFonts w:ascii="Calibri" w:eastAsia="Times New Roman" w:hAnsi="Calibri" w:cs="Calibri"/>
          <w:kern w:val="0"/>
          <w:sz w:val="24"/>
          <w:szCs w:val="24"/>
          <w:lang w:val="en-GB" w:eastAsia="en-GB"/>
          <w14:ligatures w14:val="none"/>
        </w:rPr>
        <w:t>.</w:t>
      </w:r>
      <w:r w:rsidRPr="007375C7">
        <w:rPr>
          <w:rFonts w:ascii="Calibri" w:eastAsia="Times New Roman" w:hAnsi="Calibri" w:cs="Calibri"/>
          <w:kern w:val="0"/>
          <w:sz w:val="24"/>
          <w:szCs w:val="24"/>
          <w:lang w:val="en-GB" w:eastAsia="en-GB"/>
          <w14:ligatures w14:val="none"/>
        </w:rPr>
        <w:t xml:space="preserve"> </w:t>
      </w:r>
      <w:r w:rsidR="0076084F" w:rsidRPr="0076084F">
        <w:rPr>
          <w:rFonts w:ascii="Calibri" w:eastAsia="Times New Roman" w:hAnsi="Calibri" w:cs="Calibri"/>
          <w:kern w:val="0"/>
          <w:sz w:val="24"/>
          <w:szCs w:val="24"/>
          <w:lang w:val="en-GB" w:eastAsia="en-GB"/>
          <w14:ligatures w14:val="none"/>
        </w:rPr>
        <w:t xml:space="preserve">Sanitary protection zones (SPZs) in the transboundary context </w:t>
      </w:r>
      <w:r w:rsidR="0076084F">
        <w:rPr>
          <w:rFonts w:ascii="Calibri" w:eastAsia="Times New Roman" w:hAnsi="Calibri" w:cs="Calibri"/>
          <w:kern w:val="0"/>
          <w:sz w:val="24"/>
          <w:szCs w:val="24"/>
          <w:lang w:val="en-GB" w:eastAsia="en-GB"/>
          <w14:ligatures w14:val="none"/>
        </w:rPr>
        <w:t xml:space="preserve">of TBAs </w:t>
      </w:r>
      <w:r w:rsidR="0076084F" w:rsidRPr="0076084F">
        <w:rPr>
          <w:rFonts w:ascii="Calibri" w:eastAsia="Times New Roman" w:hAnsi="Calibri" w:cs="Calibri"/>
          <w:kern w:val="0"/>
          <w:sz w:val="24"/>
          <w:szCs w:val="24"/>
          <w:lang w:val="en-GB" w:eastAsia="en-GB"/>
          <w14:ligatures w14:val="none"/>
        </w:rPr>
        <w:t xml:space="preserve">are not governed by a harmonised or jointly operationalised framework, despite the shared hydrogeological system. Although both </w:t>
      </w:r>
      <w:r w:rsidR="0076084F">
        <w:rPr>
          <w:rFonts w:ascii="Calibri" w:eastAsia="Times New Roman" w:hAnsi="Calibri" w:cs="Calibri"/>
          <w:kern w:val="0"/>
          <w:sz w:val="24"/>
          <w:szCs w:val="24"/>
          <w:lang w:val="en-GB" w:eastAsia="en-GB"/>
          <w14:ligatures w14:val="none"/>
        </w:rPr>
        <w:t>HR</w:t>
      </w:r>
      <w:r w:rsidR="0076084F" w:rsidRPr="0076084F">
        <w:rPr>
          <w:rFonts w:ascii="Calibri" w:eastAsia="Times New Roman" w:hAnsi="Calibri" w:cs="Calibri"/>
          <w:kern w:val="0"/>
          <w:sz w:val="24"/>
          <w:szCs w:val="24"/>
          <w:lang w:val="en-GB" w:eastAsia="en-GB"/>
          <w14:ligatures w14:val="none"/>
        </w:rPr>
        <w:t xml:space="preserve"> and </w:t>
      </w:r>
      <w:r w:rsidR="0076084F">
        <w:rPr>
          <w:rFonts w:ascii="Calibri" w:eastAsia="Times New Roman" w:hAnsi="Calibri" w:cs="Calibri"/>
          <w:kern w:val="0"/>
          <w:sz w:val="24"/>
          <w:szCs w:val="24"/>
          <w:lang w:val="en-GB" w:eastAsia="en-GB"/>
          <w14:ligatures w14:val="none"/>
        </w:rPr>
        <w:t>BiH</w:t>
      </w:r>
      <w:r w:rsidR="0076084F" w:rsidRPr="0076084F">
        <w:rPr>
          <w:rFonts w:ascii="Calibri" w:eastAsia="Times New Roman" w:hAnsi="Calibri" w:cs="Calibri"/>
          <w:kern w:val="0"/>
          <w:sz w:val="24"/>
          <w:szCs w:val="24"/>
          <w:lang w:val="en-GB" w:eastAsia="en-GB"/>
          <w14:ligatures w14:val="none"/>
        </w:rPr>
        <w:t xml:space="preserve"> require the establishment of SPZs, significant differences persist in delineation criteria, zoning approaches, vulnerability assessment methodologies</w:t>
      </w:r>
      <w:r w:rsidR="0076084F">
        <w:rPr>
          <w:rFonts w:ascii="Calibri" w:eastAsia="Times New Roman" w:hAnsi="Calibri" w:cs="Calibri"/>
          <w:kern w:val="0"/>
          <w:sz w:val="24"/>
          <w:szCs w:val="24"/>
          <w:lang w:val="en-GB" w:eastAsia="en-GB"/>
          <w14:ligatures w14:val="none"/>
        </w:rPr>
        <w:t>, protection measures</w:t>
      </w:r>
      <w:r w:rsidR="0076084F" w:rsidRPr="0076084F">
        <w:rPr>
          <w:rFonts w:ascii="Calibri" w:eastAsia="Times New Roman" w:hAnsi="Calibri" w:cs="Calibri"/>
          <w:kern w:val="0"/>
          <w:sz w:val="24"/>
          <w:szCs w:val="24"/>
          <w:lang w:val="en-GB" w:eastAsia="en-GB"/>
          <w14:ligatures w14:val="none"/>
        </w:rPr>
        <w:t xml:space="preserve"> and enforcement practices, which are applied unevenly in practice. A key </w:t>
      </w:r>
      <w:proofErr w:type="gramStart"/>
      <w:r>
        <w:rPr>
          <w:rFonts w:ascii="Calibri" w:eastAsia="Times New Roman" w:hAnsi="Calibri" w:cs="Calibri"/>
          <w:kern w:val="0"/>
          <w:sz w:val="24"/>
          <w:szCs w:val="24"/>
          <w:lang w:val="en-GB" w:eastAsia="en-GB"/>
          <w14:ligatures w14:val="none"/>
        </w:rPr>
        <w:t xml:space="preserve">issue </w:t>
      </w:r>
      <w:r w:rsidR="0076084F" w:rsidRPr="0076084F">
        <w:rPr>
          <w:rFonts w:ascii="Calibri" w:eastAsia="Times New Roman" w:hAnsi="Calibri" w:cs="Calibri"/>
          <w:kern w:val="0"/>
          <w:sz w:val="24"/>
          <w:szCs w:val="24"/>
          <w:lang w:val="en-GB" w:eastAsia="en-GB"/>
          <w14:ligatures w14:val="none"/>
        </w:rPr>
        <w:t xml:space="preserve"> is</w:t>
      </w:r>
      <w:proofErr w:type="gramEnd"/>
      <w:r w:rsidR="0076084F" w:rsidRPr="0076084F">
        <w:rPr>
          <w:rFonts w:ascii="Calibri" w:eastAsia="Times New Roman" w:hAnsi="Calibri" w:cs="Calibri"/>
          <w:kern w:val="0"/>
          <w:sz w:val="24"/>
          <w:szCs w:val="24"/>
          <w:lang w:val="en-GB" w:eastAsia="en-GB"/>
          <w14:ligatures w14:val="none"/>
        </w:rPr>
        <w:t xml:space="preserve"> the absence of mutual recognition of SPZs extending across the state border, leading to uncoordinated land</w:t>
      </w:r>
      <w:r w:rsidR="0076084F" w:rsidRPr="0076084F">
        <w:rPr>
          <w:rFonts w:ascii="Cambria Math" w:eastAsia="Times New Roman" w:hAnsi="Cambria Math" w:cs="Cambria Math"/>
          <w:kern w:val="0"/>
          <w:sz w:val="24"/>
          <w:szCs w:val="24"/>
          <w:lang w:val="en-GB" w:eastAsia="en-GB"/>
          <w14:ligatures w14:val="none"/>
        </w:rPr>
        <w:t>‑</w:t>
      </w:r>
      <w:r w:rsidR="0076084F" w:rsidRPr="0076084F">
        <w:rPr>
          <w:rFonts w:ascii="Calibri" w:eastAsia="Times New Roman" w:hAnsi="Calibri" w:cs="Calibri"/>
          <w:kern w:val="0"/>
          <w:sz w:val="24"/>
          <w:szCs w:val="24"/>
          <w:lang w:val="en-GB" w:eastAsia="en-GB"/>
          <w14:ligatures w14:val="none"/>
        </w:rPr>
        <w:t xml:space="preserve">use controls and inconsistent protection of </w:t>
      </w:r>
      <w:r w:rsidR="0076084F">
        <w:rPr>
          <w:rFonts w:ascii="Calibri" w:eastAsia="Times New Roman" w:hAnsi="Calibri" w:cs="Calibri"/>
          <w:kern w:val="0"/>
          <w:sz w:val="24"/>
          <w:szCs w:val="24"/>
          <w:lang w:val="en-GB" w:eastAsia="en-GB"/>
          <w14:ligatures w14:val="none"/>
        </w:rPr>
        <w:t>TBAs</w:t>
      </w:r>
      <w:r w:rsidR="0076084F" w:rsidRPr="0076084F">
        <w:rPr>
          <w:rFonts w:ascii="Calibri" w:eastAsia="Times New Roman" w:hAnsi="Calibri" w:cs="Calibri"/>
          <w:kern w:val="0"/>
          <w:sz w:val="24"/>
          <w:szCs w:val="24"/>
          <w:lang w:val="en-GB" w:eastAsia="en-GB"/>
          <w14:ligatures w14:val="none"/>
        </w:rPr>
        <w:t xml:space="preserve">. In addition, SPZs are insufficiently integrated into spatial and sectoral planning instruments, particularly in </w:t>
      </w:r>
      <w:r w:rsidR="0076084F">
        <w:rPr>
          <w:rFonts w:ascii="Calibri" w:eastAsia="Times New Roman" w:hAnsi="Calibri" w:cs="Calibri"/>
          <w:kern w:val="0"/>
          <w:sz w:val="24"/>
          <w:szCs w:val="24"/>
          <w:lang w:val="en-GB" w:eastAsia="en-GB"/>
          <w14:ligatures w14:val="none"/>
        </w:rPr>
        <w:t>BiH</w:t>
      </w:r>
      <w:r w:rsidR="0076084F" w:rsidRPr="0076084F">
        <w:rPr>
          <w:rFonts w:ascii="Calibri" w:eastAsia="Times New Roman" w:hAnsi="Calibri" w:cs="Calibri"/>
          <w:kern w:val="0"/>
          <w:sz w:val="24"/>
          <w:szCs w:val="24"/>
          <w:lang w:val="en-GB" w:eastAsia="en-GB"/>
          <w14:ligatures w14:val="none"/>
        </w:rPr>
        <w:t>, where many zones remain undesignated or outdated</w:t>
      </w:r>
      <w:r w:rsidR="00403A44" w:rsidRPr="000C1958">
        <w:rPr>
          <w:rFonts w:ascii="Calibri" w:eastAsia="Times New Roman" w:hAnsi="Calibri" w:cs="Calibri"/>
          <w:kern w:val="0"/>
          <w:sz w:val="24"/>
          <w:szCs w:val="24"/>
          <w:lang w:val="en-GB" w:eastAsia="en-GB"/>
          <w14:ligatures w14:val="none"/>
        </w:rPr>
        <w:t>.</w:t>
      </w:r>
      <w:r w:rsidR="0076084F">
        <w:rPr>
          <w:rFonts w:ascii="Calibri" w:eastAsia="Times New Roman" w:hAnsi="Calibri" w:cs="Calibri"/>
          <w:kern w:val="0"/>
          <w:sz w:val="24"/>
          <w:szCs w:val="24"/>
          <w:lang w:val="en-GB" w:eastAsia="en-GB"/>
          <w14:ligatures w14:val="none"/>
        </w:rPr>
        <w:t xml:space="preserve"> </w:t>
      </w:r>
      <w:r w:rsidR="0076084F" w:rsidRPr="0076084F">
        <w:rPr>
          <w:rFonts w:ascii="Calibri" w:eastAsia="Times New Roman" w:hAnsi="Calibri" w:cs="Calibri"/>
          <w:kern w:val="0"/>
          <w:sz w:val="24"/>
          <w:szCs w:val="24"/>
          <w:lang w:val="en-GB" w:eastAsia="en-GB"/>
          <w14:ligatures w14:val="none"/>
        </w:rPr>
        <w:t>Monitoring, remediation and risk</w:t>
      </w:r>
      <w:r w:rsidR="0076084F" w:rsidRPr="0076084F">
        <w:rPr>
          <w:rFonts w:ascii="Cambria Math" w:eastAsia="Times New Roman" w:hAnsi="Cambria Math" w:cs="Cambria Math"/>
          <w:kern w:val="0"/>
          <w:sz w:val="24"/>
          <w:szCs w:val="24"/>
          <w:lang w:val="en-GB" w:eastAsia="en-GB"/>
          <w14:ligatures w14:val="none"/>
        </w:rPr>
        <w:t>‑</w:t>
      </w:r>
      <w:r w:rsidR="0076084F" w:rsidRPr="0076084F">
        <w:rPr>
          <w:rFonts w:ascii="Calibri" w:eastAsia="Times New Roman" w:hAnsi="Calibri" w:cs="Calibri"/>
          <w:kern w:val="0"/>
          <w:sz w:val="24"/>
          <w:szCs w:val="24"/>
          <w:lang w:val="en-GB" w:eastAsia="en-GB"/>
          <w14:ligatures w14:val="none"/>
        </w:rPr>
        <w:t>response measures within SPZs are weak and rarely coordinated on a transboundary basis</w:t>
      </w:r>
      <w:r w:rsidR="0076084F">
        <w:rPr>
          <w:rFonts w:ascii="Calibri" w:eastAsia="Times New Roman" w:hAnsi="Calibri" w:cs="Calibri"/>
          <w:kern w:val="0"/>
          <w:sz w:val="24"/>
          <w:szCs w:val="24"/>
          <w:lang w:val="en-GB" w:eastAsia="en-GB"/>
          <w14:ligatures w14:val="none"/>
        </w:rPr>
        <w:t>.</w:t>
      </w:r>
      <w:r w:rsidR="0092649B" w:rsidRPr="000C1958">
        <w:rPr>
          <w:rFonts w:ascii="Calibri" w:hAnsi="Calibri" w:cs="Calibri"/>
          <w:sz w:val="24"/>
          <w:szCs w:val="24"/>
          <w:lang w:val="en-GB"/>
        </w:rPr>
        <w:t xml:space="preserve"> </w:t>
      </w:r>
    </w:p>
    <w:p w14:paraId="4963A0A8" w14:textId="6B8630D8" w:rsidR="003214BD" w:rsidRPr="000C1958" w:rsidRDefault="003214BD" w:rsidP="000C1958">
      <w:pPr>
        <w:spacing w:before="100" w:beforeAutospacing="1" w:after="100" w:afterAutospacing="1" w:line="240" w:lineRule="auto"/>
        <w:jc w:val="both"/>
        <w:rPr>
          <w:rFonts w:ascii="Calibri" w:hAnsi="Calibri" w:cs="Calibri"/>
          <w:sz w:val="24"/>
          <w:szCs w:val="24"/>
          <w:lang w:val="en-GB"/>
        </w:rPr>
      </w:pPr>
      <w:r w:rsidRPr="000C1958">
        <w:rPr>
          <w:rStyle w:val="Naglaeno"/>
          <w:rFonts w:ascii="Calibri" w:hAnsi="Calibri" w:cs="Calibri"/>
          <w:sz w:val="24"/>
          <w:szCs w:val="24"/>
        </w:rPr>
        <w:t>Gap:</w:t>
      </w:r>
      <w:r w:rsidRPr="000C1958">
        <w:rPr>
          <w:rFonts w:ascii="Calibri" w:hAnsi="Calibri" w:cs="Calibri"/>
          <w:sz w:val="24"/>
          <w:szCs w:val="24"/>
        </w:rPr>
        <w:t xml:space="preserve"> </w:t>
      </w:r>
      <w:r w:rsidR="007375C7" w:rsidRPr="000B50C6">
        <w:rPr>
          <w:rStyle w:val="Naglaeno"/>
          <w:rFonts w:ascii="Calibri" w:hAnsi="Calibri" w:cs="Calibri"/>
          <w:b w:val="0"/>
          <w:bCs w:val="0"/>
          <w:sz w:val="24"/>
          <w:szCs w:val="24"/>
          <w:lang w:val="en-GB"/>
        </w:rPr>
        <w:t xml:space="preserve">Inconsistent incorporation of SPZs into spatial plans </w:t>
      </w:r>
      <w:r w:rsidR="00C343DD" w:rsidRPr="000B50C6">
        <w:rPr>
          <w:rFonts w:ascii="Calibri" w:hAnsi="Calibri" w:cs="Calibri"/>
          <w:sz w:val="24"/>
          <w:szCs w:val="24"/>
          <w:lang w:val="en-GB"/>
        </w:rPr>
        <w:t xml:space="preserve">and </w:t>
      </w:r>
      <w:r w:rsidR="007375C7" w:rsidRPr="000B50C6">
        <w:rPr>
          <w:rFonts w:ascii="Calibri" w:hAnsi="Calibri" w:cs="Calibri"/>
          <w:sz w:val="24"/>
          <w:szCs w:val="24"/>
          <w:lang w:val="en-GB"/>
        </w:rPr>
        <w:t xml:space="preserve"> </w:t>
      </w:r>
      <w:r w:rsidR="0076084F" w:rsidRPr="000B50C6">
        <w:rPr>
          <w:rFonts w:ascii="Calibri" w:hAnsi="Calibri" w:cs="Calibri"/>
          <w:sz w:val="24"/>
          <w:szCs w:val="24"/>
          <w:lang w:val="en-GB"/>
        </w:rPr>
        <w:t>absence of a harmonised, legally anchored and jointly implemented transboundary framework for sanitary protection zones, resulting in fragmented land</w:t>
      </w:r>
      <w:r w:rsidR="0076084F" w:rsidRPr="000B50C6">
        <w:rPr>
          <w:rFonts w:ascii="Cambria Math" w:hAnsi="Cambria Math" w:cs="Cambria Math"/>
          <w:sz w:val="24"/>
          <w:szCs w:val="24"/>
          <w:lang w:val="en-GB"/>
        </w:rPr>
        <w:t>‑</w:t>
      </w:r>
      <w:r w:rsidR="0076084F" w:rsidRPr="000B50C6">
        <w:rPr>
          <w:rFonts w:ascii="Calibri" w:hAnsi="Calibri" w:cs="Calibri"/>
          <w:sz w:val="24"/>
          <w:szCs w:val="24"/>
          <w:lang w:val="en-GB"/>
        </w:rPr>
        <w:t>use controls, inconsistent protection, and weakly coordinated monitoring, enforcement and risk management across transboundary aquifers</w:t>
      </w:r>
      <w:r w:rsidR="0076084F" w:rsidRPr="0076084F">
        <w:rPr>
          <w:rFonts w:ascii="Calibri" w:hAnsi="Calibri" w:cs="Calibri"/>
          <w:sz w:val="24"/>
          <w:szCs w:val="24"/>
          <w:lang w:val="en-GB"/>
        </w:rPr>
        <w:t>.</w:t>
      </w:r>
    </w:p>
    <w:p w14:paraId="1C7188BC" w14:textId="77777777" w:rsidR="00403A44" w:rsidRPr="00EC05AE" w:rsidRDefault="00403A44" w:rsidP="004F2AB1">
      <w:pPr>
        <w:pStyle w:val="Naslov2"/>
        <w:rPr>
          <w:rFonts w:eastAsia="Times New Roman"/>
          <w:lang w:val="en-GB" w:eastAsia="en-GB"/>
        </w:rPr>
      </w:pPr>
      <w:bookmarkStart w:id="7" w:name="_Toc229079454"/>
      <w:r w:rsidRPr="00EC05AE">
        <w:rPr>
          <w:rFonts w:eastAsia="Times New Roman"/>
          <w:lang w:val="en-GB" w:eastAsia="en-GB"/>
        </w:rPr>
        <w:t>4.4 Institutional Capacity and Compliance Gaps</w:t>
      </w:r>
      <w:bookmarkEnd w:id="7"/>
    </w:p>
    <w:p w14:paraId="5961A613" w14:textId="6520F466" w:rsidR="000C471C" w:rsidRPr="000C471C" w:rsidRDefault="000C471C" w:rsidP="000C471C">
      <w:pPr>
        <w:pStyle w:val="StandardWeb"/>
        <w:jc w:val="both"/>
        <w:rPr>
          <w:rFonts w:ascii="Calibri" w:hAnsi="Calibri" w:cs="Calibri"/>
        </w:rPr>
      </w:pPr>
      <w:r w:rsidRPr="000C471C">
        <w:rPr>
          <w:rFonts w:ascii="Calibri" w:hAnsi="Calibri" w:cs="Calibri"/>
        </w:rPr>
        <w:t xml:space="preserve">In transboundary aquifer governance between </w:t>
      </w:r>
      <w:r>
        <w:rPr>
          <w:rFonts w:ascii="Calibri" w:hAnsi="Calibri" w:cs="Calibri"/>
        </w:rPr>
        <w:t>HR</w:t>
      </w:r>
      <w:r w:rsidRPr="000C471C">
        <w:rPr>
          <w:rFonts w:ascii="Calibri" w:hAnsi="Calibri" w:cs="Calibri"/>
        </w:rPr>
        <w:t xml:space="preserve"> and </w:t>
      </w:r>
      <w:r>
        <w:rPr>
          <w:rFonts w:ascii="Calibri" w:hAnsi="Calibri" w:cs="Calibri"/>
        </w:rPr>
        <w:t>BiH</w:t>
      </w:r>
      <w:r w:rsidRPr="000C471C">
        <w:rPr>
          <w:rFonts w:ascii="Calibri" w:hAnsi="Calibri" w:cs="Calibri"/>
        </w:rPr>
        <w:t xml:space="preserve">, enforcement capacity and institutional coordination remain key constraints. </w:t>
      </w:r>
      <w:r>
        <w:rPr>
          <w:rFonts w:ascii="Calibri" w:hAnsi="Calibri" w:cs="Calibri"/>
        </w:rPr>
        <w:t>HR</w:t>
      </w:r>
      <w:r w:rsidRPr="000C471C">
        <w:rPr>
          <w:rFonts w:ascii="Calibri" w:hAnsi="Calibri" w:cs="Calibri"/>
        </w:rPr>
        <w:t xml:space="preserve"> operates within a more centralized framework led by the competent ministry and Croatian Waters, but effective compliance monitoring is limited by resource constraints and uneven capacities at local level, particularly in rural and karst areas.</w:t>
      </w:r>
    </w:p>
    <w:p w14:paraId="41767317" w14:textId="09A9BF7A" w:rsidR="003214BD" w:rsidRPr="00EC05AE" w:rsidRDefault="000C471C" w:rsidP="00EC05AE">
      <w:pPr>
        <w:pStyle w:val="StandardWeb"/>
        <w:jc w:val="both"/>
        <w:rPr>
          <w:rFonts w:ascii="Calibri" w:hAnsi="Calibri" w:cs="Calibri"/>
        </w:rPr>
      </w:pPr>
      <w:r w:rsidRPr="007A752D">
        <w:rPr>
          <w:rFonts w:ascii="Calibri" w:hAnsi="Calibri" w:cs="Calibri"/>
        </w:rPr>
        <w:lastRenderedPageBreak/>
        <w:t xml:space="preserve">BiH faces more severe challenges due to </w:t>
      </w:r>
      <w:r w:rsidR="00932B32" w:rsidRPr="007A752D">
        <w:rPr>
          <w:rFonts w:ascii="Calibri" w:hAnsi="Calibri" w:cs="Calibri"/>
        </w:rPr>
        <w:t>decentralise</w:t>
      </w:r>
      <w:r w:rsidR="000B50C6">
        <w:rPr>
          <w:rFonts w:ascii="Calibri" w:hAnsi="Calibri" w:cs="Calibri"/>
        </w:rPr>
        <w:t>d</w:t>
      </w:r>
      <w:r w:rsidRPr="007A752D">
        <w:rPr>
          <w:rFonts w:ascii="Calibri" w:hAnsi="Calibri" w:cs="Calibri"/>
        </w:rPr>
        <w:t xml:space="preserve"> governance and </w:t>
      </w:r>
      <w:r w:rsidR="00C343DD" w:rsidRPr="007A752D">
        <w:rPr>
          <w:rFonts w:ascii="Calibri" w:hAnsi="Calibri" w:cs="Calibri"/>
        </w:rPr>
        <w:t>distributed</w:t>
      </w:r>
      <w:r w:rsidR="00C343DD">
        <w:rPr>
          <w:rFonts w:ascii="Calibri" w:hAnsi="Calibri" w:cs="Calibri"/>
        </w:rPr>
        <w:t xml:space="preserve"> </w:t>
      </w:r>
      <w:r w:rsidRPr="000C471C">
        <w:rPr>
          <w:rFonts w:ascii="Calibri" w:hAnsi="Calibri" w:cs="Calibri"/>
        </w:rPr>
        <w:t>competences across multiple administrative levels, resulting in under</w:t>
      </w:r>
      <w:r w:rsidRPr="000C471C">
        <w:rPr>
          <w:rFonts w:ascii="Cambria Math" w:hAnsi="Cambria Math" w:cs="Cambria Math"/>
        </w:rPr>
        <w:t>‑</w:t>
      </w:r>
      <w:r w:rsidRPr="000C471C">
        <w:rPr>
          <w:rFonts w:ascii="Calibri" w:hAnsi="Calibri" w:cs="Calibri"/>
        </w:rPr>
        <w:t>resourced inspectorates, reactive enforcement and weak coordination between entities. Although both countries formally recognise polluter</w:t>
      </w:r>
      <w:r w:rsidRPr="000C471C">
        <w:rPr>
          <w:rFonts w:ascii="Cambria Math" w:hAnsi="Cambria Math" w:cs="Cambria Math"/>
        </w:rPr>
        <w:t>‑</w:t>
      </w:r>
      <w:r w:rsidRPr="000C471C">
        <w:rPr>
          <w:rFonts w:ascii="Calibri" w:hAnsi="Calibri" w:cs="Calibri"/>
        </w:rPr>
        <w:t>pays and cost</w:t>
      </w:r>
      <w:r w:rsidRPr="000C471C">
        <w:rPr>
          <w:rFonts w:ascii="Cambria Math" w:hAnsi="Cambria Math" w:cs="Cambria Math"/>
        </w:rPr>
        <w:t>‑</w:t>
      </w:r>
      <w:r w:rsidRPr="000C471C">
        <w:rPr>
          <w:rFonts w:ascii="Calibri" w:hAnsi="Calibri" w:cs="Calibri"/>
        </w:rPr>
        <w:t xml:space="preserve">recovery principles, their application is inconsistent in </w:t>
      </w:r>
      <w:r>
        <w:rPr>
          <w:rFonts w:ascii="Calibri" w:hAnsi="Calibri" w:cs="Calibri"/>
        </w:rPr>
        <w:t>HR</w:t>
      </w:r>
      <w:r w:rsidRPr="000C471C">
        <w:rPr>
          <w:rFonts w:ascii="Calibri" w:hAnsi="Calibri" w:cs="Calibri"/>
        </w:rPr>
        <w:t xml:space="preserve"> and largely non</w:t>
      </w:r>
      <w:r w:rsidRPr="000C471C">
        <w:rPr>
          <w:rFonts w:ascii="Cambria Math" w:hAnsi="Cambria Math" w:cs="Cambria Math"/>
        </w:rPr>
        <w:t>‑</w:t>
      </w:r>
      <w:r w:rsidRPr="000C471C">
        <w:rPr>
          <w:rFonts w:ascii="Calibri" w:hAnsi="Calibri" w:cs="Calibri"/>
        </w:rPr>
        <w:t>operational in Bosnia and Herzegovina, leaving insufficient financial support for monitoring, enforcement and remediation.</w:t>
      </w:r>
    </w:p>
    <w:p w14:paraId="782A076D" w14:textId="7F98E552" w:rsidR="003214BD" w:rsidRPr="000B50C6" w:rsidRDefault="003214BD" w:rsidP="00EC05AE">
      <w:pPr>
        <w:pStyle w:val="StandardWeb"/>
        <w:jc w:val="both"/>
        <w:rPr>
          <w:rFonts w:ascii="Calibri" w:hAnsi="Calibri" w:cs="Calibri"/>
        </w:rPr>
      </w:pPr>
      <w:r w:rsidRPr="000B50C6">
        <w:rPr>
          <w:rStyle w:val="Naglaeno"/>
          <w:rFonts w:ascii="Calibri" w:hAnsi="Calibri" w:cs="Calibri"/>
        </w:rPr>
        <w:t>Gap:</w:t>
      </w:r>
      <w:r w:rsidRPr="000B50C6">
        <w:rPr>
          <w:rFonts w:ascii="Calibri" w:hAnsi="Calibri" w:cs="Calibri"/>
        </w:rPr>
        <w:t xml:space="preserve"> </w:t>
      </w:r>
      <w:r w:rsidR="000C471C" w:rsidRPr="000B50C6">
        <w:rPr>
          <w:rFonts w:ascii="Calibri" w:hAnsi="Calibri" w:cs="Calibri"/>
        </w:rPr>
        <w:t>Insufficient institutional capacity, financing and cross</w:t>
      </w:r>
      <w:r w:rsidR="000C471C" w:rsidRPr="000B50C6">
        <w:rPr>
          <w:rFonts w:ascii="Cambria Math" w:hAnsi="Cambria Math" w:cs="Cambria Math"/>
        </w:rPr>
        <w:t>‑</w:t>
      </w:r>
      <w:r w:rsidR="000C471C" w:rsidRPr="000B50C6">
        <w:rPr>
          <w:rFonts w:ascii="Calibri" w:hAnsi="Calibri" w:cs="Calibri"/>
        </w:rPr>
        <w:t>border coordination between HR and BiH limit the effective enforcement of groundwater</w:t>
      </w:r>
      <w:r w:rsidR="000C471C" w:rsidRPr="000B50C6">
        <w:rPr>
          <w:rFonts w:ascii="Cambria Math" w:hAnsi="Cambria Math" w:cs="Cambria Math"/>
        </w:rPr>
        <w:t>‑</w:t>
      </w:r>
      <w:r w:rsidR="000C471C" w:rsidRPr="000B50C6">
        <w:rPr>
          <w:rFonts w:ascii="Calibri" w:hAnsi="Calibri" w:cs="Calibri"/>
        </w:rPr>
        <w:t>specific protection measures in transboundary aquifers.</w:t>
      </w:r>
    </w:p>
    <w:p w14:paraId="569BA50E" w14:textId="0372A3B2" w:rsidR="0076514E" w:rsidRPr="000C1958" w:rsidRDefault="0076514E" w:rsidP="004F2AB1">
      <w:pPr>
        <w:pStyle w:val="Naslov1"/>
        <w:rPr>
          <w:lang w:val="en-GB"/>
        </w:rPr>
      </w:pPr>
      <w:bookmarkStart w:id="8" w:name="_Toc229079455"/>
      <w:r w:rsidRPr="000C1958">
        <w:rPr>
          <w:lang w:val="en-GB"/>
        </w:rPr>
        <w:t xml:space="preserve">5. </w:t>
      </w:r>
      <w:r w:rsidR="003B05C5" w:rsidRPr="000C1958">
        <w:rPr>
          <w:lang w:val="en-GB"/>
        </w:rPr>
        <w:t xml:space="preserve">Evidence from the Una </w:t>
      </w:r>
      <w:r w:rsidR="00EC05AE">
        <w:rPr>
          <w:lang w:val="en-GB"/>
        </w:rPr>
        <w:t xml:space="preserve">and Neretva </w:t>
      </w:r>
      <w:r w:rsidR="003B05C5" w:rsidRPr="000C1958">
        <w:rPr>
          <w:lang w:val="en-GB"/>
        </w:rPr>
        <w:t>TBA</w:t>
      </w:r>
      <w:r w:rsidR="0061567F">
        <w:rPr>
          <w:lang w:val="en-GB"/>
        </w:rPr>
        <w:t>s</w:t>
      </w:r>
      <w:r w:rsidR="003B05C5" w:rsidRPr="000C1958">
        <w:rPr>
          <w:lang w:val="en-GB"/>
        </w:rPr>
        <w:t>: why amendments are needed?</w:t>
      </w:r>
      <w:bookmarkEnd w:id="8"/>
      <w:r w:rsidRPr="000C1958">
        <w:rPr>
          <w:lang w:val="en-GB"/>
        </w:rPr>
        <w:t xml:space="preserve"> </w:t>
      </w:r>
    </w:p>
    <w:p w14:paraId="7E3F70B6" w14:textId="27A2785F" w:rsidR="003F4BEB" w:rsidRPr="000C1958" w:rsidRDefault="003F4BEB" w:rsidP="000C1958">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0C1958">
        <w:rPr>
          <w:rFonts w:ascii="Calibri" w:eastAsia="Times New Roman" w:hAnsi="Calibri" w:cs="Calibri"/>
          <w:kern w:val="0"/>
          <w:sz w:val="24"/>
          <w:szCs w:val="24"/>
          <w:lang w:val="en-GB" w:eastAsia="en-GB"/>
          <w14:ligatures w14:val="none"/>
        </w:rPr>
        <w:t xml:space="preserve">The diagnostic analysis and </w:t>
      </w:r>
      <w:r w:rsidR="00A90A70" w:rsidRPr="000C1958">
        <w:rPr>
          <w:rFonts w:ascii="Calibri" w:eastAsia="Times New Roman" w:hAnsi="Calibri" w:cs="Calibri"/>
          <w:kern w:val="0"/>
          <w:sz w:val="24"/>
          <w:szCs w:val="24"/>
          <w:lang w:val="en-GB" w:eastAsia="en-GB"/>
          <w14:ligatures w14:val="none"/>
        </w:rPr>
        <w:t>evidence</w:t>
      </w:r>
      <w:r w:rsidRPr="000C1958">
        <w:rPr>
          <w:rFonts w:ascii="Calibri" w:eastAsia="Times New Roman" w:hAnsi="Calibri" w:cs="Calibri"/>
          <w:kern w:val="0"/>
          <w:sz w:val="24"/>
          <w:szCs w:val="24"/>
          <w:lang w:val="en-GB" w:eastAsia="en-GB"/>
          <w14:ligatures w14:val="none"/>
        </w:rPr>
        <w:t xml:space="preserve"> from the Una and Neretva transboundary aquifers</w:t>
      </w:r>
      <w:r w:rsidR="00A90A70">
        <w:rPr>
          <w:rFonts w:ascii="Calibri" w:eastAsia="Times New Roman" w:hAnsi="Calibri" w:cs="Calibri"/>
          <w:kern w:val="0"/>
          <w:sz w:val="24"/>
          <w:szCs w:val="24"/>
          <w:lang w:val="en-GB" w:eastAsia="en-GB"/>
          <w14:ligatures w14:val="none"/>
        </w:rPr>
        <w:t xml:space="preserve"> (TBA)</w:t>
      </w:r>
      <w:r w:rsidRPr="000C1958">
        <w:rPr>
          <w:rFonts w:ascii="Calibri" w:eastAsia="Times New Roman" w:hAnsi="Calibri" w:cs="Calibri"/>
          <w:kern w:val="0"/>
          <w:sz w:val="24"/>
          <w:szCs w:val="24"/>
          <w:lang w:val="en-GB" w:eastAsia="en-GB"/>
          <w14:ligatures w14:val="none"/>
        </w:rPr>
        <w:t xml:space="preserve"> </w:t>
      </w:r>
      <w:r w:rsidR="00EC05AE" w:rsidRPr="00EC05AE">
        <w:rPr>
          <w:rFonts w:ascii="Calibri" w:eastAsia="Times New Roman" w:hAnsi="Calibri" w:cs="Calibri"/>
          <w:kern w:val="0"/>
          <w:sz w:val="24"/>
          <w:szCs w:val="24"/>
          <w:lang w:val="en-GB" w:eastAsia="en-GB"/>
          <w14:ligatures w14:val="none"/>
        </w:rPr>
        <w:t>demonstrate</w:t>
      </w:r>
      <w:r w:rsidRPr="000C1958">
        <w:rPr>
          <w:rFonts w:ascii="Calibri" w:eastAsia="Times New Roman" w:hAnsi="Calibri" w:cs="Calibri"/>
          <w:kern w:val="0"/>
          <w:sz w:val="24"/>
          <w:szCs w:val="24"/>
          <w:lang w:val="en-GB" w:eastAsia="en-GB"/>
          <w14:ligatures w14:val="none"/>
        </w:rPr>
        <w:t xml:space="preserve"> that hydrogeological vulnerability, localized pressure hotspots, and insufficiently operationalized cross</w:t>
      </w:r>
      <w:r w:rsidRPr="000C1958">
        <w:rPr>
          <w:rFonts w:ascii="Calibri" w:eastAsia="Times New Roman" w:hAnsi="Calibri" w:cs="Calibri"/>
          <w:kern w:val="0"/>
          <w:sz w:val="24"/>
          <w:szCs w:val="24"/>
          <w:lang w:val="en-GB" w:eastAsia="en-GB"/>
          <w14:ligatures w14:val="none"/>
        </w:rPr>
        <w:noBreakHyphen/>
        <w:t>border coordination mechanisms require targeted amendments to the 1996 Agreement.</w:t>
      </w:r>
    </w:p>
    <w:p w14:paraId="62D3E443" w14:textId="73851343" w:rsidR="003F4BEB" w:rsidRPr="000C1958" w:rsidRDefault="004F2AB1" w:rsidP="004F2AB1">
      <w:pPr>
        <w:pStyle w:val="Naslov2"/>
        <w:rPr>
          <w:rFonts w:eastAsia="Times New Roman"/>
          <w:lang w:val="en-GB" w:eastAsia="en-GB"/>
        </w:rPr>
      </w:pPr>
      <w:bookmarkStart w:id="9" w:name="_Toc229079456"/>
      <w:r>
        <w:rPr>
          <w:rFonts w:eastAsia="Times New Roman"/>
          <w:lang w:val="en-GB" w:eastAsia="en-GB"/>
        </w:rPr>
        <w:t xml:space="preserve">5.1 </w:t>
      </w:r>
      <w:r w:rsidR="003F4BEB" w:rsidRPr="000C1958">
        <w:rPr>
          <w:rFonts w:eastAsia="Times New Roman"/>
          <w:lang w:val="en-GB" w:eastAsia="en-GB"/>
        </w:rPr>
        <w:t>Karst Vulnerability and Connectivity</w:t>
      </w:r>
      <w:bookmarkEnd w:id="9"/>
    </w:p>
    <w:p w14:paraId="75E8B8C6" w14:textId="1EF09879" w:rsidR="003F4BEB" w:rsidRPr="000C1958" w:rsidRDefault="003F4BEB" w:rsidP="000C1958">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0C1958">
        <w:rPr>
          <w:rFonts w:ascii="Calibri" w:eastAsia="Times New Roman" w:hAnsi="Calibri" w:cs="Calibri"/>
          <w:kern w:val="0"/>
          <w:sz w:val="24"/>
          <w:szCs w:val="24"/>
          <w:lang w:val="en-GB" w:eastAsia="en-GB"/>
          <w14:ligatures w14:val="none"/>
        </w:rPr>
        <w:t xml:space="preserve">Both </w:t>
      </w:r>
      <w:r w:rsidR="00A90A70">
        <w:rPr>
          <w:rFonts w:ascii="Calibri" w:eastAsia="Times New Roman" w:hAnsi="Calibri" w:cs="Calibri"/>
          <w:kern w:val="0"/>
          <w:sz w:val="24"/>
          <w:szCs w:val="24"/>
          <w:lang w:val="en-GB" w:eastAsia="en-GB"/>
          <w14:ligatures w14:val="none"/>
        </w:rPr>
        <w:t>TBAs</w:t>
      </w:r>
      <w:r w:rsidR="00A90A70" w:rsidRPr="000C1958">
        <w:rPr>
          <w:rFonts w:ascii="Calibri" w:eastAsia="Times New Roman" w:hAnsi="Calibri" w:cs="Calibri"/>
          <w:kern w:val="0"/>
          <w:sz w:val="24"/>
          <w:szCs w:val="24"/>
          <w:lang w:val="en-GB" w:eastAsia="en-GB"/>
          <w14:ligatures w14:val="none"/>
        </w:rPr>
        <w:t xml:space="preserve"> </w:t>
      </w:r>
      <w:r w:rsidRPr="000C1958">
        <w:rPr>
          <w:rFonts w:ascii="Calibri" w:eastAsia="Times New Roman" w:hAnsi="Calibri" w:cs="Calibri"/>
          <w:kern w:val="0"/>
          <w:sz w:val="24"/>
          <w:szCs w:val="24"/>
          <w:lang w:val="en-GB" w:eastAsia="en-GB"/>
          <w14:ligatures w14:val="none"/>
        </w:rPr>
        <w:t>are situated in the Dinaric karst, characterized by rapid infiltration, minimal natural filtration, and strong hydraulic connectivity. Recharge zones extend across administrative and state borders, meaning contamination events can propagate quickly. Seasonal rainfall and tourism peaks trigger turbidity spikes and microbiological contamination that current monitoring regimes cannot adequately capture.</w:t>
      </w:r>
    </w:p>
    <w:p w14:paraId="7C058D58" w14:textId="41FF5AF8" w:rsidR="003F4BEB" w:rsidRPr="000C1958" w:rsidRDefault="000B50C6" w:rsidP="000B50C6">
      <w:pPr>
        <w:pStyle w:val="Naslov2"/>
        <w:numPr>
          <w:ilvl w:val="1"/>
          <w:numId w:val="27"/>
        </w:numPr>
        <w:rPr>
          <w:rFonts w:eastAsia="Times New Roman"/>
          <w:lang w:val="en-GB" w:eastAsia="en-GB"/>
        </w:rPr>
      </w:pPr>
      <w:bookmarkStart w:id="10" w:name="_Toc229079457"/>
      <w:r>
        <w:rPr>
          <w:rFonts w:eastAsia="Times New Roman"/>
          <w:lang w:val="en-GB" w:eastAsia="en-GB"/>
        </w:rPr>
        <w:t xml:space="preserve"> </w:t>
      </w:r>
      <w:r w:rsidR="003F4BEB" w:rsidRPr="000C1958">
        <w:rPr>
          <w:rFonts w:eastAsia="Times New Roman"/>
          <w:lang w:val="en-GB" w:eastAsia="en-GB"/>
        </w:rPr>
        <w:t>Drinking Water Dependency</w:t>
      </w:r>
      <w:bookmarkEnd w:id="10"/>
    </w:p>
    <w:p w14:paraId="73665B17" w14:textId="77777777" w:rsidR="000B50C6" w:rsidRDefault="003F4BEB" w:rsidP="000B50C6">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0C1958">
        <w:rPr>
          <w:rFonts w:ascii="Calibri" w:eastAsia="Times New Roman" w:hAnsi="Calibri" w:cs="Calibri"/>
          <w:kern w:val="0"/>
          <w:sz w:val="24"/>
          <w:szCs w:val="24"/>
          <w:lang w:val="en-GB" w:eastAsia="en-GB"/>
          <w14:ligatures w14:val="none"/>
        </w:rPr>
        <w:t xml:space="preserve">In the </w:t>
      </w:r>
      <w:r w:rsidRPr="000C1958">
        <w:rPr>
          <w:rFonts w:ascii="Calibri" w:eastAsia="Times New Roman" w:hAnsi="Calibri" w:cs="Calibri"/>
          <w:b/>
          <w:bCs/>
          <w:kern w:val="0"/>
          <w:sz w:val="24"/>
          <w:szCs w:val="24"/>
          <w:lang w:val="en-GB" w:eastAsia="en-GB"/>
          <w14:ligatures w14:val="none"/>
        </w:rPr>
        <w:t>Una TBA</w:t>
      </w:r>
      <w:r w:rsidRPr="000C1958">
        <w:rPr>
          <w:rFonts w:ascii="Calibri" w:eastAsia="Times New Roman" w:hAnsi="Calibri" w:cs="Calibri"/>
          <w:kern w:val="0"/>
          <w:sz w:val="24"/>
          <w:szCs w:val="24"/>
          <w:lang w:val="en-GB" w:eastAsia="en-GB"/>
          <w14:ligatures w14:val="none"/>
        </w:rPr>
        <w:t xml:space="preserve">, </w:t>
      </w:r>
      <w:proofErr w:type="spellStart"/>
      <w:r w:rsidRPr="000C1958">
        <w:rPr>
          <w:rFonts w:ascii="Calibri" w:eastAsia="Times New Roman" w:hAnsi="Calibri" w:cs="Calibri"/>
          <w:kern w:val="0"/>
          <w:sz w:val="24"/>
          <w:szCs w:val="24"/>
          <w:lang w:val="en-GB" w:eastAsia="en-GB"/>
          <w14:ligatures w14:val="none"/>
        </w:rPr>
        <w:t>Bihać</w:t>
      </w:r>
      <w:proofErr w:type="spellEnd"/>
      <w:r w:rsidRPr="000C1958">
        <w:rPr>
          <w:rFonts w:ascii="Calibri" w:eastAsia="Times New Roman" w:hAnsi="Calibri" w:cs="Calibri"/>
          <w:kern w:val="0"/>
          <w:sz w:val="24"/>
          <w:szCs w:val="24"/>
          <w:lang w:val="en-GB" w:eastAsia="en-GB"/>
          <w14:ligatures w14:val="none"/>
        </w:rPr>
        <w:t xml:space="preserve"> depends on </w:t>
      </w:r>
      <w:proofErr w:type="spellStart"/>
      <w:r w:rsidRPr="000C1958">
        <w:rPr>
          <w:rFonts w:ascii="Calibri" w:eastAsia="Times New Roman" w:hAnsi="Calibri" w:cs="Calibri"/>
          <w:kern w:val="0"/>
          <w:sz w:val="24"/>
          <w:szCs w:val="24"/>
          <w:lang w:val="en-GB" w:eastAsia="en-GB"/>
          <w14:ligatures w14:val="none"/>
        </w:rPr>
        <w:t>Klokot</w:t>
      </w:r>
      <w:proofErr w:type="spellEnd"/>
      <w:r w:rsidRPr="000C1958">
        <w:rPr>
          <w:rFonts w:ascii="Calibri" w:eastAsia="Times New Roman" w:hAnsi="Calibri" w:cs="Calibri"/>
          <w:kern w:val="0"/>
          <w:sz w:val="24"/>
          <w:szCs w:val="24"/>
          <w:lang w:val="en-GB" w:eastAsia="en-GB"/>
          <w14:ligatures w14:val="none"/>
        </w:rPr>
        <w:t xml:space="preserve"> and </w:t>
      </w:r>
      <w:proofErr w:type="spellStart"/>
      <w:r w:rsidRPr="000C1958">
        <w:rPr>
          <w:rFonts w:ascii="Calibri" w:eastAsia="Times New Roman" w:hAnsi="Calibri" w:cs="Calibri"/>
          <w:kern w:val="0"/>
          <w:sz w:val="24"/>
          <w:szCs w:val="24"/>
          <w:lang w:val="en-GB" w:eastAsia="en-GB"/>
          <w14:ligatures w14:val="none"/>
        </w:rPr>
        <w:t>Kostela</w:t>
      </w:r>
      <w:proofErr w:type="spellEnd"/>
      <w:r w:rsidRPr="000C1958">
        <w:rPr>
          <w:rFonts w:ascii="Calibri" w:eastAsia="Times New Roman" w:hAnsi="Calibri" w:cs="Calibri"/>
          <w:kern w:val="0"/>
          <w:sz w:val="24"/>
          <w:szCs w:val="24"/>
          <w:lang w:val="en-GB" w:eastAsia="en-GB"/>
          <w14:ligatures w14:val="none"/>
        </w:rPr>
        <w:t xml:space="preserve"> springs, which supply drinking water to ~24,000 users — far beyond the resident population in the aquifer area.</w:t>
      </w:r>
    </w:p>
    <w:p w14:paraId="03EF05F1" w14:textId="3B3A2DE4" w:rsidR="003F4BEB" w:rsidRPr="000C1958" w:rsidRDefault="003F4BEB" w:rsidP="000B50C6">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0C1958">
        <w:rPr>
          <w:rFonts w:ascii="Calibri" w:eastAsia="Times New Roman" w:hAnsi="Calibri" w:cs="Calibri"/>
          <w:kern w:val="0"/>
          <w:sz w:val="24"/>
          <w:szCs w:val="24"/>
          <w:lang w:val="en-GB" w:eastAsia="en-GB"/>
          <w14:ligatures w14:val="none"/>
        </w:rPr>
        <w:t xml:space="preserve">In the </w:t>
      </w:r>
      <w:r w:rsidRPr="000C1958">
        <w:rPr>
          <w:rFonts w:ascii="Calibri" w:eastAsia="Times New Roman" w:hAnsi="Calibri" w:cs="Calibri"/>
          <w:b/>
          <w:bCs/>
          <w:kern w:val="0"/>
          <w:sz w:val="24"/>
          <w:szCs w:val="24"/>
          <w:lang w:val="en-GB" w:eastAsia="en-GB"/>
          <w14:ligatures w14:val="none"/>
        </w:rPr>
        <w:t>Neretva TBA</w:t>
      </w:r>
      <w:r w:rsidRPr="000C1958">
        <w:rPr>
          <w:rFonts w:ascii="Calibri" w:eastAsia="Times New Roman" w:hAnsi="Calibri" w:cs="Calibri"/>
          <w:kern w:val="0"/>
          <w:sz w:val="24"/>
          <w:szCs w:val="24"/>
          <w:lang w:val="en-GB" w:eastAsia="en-GB"/>
          <w14:ligatures w14:val="none"/>
        </w:rPr>
        <w:t xml:space="preserve">, ~35,000–50,000 inhabitants rely directly on groundwater, with abstraction concentrated in </w:t>
      </w:r>
      <w:proofErr w:type="spellStart"/>
      <w:r w:rsidRPr="000C1958">
        <w:rPr>
          <w:rFonts w:ascii="Calibri" w:eastAsia="Times New Roman" w:hAnsi="Calibri" w:cs="Calibri"/>
          <w:kern w:val="0"/>
          <w:sz w:val="24"/>
          <w:szCs w:val="24"/>
          <w:lang w:val="en-GB" w:eastAsia="en-GB"/>
          <w14:ligatures w14:val="none"/>
        </w:rPr>
        <w:t>Imotski</w:t>
      </w:r>
      <w:proofErr w:type="spellEnd"/>
      <w:r w:rsidRPr="000C1958">
        <w:rPr>
          <w:rFonts w:ascii="Calibri" w:eastAsia="Times New Roman" w:hAnsi="Calibri" w:cs="Calibri"/>
          <w:kern w:val="0"/>
          <w:sz w:val="24"/>
          <w:szCs w:val="24"/>
          <w:lang w:val="en-GB" w:eastAsia="en-GB"/>
          <w14:ligatures w14:val="none"/>
        </w:rPr>
        <w:t xml:space="preserve"> (Croatia) and </w:t>
      </w:r>
      <w:proofErr w:type="spellStart"/>
      <w:r w:rsidRPr="000C1958">
        <w:rPr>
          <w:rFonts w:ascii="Calibri" w:eastAsia="Times New Roman" w:hAnsi="Calibri" w:cs="Calibri"/>
          <w:kern w:val="0"/>
          <w:sz w:val="24"/>
          <w:szCs w:val="24"/>
          <w:lang w:val="en-GB" w:eastAsia="en-GB"/>
          <w14:ligatures w14:val="none"/>
        </w:rPr>
        <w:t>Ljubuški</w:t>
      </w:r>
      <w:proofErr w:type="spellEnd"/>
      <w:r w:rsidRPr="000C1958">
        <w:rPr>
          <w:rFonts w:ascii="Calibri" w:eastAsia="Times New Roman" w:hAnsi="Calibri" w:cs="Calibri"/>
          <w:kern w:val="0"/>
          <w:sz w:val="24"/>
          <w:szCs w:val="24"/>
          <w:lang w:val="en-GB" w:eastAsia="en-GB"/>
          <w14:ligatures w14:val="none"/>
        </w:rPr>
        <w:t>–</w:t>
      </w:r>
      <w:proofErr w:type="spellStart"/>
      <w:r w:rsidRPr="000C1958">
        <w:rPr>
          <w:rFonts w:ascii="Calibri" w:eastAsia="Times New Roman" w:hAnsi="Calibri" w:cs="Calibri"/>
          <w:kern w:val="0"/>
          <w:sz w:val="24"/>
          <w:szCs w:val="24"/>
          <w:lang w:val="en-GB" w:eastAsia="en-GB"/>
          <w14:ligatures w14:val="none"/>
        </w:rPr>
        <w:t>Trebižat</w:t>
      </w:r>
      <w:proofErr w:type="spellEnd"/>
      <w:r w:rsidRPr="000C1958">
        <w:rPr>
          <w:rFonts w:ascii="Calibri" w:eastAsia="Times New Roman" w:hAnsi="Calibri" w:cs="Calibri"/>
          <w:kern w:val="0"/>
          <w:sz w:val="24"/>
          <w:szCs w:val="24"/>
          <w:lang w:val="en-GB" w:eastAsia="en-GB"/>
          <w14:ligatures w14:val="none"/>
        </w:rPr>
        <w:t xml:space="preserve"> (BiH).</w:t>
      </w:r>
    </w:p>
    <w:p w14:paraId="03C39CEF" w14:textId="6CCE071E" w:rsidR="003F4BEB" w:rsidRPr="000C1958" w:rsidRDefault="004F2AB1" w:rsidP="004F2AB1">
      <w:pPr>
        <w:pStyle w:val="Naslov2"/>
        <w:rPr>
          <w:rFonts w:eastAsia="Times New Roman"/>
          <w:lang w:val="en-GB" w:eastAsia="en-GB"/>
        </w:rPr>
      </w:pPr>
      <w:bookmarkStart w:id="11" w:name="_Toc229079458"/>
      <w:r>
        <w:rPr>
          <w:rFonts w:eastAsia="Times New Roman"/>
          <w:lang w:val="en-GB" w:eastAsia="en-GB"/>
        </w:rPr>
        <w:t xml:space="preserve">5.3 </w:t>
      </w:r>
      <w:r w:rsidR="003F4BEB" w:rsidRPr="000C1958">
        <w:rPr>
          <w:rFonts w:eastAsia="Times New Roman"/>
          <w:lang w:val="en-GB" w:eastAsia="en-GB"/>
        </w:rPr>
        <w:t>Pressure Hotspots</w:t>
      </w:r>
      <w:bookmarkEnd w:id="11"/>
    </w:p>
    <w:p w14:paraId="47AA0B13" w14:textId="77777777" w:rsidR="00362709" w:rsidRPr="00362709" w:rsidRDefault="00362709" w:rsidP="00362709">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362709">
        <w:rPr>
          <w:rFonts w:ascii="Calibri" w:eastAsia="Times New Roman" w:hAnsi="Calibri" w:cs="Calibri"/>
          <w:kern w:val="0"/>
          <w:sz w:val="24"/>
          <w:szCs w:val="24"/>
          <w:lang w:val="en-GB" w:eastAsia="en-GB"/>
          <w14:ligatures w14:val="none"/>
        </w:rPr>
        <w:t xml:space="preserve">Both aquifers (Una and Neretva TBAs) are affected by comparable pressure hotspots characteristic of vulnerable karst systems. Key pressures include widespread sanitation deficits, with rural and semi-urban areas relying on septic tanks and cesspits lacking adequate treatment, leading to direct groundwater infiltration. Tourism hotspots (e.g. Plitvice Lakes, Una National Park, </w:t>
      </w:r>
      <w:proofErr w:type="spellStart"/>
      <w:r w:rsidRPr="00362709">
        <w:rPr>
          <w:rFonts w:ascii="Calibri" w:eastAsia="Times New Roman" w:hAnsi="Calibri" w:cs="Calibri"/>
          <w:kern w:val="0"/>
          <w:sz w:val="24"/>
          <w:szCs w:val="24"/>
          <w:lang w:val="en-GB" w:eastAsia="en-GB"/>
          <w14:ligatures w14:val="none"/>
        </w:rPr>
        <w:t>Kravice</w:t>
      </w:r>
      <w:proofErr w:type="spellEnd"/>
      <w:r w:rsidRPr="00362709">
        <w:rPr>
          <w:rFonts w:ascii="Calibri" w:eastAsia="Times New Roman" w:hAnsi="Calibri" w:cs="Calibri"/>
          <w:kern w:val="0"/>
          <w:sz w:val="24"/>
          <w:szCs w:val="24"/>
          <w:lang w:val="en-GB" w:eastAsia="en-GB"/>
          <w14:ligatures w14:val="none"/>
        </w:rPr>
        <w:t xml:space="preserve"> waterfalls, </w:t>
      </w:r>
      <w:proofErr w:type="spellStart"/>
      <w:r w:rsidRPr="00362709">
        <w:rPr>
          <w:rFonts w:ascii="Calibri" w:eastAsia="Times New Roman" w:hAnsi="Calibri" w:cs="Calibri"/>
          <w:kern w:val="0"/>
          <w:sz w:val="24"/>
          <w:szCs w:val="24"/>
          <w:lang w:val="en-GB" w:eastAsia="en-GB"/>
          <w14:ligatures w14:val="none"/>
        </w:rPr>
        <w:t>Imotski</w:t>
      </w:r>
      <w:proofErr w:type="spellEnd"/>
      <w:r w:rsidRPr="00362709">
        <w:rPr>
          <w:rFonts w:ascii="Calibri" w:eastAsia="Times New Roman" w:hAnsi="Calibri" w:cs="Calibri"/>
          <w:kern w:val="0"/>
          <w:sz w:val="24"/>
          <w:szCs w:val="24"/>
          <w:lang w:val="en-GB" w:eastAsia="en-GB"/>
          <w14:ligatures w14:val="none"/>
        </w:rPr>
        <w:t xml:space="preserve"> lakes) generate strong seasonal peaks in water demand and wastewater loads, frequently exceeding local infrastructure capacity.</w:t>
      </w:r>
    </w:p>
    <w:p w14:paraId="6177BE1A" w14:textId="1B9EF83F" w:rsidR="00362709" w:rsidRPr="00362709" w:rsidRDefault="00362709" w:rsidP="00362709">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362709">
        <w:rPr>
          <w:rFonts w:ascii="Calibri" w:eastAsia="Times New Roman" w:hAnsi="Calibri" w:cs="Calibri"/>
          <w:kern w:val="0"/>
          <w:sz w:val="24"/>
          <w:szCs w:val="24"/>
          <w:lang w:val="en-GB" w:eastAsia="en-GB"/>
          <w14:ligatures w14:val="none"/>
        </w:rPr>
        <w:lastRenderedPageBreak/>
        <w:t>Additional pressures arise in agriculture</w:t>
      </w:r>
      <w:r>
        <w:rPr>
          <w:rFonts w:ascii="Calibri" w:eastAsia="Times New Roman" w:hAnsi="Calibri" w:cs="Calibri"/>
          <w:kern w:val="0"/>
          <w:sz w:val="24"/>
          <w:szCs w:val="24"/>
          <w:lang w:val="en-GB" w:eastAsia="en-GB"/>
          <w14:ligatures w14:val="none"/>
        </w:rPr>
        <w:t>-</w:t>
      </w:r>
      <w:r w:rsidRPr="00362709">
        <w:rPr>
          <w:rFonts w:ascii="Calibri" w:eastAsia="Times New Roman" w:hAnsi="Calibri" w:cs="Calibri"/>
          <w:kern w:val="0"/>
          <w:sz w:val="24"/>
          <w:szCs w:val="24"/>
          <w:lang w:val="en-GB" w:eastAsia="en-GB"/>
          <w14:ligatures w14:val="none"/>
        </w:rPr>
        <w:t>karst interaction zones, where nutrient inputs from manure management and livestock activities in poljes and valley floors pose diffuse contamination risks. Illegal waste disposal in dolines, sinkholes, and abandoned quarries remains a persistent problem, particularly in recharge areas.</w:t>
      </w:r>
    </w:p>
    <w:p w14:paraId="517368FE" w14:textId="6C4ED93E" w:rsidR="00BD0365" w:rsidRPr="000B50C6" w:rsidRDefault="00362709" w:rsidP="000B50C6">
      <w:pPr>
        <w:pStyle w:val="Naslov2"/>
        <w:jc w:val="both"/>
        <w:rPr>
          <w:rFonts w:ascii="Calibri" w:eastAsia="Times New Roman" w:hAnsi="Calibri" w:cs="Calibri"/>
          <w:color w:val="auto"/>
          <w:kern w:val="0"/>
          <w:sz w:val="24"/>
          <w:szCs w:val="24"/>
          <w:lang w:val="en-GB" w:eastAsia="en-GB"/>
          <w14:ligatures w14:val="none"/>
        </w:rPr>
      </w:pPr>
      <w:bookmarkStart w:id="12" w:name="_Toc229079459"/>
      <w:r w:rsidRPr="000B50C6">
        <w:rPr>
          <w:rFonts w:ascii="Calibri" w:eastAsia="Times New Roman" w:hAnsi="Calibri" w:cs="Calibri"/>
          <w:color w:val="auto"/>
          <w:kern w:val="0"/>
          <w:sz w:val="24"/>
          <w:szCs w:val="24"/>
          <w:lang w:val="en-GB" w:eastAsia="en-GB"/>
          <w14:ligatures w14:val="none"/>
        </w:rPr>
        <w:t>Due to rapid subsurface flow and limited natural attenuation in karst aquifers, these localized pressures can propagate quickly across borders, resulting in disproportionate transboundary impacts on groundwater quality and groundwater-dependent ecosystems.</w:t>
      </w:r>
      <w:bookmarkEnd w:id="12"/>
      <w:r w:rsidR="00BD0365" w:rsidRPr="000B50C6">
        <w:rPr>
          <w:rFonts w:ascii="Calibri" w:eastAsia="Times New Roman" w:hAnsi="Calibri" w:cs="Calibri"/>
          <w:color w:val="auto"/>
          <w:kern w:val="0"/>
          <w:sz w:val="24"/>
          <w:szCs w:val="24"/>
          <w:lang w:val="en-GB" w:eastAsia="en-GB"/>
          <w14:ligatures w14:val="none"/>
        </w:rPr>
        <w:t xml:space="preserve"> </w:t>
      </w:r>
    </w:p>
    <w:p w14:paraId="3A6AE6C0" w14:textId="5FBC2F67" w:rsidR="003F4BEB" w:rsidRPr="000C1958" w:rsidRDefault="004F2AB1" w:rsidP="004F2AB1">
      <w:pPr>
        <w:pStyle w:val="Naslov2"/>
        <w:rPr>
          <w:rFonts w:eastAsia="Times New Roman"/>
          <w:lang w:val="en-GB" w:eastAsia="en-GB"/>
        </w:rPr>
      </w:pPr>
      <w:bookmarkStart w:id="13" w:name="_Toc229079460"/>
      <w:r>
        <w:rPr>
          <w:rFonts w:eastAsia="Times New Roman"/>
          <w:lang w:val="en-GB" w:eastAsia="en-GB"/>
        </w:rPr>
        <w:t xml:space="preserve">5.4 </w:t>
      </w:r>
      <w:r w:rsidR="003F4BEB" w:rsidRPr="000C1958">
        <w:rPr>
          <w:rFonts w:eastAsia="Times New Roman"/>
          <w:lang w:val="en-GB" w:eastAsia="en-GB"/>
        </w:rPr>
        <w:t>Governance limitations</w:t>
      </w:r>
      <w:bookmarkEnd w:id="13"/>
      <w:r w:rsidR="003F4BEB" w:rsidRPr="000C1958">
        <w:rPr>
          <w:rFonts w:eastAsia="Times New Roman"/>
          <w:lang w:val="en-GB" w:eastAsia="en-GB"/>
        </w:rPr>
        <w:t xml:space="preserve">  </w:t>
      </w:r>
    </w:p>
    <w:p w14:paraId="322330AA" w14:textId="77777777" w:rsidR="003F4BEB" w:rsidRPr="000C1958" w:rsidRDefault="003F4BEB" w:rsidP="000C1958">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0C1958">
        <w:rPr>
          <w:rFonts w:ascii="Calibri" w:eastAsia="Times New Roman" w:hAnsi="Calibri" w:cs="Calibri"/>
          <w:kern w:val="0"/>
          <w:sz w:val="24"/>
          <w:szCs w:val="24"/>
          <w:lang w:val="en-GB" w:eastAsia="en-GB"/>
          <w14:ligatures w14:val="none"/>
        </w:rPr>
        <w:t>The current Agreement does not provide:</w:t>
      </w:r>
    </w:p>
    <w:p w14:paraId="0B0EA63A" w14:textId="77777777" w:rsidR="003F4BEB" w:rsidRPr="000C1958" w:rsidRDefault="003F4BEB" w:rsidP="000C1958">
      <w:pPr>
        <w:numPr>
          <w:ilvl w:val="0"/>
          <w:numId w:val="19"/>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0C1958">
        <w:rPr>
          <w:rFonts w:ascii="Calibri" w:eastAsia="Times New Roman" w:hAnsi="Calibri" w:cs="Calibri"/>
          <w:kern w:val="0"/>
          <w:sz w:val="24"/>
          <w:szCs w:val="24"/>
          <w:lang w:val="en-GB" w:eastAsia="en-GB"/>
          <w14:ligatures w14:val="none"/>
        </w:rPr>
        <w:t>Explicit recognition of shared aquifers and groundwater</w:t>
      </w:r>
      <w:r w:rsidRPr="000C1958">
        <w:rPr>
          <w:rFonts w:ascii="Calibri" w:eastAsia="Times New Roman" w:hAnsi="Calibri" w:cs="Calibri"/>
          <w:kern w:val="0"/>
          <w:sz w:val="24"/>
          <w:szCs w:val="24"/>
          <w:lang w:val="en-GB" w:eastAsia="en-GB"/>
          <w14:ligatures w14:val="none"/>
        </w:rPr>
        <w:noBreakHyphen/>
        <w:t>dependent ecosystems.</w:t>
      </w:r>
    </w:p>
    <w:p w14:paraId="4C0BC8F3" w14:textId="77777777" w:rsidR="003F4BEB" w:rsidRPr="000C1958" w:rsidRDefault="003F4BEB" w:rsidP="000C1958">
      <w:pPr>
        <w:numPr>
          <w:ilvl w:val="0"/>
          <w:numId w:val="19"/>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0C1958">
        <w:rPr>
          <w:rFonts w:ascii="Calibri" w:eastAsia="Times New Roman" w:hAnsi="Calibri" w:cs="Calibri"/>
          <w:kern w:val="0"/>
          <w:sz w:val="24"/>
          <w:szCs w:val="24"/>
          <w:lang w:val="en-GB" w:eastAsia="en-GB"/>
          <w14:ligatures w14:val="none"/>
        </w:rPr>
        <w:t>Joint monitoring networks or harmonized parameter lists.</w:t>
      </w:r>
    </w:p>
    <w:p w14:paraId="7B28EFDC" w14:textId="77777777" w:rsidR="003F4BEB" w:rsidRPr="000C1958" w:rsidRDefault="003F4BEB" w:rsidP="000C1958">
      <w:pPr>
        <w:numPr>
          <w:ilvl w:val="0"/>
          <w:numId w:val="19"/>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0C1958">
        <w:rPr>
          <w:rFonts w:ascii="Calibri" w:eastAsia="Times New Roman" w:hAnsi="Calibri" w:cs="Calibri"/>
          <w:kern w:val="0"/>
          <w:sz w:val="24"/>
          <w:szCs w:val="24"/>
          <w:lang w:val="en-GB" w:eastAsia="en-GB"/>
          <w14:ligatures w14:val="none"/>
        </w:rPr>
        <w:t>Mutual acknowledgment of SPZ outcomes across the border.</w:t>
      </w:r>
    </w:p>
    <w:p w14:paraId="6C86C61A" w14:textId="77777777" w:rsidR="003F4BEB" w:rsidRPr="000C1958" w:rsidRDefault="003F4BEB" w:rsidP="000C1958">
      <w:pPr>
        <w:numPr>
          <w:ilvl w:val="0"/>
          <w:numId w:val="19"/>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0C1958">
        <w:rPr>
          <w:rFonts w:ascii="Calibri" w:eastAsia="Times New Roman" w:hAnsi="Calibri" w:cs="Calibri"/>
          <w:kern w:val="0"/>
          <w:sz w:val="24"/>
          <w:szCs w:val="24"/>
          <w:lang w:val="en-GB" w:eastAsia="en-GB"/>
          <w14:ligatures w14:val="none"/>
        </w:rPr>
        <w:t>Groundwater</w:t>
      </w:r>
      <w:r w:rsidRPr="000C1958">
        <w:rPr>
          <w:rFonts w:ascii="Calibri" w:eastAsia="Times New Roman" w:hAnsi="Calibri" w:cs="Calibri"/>
          <w:kern w:val="0"/>
          <w:sz w:val="24"/>
          <w:szCs w:val="24"/>
          <w:lang w:val="en-GB" w:eastAsia="en-GB"/>
          <w14:ligatures w14:val="none"/>
        </w:rPr>
        <w:noBreakHyphen/>
        <w:t>specific early</w:t>
      </w:r>
      <w:r w:rsidRPr="000C1958">
        <w:rPr>
          <w:rFonts w:ascii="Calibri" w:eastAsia="Times New Roman" w:hAnsi="Calibri" w:cs="Calibri"/>
          <w:kern w:val="0"/>
          <w:sz w:val="24"/>
          <w:szCs w:val="24"/>
          <w:lang w:val="en-GB" w:eastAsia="en-GB"/>
          <w14:ligatures w14:val="none"/>
        </w:rPr>
        <w:noBreakHyphen/>
        <w:t>warning protocols.</w:t>
      </w:r>
    </w:p>
    <w:p w14:paraId="096AC4F7" w14:textId="77777777" w:rsidR="003F4BEB" w:rsidRPr="000C1958" w:rsidRDefault="003F4BEB" w:rsidP="000C1958">
      <w:pPr>
        <w:numPr>
          <w:ilvl w:val="0"/>
          <w:numId w:val="19"/>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0C1958">
        <w:rPr>
          <w:rFonts w:ascii="Calibri" w:eastAsia="Times New Roman" w:hAnsi="Calibri" w:cs="Calibri"/>
          <w:kern w:val="0"/>
          <w:sz w:val="24"/>
          <w:szCs w:val="24"/>
          <w:lang w:val="en-GB" w:eastAsia="en-GB"/>
          <w14:ligatures w14:val="none"/>
        </w:rPr>
        <w:t>A permanent bilateral technical subgroup for aquifer management.</w:t>
      </w:r>
    </w:p>
    <w:p w14:paraId="6012F266" w14:textId="61FD679A" w:rsidR="003F4BEB" w:rsidRPr="000C1958" w:rsidRDefault="004F2AB1" w:rsidP="004F2AB1">
      <w:pPr>
        <w:pStyle w:val="Naslov2"/>
        <w:rPr>
          <w:rFonts w:eastAsia="Times New Roman"/>
          <w:lang w:val="en-GB" w:eastAsia="en-GB"/>
        </w:rPr>
      </w:pPr>
      <w:bookmarkStart w:id="14" w:name="_Toc229079461"/>
      <w:r>
        <w:rPr>
          <w:rFonts w:eastAsia="Times New Roman"/>
          <w:lang w:val="en-GB" w:eastAsia="en-GB"/>
        </w:rPr>
        <w:t xml:space="preserve">5.5 </w:t>
      </w:r>
      <w:r w:rsidR="003F4BEB" w:rsidRPr="000C1958">
        <w:rPr>
          <w:rFonts w:eastAsia="Times New Roman"/>
          <w:lang w:val="en-GB" w:eastAsia="en-GB"/>
        </w:rPr>
        <w:t>Conclusion</w:t>
      </w:r>
      <w:bookmarkEnd w:id="14"/>
    </w:p>
    <w:p w14:paraId="4E952EE1" w14:textId="3441A6E6" w:rsidR="00362709" w:rsidRPr="00362709" w:rsidRDefault="00362709" w:rsidP="00362709">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362709">
        <w:rPr>
          <w:rFonts w:ascii="Calibri" w:eastAsia="Times New Roman" w:hAnsi="Calibri" w:cs="Calibri"/>
          <w:kern w:val="0"/>
          <w:sz w:val="24"/>
          <w:szCs w:val="24"/>
          <w:lang w:val="en-GB" w:eastAsia="en-GB"/>
          <w14:ligatures w14:val="none"/>
        </w:rPr>
        <w:t xml:space="preserve">Evidence from both the Una and Neretva </w:t>
      </w:r>
      <w:r>
        <w:rPr>
          <w:rFonts w:ascii="Calibri" w:eastAsia="Times New Roman" w:hAnsi="Calibri" w:cs="Calibri"/>
          <w:kern w:val="0"/>
          <w:sz w:val="24"/>
          <w:szCs w:val="24"/>
          <w:lang w:val="en-GB" w:eastAsia="en-GB"/>
          <w14:ligatures w14:val="none"/>
        </w:rPr>
        <w:t>TBAs</w:t>
      </w:r>
      <w:r w:rsidRPr="00362709">
        <w:rPr>
          <w:rFonts w:ascii="Calibri" w:eastAsia="Times New Roman" w:hAnsi="Calibri" w:cs="Calibri"/>
          <w:kern w:val="0"/>
          <w:sz w:val="24"/>
          <w:szCs w:val="24"/>
          <w:lang w:val="en-GB" w:eastAsia="en-GB"/>
          <w14:ligatures w14:val="none"/>
        </w:rPr>
        <w:t xml:space="preserve"> clearly demonstrates the ne</w:t>
      </w:r>
      <w:r w:rsidR="005F1C87">
        <w:rPr>
          <w:rFonts w:ascii="Calibri" w:eastAsia="Times New Roman" w:hAnsi="Calibri" w:cs="Calibri"/>
          <w:kern w:val="0"/>
          <w:sz w:val="24"/>
          <w:szCs w:val="24"/>
          <w:lang w:val="en-GB" w:eastAsia="en-GB"/>
          <w14:ligatures w14:val="none"/>
        </w:rPr>
        <w:t xml:space="preserve">ed to complement </w:t>
      </w:r>
      <w:r w:rsidRPr="00362709">
        <w:rPr>
          <w:rFonts w:ascii="Calibri" w:eastAsia="Times New Roman" w:hAnsi="Calibri" w:cs="Calibri"/>
          <w:kern w:val="0"/>
          <w:sz w:val="24"/>
          <w:szCs w:val="24"/>
          <w:lang w:val="en-GB" w:eastAsia="en-GB"/>
          <w14:ligatures w14:val="none"/>
        </w:rPr>
        <w:t xml:space="preserve">the existing bilateral agreement </w:t>
      </w:r>
      <w:r w:rsidR="000B50C6" w:rsidRPr="00362709">
        <w:rPr>
          <w:rFonts w:ascii="Calibri" w:eastAsia="Times New Roman" w:hAnsi="Calibri" w:cs="Calibri"/>
          <w:kern w:val="0"/>
          <w:sz w:val="24"/>
          <w:szCs w:val="24"/>
          <w:lang w:val="en-GB" w:eastAsia="en-GB"/>
          <w14:ligatures w14:val="none"/>
        </w:rPr>
        <w:t>to</w:t>
      </w:r>
      <w:r w:rsidRPr="00362709">
        <w:rPr>
          <w:rFonts w:ascii="Calibri" w:eastAsia="Times New Roman" w:hAnsi="Calibri" w:cs="Calibri"/>
          <w:kern w:val="0"/>
          <w:sz w:val="24"/>
          <w:szCs w:val="24"/>
          <w:lang w:val="en-GB" w:eastAsia="en-GB"/>
          <w14:ligatures w14:val="none"/>
        </w:rPr>
        <w:t xml:space="preserve"> address structural gaps in groundwater governance</w:t>
      </w:r>
      <w:r w:rsidR="005F1C87">
        <w:rPr>
          <w:rFonts w:ascii="Calibri" w:eastAsia="Times New Roman" w:hAnsi="Calibri" w:cs="Calibri"/>
          <w:kern w:val="0"/>
          <w:sz w:val="24"/>
          <w:szCs w:val="24"/>
          <w:lang w:val="en-GB" w:eastAsia="en-GB"/>
          <w14:ligatures w14:val="none"/>
        </w:rPr>
        <w:t>, either in the form of an addendum or a Protocol</w:t>
      </w:r>
      <w:r w:rsidRPr="00362709">
        <w:rPr>
          <w:rFonts w:ascii="Calibri" w:eastAsia="Times New Roman" w:hAnsi="Calibri" w:cs="Calibri"/>
          <w:kern w:val="0"/>
          <w:sz w:val="24"/>
          <w:szCs w:val="24"/>
          <w:lang w:val="en-GB" w:eastAsia="en-GB"/>
          <w14:ligatures w14:val="none"/>
        </w:rPr>
        <w:t xml:space="preserve">. In particular, </w:t>
      </w:r>
      <w:r w:rsidR="005F1C87">
        <w:rPr>
          <w:rFonts w:ascii="Calibri" w:eastAsia="Times New Roman" w:hAnsi="Calibri" w:cs="Calibri"/>
          <w:kern w:val="0"/>
          <w:sz w:val="24"/>
          <w:szCs w:val="24"/>
          <w:lang w:val="en-GB" w:eastAsia="en-GB"/>
          <w14:ligatures w14:val="none"/>
        </w:rPr>
        <w:t xml:space="preserve">the additions should: </w:t>
      </w:r>
    </w:p>
    <w:p w14:paraId="4C3458CF" w14:textId="77777777" w:rsidR="00362709" w:rsidRPr="007A752D" w:rsidRDefault="00362709" w:rsidP="007A752D">
      <w:pPr>
        <w:pStyle w:val="Odlomakpopisa"/>
        <w:numPr>
          <w:ilvl w:val="0"/>
          <w:numId w:val="21"/>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Formally define transboundary aquifers and groundwater-dependent ecosystems (GDEs) within the Agreement, reflecting their high vulnerability and documented cross-border connectivity in karst systems.</w:t>
      </w:r>
    </w:p>
    <w:p w14:paraId="0F3FECB2" w14:textId="77777777" w:rsidR="00362709" w:rsidRPr="007A752D" w:rsidRDefault="00362709" w:rsidP="007A752D">
      <w:pPr>
        <w:pStyle w:val="Odlomakpopisa"/>
        <w:numPr>
          <w:ilvl w:val="0"/>
          <w:numId w:val="21"/>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Establish joint groundwater monitoring frameworks adapted to karst hydrogeological dynamics, including coordinated monitoring locations, shared methodologies, and harmonised core parameter lists to enable comparable status assessment.</w:t>
      </w:r>
    </w:p>
    <w:p w14:paraId="226826EE" w14:textId="77777777" w:rsidR="00362709" w:rsidRPr="007A752D" w:rsidRDefault="00362709" w:rsidP="007A752D">
      <w:pPr>
        <w:pStyle w:val="Odlomakpopisa"/>
        <w:numPr>
          <w:ilvl w:val="0"/>
          <w:numId w:val="21"/>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Harmonise contamination thresholds and risk criteria for sanitary protection zones (SPZs), while allowing flexibility in delineation methodologies at national level, to ensure comparable protection outcomes across borders.</w:t>
      </w:r>
    </w:p>
    <w:p w14:paraId="10AA5021" w14:textId="77777777" w:rsidR="00362709" w:rsidRPr="007A752D" w:rsidRDefault="00362709" w:rsidP="007A752D">
      <w:pPr>
        <w:pStyle w:val="Odlomakpopisa"/>
        <w:numPr>
          <w:ilvl w:val="0"/>
          <w:numId w:val="21"/>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Systematically integrate vulnerability mapping into spatial, tourism, agricultural, and infrastructure planning, as a prerequisite for preventing cumulative pressures in recharge zones and identified pressure hotspots.</w:t>
      </w:r>
    </w:p>
    <w:p w14:paraId="70D0C964" w14:textId="77777777" w:rsidR="00362709" w:rsidRPr="007A752D" w:rsidRDefault="00362709" w:rsidP="007A752D">
      <w:pPr>
        <w:pStyle w:val="Odlomakpopisa"/>
        <w:numPr>
          <w:ilvl w:val="0"/>
          <w:numId w:val="21"/>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Strengthen institutional mandates, coordination mechanisms, and financing for enforcement, including inspection capacity and remediation of identified hotspots, to move from formal compliance toward effective transboundary groundwater protection.</w:t>
      </w:r>
    </w:p>
    <w:p w14:paraId="03181F41" w14:textId="5E1FB17D" w:rsidR="003F4BEB" w:rsidRDefault="003F4BEB" w:rsidP="000B50C6">
      <w:pPr>
        <w:spacing w:before="100" w:beforeAutospacing="1" w:after="100" w:afterAutospacing="1" w:line="240" w:lineRule="auto"/>
        <w:ind w:left="720"/>
        <w:jc w:val="both"/>
        <w:rPr>
          <w:rFonts w:ascii="Calibri" w:eastAsia="Times New Roman" w:hAnsi="Calibri" w:cs="Calibri"/>
          <w:kern w:val="0"/>
          <w:sz w:val="24"/>
          <w:szCs w:val="24"/>
          <w:lang w:val="en-GB" w:eastAsia="en-GB"/>
          <w14:ligatures w14:val="none"/>
        </w:rPr>
      </w:pPr>
    </w:p>
    <w:p w14:paraId="28D1DDD3" w14:textId="4343FFCE" w:rsidR="0076514E" w:rsidRPr="002D0E0C" w:rsidRDefault="0076514E" w:rsidP="004F2AB1">
      <w:pPr>
        <w:pStyle w:val="Naslov1"/>
        <w:rPr>
          <w:color w:val="7030A0"/>
          <w:lang w:val="en-GB"/>
        </w:rPr>
      </w:pPr>
      <w:bookmarkStart w:id="15" w:name="_Toc229079462"/>
      <w:r w:rsidRPr="002D0E0C">
        <w:rPr>
          <w:lang w:val="en-GB"/>
        </w:rPr>
        <w:lastRenderedPageBreak/>
        <w:t>6. Objectives for an Agreement Addendum</w:t>
      </w:r>
      <w:r w:rsidR="003B05C5" w:rsidRPr="002D0E0C">
        <w:rPr>
          <w:lang w:val="en-GB"/>
        </w:rPr>
        <w:t>/Protocol</w:t>
      </w:r>
      <w:bookmarkEnd w:id="15"/>
      <w:r w:rsidR="003B05C5" w:rsidRPr="002D0E0C">
        <w:rPr>
          <w:lang w:val="en-GB"/>
        </w:rPr>
        <w:t xml:space="preserve"> </w:t>
      </w:r>
    </w:p>
    <w:p w14:paraId="584A56A0" w14:textId="2F0B64A0" w:rsidR="00B62A05" w:rsidRPr="00B62A05" w:rsidRDefault="00B62A05" w:rsidP="00B62A05">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B62A05">
        <w:rPr>
          <w:rFonts w:ascii="Calibri" w:eastAsia="Times New Roman" w:hAnsi="Calibri" w:cs="Calibri"/>
          <w:kern w:val="0"/>
          <w:sz w:val="24"/>
          <w:szCs w:val="24"/>
          <w:lang w:val="en-GB" w:eastAsia="en-GB"/>
          <w14:ligatures w14:val="none"/>
        </w:rPr>
        <w:t xml:space="preserve">Bilateral objectives for </w:t>
      </w:r>
      <w:r w:rsidR="00C5301F">
        <w:rPr>
          <w:rFonts w:ascii="Calibri" w:eastAsia="Times New Roman" w:hAnsi="Calibri" w:cs="Calibri"/>
          <w:kern w:val="0"/>
          <w:sz w:val="24"/>
          <w:szCs w:val="24"/>
          <w:lang w:val="en-GB" w:eastAsia="en-GB"/>
          <w14:ligatures w14:val="none"/>
        </w:rPr>
        <w:t>BiH</w:t>
      </w:r>
      <w:r w:rsidRPr="00B62A05">
        <w:rPr>
          <w:rFonts w:ascii="Calibri" w:eastAsia="Times New Roman" w:hAnsi="Calibri" w:cs="Calibri"/>
          <w:kern w:val="0"/>
          <w:sz w:val="24"/>
          <w:szCs w:val="24"/>
          <w:lang w:val="en-GB" w:eastAsia="en-GB"/>
          <w14:ligatures w14:val="none"/>
        </w:rPr>
        <w:t xml:space="preserve"> and the </w:t>
      </w:r>
      <w:r w:rsidR="00C5301F">
        <w:rPr>
          <w:rFonts w:ascii="Calibri" w:eastAsia="Times New Roman" w:hAnsi="Calibri" w:cs="Calibri"/>
          <w:kern w:val="0"/>
          <w:sz w:val="24"/>
          <w:szCs w:val="24"/>
          <w:lang w:val="en-GB" w:eastAsia="en-GB"/>
          <w14:ligatures w14:val="none"/>
        </w:rPr>
        <w:t>HR</w:t>
      </w:r>
      <w:r w:rsidRPr="00B62A05">
        <w:rPr>
          <w:rFonts w:ascii="Calibri" w:eastAsia="Times New Roman" w:hAnsi="Calibri" w:cs="Calibri"/>
          <w:kern w:val="0"/>
          <w:sz w:val="24"/>
          <w:szCs w:val="24"/>
          <w:lang w:val="en-GB" w:eastAsia="en-GB"/>
          <w14:ligatures w14:val="none"/>
        </w:rPr>
        <w:t xml:space="preserve"> are established to address the governance gaps identified in Chapter 4. The proposed Addendum or Protocol to the 1996 Agreement on Water Management Relations is intended to translate general cooperation principles into structured, aquifer</w:t>
      </w:r>
      <w:r w:rsidRPr="00B62A05">
        <w:rPr>
          <w:rFonts w:ascii="Cambria Math" w:eastAsia="Times New Roman" w:hAnsi="Cambria Math" w:cs="Cambria Math"/>
          <w:kern w:val="0"/>
          <w:sz w:val="24"/>
          <w:szCs w:val="24"/>
          <w:lang w:val="en-GB" w:eastAsia="en-GB"/>
          <w14:ligatures w14:val="none"/>
        </w:rPr>
        <w:t>‑</w:t>
      </w:r>
      <w:r w:rsidRPr="00B62A05">
        <w:rPr>
          <w:rFonts w:ascii="Calibri" w:eastAsia="Times New Roman" w:hAnsi="Calibri" w:cs="Calibri"/>
          <w:kern w:val="0"/>
          <w:sz w:val="24"/>
          <w:szCs w:val="24"/>
          <w:lang w:val="en-GB" w:eastAsia="en-GB"/>
          <w14:ligatures w14:val="none"/>
        </w:rPr>
        <w:t>level governance mechanisms for transboundary karst groundwater systems.</w:t>
      </w:r>
    </w:p>
    <w:p w14:paraId="36EA0CF2" w14:textId="04C3E018" w:rsidR="00B62A05" w:rsidRPr="007A752D" w:rsidRDefault="00B62A05" w:rsidP="00B62A05">
      <w:pPr>
        <w:spacing w:before="100" w:beforeAutospacing="1" w:after="100" w:afterAutospacing="1" w:line="240" w:lineRule="auto"/>
        <w:jc w:val="both"/>
        <w:rPr>
          <w:rFonts w:ascii="Calibri" w:eastAsia="Times New Roman" w:hAnsi="Calibri" w:cs="Calibri"/>
          <w:b/>
          <w:bCs/>
          <w:kern w:val="0"/>
          <w:sz w:val="24"/>
          <w:szCs w:val="24"/>
          <w:lang w:val="en-GB" w:eastAsia="en-GB"/>
          <w14:ligatures w14:val="none"/>
        </w:rPr>
      </w:pPr>
      <w:r w:rsidRPr="007A752D">
        <w:rPr>
          <w:rFonts w:ascii="Calibri" w:eastAsia="Times New Roman" w:hAnsi="Calibri" w:cs="Calibri"/>
          <w:b/>
          <w:bCs/>
          <w:kern w:val="0"/>
          <w:sz w:val="24"/>
          <w:szCs w:val="24"/>
          <w:lang w:val="en-GB" w:eastAsia="en-GB"/>
          <w14:ligatures w14:val="none"/>
        </w:rPr>
        <w:t xml:space="preserve">Objective 1: Explicit </w:t>
      </w:r>
      <w:r>
        <w:rPr>
          <w:rFonts w:ascii="Calibri" w:eastAsia="Times New Roman" w:hAnsi="Calibri" w:cs="Calibri"/>
          <w:b/>
          <w:bCs/>
          <w:kern w:val="0"/>
          <w:sz w:val="24"/>
          <w:szCs w:val="24"/>
          <w:lang w:val="en-GB" w:eastAsia="en-GB"/>
          <w14:ligatures w14:val="none"/>
        </w:rPr>
        <w:t>r</w:t>
      </w:r>
      <w:r w:rsidRPr="007A752D">
        <w:rPr>
          <w:rFonts w:ascii="Calibri" w:eastAsia="Times New Roman" w:hAnsi="Calibri" w:cs="Calibri"/>
          <w:b/>
          <w:bCs/>
          <w:kern w:val="0"/>
          <w:sz w:val="24"/>
          <w:szCs w:val="24"/>
          <w:lang w:val="en-GB" w:eastAsia="en-GB"/>
          <w14:ligatures w14:val="none"/>
        </w:rPr>
        <w:t xml:space="preserve">ecognition of </w:t>
      </w:r>
      <w:r>
        <w:rPr>
          <w:rFonts w:ascii="Calibri" w:eastAsia="Times New Roman" w:hAnsi="Calibri" w:cs="Calibri"/>
          <w:b/>
          <w:bCs/>
          <w:kern w:val="0"/>
          <w:sz w:val="24"/>
          <w:szCs w:val="24"/>
          <w:lang w:val="en-GB" w:eastAsia="en-GB"/>
          <w14:ligatures w14:val="none"/>
        </w:rPr>
        <w:t>transboundary</w:t>
      </w:r>
      <w:r w:rsidRPr="007A752D">
        <w:rPr>
          <w:rFonts w:ascii="Calibri" w:eastAsia="Times New Roman" w:hAnsi="Calibri" w:cs="Calibri"/>
          <w:b/>
          <w:bCs/>
          <w:kern w:val="0"/>
          <w:sz w:val="24"/>
          <w:szCs w:val="24"/>
          <w:lang w:val="en-GB" w:eastAsia="en-GB"/>
          <w14:ligatures w14:val="none"/>
        </w:rPr>
        <w:t xml:space="preserve"> </w:t>
      </w:r>
      <w:r>
        <w:rPr>
          <w:rFonts w:ascii="Calibri" w:eastAsia="Times New Roman" w:hAnsi="Calibri" w:cs="Calibri"/>
          <w:b/>
          <w:bCs/>
          <w:kern w:val="0"/>
          <w:sz w:val="24"/>
          <w:szCs w:val="24"/>
          <w:lang w:val="en-GB" w:eastAsia="en-GB"/>
          <w14:ligatures w14:val="none"/>
        </w:rPr>
        <w:t>g</w:t>
      </w:r>
      <w:r w:rsidRPr="007A752D">
        <w:rPr>
          <w:rFonts w:ascii="Calibri" w:eastAsia="Times New Roman" w:hAnsi="Calibri" w:cs="Calibri"/>
          <w:b/>
          <w:bCs/>
          <w:kern w:val="0"/>
          <w:sz w:val="24"/>
          <w:szCs w:val="24"/>
          <w:lang w:val="en-GB" w:eastAsia="en-GB"/>
          <w14:ligatures w14:val="none"/>
        </w:rPr>
        <w:t xml:space="preserve">roundwater </w:t>
      </w:r>
      <w:r>
        <w:rPr>
          <w:rFonts w:ascii="Calibri" w:eastAsia="Times New Roman" w:hAnsi="Calibri" w:cs="Calibri"/>
          <w:b/>
          <w:bCs/>
          <w:kern w:val="0"/>
          <w:sz w:val="24"/>
          <w:szCs w:val="24"/>
          <w:lang w:val="en-GB" w:eastAsia="en-GB"/>
          <w14:ligatures w14:val="none"/>
        </w:rPr>
        <w:t>b</w:t>
      </w:r>
      <w:r w:rsidRPr="007A752D">
        <w:rPr>
          <w:rFonts w:ascii="Calibri" w:eastAsia="Times New Roman" w:hAnsi="Calibri" w:cs="Calibri"/>
          <w:b/>
          <w:bCs/>
          <w:kern w:val="0"/>
          <w:sz w:val="24"/>
          <w:szCs w:val="24"/>
          <w:lang w:val="en-GB" w:eastAsia="en-GB"/>
          <w14:ligatures w14:val="none"/>
        </w:rPr>
        <w:t xml:space="preserve">odies and </w:t>
      </w:r>
      <w:r>
        <w:rPr>
          <w:rFonts w:ascii="Calibri" w:eastAsia="Times New Roman" w:hAnsi="Calibri" w:cs="Calibri"/>
          <w:b/>
          <w:bCs/>
          <w:kern w:val="0"/>
          <w:sz w:val="24"/>
          <w:szCs w:val="24"/>
          <w:lang w:val="en-GB" w:eastAsia="en-GB"/>
          <w14:ligatures w14:val="none"/>
        </w:rPr>
        <w:t>g</w:t>
      </w:r>
      <w:r w:rsidRPr="007A752D">
        <w:rPr>
          <w:rFonts w:ascii="Calibri" w:eastAsia="Times New Roman" w:hAnsi="Calibri" w:cs="Calibri"/>
          <w:b/>
          <w:bCs/>
          <w:kern w:val="0"/>
          <w:sz w:val="24"/>
          <w:szCs w:val="24"/>
          <w:lang w:val="en-GB" w:eastAsia="en-GB"/>
          <w14:ligatures w14:val="none"/>
        </w:rPr>
        <w:t>roundwater</w:t>
      </w:r>
      <w:r w:rsidRPr="007A752D">
        <w:rPr>
          <w:rFonts w:ascii="Cambria Math" w:eastAsia="Times New Roman" w:hAnsi="Cambria Math" w:cs="Cambria Math"/>
          <w:b/>
          <w:bCs/>
          <w:kern w:val="0"/>
          <w:sz w:val="24"/>
          <w:szCs w:val="24"/>
          <w:lang w:val="en-GB" w:eastAsia="en-GB"/>
          <w14:ligatures w14:val="none"/>
        </w:rPr>
        <w:t>‑</w:t>
      </w:r>
      <w:r>
        <w:rPr>
          <w:rFonts w:ascii="Calibri" w:eastAsia="Times New Roman" w:hAnsi="Calibri" w:cs="Calibri"/>
          <w:b/>
          <w:bCs/>
          <w:kern w:val="0"/>
          <w:sz w:val="24"/>
          <w:szCs w:val="24"/>
          <w:lang w:val="en-GB" w:eastAsia="en-GB"/>
          <w14:ligatures w14:val="none"/>
        </w:rPr>
        <w:t>d</w:t>
      </w:r>
      <w:r w:rsidRPr="007A752D">
        <w:rPr>
          <w:rFonts w:ascii="Calibri" w:eastAsia="Times New Roman" w:hAnsi="Calibri" w:cs="Calibri"/>
          <w:b/>
          <w:bCs/>
          <w:kern w:val="0"/>
          <w:sz w:val="24"/>
          <w:szCs w:val="24"/>
          <w:lang w:val="en-GB" w:eastAsia="en-GB"/>
          <w14:ligatures w14:val="none"/>
        </w:rPr>
        <w:t xml:space="preserve">ependent </w:t>
      </w:r>
      <w:r>
        <w:rPr>
          <w:rFonts w:ascii="Calibri" w:eastAsia="Times New Roman" w:hAnsi="Calibri" w:cs="Calibri"/>
          <w:b/>
          <w:bCs/>
          <w:kern w:val="0"/>
          <w:sz w:val="24"/>
          <w:szCs w:val="24"/>
          <w:lang w:val="en-GB" w:eastAsia="en-GB"/>
          <w14:ligatures w14:val="none"/>
        </w:rPr>
        <w:t>e</w:t>
      </w:r>
      <w:r w:rsidRPr="007A752D">
        <w:rPr>
          <w:rFonts w:ascii="Calibri" w:eastAsia="Times New Roman" w:hAnsi="Calibri" w:cs="Calibri"/>
          <w:b/>
          <w:bCs/>
          <w:kern w:val="0"/>
          <w:sz w:val="24"/>
          <w:szCs w:val="24"/>
          <w:lang w:val="en-GB" w:eastAsia="en-GB"/>
          <w14:ligatures w14:val="none"/>
        </w:rPr>
        <w:t>cosystems</w:t>
      </w:r>
    </w:p>
    <w:p w14:paraId="20BB4C23" w14:textId="2CDCD697" w:rsidR="00B62A05" w:rsidRPr="00B62A05" w:rsidRDefault="00B62A05" w:rsidP="00B62A05">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B62A05">
        <w:rPr>
          <w:rFonts w:ascii="Calibri" w:eastAsia="Times New Roman" w:hAnsi="Calibri" w:cs="Calibri"/>
          <w:kern w:val="0"/>
          <w:sz w:val="24"/>
          <w:szCs w:val="24"/>
          <w:lang w:val="en-GB" w:eastAsia="en-GB"/>
          <w14:ligatures w14:val="none"/>
        </w:rPr>
        <w:t xml:space="preserve">The Parties </w:t>
      </w:r>
      <w:r>
        <w:rPr>
          <w:rFonts w:ascii="Calibri" w:eastAsia="Times New Roman" w:hAnsi="Calibri" w:cs="Calibri"/>
          <w:kern w:val="0"/>
          <w:sz w:val="24"/>
          <w:szCs w:val="24"/>
          <w:lang w:val="en-GB" w:eastAsia="en-GB"/>
          <w14:ligatures w14:val="none"/>
        </w:rPr>
        <w:t>to the Agreement will</w:t>
      </w:r>
      <w:r w:rsidRPr="00B62A05">
        <w:rPr>
          <w:rFonts w:ascii="Calibri" w:eastAsia="Times New Roman" w:hAnsi="Calibri" w:cs="Calibri"/>
          <w:kern w:val="0"/>
          <w:sz w:val="24"/>
          <w:szCs w:val="24"/>
          <w:lang w:val="en-GB" w:eastAsia="en-GB"/>
          <w14:ligatures w14:val="none"/>
        </w:rPr>
        <w:t xml:space="preserve"> recognise transboundary groundwater bodies and groundwater</w:t>
      </w:r>
      <w:r w:rsidRPr="00B62A05">
        <w:rPr>
          <w:rFonts w:ascii="Cambria Math" w:eastAsia="Times New Roman" w:hAnsi="Cambria Math" w:cs="Cambria Math"/>
          <w:kern w:val="0"/>
          <w:sz w:val="24"/>
          <w:szCs w:val="24"/>
          <w:lang w:val="en-GB" w:eastAsia="en-GB"/>
          <w14:ligatures w14:val="none"/>
        </w:rPr>
        <w:t>‑</w:t>
      </w:r>
      <w:r w:rsidRPr="00B62A05">
        <w:rPr>
          <w:rFonts w:ascii="Calibri" w:eastAsia="Times New Roman" w:hAnsi="Calibri" w:cs="Calibri"/>
          <w:kern w:val="0"/>
          <w:sz w:val="24"/>
          <w:szCs w:val="24"/>
          <w:lang w:val="en-GB" w:eastAsia="en-GB"/>
          <w14:ligatures w14:val="none"/>
        </w:rPr>
        <w:t xml:space="preserve">dependent ecosystems that are hydraulically connected across their respective territories. To this end, the Addendum or Protocol </w:t>
      </w:r>
      <w:r>
        <w:rPr>
          <w:rFonts w:ascii="Calibri" w:eastAsia="Times New Roman" w:hAnsi="Calibri" w:cs="Calibri"/>
          <w:kern w:val="0"/>
          <w:sz w:val="24"/>
          <w:szCs w:val="24"/>
          <w:lang w:val="en-GB" w:eastAsia="en-GB"/>
          <w14:ligatures w14:val="none"/>
        </w:rPr>
        <w:t>will</w:t>
      </w:r>
      <w:r w:rsidRPr="00B62A05">
        <w:rPr>
          <w:rFonts w:ascii="Calibri" w:eastAsia="Times New Roman" w:hAnsi="Calibri" w:cs="Calibri"/>
          <w:kern w:val="0"/>
          <w:sz w:val="24"/>
          <w:szCs w:val="24"/>
          <w:lang w:val="en-GB" w:eastAsia="en-GB"/>
          <w14:ligatures w14:val="none"/>
        </w:rPr>
        <w:t>:</w:t>
      </w:r>
    </w:p>
    <w:p w14:paraId="4C648FD7" w14:textId="4EC923E2" w:rsidR="00B62A05" w:rsidRPr="007A752D" w:rsidRDefault="00B62A05" w:rsidP="007A752D">
      <w:pPr>
        <w:pStyle w:val="Odlomakpopisa"/>
        <w:numPr>
          <w:ilvl w:val="0"/>
          <w:numId w:val="22"/>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 xml:space="preserve">Provide agreed definitions of “Transboundary </w:t>
      </w:r>
      <w:r>
        <w:rPr>
          <w:rFonts w:ascii="Calibri" w:eastAsia="Times New Roman" w:hAnsi="Calibri" w:cs="Calibri"/>
          <w:kern w:val="0"/>
          <w:sz w:val="24"/>
          <w:szCs w:val="24"/>
          <w:lang w:val="en-GB" w:eastAsia="en-GB"/>
          <w14:ligatures w14:val="none"/>
        </w:rPr>
        <w:t>g</w:t>
      </w:r>
      <w:r w:rsidRPr="007A752D">
        <w:rPr>
          <w:rFonts w:ascii="Calibri" w:eastAsia="Times New Roman" w:hAnsi="Calibri" w:cs="Calibri"/>
          <w:kern w:val="0"/>
          <w:sz w:val="24"/>
          <w:szCs w:val="24"/>
          <w:lang w:val="en-GB" w:eastAsia="en-GB"/>
          <w14:ligatures w14:val="none"/>
        </w:rPr>
        <w:t xml:space="preserve">roundwater </w:t>
      </w:r>
      <w:r>
        <w:rPr>
          <w:rFonts w:ascii="Calibri" w:eastAsia="Times New Roman" w:hAnsi="Calibri" w:cs="Calibri"/>
          <w:kern w:val="0"/>
          <w:sz w:val="24"/>
          <w:szCs w:val="24"/>
          <w:lang w:val="en-GB" w:eastAsia="en-GB"/>
          <w14:ligatures w14:val="none"/>
        </w:rPr>
        <w:t>b</w:t>
      </w:r>
      <w:r w:rsidRPr="007A752D">
        <w:rPr>
          <w:rFonts w:ascii="Calibri" w:eastAsia="Times New Roman" w:hAnsi="Calibri" w:cs="Calibri"/>
          <w:kern w:val="0"/>
          <w:sz w:val="24"/>
          <w:szCs w:val="24"/>
          <w:lang w:val="en-GB" w:eastAsia="en-GB"/>
          <w14:ligatures w14:val="none"/>
        </w:rPr>
        <w:t>ody” and “Groundwater</w:t>
      </w:r>
      <w:r w:rsidRPr="007A752D">
        <w:rPr>
          <w:rFonts w:ascii="Cambria Math" w:eastAsia="Times New Roman" w:hAnsi="Cambria Math" w:cs="Cambria Math"/>
          <w:kern w:val="0"/>
          <w:sz w:val="24"/>
          <w:szCs w:val="24"/>
          <w:lang w:val="en-GB" w:eastAsia="en-GB"/>
          <w14:ligatures w14:val="none"/>
        </w:rPr>
        <w:t>‑</w:t>
      </w:r>
      <w:r>
        <w:rPr>
          <w:rFonts w:ascii="Calibri" w:eastAsia="Times New Roman" w:hAnsi="Calibri" w:cs="Calibri"/>
          <w:kern w:val="0"/>
          <w:sz w:val="24"/>
          <w:szCs w:val="24"/>
          <w:lang w:val="en-GB" w:eastAsia="en-GB"/>
          <w14:ligatures w14:val="none"/>
        </w:rPr>
        <w:t>d</w:t>
      </w:r>
      <w:r w:rsidRPr="007A752D">
        <w:rPr>
          <w:rFonts w:ascii="Calibri" w:eastAsia="Times New Roman" w:hAnsi="Calibri" w:cs="Calibri"/>
          <w:kern w:val="0"/>
          <w:sz w:val="24"/>
          <w:szCs w:val="24"/>
          <w:lang w:val="en-GB" w:eastAsia="en-GB"/>
          <w14:ligatures w14:val="none"/>
        </w:rPr>
        <w:t xml:space="preserve">ependent </w:t>
      </w:r>
      <w:r>
        <w:rPr>
          <w:rFonts w:ascii="Calibri" w:eastAsia="Times New Roman" w:hAnsi="Calibri" w:cs="Calibri"/>
          <w:kern w:val="0"/>
          <w:sz w:val="24"/>
          <w:szCs w:val="24"/>
          <w:lang w:val="en-GB" w:eastAsia="en-GB"/>
          <w14:ligatures w14:val="none"/>
        </w:rPr>
        <w:t>e</w:t>
      </w:r>
      <w:r w:rsidRPr="007A752D">
        <w:rPr>
          <w:rFonts w:ascii="Calibri" w:eastAsia="Times New Roman" w:hAnsi="Calibri" w:cs="Calibri"/>
          <w:kern w:val="0"/>
          <w:sz w:val="24"/>
          <w:szCs w:val="24"/>
          <w:lang w:val="en-GB" w:eastAsia="en-GB"/>
          <w14:ligatures w14:val="none"/>
        </w:rPr>
        <w:t>cosystem” consistent with the EU Water Framework Directive and the Groundwater Directive, while reflecting the specific characteristics of karst hydrogeological systems;</w:t>
      </w:r>
    </w:p>
    <w:p w14:paraId="48EEFCA1" w14:textId="520756C4" w:rsidR="00B62A05" w:rsidRPr="007A752D" w:rsidRDefault="00B62A05" w:rsidP="007A752D">
      <w:pPr>
        <w:pStyle w:val="Odlomakpopisa"/>
        <w:numPr>
          <w:ilvl w:val="0"/>
          <w:numId w:val="22"/>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 xml:space="preserve">Acknowledge the high degree of hydrogeological connectivity and vulnerability of karst aquifers within the Una and Neretva </w:t>
      </w:r>
      <w:r>
        <w:rPr>
          <w:rFonts w:ascii="Calibri" w:eastAsia="Times New Roman" w:hAnsi="Calibri" w:cs="Calibri"/>
          <w:kern w:val="0"/>
          <w:sz w:val="24"/>
          <w:szCs w:val="24"/>
          <w:lang w:val="en-GB" w:eastAsia="en-GB"/>
          <w14:ligatures w14:val="none"/>
        </w:rPr>
        <w:t>TBAs</w:t>
      </w:r>
      <w:r w:rsidRPr="007A752D">
        <w:rPr>
          <w:rFonts w:ascii="Calibri" w:eastAsia="Times New Roman" w:hAnsi="Calibri" w:cs="Calibri"/>
          <w:kern w:val="0"/>
          <w:sz w:val="24"/>
          <w:szCs w:val="24"/>
          <w:lang w:val="en-GB" w:eastAsia="en-GB"/>
          <w14:ligatures w14:val="none"/>
        </w:rPr>
        <w:t>, including their shared recharge areas;</w:t>
      </w:r>
    </w:p>
    <w:p w14:paraId="135E77F2" w14:textId="5D8F747A" w:rsidR="00B62A05" w:rsidRPr="007A752D" w:rsidRDefault="00B62A05" w:rsidP="007A752D">
      <w:pPr>
        <w:pStyle w:val="Odlomakpopisa"/>
        <w:numPr>
          <w:ilvl w:val="0"/>
          <w:numId w:val="22"/>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 xml:space="preserve">Establish a clear obligation to prevent deterioration of the quantitative and chemical status of </w:t>
      </w:r>
      <w:r>
        <w:rPr>
          <w:rFonts w:ascii="Calibri" w:eastAsia="Times New Roman" w:hAnsi="Calibri" w:cs="Calibri"/>
          <w:kern w:val="0"/>
          <w:sz w:val="24"/>
          <w:szCs w:val="24"/>
          <w:lang w:val="en-GB" w:eastAsia="en-GB"/>
          <w14:ligatures w14:val="none"/>
        </w:rPr>
        <w:t>transboundary</w:t>
      </w:r>
      <w:r w:rsidRPr="007A752D">
        <w:rPr>
          <w:rFonts w:ascii="Calibri" w:eastAsia="Times New Roman" w:hAnsi="Calibri" w:cs="Calibri"/>
          <w:kern w:val="0"/>
          <w:sz w:val="24"/>
          <w:szCs w:val="24"/>
          <w:lang w:val="en-GB" w:eastAsia="en-GB"/>
          <w14:ligatures w14:val="none"/>
        </w:rPr>
        <w:t xml:space="preserve"> groundwater bodies, in line with the objectives of good groundwater status;</w:t>
      </w:r>
    </w:p>
    <w:p w14:paraId="7C149DD1" w14:textId="6F65F1B6" w:rsidR="00B62A05" w:rsidRPr="007A752D" w:rsidRDefault="00B62A05" w:rsidP="007A752D">
      <w:pPr>
        <w:pStyle w:val="Odlomakpopisa"/>
        <w:numPr>
          <w:ilvl w:val="0"/>
          <w:numId w:val="22"/>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Explicitly apply the principles of equitable and reasonable use and the obligation not to cause significant harm to groundwater resources and associated ecosystems.</w:t>
      </w:r>
    </w:p>
    <w:p w14:paraId="3DF7544F" w14:textId="77777777" w:rsidR="00B62A05" w:rsidRPr="007A752D" w:rsidRDefault="00B62A05" w:rsidP="00B62A05">
      <w:pPr>
        <w:spacing w:before="100" w:beforeAutospacing="1" w:after="100" w:afterAutospacing="1" w:line="240" w:lineRule="auto"/>
        <w:jc w:val="both"/>
        <w:rPr>
          <w:rFonts w:ascii="Calibri" w:eastAsia="Times New Roman" w:hAnsi="Calibri" w:cs="Calibri"/>
          <w:b/>
          <w:bCs/>
          <w:kern w:val="0"/>
          <w:sz w:val="24"/>
          <w:szCs w:val="24"/>
          <w:lang w:val="en-GB" w:eastAsia="en-GB"/>
          <w14:ligatures w14:val="none"/>
        </w:rPr>
      </w:pPr>
      <w:r w:rsidRPr="007A752D">
        <w:rPr>
          <w:rFonts w:ascii="Calibri" w:eastAsia="Times New Roman" w:hAnsi="Calibri" w:cs="Calibri"/>
          <w:b/>
          <w:bCs/>
          <w:kern w:val="0"/>
          <w:sz w:val="24"/>
          <w:szCs w:val="24"/>
          <w:lang w:val="en-GB" w:eastAsia="en-GB"/>
          <w14:ligatures w14:val="none"/>
        </w:rPr>
        <w:t>Measurable outcome: Jointly agreed and technically validated delineation of shared groundwater bodies and their principal recharge zones.</w:t>
      </w:r>
    </w:p>
    <w:p w14:paraId="546A3E6E" w14:textId="4FD210CF" w:rsidR="00B62A05" w:rsidRPr="007A752D" w:rsidRDefault="00B62A05" w:rsidP="00B62A05">
      <w:pPr>
        <w:spacing w:before="100" w:beforeAutospacing="1" w:after="100" w:afterAutospacing="1" w:line="240" w:lineRule="auto"/>
        <w:jc w:val="both"/>
        <w:rPr>
          <w:rFonts w:ascii="Calibri" w:eastAsia="Times New Roman" w:hAnsi="Calibri" w:cs="Calibri"/>
          <w:b/>
          <w:bCs/>
          <w:kern w:val="0"/>
          <w:sz w:val="24"/>
          <w:szCs w:val="24"/>
          <w:lang w:val="en-GB" w:eastAsia="en-GB"/>
          <w14:ligatures w14:val="none"/>
        </w:rPr>
      </w:pPr>
      <w:r w:rsidRPr="007A752D">
        <w:rPr>
          <w:rFonts w:ascii="Calibri" w:eastAsia="Times New Roman" w:hAnsi="Calibri" w:cs="Calibri"/>
          <w:b/>
          <w:bCs/>
          <w:kern w:val="0"/>
          <w:sz w:val="24"/>
          <w:szCs w:val="24"/>
          <w:lang w:val="en-GB" w:eastAsia="en-GB"/>
          <w14:ligatures w14:val="none"/>
        </w:rPr>
        <w:t xml:space="preserve">Objective 2: Establishment of a </w:t>
      </w:r>
      <w:r>
        <w:rPr>
          <w:rFonts w:ascii="Calibri" w:eastAsia="Times New Roman" w:hAnsi="Calibri" w:cs="Calibri"/>
          <w:b/>
          <w:bCs/>
          <w:kern w:val="0"/>
          <w:sz w:val="24"/>
          <w:szCs w:val="24"/>
          <w:lang w:val="en-GB" w:eastAsia="en-GB"/>
          <w14:ligatures w14:val="none"/>
        </w:rPr>
        <w:t>j</w:t>
      </w:r>
      <w:r w:rsidRPr="007A752D">
        <w:rPr>
          <w:rFonts w:ascii="Calibri" w:eastAsia="Times New Roman" w:hAnsi="Calibri" w:cs="Calibri"/>
          <w:b/>
          <w:bCs/>
          <w:kern w:val="0"/>
          <w:sz w:val="24"/>
          <w:szCs w:val="24"/>
          <w:lang w:val="en-GB" w:eastAsia="en-GB"/>
          <w14:ligatures w14:val="none"/>
        </w:rPr>
        <w:t xml:space="preserve">oint </w:t>
      </w:r>
      <w:r>
        <w:rPr>
          <w:rFonts w:ascii="Calibri" w:eastAsia="Times New Roman" w:hAnsi="Calibri" w:cs="Calibri"/>
          <w:b/>
          <w:bCs/>
          <w:kern w:val="0"/>
          <w:sz w:val="24"/>
          <w:szCs w:val="24"/>
          <w:lang w:val="en-GB" w:eastAsia="en-GB"/>
          <w14:ligatures w14:val="none"/>
        </w:rPr>
        <w:t>g</w:t>
      </w:r>
      <w:r w:rsidRPr="007A752D">
        <w:rPr>
          <w:rFonts w:ascii="Calibri" w:eastAsia="Times New Roman" w:hAnsi="Calibri" w:cs="Calibri"/>
          <w:b/>
          <w:bCs/>
          <w:kern w:val="0"/>
          <w:sz w:val="24"/>
          <w:szCs w:val="24"/>
          <w:lang w:val="en-GB" w:eastAsia="en-GB"/>
          <w14:ligatures w14:val="none"/>
        </w:rPr>
        <w:t xml:space="preserve">roundwater </w:t>
      </w:r>
      <w:r>
        <w:rPr>
          <w:rFonts w:ascii="Calibri" w:eastAsia="Times New Roman" w:hAnsi="Calibri" w:cs="Calibri"/>
          <w:b/>
          <w:bCs/>
          <w:kern w:val="0"/>
          <w:sz w:val="24"/>
          <w:szCs w:val="24"/>
          <w:lang w:val="en-GB" w:eastAsia="en-GB"/>
          <w14:ligatures w14:val="none"/>
        </w:rPr>
        <w:t>m</w:t>
      </w:r>
      <w:r w:rsidRPr="007A752D">
        <w:rPr>
          <w:rFonts w:ascii="Calibri" w:eastAsia="Times New Roman" w:hAnsi="Calibri" w:cs="Calibri"/>
          <w:b/>
          <w:bCs/>
          <w:kern w:val="0"/>
          <w:sz w:val="24"/>
          <w:szCs w:val="24"/>
          <w:lang w:val="en-GB" w:eastAsia="en-GB"/>
          <w14:ligatures w14:val="none"/>
        </w:rPr>
        <w:t xml:space="preserve">onitoring and </w:t>
      </w:r>
      <w:r>
        <w:rPr>
          <w:rFonts w:ascii="Calibri" w:eastAsia="Times New Roman" w:hAnsi="Calibri" w:cs="Calibri"/>
          <w:b/>
          <w:bCs/>
          <w:kern w:val="0"/>
          <w:sz w:val="24"/>
          <w:szCs w:val="24"/>
          <w:lang w:val="en-GB" w:eastAsia="en-GB"/>
          <w14:ligatures w14:val="none"/>
        </w:rPr>
        <w:t>d</w:t>
      </w:r>
      <w:r w:rsidRPr="007A752D">
        <w:rPr>
          <w:rFonts w:ascii="Calibri" w:eastAsia="Times New Roman" w:hAnsi="Calibri" w:cs="Calibri"/>
          <w:b/>
          <w:bCs/>
          <w:kern w:val="0"/>
          <w:sz w:val="24"/>
          <w:szCs w:val="24"/>
          <w:lang w:val="en-GB" w:eastAsia="en-GB"/>
          <w14:ligatures w14:val="none"/>
        </w:rPr>
        <w:t xml:space="preserve">ata </w:t>
      </w:r>
      <w:r>
        <w:rPr>
          <w:rFonts w:ascii="Calibri" w:eastAsia="Times New Roman" w:hAnsi="Calibri" w:cs="Calibri"/>
          <w:b/>
          <w:bCs/>
          <w:kern w:val="0"/>
          <w:sz w:val="24"/>
          <w:szCs w:val="24"/>
          <w:lang w:val="en-GB" w:eastAsia="en-GB"/>
          <w14:ligatures w14:val="none"/>
        </w:rPr>
        <w:t>e</w:t>
      </w:r>
      <w:r w:rsidRPr="007A752D">
        <w:rPr>
          <w:rFonts w:ascii="Calibri" w:eastAsia="Times New Roman" w:hAnsi="Calibri" w:cs="Calibri"/>
          <w:b/>
          <w:bCs/>
          <w:kern w:val="0"/>
          <w:sz w:val="24"/>
          <w:szCs w:val="24"/>
          <w:lang w:val="en-GB" w:eastAsia="en-GB"/>
          <w14:ligatures w14:val="none"/>
        </w:rPr>
        <w:t xml:space="preserve">xchange </w:t>
      </w:r>
      <w:r>
        <w:rPr>
          <w:rFonts w:ascii="Calibri" w:eastAsia="Times New Roman" w:hAnsi="Calibri" w:cs="Calibri"/>
          <w:b/>
          <w:bCs/>
          <w:kern w:val="0"/>
          <w:sz w:val="24"/>
          <w:szCs w:val="24"/>
          <w:lang w:val="en-GB" w:eastAsia="en-GB"/>
          <w14:ligatures w14:val="none"/>
        </w:rPr>
        <w:t>s</w:t>
      </w:r>
      <w:r w:rsidRPr="007A752D">
        <w:rPr>
          <w:rFonts w:ascii="Calibri" w:eastAsia="Times New Roman" w:hAnsi="Calibri" w:cs="Calibri"/>
          <w:b/>
          <w:bCs/>
          <w:kern w:val="0"/>
          <w:sz w:val="24"/>
          <w:szCs w:val="24"/>
          <w:lang w:val="en-GB" w:eastAsia="en-GB"/>
          <w14:ligatures w14:val="none"/>
        </w:rPr>
        <w:t>ystem</w:t>
      </w:r>
    </w:p>
    <w:p w14:paraId="474648CB" w14:textId="61CDC9E9" w:rsidR="00B62A05" w:rsidRPr="00B62A05" w:rsidRDefault="00B62A05" w:rsidP="00B62A05">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B62A05">
        <w:rPr>
          <w:rFonts w:ascii="Calibri" w:eastAsia="Times New Roman" w:hAnsi="Calibri" w:cs="Calibri"/>
          <w:kern w:val="0"/>
          <w:sz w:val="24"/>
          <w:szCs w:val="24"/>
          <w:lang w:val="en-GB" w:eastAsia="en-GB"/>
          <w14:ligatures w14:val="none"/>
        </w:rPr>
        <w:t xml:space="preserve">The Parties </w:t>
      </w:r>
      <w:r>
        <w:rPr>
          <w:rFonts w:ascii="Calibri" w:eastAsia="Times New Roman" w:hAnsi="Calibri" w:cs="Calibri"/>
          <w:kern w:val="0"/>
          <w:sz w:val="24"/>
          <w:szCs w:val="24"/>
          <w:lang w:val="en-GB" w:eastAsia="en-GB"/>
          <w14:ligatures w14:val="none"/>
        </w:rPr>
        <w:t>to the Agreement will</w:t>
      </w:r>
      <w:r w:rsidRPr="00B62A05">
        <w:rPr>
          <w:rFonts w:ascii="Calibri" w:eastAsia="Times New Roman" w:hAnsi="Calibri" w:cs="Calibri"/>
          <w:kern w:val="0"/>
          <w:sz w:val="24"/>
          <w:szCs w:val="24"/>
          <w:lang w:val="en-GB" w:eastAsia="en-GB"/>
          <w14:ligatures w14:val="none"/>
        </w:rPr>
        <w:t xml:space="preserve"> establish a harmonised joint groundwater monitoring framework specifically adapted to the dynamics and vulnerability of karst aquifers. For this purpose, the Addendum or Protocol </w:t>
      </w:r>
      <w:r>
        <w:rPr>
          <w:rFonts w:ascii="Calibri" w:eastAsia="Times New Roman" w:hAnsi="Calibri" w:cs="Calibri"/>
          <w:kern w:val="0"/>
          <w:sz w:val="24"/>
          <w:szCs w:val="24"/>
          <w:lang w:val="en-GB" w:eastAsia="en-GB"/>
          <w14:ligatures w14:val="none"/>
        </w:rPr>
        <w:t>will</w:t>
      </w:r>
      <w:r w:rsidRPr="00B62A05">
        <w:rPr>
          <w:rFonts w:ascii="Calibri" w:eastAsia="Times New Roman" w:hAnsi="Calibri" w:cs="Calibri"/>
          <w:kern w:val="0"/>
          <w:sz w:val="24"/>
          <w:szCs w:val="24"/>
          <w:lang w:val="en-GB" w:eastAsia="en-GB"/>
          <w14:ligatures w14:val="none"/>
        </w:rPr>
        <w:t xml:space="preserve"> provide that:</w:t>
      </w:r>
    </w:p>
    <w:p w14:paraId="6E636D0F" w14:textId="77777777" w:rsidR="00B62A05" w:rsidRPr="007A752D" w:rsidRDefault="00B62A05" w:rsidP="007A752D">
      <w:pPr>
        <w:pStyle w:val="Odlomakpopisa"/>
        <w:numPr>
          <w:ilvl w:val="0"/>
          <w:numId w:val="23"/>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A joint monitoring network is designated, comprising agreed monitoring points on both sides of the border, including priority springs, wells and observation sites;</w:t>
      </w:r>
    </w:p>
    <w:p w14:paraId="775BC611" w14:textId="77777777" w:rsidR="00B62A05" w:rsidRPr="007A752D" w:rsidRDefault="00B62A05" w:rsidP="007A752D">
      <w:pPr>
        <w:pStyle w:val="Odlomakpopisa"/>
        <w:numPr>
          <w:ilvl w:val="0"/>
          <w:numId w:val="23"/>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A harmonised list of core monitoring parameters is adopted, covering quantitative, chemical and microbiological indicators relevant to karst conditions;</w:t>
      </w:r>
    </w:p>
    <w:p w14:paraId="16CA707E" w14:textId="77777777" w:rsidR="00B62A05" w:rsidRPr="007A752D" w:rsidRDefault="00B62A05" w:rsidP="007A752D">
      <w:pPr>
        <w:pStyle w:val="Odlomakpopisa"/>
        <w:numPr>
          <w:ilvl w:val="0"/>
          <w:numId w:val="23"/>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Sampling frequency, including event</w:t>
      </w:r>
      <w:r w:rsidRPr="007A752D">
        <w:rPr>
          <w:rFonts w:ascii="Cambria Math" w:eastAsia="Times New Roman" w:hAnsi="Cambria Math" w:cs="Cambria Math"/>
          <w:kern w:val="0"/>
          <w:sz w:val="24"/>
          <w:szCs w:val="24"/>
          <w:lang w:val="en-GB" w:eastAsia="en-GB"/>
          <w14:ligatures w14:val="none"/>
        </w:rPr>
        <w:t>‑</w:t>
      </w:r>
      <w:r w:rsidRPr="007A752D">
        <w:rPr>
          <w:rFonts w:ascii="Calibri" w:eastAsia="Times New Roman" w:hAnsi="Calibri" w:cs="Calibri"/>
          <w:kern w:val="0"/>
          <w:sz w:val="24"/>
          <w:szCs w:val="24"/>
          <w:lang w:val="en-GB" w:eastAsia="en-GB"/>
          <w14:ligatures w14:val="none"/>
        </w:rPr>
        <w:t>based monitoring following extreme hydrological or pollution events, is standardised where appropriate;</w:t>
      </w:r>
    </w:p>
    <w:p w14:paraId="6F4A3E0E" w14:textId="77777777" w:rsidR="00B62A05" w:rsidRPr="007A752D" w:rsidRDefault="00B62A05" w:rsidP="007A752D">
      <w:pPr>
        <w:pStyle w:val="Odlomakpopisa"/>
        <w:numPr>
          <w:ilvl w:val="0"/>
          <w:numId w:val="23"/>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Quality assurance and quality control (QA/QC) procedures are harmonised to ensure data comparability and reliability;</w:t>
      </w:r>
    </w:p>
    <w:p w14:paraId="0E3B8657" w14:textId="77777777" w:rsidR="00B62A05" w:rsidRPr="007A752D" w:rsidRDefault="00B62A05" w:rsidP="007A752D">
      <w:pPr>
        <w:pStyle w:val="Odlomakpopisa"/>
        <w:numPr>
          <w:ilvl w:val="0"/>
          <w:numId w:val="23"/>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Monitoring data are exchanged on a regular basis, at least quarterly, using a mutually agreed and interoperable data format;</w:t>
      </w:r>
    </w:p>
    <w:p w14:paraId="5FE24220" w14:textId="45A52FA2" w:rsidR="00B62A05" w:rsidRPr="007A752D" w:rsidRDefault="00B62A05" w:rsidP="007A752D">
      <w:pPr>
        <w:pStyle w:val="Odlomakpopisa"/>
        <w:numPr>
          <w:ilvl w:val="0"/>
          <w:numId w:val="23"/>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lastRenderedPageBreak/>
        <w:t>Immediate notification is ensured in cases of exceedance of agreed threshold values or other indicators of potential transboundary risk.</w:t>
      </w:r>
    </w:p>
    <w:p w14:paraId="060FA84F" w14:textId="2B852D10" w:rsidR="00B62A05" w:rsidRPr="007A752D" w:rsidRDefault="00B62A05" w:rsidP="00B62A05">
      <w:pPr>
        <w:spacing w:before="100" w:beforeAutospacing="1" w:after="100" w:afterAutospacing="1" w:line="240" w:lineRule="auto"/>
        <w:jc w:val="both"/>
        <w:rPr>
          <w:rFonts w:ascii="Calibri" w:eastAsia="Times New Roman" w:hAnsi="Calibri" w:cs="Calibri"/>
          <w:b/>
          <w:bCs/>
          <w:kern w:val="0"/>
          <w:sz w:val="24"/>
          <w:szCs w:val="24"/>
          <w:lang w:val="en-GB" w:eastAsia="en-GB"/>
          <w14:ligatures w14:val="none"/>
        </w:rPr>
      </w:pPr>
      <w:r w:rsidRPr="007A752D">
        <w:rPr>
          <w:rFonts w:ascii="Calibri" w:eastAsia="Times New Roman" w:hAnsi="Calibri" w:cs="Calibri"/>
          <w:b/>
          <w:bCs/>
          <w:kern w:val="0"/>
          <w:sz w:val="24"/>
          <w:szCs w:val="24"/>
          <w:lang w:val="en-GB" w:eastAsia="en-GB"/>
          <w14:ligatures w14:val="none"/>
        </w:rPr>
        <w:t xml:space="preserve">Measurable outcomes: Adoption of a </w:t>
      </w:r>
      <w:r w:rsidR="00465444">
        <w:rPr>
          <w:rFonts w:ascii="Calibri" w:eastAsia="Times New Roman" w:hAnsi="Calibri" w:cs="Calibri"/>
          <w:b/>
          <w:bCs/>
          <w:kern w:val="0"/>
          <w:sz w:val="24"/>
          <w:szCs w:val="24"/>
          <w:lang w:val="en-GB" w:eastAsia="en-GB"/>
          <w14:ligatures w14:val="none"/>
        </w:rPr>
        <w:t>“</w:t>
      </w:r>
      <w:r w:rsidRPr="007A752D">
        <w:rPr>
          <w:rFonts w:ascii="Calibri" w:eastAsia="Times New Roman" w:hAnsi="Calibri" w:cs="Calibri"/>
          <w:b/>
          <w:bCs/>
          <w:kern w:val="0"/>
          <w:sz w:val="24"/>
          <w:szCs w:val="24"/>
          <w:lang w:val="en-GB" w:eastAsia="en-GB"/>
          <w14:ligatures w14:val="none"/>
        </w:rPr>
        <w:t xml:space="preserve">Joint </w:t>
      </w:r>
      <w:r w:rsidR="00465444">
        <w:rPr>
          <w:rFonts w:ascii="Calibri" w:eastAsia="Times New Roman" w:hAnsi="Calibri" w:cs="Calibri"/>
          <w:b/>
          <w:bCs/>
          <w:kern w:val="0"/>
          <w:sz w:val="24"/>
          <w:szCs w:val="24"/>
          <w:lang w:val="en-GB" w:eastAsia="en-GB"/>
          <w14:ligatures w14:val="none"/>
        </w:rPr>
        <w:t>g</w:t>
      </w:r>
      <w:r w:rsidRPr="007A752D">
        <w:rPr>
          <w:rFonts w:ascii="Calibri" w:eastAsia="Times New Roman" w:hAnsi="Calibri" w:cs="Calibri"/>
          <w:b/>
          <w:bCs/>
          <w:kern w:val="0"/>
          <w:sz w:val="24"/>
          <w:szCs w:val="24"/>
          <w:lang w:val="en-GB" w:eastAsia="en-GB"/>
          <w14:ligatures w14:val="none"/>
        </w:rPr>
        <w:t xml:space="preserve">roundwater </w:t>
      </w:r>
      <w:r w:rsidR="00465444">
        <w:rPr>
          <w:rFonts w:ascii="Calibri" w:eastAsia="Times New Roman" w:hAnsi="Calibri" w:cs="Calibri"/>
          <w:b/>
          <w:bCs/>
          <w:kern w:val="0"/>
          <w:sz w:val="24"/>
          <w:szCs w:val="24"/>
          <w:lang w:val="en-GB" w:eastAsia="en-GB"/>
          <w14:ligatures w14:val="none"/>
        </w:rPr>
        <w:t>m</w:t>
      </w:r>
      <w:r w:rsidRPr="007A752D">
        <w:rPr>
          <w:rFonts w:ascii="Calibri" w:eastAsia="Times New Roman" w:hAnsi="Calibri" w:cs="Calibri"/>
          <w:b/>
          <w:bCs/>
          <w:kern w:val="0"/>
          <w:sz w:val="24"/>
          <w:szCs w:val="24"/>
          <w:lang w:val="en-GB" w:eastAsia="en-GB"/>
          <w14:ligatures w14:val="none"/>
        </w:rPr>
        <w:t xml:space="preserve">onitoring </w:t>
      </w:r>
      <w:r w:rsidR="00465444">
        <w:rPr>
          <w:rFonts w:ascii="Calibri" w:eastAsia="Times New Roman" w:hAnsi="Calibri" w:cs="Calibri"/>
          <w:b/>
          <w:bCs/>
          <w:kern w:val="0"/>
          <w:sz w:val="24"/>
          <w:szCs w:val="24"/>
          <w:lang w:val="en-GB" w:eastAsia="en-GB"/>
          <w14:ligatures w14:val="none"/>
        </w:rPr>
        <w:t>p</w:t>
      </w:r>
      <w:r w:rsidRPr="007A752D">
        <w:rPr>
          <w:rFonts w:ascii="Calibri" w:eastAsia="Times New Roman" w:hAnsi="Calibri" w:cs="Calibri"/>
          <w:b/>
          <w:bCs/>
          <w:kern w:val="0"/>
          <w:sz w:val="24"/>
          <w:szCs w:val="24"/>
          <w:lang w:val="en-GB" w:eastAsia="en-GB"/>
          <w14:ligatures w14:val="none"/>
        </w:rPr>
        <w:t>rotocol</w:t>
      </w:r>
      <w:r w:rsidR="00465444">
        <w:rPr>
          <w:rFonts w:ascii="Calibri" w:eastAsia="Times New Roman" w:hAnsi="Calibri" w:cs="Calibri"/>
          <w:b/>
          <w:bCs/>
          <w:kern w:val="0"/>
          <w:sz w:val="24"/>
          <w:szCs w:val="24"/>
          <w:lang w:val="en-GB" w:eastAsia="en-GB"/>
          <w14:ligatures w14:val="none"/>
        </w:rPr>
        <w:t>”</w:t>
      </w:r>
      <w:r w:rsidRPr="007A752D">
        <w:rPr>
          <w:rFonts w:ascii="Calibri" w:eastAsia="Times New Roman" w:hAnsi="Calibri" w:cs="Calibri"/>
          <w:b/>
          <w:bCs/>
          <w:kern w:val="0"/>
          <w:sz w:val="24"/>
          <w:szCs w:val="24"/>
          <w:lang w:val="en-GB" w:eastAsia="en-GB"/>
          <w14:ligatures w14:val="none"/>
        </w:rPr>
        <w:t>, establishment of an operational data</w:t>
      </w:r>
      <w:r w:rsidRPr="007A752D">
        <w:rPr>
          <w:rFonts w:ascii="Cambria Math" w:eastAsia="Times New Roman" w:hAnsi="Cambria Math" w:cs="Cambria Math"/>
          <w:b/>
          <w:bCs/>
          <w:kern w:val="0"/>
          <w:sz w:val="24"/>
          <w:szCs w:val="24"/>
          <w:lang w:val="en-GB" w:eastAsia="en-GB"/>
          <w14:ligatures w14:val="none"/>
        </w:rPr>
        <w:t>‑</w:t>
      </w:r>
      <w:r w:rsidRPr="007A752D">
        <w:rPr>
          <w:rFonts w:ascii="Calibri" w:eastAsia="Times New Roman" w:hAnsi="Calibri" w:cs="Calibri"/>
          <w:b/>
          <w:bCs/>
          <w:kern w:val="0"/>
          <w:sz w:val="24"/>
          <w:szCs w:val="24"/>
          <w:lang w:val="en-GB" w:eastAsia="en-GB"/>
          <w14:ligatures w14:val="none"/>
        </w:rPr>
        <w:t>exchange platform, and publication of an annual joint groundwater status report.</w:t>
      </w:r>
    </w:p>
    <w:p w14:paraId="21B89AA5" w14:textId="015188B9" w:rsidR="00B62A05" w:rsidRPr="007A752D" w:rsidRDefault="00B62A05" w:rsidP="00B62A05">
      <w:pPr>
        <w:spacing w:before="100" w:beforeAutospacing="1" w:after="100" w:afterAutospacing="1" w:line="240" w:lineRule="auto"/>
        <w:jc w:val="both"/>
        <w:rPr>
          <w:rFonts w:ascii="Calibri" w:eastAsia="Times New Roman" w:hAnsi="Calibri" w:cs="Calibri"/>
          <w:b/>
          <w:bCs/>
          <w:kern w:val="0"/>
          <w:sz w:val="24"/>
          <w:szCs w:val="24"/>
          <w:lang w:val="en-GB" w:eastAsia="en-GB"/>
          <w14:ligatures w14:val="none"/>
        </w:rPr>
      </w:pPr>
      <w:r w:rsidRPr="007A752D">
        <w:rPr>
          <w:rFonts w:ascii="Calibri" w:eastAsia="Times New Roman" w:hAnsi="Calibri" w:cs="Calibri"/>
          <w:b/>
          <w:bCs/>
          <w:kern w:val="0"/>
          <w:sz w:val="24"/>
          <w:szCs w:val="24"/>
          <w:lang w:val="en-GB" w:eastAsia="en-GB"/>
          <w14:ligatures w14:val="none"/>
        </w:rPr>
        <w:t xml:space="preserve">Objective 3: Mutual </w:t>
      </w:r>
      <w:r w:rsidR="00465444">
        <w:rPr>
          <w:rFonts w:ascii="Calibri" w:eastAsia="Times New Roman" w:hAnsi="Calibri" w:cs="Calibri"/>
          <w:b/>
          <w:bCs/>
          <w:kern w:val="0"/>
          <w:sz w:val="24"/>
          <w:szCs w:val="24"/>
          <w:lang w:val="en-GB" w:eastAsia="en-GB"/>
          <w14:ligatures w14:val="none"/>
        </w:rPr>
        <w:t>r</w:t>
      </w:r>
      <w:r w:rsidRPr="007A752D">
        <w:rPr>
          <w:rFonts w:ascii="Calibri" w:eastAsia="Times New Roman" w:hAnsi="Calibri" w:cs="Calibri"/>
          <w:b/>
          <w:bCs/>
          <w:kern w:val="0"/>
          <w:sz w:val="24"/>
          <w:szCs w:val="24"/>
          <w:lang w:val="en-GB" w:eastAsia="en-GB"/>
          <w14:ligatures w14:val="none"/>
        </w:rPr>
        <w:t xml:space="preserve">ecognition and </w:t>
      </w:r>
      <w:r w:rsidR="00465444">
        <w:rPr>
          <w:rFonts w:ascii="Calibri" w:eastAsia="Times New Roman" w:hAnsi="Calibri" w:cs="Calibri"/>
          <w:b/>
          <w:bCs/>
          <w:kern w:val="0"/>
          <w:sz w:val="24"/>
          <w:szCs w:val="24"/>
          <w:lang w:val="en-GB" w:eastAsia="en-GB"/>
          <w14:ligatures w14:val="none"/>
        </w:rPr>
        <w:t>h</w:t>
      </w:r>
      <w:r w:rsidRPr="007A752D">
        <w:rPr>
          <w:rFonts w:ascii="Calibri" w:eastAsia="Times New Roman" w:hAnsi="Calibri" w:cs="Calibri"/>
          <w:b/>
          <w:bCs/>
          <w:kern w:val="0"/>
          <w:sz w:val="24"/>
          <w:szCs w:val="24"/>
          <w:lang w:val="en-GB" w:eastAsia="en-GB"/>
          <w14:ligatures w14:val="none"/>
        </w:rPr>
        <w:t xml:space="preserve">armonisation of </w:t>
      </w:r>
      <w:r w:rsidR="00465444">
        <w:rPr>
          <w:rFonts w:ascii="Calibri" w:eastAsia="Times New Roman" w:hAnsi="Calibri" w:cs="Calibri"/>
          <w:b/>
          <w:bCs/>
          <w:kern w:val="0"/>
          <w:sz w:val="24"/>
          <w:szCs w:val="24"/>
          <w:lang w:val="en-GB" w:eastAsia="en-GB"/>
          <w14:ligatures w14:val="none"/>
        </w:rPr>
        <w:t>c</w:t>
      </w:r>
      <w:r w:rsidRPr="007A752D">
        <w:rPr>
          <w:rFonts w:ascii="Calibri" w:eastAsia="Times New Roman" w:hAnsi="Calibri" w:cs="Calibri"/>
          <w:b/>
          <w:bCs/>
          <w:kern w:val="0"/>
          <w:sz w:val="24"/>
          <w:szCs w:val="24"/>
          <w:lang w:val="en-GB" w:eastAsia="en-GB"/>
          <w14:ligatures w14:val="none"/>
        </w:rPr>
        <w:t>ross</w:t>
      </w:r>
      <w:r w:rsidRPr="007A752D">
        <w:rPr>
          <w:rFonts w:ascii="Cambria Math" w:eastAsia="Times New Roman" w:hAnsi="Cambria Math" w:cs="Cambria Math"/>
          <w:b/>
          <w:bCs/>
          <w:kern w:val="0"/>
          <w:sz w:val="24"/>
          <w:szCs w:val="24"/>
          <w:lang w:val="en-GB" w:eastAsia="en-GB"/>
          <w14:ligatures w14:val="none"/>
        </w:rPr>
        <w:t>‑</w:t>
      </w:r>
      <w:r w:rsidR="00465444">
        <w:rPr>
          <w:rFonts w:ascii="Calibri" w:eastAsia="Times New Roman" w:hAnsi="Calibri" w:cs="Calibri"/>
          <w:b/>
          <w:bCs/>
          <w:kern w:val="0"/>
          <w:sz w:val="24"/>
          <w:szCs w:val="24"/>
          <w:lang w:val="en-GB" w:eastAsia="en-GB"/>
          <w14:ligatures w14:val="none"/>
        </w:rPr>
        <w:t>b</w:t>
      </w:r>
      <w:r w:rsidRPr="007A752D">
        <w:rPr>
          <w:rFonts w:ascii="Calibri" w:eastAsia="Times New Roman" w:hAnsi="Calibri" w:cs="Calibri"/>
          <w:b/>
          <w:bCs/>
          <w:kern w:val="0"/>
          <w:sz w:val="24"/>
          <w:szCs w:val="24"/>
          <w:lang w:val="en-GB" w:eastAsia="en-GB"/>
          <w14:ligatures w14:val="none"/>
        </w:rPr>
        <w:t xml:space="preserve">order </w:t>
      </w:r>
      <w:r w:rsidR="00465444">
        <w:rPr>
          <w:rFonts w:ascii="Calibri" w:eastAsia="Times New Roman" w:hAnsi="Calibri" w:cs="Calibri"/>
          <w:b/>
          <w:bCs/>
          <w:kern w:val="0"/>
          <w:sz w:val="24"/>
          <w:szCs w:val="24"/>
          <w:lang w:val="en-GB" w:eastAsia="en-GB"/>
          <w14:ligatures w14:val="none"/>
        </w:rPr>
        <w:t>s</w:t>
      </w:r>
      <w:r w:rsidRPr="007A752D">
        <w:rPr>
          <w:rFonts w:ascii="Calibri" w:eastAsia="Times New Roman" w:hAnsi="Calibri" w:cs="Calibri"/>
          <w:b/>
          <w:bCs/>
          <w:kern w:val="0"/>
          <w:sz w:val="24"/>
          <w:szCs w:val="24"/>
          <w:lang w:val="en-GB" w:eastAsia="en-GB"/>
          <w14:ligatures w14:val="none"/>
        </w:rPr>
        <w:t xml:space="preserve">anitary </w:t>
      </w:r>
      <w:r w:rsidR="00465444">
        <w:rPr>
          <w:rFonts w:ascii="Calibri" w:eastAsia="Times New Roman" w:hAnsi="Calibri" w:cs="Calibri"/>
          <w:b/>
          <w:bCs/>
          <w:kern w:val="0"/>
          <w:sz w:val="24"/>
          <w:szCs w:val="24"/>
          <w:lang w:val="en-GB" w:eastAsia="en-GB"/>
          <w14:ligatures w14:val="none"/>
        </w:rPr>
        <w:t>p</w:t>
      </w:r>
      <w:r w:rsidRPr="007A752D">
        <w:rPr>
          <w:rFonts w:ascii="Calibri" w:eastAsia="Times New Roman" w:hAnsi="Calibri" w:cs="Calibri"/>
          <w:b/>
          <w:bCs/>
          <w:kern w:val="0"/>
          <w:sz w:val="24"/>
          <w:szCs w:val="24"/>
          <w:lang w:val="en-GB" w:eastAsia="en-GB"/>
          <w14:ligatures w14:val="none"/>
        </w:rPr>
        <w:t xml:space="preserve">rotection </w:t>
      </w:r>
      <w:r w:rsidR="00465444">
        <w:rPr>
          <w:rFonts w:ascii="Calibri" w:eastAsia="Times New Roman" w:hAnsi="Calibri" w:cs="Calibri"/>
          <w:b/>
          <w:bCs/>
          <w:kern w:val="0"/>
          <w:sz w:val="24"/>
          <w:szCs w:val="24"/>
          <w:lang w:val="en-GB" w:eastAsia="en-GB"/>
          <w14:ligatures w14:val="none"/>
        </w:rPr>
        <w:t>z</w:t>
      </w:r>
      <w:r w:rsidRPr="007A752D">
        <w:rPr>
          <w:rFonts w:ascii="Calibri" w:eastAsia="Times New Roman" w:hAnsi="Calibri" w:cs="Calibri"/>
          <w:b/>
          <w:bCs/>
          <w:kern w:val="0"/>
          <w:sz w:val="24"/>
          <w:szCs w:val="24"/>
          <w:lang w:val="en-GB" w:eastAsia="en-GB"/>
          <w14:ligatures w14:val="none"/>
        </w:rPr>
        <w:t xml:space="preserve">ones in </w:t>
      </w:r>
      <w:r w:rsidR="00465444">
        <w:rPr>
          <w:rFonts w:ascii="Calibri" w:eastAsia="Times New Roman" w:hAnsi="Calibri" w:cs="Calibri"/>
          <w:b/>
          <w:bCs/>
          <w:kern w:val="0"/>
          <w:sz w:val="24"/>
          <w:szCs w:val="24"/>
          <w:lang w:val="en-GB" w:eastAsia="en-GB"/>
          <w14:ligatures w14:val="none"/>
        </w:rPr>
        <w:t>k</w:t>
      </w:r>
      <w:r w:rsidRPr="007A752D">
        <w:rPr>
          <w:rFonts w:ascii="Calibri" w:eastAsia="Times New Roman" w:hAnsi="Calibri" w:cs="Calibri"/>
          <w:b/>
          <w:bCs/>
          <w:kern w:val="0"/>
          <w:sz w:val="24"/>
          <w:szCs w:val="24"/>
          <w:lang w:val="en-GB" w:eastAsia="en-GB"/>
          <w14:ligatures w14:val="none"/>
        </w:rPr>
        <w:t xml:space="preserve">arst </w:t>
      </w:r>
      <w:r w:rsidR="00465444">
        <w:rPr>
          <w:rFonts w:ascii="Calibri" w:eastAsia="Times New Roman" w:hAnsi="Calibri" w:cs="Calibri"/>
          <w:b/>
          <w:bCs/>
          <w:kern w:val="0"/>
          <w:sz w:val="24"/>
          <w:szCs w:val="24"/>
          <w:lang w:val="en-GB" w:eastAsia="en-GB"/>
          <w14:ligatures w14:val="none"/>
        </w:rPr>
        <w:t>a</w:t>
      </w:r>
      <w:r w:rsidRPr="007A752D">
        <w:rPr>
          <w:rFonts w:ascii="Calibri" w:eastAsia="Times New Roman" w:hAnsi="Calibri" w:cs="Calibri"/>
          <w:b/>
          <w:bCs/>
          <w:kern w:val="0"/>
          <w:sz w:val="24"/>
          <w:szCs w:val="24"/>
          <w:lang w:val="en-GB" w:eastAsia="en-GB"/>
          <w14:ligatures w14:val="none"/>
        </w:rPr>
        <w:t>reas</w:t>
      </w:r>
    </w:p>
    <w:p w14:paraId="315248DA" w14:textId="1B40FF98" w:rsidR="00B62A05" w:rsidRPr="00B62A05" w:rsidRDefault="00B62A05" w:rsidP="00B62A05">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B62A05">
        <w:rPr>
          <w:rFonts w:ascii="Calibri" w:eastAsia="Times New Roman" w:hAnsi="Calibri" w:cs="Calibri"/>
          <w:kern w:val="0"/>
          <w:sz w:val="24"/>
          <w:szCs w:val="24"/>
          <w:lang w:val="en-GB" w:eastAsia="en-GB"/>
          <w14:ligatures w14:val="none"/>
        </w:rPr>
        <w:t>The Parties</w:t>
      </w:r>
      <w:r w:rsidR="00465444">
        <w:rPr>
          <w:rFonts w:ascii="Calibri" w:eastAsia="Times New Roman" w:hAnsi="Calibri" w:cs="Calibri"/>
          <w:kern w:val="0"/>
          <w:sz w:val="24"/>
          <w:szCs w:val="24"/>
          <w:lang w:val="en-GB" w:eastAsia="en-GB"/>
          <w14:ligatures w14:val="none"/>
        </w:rPr>
        <w:t xml:space="preserve"> to the Agreement</w:t>
      </w:r>
      <w:r w:rsidRPr="00B62A05">
        <w:rPr>
          <w:rFonts w:ascii="Calibri" w:eastAsia="Times New Roman" w:hAnsi="Calibri" w:cs="Calibri"/>
          <w:kern w:val="0"/>
          <w:sz w:val="24"/>
          <w:szCs w:val="24"/>
          <w:lang w:val="en-GB" w:eastAsia="en-GB"/>
          <w14:ligatures w14:val="none"/>
        </w:rPr>
        <w:t xml:space="preserve"> </w:t>
      </w:r>
      <w:r w:rsidR="00465444">
        <w:rPr>
          <w:rFonts w:ascii="Calibri" w:eastAsia="Times New Roman" w:hAnsi="Calibri" w:cs="Calibri"/>
          <w:kern w:val="0"/>
          <w:sz w:val="24"/>
          <w:szCs w:val="24"/>
          <w:lang w:val="en-GB" w:eastAsia="en-GB"/>
          <w14:ligatures w14:val="none"/>
        </w:rPr>
        <w:t>will</w:t>
      </w:r>
      <w:r w:rsidRPr="00B62A05">
        <w:rPr>
          <w:rFonts w:ascii="Calibri" w:eastAsia="Times New Roman" w:hAnsi="Calibri" w:cs="Calibri"/>
          <w:kern w:val="0"/>
          <w:sz w:val="24"/>
          <w:szCs w:val="24"/>
          <w:lang w:val="en-GB" w:eastAsia="en-GB"/>
          <w14:ligatures w14:val="none"/>
        </w:rPr>
        <w:t xml:space="preserve"> ensure mutual recognition and coordinated protection of sanitary protection zones (SPZs) extending across the state border in hydrologically connected karst aquifers. To this end, the Addendum or Protocol </w:t>
      </w:r>
      <w:r w:rsidR="00465444">
        <w:rPr>
          <w:rFonts w:ascii="Calibri" w:eastAsia="Times New Roman" w:hAnsi="Calibri" w:cs="Calibri"/>
          <w:kern w:val="0"/>
          <w:sz w:val="24"/>
          <w:szCs w:val="24"/>
          <w:lang w:val="en-GB" w:eastAsia="en-GB"/>
          <w14:ligatures w14:val="none"/>
        </w:rPr>
        <w:t>will</w:t>
      </w:r>
      <w:r w:rsidRPr="00B62A05">
        <w:rPr>
          <w:rFonts w:ascii="Calibri" w:eastAsia="Times New Roman" w:hAnsi="Calibri" w:cs="Calibri"/>
          <w:kern w:val="0"/>
          <w:sz w:val="24"/>
          <w:szCs w:val="24"/>
          <w:lang w:val="en-GB" w:eastAsia="en-GB"/>
          <w14:ligatures w14:val="none"/>
        </w:rPr>
        <w:t>:</w:t>
      </w:r>
    </w:p>
    <w:p w14:paraId="3CC1A564" w14:textId="77777777" w:rsidR="00B62A05" w:rsidRPr="007A752D" w:rsidRDefault="00B62A05" w:rsidP="007A752D">
      <w:pPr>
        <w:pStyle w:val="Odlomakpopisa"/>
        <w:numPr>
          <w:ilvl w:val="0"/>
          <w:numId w:val="24"/>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Establish common principles for karst vulnerability assessment, while allowing national flexibility in technical delineation methodologies;</w:t>
      </w:r>
    </w:p>
    <w:p w14:paraId="6BF2D121" w14:textId="77777777" w:rsidR="00B62A05" w:rsidRPr="007A752D" w:rsidRDefault="00B62A05" w:rsidP="007A752D">
      <w:pPr>
        <w:pStyle w:val="Odlomakpopisa"/>
        <w:numPr>
          <w:ilvl w:val="0"/>
          <w:numId w:val="24"/>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Define harmonised risk criteria and key parameters relevant to the protection of groundwater and groundwater</w:t>
      </w:r>
      <w:r w:rsidRPr="007A752D">
        <w:rPr>
          <w:rFonts w:ascii="Cambria Math" w:eastAsia="Times New Roman" w:hAnsi="Cambria Math" w:cs="Cambria Math"/>
          <w:kern w:val="0"/>
          <w:sz w:val="24"/>
          <w:szCs w:val="24"/>
          <w:lang w:val="en-GB" w:eastAsia="en-GB"/>
          <w14:ligatures w14:val="none"/>
        </w:rPr>
        <w:t>‑</w:t>
      </w:r>
      <w:r w:rsidRPr="007A752D">
        <w:rPr>
          <w:rFonts w:ascii="Calibri" w:eastAsia="Times New Roman" w:hAnsi="Calibri" w:cs="Calibri"/>
          <w:kern w:val="0"/>
          <w:sz w:val="24"/>
          <w:szCs w:val="24"/>
          <w:lang w:val="en-GB" w:eastAsia="en-GB"/>
          <w14:ligatures w14:val="none"/>
        </w:rPr>
        <w:t>dependent ecosystems within SPZ Zones I–IV;</w:t>
      </w:r>
    </w:p>
    <w:p w14:paraId="5D4DDD17" w14:textId="77777777" w:rsidR="00B62A05" w:rsidRPr="007A752D" w:rsidRDefault="00B62A05" w:rsidP="007A752D">
      <w:pPr>
        <w:pStyle w:val="Odlomakpopisa"/>
        <w:numPr>
          <w:ilvl w:val="0"/>
          <w:numId w:val="24"/>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Require systematic integration of SPZs and associated vulnerability zones into spatial, land</w:t>
      </w:r>
      <w:r w:rsidRPr="007A752D">
        <w:rPr>
          <w:rFonts w:ascii="Cambria Math" w:eastAsia="Times New Roman" w:hAnsi="Cambria Math" w:cs="Cambria Math"/>
          <w:kern w:val="0"/>
          <w:sz w:val="24"/>
          <w:szCs w:val="24"/>
          <w:lang w:val="en-GB" w:eastAsia="en-GB"/>
          <w14:ligatures w14:val="none"/>
        </w:rPr>
        <w:t>‑</w:t>
      </w:r>
      <w:r w:rsidRPr="007A752D">
        <w:rPr>
          <w:rFonts w:ascii="Calibri" w:eastAsia="Times New Roman" w:hAnsi="Calibri" w:cs="Calibri"/>
          <w:kern w:val="0"/>
          <w:sz w:val="24"/>
          <w:szCs w:val="24"/>
          <w:lang w:val="en-GB" w:eastAsia="en-GB"/>
          <w14:ligatures w14:val="none"/>
        </w:rPr>
        <w:t>use and relevant sectoral planning instruments in both countries;</w:t>
      </w:r>
    </w:p>
    <w:p w14:paraId="009E4248" w14:textId="50A21EC8" w:rsidR="00B62A05" w:rsidRPr="007A752D" w:rsidRDefault="00B62A05" w:rsidP="007A752D">
      <w:pPr>
        <w:pStyle w:val="Odlomakpopisa"/>
        <w:numPr>
          <w:ilvl w:val="0"/>
          <w:numId w:val="24"/>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Promote coordinated enforcement of protection measures and land</w:t>
      </w:r>
      <w:r w:rsidRPr="007A752D">
        <w:rPr>
          <w:rFonts w:ascii="Cambria Math" w:eastAsia="Times New Roman" w:hAnsi="Cambria Math" w:cs="Cambria Math"/>
          <w:kern w:val="0"/>
          <w:sz w:val="24"/>
          <w:szCs w:val="24"/>
          <w:lang w:val="en-GB" w:eastAsia="en-GB"/>
          <w14:ligatures w14:val="none"/>
        </w:rPr>
        <w:t>‑</w:t>
      </w:r>
      <w:r w:rsidRPr="007A752D">
        <w:rPr>
          <w:rFonts w:ascii="Calibri" w:eastAsia="Times New Roman" w:hAnsi="Calibri" w:cs="Calibri"/>
          <w:kern w:val="0"/>
          <w:sz w:val="24"/>
          <w:szCs w:val="24"/>
          <w:lang w:val="en-GB" w:eastAsia="en-GB"/>
          <w14:ligatures w14:val="none"/>
        </w:rPr>
        <w:t>use restrictions within shared recharge areas.</w:t>
      </w:r>
    </w:p>
    <w:p w14:paraId="526183C5" w14:textId="603C424E" w:rsidR="00B62A05" w:rsidRPr="007A752D" w:rsidRDefault="00B62A05" w:rsidP="00B62A05">
      <w:pPr>
        <w:spacing w:before="100" w:beforeAutospacing="1" w:after="100" w:afterAutospacing="1" w:line="240" w:lineRule="auto"/>
        <w:jc w:val="both"/>
        <w:rPr>
          <w:rFonts w:ascii="Calibri" w:eastAsia="Times New Roman" w:hAnsi="Calibri" w:cs="Calibri"/>
          <w:b/>
          <w:bCs/>
          <w:kern w:val="0"/>
          <w:sz w:val="24"/>
          <w:szCs w:val="24"/>
          <w:lang w:val="en-GB" w:eastAsia="en-GB"/>
          <w14:ligatures w14:val="none"/>
        </w:rPr>
      </w:pPr>
      <w:r w:rsidRPr="007A752D">
        <w:rPr>
          <w:rFonts w:ascii="Calibri" w:eastAsia="Times New Roman" w:hAnsi="Calibri" w:cs="Calibri"/>
          <w:b/>
          <w:bCs/>
          <w:kern w:val="0"/>
          <w:sz w:val="24"/>
          <w:szCs w:val="24"/>
          <w:lang w:val="en-GB" w:eastAsia="en-GB"/>
          <w14:ligatures w14:val="none"/>
        </w:rPr>
        <w:t xml:space="preserve">Measurable outcome: Consistent and mutually recognised SPZ protection regimes across the Una and Neretva TBAs, reducing regulatory </w:t>
      </w:r>
      <w:r w:rsidR="00465444">
        <w:rPr>
          <w:rFonts w:ascii="Calibri" w:eastAsia="Times New Roman" w:hAnsi="Calibri" w:cs="Calibri"/>
          <w:b/>
          <w:bCs/>
          <w:kern w:val="0"/>
          <w:sz w:val="24"/>
          <w:szCs w:val="24"/>
          <w:lang w:val="en-GB" w:eastAsia="en-GB"/>
          <w14:ligatures w14:val="none"/>
        </w:rPr>
        <w:t>differences as much as possible</w:t>
      </w:r>
      <w:r w:rsidRPr="007A752D">
        <w:rPr>
          <w:rFonts w:ascii="Calibri" w:eastAsia="Times New Roman" w:hAnsi="Calibri" w:cs="Calibri"/>
          <w:b/>
          <w:bCs/>
          <w:kern w:val="0"/>
          <w:sz w:val="24"/>
          <w:szCs w:val="24"/>
          <w:lang w:val="en-GB" w:eastAsia="en-GB"/>
          <w14:ligatures w14:val="none"/>
        </w:rPr>
        <w:t>, land</w:t>
      </w:r>
      <w:r w:rsidRPr="007A752D">
        <w:rPr>
          <w:rFonts w:ascii="Cambria Math" w:eastAsia="Times New Roman" w:hAnsi="Cambria Math" w:cs="Cambria Math"/>
          <w:b/>
          <w:bCs/>
          <w:kern w:val="0"/>
          <w:sz w:val="24"/>
          <w:szCs w:val="24"/>
          <w:lang w:val="en-GB" w:eastAsia="en-GB"/>
          <w14:ligatures w14:val="none"/>
        </w:rPr>
        <w:t>‑</w:t>
      </w:r>
      <w:r w:rsidRPr="007A752D">
        <w:rPr>
          <w:rFonts w:ascii="Calibri" w:eastAsia="Times New Roman" w:hAnsi="Calibri" w:cs="Calibri"/>
          <w:b/>
          <w:bCs/>
          <w:kern w:val="0"/>
          <w:sz w:val="24"/>
          <w:szCs w:val="24"/>
          <w:lang w:val="en-GB" w:eastAsia="en-GB"/>
          <w14:ligatures w14:val="none"/>
        </w:rPr>
        <w:t>use conflicts and contamination risks.</w:t>
      </w:r>
    </w:p>
    <w:p w14:paraId="0208FE94" w14:textId="7E50F7B4" w:rsidR="00B62A05" w:rsidRPr="007A752D" w:rsidRDefault="00B62A05" w:rsidP="00B62A05">
      <w:pPr>
        <w:spacing w:before="100" w:beforeAutospacing="1" w:after="100" w:afterAutospacing="1" w:line="240" w:lineRule="auto"/>
        <w:jc w:val="both"/>
        <w:rPr>
          <w:rFonts w:ascii="Calibri" w:eastAsia="Times New Roman" w:hAnsi="Calibri" w:cs="Calibri"/>
          <w:b/>
          <w:bCs/>
          <w:kern w:val="0"/>
          <w:sz w:val="24"/>
          <w:szCs w:val="24"/>
          <w:lang w:val="en-GB" w:eastAsia="en-GB"/>
          <w14:ligatures w14:val="none"/>
        </w:rPr>
      </w:pPr>
      <w:r w:rsidRPr="007A752D">
        <w:rPr>
          <w:rFonts w:ascii="Calibri" w:eastAsia="Times New Roman" w:hAnsi="Calibri" w:cs="Calibri"/>
          <w:b/>
          <w:bCs/>
          <w:kern w:val="0"/>
          <w:sz w:val="24"/>
          <w:szCs w:val="24"/>
          <w:lang w:val="en-GB" w:eastAsia="en-GB"/>
          <w14:ligatures w14:val="none"/>
        </w:rPr>
        <w:t>Objective 4: Groundwater</w:t>
      </w:r>
      <w:r w:rsidRPr="007A752D">
        <w:rPr>
          <w:rFonts w:ascii="Cambria Math" w:eastAsia="Times New Roman" w:hAnsi="Cambria Math" w:cs="Cambria Math"/>
          <w:b/>
          <w:bCs/>
          <w:kern w:val="0"/>
          <w:sz w:val="24"/>
          <w:szCs w:val="24"/>
          <w:lang w:val="en-GB" w:eastAsia="en-GB"/>
          <w14:ligatures w14:val="none"/>
        </w:rPr>
        <w:t>‑</w:t>
      </w:r>
      <w:r w:rsidR="00465444">
        <w:rPr>
          <w:rFonts w:ascii="Calibri" w:eastAsia="Times New Roman" w:hAnsi="Calibri" w:cs="Calibri"/>
          <w:b/>
          <w:bCs/>
          <w:kern w:val="0"/>
          <w:sz w:val="24"/>
          <w:szCs w:val="24"/>
          <w:lang w:val="en-GB" w:eastAsia="en-GB"/>
          <w14:ligatures w14:val="none"/>
        </w:rPr>
        <w:t>s</w:t>
      </w:r>
      <w:r w:rsidRPr="007A752D">
        <w:rPr>
          <w:rFonts w:ascii="Calibri" w:eastAsia="Times New Roman" w:hAnsi="Calibri" w:cs="Calibri"/>
          <w:b/>
          <w:bCs/>
          <w:kern w:val="0"/>
          <w:sz w:val="24"/>
          <w:szCs w:val="24"/>
          <w:lang w:val="en-GB" w:eastAsia="en-GB"/>
          <w14:ligatures w14:val="none"/>
        </w:rPr>
        <w:t xml:space="preserve">pecific </w:t>
      </w:r>
      <w:r w:rsidR="00465444">
        <w:rPr>
          <w:rFonts w:ascii="Calibri" w:eastAsia="Times New Roman" w:hAnsi="Calibri" w:cs="Calibri"/>
          <w:b/>
          <w:bCs/>
          <w:kern w:val="0"/>
          <w:sz w:val="24"/>
          <w:szCs w:val="24"/>
          <w:lang w:val="en-GB" w:eastAsia="en-GB"/>
          <w14:ligatures w14:val="none"/>
        </w:rPr>
        <w:t>“</w:t>
      </w:r>
      <w:r w:rsidRPr="007A752D">
        <w:rPr>
          <w:rFonts w:ascii="Calibri" w:eastAsia="Times New Roman" w:hAnsi="Calibri" w:cs="Calibri"/>
          <w:b/>
          <w:bCs/>
          <w:kern w:val="0"/>
          <w:sz w:val="24"/>
          <w:szCs w:val="24"/>
          <w:lang w:val="en-GB" w:eastAsia="en-GB"/>
          <w14:ligatures w14:val="none"/>
        </w:rPr>
        <w:t xml:space="preserve">Early </w:t>
      </w:r>
      <w:r w:rsidR="00465444">
        <w:rPr>
          <w:rFonts w:ascii="Calibri" w:eastAsia="Times New Roman" w:hAnsi="Calibri" w:cs="Calibri"/>
          <w:b/>
          <w:bCs/>
          <w:kern w:val="0"/>
          <w:sz w:val="24"/>
          <w:szCs w:val="24"/>
          <w:lang w:val="en-GB" w:eastAsia="en-GB"/>
          <w14:ligatures w14:val="none"/>
        </w:rPr>
        <w:t>w</w:t>
      </w:r>
      <w:r w:rsidRPr="007A752D">
        <w:rPr>
          <w:rFonts w:ascii="Calibri" w:eastAsia="Times New Roman" w:hAnsi="Calibri" w:cs="Calibri"/>
          <w:b/>
          <w:bCs/>
          <w:kern w:val="0"/>
          <w:sz w:val="24"/>
          <w:szCs w:val="24"/>
          <w:lang w:val="en-GB" w:eastAsia="en-GB"/>
          <w14:ligatures w14:val="none"/>
        </w:rPr>
        <w:t xml:space="preserve">arning and </w:t>
      </w:r>
      <w:r w:rsidR="00465444">
        <w:rPr>
          <w:rFonts w:ascii="Calibri" w:eastAsia="Times New Roman" w:hAnsi="Calibri" w:cs="Calibri"/>
          <w:b/>
          <w:bCs/>
          <w:kern w:val="0"/>
          <w:sz w:val="24"/>
          <w:szCs w:val="24"/>
          <w:lang w:val="en-GB" w:eastAsia="en-GB"/>
          <w14:ligatures w14:val="none"/>
        </w:rPr>
        <w:t>i</w:t>
      </w:r>
      <w:r w:rsidRPr="007A752D">
        <w:rPr>
          <w:rFonts w:ascii="Calibri" w:eastAsia="Times New Roman" w:hAnsi="Calibri" w:cs="Calibri"/>
          <w:b/>
          <w:bCs/>
          <w:kern w:val="0"/>
          <w:sz w:val="24"/>
          <w:szCs w:val="24"/>
          <w:lang w:val="en-GB" w:eastAsia="en-GB"/>
          <w14:ligatures w14:val="none"/>
        </w:rPr>
        <w:t xml:space="preserve">ncident </w:t>
      </w:r>
      <w:r w:rsidR="00465444">
        <w:rPr>
          <w:rFonts w:ascii="Calibri" w:eastAsia="Times New Roman" w:hAnsi="Calibri" w:cs="Calibri"/>
          <w:b/>
          <w:bCs/>
          <w:kern w:val="0"/>
          <w:sz w:val="24"/>
          <w:szCs w:val="24"/>
          <w:lang w:val="en-GB" w:eastAsia="en-GB"/>
          <w14:ligatures w14:val="none"/>
        </w:rPr>
        <w:t>r</w:t>
      </w:r>
      <w:r w:rsidRPr="007A752D">
        <w:rPr>
          <w:rFonts w:ascii="Calibri" w:eastAsia="Times New Roman" w:hAnsi="Calibri" w:cs="Calibri"/>
          <w:b/>
          <w:bCs/>
          <w:kern w:val="0"/>
          <w:sz w:val="24"/>
          <w:szCs w:val="24"/>
          <w:lang w:val="en-GB" w:eastAsia="en-GB"/>
          <w14:ligatures w14:val="none"/>
        </w:rPr>
        <w:t xml:space="preserve">esponse </w:t>
      </w:r>
      <w:r w:rsidR="00465444">
        <w:rPr>
          <w:rFonts w:ascii="Calibri" w:eastAsia="Times New Roman" w:hAnsi="Calibri" w:cs="Calibri"/>
          <w:b/>
          <w:bCs/>
          <w:kern w:val="0"/>
          <w:sz w:val="24"/>
          <w:szCs w:val="24"/>
          <w:lang w:val="en-GB" w:eastAsia="en-GB"/>
          <w14:ligatures w14:val="none"/>
        </w:rPr>
        <w:t>p</w:t>
      </w:r>
      <w:r w:rsidRPr="007A752D">
        <w:rPr>
          <w:rFonts w:ascii="Calibri" w:eastAsia="Times New Roman" w:hAnsi="Calibri" w:cs="Calibri"/>
          <w:b/>
          <w:bCs/>
          <w:kern w:val="0"/>
          <w:sz w:val="24"/>
          <w:szCs w:val="24"/>
          <w:lang w:val="en-GB" w:eastAsia="en-GB"/>
          <w14:ligatures w14:val="none"/>
        </w:rPr>
        <w:t>rotocol</w:t>
      </w:r>
      <w:r w:rsidR="00465444">
        <w:rPr>
          <w:rFonts w:ascii="Calibri" w:eastAsia="Times New Roman" w:hAnsi="Calibri" w:cs="Calibri"/>
          <w:b/>
          <w:bCs/>
          <w:kern w:val="0"/>
          <w:sz w:val="24"/>
          <w:szCs w:val="24"/>
          <w:lang w:val="en-GB" w:eastAsia="en-GB"/>
          <w14:ligatures w14:val="none"/>
        </w:rPr>
        <w:t>”</w:t>
      </w:r>
    </w:p>
    <w:p w14:paraId="6213AED3" w14:textId="22730517" w:rsidR="00B62A05" w:rsidRPr="00B62A05" w:rsidRDefault="00B62A05" w:rsidP="00B62A05">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B62A05">
        <w:rPr>
          <w:rFonts w:ascii="Calibri" w:eastAsia="Times New Roman" w:hAnsi="Calibri" w:cs="Calibri"/>
          <w:kern w:val="0"/>
          <w:sz w:val="24"/>
          <w:szCs w:val="24"/>
          <w:lang w:val="en-GB" w:eastAsia="en-GB"/>
          <w14:ligatures w14:val="none"/>
        </w:rPr>
        <w:t xml:space="preserve">The Parties </w:t>
      </w:r>
      <w:r w:rsidR="00465444">
        <w:rPr>
          <w:rFonts w:ascii="Calibri" w:eastAsia="Times New Roman" w:hAnsi="Calibri" w:cs="Calibri"/>
          <w:kern w:val="0"/>
          <w:sz w:val="24"/>
          <w:szCs w:val="24"/>
          <w:lang w:val="en-GB" w:eastAsia="en-GB"/>
          <w14:ligatures w14:val="none"/>
        </w:rPr>
        <w:t>to the Agreement will</w:t>
      </w:r>
      <w:r w:rsidRPr="00B62A05">
        <w:rPr>
          <w:rFonts w:ascii="Calibri" w:eastAsia="Times New Roman" w:hAnsi="Calibri" w:cs="Calibri"/>
          <w:kern w:val="0"/>
          <w:sz w:val="24"/>
          <w:szCs w:val="24"/>
          <w:lang w:val="en-GB" w:eastAsia="en-GB"/>
          <w14:ligatures w14:val="none"/>
        </w:rPr>
        <w:t xml:space="preserve"> establish a groundwater</w:t>
      </w:r>
      <w:r w:rsidRPr="00B62A05">
        <w:rPr>
          <w:rFonts w:ascii="Cambria Math" w:eastAsia="Times New Roman" w:hAnsi="Cambria Math" w:cs="Cambria Math"/>
          <w:kern w:val="0"/>
          <w:sz w:val="24"/>
          <w:szCs w:val="24"/>
          <w:lang w:val="en-GB" w:eastAsia="en-GB"/>
          <w14:ligatures w14:val="none"/>
        </w:rPr>
        <w:t>‑</w:t>
      </w:r>
      <w:r w:rsidRPr="00B62A05">
        <w:rPr>
          <w:rFonts w:ascii="Calibri" w:eastAsia="Times New Roman" w:hAnsi="Calibri" w:cs="Calibri"/>
          <w:kern w:val="0"/>
          <w:sz w:val="24"/>
          <w:szCs w:val="24"/>
          <w:lang w:val="en-GB" w:eastAsia="en-GB"/>
          <w14:ligatures w14:val="none"/>
        </w:rPr>
        <w:t xml:space="preserve">specific early warning and joint incident response mechanism for transboundary karst aquifers. Accordingly, the Addendum or Protocol </w:t>
      </w:r>
      <w:r w:rsidR="00465444">
        <w:rPr>
          <w:rFonts w:ascii="Calibri" w:eastAsia="Times New Roman" w:hAnsi="Calibri" w:cs="Calibri"/>
          <w:kern w:val="0"/>
          <w:sz w:val="24"/>
          <w:szCs w:val="24"/>
          <w:lang w:val="en-GB" w:eastAsia="en-GB"/>
          <w14:ligatures w14:val="none"/>
        </w:rPr>
        <w:t>will</w:t>
      </w:r>
      <w:r w:rsidRPr="00B62A05">
        <w:rPr>
          <w:rFonts w:ascii="Calibri" w:eastAsia="Times New Roman" w:hAnsi="Calibri" w:cs="Calibri"/>
          <w:kern w:val="0"/>
          <w:sz w:val="24"/>
          <w:szCs w:val="24"/>
          <w:lang w:val="en-GB" w:eastAsia="en-GB"/>
          <w14:ligatures w14:val="none"/>
        </w:rPr>
        <w:t>:</w:t>
      </w:r>
    </w:p>
    <w:p w14:paraId="2826D202" w14:textId="77777777" w:rsidR="00B62A05" w:rsidRPr="007A752D" w:rsidRDefault="00B62A05" w:rsidP="007A752D">
      <w:pPr>
        <w:pStyle w:val="Odlomakpopisa"/>
        <w:numPr>
          <w:ilvl w:val="0"/>
          <w:numId w:val="25"/>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Define agreed threshold values and qualitative indicators that trigger mandatory notification;</w:t>
      </w:r>
    </w:p>
    <w:p w14:paraId="74536C24" w14:textId="77777777" w:rsidR="00B62A05" w:rsidRPr="007A752D" w:rsidRDefault="00B62A05" w:rsidP="007A752D">
      <w:pPr>
        <w:pStyle w:val="Odlomakpopisa"/>
        <w:numPr>
          <w:ilvl w:val="0"/>
          <w:numId w:val="25"/>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Require notification of the competent authority of the other Party within 24 hours of detecting contamination events, abnormal turbidity or microbiological anomalies with potential transboundary relevance;</w:t>
      </w:r>
    </w:p>
    <w:p w14:paraId="3F68A3FA" w14:textId="77777777" w:rsidR="00B62A05" w:rsidRPr="007A752D" w:rsidRDefault="00B62A05" w:rsidP="007A752D">
      <w:pPr>
        <w:pStyle w:val="Odlomakpopisa"/>
        <w:numPr>
          <w:ilvl w:val="0"/>
          <w:numId w:val="25"/>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Provide for joint technical assessment where a transboundary impact is likely or cannot be excluded;</w:t>
      </w:r>
    </w:p>
    <w:p w14:paraId="2C679440" w14:textId="77777777" w:rsidR="00B62A05" w:rsidRPr="007A752D" w:rsidRDefault="00B62A05" w:rsidP="007A752D">
      <w:pPr>
        <w:pStyle w:val="Odlomakpopisa"/>
        <w:numPr>
          <w:ilvl w:val="0"/>
          <w:numId w:val="25"/>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Enable coordination of temporary risk</w:t>
      </w:r>
      <w:r w:rsidRPr="007A752D">
        <w:rPr>
          <w:rFonts w:ascii="Cambria Math" w:eastAsia="Times New Roman" w:hAnsi="Cambria Math" w:cs="Cambria Math"/>
          <w:kern w:val="0"/>
          <w:sz w:val="24"/>
          <w:szCs w:val="24"/>
          <w:lang w:val="en-GB" w:eastAsia="en-GB"/>
          <w14:ligatures w14:val="none"/>
        </w:rPr>
        <w:t>‑</w:t>
      </w:r>
      <w:r w:rsidRPr="007A752D">
        <w:rPr>
          <w:rFonts w:ascii="Calibri" w:eastAsia="Times New Roman" w:hAnsi="Calibri" w:cs="Calibri"/>
          <w:kern w:val="0"/>
          <w:sz w:val="24"/>
          <w:szCs w:val="24"/>
          <w:lang w:val="en-GB" w:eastAsia="en-GB"/>
          <w14:ligatures w14:val="none"/>
        </w:rPr>
        <w:t>mitigation measures, including adjustments to groundwater abstraction or alternative water</w:t>
      </w:r>
      <w:r w:rsidRPr="007A752D">
        <w:rPr>
          <w:rFonts w:ascii="Cambria Math" w:eastAsia="Times New Roman" w:hAnsi="Cambria Math" w:cs="Cambria Math"/>
          <w:kern w:val="0"/>
          <w:sz w:val="24"/>
          <w:szCs w:val="24"/>
          <w:lang w:val="en-GB" w:eastAsia="en-GB"/>
          <w14:ligatures w14:val="none"/>
        </w:rPr>
        <w:t>‑</w:t>
      </w:r>
      <w:r w:rsidRPr="007A752D">
        <w:rPr>
          <w:rFonts w:ascii="Calibri" w:eastAsia="Times New Roman" w:hAnsi="Calibri" w:cs="Calibri"/>
          <w:kern w:val="0"/>
          <w:sz w:val="24"/>
          <w:szCs w:val="24"/>
          <w:lang w:val="en-GB" w:eastAsia="en-GB"/>
          <w14:ligatures w14:val="none"/>
        </w:rPr>
        <w:t>supply arrangements where necessary;</w:t>
      </w:r>
    </w:p>
    <w:p w14:paraId="04925333" w14:textId="2D121B28" w:rsidR="00B62A05" w:rsidRPr="007A752D" w:rsidRDefault="00B62A05" w:rsidP="007A752D">
      <w:pPr>
        <w:pStyle w:val="Odlomakpopisa"/>
        <w:numPr>
          <w:ilvl w:val="0"/>
          <w:numId w:val="25"/>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Require structured post</w:t>
      </w:r>
      <w:r w:rsidRPr="007A752D">
        <w:rPr>
          <w:rFonts w:ascii="Cambria Math" w:eastAsia="Times New Roman" w:hAnsi="Cambria Math" w:cs="Cambria Math"/>
          <w:kern w:val="0"/>
          <w:sz w:val="24"/>
          <w:szCs w:val="24"/>
          <w:lang w:val="en-GB" w:eastAsia="en-GB"/>
          <w14:ligatures w14:val="none"/>
        </w:rPr>
        <w:t>‑</w:t>
      </w:r>
      <w:r w:rsidRPr="007A752D">
        <w:rPr>
          <w:rFonts w:ascii="Calibri" w:eastAsia="Times New Roman" w:hAnsi="Calibri" w:cs="Calibri"/>
          <w:kern w:val="0"/>
          <w:sz w:val="24"/>
          <w:szCs w:val="24"/>
          <w:lang w:val="en-GB" w:eastAsia="en-GB"/>
          <w14:ligatures w14:val="none"/>
        </w:rPr>
        <w:t>incident reporting to the Joint Commission, including lessons learned and recommended preventive measures.</w:t>
      </w:r>
    </w:p>
    <w:p w14:paraId="7C8E8BF6" w14:textId="60225E1C" w:rsidR="00B62A05" w:rsidRPr="00B62A05" w:rsidRDefault="00B62A05" w:rsidP="00B62A05">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b/>
          <w:bCs/>
          <w:kern w:val="0"/>
          <w:sz w:val="24"/>
          <w:szCs w:val="24"/>
          <w:lang w:val="en-GB" w:eastAsia="en-GB"/>
          <w14:ligatures w14:val="none"/>
        </w:rPr>
        <w:lastRenderedPageBreak/>
        <w:t xml:space="preserve">Measurable outcomes: Adoption of a </w:t>
      </w:r>
      <w:r w:rsidR="00465444" w:rsidRPr="007A752D">
        <w:rPr>
          <w:rFonts w:ascii="Calibri" w:eastAsia="Times New Roman" w:hAnsi="Calibri" w:cs="Calibri"/>
          <w:b/>
          <w:bCs/>
          <w:kern w:val="0"/>
          <w:sz w:val="24"/>
          <w:szCs w:val="24"/>
          <w:lang w:val="en-GB" w:eastAsia="en-GB"/>
          <w14:ligatures w14:val="none"/>
        </w:rPr>
        <w:t>“</w:t>
      </w:r>
      <w:r w:rsidRPr="007A752D">
        <w:rPr>
          <w:rFonts w:ascii="Calibri" w:eastAsia="Times New Roman" w:hAnsi="Calibri" w:cs="Calibri"/>
          <w:b/>
          <w:bCs/>
          <w:kern w:val="0"/>
          <w:sz w:val="24"/>
          <w:szCs w:val="24"/>
          <w:lang w:val="en-GB" w:eastAsia="en-GB"/>
          <w14:ligatures w14:val="none"/>
        </w:rPr>
        <w:t xml:space="preserve">Joint </w:t>
      </w:r>
      <w:r w:rsidR="00465444" w:rsidRPr="007A752D">
        <w:rPr>
          <w:rFonts w:ascii="Calibri" w:eastAsia="Times New Roman" w:hAnsi="Calibri" w:cs="Calibri"/>
          <w:b/>
          <w:bCs/>
          <w:kern w:val="0"/>
          <w:sz w:val="24"/>
          <w:szCs w:val="24"/>
          <w:lang w:val="en-GB" w:eastAsia="en-GB"/>
          <w14:ligatures w14:val="none"/>
        </w:rPr>
        <w:t>e</w:t>
      </w:r>
      <w:r w:rsidRPr="007A752D">
        <w:rPr>
          <w:rFonts w:ascii="Calibri" w:eastAsia="Times New Roman" w:hAnsi="Calibri" w:cs="Calibri"/>
          <w:b/>
          <w:bCs/>
          <w:kern w:val="0"/>
          <w:sz w:val="24"/>
          <w:szCs w:val="24"/>
          <w:lang w:val="en-GB" w:eastAsia="en-GB"/>
          <w14:ligatures w14:val="none"/>
        </w:rPr>
        <w:t xml:space="preserve">arly </w:t>
      </w:r>
      <w:r w:rsidR="00465444" w:rsidRPr="007A752D">
        <w:rPr>
          <w:rFonts w:ascii="Calibri" w:eastAsia="Times New Roman" w:hAnsi="Calibri" w:cs="Calibri"/>
          <w:b/>
          <w:bCs/>
          <w:kern w:val="0"/>
          <w:sz w:val="24"/>
          <w:szCs w:val="24"/>
          <w:lang w:val="en-GB" w:eastAsia="en-GB"/>
          <w14:ligatures w14:val="none"/>
        </w:rPr>
        <w:t>w</w:t>
      </w:r>
      <w:r w:rsidRPr="007A752D">
        <w:rPr>
          <w:rFonts w:ascii="Calibri" w:eastAsia="Times New Roman" w:hAnsi="Calibri" w:cs="Calibri"/>
          <w:b/>
          <w:bCs/>
          <w:kern w:val="0"/>
          <w:sz w:val="24"/>
          <w:szCs w:val="24"/>
          <w:lang w:val="en-GB" w:eastAsia="en-GB"/>
          <w14:ligatures w14:val="none"/>
        </w:rPr>
        <w:t xml:space="preserve">arning and </w:t>
      </w:r>
      <w:r w:rsidR="00465444" w:rsidRPr="007A752D">
        <w:rPr>
          <w:rFonts w:ascii="Calibri" w:eastAsia="Times New Roman" w:hAnsi="Calibri" w:cs="Calibri"/>
          <w:b/>
          <w:bCs/>
          <w:kern w:val="0"/>
          <w:sz w:val="24"/>
          <w:szCs w:val="24"/>
          <w:lang w:val="en-GB" w:eastAsia="en-GB"/>
          <w14:ligatures w14:val="none"/>
        </w:rPr>
        <w:t>i</w:t>
      </w:r>
      <w:r w:rsidRPr="007A752D">
        <w:rPr>
          <w:rFonts w:ascii="Calibri" w:eastAsia="Times New Roman" w:hAnsi="Calibri" w:cs="Calibri"/>
          <w:b/>
          <w:bCs/>
          <w:kern w:val="0"/>
          <w:sz w:val="24"/>
          <w:szCs w:val="24"/>
          <w:lang w:val="en-GB" w:eastAsia="en-GB"/>
          <w14:ligatures w14:val="none"/>
        </w:rPr>
        <w:t xml:space="preserve">ncident </w:t>
      </w:r>
      <w:r w:rsidR="00465444" w:rsidRPr="007A752D">
        <w:rPr>
          <w:rFonts w:ascii="Calibri" w:eastAsia="Times New Roman" w:hAnsi="Calibri" w:cs="Calibri"/>
          <w:b/>
          <w:bCs/>
          <w:kern w:val="0"/>
          <w:sz w:val="24"/>
          <w:szCs w:val="24"/>
          <w:lang w:val="en-GB" w:eastAsia="en-GB"/>
          <w14:ligatures w14:val="none"/>
        </w:rPr>
        <w:t>r</w:t>
      </w:r>
      <w:r w:rsidRPr="007A752D">
        <w:rPr>
          <w:rFonts w:ascii="Calibri" w:eastAsia="Times New Roman" w:hAnsi="Calibri" w:cs="Calibri"/>
          <w:b/>
          <w:bCs/>
          <w:kern w:val="0"/>
          <w:sz w:val="24"/>
          <w:szCs w:val="24"/>
          <w:lang w:val="en-GB" w:eastAsia="en-GB"/>
          <w14:ligatures w14:val="none"/>
        </w:rPr>
        <w:t xml:space="preserve">esponse </w:t>
      </w:r>
      <w:r w:rsidR="00465444" w:rsidRPr="007A752D">
        <w:rPr>
          <w:rFonts w:ascii="Calibri" w:eastAsia="Times New Roman" w:hAnsi="Calibri" w:cs="Calibri"/>
          <w:b/>
          <w:bCs/>
          <w:kern w:val="0"/>
          <w:sz w:val="24"/>
          <w:szCs w:val="24"/>
          <w:lang w:val="en-GB" w:eastAsia="en-GB"/>
          <w14:ligatures w14:val="none"/>
        </w:rPr>
        <w:t>p</w:t>
      </w:r>
      <w:r w:rsidRPr="007A752D">
        <w:rPr>
          <w:rFonts w:ascii="Calibri" w:eastAsia="Times New Roman" w:hAnsi="Calibri" w:cs="Calibri"/>
          <w:b/>
          <w:bCs/>
          <w:kern w:val="0"/>
          <w:sz w:val="24"/>
          <w:szCs w:val="24"/>
          <w:lang w:val="en-GB" w:eastAsia="en-GB"/>
          <w14:ligatures w14:val="none"/>
        </w:rPr>
        <w:t>rotocol</w:t>
      </w:r>
      <w:r w:rsidR="00465444" w:rsidRPr="007A752D">
        <w:rPr>
          <w:rFonts w:ascii="Calibri" w:eastAsia="Times New Roman" w:hAnsi="Calibri" w:cs="Calibri"/>
          <w:b/>
          <w:bCs/>
          <w:kern w:val="0"/>
          <w:sz w:val="24"/>
          <w:szCs w:val="24"/>
          <w:lang w:val="en-GB" w:eastAsia="en-GB"/>
          <w14:ligatures w14:val="none"/>
        </w:rPr>
        <w:t>”</w:t>
      </w:r>
      <w:r w:rsidRPr="007A752D">
        <w:rPr>
          <w:rFonts w:ascii="Calibri" w:eastAsia="Times New Roman" w:hAnsi="Calibri" w:cs="Calibri"/>
          <w:b/>
          <w:bCs/>
          <w:kern w:val="0"/>
          <w:sz w:val="24"/>
          <w:szCs w:val="24"/>
          <w:lang w:val="en-GB" w:eastAsia="en-GB"/>
          <w14:ligatures w14:val="none"/>
        </w:rPr>
        <w:t>, designation of official groundwater contact points, and annual summaries of incidents and responses</w:t>
      </w:r>
      <w:r w:rsidRPr="00B62A05">
        <w:rPr>
          <w:rFonts w:ascii="Calibri" w:eastAsia="Times New Roman" w:hAnsi="Calibri" w:cs="Calibri"/>
          <w:kern w:val="0"/>
          <w:sz w:val="24"/>
          <w:szCs w:val="24"/>
          <w:lang w:val="en-GB" w:eastAsia="en-GB"/>
          <w14:ligatures w14:val="none"/>
        </w:rPr>
        <w:t>.</w:t>
      </w:r>
    </w:p>
    <w:p w14:paraId="039C64AA" w14:textId="378318B6" w:rsidR="00B62A05" w:rsidRPr="007A752D" w:rsidRDefault="00B62A05" w:rsidP="00B62A05">
      <w:pPr>
        <w:spacing w:before="100" w:beforeAutospacing="1" w:after="100" w:afterAutospacing="1" w:line="240" w:lineRule="auto"/>
        <w:jc w:val="both"/>
        <w:rPr>
          <w:rFonts w:ascii="Calibri" w:eastAsia="Times New Roman" w:hAnsi="Calibri" w:cs="Calibri"/>
          <w:b/>
          <w:bCs/>
          <w:kern w:val="0"/>
          <w:sz w:val="24"/>
          <w:szCs w:val="24"/>
          <w:lang w:val="en-GB" w:eastAsia="en-GB"/>
          <w14:ligatures w14:val="none"/>
        </w:rPr>
      </w:pPr>
      <w:r w:rsidRPr="007A752D">
        <w:rPr>
          <w:rFonts w:ascii="Calibri" w:eastAsia="Times New Roman" w:hAnsi="Calibri" w:cs="Calibri"/>
          <w:b/>
          <w:bCs/>
          <w:kern w:val="0"/>
          <w:sz w:val="24"/>
          <w:szCs w:val="24"/>
          <w:lang w:val="en-GB" w:eastAsia="en-GB"/>
          <w14:ligatures w14:val="none"/>
        </w:rPr>
        <w:t xml:space="preserve">Objective 5: Institutionalisation of </w:t>
      </w:r>
      <w:r w:rsidR="00465444">
        <w:rPr>
          <w:rFonts w:ascii="Calibri" w:eastAsia="Times New Roman" w:hAnsi="Calibri" w:cs="Calibri"/>
          <w:b/>
          <w:bCs/>
          <w:kern w:val="0"/>
          <w:sz w:val="24"/>
          <w:szCs w:val="24"/>
          <w:lang w:val="en-GB" w:eastAsia="en-GB"/>
          <w14:ligatures w14:val="none"/>
        </w:rPr>
        <w:t>p</w:t>
      </w:r>
      <w:r w:rsidRPr="007A752D">
        <w:rPr>
          <w:rFonts w:ascii="Calibri" w:eastAsia="Times New Roman" w:hAnsi="Calibri" w:cs="Calibri"/>
          <w:b/>
          <w:bCs/>
          <w:kern w:val="0"/>
          <w:sz w:val="24"/>
          <w:szCs w:val="24"/>
          <w:lang w:val="en-GB" w:eastAsia="en-GB"/>
          <w14:ligatures w14:val="none"/>
        </w:rPr>
        <w:t xml:space="preserve">eriodic </w:t>
      </w:r>
      <w:r w:rsidR="00465444">
        <w:rPr>
          <w:rFonts w:ascii="Calibri" w:eastAsia="Times New Roman" w:hAnsi="Calibri" w:cs="Calibri"/>
          <w:b/>
          <w:bCs/>
          <w:kern w:val="0"/>
          <w:sz w:val="24"/>
          <w:szCs w:val="24"/>
          <w:lang w:val="en-GB" w:eastAsia="en-GB"/>
          <w14:ligatures w14:val="none"/>
        </w:rPr>
        <w:t>j</w:t>
      </w:r>
      <w:r w:rsidRPr="007A752D">
        <w:rPr>
          <w:rFonts w:ascii="Calibri" w:eastAsia="Times New Roman" w:hAnsi="Calibri" w:cs="Calibri"/>
          <w:b/>
          <w:bCs/>
          <w:kern w:val="0"/>
          <w:sz w:val="24"/>
          <w:szCs w:val="24"/>
          <w:lang w:val="en-GB" w:eastAsia="en-GB"/>
          <w14:ligatures w14:val="none"/>
        </w:rPr>
        <w:t xml:space="preserve">oint </w:t>
      </w:r>
      <w:r w:rsidR="00465444">
        <w:rPr>
          <w:rFonts w:ascii="Calibri" w:eastAsia="Times New Roman" w:hAnsi="Calibri" w:cs="Calibri"/>
          <w:b/>
          <w:bCs/>
          <w:kern w:val="0"/>
          <w:sz w:val="24"/>
          <w:szCs w:val="24"/>
          <w:lang w:val="en-GB" w:eastAsia="en-GB"/>
          <w14:ligatures w14:val="none"/>
        </w:rPr>
        <w:t>r</w:t>
      </w:r>
      <w:r w:rsidRPr="007A752D">
        <w:rPr>
          <w:rFonts w:ascii="Calibri" w:eastAsia="Times New Roman" w:hAnsi="Calibri" w:cs="Calibri"/>
          <w:b/>
          <w:bCs/>
          <w:kern w:val="0"/>
          <w:sz w:val="24"/>
          <w:szCs w:val="24"/>
          <w:lang w:val="en-GB" w:eastAsia="en-GB"/>
          <w14:ligatures w14:val="none"/>
        </w:rPr>
        <w:t xml:space="preserve">eporting and </w:t>
      </w:r>
      <w:r w:rsidR="00465444">
        <w:rPr>
          <w:rFonts w:ascii="Calibri" w:eastAsia="Times New Roman" w:hAnsi="Calibri" w:cs="Calibri"/>
          <w:b/>
          <w:bCs/>
          <w:kern w:val="0"/>
          <w:sz w:val="24"/>
          <w:szCs w:val="24"/>
          <w:lang w:val="en-GB" w:eastAsia="en-GB"/>
          <w14:ligatures w14:val="none"/>
        </w:rPr>
        <w:t>r</w:t>
      </w:r>
      <w:r w:rsidRPr="007A752D">
        <w:rPr>
          <w:rFonts w:ascii="Calibri" w:eastAsia="Times New Roman" w:hAnsi="Calibri" w:cs="Calibri"/>
          <w:b/>
          <w:bCs/>
          <w:kern w:val="0"/>
          <w:sz w:val="24"/>
          <w:szCs w:val="24"/>
          <w:lang w:val="en-GB" w:eastAsia="en-GB"/>
          <w14:ligatures w14:val="none"/>
        </w:rPr>
        <w:t>eview</w:t>
      </w:r>
    </w:p>
    <w:p w14:paraId="0C969193" w14:textId="747123A3" w:rsidR="00B62A05" w:rsidRPr="00B62A05" w:rsidRDefault="00B62A05" w:rsidP="00B62A05">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B62A05">
        <w:rPr>
          <w:rFonts w:ascii="Calibri" w:eastAsia="Times New Roman" w:hAnsi="Calibri" w:cs="Calibri"/>
          <w:kern w:val="0"/>
          <w:sz w:val="24"/>
          <w:szCs w:val="24"/>
          <w:lang w:val="en-GB" w:eastAsia="en-GB"/>
          <w14:ligatures w14:val="none"/>
        </w:rPr>
        <w:t>The Parties</w:t>
      </w:r>
      <w:r w:rsidR="00C5301F">
        <w:rPr>
          <w:rFonts w:ascii="Calibri" w:eastAsia="Times New Roman" w:hAnsi="Calibri" w:cs="Calibri"/>
          <w:kern w:val="0"/>
          <w:sz w:val="24"/>
          <w:szCs w:val="24"/>
          <w:lang w:val="en-GB" w:eastAsia="en-GB"/>
          <w14:ligatures w14:val="none"/>
        </w:rPr>
        <w:t xml:space="preserve"> to the Agreement</w:t>
      </w:r>
      <w:r w:rsidRPr="00B62A05">
        <w:rPr>
          <w:rFonts w:ascii="Calibri" w:eastAsia="Times New Roman" w:hAnsi="Calibri" w:cs="Calibri"/>
          <w:kern w:val="0"/>
          <w:sz w:val="24"/>
          <w:szCs w:val="24"/>
          <w:lang w:val="en-GB" w:eastAsia="en-GB"/>
          <w14:ligatures w14:val="none"/>
        </w:rPr>
        <w:t xml:space="preserve"> </w:t>
      </w:r>
      <w:r w:rsidR="00465444">
        <w:rPr>
          <w:rFonts w:ascii="Calibri" w:eastAsia="Times New Roman" w:hAnsi="Calibri" w:cs="Calibri"/>
          <w:kern w:val="0"/>
          <w:sz w:val="24"/>
          <w:szCs w:val="24"/>
          <w:lang w:val="en-GB" w:eastAsia="en-GB"/>
          <w14:ligatures w14:val="none"/>
        </w:rPr>
        <w:t>will</w:t>
      </w:r>
      <w:r w:rsidRPr="00B62A05">
        <w:rPr>
          <w:rFonts w:ascii="Calibri" w:eastAsia="Times New Roman" w:hAnsi="Calibri" w:cs="Calibri"/>
          <w:kern w:val="0"/>
          <w:sz w:val="24"/>
          <w:szCs w:val="24"/>
          <w:lang w:val="en-GB" w:eastAsia="en-GB"/>
          <w14:ligatures w14:val="none"/>
        </w:rPr>
        <w:t xml:space="preserve"> institutionalise regular joint review of the status and management of transboundary groundwater resources within the framework of the Joint Commission. To this end, the Addendum or Protocol </w:t>
      </w:r>
      <w:r w:rsidR="00465444">
        <w:rPr>
          <w:rFonts w:ascii="Calibri" w:eastAsia="Times New Roman" w:hAnsi="Calibri" w:cs="Calibri"/>
          <w:kern w:val="0"/>
          <w:sz w:val="24"/>
          <w:szCs w:val="24"/>
          <w:lang w:val="en-GB" w:eastAsia="en-GB"/>
          <w14:ligatures w14:val="none"/>
        </w:rPr>
        <w:t>will</w:t>
      </w:r>
      <w:r w:rsidRPr="00B62A05">
        <w:rPr>
          <w:rFonts w:ascii="Calibri" w:eastAsia="Times New Roman" w:hAnsi="Calibri" w:cs="Calibri"/>
          <w:kern w:val="0"/>
          <w:sz w:val="24"/>
          <w:szCs w:val="24"/>
          <w:lang w:val="en-GB" w:eastAsia="en-GB"/>
          <w14:ligatures w14:val="none"/>
        </w:rPr>
        <w:t>:</w:t>
      </w:r>
    </w:p>
    <w:p w14:paraId="075B5A3F" w14:textId="77777777" w:rsidR="00B62A05" w:rsidRPr="007A752D" w:rsidRDefault="00B62A05" w:rsidP="007A752D">
      <w:pPr>
        <w:pStyle w:val="Odlomakpopisa"/>
        <w:numPr>
          <w:ilvl w:val="0"/>
          <w:numId w:val="26"/>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Require annual joint reporting on groundwater status, monitoring results, incident responses and compliance with agreed measures;</w:t>
      </w:r>
    </w:p>
    <w:p w14:paraId="56A1CBF2" w14:textId="77777777" w:rsidR="00B62A05" w:rsidRPr="007A752D" w:rsidRDefault="00B62A05" w:rsidP="007A752D">
      <w:pPr>
        <w:pStyle w:val="Odlomakpopisa"/>
        <w:numPr>
          <w:ilvl w:val="0"/>
          <w:numId w:val="26"/>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Establish a structured review process under the Joint Commission to assess implementation progress and, where necessary, adapt measures and priorities;</w:t>
      </w:r>
    </w:p>
    <w:p w14:paraId="36500618" w14:textId="4DE61954" w:rsidR="00B62A05" w:rsidRPr="007A752D" w:rsidRDefault="00B62A05" w:rsidP="007A752D">
      <w:pPr>
        <w:pStyle w:val="Odlomakpopisa"/>
        <w:numPr>
          <w:ilvl w:val="0"/>
          <w:numId w:val="26"/>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Ensure transparency and appropriate stakeholder engagement, particularly in relation to drinking</w:t>
      </w:r>
      <w:r w:rsidRPr="007A752D">
        <w:rPr>
          <w:rFonts w:ascii="Cambria Math" w:eastAsia="Times New Roman" w:hAnsi="Cambria Math" w:cs="Cambria Math"/>
          <w:kern w:val="0"/>
          <w:sz w:val="24"/>
          <w:szCs w:val="24"/>
          <w:lang w:val="en-GB" w:eastAsia="en-GB"/>
          <w14:ligatures w14:val="none"/>
        </w:rPr>
        <w:t>‑</w:t>
      </w:r>
      <w:r w:rsidRPr="007A752D">
        <w:rPr>
          <w:rFonts w:ascii="Calibri" w:eastAsia="Times New Roman" w:hAnsi="Calibri" w:cs="Calibri"/>
          <w:kern w:val="0"/>
          <w:sz w:val="24"/>
          <w:szCs w:val="24"/>
          <w:lang w:val="en-GB" w:eastAsia="en-GB"/>
          <w14:ligatures w14:val="none"/>
        </w:rPr>
        <w:t>water supply, land use and ecosystem protection.</w:t>
      </w:r>
    </w:p>
    <w:p w14:paraId="3F974A0A" w14:textId="1C23AE44" w:rsidR="00FB5FA6" w:rsidRPr="00EF150F" w:rsidRDefault="00B62A05"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b/>
          <w:bCs/>
          <w:kern w:val="0"/>
          <w:sz w:val="24"/>
          <w:szCs w:val="24"/>
          <w:lang w:val="en-GB" w:eastAsia="en-GB"/>
          <w14:ligatures w14:val="none"/>
        </w:rPr>
        <w:t>Measurable outcome: Regular joint decision</w:t>
      </w:r>
      <w:r w:rsidRPr="007A752D">
        <w:rPr>
          <w:rFonts w:ascii="Cambria Math" w:eastAsia="Times New Roman" w:hAnsi="Cambria Math" w:cs="Cambria Math"/>
          <w:b/>
          <w:bCs/>
          <w:kern w:val="0"/>
          <w:sz w:val="24"/>
          <w:szCs w:val="24"/>
          <w:lang w:val="en-GB" w:eastAsia="en-GB"/>
          <w14:ligatures w14:val="none"/>
        </w:rPr>
        <w:t>‑</w:t>
      </w:r>
      <w:r w:rsidRPr="007A752D">
        <w:rPr>
          <w:rFonts w:ascii="Calibri" w:eastAsia="Times New Roman" w:hAnsi="Calibri" w:cs="Calibri"/>
          <w:b/>
          <w:bCs/>
          <w:kern w:val="0"/>
          <w:sz w:val="24"/>
          <w:szCs w:val="24"/>
          <w:lang w:val="en-GB" w:eastAsia="en-GB"/>
          <w14:ligatures w14:val="none"/>
        </w:rPr>
        <w:t>making supported by shared evidence, strengthened enforcement capacity, and enhanced long</w:t>
      </w:r>
      <w:r w:rsidRPr="007A752D">
        <w:rPr>
          <w:rFonts w:ascii="Cambria Math" w:eastAsia="Times New Roman" w:hAnsi="Cambria Math" w:cs="Cambria Math"/>
          <w:b/>
          <w:bCs/>
          <w:kern w:val="0"/>
          <w:sz w:val="24"/>
          <w:szCs w:val="24"/>
          <w:lang w:val="en-GB" w:eastAsia="en-GB"/>
          <w14:ligatures w14:val="none"/>
        </w:rPr>
        <w:t>‑</w:t>
      </w:r>
      <w:r w:rsidRPr="007A752D">
        <w:rPr>
          <w:rFonts w:ascii="Calibri" w:eastAsia="Times New Roman" w:hAnsi="Calibri" w:cs="Calibri"/>
          <w:b/>
          <w:bCs/>
          <w:kern w:val="0"/>
          <w:sz w:val="24"/>
          <w:szCs w:val="24"/>
          <w:lang w:val="en-GB" w:eastAsia="en-GB"/>
          <w14:ligatures w14:val="none"/>
        </w:rPr>
        <w:t xml:space="preserve">term governance of </w:t>
      </w:r>
      <w:r w:rsidR="00465444">
        <w:rPr>
          <w:rFonts w:ascii="Calibri" w:eastAsia="Times New Roman" w:hAnsi="Calibri" w:cs="Calibri"/>
          <w:b/>
          <w:bCs/>
          <w:kern w:val="0"/>
          <w:sz w:val="24"/>
          <w:szCs w:val="24"/>
          <w:lang w:val="en-GB" w:eastAsia="en-GB"/>
          <w14:ligatures w14:val="none"/>
        </w:rPr>
        <w:t>transboundary</w:t>
      </w:r>
      <w:r w:rsidRPr="007A752D">
        <w:rPr>
          <w:rFonts w:ascii="Calibri" w:eastAsia="Times New Roman" w:hAnsi="Calibri" w:cs="Calibri"/>
          <w:b/>
          <w:bCs/>
          <w:kern w:val="0"/>
          <w:sz w:val="24"/>
          <w:szCs w:val="24"/>
          <w:lang w:val="en-GB" w:eastAsia="en-GB"/>
          <w14:ligatures w14:val="none"/>
        </w:rPr>
        <w:t xml:space="preserve"> karst aquifers.</w:t>
      </w:r>
    </w:p>
    <w:p w14:paraId="05396EB4" w14:textId="77777777" w:rsidR="0076514E" w:rsidRPr="00EF150F" w:rsidRDefault="0076514E" w:rsidP="00906D03">
      <w:pPr>
        <w:jc w:val="both"/>
        <w:rPr>
          <w:rFonts w:ascii="Calibri" w:hAnsi="Calibri" w:cs="Calibri"/>
          <w:sz w:val="24"/>
          <w:szCs w:val="24"/>
          <w:lang w:val="en-GB"/>
        </w:rPr>
      </w:pPr>
    </w:p>
    <w:p w14:paraId="0758A677" w14:textId="66F15905" w:rsidR="0076514E" w:rsidRPr="000C1958" w:rsidRDefault="0076514E" w:rsidP="004F2AB1">
      <w:pPr>
        <w:pStyle w:val="Naslov1"/>
        <w:rPr>
          <w:lang w:val="en-GB"/>
        </w:rPr>
      </w:pPr>
      <w:bookmarkStart w:id="16" w:name="_Toc229079463"/>
      <w:r w:rsidRPr="000C1958">
        <w:rPr>
          <w:lang w:val="en-GB"/>
        </w:rPr>
        <w:t xml:space="preserve">7. </w:t>
      </w:r>
      <w:r w:rsidR="003B05C5" w:rsidRPr="000C1958">
        <w:rPr>
          <w:lang w:val="en-GB"/>
        </w:rPr>
        <w:t>Proposed Legal Amendments and Key Action Points</w:t>
      </w:r>
      <w:bookmarkEnd w:id="16"/>
      <w:r w:rsidR="003B05C5" w:rsidRPr="000C1958">
        <w:rPr>
          <w:lang w:val="en-GB"/>
        </w:rPr>
        <w:t xml:space="preserve"> </w:t>
      </w:r>
    </w:p>
    <w:p w14:paraId="11802DEF" w14:textId="189684FD" w:rsidR="0076514E" w:rsidRPr="000B50C6" w:rsidRDefault="0076514E" w:rsidP="00906D03">
      <w:pPr>
        <w:jc w:val="both"/>
        <w:rPr>
          <w:rFonts w:ascii="Calibri" w:hAnsi="Calibri" w:cs="Calibri"/>
          <w:sz w:val="24"/>
          <w:szCs w:val="24"/>
          <w:lang w:val="en-GB"/>
        </w:rPr>
      </w:pPr>
      <w:r w:rsidRPr="000B50C6">
        <w:rPr>
          <w:rFonts w:ascii="Calibri" w:hAnsi="Calibri" w:cs="Calibri"/>
          <w:sz w:val="24"/>
          <w:szCs w:val="24"/>
          <w:lang w:val="en-GB"/>
        </w:rPr>
        <w:t xml:space="preserve">7.1 </w:t>
      </w:r>
      <w:r w:rsidR="0025768E" w:rsidRPr="000B50C6">
        <w:rPr>
          <w:rFonts w:ascii="Calibri" w:hAnsi="Calibri" w:cs="Calibri"/>
          <w:sz w:val="24"/>
          <w:szCs w:val="24"/>
          <w:lang w:val="en-GB"/>
        </w:rPr>
        <w:t>Include definitions such as “Transboundary Groundwater Body”, “Groundwater</w:t>
      </w:r>
      <w:r w:rsidR="0025768E" w:rsidRPr="000B50C6">
        <w:rPr>
          <w:rFonts w:ascii="Cambria Math" w:hAnsi="Cambria Math" w:cs="Cambria Math"/>
          <w:sz w:val="24"/>
          <w:szCs w:val="24"/>
          <w:lang w:val="en-GB"/>
        </w:rPr>
        <w:t>‑</w:t>
      </w:r>
      <w:r w:rsidR="0025768E" w:rsidRPr="000B50C6">
        <w:rPr>
          <w:rFonts w:ascii="Calibri" w:hAnsi="Calibri" w:cs="Calibri"/>
          <w:sz w:val="24"/>
          <w:szCs w:val="24"/>
          <w:lang w:val="en-GB"/>
        </w:rPr>
        <w:t>Dependent Ecosystem”, “Sanitary Protection Zone (SPZ)”, “Incident”.</w:t>
      </w:r>
    </w:p>
    <w:p w14:paraId="0DD92F1B" w14:textId="1AD7D78F" w:rsidR="00FD6BC2" w:rsidRPr="000B50C6" w:rsidRDefault="0076514E" w:rsidP="00906D03">
      <w:pPr>
        <w:jc w:val="both"/>
        <w:rPr>
          <w:rFonts w:ascii="Calibri" w:hAnsi="Calibri" w:cs="Calibri"/>
          <w:sz w:val="24"/>
          <w:szCs w:val="24"/>
          <w:lang w:val="en-GB"/>
        </w:rPr>
      </w:pPr>
      <w:r w:rsidRPr="000B50C6">
        <w:rPr>
          <w:rFonts w:ascii="Calibri" w:hAnsi="Calibri" w:cs="Calibri"/>
          <w:sz w:val="24"/>
          <w:szCs w:val="24"/>
          <w:lang w:val="en-GB"/>
        </w:rPr>
        <w:t xml:space="preserve">7.2 </w:t>
      </w:r>
      <w:r w:rsidR="0025768E" w:rsidRPr="000B50C6">
        <w:rPr>
          <w:rFonts w:ascii="Calibri" w:hAnsi="Calibri" w:cs="Calibri"/>
          <w:sz w:val="24"/>
          <w:szCs w:val="24"/>
          <w:lang w:val="en-GB"/>
        </w:rPr>
        <w:t xml:space="preserve">The agreement between </w:t>
      </w:r>
      <w:r w:rsidR="00C5301F" w:rsidRPr="000B50C6">
        <w:rPr>
          <w:rFonts w:ascii="Calibri" w:hAnsi="Calibri" w:cs="Calibri"/>
          <w:sz w:val="24"/>
          <w:szCs w:val="24"/>
          <w:lang w:val="en-GB"/>
        </w:rPr>
        <w:t>BiH</w:t>
      </w:r>
      <w:r w:rsidR="0025768E" w:rsidRPr="000B50C6">
        <w:rPr>
          <w:rFonts w:ascii="Calibri" w:hAnsi="Calibri" w:cs="Calibri"/>
          <w:sz w:val="24"/>
          <w:szCs w:val="24"/>
          <w:lang w:val="en-GB"/>
        </w:rPr>
        <w:t xml:space="preserve"> and </w:t>
      </w:r>
      <w:r w:rsidR="00C5301F" w:rsidRPr="000B50C6">
        <w:rPr>
          <w:rFonts w:ascii="Calibri" w:hAnsi="Calibri" w:cs="Calibri"/>
          <w:sz w:val="24"/>
          <w:szCs w:val="24"/>
          <w:lang w:val="en-GB"/>
        </w:rPr>
        <w:t xml:space="preserve">HR </w:t>
      </w:r>
      <w:r w:rsidR="0025768E" w:rsidRPr="000B50C6">
        <w:rPr>
          <w:rFonts w:ascii="Calibri" w:hAnsi="Calibri" w:cs="Calibri"/>
          <w:sz w:val="24"/>
          <w:szCs w:val="24"/>
          <w:lang w:val="en-GB"/>
        </w:rPr>
        <w:t xml:space="preserve">is very general. For a proper coverage of transboundary </w:t>
      </w:r>
      <w:r w:rsidR="000B50C6" w:rsidRPr="000B50C6">
        <w:rPr>
          <w:rFonts w:ascii="Calibri" w:hAnsi="Calibri" w:cs="Calibri"/>
          <w:sz w:val="24"/>
          <w:szCs w:val="24"/>
          <w:lang w:val="en-GB"/>
        </w:rPr>
        <w:t>aquifers,</w:t>
      </w:r>
      <w:r w:rsidR="0025768E" w:rsidRPr="000B50C6">
        <w:rPr>
          <w:rFonts w:ascii="Calibri" w:hAnsi="Calibri" w:cs="Calibri"/>
          <w:sz w:val="24"/>
          <w:szCs w:val="24"/>
          <w:lang w:val="en-GB"/>
        </w:rPr>
        <w:t xml:space="preserve"> it should </w:t>
      </w:r>
      <w:r w:rsidR="00FD6BC2" w:rsidRPr="000B50C6">
        <w:rPr>
          <w:rFonts w:ascii="Calibri" w:hAnsi="Calibri" w:cs="Calibri"/>
          <w:sz w:val="24"/>
          <w:szCs w:val="24"/>
          <w:lang w:val="en-GB"/>
        </w:rPr>
        <w:t xml:space="preserve">explicit its principles (equitable and reasonable use, protection from pollution) to apply to the specific characteristics of aquifers and </w:t>
      </w:r>
      <w:r w:rsidR="0025768E" w:rsidRPr="000B50C6">
        <w:rPr>
          <w:rFonts w:ascii="Calibri" w:hAnsi="Calibri" w:cs="Calibri"/>
          <w:sz w:val="24"/>
          <w:szCs w:val="24"/>
          <w:lang w:val="en-GB"/>
        </w:rPr>
        <w:t xml:space="preserve">include more specific principles </w:t>
      </w:r>
      <w:r w:rsidR="00FD6BC2" w:rsidRPr="000B50C6">
        <w:rPr>
          <w:rFonts w:ascii="Calibri" w:hAnsi="Calibri" w:cs="Calibri"/>
          <w:sz w:val="24"/>
          <w:szCs w:val="24"/>
          <w:lang w:val="en-GB"/>
        </w:rPr>
        <w:t xml:space="preserve">related to precaution, consideration and protection of dependent ecosystems. It needs also to provide for the regular exchange of data and monitoring. </w:t>
      </w:r>
    </w:p>
    <w:p w14:paraId="2223D986" w14:textId="77777777" w:rsidR="0076514E" w:rsidRPr="000B50C6" w:rsidRDefault="0076514E" w:rsidP="00906D03">
      <w:pPr>
        <w:jc w:val="both"/>
        <w:rPr>
          <w:rFonts w:ascii="Calibri" w:hAnsi="Calibri" w:cs="Calibri"/>
          <w:sz w:val="24"/>
          <w:szCs w:val="24"/>
          <w:lang w:val="en-GB"/>
        </w:rPr>
      </w:pPr>
      <w:r w:rsidRPr="000B50C6">
        <w:rPr>
          <w:rFonts w:ascii="Calibri" w:hAnsi="Calibri" w:cs="Calibri"/>
          <w:sz w:val="24"/>
          <w:szCs w:val="24"/>
          <w:lang w:val="en-GB"/>
        </w:rPr>
        <w:t>7.3 Joint Monitoring System (network design, priority springs/wells; harmonized parameters, frequency; microbiology/turbidity for karst; QA/QC; shared digital platform and INSPIRE</w:t>
      </w:r>
      <w:r w:rsidRPr="000B50C6">
        <w:rPr>
          <w:rFonts w:ascii="Cambria Math" w:hAnsi="Cambria Math" w:cs="Cambria Math"/>
          <w:sz w:val="24"/>
          <w:szCs w:val="24"/>
          <w:lang w:val="en-GB"/>
        </w:rPr>
        <w:t>‑</w:t>
      </w:r>
      <w:r w:rsidRPr="000B50C6">
        <w:rPr>
          <w:rFonts w:ascii="Calibri" w:hAnsi="Calibri" w:cs="Calibri"/>
          <w:sz w:val="24"/>
          <w:szCs w:val="24"/>
          <w:lang w:val="en-GB"/>
        </w:rPr>
        <w:t>compatible metadata).</w:t>
      </w:r>
    </w:p>
    <w:p w14:paraId="545CB9ED" w14:textId="77777777" w:rsidR="0076514E" w:rsidRPr="000B50C6" w:rsidRDefault="0076514E" w:rsidP="00906D03">
      <w:pPr>
        <w:jc w:val="both"/>
        <w:rPr>
          <w:rFonts w:ascii="Calibri" w:hAnsi="Calibri" w:cs="Calibri"/>
          <w:sz w:val="24"/>
          <w:szCs w:val="24"/>
          <w:lang w:val="en-GB"/>
        </w:rPr>
      </w:pPr>
      <w:r w:rsidRPr="000B50C6">
        <w:rPr>
          <w:rFonts w:ascii="Calibri" w:hAnsi="Calibri" w:cs="Calibri"/>
          <w:sz w:val="24"/>
          <w:szCs w:val="24"/>
          <w:lang w:val="en-GB"/>
        </w:rPr>
        <w:t>7.4 Data Exchange &amp; Confidentiality (near</w:t>
      </w:r>
      <w:r w:rsidRPr="000B50C6">
        <w:rPr>
          <w:rFonts w:ascii="Cambria Math" w:hAnsi="Cambria Math" w:cs="Cambria Math"/>
          <w:sz w:val="24"/>
          <w:szCs w:val="24"/>
          <w:lang w:val="en-GB"/>
        </w:rPr>
        <w:t>‑</w:t>
      </w:r>
      <w:r w:rsidRPr="000B50C6">
        <w:rPr>
          <w:rFonts w:ascii="Calibri" w:hAnsi="Calibri" w:cs="Calibri"/>
          <w:sz w:val="24"/>
          <w:szCs w:val="24"/>
          <w:lang w:val="en-GB"/>
        </w:rPr>
        <w:t>real</w:t>
      </w:r>
      <w:r w:rsidRPr="000B50C6">
        <w:rPr>
          <w:rFonts w:ascii="Cambria Math" w:hAnsi="Cambria Math" w:cs="Cambria Math"/>
          <w:sz w:val="24"/>
          <w:szCs w:val="24"/>
          <w:lang w:val="en-GB"/>
        </w:rPr>
        <w:t>‑</w:t>
      </w:r>
      <w:r w:rsidRPr="000B50C6">
        <w:rPr>
          <w:rFonts w:ascii="Calibri" w:hAnsi="Calibri" w:cs="Calibri"/>
          <w:sz w:val="24"/>
          <w:szCs w:val="24"/>
          <w:lang w:val="en-GB"/>
        </w:rPr>
        <w:t>time exchange; validation; annual public summaries).</w:t>
      </w:r>
    </w:p>
    <w:p w14:paraId="0455A78C" w14:textId="77777777" w:rsidR="0076514E" w:rsidRPr="000B50C6" w:rsidRDefault="0076514E" w:rsidP="00906D03">
      <w:pPr>
        <w:jc w:val="both"/>
        <w:rPr>
          <w:rFonts w:ascii="Calibri" w:hAnsi="Calibri" w:cs="Calibri"/>
          <w:sz w:val="24"/>
          <w:szCs w:val="24"/>
          <w:lang w:val="en-GB"/>
        </w:rPr>
      </w:pPr>
      <w:r w:rsidRPr="000B50C6">
        <w:rPr>
          <w:rFonts w:ascii="Calibri" w:hAnsi="Calibri" w:cs="Calibri"/>
          <w:sz w:val="24"/>
          <w:szCs w:val="24"/>
          <w:lang w:val="en-GB"/>
        </w:rPr>
        <w:t>7.5 SPZ Mutual Recognition &amp; Harmonization Principles (four</w:t>
      </w:r>
      <w:r w:rsidRPr="000B50C6">
        <w:rPr>
          <w:rFonts w:ascii="Cambria Math" w:hAnsi="Cambria Math" w:cs="Cambria Math"/>
          <w:sz w:val="24"/>
          <w:szCs w:val="24"/>
          <w:lang w:val="en-GB"/>
        </w:rPr>
        <w:t>‑</w:t>
      </w:r>
      <w:r w:rsidRPr="000B50C6">
        <w:rPr>
          <w:rFonts w:ascii="Calibri" w:hAnsi="Calibri" w:cs="Calibri"/>
          <w:sz w:val="24"/>
          <w:szCs w:val="24"/>
          <w:lang w:val="en-GB"/>
        </w:rPr>
        <w:t>zone model for karst; vulnerability mapping requirement; land</w:t>
      </w:r>
      <w:r w:rsidRPr="000B50C6">
        <w:rPr>
          <w:rFonts w:ascii="Cambria Math" w:hAnsi="Cambria Math" w:cs="Cambria Math"/>
          <w:sz w:val="24"/>
          <w:szCs w:val="24"/>
          <w:lang w:val="en-GB"/>
        </w:rPr>
        <w:t>‑</w:t>
      </w:r>
      <w:r w:rsidRPr="000B50C6">
        <w:rPr>
          <w:rFonts w:ascii="Calibri" w:hAnsi="Calibri" w:cs="Calibri"/>
          <w:sz w:val="24"/>
          <w:szCs w:val="24"/>
          <w:lang w:val="en-GB"/>
        </w:rPr>
        <w:t>use compatibility lists; integration into spatial plans on both sides within specified deadlines).</w:t>
      </w:r>
    </w:p>
    <w:p w14:paraId="65094F4B" w14:textId="77777777" w:rsidR="0076514E" w:rsidRPr="000B50C6" w:rsidRDefault="0076514E" w:rsidP="00906D03">
      <w:pPr>
        <w:jc w:val="both"/>
        <w:rPr>
          <w:rFonts w:ascii="Calibri" w:hAnsi="Calibri" w:cs="Calibri"/>
          <w:sz w:val="24"/>
          <w:szCs w:val="24"/>
          <w:lang w:val="en-GB"/>
        </w:rPr>
      </w:pPr>
      <w:r w:rsidRPr="000B50C6">
        <w:rPr>
          <w:rFonts w:ascii="Calibri" w:hAnsi="Calibri" w:cs="Calibri"/>
          <w:sz w:val="24"/>
          <w:szCs w:val="24"/>
          <w:lang w:val="en-GB"/>
        </w:rPr>
        <w:t>7.6 Early</w:t>
      </w:r>
      <w:r w:rsidRPr="000B50C6">
        <w:rPr>
          <w:rFonts w:ascii="Cambria Math" w:hAnsi="Cambria Math" w:cs="Cambria Math"/>
          <w:sz w:val="24"/>
          <w:szCs w:val="24"/>
          <w:lang w:val="en-GB"/>
        </w:rPr>
        <w:t>‑</w:t>
      </w:r>
      <w:r w:rsidRPr="000B50C6">
        <w:rPr>
          <w:rFonts w:ascii="Calibri" w:hAnsi="Calibri" w:cs="Calibri"/>
          <w:sz w:val="24"/>
          <w:szCs w:val="24"/>
          <w:lang w:val="en-GB"/>
        </w:rPr>
        <w:t>Warning &amp; Incident Management (thresholds, contacts, timelines, temporary abstraction curtailment, public notice, post</w:t>
      </w:r>
      <w:r w:rsidRPr="000B50C6">
        <w:rPr>
          <w:rFonts w:ascii="Cambria Math" w:hAnsi="Cambria Math" w:cs="Cambria Math"/>
          <w:sz w:val="24"/>
          <w:szCs w:val="24"/>
          <w:lang w:val="en-GB"/>
        </w:rPr>
        <w:t>‑</w:t>
      </w:r>
      <w:r w:rsidRPr="000B50C6">
        <w:rPr>
          <w:rFonts w:ascii="Calibri" w:hAnsi="Calibri" w:cs="Calibri"/>
          <w:sz w:val="24"/>
          <w:szCs w:val="24"/>
          <w:lang w:val="en-GB"/>
        </w:rPr>
        <w:t>event joint report).</w:t>
      </w:r>
    </w:p>
    <w:p w14:paraId="3133DB3F" w14:textId="229B033F" w:rsidR="0076514E" w:rsidRPr="000B50C6" w:rsidRDefault="0076514E" w:rsidP="00906D03">
      <w:pPr>
        <w:jc w:val="both"/>
        <w:rPr>
          <w:rFonts w:ascii="Calibri" w:hAnsi="Calibri" w:cs="Calibri"/>
          <w:sz w:val="24"/>
          <w:szCs w:val="24"/>
          <w:lang w:val="en-GB"/>
        </w:rPr>
      </w:pPr>
      <w:r w:rsidRPr="000B50C6">
        <w:rPr>
          <w:rFonts w:ascii="Calibri" w:hAnsi="Calibri" w:cs="Calibri"/>
          <w:sz w:val="24"/>
          <w:szCs w:val="24"/>
          <w:lang w:val="en-GB"/>
        </w:rPr>
        <w:lastRenderedPageBreak/>
        <w:t>7.7 Institutional Arrangements</w:t>
      </w:r>
      <w:r w:rsidR="00FD6BC2" w:rsidRPr="000B50C6">
        <w:rPr>
          <w:rFonts w:ascii="Calibri" w:hAnsi="Calibri" w:cs="Calibri"/>
          <w:sz w:val="24"/>
          <w:szCs w:val="24"/>
          <w:lang w:val="en-GB"/>
        </w:rPr>
        <w:t xml:space="preserve">: The agreement between </w:t>
      </w:r>
      <w:r w:rsidR="00C5301F" w:rsidRPr="000B50C6">
        <w:rPr>
          <w:rFonts w:ascii="Calibri" w:hAnsi="Calibri" w:cs="Calibri"/>
          <w:sz w:val="24"/>
          <w:szCs w:val="24"/>
          <w:lang w:val="en-GB"/>
        </w:rPr>
        <w:t>BiH and HR</w:t>
      </w:r>
      <w:r w:rsidR="00FD6BC2" w:rsidRPr="000B50C6">
        <w:rPr>
          <w:rFonts w:ascii="Calibri" w:hAnsi="Calibri" w:cs="Calibri"/>
          <w:sz w:val="24"/>
          <w:szCs w:val="24"/>
          <w:lang w:val="en-GB"/>
        </w:rPr>
        <w:t xml:space="preserve"> provides that experts on specific management issues can be involved in the Joint Commission’s work. </w:t>
      </w:r>
      <w:proofErr w:type="gramStart"/>
      <w:r w:rsidR="00FD6BC2" w:rsidRPr="000B50C6">
        <w:rPr>
          <w:rFonts w:ascii="Calibri" w:hAnsi="Calibri" w:cs="Calibri"/>
          <w:sz w:val="24"/>
          <w:szCs w:val="24"/>
          <w:lang w:val="en-GB"/>
        </w:rPr>
        <w:t>Therefore</w:t>
      </w:r>
      <w:proofErr w:type="gramEnd"/>
      <w:r w:rsidR="00FD6BC2" w:rsidRPr="000B50C6">
        <w:rPr>
          <w:rFonts w:ascii="Calibri" w:hAnsi="Calibri" w:cs="Calibri"/>
          <w:sz w:val="24"/>
          <w:szCs w:val="24"/>
          <w:lang w:val="en-GB"/>
        </w:rPr>
        <w:t xml:space="preserve"> it is possible to add to the Commission at least an expert on groundwater from each country. </w:t>
      </w:r>
    </w:p>
    <w:p w14:paraId="2D6EC20D" w14:textId="2BB1847D" w:rsidR="0076514E" w:rsidRPr="000B50C6" w:rsidRDefault="0076514E" w:rsidP="00906D03">
      <w:pPr>
        <w:jc w:val="both"/>
        <w:rPr>
          <w:rFonts w:ascii="Calibri" w:hAnsi="Calibri" w:cs="Calibri"/>
          <w:sz w:val="24"/>
          <w:szCs w:val="24"/>
          <w:lang w:val="en-GB"/>
        </w:rPr>
      </w:pPr>
      <w:r w:rsidRPr="000B50C6">
        <w:rPr>
          <w:rFonts w:ascii="Calibri" w:hAnsi="Calibri" w:cs="Calibri"/>
          <w:sz w:val="24"/>
          <w:szCs w:val="24"/>
          <w:lang w:val="en-GB"/>
        </w:rPr>
        <w:t>7.8 Financing &amp; Economic Instruments (principles) (earmarking for monitoring/</w:t>
      </w:r>
      <w:r w:rsidR="00465444" w:rsidRPr="000B50C6">
        <w:rPr>
          <w:rFonts w:ascii="Calibri" w:hAnsi="Calibri" w:cs="Calibri"/>
          <w:sz w:val="24"/>
          <w:szCs w:val="24"/>
          <w:lang w:val="en-GB"/>
        </w:rPr>
        <w:t xml:space="preserve">harmonized </w:t>
      </w:r>
      <w:r w:rsidRPr="000B50C6">
        <w:rPr>
          <w:rFonts w:ascii="Calibri" w:hAnsi="Calibri" w:cs="Calibri"/>
          <w:sz w:val="24"/>
          <w:szCs w:val="24"/>
          <w:lang w:val="en-GB"/>
        </w:rPr>
        <w:t>SPZ implementation</w:t>
      </w:r>
      <w:r w:rsidR="00465444" w:rsidRPr="000B50C6">
        <w:rPr>
          <w:rFonts w:ascii="Calibri" w:hAnsi="Calibri" w:cs="Calibri"/>
          <w:sz w:val="24"/>
          <w:szCs w:val="24"/>
          <w:lang w:val="en-GB"/>
        </w:rPr>
        <w:t xml:space="preserve"> of measures</w:t>
      </w:r>
      <w:r w:rsidRPr="000B50C6">
        <w:rPr>
          <w:rFonts w:ascii="Calibri" w:hAnsi="Calibri" w:cs="Calibri"/>
          <w:sz w:val="24"/>
          <w:szCs w:val="24"/>
          <w:lang w:val="en-GB"/>
        </w:rPr>
        <w:t>; cooperation on remedial measures).</w:t>
      </w:r>
    </w:p>
    <w:p w14:paraId="0D172F1D" w14:textId="77777777" w:rsidR="0076514E" w:rsidRPr="000B50C6" w:rsidRDefault="0076514E" w:rsidP="00906D03">
      <w:pPr>
        <w:jc w:val="both"/>
        <w:rPr>
          <w:rFonts w:ascii="Calibri" w:hAnsi="Calibri" w:cs="Calibri"/>
          <w:sz w:val="24"/>
          <w:szCs w:val="24"/>
          <w:lang w:val="en-GB"/>
        </w:rPr>
      </w:pPr>
      <w:r w:rsidRPr="000B50C6">
        <w:rPr>
          <w:rFonts w:ascii="Calibri" w:hAnsi="Calibri" w:cs="Calibri"/>
          <w:sz w:val="24"/>
          <w:szCs w:val="24"/>
          <w:lang w:val="en-GB"/>
        </w:rPr>
        <w:t>7.9 Implementation, Reporting &amp; Review (biennial implementation report; five</w:t>
      </w:r>
      <w:r w:rsidRPr="000B50C6">
        <w:rPr>
          <w:rFonts w:ascii="Cambria Math" w:hAnsi="Cambria Math" w:cs="Cambria Math"/>
          <w:sz w:val="24"/>
          <w:szCs w:val="24"/>
          <w:lang w:val="en-GB"/>
        </w:rPr>
        <w:t>‑</w:t>
      </w:r>
      <w:r w:rsidRPr="000B50C6">
        <w:rPr>
          <w:rFonts w:ascii="Calibri" w:hAnsi="Calibri" w:cs="Calibri"/>
          <w:sz w:val="24"/>
          <w:szCs w:val="24"/>
          <w:lang w:val="en-GB"/>
        </w:rPr>
        <w:t>year clause review).</w:t>
      </w:r>
    </w:p>
    <w:p w14:paraId="4D771C76" w14:textId="77777777" w:rsidR="0076514E" w:rsidRPr="000B50C6" w:rsidRDefault="0076514E" w:rsidP="00906D03">
      <w:pPr>
        <w:jc w:val="both"/>
        <w:rPr>
          <w:rFonts w:ascii="Calibri" w:hAnsi="Calibri" w:cs="Calibri"/>
          <w:sz w:val="24"/>
          <w:szCs w:val="24"/>
          <w:lang w:val="en-GB"/>
        </w:rPr>
      </w:pPr>
      <w:r w:rsidRPr="000B50C6">
        <w:rPr>
          <w:rFonts w:ascii="Calibri" w:hAnsi="Calibri" w:cs="Calibri"/>
          <w:sz w:val="24"/>
          <w:szCs w:val="24"/>
          <w:lang w:val="en-GB"/>
        </w:rPr>
        <w:t>7.10 Relationship to Existing Instruments (consistency with 1996 Agreement; without prejudice clauses).</w:t>
      </w:r>
    </w:p>
    <w:p w14:paraId="42631E19" w14:textId="77777777" w:rsidR="00F87B09" w:rsidRPr="000C1958" w:rsidRDefault="00F87B09" w:rsidP="00906D03">
      <w:pPr>
        <w:jc w:val="both"/>
        <w:rPr>
          <w:rFonts w:ascii="Calibri" w:hAnsi="Calibri" w:cs="Calibri"/>
          <w:sz w:val="24"/>
          <w:szCs w:val="24"/>
          <w:lang w:val="en-GB"/>
        </w:rPr>
      </w:pPr>
    </w:p>
    <w:p w14:paraId="2D1187D7" w14:textId="534EF819" w:rsidR="0076514E" w:rsidRPr="00EF150F" w:rsidRDefault="0076514E" w:rsidP="004F2AB1">
      <w:pPr>
        <w:pStyle w:val="Naslov1"/>
        <w:rPr>
          <w:color w:val="7030A0"/>
          <w:lang w:val="en-GB"/>
        </w:rPr>
      </w:pPr>
      <w:bookmarkStart w:id="17" w:name="_Toc229079464"/>
      <w:r w:rsidRPr="000C1958">
        <w:rPr>
          <w:lang w:val="en-GB"/>
        </w:rPr>
        <w:t>8. Implementation Roadmap (Phased, 36 months)</w:t>
      </w:r>
      <w:bookmarkEnd w:id="17"/>
      <w:r w:rsidRPr="000C1958">
        <w:rPr>
          <w:lang w:val="en-GB"/>
        </w:rPr>
        <w:t xml:space="preserve"> </w:t>
      </w:r>
    </w:p>
    <w:p w14:paraId="30394134" w14:textId="2FD83E10" w:rsidR="000D1E39" w:rsidRPr="00EF150F" w:rsidRDefault="000D1E39"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kern w:val="0"/>
          <w:sz w:val="24"/>
          <w:szCs w:val="24"/>
          <w:lang w:val="en-GB" w:eastAsia="en-GB"/>
          <w14:ligatures w14:val="none"/>
        </w:rPr>
        <w:t xml:space="preserve">The implementation of the Addendum/Protocol to the 1996 Agreement should follow a phased approach over 36 months, with clear deliverables and designated responsibilities under the </w:t>
      </w:r>
      <w:r w:rsidR="00906D03" w:rsidRPr="00EF150F">
        <w:rPr>
          <w:rFonts w:ascii="Calibri" w:eastAsia="Times New Roman" w:hAnsi="Calibri" w:cs="Calibri"/>
          <w:kern w:val="0"/>
          <w:sz w:val="24"/>
          <w:szCs w:val="24"/>
          <w:lang w:val="en-GB" w:eastAsia="en-GB"/>
          <w14:ligatures w14:val="none"/>
        </w:rPr>
        <w:t>C</w:t>
      </w:r>
      <w:r w:rsidR="008E53B3">
        <w:rPr>
          <w:rFonts w:ascii="Calibri" w:eastAsia="Times New Roman" w:hAnsi="Calibri" w:cs="Calibri"/>
          <w:kern w:val="0"/>
          <w:sz w:val="24"/>
          <w:szCs w:val="24"/>
          <w:lang w:val="en-GB" w:eastAsia="en-GB"/>
          <w14:ligatures w14:val="none"/>
        </w:rPr>
        <w:t xml:space="preserve">onsultation and </w:t>
      </w:r>
      <w:r w:rsidR="00906D03" w:rsidRPr="00EF150F">
        <w:rPr>
          <w:rFonts w:ascii="Calibri" w:eastAsia="Times New Roman" w:hAnsi="Calibri" w:cs="Calibri"/>
          <w:kern w:val="0"/>
          <w:sz w:val="24"/>
          <w:szCs w:val="24"/>
          <w:lang w:val="en-GB" w:eastAsia="en-GB"/>
          <w14:ligatures w14:val="none"/>
        </w:rPr>
        <w:t>I</w:t>
      </w:r>
      <w:r w:rsidR="008E53B3">
        <w:rPr>
          <w:rFonts w:ascii="Calibri" w:eastAsia="Times New Roman" w:hAnsi="Calibri" w:cs="Calibri"/>
          <w:kern w:val="0"/>
          <w:sz w:val="24"/>
          <w:szCs w:val="24"/>
          <w:lang w:val="en-GB" w:eastAsia="en-GB"/>
          <w14:ligatures w14:val="none"/>
        </w:rPr>
        <w:t xml:space="preserve">nformation </w:t>
      </w:r>
      <w:r w:rsidR="00906D03" w:rsidRPr="00EF150F">
        <w:rPr>
          <w:rFonts w:ascii="Calibri" w:eastAsia="Times New Roman" w:hAnsi="Calibri" w:cs="Calibri"/>
          <w:kern w:val="0"/>
          <w:sz w:val="24"/>
          <w:szCs w:val="24"/>
          <w:lang w:val="en-GB" w:eastAsia="en-GB"/>
          <w14:ligatures w14:val="none"/>
        </w:rPr>
        <w:t>E</w:t>
      </w:r>
      <w:r w:rsidR="008E53B3">
        <w:rPr>
          <w:rFonts w:ascii="Calibri" w:eastAsia="Times New Roman" w:hAnsi="Calibri" w:cs="Calibri"/>
          <w:kern w:val="0"/>
          <w:sz w:val="24"/>
          <w:szCs w:val="24"/>
          <w:lang w:val="en-GB" w:eastAsia="en-GB"/>
          <w14:ligatures w14:val="none"/>
        </w:rPr>
        <w:t>xchange Body (CIE)</w:t>
      </w:r>
      <w:r w:rsidR="00906D03" w:rsidRPr="00EF150F">
        <w:rPr>
          <w:rFonts w:ascii="Calibri" w:eastAsia="Times New Roman" w:hAnsi="Calibri" w:cs="Calibri"/>
          <w:kern w:val="0"/>
          <w:sz w:val="24"/>
          <w:szCs w:val="24"/>
          <w:lang w:val="en-GB" w:eastAsia="en-GB"/>
          <w14:ligatures w14:val="none"/>
        </w:rPr>
        <w:t xml:space="preserve"> and </w:t>
      </w:r>
      <w:r w:rsidR="00F97ACE">
        <w:rPr>
          <w:rFonts w:ascii="Calibri" w:eastAsia="Times New Roman" w:hAnsi="Calibri" w:cs="Calibri"/>
          <w:kern w:val="0"/>
          <w:sz w:val="24"/>
          <w:szCs w:val="24"/>
          <w:lang w:val="en-GB" w:eastAsia="en-GB"/>
          <w14:ligatures w14:val="none"/>
        </w:rPr>
        <w:t xml:space="preserve">the </w:t>
      </w:r>
      <w:r w:rsidR="00465444">
        <w:rPr>
          <w:rFonts w:ascii="Calibri" w:hAnsi="Calibri" w:cs="Calibri"/>
          <w:sz w:val="24"/>
          <w:szCs w:val="24"/>
          <w:lang w:val="en-GB"/>
        </w:rPr>
        <w:t>Joint Commission</w:t>
      </w:r>
      <w:r w:rsidRPr="00EF150F">
        <w:rPr>
          <w:rFonts w:ascii="Calibri" w:eastAsia="Times New Roman" w:hAnsi="Calibri" w:cs="Calibri"/>
          <w:kern w:val="0"/>
          <w:sz w:val="24"/>
          <w:szCs w:val="24"/>
          <w:lang w:val="en-GB" w:eastAsia="en-GB"/>
          <w14:ligatures w14:val="none"/>
        </w:rPr>
        <w:t>.</w:t>
      </w:r>
    </w:p>
    <w:p w14:paraId="1F872E67" w14:textId="429C0B38" w:rsidR="000D1E39" w:rsidRPr="00EF150F" w:rsidRDefault="004F2AB1" w:rsidP="004F2AB1">
      <w:pPr>
        <w:pStyle w:val="Naslov2"/>
        <w:rPr>
          <w:rFonts w:eastAsia="Times New Roman"/>
          <w:lang w:val="en-GB" w:eastAsia="en-GB"/>
        </w:rPr>
      </w:pPr>
      <w:bookmarkStart w:id="18" w:name="_Toc229079465"/>
      <w:r>
        <w:rPr>
          <w:rFonts w:eastAsia="Times New Roman"/>
          <w:lang w:val="en-GB" w:eastAsia="en-GB"/>
        </w:rPr>
        <w:t xml:space="preserve">8.1 </w:t>
      </w:r>
      <w:r w:rsidR="000D1E39" w:rsidRPr="00EF150F">
        <w:rPr>
          <w:rFonts w:eastAsia="Times New Roman"/>
          <w:lang w:val="en-GB" w:eastAsia="en-GB"/>
        </w:rPr>
        <w:t>Phase 1 (0–12 months)</w:t>
      </w:r>
      <w:bookmarkEnd w:id="18"/>
    </w:p>
    <w:p w14:paraId="200BD5F9" w14:textId="77777777" w:rsidR="000D1E39" w:rsidRPr="00EF150F" w:rsidRDefault="000D1E39"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b/>
          <w:bCs/>
          <w:kern w:val="0"/>
          <w:sz w:val="24"/>
          <w:szCs w:val="24"/>
          <w:lang w:val="en-GB" w:eastAsia="en-GB"/>
          <w14:ligatures w14:val="none"/>
        </w:rPr>
        <w:t>Deliverables:</w:t>
      </w:r>
    </w:p>
    <w:p w14:paraId="011C7FE9" w14:textId="77777777" w:rsidR="000D1E39" w:rsidRPr="00EF150F" w:rsidRDefault="000D1E39" w:rsidP="00EF150F">
      <w:pPr>
        <w:numPr>
          <w:ilvl w:val="0"/>
          <w:numId w:val="13"/>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kern w:val="0"/>
          <w:sz w:val="24"/>
          <w:szCs w:val="24"/>
          <w:lang w:val="en-GB" w:eastAsia="en-GB"/>
          <w14:ligatures w14:val="none"/>
        </w:rPr>
        <w:t>Adoption of the Addendum/Protocol to the Agreement.</w:t>
      </w:r>
    </w:p>
    <w:p w14:paraId="3D63C7F0" w14:textId="3ED93AFE" w:rsidR="000D1E39" w:rsidRPr="00EF150F" w:rsidRDefault="000D1E39" w:rsidP="00EF150F">
      <w:pPr>
        <w:numPr>
          <w:ilvl w:val="0"/>
          <w:numId w:val="13"/>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kern w:val="0"/>
          <w:sz w:val="24"/>
          <w:szCs w:val="24"/>
          <w:lang w:val="en-GB" w:eastAsia="en-GB"/>
          <w14:ligatures w14:val="none"/>
        </w:rPr>
        <w:t>Draft guidance on mutual recognition of sanitary protection zones (SPZ), focusing on comparability of monitoring results and</w:t>
      </w:r>
      <w:r w:rsidR="00465444">
        <w:rPr>
          <w:rFonts w:ascii="Calibri" w:eastAsia="Times New Roman" w:hAnsi="Calibri" w:cs="Calibri"/>
          <w:kern w:val="0"/>
          <w:sz w:val="24"/>
          <w:szCs w:val="24"/>
          <w:lang w:val="en-GB" w:eastAsia="en-GB"/>
          <w14:ligatures w14:val="none"/>
        </w:rPr>
        <w:t>, sanitary protection measures</w:t>
      </w:r>
      <w:r w:rsidR="00C5301F">
        <w:rPr>
          <w:rFonts w:ascii="Calibri" w:eastAsia="Times New Roman" w:hAnsi="Calibri" w:cs="Calibri"/>
          <w:kern w:val="0"/>
          <w:sz w:val="24"/>
          <w:szCs w:val="24"/>
          <w:lang w:val="en-GB" w:eastAsia="en-GB"/>
          <w14:ligatures w14:val="none"/>
        </w:rPr>
        <w:t xml:space="preserve"> and</w:t>
      </w:r>
      <w:r w:rsidRPr="00EF150F">
        <w:rPr>
          <w:rFonts w:ascii="Calibri" w:eastAsia="Times New Roman" w:hAnsi="Calibri" w:cs="Calibri"/>
          <w:kern w:val="0"/>
          <w:sz w:val="24"/>
          <w:szCs w:val="24"/>
          <w:lang w:val="en-GB" w:eastAsia="en-GB"/>
          <w14:ligatures w14:val="none"/>
        </w:rPr>
        <w:t xml:space="preserve"> risk criteria rather than identical delineation methodologies.</w:t>
      </w:r>
    </w:p>
    <w:p w14:paraId="37FA282B" w14:textId="77777777" w:rsidR="000D1E39" w:rsidRPr="00EF150F" w:rsidRDefault="000D1E39" w:rsidP="00EF150F">
      <w:pPr>
        <w:numPr>
          <w:ilvl w:val="0"/>
          <w:numId w:val="13"/>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kern w:val="0"/>
          <w:sz w:val="24"/>
          <w:szCs w:val="24"/>
          <w:lang w:val="en-GB" w:eastAsia="en-GB"/>
          <w14:ligatures w14:val="none"/>
        </w:rPr>
        <w:t>Establishment of a joint emergency notification template for contamination incidents in transboundary aquifers.</w:t>
      </w:r>
    </w:p>
    <w:p w14:paraId="466587DF" w14:textId="414B45C6" w:rsidR="000D1E39" w:rsidRPr="00EF150F" w:rsidRDefault="004F2AB1" w:rsidP="004F2AB1">
      <w:pPr>
        <w:pStyle w:val="Naslov2"/>
        <w:rPr>
          <w:rFonts w:eastAsia="Times New Roman"/>
          <w:lang w:val="en-GB" w:eastAsia="en-GB"/>
        </w:rPr>
      </w:pPr>
      <w:bookmarkStart w:id="19" w:name="_Toc229079466"/>
      <w:r>
        <w:rPr>
          <w:rFonts w:eastAsia="Times New Roman"/>
          <w:lang w:val="en-GB" w:eastAsia="en-GB"/>
        </w:rPr>
        <w:t xml:space="preserve">8.2 </w:t>
      </w:r>
      <w:r w:rsidR="000D1E39" w:rsidRPr="00EF150F">
        <w:rPr>
          <w:rFonts w:eastAsia="Times New Roman"/>
          <w:lang w:val="en-GB" w:eastAsia="en-GB"/>
        </w:rPr>
        <w:t>Phase 2 (12–24 months)</w:t>
      </w:r>
      <w:bookmarkEnd w:id="19"/>
    </w:p>
    <w:p w14:paraId="401A49DB" w14:textId="77777777" w:rsidR="000D1E39" w:rsidRPr="00EF150F" w:rsidRDefault="000D1E39"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b/>
          <w:bCs/>
          <w:kern w:val="0"/>
          <w:sz w:val="24"/>
          <w:szCs w:val="24"/>
          <w:lang w:val="en-GB" w:eastAsia="en-GB"/>
          <w14:ligatures w14:val="none"/>
        </w:rPr>
        <w:t>Deliverables:</w:t>
      </w:r>
    </w:p>
    <w:p w14:paraId="4B903A36" w14:textId="15D1ABCE" w:rsidR="000D1E39" w:rsidRPr="007A752D" w:rsidRDefault="000D1E39" w:rsidP="00EF150F">
      <w:pPr>
        <w:numPr>
          <w:ilvl w:val="0"/>
          <w:numId w:val="14"/>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7A752D">
        <w:rPr>
          <w:rFonts w:ascii="Calibri" w:eastAsia="Times New Roman" w:hAnsi="Calibri" w:cs="Calibri"/>
          <w:kern w:val="0"/>
          <w:sz w:val="24"/>
          <w:szCs w:val="24"/>
          <w:lang w:val="en-GB" w:eastAsia="en-GB"/>
          <w14:ligatures w14:val="none"/>
        </w:rPr>
        <w:t>Deployment of a shared data exchange platform linking Croatia’s national system and BiH’s entity</w:t>
      </w:r>
      <w:r w:rsidRPr="007A752D">
        <w:rPr>
          <w:rFonts w:ascii="Calibri" w:eastAsia="Times New Roman" w:hAnsi="Calibri" w:cs="Calibri"/>
          <w:kern w:val="0"/>
          <w:sz w:val="24"/>
          <w:szCs w:val="24"/>
          <w:lang w:val="en-GB" w:eastAsia="en-GB"/>
          <w14:ligatures w14:val="none"/>
        </w:rPr>
        <w:noBreakHyphen/>
        <w:t xml:space="preserve">level </w:t>
      </w:r>
      <w:r w:rsidR="00BD0365" w:rsidRPr="007A752D">
        <w:rPr>
          <w:rFonts w:ascii="Calibri" w:eastAsia="Times New Roman" w:hAnsi="Calibri" w:cs="Calibri"/>
          <w:kern w:val="0"/>
          <w:sz w:val="24"/>
          <w:szCs w:val="24"/>
          <w:lang w:val="en-GB" w:eastAsia="en-GB"/>
          <w14:ligatures w14:val="none"/>
        </w:rPr>
        <w:t xml:space="preserve">Water </w:t>
      </w:r>
      <w:r w:rsidRPr="007A752D">
        <w:rPr>
          <w:rFonts w:ascii="Calibri" w:eastAsia="Times New Roman" w:hAnsi="Calibri" w:cs="Calibri"/>
          <w:kern w:val="0"/>
          <w:sz w:val="24"/>
          <w:szCs w:val="24"/>
          <w:lang w:val="en-GB" w:eastAsia="en-GB"/>
          <w14:ligatures w14:val="none"/>
        </w:rPr>
        <w:t>I</w:t>
      </w:r>
      <w:r w:rsidR="00BD0365" w:rsidRPr="007A752D">
        <w:rPr>
          <w:rFonts w:ascii="Calibri" w:eastAsia="Times New Roman" w:hAnsi="Calibri" w:cs="Calibri"/>
          <w:kern w:val="0"/>
          <w:sz w:val="24"/>
          <w:szCs w:val="24"/>
          <w:lang w:val="en-GB" w:eastAsia="en-GB"/>
          <w14:ligatures w14:val="none"/>
        </w:rPr>
        <w:t xml:space="preserve">nformation </w:t>
      </w:r>
      <w:proofErr w:type="gramStart"/>
      <w:r w:rsidRPr="007A752D">
        <w:rPr>
          <w:rFonts w:ascii="Calibri" w:eastAsia="Times New Roman" w:hAnsi="Calibri" w:cs="Calibri"/>
          <w:kern w:val="0"/>
          <w:sz w:val="24"/>
          <w:szCs w:val="24"/>
          <w:lang w:val="en-GB" w:eastAsia="en-GB"/>
          <w14:ligatures w14:val="none"/>
        </w:rPr>
        <w:t>S</w:t>
      </w:r>
      <w:r w:rsidR="00BD0365" w:rsidRPr="007A752D">
        <w:rPr>
          <w:rFonts w:ascii="Calibri" w:eastAsia="Times New Roman" w:hAnsi="Calibri" w:cs="Calibri"/>
          <w:kern w:val="0"/>
          <w:sz w:val="24"/>
          <w:szCs w:val="24"/>
          <w:lang w:val="en-GB" w:eastAsia="en-GB"/>
          <w14:ligatures w14:val="none"/>
        </w:rPr>
        <w:t>ystems  (</w:t>
      </w:r>
      <w:proofErr w:type="gramEnd"/>
      <w:r w:rsidR="00BD0365" w:rsidRPr="007A752D">
        <w:rPr>
          <w:rFonts w:ascii="Calibri" w:eastAsia="Times New Roman" w:hAnsi="Calibri" w:cs="Calibri"/>
          <w:kern w:val="0"/>
          <w:sz w:val="24"/>
          <w:szCs w:val="24"/>
          <w:lang w:val="en-GB" w:eastAsia="en-GB"/>
          <w14:ligatures w14:val="none"/>
        </w:rPr>
        <w:t>WISs)</w:t>
      </w:r>
    </w:p>
    <w:p w14:paraId="771619C8" w14:textId="77777777" w:rsidR="000D1E39" w:rsidRPr="00EF150F" w:rsidRDefault="000D1E39" w:rsidP="00EF150F">
      <w:pPr>
        <w:numPr>
          <w:ilvl w:val="0"/>
          <w:numId w:val="14"/>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kern w:val="0"/>
          <w:sz w:val="24"/>
          <w:szCs w:val="24"/>
          <w:lang w:val="en-GB" w:eastAsia="en-GB"/>
          <w14:ligatures w14:val="none"/>
        </w:rPr>
        <w:t>Alignment of permit templates for groundwater abstraction and discharge, ensuring comparable criteria.</w:t>
      </w:r>
    </w:p>
    <w:p w14:paraId="25E80AA3" w14:textId="77777777" w:rsidR="000D1E39" w:rsidRPr="00EF150F" w:rsidRDefault="000D1E39" w:rsidP="00EF150F">
      <w:pPr>
        <w:numPr>
          <w:ilvl w:val="0"/>
          <w:numId w:val="14"/>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kern w:val="0"/>
          <w:sz w:val="24"/>
          <w:szCs w:val="24"/>
          <w:lang w:val="en-GB" w:eastAsia="en-GB"/>
          <w14:ligatures w14:val="none"/>
        </w:rPr>
        <w:t>Integration of SPZ and vulnerability layers into local spatial plans in designated hotspots, with priority given to karst recharge areas.</w:t>
      </w:r>
    </w:p>
    <w:p w14:paraId="08931150" w14:textId="16ECBE78" w:rsidR="000D1E39" w:rsidRPr="00EF150F" w:rsidRDefault="004F2AB1" w:rsidP="004F2AB1">
      <w:pPr>
        <w:pStyle w:val="Naslov2"/>
        <w:rPr>
          <w:rFonts w:eastAsia="Times New Roman"/>
          <w:lang w:val="en-GB" w:eastAsia="en-GB"/>
        </w:rPr>
      </w:pPr>
      <w:bookmarkStart w:id="20" w:name="_Toc229079467"/>
      <w:r>
        <w:rPr>
          <w:rFonts w:eastAsia="Times New Roman"/>
          <w:lang w:val="en-GB" w:eastAsia="en-GB"/>
        </w:rPr>
        <w:t xml:space="preserve">8.3 </w:t>
      </w:r>
      <w:r w:rsidR="000D1E39" w:rsidRPr="00EF150F">
        <w:rPr>
          <w:rFonts w:eastAsia="Times New Roman"/>
          <w:lang w:val="en-GB" w:eastAsia="en-GB"/>
        </w:rPr>
        <w:t>Phase 3 (24–36 months)</w:t>
      </w:r>
      <w:bookmarkEnd w:id="20"/>
    </w:p>
    <w:p w14:paraId="0D0BE82E" w14:textId="77777777" w:rsidR="000D1E39" w:rsidRPr="00EF150F" w:rsidRDefault="000D1E39"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b/>
          <w:bCs/>
          <w:kern w:val="0"/>
          <w:sz w:val="24"/>
          <w:szCs w:val="24"/>
          <w:lang w:val="en-GB" w:eastAsia="en-GB"/>
          <w14:ligatures w14:val="none"/>
        </w:rPr>
        <w:t>Deliverables:</w:t>
      </w:r>
    </w:p>
    <w:p w14:paraId="1CD6F671" w14:textId="77777777" w:rsidR="000D1E39" w:rsidRPr="00EF150F" w:rsidRDefault="000D1E39" w:rsidP="00EF150F">
      <w:pPr>
        <w:numPr>
          <w:ilvl w:val="0"/>
          <w:numId w:val="15"/>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kern w:val="0"/>
          <w:sz w:val="24"/>
          <w:szCs w:val="24"/>
          <w:lang w:val="en-GB" w:eastAsia="en-GB"/>
          <w14:ligatures w14:val="none"/>
        </w:rPr>
        <w:lastRenderedPageBreak/>
        <w:t>Adoption of cost</w:t>
      </w:r>
      <w:r w:rsidRPr="00EF150F">
        <w:rPr>
          <w:rFonts w:ascii="Calibri" w:eastAsia="Times New Roman" w:hAnsi="Calibri" w:cs="Calibri"/>
          <w:kern w:val="0"/>
          <w:sz w:val="24"/>
          <w:szCs w:val="24"/>
          <w:lang w:val="en-GB" w:eastAsia="en-GB"/>
          <w14:ligatures w14:val="none"/>
        </w:rPr>
        <w:noBreakHyphen/>
        <w:t>recovery earmarking mechanisms to finance groundwater protection measures.</w:t>
      </w:r>
    </w:p>
    <w:p w14:paraId="3DC2E5AD" w14:textId="27B8B5F6" w:rsidR="008073D5" w:rsidRPr="000246D5" w:rsidRDefault="000D1E39" w:rsidP="008073D5">
      <w:pPr>
        <w:numPr>
          <w:ilvl w:val="0"/>
          <w:numId w:val="15"/>
        </w:num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kern w:val="0"/>
          <w:sz w:val="24"/>
          <w:szCs w:val="24"/>
          <w:lang w:val="en-GB" w:eastAsia="en-GB"/>
          <w14:ligatures w14:val="none"/>
        </w:rPr>
        <w:t xml:space="preserve">Publication of the first joint implementation report under the </w:t>
      </w:r>
      <w:r w:rsidR="00906D03" w:rsidRPr="00EF150F">
        <w:rPr>
          <w:rFonts w:ascii="Calibri" w:eastAsia="Times New Roman" w:hAnsi="Calibri" w:cs="Calibri"/>
          <w:kern w:val="0"/>
          <w:sz w:val="24"/>
          <w:szCs w:val="24"/>
          <w:lang w:val="en-GB" w:eastAsia="en-GB"/>
          <w14:ligatures w14:val="none"/>
        </w:rPr>
        <w:t xml:space="preserve">CIE and </w:t>
      </w:r>
      <w:r w:rsidR="00C5301F">
        <w:rPr>
          <w:rFonts w:ascii="Calibri" w:eastAsia="Times New Roman" w:hAnsi="Calibri" w:cs="Calibri"/>
          <w:kern w:val="0"/>
          <w:sz w:val="24"/>
          <w:szCs w:val="24"/>
          <w:lang w:val="en-GB" w:eastAsia="en-GB"/>
          <w14:ligatures w14:val="none"/>
        </w:rPr>
        <w:t>Joint</w:t>
      </w:r>
      <w:r w:rsidR="00C5301F" w:rsidRPr="00EF150F">
        <w:rPr>
          <w:rFonts w:ascii="Calibri" w:eastAsia="Times New Roman" w:hAnsi="Calibri" w:cs="Calibri"/>
          <w:kern w:val="0"/>
          <w:sz w:val="24"/>
          <w:szCs w:val="24"/>
          <w:lang w:val="en-GB" w:eastAsia="en-GB"/>
          <w14:ligatures w14:val="none"/>
        </w:rPr>
        <w:t xml:space="preserve"> </w:t>
      </w:r>
      <w:r w:rsidRPr="00EF150F">
        <w:rPr>
          <w:rFonts w:ascii="Calibri" w:eastAsia="Times New Roman" w:hAnsi="Calibri" w:cs="Calibri"/>
          <w:kern w:val="0"/>
          <w:sz w:val="24"/>
          <w:szCs w:val="24"/>
          <w:lang w:val="en-GB" w:eastAsia="en-GB"/>
          <w14:ligatures w14:val="none"/>
        </w:rPr>
        <w:t>Commission, covering monitoring results, compliance status, and recommendations for further action.</w:t>
      </w:r>
    </w:p>
    <w:p w14:paraId="7724FC2F" w14:textId="77777777" w:rsidR="008073D5" w:rsidRPr="00EF150F" w:rsidRDefault="008073D5" w:rsidP="008073D5">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p>
    <w:p w14:paraId="28D785BA" w14:textId="1A25D46B" w:rsidR="0076514E" w:rsidRPr="00EF150F" w:rsidRDefault="0076514E" w:rsidP="004F2AB1">
      <w:pPr>
        <w:pStyle w:val="Naslov1"/>
        <w:rPr>
          <w:color w:val="7030A0"/>
          <w:lang w:val="en-GB"/>
        </w:rPr>
      </w:pPr>
      <w:bookmarkStart w:id="21" w:name="_Toc229079468"/>
      <w:r w:rsidRPr="00EF150F">
        <w:rPr>
          <w:lang w:val="en-GB"/>
        </w:rPr>
        <w:t>9. Risks and Mitigation Measures</w:t>
      </w:r>
      <w:bookmarkEnd w:id="21"/>
      <w:r w:rsidRPr="00EF150F">
        <w:rPr>
          <w:lang w:val="en-GB"/>
        </w:rPr>
        <w:t xml:space="preserve"> </w:t>
      </w:r>
    </w:p>
    <w:p w14:paraId="3D0930AA" w14:textId="707D79E8" w:rsidR="00B053D6" w:rsidRPr="00EF150F" w:rsidRDefault="00B053D6"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kern w:val="0"/>
          <w:sz w:val="24"/>
          <w:szCs w:val="24"/>
          <w:lang w:val="en-GB" w:eastAsia="en-GB"/>
          <w14:ligatures w14:val="none"/>
        </w:rPr>
        <w:t xml:space="preserve">The implementation of amendments to the 1996 Agreement on Water Management Relations between </w:t>
      </w:r>
      <w:r w:rsidR="00C5301F">
        <w:rPr>
          <w:rFonts w:ascii="Calibri" w:eastAsia="Times New Roman" w:hAnsi="Calibri" w:cs="Calibri"/>
          <w:kern w:val="0"/>
          <w:sz w:val="24"/>
          <w:szCs w:val="24"/>
          <w:lang w:val="en-GB" w:eastAsia="en-GB"/>
          <w14:ligatures w14:val="none"/>
        </w:rPr>
        <w:t>BiH</w:t>
      </w:r>
      <w:r w:rsidRPr="00EF150F">
        <w:rPr>
          <w:rFonts w:ascii="Calibri" w:eastAsia="Times New Roman" w:hAnsi="Calibri" w:cs="Calibri"/>
          <w:kern w:val="0"/>
          <w:sz w:val="24"/>
          <w:szCs w:val="24"/>
          <w:lang w:val="en-GB" w:eastAsia="en-GB"/>
          <w14:ligatures w14:val="none"/>
        </w:rPr>
        <w:t xml:space="preserve"> and </w:t>
      </w:r>
      <w:r w:rsidR="00C5301F">
        <w:rPr>
          <w:rFonts w:ascii="Calibri" w:eastAsia="Times New Roman" w:hAnsi="Calibri" w:cs="Calibri"/>
          <w:kern w:val="0"/>
          <w:sz w:val="24"/>
          <w:szCs w:val="24"/>
          <w:lang w:val="en-GB" w:eastAsia="en-GB"/>
          <w14:ligatures w14:val="none"/>
        </w:rPr>
        <w:t>HR</w:t>
      </w:r>
      <w:r w:rsidR="00C5301F" w:rsidRPr="00EF150F">
        <w:rPr>
          <w:rFonts w:ascii="Calibri" w:eastAsia="Times New Roman" w:hAnsi="Calibri" w:cs="Calibri"/>
          <w:kern w:val="0"/>
          <w:sz w:val="24"/>
          <w:szCs w:val="24"/>
          <w:lang w:val="en-GB" w:eastAsia="en-GB"/>
          <w14:ligatures w14:val="none"/>
        </w:rPr>
        <w:t xml:space="preserve"> </w:t>
      </w:r>
      <w:r w:rsidRPr="00EF150F">
        <w:rPr>
          <w:rFonts w:ascii="Calibri" w:eastAsia="Times New Roman" w:hAnsi="Calibri" w:cs="Calibri"/>
          <w:kern w:val="0"/>
          <w:sz w:val="24"/>
          <w:szCs w:val="24"/>
          <w:lang w:val="en-GB" w:eastAsia="en-GB"/>
          <w14:ligatures w14:val="none"/>
        </w:rPr>
        <w:t xml:space="preserve">may involve several categories of risk. These risks reflect both institutional asymmetries and technical vulnerabilities of karst </w:t>
      </w:r>
      <w:proofErr w:type="gramStart"/>
      <w:r w:rsidRPr="00EF150F">
        <w:rPr>
          <w:rFonts w:ascii="Calibri" w:eastAsia="Times New Roman" w:hAnsi="Calibri" w:cs="Calibri"/>
          <w:kern w:val="0"/>
          <w:sz w:val="24"/>
          <w:szCs w:val="24"/>
          <w:lang w:val="en-GB" w:eastAsia="en-GB"/>
          <w14:ligatures w14:val="none"/>
        </w:rPr>
        <w:t>aquifers, and</w:t>
      </w:r>
      <w:proofErr w:type="gramEnd"/>
      <w:r w:rsidRPr="00EF150F">
        <w:rPr>
          <w:rFonts w:ascii="Calibri" w:eastAsia="Times New Roman" w:hAnsi="Calibri" w:cs="Calibri"/>
          <w:kern w:val="0"/>
          <w:sz w:val="24"/>
          <w:szCs w:val="24"/>
          <w:lang w:val="en-GB" w:eastAsia="en-GB"/>
          <w14:ligatures w14:val="none"/>
        </w:rPr>
        <w:t xml:space="preserve"> </w:t>
      </w:r>
      <w:r w:rsidR="00EF150F" w:rsidRPr="00EF150F">
        <w:rPr>
          <w:rFonts w:ascii="Calibri" w:eastAsia="Times New Roman" w:hAnsi="Calibri" w:cs="Calibri"/>
          <w:kern w:val="0"/>
          <w:sz w:val="24"/>
          <w:szCs w:val="24"/>
          <w:lang w:val="en-GB" w:eastAsia="en-GB"/>
          <w14:ligatures w14:val="none"/>
        </w:rPr>
        <w:t>should be</w:t>
      </w:r>
      <w:r w:rsidRPr="00EF150F">
        <w:rPr>
          <w:rFonts w:ascii="Calibri" w:eastAsia="Times New Roman" w:hAnsi="Calibri" w:cs="Calibri"/>
          <w:kern w:val="0"/>
          <w:sz w:val="24"/>
          <w:szCs w:val="24"/>
          <w:lang w:val="en-GB" w:eastAsia="en-GB"/>
          <w14:ligatures w14:val="none"/>
        </w:rPr>
        <w:t xml:space="preserve"> mitigated through pragmatic measures.</w:t>
      </w:r>
    </w:p>
    <w:p w14:paraId="2C80E01F" w14:textId="7D281A6F" w:rsidR="00B053D6" w:rsidRPr="00EF150F" w:rsidRDefault="004F2AB1" w:rsidP="004F2AB1">
      <w:pPr>
        <w:pStyle w:val="Naslov2"/>
        <w:rPr>
          <w:rFonts w:eastAsia="Times New Roman"/>
          <w:lang w:val="en-GB" w:eastAsia="en-GB"/>
        </w:rPr>
      </w:pPr>
      <w:bookmarkStart w:id="22" w:name="_Toc229079469"/>
      <w:r>
        <w:rPr>
          <w:rFonts w:eastAsia="Times New Roman"/>
          <w:lang w:val="en-GB" w:eastAsia="en-GB"/>
        </w:rPr>
        <w:t xml:space="preserve">9.1 </w:t>
      </w:r>
      <w:r w:rsidR="00B053D6" w:rsidRPr="00EF150F">
        <w:rPr>
          <w:rFonts w:eastAsia="Times New Roman"/>
          <w:lang w:val="en-GB" w:eastAsia="en-GB"/>
        </w:rPr>
        <w:t>Legal and Institutional Risks</w:t>
      </w:r>
      <w:bookmarkEnd w:id="22"/>
    </w:p>
    <w:p w14:paraId="13A7329A" w14:textId="4A6B49D5" w:rsidR="00B053D6" w:rsidRPr="00EF150F" w:rsidRDefault="00B053D6"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kern w:val="0"/>
          <w:sz w:val="24"/>
          <w:szCs w:val="24"/>
          <w:lang w:val="en-GB" w:eastAsia="en-GB"/>
          <w14:ligatures w14:val="none"/>
        </w:rPr>
        <w:t xml:space="preserve">Responsibilities for groundwater governance are fragmented in </w:t>
      </w:r>
      <w:r w:rsidR="00C5301F">
        <w:rPr>
          <w:rFonts w:ascii="Calibri" w:eastAsia="Times New Roman" w:hAnsi="Calibri" w:cs="Calibri"/>
          <w:kern w:val="0"/>
          <w:sz w:val="24"/>
          <w:szCs w:val="24"/>
          <w:lang w:val="en-GB" w:eastAsia="en-GB"/>
          <w14:ligatures w14:val="none"/>
        </w:rPr>
        <w:t>BiH</w:t>
      </w:r>
      <w:r w:rsidRPr="00EF150F">
        <w:rPr>
          <w:rFonts w:ascii="Calibri" w:eastAsia="Times New Roman" w:hAnsi="Calibri" w:cs="Calibri"/>
          <w:kern w:val="0"/>
          <w:sz w:val="24"/>
          <w:szCs w:val="24"/>
          <w:lang w:val="en-GB" w:eastAsia="en-GB"/>
          <w14:ligatures w14:val="none"/>
        </w:rPr>
        <w:t xml:space="preserve"> across entities and cantons, while in </w:t>
      </w:r>
      <w:r w:rsidR="00C5301F">
        <w:rPr>
          <w:rFonts w:ascii="Calibri" w:eastAsia="Times New Roman" w:hAnsi="Calibri" w:cs="Calibri"/>
          <w:kern w:val="0"/>
          <w:sz w:val="24"/>
          <w:szCs w:val="24"/>
          <w:lang w:val="en-GB" w:eastAsia="en-GB"/>
          <w14:ligatures w14:val="none"/>
        </w:rPr>
        <w:t>HR</w:t>
      </w:r>
      <w:r w:rsidR="00C5301F" w:rsidRPr="00EF150F">
        <w:rPr>
          <w:rFonts w:ascii="Calibri" w:eastAsia="Times New Roman" w:hAnsi="Calibri" w:cs="Calibri"/>
          <w:kern w:val="0"/>
          <w:sz w:val="24"/>
          <w:szCs w:val="24"/>
          <w:lang w:val="en-GB" w:eastAsia="en-GB"/>
          <w14:ligatures w14:val="none"/>
        </w:rPr>
        <w:t xml:space="preserve"> </w:t>
      </w:r>
      <w:r w:rsidRPr="00EF150F">
        <w:rPr>
          <w:rFonts w:ascii="Calibri" w:eastAsia="Times New Roman" w:hAnsi="Calibri" w:cs="Calibri"/>
          <w:kern w:val="0"/>
          <w:sz w:val="24"/>
          <w:szCs w:val="24"/>
          <w:lang w:val="en-GB" w:eastAsia="en-GB"/>
          <w14:ligatures w14:val="none"/>
        </w:rPr>
        <w:t>responsibilities are centralized but still under responsibility of more institutions - Croatian Waters and the Ministry of Environmental Protection</w:t>
      </w:r>
      <w:r w:rsidR="00C5301F">
        <w:rPr>
          <w:rFonts w:ascii="Calibri" w:eastAsia="Times New Roman" w:hAnsi="Calibri" w:cs="Calibri"/>
          <w:kern w:val="0"/>
          <w:sz w:val="24"/>
          <w:szCs w:val="24"/>
          <w:lang w:val="en-GB" w:eastAsia="en-GB"/>
          <w14:ligatures w14:val="none"/>
        </w:rPr>
        <w:t xml:space="preserve"> and Green Transition</w:t>
      </w:r>
      <w:r w:rsidRPr="00EF150F">
        <w:rPr>
          <w:rFonts w:ascii="Calibri" w:eastAsia="Times New Roman" w:hAnsi="Calibri" w:cs="Calibri"/>
          <w:kern w:val="0"/>
          <w:sz w:val="24"/>
          <w:szCs w:val="24"/>
          <w:lang w:val="en-GB" w:eastAsia="en-GB"/>
          <w14:ligatures w14:val="none"/>
        </w:rPr>
        <w:t xml:space="preserve">. </w:t>
      </w:r>
    </w:p>
    <w:p w14:paraId="6722DA87" w14:textId="3C169CBA" w:rsidR="00B053D6" w:rsidRPr="00EF150F" w:rsidRDefault="00B053D6"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kern w:val="0"/>
          <w:sz w:val="24"/>
          <w:szCs w:val="24"/>
          <w:lang w:val="en-GB" w:eastAsia="en-GB"/>
          <w14:ligatures w14:val="none"/>
        </w:rPr>
        <w:t xml:space="preserve">The bilateral Agreement does not explicitly recognize </w:t>
      </w:r>
      <w:r w:rsidR="00C5301F">
        <w:rPr>
          <w:rFonts w:ascii="Calibri" w:eastAsia="Times New Roman" w:hAnsi="Calibri" w:cs="Calibri"/>
          <w:kern w:val="0"/>
          <w:sz w:val="24"/>
          <w:szCs w:val="24"/>
          <w:lang w:val="en-GB" w:eastAsia="en-GB"/>
          <w14:ligatures w14:val="none"/>
        </w:rPr>
        <w:t>transboundary</w:t>
      </w:r>
      <w:r w:rsidR="00C5301F" w:rsidRPr="00EF150F">
        <w:rPr>
          <w:rFonts w:ascii="Calibri" w:eastAsia="Times New Roman" w:hAnsi="Calibri" w:cs="Calibri"/>
          <w:kern w:val="0"/>
          <w:sz w:val="24"/>
          <w:szCs w:val="24"/>
          <w:lang w:val="en-GB" w:eastAsia="en-GB"/>
          <w14:ligatures w14:val="none"/>
        </w:rPr>
        <w:t xml:space="preserve"> </w:t>
      </w:r>
      <w:r w:rsidRPr="00EF150F">
        <w:rPr>
          <w:rFonts w:ascii="Calibri" w:eastAsia="Times New Roman" w:hAnsi="Calibri" w:cs="Calibri"/>
          <w:kern w:val="0"/>
          <w:sz w:val="24"/>
          <w:szCs w:val="24"/>
          <w:lang w:val="en-GB" w:eastAsia="en-GB"/>
          <w14:ligatures w14:val="none"/>
        </w:rPr>
        <w:t>aquifers or cross</w:t>
      </w:r>
      <w:r w:rsidRPr="00EF150F">
        <w:rPr>
          <w:rFonts w:ascii="Calibri" w:eastAsia="Times New Roman" w:hAnsi="Calibri" w:cs="Calibri"/>
          <w:kern w:val="0"/>
          <w:sz w:val="24"/>
          <w:szCs w:val="24"/>
          <w:lang w:val="en-GB" w:eastAsia="en-GB"/>
          <w14:ligatures w14:val="none"/>
        </w:rPr>
        <w:noBreakHyphen/>
        <w:t>border sanitary protection zones (SPZ), leaving both countries without a clear legal basis for coordinated action. This creates coordination gaps and unclear accountability on both sides of the border.</w:t>
      </w:r>
    </w:p>
    <w:p w14:paraId="15E37D8D" w14:textId="2DA083C4" w:rsidR="002723A1" w:rsidRPr="00EF150F" w:rsidRDefault="00B053D6"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b/>
          <w:bCs/>
          <w:kern w:val="0"/>
          <w:sz w:val="24"/>
          <w:szCs w:val="24"/>
          <w:lang w:val="en-GB" w:eastAsia="en-GB"/>
          <w14:ligatures w14:val="none"/>
        </w:rPr>
        <w:t>Mitigation:</w:t>
      </w:r>
      <w:r w:rsidRPr="00EF150F">
        <w:rPr>
          <w:rFonts w:ascii="Calibri" w:eastAsia="Times New Roman" w:hAnsi="Calibri" w:cs="Calibri"/>
          <w:kern w:val="0"/>
          <w:sz w:val="24"/>
          <w:szCs w:val="24"/>
          <w:lang w:val="en-GB" w:eastAsia="en-GB"/>
          <w14:ligatures w14:val="none"/>
        </w:rPr>
        <w:t xml:space="preserve"> The Parties</w:t>
      </w:r>
      <w:r w:rsidR="00C5301F">
        <w:rPr>
          <w:rFonts w:ascii="Calibri" w:eastAsia="Times New Roman" w:hAnsi="Calibri" w:cs="Calibri"/>
          <w:kern w:val="0"/>
          <w:sz w:val="24"/>
          <w:szCs w:val="24"/>
          <w:lang w:val="en-GB" w:eastAsia="en-GB"/>
          <w14:ligatures w14:val="none"/>
        </w:rPr>
        <w:t xml:space="preserve"> to the Agreement</w:t>
      </w:r>
      <w:r w:rsidRPr="00EF150F">
        <w:rPr>
          <w:rFonts w:ascii="Calibri" w:eastAsia="Times New Roman" w:hAnsi="Calibri" w:cs="Calibri"/>
          <w:kern w:val="0"/>
          <w:sz w:val="24"/>
          <w:szCs w:val="24"/>
          <w:lang w:val="en-GB" w:eastAsia="en-GB"/>
          <w14:ligatures w14:val="none"/>
        </w:rPr>
        <w:t xml:space="preserve"> </w:t>
      </w:r>
      <w:r w:rsidR="00C5301F">
        <w:rPr>
          <w:rFonts w:ascii="Calibri" w:eastAsia="Times New Roman" w:hAnsi="Calibri" w:cs="Calibri"/>
          <w:kern w:val="0"/>
          <w:sz w:val="24"/>
          <w:szCs w:val="24"/>
          <w:lang w:val="en-GB" w:eastAsia="en-GB"/>
          <w14:ligatures w14:val="none"/>
        </w:rPr>
        <w:t>will</w:t>
      </w:r>
      <w:r w:rsidR="00C5301F" w:rsidRPr="00EF150F">
        <w:rPr>
          <w:rFonts w:ascii="Calibri" w:eastAsia="Times New Roman" w:hAnsi="Calibri" w:cs="Calibri"/>
          <w:kern w:val="0"/>
          <w:sz w:val="24"/>
          <w:szCs w:val="24"/>
          <w:lang w:val="en-GB" w:eastAsia="en-GB"/>
          <w14:ligatures w14:val="none"/>
        </w:rPr>
        <w:t xml:space="preserve"> </w:t>
      </w:r>
      <w:r w:rsidRPr="00EF150F">
        <w:rPr>
          <w:rFonts w:ascii="Calibri" w:eastAsia="Times New Roman" w:hAnsi="Calibri" w:cs="Calibri"/>
          <w:kern w:val="0"/>
          <w:sz w:val="24"/>
          <w:szCs w:val="24"/>
          <w:lang w:val="en-GB" w:eastAsia="en-GB"/>
          <w14:ligatures w14:val="none"/>
        </w:rPr>
        <w:t>establish clear institutional mandates, define reporting lines for both national systems, and create a permanent bilateral technical sub</w:t>
      </w:r>
      <w:r w:rsidRPr="00EF150F">
        <w:rPr>
          <w:rFonts w:ascii="Calibri" w:eastAsia="Times New Roman" w:hAnsi="Calibri" w:cs="Calibri"/>
          <w:kern w:val="0"/>
          <w:sz w:val="24"/>
          <w:szCs w:val="24"/>
          <w:lang w:val="en-GB" w:eastAsia="en-GB"/>
          <w14:ligatures w14:val="none"/>
        </w:rPr>
        <w:noBreakHyphen/>
        <w:t xml:space="preserve">group dedicated to groundwater cooperation. </w:t>
      </w:r>
      <w:r w:rsidR="002723A1" w:rsidRPr="00EF150F">
        <w:rPr>
          <w:rFonts w:ascii="Calibri" w:eastAsia="Times New Roman" w:hAnsi="Calibri" w:cs="Calibri"/>
          <w:kern w:val="0"/>
          <w:sz w:val="24"/>
          <w:szCs w:val="24"/>
          <w:lang w:val="en-GB" w:eastAsia="en-GB"/>
          <w14:ligatures w14:val="none"/>
        </w:rPr>
        <w:t xml:space="preserve">The Parties </w:t>
      </w:r>
      <w:r w:rsidR="00C5301F">
        <w:rPr>
          <w:rFonts w:ascii="Calibri" w:eastAsia="Times New Roman" w:hAnsi="Calibri" w:cs="Calibri"/>
          <w:kern w:val="0"/>
          <w:sz w:val="24"/>
          <w:szCs w:val="24"/>
          <w:lang w:val="en-GB" w:eastAsia="en-GB"/>
          <w14:ligatures w14:val="none"/>
        </w:rPr>
        <w:t>will</w:t>
      </w:r>
      <w:r w:rsidR="00C5301F" w:rsidRPr="00EF150F">
        <w:rPr>
          <w:rFonts w:ascii="Calibri" w:eastAsia="Times New Roman" w:hAnsi="Calibri" w:cs="Calibri"/>
          <w:kern w:val="0"/>
          <w:sz w:val="24"/>
          <w:szCs w:val="24"/>
          <w:lang w:val="en-GB" w:eastAsia="en-GB"/>
          <w14:ligatures w14:val="none"/>
        </w:rPr>
        <w:t xml:space="preserve"> </w:t>
      </w:r>
      <w:r w:rsidR="002723A1" w:rsidRPr="00EF150F">
        <w:rPr>
          <w:rFonts w:ascii="Calibri" w:eastAsia="Times New Roman" w:hAnsi="Calibri" w:cs="Calibri"/>
          <w:kern w:val="0"/>
          <w:sz w:val="24"/>
          <w:szCs w:val="24"/>
          <w:lang w:val="en-GB" w:eastAsia="en-GB"/>
          <w14:ligatures w14:val="none"/>
        </w:rPr>
        <w:t>mutually recognize the outcomes of monitoring</w:t>
      </w:r>
      <w:r w:rsidR="00C5301F">
        <w:rPr>
          <w:rFonts w:ascii="Calibri" w:eastAsia="Times New Roman" w:hAnsi="Calibri" w:cs="Calibri"/>
          <w:kern w:val="0"/>
          <w:sz w:val="24"/>
          <w:szCs w:val="24"/>
          <w:lang w:val="en-GB" w:eastAsia="en-GB"/>
          <w14:ligatures w14:val="none"/>
        </w:rPr>
        <w:t>, protection measures</w:t>
      </w:r>
      <w:r w:rsidR="000B50C6">
        <w:rPr>
          <w:rFonts w:ascii="Calibri" w:eastAsia="Times New Roman" w:hAnsi="Calibri" w:cs="Calibri"/>
          <w:kern w:val="0"/>
          <w:sz w:val="24"/>
          <w:szCs w:val="24"/>
          <w:lang w:val="en-GB" w:eastAsia="en-GB"/>
          <w14:ligatures w14:val="none"/>
        </w:rPr>
        <w:t xml:space="preserve"> </w:t>
      </w:r>
      <w:r w:rsidR="002723A1" w:rsidRPr="00EF150F">
        <w:rPr>
          <w:rFonts w:ascii="Calibri" w:eastAsia="Times New Roman" w:hAnsi="Calibri" w:cs="Calibri"/>
          <w:kern w:val="0"/>
          <w:sz w:val="24"/>
          <w:szCs w:val="24"/>
          <w:lang w:val="en-GB" w:eastAsia="en-GB"/>
          <w14:ligatures w14:val="none"/>
        </w:rPr>
        <w:t xml:space="preserve">and risk assessment in relation to SPZs crossing the border. While each country may apply its own delineation methodologies, the Parties </w:t>
      </w:r>
      <w:r w:rsidR="00C5301F">
        <w:rPr>
          <w:rFonts w:ascii="Calibri" w:eastAsia="Times New Roman" w:hAnsi="Calibri" w:cs="Calibri"/>
          <w:kern w:val="0"/>
          <w:sz w:val="24"/>
          <w:szCs w:val="24"/>
          <w:lang w:val="en-GB" w:eastAsia="en-GB"/>
          <w14:ligatures w14:val="none"/>
        </w:rPr>
        <w:t>will</w:t>
      </w:r>
      <w:r w:rsidR="00C5301F" w:rsidRPr="00EF150F">
        <w:rPr>
          <w:rFonts w:ascii="Calibri" w:eastAsia="Times New Roman" w:hAnsi="Calibri" w:cs="Calibri"/>
          <w:kern w:val="0"/>
          <w:sz w:val="24"/>
          <w:szCs w:val="24"/>
          <w:lang w:val="en-GB" w:eastAsia="en-GB"/>
          <w14:ligatures w14:val="none"/>
        </w:rPr>
        <w:t xml:space="preserve"> </w:t>
      </w:r>
      <w:r w:rsidR="002723A1" w:rsidRPr="00EF150F">
        <w:rPr>
          <w:rFonts w:ascii="Calibri" w:eastAsia="Times New Roman" w:hAnsi="Calibri" w:cs="Calibri"/>
          <w:kern w:val="0"/>
          <w:sz w:val="24"/>
          <w:szCs w:val="24"/>
          <w:lang w:val="en-GB" w:eastAsia="en-GB"/>
          <w14:ligatures w14:val="none"/>
        </w:rPr>
        <w:t>adopt common criteria and threshold parameters to prevent contamination risks and ensure comparable protection standards.</w:t>
      </w:r>
    </w:p>
    <w:p w14:paraId="3E8AAEF5" w14:textId="660A6631" w:rsidR="00B053D6" w:rsidRPr="00EF150F" w:rsidRDefault="002A53B9" w:rsidP="002A53B9">
      <w:pPr>
        <w:pStyle w:val="Naslov2"/>
        <w:rPr>
          <w:rFonts w:eastAsia="Times New Roman"/>
          <w:lang w:val="en-GB" w:eastAsia="en-GB"/>
        </w:rPr>
      </w:pPr>
      <w:bookmarkStart w:id="23" w:name="_Toc229079470"/>
      <w:r>
        <w:rPr>
          <w:rFonts w:eastAsia="Times New Roman"/>
          <w:lang w:val="en-GB" w:eastAsia="en-GB"/>
        </w:rPr>
        <w:t xml:space="preserve">9.2 </w:t>
      </w:r>
      <w:r w:rsidR="00B053D6" w:rsidRPr="00EF150F">
        <w:rPr>
          <w:rFonts w:eastAsia="Times New Roman"/>
          <w:lang w:val="en-GB" w:eastAsia="en-GB"/>
        </w:rPr>
        <w:t>Technical Risks</w:t>
      </w:r>
      <w:bookmarkEnd w:id="23"/>
    </w:p>
    <w:p w14:paraId="6966CABD" w14:textId="71F6284D" w:rsidR="00B053D6" w:rsidRPr="00EF150F" w:rsidRDefault="00B053D6"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kern w:val="0"/>
          <w:sz w:val="24"/>
          <w:szCs w:val="24"/>
          <w:lang w:val="en-GB" w:eastAsia="en-GB"/>
          <w14:ligatures w14:val="none"/>
        </w:rPr>
        <w:t xml:space="preserve">Monitoring systems and methodologies differ: </w:t>
      </w:r>
      <w:r w:rsidR="00C5301F">
        <w:rPr>
          <w:rFonts w:ascii="Calibri" w:eastAsia="Times New Roman" w:hAnsi="Calibri" w:cs="Calibri"/>
          <w:kern w:val="0"/>
          <w:sz w:val="24"/>
          <w:szCs w:val="24"/>
          <w:lang w:val="en-GB" w:eastAsia="en-GB"/>
          <w14:ligatures w14:val="none"/>
        </w:rPr>
        <w:t>HR</w:t>
      </w:r>
      <w:r w:rsidR="00C5301F" w:rsidRPr="00EF150F">
        <w:rPr>
          <w:rFonts w:ascii="Calibri" w:eastAsia="Times New Roman" w:hAnsi="Calibri" w:cs="Calibri"/>
          <w:kern w:val="0"/>
          <w:sz w:val="24"/>
          <w:szCs w:val="24"/>
          <w:lang w:val="en-GB" w:eastAsia="en-GB"/>
          <w14:ligatures w14:val="none"/>
        </w:rPr>
        <w:t xml:space="preserve"> </w:t>
      </w:r>
      <w:r w:rsidRPr="00EF150F">
        <w:rPr>
          <w:rFonts w:ascii="Calibri" w:eastAsia="Times New Roman" w:hAnsi="Calibri" w:cs="Calibri"/>
          <w:kern w:val="0"/>
          <w:sz w:val="24"/>
          <w:szCs w:val="24"/>
          <w:lang w:val="en-GB" w:eastAsia="en-GB"/>
          <w14:ligatures w14:val="none"/>
        </w:rPr>
        <w:t>applies EU</w:t>
      </w:r>
      <w:r w:rsidRPr="00EF150F">
        <w:rPr>
          <w:rFonts w:ascii="Calibri" w:eastAsia="Times New Roman" w:hAnsi="Calibri" w:cs="Calibri"/>
          <w:kern w:val="0"/>
          <w:sz w:val="24"/>
          <w:szCs w:val="24"/>
          <w:lang w:val="en-GB" w:eastAsia="en-GB"/>
          <w14:ligatures w14:val="none"/>
        </w:rPr>
        <w:noBreakHyphen/>
        <w:t xml:space="preserve">aligned monitoring with </w:t>
      </w:r>
      <w:r w:rsidRPr="007A752D">
        <w:rPr>
          <w:rFonts w:ascii="Calibri" w:eastAsia="Times New Roman" w:hAnsi="Calibri" w:cs="Calibri"/>
          <w:kern w:val="0"/>
          <w:sz w:val="24"/>
          <w:szCs w:val="24"/>
          <w:lang w:val="en-GB" w:eastAsia="en-GB"/>
          <w14:ligatures w14:val="none"/>
        </w:rPr>
        <w:t xml:space="preserve">transparent data systems, while BiH operates </w:t>
      </w:r>
      <w:r w:rsidR="00906D03" w:rsidRPr="007A752D">
        <w:rPr>
          <w:rFonts w:ascii="Calibri" w:eastAsia="Times New Roman" w:hAnsi="Calibri" w:cs="Calibri"/>
          <w:kern w:val="0"/>
          <w:sz w:val="24"/>
          <w:szCs w:val="24"/>
          <w:lang w:val="en-GB" w:eastAsia="en-GB"/>
          <w14:ligatures w14:val="none"/>
        </w:rPr>
        <w:t>decentralised</w:t>
      </w:r>
      <w:r w:rsidRPr="007A752D">
        <w:rPr>
          <w:rFonts w:ascii="Calibri" w:eastAsia="Times New Roman" w:hAnsi="Calibri" w:cs="Calibri"/>
          <w:kern w:val="0"/>
          <w:sz w:val="24"/>
          <w:szCs w:val="24"/>
          <w:lang w:val="en-GB" w:eastAsia="en-GB"/>
          <w14:ligatures w14:val="none"/>
        </w:rPr>
        <w:t xml:space="preserve"> </w:t>
      </w:r>
      <w:r w:rsidR="00BD0365" w:rsidRPr="007A752D">
        <w:rPr>
          <w:rFonts w:ascii="Calibri" w:eastAsia="Times New Roman" w:hAnsi="Calibri" w:cs="Calibri"/>
          <w:kern w:val="0"/>
          <w:sz w:val="24"/>
          <w:szCs w:val="24"/>
          <w:lang w:val="en-GB" w:eastAsia="en-GB"/>
          <w14:ligatures w14:val="none"/>
        </w:rPr>
        <w:t xml:space="preserve">WIS </w:t>
      </w:r>
      <w:r w:rsidRPr="007A752D">
        <w:rPr>
          <w:rFonts w:ascii="Calibri" w:eastAsia="Times New Roman" w:hAnsi="Calibri" w:cs="Calibri"/>
          <w:kern w:val="0"/>
          <w:sz w:val="24"/>
          <w:szCs w:val="24"/>
          <w:lang w:val="en-GB" w:eastAsia="en-GB"/>
          <w14:ligatures w14:val="none"/>
        </w:rPr>
        <w:t>platforms with partial GWD</w:t>
      </w:r>
      <w:r w:rsidRPr="00EF150F">
        <w:rPr>
          <w:rFonts w:ascii="Calibri" w:eastAsia="Times New Roman" w:hAnsi="Calibri" w:cs="Calibri"/>
          <w:kern w:val="0"/>
          <w:sz w:val="24"/>
          <w:szCs w:val="24"/>
          <w:lang w:val="en-GB" w:eastAsia="en-GB"/>
          <w14:ligatures w14:val="none"/>
        </w:rPr>
        <w:t xml:space="preserve"> transposition. Karst aquifers in both countries exhibit complex and unpredictable dynamics, making risk prediction difficult. Without harmonized parameters or joint monitoring, comparability and early warning remain weak.</w:t>
      </w:r>
    </w:p>
    <w:p w14:paraId="277C976B" w14:textId="255E1910" w:rsidR="00B053D6" w:rsidRPr="00EF150F" w:rsidRDefault="00B053D6"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b/>
          <w:bCs/>
          <w:kern w:val="0"/>
          <w:sz w:val="24"/>
          <w:szCs w:val="24"/>
          <w:lang w:val="en-GB" w:eastAsia="en-GB"/>
          <w14:ligatures w14:val="none"/>
        </w:rPr>
        <w:t>Mitigation:</w:t>
      </w:r>
      <w:r w:rsidRPr="00EF150F">
        <w:rPr>
          <w:rFonts w:ascii="Calibri" w:eastAsia="Times New Roman" w:hAnsi="Calibri" w:cs="Calibri"/>
          <w:kern w:val="0"/>
          <w:sz w:val="24"/>
          <w:szCs w:val="24"/>
          <w:lang w:val="en-GB" w:eastAsia="en-GB"/>
          <w14:ligatures w14:val="none"/>
        </w:rPr>
        <w:t xml:space="preserve"> The Parties</w:t>
      </w:r>
      <w:r w:rsidR="00C5301F">
        <w:rPr>
          <w:rFonts w:ascii="Calibri" w:eastAsia="Times New Roman" w:hAnsi="Calibri" w:cs="Calibri"/>
          <w:kern w:val="0"/>
          <w:sz w:val="24"/>
          <w:szCs w:val="24"/>
          <w:lang w:val="en-GB" w:eastAsia="en-GB"/>
          <w14:ligatures w14:val="none"/>
        </w:rPr>
        <w:t xml:space="preserve"> to the Agreement</w:t>
      </w:r>
      <w:r w:rsidRPr="00EF150F">
        <w:rPr>
          <w:rFonts w:ascii="Calibri" w:eastAsia="Times New Roman" w:hAnsi="Calibri" w:cs="Calibri"/>
          <w:kern w:val="0"/>
          <w:sz w:val="24"/>
          <w:szCs w:val="24"/>
          <w:lang w:val="en-GB" w:eastAsia="en-GB"/>
          <w14:ligatures w14:val="none"/>
        </w:rPr>
        <w:t xml:space="preserve"> </w:t>
      </w:r>
      <w:r w:rsidR="00C5301F">
        <w:rPr>
          <w:rFonts w:ascii="Calibri" w:eastAsia="Times New Roman" w:hAnsi="Calibri" w:cs="Calibri"/>
          <w:kern w:val="0"/>
          <w:sz w:val="24"/>
          <w:szCs w:val="24"/>
          <w:lang w:val="en-GB" w:eastAsia="en-GB"/>
          <w14:ligatures w14:val="none"/>
        </w:rPr>
        <w:t>will</w:t>
      </w:r>
      <w:r w:rsidR="00C5301F" w:rsidRPr="00EF150F">
        <w:rPr>
          <w:rFonts w:ascii="Calibri" w:eastAsia="Times New Roman" w:hAnsi="Calibri" w:cs="Calibri"/>
          <w:kern w:val="0"/>
          <w:sz w:val="24"/>
          <w:szCs w:val="24"/>
          <w:lang w:val="en-GB" w:eastAsia="en-GB"/>
          <w14:ligatures w14:val="none"/>
        </w:rPr>
        <w:t xml:space="preserve"> </w:t>
      </w:r>
      <w:r w:rsidRPr="00EF150F">
        <w:rPr>
          <w:rFonts w:ascii="Calibri" w:eastAsia="Times New Roman" w:hAnsi="Calibri" w:cs="Calibri"/>
          <w:kern w:val="0"/>
          <w:sz w:val="24"/>
          <w:szCs w:val="24"/>
          <w:lang w:val="en-GB" w:eastAsia="en-GB"/>
          <w14:ligatures w14:val="none"/>
        </w:rPr>
        <w:t xml:space="preserve">adopt a harmonized monitoring parameter list, standardized sampling methodologies, and agreed QA/QC procedures. The Parties </w:t>
      </w:r>
      <w:r w:rsidR="00C5301F">
        <w:rPr>
          <w:rFonts w:ascii="Calibri" w:eastAsia="Times New Roman" w:hAnsi="Calibri" w:cs="Calibri"/>
          <w:kern w:val="0"/>
          <w:sz w:val="24"/>
          <w:szCs w:val="24"/>
          <w:lang w:val="en-GB" w:eastAsia="en-GB"/>
          <w14:ligatures w14:val="none"/>
        </w:rPr>
        <w:t>will</w:t>
      </w:r>
      <w:r w:rsidR="00C5301F" w:rsidRPr="00EF150F">
        <w:rPr>
          <w:rFonts w:ascii="Calibri" w:eastAsia="Times New Roman" w:hAnsi="Calibri" w:cs="Calibri"/>
          <w:kern w:val="0"/>
          <w:sz w:val="24"/>
          <w:szCs w:val="24"/>
          <w:lang w:val="en-GB" w:eastAsia="en-GB"/>
          <w14:ligatures w14:val="none"/>
        </w:rPr>
        <w:t xml:space="preserve"> </w:t>
      </w:r>
      <w:r w:rsidRPr="00EF150F">
        <w:rPr>
          <w:rFonts w:ascii="Calibri" w:eastAsia="Times New Roman" w:hAnsi="Calibri" w:cs="Calibri"/>
          <w:kern w:val="0"/>
          <w:sz w:val="24"/>
          <w:szCs w:val="24"/>
          <w:lang w:val="en-GB" w:eastAsia="en-GB"/>
          <w14:ligatures w14:val="none"/>
        </w:rPr>
        <w:t xml:space="preserve">establish pilot sites in both countries to build trust and demonstrate </w:t>
      </w:r>
      <w:r w:rsidR="000246D5" w:rsidRPr="00EF150F">
        <w:rPr>
          <w:rFonts w:ascii="Calibri" w:eastAsia="Times New Roman" w:hAnsi="Calibri" w:cs="Calibri"/>
          <w:kern w:val="0"/>
          <w:sz w:val="24"/>
          <w:szCs w:val="24"/>
          <w:lang w:val="en-GB" w:eastAsia="en-GB"/>
          <w14:ligatures w14:val="none"/>
        </w:rPr>
        <w:t>feasibility and</w:t>
      </w:r>
      <w:r w:rsidRPr="00EF150F">
        <w:rPr>
          <w:rFonts w:ascii="Calibri" w:eastAsia="Times New Roman" w:hAnsi="Calibri" w:cs="Calibri"/>
          <w:kern w:val="0"/>
          <w:sz w:val="24"/>
          <w:szCs w:val="24"/>
          <w:lang w:val="en-GB" w:eastAsia="en-GB"/>
          <w14:ligatures w14:val="none"/>
        </w:rPr>
        <w:t xml:space="preserve"> shall apply </w:t>
      </w:r>
      <w:r w:rsidRPr="00EF150F">
        <w:rPr>
          <w:rFonts w:ascii="Calibri" w:eastAsia="Times New Roman" w:hAnsi="Calibri" w:cs="Calibri"/>
          <w:kern w:val="0"/>
          <w:sz w:val="24"/>
          <w:szCs w:val="24"/>
          <w:lang w:val="en-GB" w:eastAsia="en-GB"/>
          <w14:ligatures w14:val="none"/>
        </w:rPr>
        <w:lastRenderedPageBreak/>
        <w:t>adaptive management principles by periodically reviewing monitoring networks and conceptual models.</w:t>
      </w:r>
    </w:p>
    <w:p w14:paraId="71C9A6C8" w14:textId="039F5614" w:rsidR="00B053D6" w:rsidRPr="00EF150F" w:rsidRDefault="002A53B9" w:rsidP="002A53B9">
      <w:pPr>
        <w:pStyle w:val="Naslov2"/>
        <w:rPr>
          <w:rFonts w:eastAsia="Times New Roman"/>
          <w:lang w:val="en-GB" w:eastAsia="en-GB"/>
        </w:rPr>
      </w:pPr>
      <w:bookmarkStart w:id="24" w:name="_Toc229079471"/>
      <w:r>
        <w:rPr>
          <w:rFonts w:eastAsia="Times New Roman"/>
          <w:lang w:val="en-GB" w:eastAsia="en-GB"/>
        </w:rPr>
        <w:t xml:space="preserve">9.3 </w:t>
      </w:r>
      <w:r w:rsidR="00B053D6" w:rsidRPr="00EF150F">
        <w:rPr>
          <w:rFonts w:eastAsia="Times New Roman"/>
          <w:lang w:val="en-GB" w:eastAsia="en-GB"/>
        </w:rPr>
        <w:t>Financial Risks</w:t>
      </w:r>
      <w:bookmarkEnd w:id="24"/>
    </w:p>
    <w:p w14:paraId="6010285C" w14:textId="3E494543" w:rsidR="00B053D6" w:rsidRPr="00EF150F" w:rsidRDefault="00B053D6"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kern w:val="0"/>
          <w:sz w:val="24"/>
          <w:szCs w:val="24"/>
          <w:lang w:val="en-GB" w:eastAsia="en-GB"/>
          <w14:ligatures w14:val="none"/>
        </w:rPr>
        <w:t>Both countries face under</w:t>
      </w:r>
      <w:r w:rsidRPr="00EF150F">
        <w:rPr>
          <w:rFonts w:ascii="Calibri" w:eastAsia="Times New Roman" w:hAnsi="Calibri" w:cs="Calibri"/>
          <w:kern w:val="0"/>
          <w:sz w:val="24"/>
          <w:szCs w:val="24"/>
          <w:lang w:val="en-GB" w:eastAsia="en-GB"/>
          <w14:ligatures w14:val="none"/>
        </w:rPr>
        <w:noBreakHyphen/>
        <w:t>resourcing of inspectorates and groundwater protection measures. In BiH, municipal authorities often lack funds to enforce SPZ restrictions</w:t>
      </w:r>
      <w:r w:rsidR="00906D03" w:rsidRPr="00EF150F">
        <w:rPr>
          <w:rFonts w:ascii="Calibri" w:eastAsia="Times New Roman" w:hAnsi="Calibri" w:cs="Calibri"/>
          <w:kern w:val="0"/>
          <w:sz w:val="24"/>
          <w:szCs w:val="24"/>
          <w:lang w:val="en-GB" w:eastAsia="en-GB"/>
          <w14:ligatures w14:val="none"/>
        </w:rPr>
        <w:t xml:space="preserve"> and are understaffed,</w:t>
      </w:r>
      <w:r w:rsidRPr="00EF150F">
        <w:rPr>
          <w:rFonts w:ascii="Calibri" w:eastAsia="Times New Roman" w:hAnsi="Calibri" w:cs="Calibri"/>
          <w:kern w:val="0"/>
          <w:sz w:val="24"/>
          <w:szCs w:val="24"/>
          <w:lang w:val="en-GB" w:eastAsia="en-GB"/>
          <w14:ligatures w14:val="none"/>
        </w:rPr>
        <w:t xml:space="preserve"> while in Croatia resource constraints at local level hinder systematic compliance monitoring. Financing for joint monitoring and sanitary </w:t>
      </w:r>
      <w:r w:rsidR="000246D5" w:rsidRPr="00EF150F">
        <w:rPr>
          <w:rFonts w:ascii="Calibri" w:eastAsia="Times New Roman" w:hAnsi="Calibri" w:cs="Calibri"/>
          <w:kern w:val="0"/>
          <w:sz w:val="24"/>
          <w:szCs w:val="24"/>
          <w:lang w:val="en-GB" w:eastAsia="en-GB"/>
          <w14:ligatures w14:val="none"/>
        </w:rPr>
        <w:t>issues remains</w:t>
      </w:r>
      <w:r w:rsidRPr="00EF150F">
        <w:rPr>
          <w:rFonts w:ascii="Calibri" w:eastAsia="Times New Roman" w:hAnsi="Calibri" w:cs="Calibri"/>
          <w:kern w:val="0"/>
          <w:sz w:val="24"/>
          <w:szCs w:val="24"/>
          <w:lang w:val="en-GB" w:eastAsia="en-GB"/>
          <w14:ligatures w14:val="none"/>
        </w:rPr>
        <w:t xml:space="preserve"> limited.</w:t>
      </w:r>
    </w:p>
    <w:p w14:paraId="66E94C3A" w14:textId="25F43A34" w:rsidR="00B053D6" w:rsidRPr="00EF150F" w:rsidRDefault="00B053D6"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b/>
          <w:bCs/>
          <w:kern w:val="0"/>
          <w:sz w:val="24"/>
          <w:szCs w:val="24"/>
          <w:lang w:val="en-GB" w:eastAsia="en-GB"/>
          <w14:ligatures w14:val="none"/>
        </w:rPr>
        <w:t>Mitigation:</w:t>
      </w:r>
      <w:r w:rsidRPr="00EF150F">
        <w:rPr>
          <w:rFonts w:ascii="Calibri" w:eastAsia="Times New Roman" w:hAnsi="Calibri" w:cs="Calibri"/>
          <w:kern w:val="0"/>
          <w:sz w:val="24"/>
          <w:szCs w:val="24"/>
          <w:lang w:val="en-GB" w:eastAsia="en-GB"/>
          <w14:ligatures w14:val="none"/>
        </w:rPr>
        <w:t xml:space="preserve"> The Parties</w:t>
      </w:r>
      <w:r w:rsidR="00C5301F">
        <w:rPr>
          <w:rFonts w:ascii="Calibri" w:eastAsia="Times New Roman" w:hAnsi="Calibri" w:cs="Calibri"/>
          <w:kern w:val="0"/>
          <w:sz w:val="24"/>
          <w:szCs w:val="24"/>
          <w:lang w:val="en-GB" w:eastAsia="en-GB"/>
          <w14:ligatures w14:val="none"/>
        </w:rPr>
        <w:t xml:space="preserve"> to the Agreement</w:t>
      </w:r>
      <w:r w:rsidRPr="00EF150F">
        <w:rPr>
          <w:rFonts w:ascii="Calibri" w:eastAsia="Times New Roman" w:hAnsi="Calibri" w:cs="Calibri"/>
          <w:kern w:val="0"/>
          <w:sz w:val="24"/>
          <w:szCs w:val="24"/>
          <w:lang w:val="en-GB" w:eastAsia="en-GB"/>
          <w14:ligatures w14:val="none"/>
        </w:rPr>
        <w:t xml:space="preserve"> </w:t>
      </w:r>
      <w:r w:rsidR="00C5301F">
        <w:rPr>
          <w:rFonts w:ascii="Calibri" w:eastAsia="Times New Roman" w:hAnsi="Calibri" w:cs="Calibri"/>
          <w:kern w:val="0"/>
          <w:sz w:val="24"/>
          <w:szCs w:val="24"/>
          <w:lang w:val="en-GB" w:eastAsia="en-GB"/>
          <w14:ligatures w14:val="none"/>
        </w:rPr>
        <w:t>will</w:t>
      </w:r>
      <w:r w:rsidR="00C5301F" w:rsidRPr="00EF150F">
        <w:rPr>
          <w:rFonts w:ascii="Calibri" w:eastAsia="Times New Roman" w:hAnsi="Calibri" w:cs="Calibri"/>
          <w:kern w:val="0"/>
          <w:sz w:val="24"/>
          <w:szCs w:val="24"/>
          <w:lang w:val="en-GB" w:eastAsia="en-GB"/>
          <w14:ligatures w14:val="none"/>
        </w:rPr>
        <w:t xml:space="preserve"> </w:t>
      </w:r>
      <w:r w:rsidRPr="00EF150F">
        <w:rPr>
          <w:rFonts w:ascii="Calibri" w:eastAsia="Times New Roman" w:hAnsi="Calibri" w:cs="Calibri"/>
          <w:kern w:val="0"/>
          <w:sz w:val="24"/>
          <w:szCs w:val="24"/>
          <w:lang w:val="en-GB" w:eastAsia="en-GB"/>
          <w14:ligatures w14:val="none"/>
        </w:rPr>
        <w:t>apply a phased implementation approach, prioritize hotspots for rapid sanitary interventions, and jointly explore external funding opportunities through EU, IPA, or regional cooperation programmes. Cost</w:t>
      </w:r>
      <w:r w:rsidRPr="00EF150F">
        <w:rPr>
          <w:rFonts w:ascii="Calibri" w:eastAsia="Times New Roman" w:hAnsi="Calibri" w:cs="Calibri"/>
          <w:kern w:val="0"/>
          <w:sz w:val="24"/>
          <w:szCs w:val="24"/>
          <w:lang w:val="en-GB" w:eastAsia="en-GB"/>
          <w14:ligatures w14:val="none"/>
        </w:rPr>
        <w:noBreakHyphen/>
        <w:t>sharing arrangements shall be proportionate to benefits and risks.</w:t>
      </w:r>
    </w:p>
    <w:p w14:paraId="1F1E421C" w14:textId="2C012815" w:rsidR="00B053D6" w:rsidRPr="00EF150F" w:rsidRDefault="002A53B9" w:rsidP="002A53B9">
      <w:pPr>
        <w:pStyle w:val="Naslov2"/>
        <w:rPr>
          <w:rFonts w:eastAsia="Times New Roman"/>
          <w:lang w:val="en-GB" w:eastAsia="en-GB"/>
        </w:rPr>
      </w:pPr>
      <w:bookmarkStart w:id="25" w:name="_Toc229079472"/>
      <w:r>
        <w:rPr>
          <w:rFonts w:eastAsia="Times New Roman"/>
          <w:lang w:val="en-GB" w:eastAsia="en-GB"/>
        </w:rPr>
        <w:t xml:space="preserve">9.4 </w:t>
      </w:r>
      <w:r w:rsidR="00B053D6" w:rsidRPr="00EF150F">
        <w:rPr>
          <w:rFonts w:eastAsia="Times New Roman"/>
          <w:lang w:val="en-GB" w:eastAsia="en-GB"/>
        </w:rPr>
        <w:t>Political Risks</w:t>
      </w:r>
      <w:bookmarkEnd w:id="25"/>
    </w:p>
    <w:p w14:paraId="66DAFB5E" w14:textId="77777777" w:rsidR="00B053D6" w:rsidRPr="00EF150F" w:rsidRDefault="00B053D6"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kern w:val="0"/>
          <w:sz w:val="24"/>
          <w:szCs w:val="24"/>
          <w:lang w:val="en-GB" w:eastAsia="en-GB"/>
          <w14:ligatures w14:val="none"/>
        </w:rPr>
        <w:t>Transboundary water management may involve sensitivities where resource dependency is uneven, particularly in karst aquifers shared between the two countries.</w:t>
      </w:r>
    </w:p>
    <w:p w14:paraId="79EA451F" w14:textId="61AB4B97" w:rsidR="00B053D6" w:rsidRDefault="00B053D6"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r w:rsidRPr="00EF150F">
        <w:rPr>
          <w:rFonts w:ascii="Calibri" w:eastAsia="Times New Roman" w:hAnsi="Calibri" w:cs="Calibri"/>
          <w:b/>
          <w:bCs/>
          <w:kern w:val="0"/>
          <w:sz w:val="24"/>
          <w:szCs w:val="24"/>
          <w:lang w:val="en-GB" w:eastAsia="en-GB"/>
          <w14:ligatures w14:val="none"/>
        </w:rPr>
        <w:t>Mitigation</w:t>
      </w:r>
      <w:r w:rsidR="00906D03" w:rsidRPr="00EF150F">
        <w:rPr>
          <w:rFonts w:ascii="Calibri" w:eastAsia="Times New Roman" w:hAnsi="Calibri" w:cs="Calibri"/>
          <w:b/>
          <w:bCs/>
          <w:kern w:val="0"/>
          <w:sz w:val="24"/>
          <w:szCs w:val="24"/>
          <w:lang w:val="en-GB" w:eastAsia="en-GB"/>
          <w14:ligatures w14:val="none"/>
        </w:rPr>
        <w:t>:</w:t>
      </w:r>
      <w:r w:rsidRPr="00EF150F">
        <w:rPr>
          <w:rFonts w:ascii="Calibri" w:eastAsia="Times New Roman" w:hAnsi="Calibri" w:cs="Calibri"/>
          <w:kern w:val="0"/>
          <w:sz w:val="24"/>
          <w:szCs w:val="24"/>
          <w:lang w:val="en-GB" w:eastAsia="en-GB"/>
          <w14:ligatures w14:val="none"/>
        </w:rPr>
        <w:t xml:space="preserve"> The Parties</w:t>
      </w:r>
      <w:r w:rsidR="00C5301F">
        <w:rPr>
          <w:rFonts w:ascii="Calibri" w:eastAsia="Times New Roman" w:hAnsi="Calibri" w:cs="Calibri"/>
          <w:kern w:val="0"/>
          <w:sz w:val="24"/>
          <w:szCs w:val="24"/>
          <w:lang w:val="en-GB" w:eastAsia="en-GB"/>
          <w14:ligatures w14:val="none"/>
        </w:rPr>
        <w:t xml:space="preserve"> to the Agreement</w:t>
      </w:r>
      <w:r w:rsidRPr="00EF150F">
        <w:rPr>
          <w:rFonts w:ascii="Calibri" w:eastAsia="Times New Roman" w:hAnsi="Calibri" w:cs="Calibri"/>
          <w:kern w:val="0"/>
          <w:sz w:val="24"/>
          <w:szCs w:val="24"/>
          <w:lang w:val="en-GB" w:eastAsia="en-GB"/>
          <w14:ligatures w14:val="none"/>
        </w:rPr>
        <w:t xml:space="preserve"> </w:t>
      </w:r>
      <w:r w:rsidR="00C5301F">
        <w:rPr>
          <w:rFonts w:ascii="Calibri" w:eastAsia="Times New Roman" w:hAnsi="Calibri" w:cs="Calibri"/>
          <w:kern w:val="0"/>
          <w:sz w:val="24"/>
          <w:szCs w:val="24"/>
          <w:lang w:val="en-GB" w:eastAsia="en-GB"/>
          <w14:ligatures w14:val="none"/>
        </w:rPr>
        <w:t>will</w:t>
      </w:r>
      <w:r w:rsidR="00C5301F" w:rsidRPr="00EF150F">
        <w:rPr>
          <w:rFonts w:ascii="Calibri" w:eastAsia="Times New Roman" w:hAnsi="Calibri" w:cs="Calibri"/>
          <w:kern w:val="0"/>
          <w:sz w:val="24"/>
          <w:szCs w:val="24"/>
          <w:lang w:val="en-GB" w:eastAsia="en-GB"/>
          <w14:ligatures w14:val="none"/>
        </w:rPr>
        <w:t xml:space="preserve"> </w:t>
      </w:r>
      <w:r w:rsidRPr="00EF150F">
        <w:rPr>
          <w:rFonts w:ascii="Calibri" w:eastAsia="Times New Roman" w:hAnsi="Calibri" w:cs="Calibri"/>
          <w:kern w:val="0"/>
          <w:sz w:val="24"/>
          <w:szCs w:val="24"/>
          <w:lang w:val="en-GB" w:eastAsia="en-GB"/>
          <w14:ligatures w14:val="none"/>
        </w:rPr>
        <w:t>maintain the process within a technical and expert</w:t>
      </w:r>
      <w:r w:rsidRPr="00EF150F">
        <w:rPr>
          <w:rFonts w:ascii="Calibri" w:eastAsia="Times New Roman" w:hAnsi="Calibri" w:cs="Calibri"/>
          <w:kern w:val="0"/>
          <w:sz w:val="24"/>
          <w:szCs w:val="24"/>
          <w:lang w:val="en-GB" w:eastAsia="en-GB"/>
          <w14:ligatures w14:val="none"/>
        </w:rPr>
        <w:noBreakHyphen/>
        <w:t xml:space="preserve">driven framework, ensure transparent communication, and hold regular consultations under the </w:t>
      </w:r>
      <w:r w:rsidR="00C5301F">
        <w:rPr>
          <w:rFonts w:ascii="Calibri" w:eastAsia="Times New Roman" w:hAnsi="Calibri" w:cs="Calibri"/>
          <w:kern w:val="0"/>
          <w:sz w:val="24"/>
          <w:szCs w:val="24"/>
          <w:lang w:val="en-GB" w:eastAsia="en-GB"/>
          <w14:ligatures w14:val="none"/>
        </w:rPr>
        <w:t>Joint</w:t>
      </w:r>
      <w:r w:rsidR="00C5301F" w:rsidRPr="00EF150F">
        <w:rPr>
          <w:rFonts w:ascii="Calibri" w:eastAsia="Times New Roman" w:hAnsi="Calibri" w:cs="Calibri"/>
          <w:kern w:val="0"/>
          <w:sz w:val="24"/>
          <w:szCs w:val="24"/>
          <w:lang w:val="en-GB" w:eastAsia="en-GB"/>
          <w14:ligatures w14:val="none"/>
        </w:rPr>
        <w:t xml:space="preserve"> </w:t>
      </w:r>
      <w:r w:rsidRPr="00EF150F">
        <w:rPr>
          <w:rFonts w:ascii="Calibri" w:eastAsia="Times New Roman" w:hAnsi="Calibri" w:cs="Calibri"/>
          <w:kern w:val="0"/>
          <w:sz w:val="24"/>
          <w:szCs w:val="24"/>
          <w:lang w:val="en-GB" w:eastAsia="en-GB"/>
          <w14:ligatures w14:val="none"/>
        </w:rPr>
        <w:t>Commission.</w:t>
      </w:r>
    </w:p>
    <w:p w14:paraId="53BD2B7C" w14:textId="77777777" w:rsidR="000246D5" w:rsidRPr="00EF150F" w:rsidRDefault="000246D5" w:rsidP="00EF150F">
      <w:pPr>
        <w:spacing w:before="100" w:beforeAutospacing="1" w:after="100" w:afterAutospacing="1" w:line="240" w:lineRule="auto"/>
        <w:jc w:val="both"/>
        <w:rPr>
          <w:rFonts w:ascii="Calibri" w:eastAsia="Times New Roman" w:hAnsi="Calibri" w:cs="Calibri"/>
          <w:kern w:val="0"/>
          <w:sz w:val="24"/>
          <w:szCs w:val="24"/>
          <w:lang w:val="en-GB" w:eastAsia="en-GB"/>
          <w14:ligatures w14:val="none"/>
        </w:rPr>
      </w:pPr>
    </w:p>
    <w:p w14:paraId="1EB55936" w14:textId="22F4DD33" w:rsidR="0076514E" w:rsidRPr="000C1958" w:rsidRDefault="0076514E" w:rsidP="002A53B9">
      <w:pPr>
        <w:pStyle w:val="Naslov1"/>
        <w:rPr>
          <w:color w:val="7030A0"/>
          <w:lang w:val="en-GB"/>
        </w:rPr>
      </w:pPr>
      <w:bookmarkStart w:id="26" w:name="_Toc229079473"/>
      <w:r w:rsidRPr="000C1958">
        <w:rPr>
          <w:lang w:val="en-GB"/>
        </w:rPr>
        <w:t>10. Conclusions and Next Steps</w:t>
      </w:r>
      <w:bookmarkEnd w:id="26"/>
    </w:p>
    <w:p w14:paraId="647E529F" w14:textId="01EBCC4D" w:rsidR="00FD6BC2" w:rsidRPr="007A752D" w:rsidRDefault="00FD6BC2" w:rsidP="00FD6BC2">
      <w:pPr>
        <w:jc w:val="both"/>
        <w:rPr>
          <w:rFonts w:ascii="Calibri" w:hAnsi="Calibri" w:cs="Calibri"/>
          <w:sz w:val="24"/>
          <w:szCs w:val="24"/>
          <w:lang w:val="en-GB"/>
        </w:rPr>
      </w:pPr>
      <w:r w:rsidRPr="007A752D">
        <w:rPr>
          <w:rFonts w:ascii="Calibri" w:hAnsi="Calibri" w:cs="Calibri"/>
          <w:sz w:val="24"/>
          <w:szCs w:val="24"/>
          <w:lang w:val="en-GB"/>
        </w:rPr>
        <w:t xml:space="preserve">The amendment of the 1996 Agreement between </w:t>
      </w:r>
      <w:r w:rsidR="00C5301F">
        <w:rPr>
          <w:rFonts w:ascii="Calibri" w:hAnsi="Calibri" w:cs="Calibri"/>
          <w:sz w:val="24"/>
          <w:szCs w:val="24"/>
          <w:lang w:val="en-GB"/>
        </w:rPr>
        <w:t>BiH</w:t>
      </w:r>
      <w:r w:rsidRPr="007A752D">
        <w:rPr>
          <w:rFonts w:ascii="Calibri" w:hAnsi="Calibri" w:cs="Calibri"/>
          <w:sz w:val="24"/>
          <w:szCs w:val="24"/>
          <w:lang w:val="en-GB"/>
        </w:rPr>
        <w:t xml:space="preserve"> and </w:t>
      </w:r>
      <w:r w:rsidR="00C5301F">
        <w:rPr>
          <w:rFonts w:ascii="Calibri" w:hAnsi="Calibri" w:cs="Calibri"/>
          <w:sz w:val="24"/>
          <w:szCs w:val="24"/>
          <w:lang w:val="en-GB"/>
        </w:rPr>
        <w:t>HR</w:t>
      </w:r>
      <w:r w:rsidR="00C5301F" w:rsidRPr="007A752D">
        <w:rPr>
          <w:rFonts w:ascii="Calibri" w:hAnsi="Calibri" w:cs="Calibri"/>
          <w:sz w:val="24"/>
          <w:szCs w:val="24"/>
          <w:lang w:val="en-GB"/>
        </w:rPr>
        <w:t xml:space="preserve"> </w:t>
      </w:r>
      <w:r w:rsidR="00CF4DF1" w:rsidRPr="007A752D">
        <w:rPr>
          <w:rFonts w:ascii="Calibri" w:hAnsi="Calibri" w:cs="Calibri"/>
          <w:sz w:val="24"/>
          <w:szCs w:val="24"/>
          <w:lang w:val="en-GB"/>
        </w:rPr>
        <w:t xml:space="preserve">on the regulation of water management relations to integrate transboundary aquifers </w:t>
      </w:r>
      <w:r w:rsidRPr="007A752D">
        <w:rPr>
          <w:rFonts w:ascii="Calibri" w:hAnsi="Calibri" w:cs="Calibri"/>
          <w:sz w:val="24"/>
          <w:szCs w:val="24"/>
          <w:lang w:val="en-GB"/>
        </w:rPr>
        <w:t xml:space="preserve">is legally justified, technically necessary, and institutionally feasible. </w:t>
      </w:r>
      <w:r w:rsidR="00CF4DF1" w:rsidRPr="007A752D">
        <w:rPr>
          <w:rFonts w:ascii="Calibri" w:hAnsi="Calibri" w:cs="Calibri"/>
          <w:sz w:val="24"/>
          <w:szCs w:val="24"/>
          <w:lang w:val="en-GB"/>
        </w:rPr>
        <w:t xml:space="preserve">It is necessary to mention explicitly the coverage of transboundary groundwater and to </w:t>
      </w:r>
      <w:r w:rsidR="000C1958" w:rsidRPr="007A752D">
        <w:rPr>
          <w:rFonts w:ascii="Calibri" w:hAnsi="Calibri" w:cs="Calibri"/>
          <w:sz w:val="24"/>
          <w:szCs w:val="24"/>
          <w:lang w:val="en-GB"/>
        </w:rPr>
        <w:t>specify</w:t>
      </w:r>
      <w:r w:rsidR="00CF4DF1" w:rsidRPr="007A752D">
        <w:rPr>
          <w:rFonts w:ascii="Calibri" w:hAnsi="Calibri" w:cs="Calibri"/>
          <w:sz w:val="24"/>
          <w:szCs w:val="24"/>
          <w:lang w:val="en-GB"/>
        </w:rPr>
        <w:t xml:space="preserve"> the principles to apply to the </w:t>
      </w:r>
      <w:r w:rsidR="003818E3" w:rsidRPr="007A752D">
        <w:rPr>
          <w:rFonts w:ascii="Calibri" w:hAnsi="Calibri" w:cs="Calibri"/>
          <w:sz w:val="24"/>
          <w:szCs w:val="24"/>
          <w:lang w:val="en-GB"/>
        </w:rPr>
        <w:t>characteristics</w:t>
      </w:r>
      <w:r w:rsidR="00CF4DF1" w:rsidRPr="007A752D">
        <w:rPr>
          <w:rFonts w:ascii="Calibri" w:hAnsi="Calibri" w:cs="Calibri"/>
          <w:sz w:val="24"/>
          <w:szCs w:val="24"/>
          <w:lang w:val="en-GB"/>
        </w:rPr>
        <w:t xml:space="preserve"> and vulnerabilities of transboundary aquifers, in kar</w:t>
      </w:r>
      <w:r w:rsidR="00C5301F">
        <w:rPr>
          <w:rFonts w:ascii="Calibri" w:hAnsi="Calibri" w:cs="Calibri"/>
          <w:sz w:val="24"/>
          <w:szCs w:val="24"/>
          <w:lang w:val="en-GB"/>
        </w:rPr>
        <w:t>s</w:t>
      </w:r>
      <w:r w:rsidR="00CF4DF1" w:rsidRPr="007A752D">
        <w:rPr>
          <w:rFonts w:ascii="Calibri" w:hAnsi="Calibri" w:cs="Calibri"/>
          <w:sz w:val="24"/>
          <w:szCs w:val="24"/>
          <w:lang w:val="en-GB"/>
        </w:rPr>
        <w:t xml:space="preserve">t environment. This can be done in a </w:t>
      </w:r>
      <w:r w:rsidR="00C5301F">
        <w:rPr>
          <w:rFonts w:ascii="Calibri" w:hAnsi="Calibri" w:cs="Calibri"/>
          <w:sz w:val="24"/>
          <w:szCs w:val="24"/>
          <w:lang w:val="en-GB"/>
        </w:rPr>
        <w:t>form of an</w:t>
      </w:r>
      <w:r w:rsidR="000B50C6">
        <w:rPr>
          <w:rFonts w:ascii="Calibri" w:hAnsi="Calibri" w:cs="Calibri"/>
          <w:sz w:val="24"/>
          <w:szCs w:val="24"/>
          <w:lang w:val="en-GB"/>
        </w:rPr>
        <w:t xml:space="preserve"> </w:t>
      </w:r>
      <w:r w:rsidR="00C5301F">
        <w:rPr>
          <w:rFonts w:ascii="Calibri" w:hAnsi="Calibri" w:cs="Calibri"/>
          <w:sz w:val="24"/>
          <w:szCs w:val="24"/>
          <w:lang w:val="en-GB"/>
        </w:rPr>
        <w:t>“</w:t>
      </w:r>
      <w:r w:rsidR="00CF4DF1" w:rsidRPr="007A752D">
        <w:rPr>
          <w:rFonts w:ascii="Calibri" w:hAnsi="Calibri" w:cs="Calibri"/>
          <w:sz w:val="24"/>
          <w:szCs w:val="24"/>
          <w:lang w:val="en-GB"/>
        </w:rPr>
        <w:t>Addendum or Protocol</w:t>
      </w:r>
      <w:r w:rsidR="00C5301F">
        <w:rPr>
          <w:rFonts w:ascii="Calibri" w:hAnsi="Calibri" w:cs="Calibri"/>
          <w:sz w:val="24"/>
          <w:szCs w:val="24"/>
          <w:lang w:val="en-GB"/>
        </w:rPr>
        <w:t>”</w:t>
      </w:r>
      <w:r w:rsidR="00CF4DF1" w:rsidRPr="007A752D">
        <w:rPr>
          <w:rFonts w:ascii="Calibri" w:hAnsi="Calibri" w:cs="Calibri"/>
          <w:sz w:val="24"/>
          <w:szCs w:val="24"/>
          <w:lang w:val="en-GB"/>
        </w:rPr>
        <w:t xml:space="preserve">. The specific measures can then be adapted and detailed for the specific cases of </w:t>
      </w:r>
      <w:r w:rsidR="00C5301F">
        <w:rPr>
          <w:rFonts w:ascii="Calibri" w:hAnsi="Calibri" w:cs="Calibri"/>
          <w:sz w:val="24"/>
          <w:szCs w:val="24"/>
          <w:lang w:val="en-GB"/>
        </w:rPr>
        <w:t>all TBAs identified under the umbrella of DIKTAS project</w:t>
      </w:r>
      <w:r w:rsidR="00CF4DF1" w:rsidRPr="007A752D">
        <w:rPr>
          <w:rFonts w:ascii="Calibri" w:hAnsi="Calibri" w:cs="Calibri"/>
          <w:sz w:val="24"/>
          <w:szCs w:val="24"/>
          <w:lang w:val="en-GB"/>
        </w:rPr>
        <w:t xml:space="preserve">. </w:t>
      </w:r>
    </w:p>
    <w:p w14:paraId="04C3C541" w14:textId="66E54402" w:rsidR="00FE55C9" w:rsidRPr="000C1958" w:rsidRDefault="00FE55C9" w:rsidP="00906D03">
      <w:pPr>
        <w:jc w:val="both"/>
        <w:rPr>
          <w:rFonts w:ascii="Calibri" w:hAnsi="Calibri" w:cs="Calibri"/>
          <w:sz w:val="24"/>
          <w:szCs w:val="24"/>
          <w:lang w:val="en-GB"/>
        </w:rPr>
      </w:pPr>
    </w:p>
    <w:sectPr w:rsidR="00FE55C9" w:rsidRPr="000C1958" w:rsidSect="008073D5">
      <w:headerReference w:type="default" r:id="rId13"/>
      <w:footerReference w:type="even" r:id="rId14"/>
      <w:footerReference w:type="default" r:id="rId15"/>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469B8" w14:textId="77777777" w:rsidR="00C7043B" w:rsidRDefault="00C7043B" w:rsidP="00843376">
      <w:pPr>
        <w:spacing w:after="0" w:line="240" w:lineRule="auto"/>
      </w:pPr>
      <w:r>
        <w:separator/>
      </w:r>
    </w:p>
  </w:endnote>
  <w:endnote w:type="continuationSeparator" w:id="0">
    <w:p w14:paraId="2DD68782" w14:textId="77777777" w:rsidR="00C7043B" w:rsidRDefault="00C7043B" w:rsidP="00843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w:panose1 w:val="020B0604020202020204"/>
    <w:charset w:val="00"/>
    <w:family w:val="auto"/>
    <w:pitch w:val="variable"/>
    <w:sig w:usb0="E00002FF" w:usb1="5000785B" w:usb2="00000000" w:usb3="00000000" w:csb0="0000019F"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Brojstranice"/>
      </w:rPr>
      <w:id w:val="-1747176349"/>
      <w:docPartObj>
        <w:docPartGallery w:val="Page Numbers (Bottom of Page)"/>
        <w:docPartUnique/>
      </w:docPartObj>
    </w:sdtPr>
    <w:sdtContent>
      <w:p w14:paraId="1FC2B411" w14:textId="2FD27810" w:rsidR="008073D5" w:rsidRDefault="008073D5" w:rsidP="00A95DF5">
        <w:pPr>
          <w:pStyle w:val="Podnoje"/>
          <w:framePr w:wrap="none" w:vAnchor="text" w:hAnchor="margin" w:xAlign="center" w:y="1"/>
          <w:rPr>
            <w:rStyle w:val="Brojstranice"/>
          </w:rPr>
        </w:pPr>
        <w:r>
          <w:rPr>
            <w:rStyle w:val="Brojstranice"/>
          </w:rPr>
          <w:fldChar w:fldCharType="begin"/>
        </w:r>
        <w:r>
          <w:rPr>
            <w:rStyle w:val="Brojstranice"/>
          </w:rPr>
          <w:instrText xml:space="preserve"> PAGE </w:instrText>
        </w:r>
        <w:r>
          <w:rPr>
            <w:rStyle w:val="Brojstranice"/>
          </w:rPr>
          <w:fldChar w:fldCharType="separate"/>
        </w:r>
        <w:r>
          <w:rPr>
            <w:rStyle w:val="Brojstranice"/>
          </w:rPr>
          <w:fldChar w:fldCharType="end"/>
        </w:r>
      </w:p>
    </w:sdtContent>
  </w:sdt>
  <w:p w14:paraId="78DF0B55" w14:textId="77777777" w:rsidR="008073D5" w:rsidRDefault="008073D5">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Brojstranice"/>
      </w:rPr>
      <w:id w:val="-1683508993"/>
      <w:docPartObj>
        <w:docPartGallery w:val="Page Numbers (Bottom of Page)"/>
        <w:docPartUnique/>
      </w:docPartObj>
    </w:sdtPr>
    <w:sdtContent>
      <w:p w14:paraId="7A711AEB" w14:textId="44A57E32" w:rsidR="008073D5" w:rsidRDefault="008073D5" w:rsidP="00A95DF5">
        <w:pPr>
          <w:pStyle w:val="Podnoje"/>
          <w:framePr w:wrap="none" w:vAnchor="text" w:hAnchor="margin" w:xAlign="center" w:y="1"/>
          <w:rPr>
            <w:rStyle w:val="Brojstranice"/>
          </w:rPr>
        </w:pPr>
        <w:r>
          <w:rPr>
            <w:rStyle w:val="Brojstranice"/>
          </w:rPr>
          <w:fldChar w:fldCharType="begin"/>
        </w:r>
        <w:r>
          <w:rPr>
            <w:rStyle w:val="Brojstranice"/>
          </w:rPr>
          <w:instrText xml:space="preserve"> PAGE </w:instrText>
        </w:r>
        <w:r>
          <w:rPr>
            <w:rStyle w:val="Brojstranice"/>
          </w:rPr>
          <w:fldChar w:fldCharType="separate"/>
        </w:r>
        <w:r>
          <w:rPr>
            <w:rStyle w:val="Brojstranice"/>
            <w:noProof/>
          </w:rPr>
          <w:t>2</w:t>
        </w:r>
        <w:r>
          <w:rPr>
            <w:rStyle w:val="Brojstranice"/>
          </w:rPr>
          <w:fldChar w:fldCharType="end"/>
        </w:r>
      </w:p>
    </w:sdtContent>
  </w:sdt>
  <w:p w14:paraId="4046E2A1" w14:textId="77777777" w:rsidR="008073D5" w:rsidRDefault="008073D5">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FB9529" w14:textId="77777777" w:rsidR="00C7043B" w:rsidRDefault="00C7043B" w:rsidP="00843376">
      <w:pPr>
        <w:spacing w:after="0" w:line="240" w:lineRule="auto"/>
      </w:pPr>
      <w:r>
        <w:separator/>
      </w:r>
    </w:p>
  </w:footnote>
  <w:footnote w:type="continuationSeparator" w:id="0">
    <w:p w14:paraId="45D9F42F" w14:textId="77777777" w:rsidR="00C7043B" w:rsidRDefault="00C7043B" w:rsidP="00843376">
      <w:pPr>
        <w:spacing w:after="0" w:line="240" w:lineRule="auto"/>
      </w:pPr>
      <w:r>
        <w:continuationSeparator/>
      </w:r>
    </w:p>
  </w:footnote>
  <w:footnote w:id="1">
    <w:p w14:paraId="47AAF1EF" w14:textId="0C52F364" w:rsidR="00843376" w:rsidRPr="00AF67F5" w:rsidRDefault="00843376" w:rsidP="00843376">
      <w:pPr>
        <w:jc w:val="both"/>
        <w:rPr>
          <w:rFonts w:ascii="Cambria" w:hAnsi="Cambria" w:cs="Calibri"/>
          <w:sz w:val="24"/>
          <w:szCs w:val="24"/>
          <w:lang w:val="en-GB"/>
        </w:rPr>
      </w:pPr>
      <w:r>
        <w:rPr>
          <w:rStyle w:val="Referencafusnote"/>
        </w:rPr>
        <w:footnoteRef/>
      </w:r>
      <w:r>
        <w:t xml:space="preserve"> </w:t>
      </w:r>
      <w:r w:rsidRPr="000C1958">
        <w:rPr>
          <w:rFonts w:ascii="Calibri" w:hAnsi="Calibri" w:cs="Calibri"/>
          <w:sz w:val="20"/>
          <w:szCs w:val="20"/>
          <w:lang w:val="en-GB"/>
        </w:rPr>
        <w:t xml:space="preserve">Bosnia Herzegovina accessed the Water Convention in 2009 and Croatia </w:t>
      </w:r>
      <w:r w:rsidR="00BF2CBC" w:rsidRPr="000C1958">
        <w:rPr>
          <w:rFonts w:ascii="Calibri" w:hAnsi="Calibri" w:cs="Calibri"/>
          <w:sz w:val="20"/>
          <w:szCs w:val="20"/>
          <w:lang w:val="en-GB"/>
        </w:rPr>
        <w:t>in 1996</w:t>
      </w:r>
      <w:r w:rsidR="00BF2CBC">
        <w:rPr>
          <w:rFonts w:ascii="Cambria" w:hAnsi="Cambria"/>
          <w:sz w:val="24"/>
          <w:szCs w:val="24"/>
          <w:lang w:val="en-GB"/>
        </w:rPr>
        <w:t xml:space="preserve">. </w:t>
      </w:r>
    </w:p>
    <w:p w14:paraId="45072F27" w14:textId="041043C9" w:rsidR="00843376" w:rsidRPr="00843376" w:rsidRDefault="00843376">
      <w:pPr>
        <w:pStyle w:val="Tekstfusnote"/>
        <w:rPr>
          <w:lang w:val="en-GB"/>
        </w:rPr>
      </w:pPr>
    </w:p>
  </w:footnote>
  <w:footnote w:id="2">
    <w:p w14:paraId="3AEF673C" w14:textId="174E2933" w:rsidR="00107F64" w:rsidRPr="007A752D" w:rsidRDefault="00107F64">
      <w:pPr>
        <w:pStyle w:val="Tekstfusnote"/>
        <w:rPr>
          <w:lang w:val="en-US"/>
        </w:rPr>
      </w:pPr>
      <w:r>
        <w:rPr>
          <w:rStyle w:val="Referencafusnote"/>
        </w:rPr>
        <w:footnoteRef/>
      </w:r>
      <w:r>
        <w:t xml:space="preserve"> </w:t>
      </w:r>
      <w:r w:rsidRPr="007A752D">
        <w:rPr>
          <w:rFonts w:ascii="Calibri" w:hAnsi="Calibri" w:cs="Calibri"/>
          <w:kern w:val="0"/>
          <w:lang w:val="en-US"/>
        </w:rPr>
        <w:t xml:space="preserve">Project Appraisal Document on a Proposed Grant from the Global Environment Facility Trust Fund in the Amount of US$8.0 Million to Bosnia and Herzegovina and Croatia for a Neretva and </w:t>
      </w:r>
      <w:proofErr w:type="spellStart"/>
      <w:r w:rsidRPr="007A752D">
        <w:rPr>
          <w:rFonts w:ascii="Calibri" w:hAnsi="Calibri" w:cs="Calibri"/>
          <w:kern w:val="0"/>
          <w:lang w:val="en-US"/>
        </w:rPr>
        <w:t>Trebišnjica</w:t>
      </w:r>
      <w:proofErr w:type="spellEnd"/>
      <w:r w:rsidRPr="007A752D">
        <w:rPr>
          <w:rFonts w:ascii="Calibri" w:hAnsi="Calibri" w:cs="Calibri"/>
          <w:kern w:val="0"/>
          <w:lang w:val="en-US"/>
        </w:rPr>
        <w:t xml:space="preserve"> River Basin Management Project” (World Bank, Report No. 25874, June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636E5" w14:textId="3F94A7B3" w:rsidR="00825FC2" w:rsidRDefault="00825FC2">
    <w:pPr>
      <w:pStyle w:val="Zaglavlje"/>
    </w:pPr>
    <w:r w:rsidRPr="00E36ECF">
      <w:rPr>
        <w:noProof/>
        <w:lang w:val="en-US"/>
      </w:rPr>
      <w:drawing>
        <wp:anchor distT="0" distB="0" distL="114300" distR="114300" simplePos="0" relativeHeight="251659264" behindDoc="0" locked="0" layoutInCell="1" allowOverlap="1" wp14:anchorId="44F24536" wp14:editId="3B5F18BD">
          <wp:simplePos x="0" y="0"/>
          <wp:positionH relativeFrom="column">
            <wp:posOffset>0</wp:posOffset>
          </wp:positionH>
          <wp:positionV relativeFrom="paragraph">
            <wp:posOffset>-195844</wp:posOffset>
          </wp:positionV>
          <wp:extent cx="1099997" cy="619125"/>
          <wp:effectExtent l="0" t="0" r="5080" b="0"/>
          <wp:wrapNone/>
          <wp:docPr id="7913852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9997" cy="61912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30E0F"/>
    <w:multiLevelType w:val="multilevel"/>
    <w:tmpl w:val="0CA8F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0A2EA5"/>
    <w:multiLevelType w:val="hybridMultilevel"/>
    <w:tmpl w:val="58DE9C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0A476F8F"/>
    <w:multiLevelType w:val="hybridMultilevel"/>
    <w:tmpl w:val="2F3EDEE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0DBD4EE0"/>
    <w:multiLevelType w:val="hybridMultilevel"/>
    <w:tmpl w:val="7B8C408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12C67C6F"/>
    <w:multiLevelType w:val="multilevel"/>
    <w:tmpl w:val="1D2EC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B53057"/>
    <w:multiLevelType w:val="hybridMultilevel"/>
    <w:tmpl w:val="6BECCD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91A303D"/>
    <w:multiLevelType w:val="hybridMultilevel"/>
    <w:tmpl w:val="3C34F5F4"/>
    <w:lvl w:ilvl="0" w:tplc="BC162210">
      <w:start w:val="3"/>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21D74B0"/>
    <w:multiLevelType w:val="multilevel"/>
    <w:tmpl w:val="AD44B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F53439"/>
    <w:multiLevelType w:val="multilevel"/>
    <w:tmpl w:val="571E8A88"/>
    <w:lvl w:ilvl="0">
      <w:start w:val="5"/>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F6270DC"/>
    <w:multiLevelType w:val="hybridMultilevel"/>
    <w:tmpl w:val="F0F0BC2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301B3873"/>
    <w:multiLevelType w:val="multilevel"/>
    <w:tmpl w:val="A956B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8D91791"/>
    <w:multiLevelType w:val="multilevel"/>
    <w:tmpl w:val="AAF4C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D0D4C82"/>
    <w:multiLevelType w:val="multilevel"/>
    <w:tmpl w:val="B4CA5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FB83721"/>
    <w:multiLevelType w:val="hybridMultilevel"/>
    <w:tmpl w:val="57502B9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45D71973"/>
    <w:multiLevelType w:val="multilevel"/>
    <w:tmpl w:val="25CEB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514B82"/>
    <w:multiLevelType w:val="multilevel"/>
    <w:tmpl w:val="E0A8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B14766E"/>
    <w:multiLevelType w:val="multilevel"/>
    <w:tmpl w:val="79124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D7F3ABB"/>
    <w:multiLevelType w:val="multilevel"/>
    <w:tmpl w:val="B7DA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1131A14"/>
    <w:multiLevelType w:val="hybridMultilevel"/>
    <w:tmpl w:val="7E0C231E"/>
    <w:lvl w:ilvl="0" w:tplc="0582B954">
      <w:start w:val="3"/>
      <w:numFmt w:val="bullet"/>
      <w:lvlText w:val="-"/>
      <w:lvlJc w:val="left"/>
      <w:pPr>
        <w:ind w:left="720" w:hanging="360"/>
      </w:pPr>
      <w:rPr>
        <w:rFonts w:ascii="Cambria" w:eastAsia="Times New Roman" w:hAnsi="Cambria"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52C41AB"/>
    <w:multiLevelType w:val="multilevel"/>
    <w:tmpl w:val="12C6B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3053A7"/>
    <w:multiLevelType w:val="multilevel"/>
    <w:tmpl w:val="D23CC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F5D4B4A"/>
    <w:multiLevelType w:val="hybridMultilevel"/>
    <w:tmpl w:val="553EADFA"/>
    <w:lvl w:ilvl="0" w:tplc="CA862F3C">
      <w:start w:val="3"/>
      <w:numFmt w:val="bullet"/>
      <w:lvlText w:val="-"/>
      <w:lvlJc w:val="left"/>
      <w:pPr>
        <w:ind w:left="720" w:hanging="360"/>
      </w:pPr>
      <w:rPr>
        <w:rFonts w:ascii="Cambria" w:eastAsiaTheme="minorHAnsi" w:hAnsi="Cambria"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626A4856"/>
    <w:multiLevelType w:val="multilevel"/>
    <w:tmpl w:val="AC908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7B3C57"/>
    <w:multiLevelType w:val="hybridMultilevel"/>
    <w:tmpl w:val="200AA3C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74385ECF"/>
    <w:multiLevelType w:val="hybridMultilevel"/>
    <w:tmpl w:val="F62EE9C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5" w15:restartNumberingAfterBreak="0">
    <w:nsid w:val="74D01685"/>
    <w:multiLevelType w:val="hybridMultilevel"/>
    <w:tmpl w:val="49C434F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6" w15:restartNumberingAfterBreak="0">
    <w:nsid w:val="74ED6C82"/>
    <w:multiLevelType w:val="multilevel"/>
    <w:tmpl w:val="27A8C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2166195">
    <w:abstractNumId w:val="24"/>
  </w:num>
  <w:num w:numId="2" w16cid:durableId="443622205">
    <w:abstractNumId w:val="1"/>
  </w:num>
  <w:num w:numId="3" w16cid:durableId="1599559940">
    <w:abstractNumId w:val="13"/>
  </w:num>
  <w:num w:numId="4" w16cid:durableId="726878248">
    <w:abstractNumId w:val="21"/>
  </w:num>
  <w:num w:numId="5" w16cid:durableId="1103569985">
    <w:abstractNumId w:val="18"/>
  </w:num>
  <w:num w:numId="6" w16cid:durableId="484053255">
    <w:abstractNumId w:val="6"/>
  </w:num>
  <w:num w:numId="7" w16cid:durableId="1123501806">
    <w:abstractNumId w:val="11"/>
  </w:num>
  <w:num w:numId="8" w16cid:durableId="1554387174">
    <w:abstractNumId w:val="19"/>
  </w:num>
  <w:num w:numId="9" w16cid:durableId="1278028387">
    <w:abstractNumId w:val="26"/>
  </w:num>
  <w:num w:numId="10" w16cid:durableId="1442842712">
    <w:abstractNumId w:val="14"/>
  </w:num>
  <w:num w:numId="11" w16cid:durableId="1414472460">
    <w:abstractNumId w:val="17"/>
  </w:num>
  <w:num w:numId="12" w16cid:durableId="279722472">
    <w:abstractNumId w:val="20"/>
  </w:num>
  <w:num w:numId="13" w16cid:durableId="1150638218">
    <w:abstractNumId w:val="16"/>
  </w:num>
  <w:num w:numId="14" w16cid:durableId="799881759">
    <w:abstractNumId w:val="22"/>
  </w:num>
  <w:num w:numId="15" w16cid:durableId="1771582497">
    <w:abstractNumId w:val="0"/>
  </w:num>
  <w:num w:numId="16" w16cid:durableId="1475875723">
    <w:abstractNumId w:val="12"/>
  </w:num>
  <w:num w:numId="17" w16cid:durableId="136774603">
    <w:abstractNumId w:val="7"/>
  </w:num>
  <w:num w:numId="18" w16cid:durableId="422608461">
    <w:abstractNumId w:val="10"/>
  </w:num>
  <w:num w:numId="19" w16cid:durableId="939262840">
    <w:abstractNumId w:val="4"/>
  </w:num>
  <w:num w:numId="20" w16cid:durableId="495805860">
    <w:abstractNumId w:val="15"/>
  </w:num>
  <w:num w:numId="21" w16cid:durableId="887036096">
    <w:abstractNumId w:val="9"/>
  </w:num>
  <w:num w:numId="22" w16cid:durableId="1661277614">
    <w:abstractNumId w:val="25"/>
  </w:num>
  <w:num w:numId="23" w16cid:durableId="1556426040">
    <w:abstractNumId w:val="23"/>
  </w:num>
  <w:num w:numId="24" w16cid:durableId="567376230">
    <w:abstractNumId w:val="5"/>
  </w:num>
  <w:num w:numId="25" w16cid:durableId="87120935">
    <w:abstractNumId w:val="2"/>
  </w:num>
  <w:num w:numId="26" w16cid:durableId="1558200784">
    <w:abstractNumId w:val="3"/>
  </w:num>
  <w:num w:numId="27" w16cid:durableId="29911277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14E"/>
    <w:rsid w:val="000246D5"/>
    <w:rsid w:val="00035911"/>
    <w:rsid w:val="00043EBA"/>
    <w:rsid w:val="00053941"/>
    <w:rsid w:val="000B50C6"/>
    <w:rsid w:val="000B74EC"/>
    <w:rsid w:val="000C1958"/>
    <w:rsid w:val="000C471C"/>
    <w:rsid w:val="000D1E39"/>
    <w:rsid w:val="000D7D37"/>
    <w:rsid w:val="000E38D5"/>
    <w:rsid w:val="00107F64"/>
    <w:rsid w:val="00120A8A"/>
    <w:rsid w:val="001218B9"/>
    <w:rsid w:val="0017751F"/>
    <w:rsid w:val="00195EF3"/>
    <w:rsid w:val="00214E54"/>
    <w:rsid w:val="00232C8B"/>
    <w:rsid w:val="00235902"/>
    <w:rsid w:val="0025768E"/>
    <w:rsid w:val="00267F0B"/>
    <w:rsid w:val="002723A1"/>
    <w:rsid w:val="00275C9B"/>
    <w:rsid w:val="002A0AEE"/>
    <w:rsid w:val="002A53B9"/>
    <w:rsid w:val="002C63EA"/>
    <w:rsid w:val="002D0E0C"/>
    <w:rsid w:val="0030781F"/>
    <w:rsid w:val="003214BD"/>
    <w:rsid w:val="00321FC5"/>
    <w:rsid w:val="00326D23"/>
    <w:rsid w:val="00351775"/>
    <w:rsid w:val="00362709"/>
    <w:rsid w:val="003818E3"/>
    <w:rsid w:val="003848D6"/>
    <w:rsid w:val="003B05C5"/>
    <w:rsid w:val="003B72C4"/>
    <w:rsid w:val="003F4BEB"/>
    <w:rsid w:val="00403A44"/>
    <w:rsid w:val="004345D9"/>
    <w:rsid w:val="0045334A"/>
    <w:rsid w:val="00465444"/>
    <w:rsid w:val="0048564E"/>
    <w:rsid w:val="004F2AB1"/>
    <w:rsid w:val="00502B80"/>
    <w:rsid w:val="00503C36"/>
    <w:rsid w:val="00520E4D"/>
    <w:rsid w:val="00537C1E"/>
    <w:rsid w:val="005579FA"/>
    <w:rsid w:val="00562528"/>
    <w:rsid w:val="00572CAB"/>
    <w:rsid w:val="005F1C87"/>
    <w:rsid w:val="00601A8A"/>
    <w:rsid w:val="00605DCF"/>
    <w:rsid w:val="0061567F"/>
    <w:rsid w:val="006377DC"/>
    <w:rsid w:val="00667CB7"/>
    <w:rsid w:val="006979B2"/>
    <w:rsid w:val="006B08C5"/>
    <w:rsid w:val="006D2C9D"/>
    <w:rsid w:val="006F0496"/>
    <w:rsid w:val="006F1230"/>
    <w:rsid w:val="007375C7"/>
    <w:rsid w:val="007414A9"/>
    <w:rsid w:val="0076084F"/>
    <w:rsid w:val="0076514E"/>
    <w:rsid w:val="007A752D"/>
    <w:rsid w:val="007D28A3"/>
    <w:rsid w:val="007F5A70"/>
    <w:rsid w:val="007F6376"/>
    <w:rsid w:val="008073D5"/>
    <w:rsid w:val="00825FC2"/>
    <w:rsid w:val="00830CF5"/>
    <w:rsid w:val="00837E10"/>
    <w:rsid w:val="00843376"/>
    <w:rsid w:val="00852D27"/>
    <w:rsid w:val="00864192"/>
    <w:rsid w:val="0086730E"/>
    <w:rsid w:val="00882AD4"/>
    <w:rsid w:val="008B469B"/>
    <w:rsid w:val="008B60C6"/>
    <w:rsid w:val="008C641C"/>
    <w:rsid w:val="008C6F7D"/>
    <w:rsid w:val="008D0864"/>
    <w:rsid w:val="008D4606"/>
    <w:rsid w:val="008D7405"/>
    <w:rsid w:val="008E53B3"/>
    <w:rsid w:val="00906D03"/>
    <w:rsid w:val="00913E29"/>
    <w:rsid w:val="0092649B"/>
    <w:rsid w:val="00932B32"/>
    <w:rsid w:val="009A1B7A"/>
    <w:rsid w:val="009D37F5"/>
    <w:rsid w:val="009F4AA7"/>
    <w:rsid w:val="009F5E96"/>
    <w:rsid w:val="00A3673F"/>
    <w:rsid w:val="00A4495E"/>
    <w:rsid w:val="00A53F47"/>
    <w:rsid w:val="00A70EDC"/>
    <w:rsid w:val="00A72B8B"/>
    <w:rsid w:val="00A87002"/>
    <w:rsid w:val="00A90A70"/>
    <w:rsid w:val="00AD3597"/>
    <w:rsid w:val="00AF6444"/>
    <w:rsid w:val="00AF67F5"/>
    <w:rsid w:val="00B053D6"/>
    <w:rsid w:val="00B27466"/>
    <w:rsid w:val="00B31FFC"/>
    <w:rsid w:val="00B46CE7"/>
    <w:rsid w:val="00B57AF5"/>
    <w:rsid w:val="00B62843"/>
    <w:rsid w:val="00B62A05"/>
    <w:rsid w:val="00B8579B"/>
    <w:rsid w:val="00B920BC"/>
    <w:rsid w:val="00BD0365"/>
    <w:rsid w:val="00BE5013"/>
    <w:rsid w:val="00BF0663"/>
    <w:rsid w:val="00BF2CBC"/>
    <w:rsid w:val="00C01983"/>
    <w:rsid w:val="00C16D87"/>
    <w:rsid w:val="00C343DD"/>
    <w:rsid w:val="00C5301F"/>
    <w:rsid w:val="00C7043B"/>
    <w:rsid w:val="00C71DA0"/>
    <w:rsid w:val="00CB60EE"/>
    <w:rsid w:val="00CE1613"/>
    <w:rsid w:val="00CF4DF1"/>
    <w:rsid w:val="00D140E8"/>
    <w:rsid w:val="00D16418"/>
    <w:rsid w:val="00D251E6"/>
    <w:rsid w:val="00D34312"/>
    <w:rsid w:val="00D85033"/>
    <w:rsid w:val="00DC6F28"/>
    <w:rsid w:val="00DE0CB7"/>
    <w:rsid w:val="00E20A04"/>
    <w:rsid w:val="00E334AF"/>
    <w:rsid w:val="00E335B6"/>
    <w:rsid w:val="00E34121"/>
    <w:rsid w:val="00E46400"/>
    <w:rsid w:val="00E637AA"/>
    <w:rsid w:val="00EC05AE"/>
    <w:rsid w:val="00EE276B"/>
    <w:rsid w:val="00EF150F"/>
    <w:rsid w:val="00F00B9F"/>
    <w:rsid w:val="00F14F54"/>
    <w:rsid w:val="00F4710F"/>
    <w:rsid w:val="00F83930"/>
    <w:rsid w:val="00F87B09"/>
    <w:rsid w:val="00F97ACE"/>
    <w:rsid w:val="00FB5FA6"/>
    <w:rsid w:val="00FD2602"/>
    <w:rsid w:val="00FD6BC2"/>
    <w:rsid w:val="00FE50A1"/>
    <w:rsid w:val="00FE55C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86692"/>
  <w15:chartTrackingRefBased/>
  <w15:docId w15:val="{FC1F5D8B-875D-4845-8AFB-7A4E00CEF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Naslov1">
    <w:name w:val="heading 1"/>
    <w:basedOn w:val="Normal"/>
    <w:next w:val="Normal"/>
    <w:link w:val="Naslov1Char"/>
    <w:uiPriority w:val="9"/>
    <w:qFormat/>
    <w:rsid w:val="007651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unhideWhenUsed/>
    <w:qFormat/>
    <w:rsid w:val="007651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76514E"/>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76514E"/>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76514E"/>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76514E"/>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76514E"/>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76514E"/>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76514E"/>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76514E"/>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rsid w:val="0076514E"/>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76514E"/>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76514E"/>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76514E"/>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76514E"/>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76514E"/>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76514E"/>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76514E"/>
    <w:rPr>
      <w:rFonts w:eastAsiaTheme="majorEastAsia" w:cstheme="majorBidi"/>
      <w:color w:val="272727" w:themeColor="text1" w:themeTint="D8"/>
    </w:rPr>
  </w:style>
  <w:style w:type="paragraph" w:styleId="Naslov">
    <w:name w:val="Title"/>
    <w:basedOn w:val="Normal"/>
    <w:next w:val="Normal"/>
    <w:link w:val="NaslovChar"/>
    <w:uiPriority w:val="10"/>
    <w:qFormat/>
    <w:rsid w:val="007651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76514E"/>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76514E"/>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76514E"/>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76514E"/>
    <w:pPr>
      <w:spacing w:before="160"/>
      <w:jc w:val="center"/>
    </w:pPr>
    <w:rPr>
      <w:i/>
      <w:iCs/>
      <w:color w:val="404040" w:themeColor="text1" w:themeTint="BF"/>
    </w:rPr>
  </w:style>
  <w:style w:type="character" w:customStyle="1" w:styleId="CitatChar">
    <w:name w:val="Citat Char"/>
    <w:basedOn w:val="Zadanifontodlomka"/>
    <w:link w:val="Citat"/>
    <w:uiPriority w:val="29"/>
    <w:rsid w:val="0076514E"/>
    <w:rPr>
      <w:i/>
      <w:iCs/>
      <w:color w:val="404040" w:themeColor="text1" w:themeTint="BF"/>
    </w:rPr>
  </w:style>
  <w:style w:type="paragraph" w:styleId="Odlomakpopisa">
    <w:name w:val="List Paragraph"/>
    <w:basedOn w:val="Normal"/>
    <w:uiPriority w:val="34"/>
    <w:qFormat/>
    <w:rsid w:val="0076514E"/>
    <w:pPr>
      <w:ind w:left="720"/>
      <w:contextualSpacing/>
    </w:pPr>
  </w:style>
  <w:style w:type="character" w:styleId="Jakoisticanje">
    <w:name w:val="Intense Emphasis"/>
    <w:basedOn w:val="Zadanifontodlomka"/>
    <w:uiPriority w:val="21"/>
    <w:qFormat/>
    <w:rsid w:val="0076514E"/>
    <w:rPr>
      <w:i/>
      <w:iCs/>
      <w:color w:val="0F4761" w:themeColor="accent1" w:themeShade="BF"/>
    </w:rPr>
  </w:style>
  <w:style w:type="paragraph" w:styleId="Naglaencitat">
    <w:name w:val="Intense Quote"/>
    <w:basedOn w:val="Normal"/>
    <w:next w:val="Normal"/>
    <w:link w:val="NaglaencitatChar"/>
    <w:uiPriority w:val="30"/>
    <w:qFormat/>
    <w:rsid w:val="007651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76514E"/>
    <w:rPr>
      <w:i/>
      <w:iCs/>
      <w:color w:val="0F4761" w:themeColor="accent1" w:themeShade="BF"/>
    </w:rPr>
  </w:style>
  <w:style w:type="character" w:styleId="Istaknutareferenca">
    <w:name w:val="Intense Reference"/>
    <w:basedOn w:val="Zadanifontodlomka"/>
    <w:uiPriority w:val="32"/>
    <w:qFormat/>
    <w:rsid w:val="0076514E"/>
    <w:rPr>
      <w:b/>
      <w:bCs/>
      <w:smallCaps/>
      <w:color w:val="0F4761" w:themeColor="accent1" w:themeShade="BF"/>
      <w:spacing w:val="5"/>
    </w:rPr>
  </w:style>
  <w:style w:type="paragraph" w:styleId="Tekstfusnote">
    <w:name w:val="footnote text"/>
    <w:basedOn w:val="Normal"/>
    <w:link w:val="TekstfusnoteChar"/>
    <w:uiPriority w:val="99"/>
    <w:semiHidden/>
    <w:unhideWhenUsed/>
    <w:rsid w:val="00843376"/>
    <w:pPr>
      <w:spacing w:after="0" w:line="240" w:lineRule="auto"/>
    </w:pPr>
    <w:rPr>
      <w:sz w:val="20"/>
      <w:szCs w:val="20"/>
    </w:rPr>
  </w:style>
  <w:style w:type="character" w:customStyle="1" w:styleId="TekstfusnoteChar">
    <w:name w:val="Tekst fusnote Char"/>
    <w:basedOn w:val="Zadanifontodlomka"/>
    <w:link w:val="Tekstfusnote"/>
    <w:uiPriority w:val="99"/>
    <w:semiHidden/>
    <w:rsid w:val="00843376"/>
    <w:rPr>
      <w:sz w:val="20"/>
      <w:szCs w:val="20"/>
    </w:rPr>
  </w:style>
  <w:style w:type="character" w:styleId="Referencafusnote">
    <w:name w:val="footnote reference"/>
    <w:basedOn w:val="Zadanifontodlomka"/>
    <w:uiPriority w:val="99"/>
    <w:semiHidden/>
    <w:unhideWhenUsed/>
    <w:rsid w:val="00843376"/>
    <w:rPr>
      <w:vertAlign w:val="superscript"/>
    </w:rPr>
  </w:style>
  <w:style w:type="paragraph" w:customStyle="1" w:styleId="p1">
    <w:name w:val="p1"/>
    <w:basedOn w:val="Normal"/>
    <w:rsid w:val="00A87002"/>
    <w:pPr>
      <w:spacing w:after="0" w:line="240" w:lineRule="auto"/>
    </w:pPr>
    <w:rPr>
      <w:rFonts w:ascii="Helvetica" w:eastAsia="Times New Roman" w:hAnsi="Helvetica" w:cs="Times New Roman"/>
      <w:color w:val="000000"/>
      <w:kern w:val="0"/>
      <w:sz w:val="17"/>
      <w:szCs w:val="17"/>
      <w:lang w:val="fr-FR" w:eastAsia="fr-FR"/>
      <w14:ligatures w14:val="none"/>
    </w:rPr>
  </w:style>
  <w:style w:type="paragraph" w:styleId="Revizija">
    <w:name w:val="Revision"/>
    <w:hidden/>
    <w:uiPriority w:val="99"/>
    <w:semiHidden/>
    <w:rsid w:val="00605DCF"/>
    <w:pPr>
      <w:spacing w:after="0" w:line="240" w:lineRule="auto"/>
    </w:pPr>
  </w:style>
  <w:style w:type="character" w:styleId="Referencakomentara">
    <w:name w:val="annotation reference"/>
    <w:basedOn w:val="Zadanifontodlomka"/>
    <w:uiPriority w:val="99"/>
    <w:semiHidden/>
    <w:unhideWhenUsed/>
    <w:rsid w:val="00605DCF"/>
    <w:rPr>
      <w:sz w:val="16"/>
      <w:szCs w:val="16"/>
    </w:rPr>
  </w:style>
  <w:style w:type="paragraph" w:styleId="Tekstkomentara">
    <w:name w:val="annotation text"/>
    <w:basedOn w:val="Normal"/>
    <w:link w:val="TekstkomentaraChar"/>
    <w:uiPriority w:val="99"/>
    <w:unhideWhenUsed/>
    <w:rsid w:val="00605DCF"/>
    <w:pPr>
      <w:spacing w:line="240" w:lineRule="auto"/>
    </w:pPr>
    <w:rPr>
      <w:sz w:val="20"/>
      <w:szCs w:val="20"/>
    </w:rPr>
  </w:style>
  <w:style w:type="character" w:customStyle="1" w:styleId="TekstkomentaraChar">
    <w:name w:val="Tekst komentara Char"/>
    <w:basedOn w:val="Zadanifontodlomka"/>
    <w:link w:val="Tekstkomentara"/>
    <w:uiPriority w:val="99"/>
    <w:rsid w:val="00605DCF"/>
    <w:rPr>
      <w:sz w:val="20"/>
      <w:szCs w:val="20"/>
    </w:rPr>
  </w:style>
  <w:style w:type="paragraph" w:styleId="Predmetkomentara">
    <w:name w:val="annotation subject"/>
    <w:basedOn w:val="Tekstkomentara"/>
    <w:next w:val="Tekstkomentara"/>
    <w:link w:val="PredmetkomentaraChar"/>
    <w:uiPriority w:val="99"/>
    <w:semiHidden/>
    <w:unhideWhenUsed/>
    <w:rsid w:val="00605DCF"/>
    <w:rPr>
      <w:b/>
      <w:bCs/>
    </w:rPr>
  </w:style>
  <w:style w:type="character" w:customStyle="1" w:styleId="PredmetkomentaraChar">
    <w:name w:val="Predmet komentara Char"/>
    <w:basedOn w:val="TekstkomentaraChar"/>
    <w:link w:val="Predmetkomentara"/>
    <w:uiPriority w:val="99"/>
    <w:semiHidden/>
    <w:rsid w:val="00605DCF"/>
    <w:rPr>
      <w:b/>
      <w:bCs/>
      <w:sz w:val="20"/>
      <w:szCs w:val="20"/>
    </w:rPr>
  </w:style>
  <w:style w:type="paragraph" w:styleId="StandardWeb">
    <w:name w:val="Normal (Web)"/>
    <w:basedOn w:val="Normal"/>
    <w:uiPriority w:val="99"/>
    <w:unhideWhenUsed/>
    <w:rsid w:val="009F5E96"/>
    <w:pPr>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character" w:styleId="Istaknuto">
    <w:name w:val="Emphasis"/>
    <w:basedOn w:val="Zadanifontodlomka"/>
    <w:uiPriority w:val="20"/>
    <w:qFormat/>
    <w:rsid w:val="009F5E96"/>
    <w:rPr>
      <w:i/>
      <w:iCs/>
    </w:rPr>
  </w:style>
  <w:style w:type="character" w:styleId="Naglaeno">
    <w:name w:val="Strong"/>
    <w:basedOn w:val="Zadanifontodlomka"/>
    <w:uiPriority w:val="22"/>
    <w:qFormat/>
    <w:rsid w:val="009F5E96"/>
    <w:rPr>
      <w:b/>
      <w:bCs/>
    </w:rPr>
  </w:style>
  <w:style w:type="paragraph" w:customStyle="1" w:styleId="Default">
    <w:name w:val="Default"/>
    <w:rsid w:val="00825FC2"/>
    <w:pPr>
      <w:autoSpaceDE w:val="0"/>
      <w:autoSpaceDN w:val="0"/>
      <w:adjustRightInd w:val="0"/>
      <w:spacing w:after="0" w:line="240" w:lineRule="auto"/>
    </w:pPr>
    <w:rPr>
      <w:rFonts w:ascii="Cambria" w:hAnsi="Cambria" w:cs="Cambria"/>
      <w:color w:val="000000"/>
      <w:kern w:val="0"/>
      <w:sz w:val="24"/>
      <w:szCs w:val="24"/>
      <w:lang w:val="sr-Latn-RS"/>
      <w14:ligatures w14:val="none"/>
    </w:rPr>
  </w:style>
  <w:style w:type="paragraph" w:styleId="Zaglavlje">
    <w:name w:val="header"/>
    <w:basedOn w:val="Normal"/>
    <w:link w:val="ZaglavljeChar"/>
    <w:uiPriority w:val="99"/>
    <w:unhideWhenUsed/>
    <w:rsid w:val="00825FC2"/>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825FC2"/>
  </w:style>
  <w:style w:type="paragraph" w:styleId="Podnoje">
    <w:name w:val="footer"/>
    <w:basedOn w:val="Normal"/>
    <w:link w:val="PodnojeChar"/>
    <w:uiPriority w:val="99"/>
    <w:unhideWhenUsed/>
    <w:rsid w:val="00825FC2"/>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825FC2"/>
  </w:style>
  <w:style w:type="paragraph" w:styleId="Sadraj1">
    <w:name w:val="toc 1"/>
    <w:basedOn w:val="Normal"/>
    <w:next w:val="Normal"/>
    <w:autoRedefine/>
    <w:uiPriority w:val="39"/>
    <w:unhideWhenUsed/>
    <w:rsid w:val="008073D5"/>
    <w:pPr>
      <w:spacing w:before="120" w:after="120"/>
    </w:pPr>
    <w:rPr>
      <w:b/>
      <w:bCs/>
      <w:caps/>
      <w:sz w:val="20"/>
      <w:szCs w:val="20"/>
    </w:rPr>
  </w:style>
  <w:style w:type="paragraph" w:styleId="Sadraj2">
    <w:name w:val="toc 2"/>
    <w:basedOn w:val="Normal"/>
    <w:next w:val="Normal"/>
    <w:autoRedefine/>
    <w:uiPriority w:val="39"/>
    <w:unhideWhenUsed/>
    <w:rsid w:val="008073D5"/>
    <w:pPr>
      <w:spacing w:after="0"/>
      <w:ind w:left="220"/>
    </w:pPr>
    <w:rPr>
      <w:smallCaps/>
      <w:sz w:val="20"/>
      <w:szCs w:val="20"/>
    </w:rPr>
  </w:style>
  <w:style w:type="paragraph" w:styleId="Sadraj3">
    <w:name w:val="toc 3"/>
    <w:basedOn w:val="Normal"/>
    <w:next w:val="Normal"/>
    <w:autoRedefine/>
    <w:uiPriority w:val="39"/>
    <w:unhideWhenUsed/>
    <w:rsid w:val="008073D5"/>
    <w:pPr>
      <w:spacing w:after="0"/>
      <w:ind w:left="440"/>
    </w:pPr>
    <w:rPr>
      <w:i/>
      <w:iCs/>
      <w:sz w:val="20"/>
      <w:szCs w:val="20"/>
    </w:rPr>
  </w:style>
  <w:style w:type="paragraph" w:styleId="Sadraj4">
    <w:name w:val="toc 4"/>
    <w:basedOn w:val="Normal"/>
    <w:next w:val="Normal"/>
    <w:autoRedefine/>
    <w:uiPriority w:val="39"/>
    <w:unhideWhenUsed/>
    <w:rsid w:val="008073D5"/>
    <w:pPr>
      <w:spacing w:after="0"/>
      <w:ind w:left="660"/>
    </w:pPr>
    <w:rPr>
      <w:sz w:val="18"/>
      <w:szCs w:val="18"/>
    </w:rPr>
  </w:style>
  <w:style w:type="paragraph" w:styleId="Sadraj5">
    <w:name w:val="toc 5"/>
    <w:basedOn w:val="Normal"/>
    <w:next w:val="Normal"/>
    <w:autoRedefine/>
    <w:uiPriority w:val="39"/>
    <w:unhideWhenUsed/>
    <w:rsid w:val="008073D5"/>
    <w:pPr>
      <w:spacing w:after="0"/>
      <w:ind w:left="880"/>
    </w:pPr>
    <w:rPr>
      <w:sz w:val="18"/>
      <w:szCs w:val="18"/>
    </w:rPr>
  </w:style>
  <w:style w:type="paragraph" w:styleId="Sadraj6">
    <w:name w:val="toc 6"/>
    <w:basedOn w:val="Normal"/>
    <w:next w:val="Normal"/>
    <w:autoRedefine/>
    <w:uiPriority w:val="39"/>
    <w:unhideWhenUsed/>
    <w:rsid w:val="008073D5"/>
    <w:pPr>
      <w:spacing w:after="0"/>
      <w:ind w:left="1100"/>
    </w:pPr>
    <w:rPr>
      <w:sz w:val="18"/>
      <w:szCs w:val="18"/>
    </w:rPr>
  </w:style>
  <w:style w:type="paragraph" w:styleId="Sadraj7">
    <w:name w:val="toc 7"/>
    <w:basedOn w:val="Normal"/>
    <w:next w:val="Normal"/>
    <w:autoRedefine/>
    <w:uiPriority w:val="39"/>
    <w:unhideWhenUsed/>
    <w:rsid w:val="008073D5"/>
    <w:pPr>
      <w:spacing w:after="0"/>
      <w:ind w:left="1320"/>
    </w:pPr>
    <w:rPr>
      <w:sz w:val="18"/>
      <w:szCs w:val="18"/>
    </w:rPr>
  </w:style>
  <w:style w:type="paragraph" w:styleId="Sadraj8">
    <w:name w:val="toc 8"/>
    <w:basedOn w:val="Normal"/>
    <w:next w:val="Normal"/>
    <w:autoRedefine/>
    <w:uiPriority w:val="39"/>
    <w:unhideWhenUsed/>
    <w:rsid w:val="008073D5"/>
    <w:pPr>
      <w:spacing w:after="0"/>
      <w:ind w:left="1540"/>
    </w:pPr>
    <w:rPr>
      <w:sz w:val="18"/>
      <w:szCs w:val="18"/>
    </w:rPr>
  </w:style>
  <w:style w:type="paragraph" w:styleId="Sadraj9">
    <w:name w:val="toc 9"/>
    <w:basedOn w:val="Normal"/>
    <w:next w:val="Normal"/>
    <w:autoRedefine/>
    <w:uiPriority w:val="39"/>
    <w:unhideWhenUsed/>
    <w:rsid w:val="008073D5"/>
    <w:pPr>
      <w:spacing w:after="0"/>
      <w:ind w:left="1760"/>
    </w:pPr>
    <w:rPr>
      <w:sz w:val="18"/>
      <w:szCs w:val="18"/>
    </w:rPr>
  </w:style>
  <w:style w:type="character" w:styleId="Hiperveza">
    <w:name w:val="Hyperlink"/>
    <w:basedOn w:val="Zadanifontodlomka"/>
    <w:uiPriority w:val="99"/>
    <w:unhideWhenUsed/>
    <w:rsid w:val="008073D5"/>
    <w:rPr>
      <w:color w:val="467886" w:themeColor="hyperlink"/>
      <w:u w:val="single"/>
    </w:rPr>
  </w:style>
  <w:style w:type="character" w:styleId="Brojstranice">
    <w:name w:val="page number"/>
    <w:basedOn w:val="Zadanifontodlomka"/>
    <w:uiPriority w:val="99"/>
    <w:semiHidden/>
    <w:unhideWhenUsed/>
    <w:rsid w:val="008073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36E732-1A69-B643-9E22-69AAF9C49E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5882</Words>
  <Characters>33533</Characters>
  <Application>Microsoft Office Word</Application>
  <DocSecurity>0</DocSecurity>
  <Lines>279</Lines>
  <Paragraphs>78</Paragraphs>
  <ScaleCrop>false</ScaleCrop>
  <HeadingPairs>
    <vt:vector size="6" baseType="variant">
      <vt:variant>
        <vt:lpstr>Title</vt:lpstr>
      </vt:variant>
      <vt:variant>
        <vt:i4>1</vt:i4>
      </vt:variant>
      <vt:variant>
        <vt:lpstr>Titre</vt:lpstr>
      </vt:variant>
      <vt:variant>
        <vt:i4>1</vt:i4>
      </vt:variant>
      <vt:variant>
        <vt:lpstr>Naslov</vt:lpstr>
      </vt:variant>
      <vt:variant>
        <vt:i4>1</vt:i4>
      </vt:variant>
    </vt:vector>
  </HeadingPairs>
  <TitlesOfParts>
    <vt:vector size="3" baseType="lpstr">
      <vt:lpstr/>
      <vt:lpstr/>
      <vt:lpstr/>
    </vt:vector>
  </TitlesOfParts>
  <Company/>
  <LinksUpToDate>false</LinksUpToDate>
  <CharactersWithSpaces>39337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Zoran Nakić</dc:creator>
  <cp:keywords/>
  <dc:description/>
  <cp:lastModifiedBy>Zoran Nakić</cp:lastModifiedBy>
  <cp:revision>2</cp:revision>
  <dcterms:created xsi:type="dcterms:W3CDTF">2026-05-08T06:18:00Z</dcterms:created>
  <dcterms:modified xsi:type="dcterms:W3CDTF">2026-05-08T06:18:00Z</dcterms:modified>
</cp:coreProperties>
</file>