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D5132" w14:textId="77777777" w:rsidR="00EC6C81" w:rsidRPr="00302BD2" w:rsidRDefault="00EC6C81" w:rsidP="00EC6C81">
      <w:pPr>
        <w:rPr>
          <w:lang w:val="en-GB"/>
        </w:rPr>
      </w:pPr>
      <w:r w:rsidRPr="00302BD2">
        <w:rPr>
          <w:noProof/>
          <w:lang w:val="en-GB"/>
        </w:rPr>
        <w:drawing>
          <wp:anchor distT="0" distB="0" distL="114300" distR="114300" simplePos="0" relativeHeight="251660288" behindDoc="0" locked="0" layoutInCell="1" allowOverlap="1" wp14:anchorId="7205FF7B" wp14:editId="6B26FDA7">
            <wp:simplePos x="0" y="0"/>
            <wp:positionH relativeFrom="margin">
              <wp:posOffset>2537460</wp:posOffset>
            </wp:positionH>
            <wp:positionV relativeFrom="paragraph">
              <wp:posOffset>107950</wp:posOffset>
            </wp:positionV>
            <wp:extent cx="1018540" cy="718820"/>
            <wp:effectExtent l="0" t="0" r="0" b="5080"/>
            <wp:wrapSquare wrapText="bothSides"/>
            <wp:docPr id="115013395" name="Picture 1" descr="A blue and green circle with a green loop around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13395" name="Picture 1" descr="A blue and green circle with a green loop around i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18540" cy="718820"/>
                    </a:xfrm>
                    <a:prstGeom prst="rect">
                      <a:avLst/>
                    </a:prstGeom>
                  </pic:spPr>
                </pic:pic>
              </a:graphicData>
            </a:graphic>
            <wp14:sizeRelH relativeFrom="margin">
              <wp14:pctWidth>0</wp14:pctWidth>
            </wp14:sizeRelH>
            <wp14:sizeRelV relativeFrom="margin">
              <wp14:pctHeight>0</wp14:pctHeight>
            </wp14:sizeRelV>
          </wp:anchor>
        </w:drawing>
      </w:r>
      <w:r w:rsidRPr="00302BD2">
        <w:rPr>
          <w:noProof/>
          <w:lang w:val="en-GB"/>
        </w:rPr>
        <w:drawing>
          <wp:anchor distT="0" distB="0" distL="114300" distR="114300" simplePos="0" relativeHeight="251659264" behindDoc="1" locked="0" layoutInCell="1" allowOverlap="1" wp14:anchorId="51DDE621" wp14:editId="48D26092">
            <wp:simplePos x="0" y="0"/>
            <wp:positionH relativeFrom="margin">
              <wp:posOffset>5362575</wp:posOffset>
            </wp:positionH>
            <wp:positionV relativeFrom="margin">
              <wp:align>top</wp:align>
            </wp:positionV>
            <wp:extent cx="441325" cy="1000125"/>
            <wp:effectExtent l="0" t="0" r="0" b="9525"/>
            <wp:wrapTight wrapText="bothSides">
              <wp:wrapPolygon edited="0">
                <wp:start x="0" y="0"/>
                <wp:lineTo x="0" y="21394"/>
                <wp:lineTo x="20512" y="21394"/>
                <wp:lineTo x="20512" y="0"/>
                <wp:lineTo x="0" y="0"/>
              </wp:wrapPolygon>
            </wp:wrapTight>
            <wp:docPr id="44992384"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92384" name="Picture 1" descr="A blue and white 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1325" cy="1000125"/>
                    </a:xfrm>
                    <a:prstGeom prst="rect">
                      <a:avLst/>
                    </a:prstGeom>
                  </pic:spPr>
                </pic:pic>
              </a:graphicData>
            </a:graphic>
            <wp14:sizeRelH relativeFrom="margin">
              <wp14:pctWidth>0</wp14:pctWidth>
            </wp14:sizeRelH>
            <wp14:sizeRelV relativeFrom="margin">
              <wp14:pctHeight>0</wp14:pctHeight>
            </wp14:sizeRelV>
          </wp:anchor>
        </w:drawing>
      </w:r>
      <w:r w:rsidRPr="00302BD2">
        <w:rPr>
          <w:noProof/>
          <w:lang w:val="en-GB"/>
        </w:rPr>
        <w:drawing>
          <wp:anchor distT="0" distB="0" distL="114300" distR="114300" simplePos="0" relativeHeight="251661312" behindDoc="0" locked="0" layoutInCell="1" allowOverlap="1" wp14:anchorId="49CFA00C" wp14:editId="3D3BD27D">
            <wp:simplePos x="0" y="0"/>
            <wp:positionH relativeFrom="column">
              <wp:posOffset>0</wp:posOffset>
            </wp:positionH>
            <wp:positionV relativeFrom="paragraph">
              <wp:posOffset>222885</wp:posOffset>
            </wp:positionV>
            <wp:extent cx="1024890" cy="619125"/>
            <wp:effectExtent l="0" t="0" r="3810" b="9525"/>
            <wp:wrapSquare wrapText="bothSides"/>
            <wp:docPr id="883982370" name="Picture 2"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982370" name="Picture 2" descr="A blue and white logo&#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24890" cy="619125"/>
                    </a:xfrm>
                    <a:prstGeom prst="rect">
                      <a:avLst/>
                    </a:prstGeom>
                  </pic:spPr>
                </pic:pic>
              </a:graphicData>
            </a:graphic>
            <wp14:sizeRelH relativeFrom="margin">
              <wp14:pctWidth>0</wp14:pctWidth>
            </wp14:sizeRelH>
            <wp14:sizeRelV relativeFrom="margin">
              <wp14:pctHeight>0</wp14:pctHeight>
            </wp14:sizeRelV>
          </wp:anchor>
        </w:drawing>
      </w:r>
    </w:p>
    <w:p w14:paraId="1160DEA2" w14:textId="77777777" w:rsidR="00EC6C81" w:rsidRPr="00302BD2" w:rsidRDefault="00EC6C81" w:rsidP="00EC6C81">
      <w:pPr>
        <w:rPr>
          <w:lang w:val="en-GB"/>
        </w:rPr>
      </w:pPr>
    </w:p>
    <w:p w14:paraId="4C499CE1" w14:textId="77777777" w:rsidR="00EC6C81" w:rsidRPr="00302BD2" w:rsidRDefault="00EC6C81" w:rsidP="00EC6C81">
      <w:pPr>
        <w:rPr>
          <w:lang w:val="en-GB"/>
        </w:rPr>
      </w:pPr>
    </w:p>
    <w:p w14:paraId="3F144E23" w14:textId="77777777" w:rsidR="00EC6C81" w:rsidRPr="00302BD2" w:rsidRDefault="00EC6C81" w:rsidP="00EC6C81">
      <w:pPr>
        <w:rPr>
          <w:lang w:val="en-GB"/>
        </w:rPr>
      </w:pPr>
    </w:p>
    <w:p w14:paraId="09066BDC" w14:textId="77777777" w:rsidR="00EC6C81" w:rsidRPr="00302BD2" w:rsidRDefault="00EC6C81" w:rsidP="00EC6C81">
      <w:pPr>
        <w:rPr>
          <w:lang w:val="en-GB"/>
        </w:rPr>
      </w:pPr>
    </w:p>
    <w:p w14:paraId="566493EA" w14:textId="77777777" w:rsidR="00EC6C81" w:rsidRPr="00302BD2" w:rsidRDefault="00EC6C81" w:rsidP="00EC6C81">
      <w:pPr>
        <w:tabs>
          <w:tab w:val="left" w:pos="5520"/>
        </w:tabs>
        <w:rPr>
          <w:lang w:val="en-GB"/>
        </w:rPr>
      </w:pPr>
      <w:r w:rsidRPr="00302BD2">
        <w:rPr>
          <w:lang w:val="en-GB"/>
        </w:rPr>
        <w:tab/>
      </w:r>
    </w:p>
    <w:p w14:paraId="6B8B4C4D" w14:textId="77777777" w:rsidR="00EC6C81" w:rsidRPr="00302BD2" w:rsidRDefault="00EC6C81" w:rsidP="00EC6C81">
      <w:pPr>
        <w:tabs>
          <w:tab w:val="left" w:pos="5520"/>
        </w:tabs>
        <w:rPr>
          <w:lang w:val="en-GB"/>
        </w:rPr>
      </w:pPr>
    </w:p>
    <w:p w14:paraId="59FB0D13" w14:textId="77777777" w:rsidR="00EC6C81" w:rsidRPr="00302BD2" w:rsidRDefault="00EC6C81" w:rsidP="00EC6C81">
      <w:pPr>
        <w:rPr>
          <w:lang w:val="en-GB"/>
        </w:rPr>
      </w:pPr>
    </w:p>
    <w:p w14:paraId="0F316959" w14:textId="77777777" w:rsidR="00EC6C81" w:rsidRPr="00302BD2" w:rsidRDefault="00EC6C81" w:rsidP="00EC6C81">
      <w:pPr>
        <w:tabs>
          <w:tab w:val="left" w:pos="3540"/>
        </w:tabs>
        <w:jc w:val="center"/>
        <w:rPr>
          <w:lang w:val="en-GB"/>
        </w:rPr>
      </w:pPr>
      <w:r w:rsidRPr="00302BD2">
        <w:rPr>
          <w:noProof/>
          <w:lang w:val="en-GB"/>
        </w:rPr>
        <w:drawing>
          <wp:inline distT="0" distB="0" distL="0" distR="0" wp14:anchorId="3B06CEFE" wp14:editId="0F3FA7FD">
            <wp:extent cx="2927547" cy="1647747"/>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990778" cy="1683336"/>
                    </a:xfrm>
                    <a:prstGeom prst="rect">
                      <a:avLst/>
                    </a:prstGeom>
                  </pic:spPr>
                </pic:pic>
              </a:graphicData>
            </a:graphic>
          </wp:inline>
        </w:drawing>
      </w:r>
    </w:p>
    <w:p w14:paraId="75A32DD5" w14:textId="77777777" w:rsidR="00EC6C81" w:rsidRPr="00302BD2" w:rsidRDefault="00EC6C81" w:rsidP="00EC6C81">
      <w:pPr>
        <w:jc w:val="center"/>
        <w:rPr>
          <w:b/>
          <w:color w:val="0F4761" w:themeColor="accent1" w:themeShade="BF"/>
          <w:sz w:val="28"/>
          <w:szCs w:val="28"/>
          <w:lang w:val="en-GB"/>
        </w:rPr>
      </w:pPr>
      <w:r w:rsidRPr="00302BD2">
        <w:rPr>
          <w:b/>
          <w:color w:val="0F4761" w:themeColor="accent1" w:themeShade="BF"/>
          <w:sz w:val="28"/>
          <w:szCs w:val="28"/>
          <w:lang w:val="en-GB"/>
        </w:rPr>
        <w:t>IMPLEMENTATION OF THE STRATEGIC ACTION PROGRAMME (SAP) OF THE DINARIC KARST AQUIFER SYSTEM: IMPROVING GROUNDWATER GOVERNANCE AND SUSTAINABILITY OF RELATED ECOSYSTEMS</w:t>
      </w:r>
    </w:p>
    <w:p w14:paraId="10222E8E" w14:textId="77777777" w:rsidR="00EC6C81" w:rsidRPr="00302BD2" w:rsidRDefault="00EC6C81" w:rsidP="00EC6C81">
      <w:pPr>
        <w:rPr>
          <w:lang w:val="en-GB"/>
        </w:rPr>
      </w:pPr>
    </w:p>
    <w:p w14:paraId="0A60BFE7" w14:textId="1C7F783C" w:rsidR="00EC6C81" w:rsidRPr="00302BD2" w:rsidRDefault="00EC6C81" w:rsidP="00EC6C81">
      <w:pPr>
        <w:pStyle w:val="Default"/>
        <w:jc w:val="center"/>
        <w:rPr>
          <w:rFonts w:asciiTheme="minorHAnsi" w:hAnsiTheme="minorHAnsi" w:cstheme="minorHAnsi"/>
          <w:b/>
          <w:bCs/>
          <w:color w:val="0F4761" w:themeColor="accent1" w:themeShade="BF"/>
          <w:sz w:val="36"/>
          <w:szCs w:val="36"/>
          <w:lang w:val="en-GB"/>
        </w:rPr>
      </w:pPr>
      <w:r w:rsidRPr="00302BD2">
        <w:rPr>
          <w:rFonts w:asciiTheme="minorHAnsi" w:hAnsiTheme="minorHAnsi" w:cstheme="minorHAnsi"/>
          <w:b/>
          <w:bCs/>
          <w:color w:val="0F4761" w:themeColor="accent1" w:themeShade="BF"/>
          <w:sz w:val="36"/>
          <w:szCs w:val="36"/>
          <w:lang w:val="en-GB"/>
        </w:rPr>
        <w:t>OUTPUT 1.</w:t>
      </w:r>
      <w:r w:rsidR="001C2D29">
        <w:rPr>
          <w:rFonts w:asciiTheme="minorHAnsi" w:hAnsiTheme="minorHAnsi" w:cstheme="minorHAnsi"/>
          <w:b/>
          <w:bCs/>
          <w:color w:val="0F4761" w:themeColor="accent1" w:themeShade="BF"/>
          <w:sz w:val="36"/>
          <w:szCs w:val="36"/>
          <w:lang w:val="en-GB"/>
        </w:rPr>
        <w:t>3</w:t>
      </w:r>
    </w:p>
    <w:p w14:paraId="3CAEAAE1" w14:textId="77777777" w:rsidR="00EC6C81" w:rsidRPr="00302BD2" w:rsidRDefault="00EC6C81" w:rsidP="00EC6C81">
      <w:pPr>
        <w:pStyle w:val="Default"/>
        <w:jc w:val="center"/>
        <w:rPr>
          <w:rFonts w:asciiTheme="minorHAnsi" w:hAnsiTheme="minorHAnsi" w:cstheme="minorHAnsi"/>
          <w:b/>
          <w:bCs/>
          <w:color w:val="0F4761" w:themeColor="accent1" w:themeShade="BF"/>
          <w:sz w:val="28"/>
          <w:szCs w:val="28"/>
          <w:lang w:val="en-GB"/>
        </w:rPr>
      </w:pPr>
    </w:p>
    <w:p w14:paraId="13DE48CA" w14:textId="25F98591" w:rsidR="00EC6C81" w:rsidRPr="00302BD2" w:rsidRDefault="00EC6C81" w:rsidP="00EC6C81">
      <w:pPr>
        <w:pStyle w:val="Default"/>
        <w:jc w:val="center"/>
        <w:rPr>
          <w:rFonts w:asciiTheme="minorHAnsi" w:hAnsiTheme="minorHAnsi" w:cstheme="minorHAnsi"/>
          <w:b/>
          <w:bCs/>
          <w:color w:val="0F4761" w:themeColor="accent1" w:themeShade="BF"/>
          <w:sz w:val="36"/>
          <w:szCs w:val="36"/>
          <w:lang w:val="en-GB"/>
        </w:rPr>
      </w:pPr>
      <w:r>
        <w:rPr>
          <w:rFonts w:asciiTheme="minorHAnsi" w:hAnsiTheme="minorHAnsi" w:cstheme="minorHAnsi"/>
          <w:b/>
          <w:bCs/>
          <w:color w:val="0F4761" w:themeColor="accent1" w:themeShade="BF"/>
          <w:sz w:val="36"/>
          <w:szCs w:val="36"/>
          <w:lang w:val="en-GB"/>
        </w:rPr>
        <w:t>BILATERAL</w:t>
      </w:r>
      <w:r w:rsidRPr="00302BD2">
        <w:rPr>
          <w:rFonts w:asciiTheme="minorHAnsi" w:hAnsiTheme="minorHAnsi" w:cstheme="minorHAnsi"/>
          <w:b/>
          <w:bCs/>
          <w:color w:val="0F4761" w:themeColor="accent1" w:themeShade="BF"/>
          <w:sz w:val="36"/>
          <w:szCs w:val="36"/>
          <w:lang w:val="en-GB"/>
        </w:rPr>
        <w:t xml:space="preserve"> </w:t>
      </w:r>
      <w:r w:rsidR="001C2D29">
        <w:rPr>
          <w:rFonts w:asciiTheme="minorHAnsi" w:hAnsiTheme="minorHAnsi" w:cstheme="minorHAnsi"/>
          <w:b/>
          <w:bCs/>
          <w:color w:val="0F4761" w:themeColor="accent1" w:themeShade="BF"/>
          <w:sz w:val="36"/>
          <w:szCs w:val="36"/>
          <w:lang w:val="en-GB"/>
        </w:rPr>
        <w:t>AGREEMENT ALBANIA-MONTENEGRO:</w:t>
      </w:r>
      <w:r w:rsidRPr="00302BD2">
        <w:rPr>
          <w:rFonts w:asciiTheme="minorHAnsi" w:hAnsiTheme="minorHAnsi" w:cstheme="minorHAnsi"/>
          <w:b/>
          <w:bCs/>
          <w:color w:val="0F4761" w:themeColor="accent1" w:themeShade="BF"/>
          <w:sz w:val="36"/>
          <w:szCs w:val="36"/>
          <w:lang w:val="en-GB"/>
        </w:rPr>
        <w:t xml:space="preserve"> </w:t>
      </w:r>
    </w:p>
    <w:p w14:paraId="4AE8DFD2" w14:textId="4D849035" w:rsidR="00EC6C81" w:rsidRPr="00302BD2" w:rsidRDefault="003D6345" w:rsidP="00EC6C81">
      <w:pPr>
        <w:pStyle w:val="Default"/>
        <w:jc w:val="center"/>
        <w:rPr>
          <w:rFonts w:asciiTheme="minorHAnsi" w:hAnsiTheme="minorHAnsi" w:cstheme="minorHAnsi"/>
          <w:b/>
          <w:bCs/>
          <w:color w:val="0F4761" w:themeColor="accent1" w:themeShade="BF"/>
          <w:sz w:val="36"/>
          <w:szCs w:val="36"/>
          <w:lang w:val="en-GB"/>
        </w:rPr>
      </w:pPr>
      <w:r>
        <w:rPr>
          <w:rFonts w:asciiTheme="minorHAnsi" w:hAnsiTheme="minorHAnsi" w:cstheme="minorHAnsi"/>
          <w:b/>
          <w:bCs/>
          <w:color w:val="0F4761" w:themeColor="accent1" w:themeShade="BF"/>
          <w:sz w:val="36"/>
          <w:szCs w:val="36"/>
          <w:lang w:val="en-GB"/>
        </w:rPr>
        <w:t>Proposed amendments for groundwater purposes</w:t>
      </w:r>
    </w:p>
    <w:p w14:paraId="62DF604A" w14:textId="77777777" w:rsidR="00EC6C81" w:rsidRPr="00302BD2" w:rsidRDefault="00EC6C81" w:rsidP="00EC6C81">
      <w:pPr>
        <w:rPr>
          <w:lang w:val="en-GB"/>
        </w:rPr>
      </w:pPr>
    </w:p>
    <w:p w14:paraId="2E7DF164" w14:textId="77777777" w:rsidR="00EC6C81" w:rsidRPr="00302BD2" w:rsidRDefault="00EC6C81" w:rsidP="00EC6C81">
      <w:pPr>
        <w:rPr>
          <w:lang w:val="en-GB"/>
        </w:rPr>
      </w:pPr>
    </w:p>
    <w:p w14:paraId="30A2627E" w14:textId="77777777" w:rsidR="00EC6C81" w:rsidRPr="00302BD2" w:rsidRDefault="00EC6C81" w:rsidP="00EC6C81">
      <w:pPr>
        <w:rPr>
          <w:lang w:val="en-GB"/>
        </w:rPr>
      </w:pPr>
    </w:p>
    <w:p w14:paraId="60A95B75" w14:textId="3979CC35" w:rsidR="00EC6C81" w:rsidRPr="00302BD2" w:rsidRDefault="00BD72D9" w:rsidP="00EC6C81">
      <w:pPr>
        <w:jc w:val="center"/>
        <w:rPr>
          <w:color w:val="002060"/>
          <w:lang w:val="en-GB"/>
        </w:rPr>
      </w:pPr>
      <w:r>
        <w:rPr>
          <w:color w:val="002060"/>
          <w:lang w:val="en-GB"/>
        </w:rPr>
        <w:t>APRIL</w:t>
      </w:r>
      <w:r w:rsidR="00EC6C81" w:rsidRPr="00302BD2">
        <w:rPr>
          <w:color w:val="002060"/>
          <w:lang w:val="en-GB"/>
        </w:rPr>
        <w:t xml:space="preserve"> 202</w:t>
      </w:r>
      <w:r w:rsidR="00EC6C81">
        <w:rPr>
          <w:color w:val="002060"/>
          <w:lang w:val="en-GB"/>
        </w:rPr>
        <w:t>6</w:t>
      </w:r>
    </w:p>
    <w:p w14:paraId="5C266F9E" w14:textId="77777777" w:rsidR="00EC6C81" w:rsidRPr="00302BD2" w:rsidRDefault="00EC6C81" w:rsidP="00EC6C81">
      <w:pPr>
        <w:rPr>
          <w:lang w:val="en-GB"/>
        </w:rPr>
      </w:pPr>
    </w:p>
    <w:p w14:paraId="4994F19D" w14:textId="77777777" w:rsidR="00EC6C81" w:rsidRPr="00302BD2" w:rsidRDefault="00EC6C81" w:rsidP="00EC6C81">
      <w:pPr>
        <w:jc w:val="center"/>
        <w:rPr>
          <w:lang w:val="en-GB"/>
        </w:rPr>
      </w:pPr>
      <w:r w:rsidRPr="00302BD2">
        <w:rPr>
          <w:noProof/>
          <w:lang w:val="en-GB"/>
        </w:rPr>
        <w:drawing>
          <wp:inline distT="0" distB="0" distL="0" distR="0" wp14:anchorId="181C53DA" wp14:editId="11C99BDA">
            <wp:extent cx="3734435" cy="609600"/>
            <wp:effectExtent l="0" t="0" r="0" b="0"/>
            <wp:docPr id="1814883663" name="Picture 2" descr="A yellow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883663" name="Picture 2" descr="A yellow and white logo&#10;&#10;AI-generated content may be incorrect."/>
                    <pic:cNvPicPr>
                      <a:picLocks noChangeAspect="1" noChangeArrowheads="1"/>
                    </pic:cNvPicPr>
                  </pic:nvPicPr>
                  <pic:blipFill rotWithShape="1">
                    <a:blip r:embed="rId12">
                      <a:extLst>
                        <a:ext uri="{28A0092B-C50C-407E-A947-70E740481C1C}">
                          <a14:useLocalDpi xmlns:a14="http://schemas.microsoft.com/office/drawing/2010/main" val="0"/>
                        </a:ext>
                      </a:extLst>
                    </a:blip>
                    <a:srcRect t="15466"/>
                    <a:stretch/>
                  </pic:blipFill>
                  <pic:spPr bwMode="auto">
                    <a:xfrm>
                      <a:off x="0" y="0"/>
                      <a:ext cx="3734435" cy="609600"/>
                    </a:xfrm>
                    <a:prstGeom prst="rect">
                      <a:avLst/>
                    </a:prstGeom>
                    <a:noFill/>
                    <a:ln>
                      <a:noFill/>
                    </a:ln>
                    <a:effectLst/>
                  </pic:spPr>
                </pic:pic>
              </a:graphicData>
            </a:graphic>
          </wp:inline>
        </w:drawing>
      </w:r>
    </w:p>
    <w:p w14:paraId="44D506E1" w14:textId="77777777" w:rsidR="00EC6C81" w:rsidRDefault="00EC6C81"/>
    <w:p w14:paraId="7DB643C3" w14:textId="77777777" w:rsidR="003D6345" w:rsidRDefault="003D6345"/>
    <w:p w14:paraId="6C0A2437" w14:textId="5C1C3D47" w:rsidR="00F1178D" w:rsidRPr="0000684E" w:rsidRDefault="00A82DDA" w:rsidP="00F1178D">
      <w:pPr>
        <w:jc w:val="center"/>
        <w:rPr>
          <w:rFonts w:ascii="Cambria" w:hAnsi="Cambria" w:cs="Calibri"/>
          <w:sz w:val="28"/>
          <w:szCs w:val="28"/>
          <w:lang w:val="en-GB"/>
        </w:rPr>
      </w:pPr>
      <w:r w:rsidRPr="0000684E">
        <w:rPr>
          <w:rFonts w:ascii="Cambria" w:hAnsi="Cambria" w:cs="Calibri"/>
          <w:sz w:val="28"/>
          <w:szCs w:val="28"/>
          <w:lang w:val="en-GB"/>
        </w:rPr>
        <w:lastRenderedPageBreak/>
        <w:t>Table of content</w:t>
      </w:r>
    </w:p>
    <w:p w14:paraId="04F0410F" w14:textId="0C46FC9F" w:rsidR="007A294C" w:rsidRDefault="007A294C">
      <w:pPr>
        <w:pStyle w:val="TM1"/>
        <w:tabs>
          <w:tab w:val="right" w:leader="dot" w:pos="9062"/>
        </w:tabs>
        <w:rPr>
          <w:rFonts w:eastAsiaTheme="minorEastAsia"/>
          <w:b w:val="0"/>
          <w:bCs w:val="0"/>
          <w:caps w:val="0"/>
          <w:noProof/>
          <w:kern w:val="2"/>
          <w:sz w:val="24"/>
          <w:szCs w:val="24"/>
          <w:lang w:val="fr-FR" w:eastAsia="fr-FR"/>
          <w14:ligatures w14:val="standardContextual"/>
        </w:rPr>
      </w:pPr>
      <w:r>
        <w:rPr>
          <w:rFonts w:ascii="Cambria" w:hAnsi="Cambria" w:cs="Calibri"/>
          <w:b w:val="0"/>
          <w:bCs w:val="0"/>
          <w:caps w:val="0"/>
          <w:sz w:val="28"/>
          <w:szCs w:val="28"/>
          <w:lang w:val="en-GB"/>
        </w:rPr>
        <w:fldChar w:fldCharType="begin"/>
      </w:r>
      <w:r>
        <w:rPr>
          <w:rFonts w:ascii="Cambria" w:hAnsi="Cambria" w:cs="Calibri"/>
          <w:b w:val="0"/>
          <w:bCs w:val="0"/>
          <w:caps w:val="0"/>
          <w:sz w:val="28"/>
          <w:szCs w:val="28"/>
          <w:lang w:val="en-GB"/>
        </w:rPr>
        <w:instrText xml:space="preserve"> TOC \o "1-3" \h \z \u </w:instrText>
      </w:r>
      <w:r>
        <w:rPr>
          <w:rFonts w:ascii="Cambria" w:hAnsi="Cambria" w:cs="Calibri"/>
          <w:b w:val="0"/>
          <w:bCs w:val="0"/>
          <w:caps w:val="0"/>
          <w:sz w:val="28"/>
          <w:szCs w:val="28"/>
          <w:lang w:val="en-GB"/>
        </w:rPr>
        <w:fldChar w:fldCharType="separate"/>
      </w:r>
      <w:hyperlink w:anchor="_Toc226579969" w:history="1">
        <w:r w:rsidRPr="000D5A8E">
          <w:rPr>
            <w:rStyle w:val="Lienhypertexte"/>
            <w:noProof/>
            <w:lang w:val="en-GB"/>
          </w:rPr>
          <w:t>1. Introduction</w:t>
        </w:r>
        <w:r>
          <w:rPr>
            <w:noProof/>
            <w:webHidden/>
          </w:rPr>
          <w:tab/>
        </w:r>
        <w:r>
          <w:rPr>
            <w:noProof/>
            <w:webHidden/>
          </w:rPr>
          <w:fldChar w:fldCharType="begin"/>
        </w:r>
        <w:r>
          <w:rPr>
            <w:noProof/>
            <w:webHidden/>
          </w:rPr>
          <w:instrText xml:space="preserve"> PAGEREF _Toc226579969 \h </w:instrText>
        </w:r>
        <w:r>
          <w:rPr>
            <w:noProof/>
            <w:webHidden/>
          </w:rPr>
        </w:r>
        <w:r>
          <w:rPr>
            <w:noProof/>
            <w:webHidden/>
          </w:rPr>
          <w:fldChar w:fldCharType="separate"/>
        </w:r>
        <w:r>
          <w:rPr>
            <w:noProof/>
            <w:webHidden/>
          </w:rPr>
          <w:t>1</w:t>
        </w:r>
        <w:r>
          <w:rPr>
            <w:noProof/>
            <w:webHidden/>
          </w:rPr>
          <w:fldChar w:fldCharType="end"/>
        </w:r>
      </w:hyperlink>
    </w:p>
    <w:p w14:paraId="0FFC7FBF" w14:textId="75EA3D46" w:rsidR="007A294C" w:rsidRDefault="007A294C">
      <w:pPr>
        <w:pStyle w:val="TM1"/>
        <w:tabs>
          <w:tab w:val="right" w:leader="dot" w:pos="9062"/>
        </w:tabs>
        <w:rPr>
          <w:rFonts w:eastAsiaTheme="minorEastAsia"/>
          <w:b w:val="0"/>
          <w:bCs w:val="0"/>
          <w:caps w:val="0"/>
          <w:noProof/>
          <w:kern w:val="2"/>
          <w:sz w:val="24"/>
          <w:szCs w:val="24"/>
          <w:lang w:val="fr-FR" w:eastAsia="fr-FR"/>
          <w14:ligatures w14:val="standardContextual"/>
        </w:rPr>
      </w:pPr>
      <w:hyperlink w:anchor="_Toc226579970" w:history="1">
        <w:r w:rsidRPr="000D5A8E">
          <w:rPr>
            <w:rStyle w:val="Lienhypertexte"/>
            <w:noProof/>
            <w:lang w:val="en-GB"/>
          </w:rPr>
          <w:t>2. Purpose, Scope and Methodology</w:t>
        </w:r>
        <w:r>
          <w:rPr>
            <w:noProof/>
            <w:webHidden/>
          </w:rPr>
          <w:tab/>
        </w:r>
        <w:r>
          <w:rPr>
            <w:noProof/>
            <w:webHidden/>
          </w:rPr>
          <w:fldChar w:fldCharType="begin"/>
        </w:r>
        <w:r>
          <w:rPr>
            <w:noProof/>
            <w:webHidden/>
          </w:rPr>
          <w:instrText xml:space="preserve"> PAGEREF _Toc226579970 \h </w:instrText>
        </w:r>
        <w:r>
          <w:rPr>
            <w:noProof/>
            <w:webHidden/>
          </w:rPr>
        </w:r>
        <w:r>
          <w:rPr>
            <w:noProof/>
            <w:webHidden/>
          </w:rPr>
          <w:fldChar w:fldCharType="separate"/>
        </w:r>
        <w:r>
          <w:rPr>
            <w:noProof/>
            <w:webHidden/>
          </w:rPr>
          <w:t>2</w:t>
        </w:r>
        <w:r>
          <w:rPr>
            <w:noProof/>
            <w:webHidden/>
          </w:rPr>
          <w:fldChar w:fldCharType="end"/>
        </w:r>
      </w:hyperlink>
    </w:p>
    <w:p w14:paraId="64BD7033" w14:textId="74E6B557" w:rsidR="007A294C" w:rsidRDefault="007A294C">
      <w:pPr>
        <w:pStyle w:val="TM1"/>
        <w:tabs>
          <w:tab w:val="right" w:leader="dot" w:pos="9062"/>
        </w:tabs>
        <w:rPr>
          <w:rFonts w:eastAsiaTheme="minorEastAsia"/>
          <w:b w:val="0"/>
          <w:bCs w:val="0"/>
          <w:caps w:val="0"/>
          <w:noProof/>
          <w:kern w:val="2"/>
          <w:sz w:val="24"/>
          <w:szCs w:val="24"/>
          <w:lang w:val="fr-FR" w:eastAsia="fr-FR"/>
          <w14:ligatures w14:val="standardContextual"/>
        </w:rPr>
      </w:pPr>
      <w:hyperlink w:anchor="_Toc226579971" w:history="1">
        <w:r w:rsidRPr="000D5A8E">
          <w:rPr>
            <w:rStyle w:val="Lienhypertexte"/>
            <w:noProof/>
            <w:lang w:val="en-GB"/>
          </w:rPr>
          <w:t>3. Current Bilateral Framework (2018 Agreement)</w:t>
        </w:r>
        <w:r>
          <w:rPr>
            <w:noProof/>
            <w:webHidden/>
          </w:rPr>
          <w:tab/>
        </w:r>
        <w:r>
          <w:rPr>
            <w:noProof/>
            <w:webHidden/>
          </w:rPr>
          <w:fldChar w:fldCharType="begin"/>
        </w:r>
        <w:r>
          <w:rPr>
            <w:noProof/>
            <w:webHidden/>
          </w:rPr>
          <w:instrText xml:space="preserve"> PAGEREF _Toc226579971 \h </w:instrText>
        </w:r>
        <w:r>
          <w:rPr>
            <w:noProof/>
            <w:webHidden/>
          </w:rPr>
        </w:r>
        <w:r>
          <w:rPr>
            <w:noProof/>
            <w:webHidden/>
          </w:rPr>
          <w:fldChar w:fldCharType="separate"/>
        </w:r>
        <w:r>
          <w:rPr>
            <w:noProof/>
            <w:webHidden/>
          </w:rPr>
          <w:t>2</w:t>
        </w:r>
        <w:r>
          <w:rPr>
            <w:noProof/>
            <w:webHidden/>
          </w:rPr>
          <w:fldChar w:fldCharType="end"/>
        </w:r>
      </w:hyperlink>
    </w:p>
    <w:p w14:paraId="52863CBC" w14:textId="7560BF89" w:rsidR="007A294C" w:rsidRDefault="007A294C">
      <w:pPr>
        <w:pStyle w:val="TM1"/>
        <w:tabs>
          <w:tab w:val="right" w:leader="dot" w:pos="9062"/>
        </w:tabs>
        <w:rPr>
          <w:rFonts w:eastAsiaTheme="minorEastAsia"/>
          <w:b w:val="0"/>
          <w:bCs w:val="0"/>
          <w:caps w:val="0"/>
          <w:noProof/>
          <w:kern w:val="2"/>
          <w:sz w:val="24"/>
          <w:szCs w:val="24"/>
          <w:lang w:val="fr-FR" w:eastAsia="fr-FR"/>
          <w14:ligatures w14:val="standardContextual"/>
        </w:rPr>
      </w:pPr>
      <w:hyperlink w:anchor="_Toc226579972" w:history="1">
        <w:r w:rsidRPr="000D5A8E">
          <w:rPr>
            <w:rStyle w:val="Lienhypertexte"/>
            <w:noProof/>
            <w:lang w:val="en-GB"/>
          </w:rPr>
          <w:t>4. Diagnostic: Groundwater and GDE Governance Gaps</w:t>
        </w:r>
        <w:r>
          <w:rPr>
            <w:noProof/>
            <w:webHidden/>
          </w:rPr>
          <w:tab/>
        </w:r>
        <w:r>
          <w:rPr>
            <w:noProof/>
            <w:webHidden/>
          </w:rPr>
          <w:fldChar w:fldCharType="begin"/>
        </w:r>
        <w:r>
          <w:rPr>
            <w:noProof/>
            <w:webHidden/>
          </w:rPr>
          <w:instrText xml:space="preserve"> PAGEREF _Toc226579972 \h </w:instrText>
        </w:r>
        <w:r>
          <w:rPr>
            <w:noProof/>
            <w:webHidden/>
          </w:rPr>
        </w:r>
        <w:r>
          <w:rPr>
            <w:noProof/>
            <w:webHidden/>
          </w:rPr>
          <w:fldChar w:fldCharType="separate"/>
        </w:r>
        <w:r>
          <w:rPr>
            <w:noProof/>
            <w:webHidden/>
          </w:rPr>
          <w:t>5</w:t>
        </w:r>
        <w:r>
          <w:rPr>
            <w:noProof/>
            <w:webHidden/>
          </w:rPr>
          <w:fldChar w:fldCharType="end"/>
        </w:r>
      </w:hyperlink>
    </w:p>
    <w:p w14:paraId="02D4CD0B" w14:textId="08013D2B" w:rsidR="007A294C" w:rsidRDefault="007A294C">
      <w:pPr>
        <w:pStyle w:val="TM2"/>
        <w:tabs>
          <w:tab w:val="right" w:leader="dot" w:pos="9062"/>
        </w:tabs>
        <w:rPr>
          <w:rFonts w:eastAsiaTheme="minorEastAsia"/>
          <w:smallCaps w:val="0"/>
          <w:noProof/>
          <w:kern w:val="2"/>
          <w:sz w:val="24"/>
          <w:szCs w:val="24"/>
          <w:lang w:val="fr-FR" w:eastAsia="fr-FR"/>
          <w14:ligatures w14:val="standardContextual"/>
        </w:rPr>
      </w:pPr>
      <w:hyperlink w:anchor="_Toc226579973" w:history="1">
        <w:r w:rsidRPr="000D5A8E">
          <w:rPr>
            <w:rStyle w:val="Lienhypertexte"/>
            <w:noProof/>
            <w:lang w:val="en-GB"/>
          </w:rPr>
          <w:t>4.1 Legal Clarity and Scope Gaps</w:t>
        </w:r>
        <w:r>
          <w:rPr>
            <w:noProof/>
            <w:webHidden/>
          </w:rPr>
          <w:tab/>
        </w:r>
        <w:r>
          <w:rPr>
            <w:noProof/>
            <w:webHidden/>
          </w:rPr>
          <w:fldChar w:fldCharType="begin"/>
        </w:r>
        <w:r>
          <w:rPr>
            <w:noProof/>
            <w:webHidden/>
          </w:rPr>
          <w:instrText xml:space="preserve"> PAGEREF _Toc226579973 \h </w:instrText>
        </w:r>
        <w:r>
          <w:rPr>
            <w:noProof/>
            <w:webHidden/>
          </w:rPr>
        </w:r>
        <w:r>
          <w:rPr>
            <w:noProof/>
            <w:webHidden/>
          </w:rPr>
          <w:fldChar w:fldCharType="separate"/>
        </w:r>
        <w:r>
          <w:rPr>
            <w:noProof/>
            <w:webHidden/>
          </w:rPr>
          <w:t>5</w:t>
        </w:r>
        <w:r>
          <w:rPr>
            <w:noProof/>
            <w:webHidden/>
          </w:rPr>
          <w:fldChar w:fldCharType="end"/>
        </w:r>
      </w:hyperlink>
    </w:p>
    <w:p w14:paraId="38CAE32E" w14:textId="01116967" w:rsidR="007A294C" w:rsidRDefault="007A294C">
      <w:pPr>
        <w:pStyle w:val="TM2"/>
        <w:tabs>
          <w:tab w:val="right" w:leader="dot" w:pos="9062"/>
        </w:tabs>
        <w:rPr>
          <w:rFonts w:eastAsiaTheme="minorEastAsia"/>
          <w:smallCaps w:val="0"/>
          <w:noProof/>
          <w:kern w:val="2"/>
          <w:sz w:val="24"/>
          <w:szCs w:val="24"/>
          <w:lang w:val="fr-FR" w:eastAsia="fr-FR"/>
          <w14:ligatures w14:val="standardContextual"/>
        </w:rPr>
      </w:pPr>
      <w:hyperlink w:anchor="_Toc226579974" w:history="1">
        <w:r w:rsidRPr="000D5A8E">
          <w:rPr>
            <w:rStyle w:val="Lienhypertexte"/>
            <w:noProof/>
            <w:lang w:val="en-GB"/>
          </w:rPr>
          <w:t>4.2 Monitoring and Data Gaps</w:t>
        </w:r>
        <w:r>
          <w:rPr>
            <w:noProof/>
            <w:webHidden/>
          </w:rPr>
          <w:tab/>
        </w:r>
        <w:r>
          <w:rPr>
            <w:noProof/>
            <w:webHidden/>
          </w:rPr>
          <w:fldChar w:fldCharType="begin"/>
        </w:r>
        <w:r>
          <w:rPr>
            <w:noProof/>
            <w:webHidden/>
          </w:rPr>
          <w:instrText xml:space="preserve"> PAGEREF _Toc226579974 \h </w:instrText>
        </w:r>
        <w:r>
          <w:rPr>
            <w:noProof/>
            <w:webHidden/>
          </w:rPr>
        </w:r>
        <w:r>
          <w:rPr>
            <w:noProof/>
            <w:webHidden/>
          </w:rPr>
          <w:fldChar w:fldCharType="separate"/>
        </w:r>
        <w:r>
          <w:rPr>
            <w:noProof/>
            <w:webHidden/>
          </w:rPr>
          <w:t>6</w:t>
        </w:r>
        <w:r>
          <w:rPr>
            <w:noProof/>
            <w:webHidden/>
          </w:rPr>
          <w:fldChar w:fldCharType="end"/>
        </w:r>
      </w:hyperlink>
    </w:p>
    <w:p w14:paraId="5A7A40CA" w14:textId="275C681F" w:rsidR="007A294C" w:rsidRDefault="007A294C">
      <w:pPr>
        <w:pStyle w:val="TM3"/>
        <w:tabs>
          <w:tab w:val="right" w:leader="dot" w:pos="9062"/>
        </w:tabs>
        <w:rPr>
          <w:rFonts w:eastAsiaTheme="minorEastAsia"/>
          <w:i w:val="0"/>
          <w:iCs w:val="0"/>
          <w:noProof/>
          <w:kern w:val="2"/>
          <w:sz w:val="24"/>
          <w:szCs w:val="24"/>
          <w:lang w:val="fr-FR" w:eastAsia="fr-FR"/>
          <w14:ligatures w14:val="standardContextual"/>
        </w:rPr>
      </w:pPr>
      <w:hyperlink w:anchor="_Toc226579975" w:history="1">
        <w:r w:rsidRPr="000D5A8E">
          <w:rPr>
            <w:rStyle w:val="Lienhypertexte"/>
            <w:noProof/>
            <w:lang w:val="en-GB"/>
          </w:rPr>
          <w:t>4.2.1 Joint Monitoring Deficit</w:t>
        </w:r>
        <w:r>
          <w:rPr>
            <w:noProof/>
            <w:webHidden/>
          </w:rPr>
          <w:tab/>
        </w:r>
        <w:r>
          <w:rPr>
            <w:noProof/>
            <w:webHidden/>
          </w:rPr>
          <w:fldChar w:fldCharType="begin"/>
        </w:r>
        <w:r>
          <w:rPr>
            <w:noProof/>
            <w:webHidden/>
          </w:rPr>
          <w:instrText xml:space="preserve"> PAGEREF _Toc226579975 \h </w:instrText>
        </w:r>
        <w:r>
          <w:rPr>
            <w:noProof/>
            <w:webHidden/>
          </w:rPr>
        </w:r>
        <w:r>
          <w:rPr>
            <w:noProof/>
            <w:webHidden/>
          </w:rPr>
          <w:fldChar w:fldCharType="separate"/>
        </w:r>
        <w:r>
          <w:rPr>
            <w:noProof/>
            <w:webHidden/>
          </w:rPr>
          <w:t>6</w:t>
        </w:r>
        <w:r>
          <w:rPr>
            <w:noProof/>
            <w:webHidden/>
          </w:rPr>
          <w:fldChar w:fldCharType="end"/>
        </w:r>
      </w:hyperlink>
    </w:p>
    <w:p w14:paraId="1F147780" w14:textId="3C672E0F" w:rsidR="007A294C" w:rsidRDefault="007A294C">
      <w:pPr>
        <w:pStyle w:val="TM3"/>
        <w:tabs>
          <w:tab w:val="right" w:leader="dot" w:pos="9062"/>
        </w:tabs>
        <w:rPr>
          <w:rFonts w:eastAsiaTheme="minorEastAsia"/>
          <w:i w:val="0"/>
          <w:iCs w:val="0"/>
          <w:noProof/>
          <w:kern w:val="2"/>
          <w:sz w:val="24"/>
          <w:szCs w:val="24"/>
          <w:lang w:val="fr-FR" w:eastAsia="fr-FR"/>
          <w14:ligatures w14:val="standardContextual"/>
        </w:rPr>
      </w:pPr>
      <w:hyperlink w:anchor="_Toc226579976" w:history="1">
        <w:r w:rsidRPr="000D5A8E">
          <w:rPr>
            <w:rStyle w:val="Lienhypertexte"/>
            <w:noProof/>
            <w:lang w:val="en-GB"/>
          </w:rPr>
          <w:t>4.2.2 Data Exchange and Interoperability Gaps</w:t>
        </w:r>
        <w:r>
          <w:rPr>
            <w:noProof/>
            <w:webHidden/>
          </w:rPr>
          <w:tab/>
        </w:r>
        <w:r>
          <w:rPr>
            <w:noProof/>
            <w:webHidden/>
          </w:rPr>
          <w:fldChar w:fldCharType="begin"/>
        </w:r>
        <w:r>
          <w:rPr>
            <w:noProof/>
            <w:webHidden/>
          </w:rPr>
          <w:instrText xml:space="preserve"> PAGEREF _Toc226579976 \h </w:instrText>
        </w:r>
        <w:r>
          <w:rPr>
            <w:noProof/>
            <w:webHidden/>
          </w:rPr>
        </w:r>
        <w:r>
          <w:rPr>
            <w:noProof/>
            <w:webHidden/>
          </w:rPr>
          <w:fldChar w:fldCharType="separate"/>
        </w:r>
        <w:r>
          <w:rPr>
            <w:noProof/>
            <w:webHidden/>
          </w:rPr>
          <w:t>6</w:t>
        </w:r>
        <w:r>
          <w:rPr>
            <w:noProof/>
            <w:webHidden/>
          </w:rPr>
          <w:fldChar w:fldCharType="end"/>
        </w:r>
      </w:hyperlink>
    </w:p>
    <w:p w14:paraId="6F39357A" w14:textId="1ADCB917" w:rsidR="007A294C" w:rsidRDefault="007A294C">
      <w:pPr>
        <w:pStyle w:val="TM3"/>
        <w:tabs>
          <w:tab w:val="right" w:leader="dot" w:pos="9062"/>
        </w:tabs>
        <w:rPr>
          <w:rFonts w:eastAsiaTheme="minorEastAsia"/>
          <w:i w:val="0"/>
          <w:iCs w:val="0"/>
          <w:noProof/>
          <w:kern w:val="2"/>
          <w:sz w:val="24"/>
          <w:szCs w:val="24"/>
          <w:lang w:val="fr-FR" w:eastAsia="fr-FR"/>
          <w14:ligatures w14:val="standardContextual"/>
        </w:rPr>
      </w:pPr>
      <w:hyperlink w:anchor="_Toc226579977" w:history="1">
        <w:r w:rsidRPr="000D5A8E">
          <w:rPr>
            <w:rStyle w:val="Lienhypertexte"/>
            <w:noProof/>
            <w:lang w:val="en-GB"/>
          </w:rPr>
          <w:t>4.2.3 Early Warning and Incident Response Gaps</w:t>
        </w:r>
        <w:r>
          <w:rPr>
            <w:noProof/>
            <w:webHidden/>
          </w:rPr>
          <w:tab/>
        </w:r>
        <w:r>
          <w:rPr>
            <w:noProof/>
            <w:webHidden/>
          </w:rPr>
          <w:fldChar w:fldCharType="begin"/>
        </w:r>
        <w:r>
          <w:rPr>
            <w:noProof/>
            <w:webHidden/>
          </w:rPr>
          <w:instrText xml:space="preserve"> PAGEREF _Toc226579977 \h </w:instrText>
        </w:r>
        <w:r>
          <w:rPr>
            <w:noProof/>
            <w:webHidden/>
          </w:rPr>
        </w:r>
        <w:r>
          <w:rPr>
            <w:noProof/>
            <w:webHidden/>
          </w:rPr>
          <w:fldChar w:fldCharType="separate"/>
        </w:r>
        <w:r>
          <w:rPr>
            <w:noProof/>
            <w:webHidden/>
          </w:rPr>
          <w:t>7</w:t>
        </w:r>
        <w:r>
          <w:rPr>
            <w:noProof/>
            <w:webHidden/>
          </w:rPr>
          <w:fldChar w:fldCharType="end"/>
        </w:r>
      </w:hyperlink>
    </w:p>
    <w:p w14:paraId="00C56A35" w14:textId="6BCE87FE" w:rsidR="007A294C" w:rsidRDefault="007A294C">
      <w:pPr>
        <w:pStyle w:val="TM2"/>
        <w:tabs>
          <w:tab w:val="right" w:leader="dot" w:pos="9062"/>
        </w:tabs>
        <w:rPr>
          <w:rFonts w:eastAsiaTheme="minorEastAsia"/>
          <w:smallCaps w:val="0"/>
          <w:noProof/>
          <w:kern w:val="2"/>
          <w:sz w:val="24"/>
          <w:szCs w:val="24"/>
          <w:lang w:val="fr-FR" w:eastAsia="fr-FR"/>
          <w14:ligatures w14:val="standardContextual"/>
        </w:rPr>
      </w:pPr>
      <w:hyperlink w:anchor="_Toc226579978" w:history="1">
        <w:r w:rsidRPr="000D5A8E">
          <w:rPr>
            <w:rStyle w:val="Lienhypertexte"/>
            <w:noProof/>
            <w:lang w:val="en-GB"/>
          </w:rPr>
          <w:t>4.3 Planning Integration and Spatial Governance Gaps</w:t>
        </w:r>
        <w:r>
          <w:rPr>
            <w:noProof/>
            <w:webHidden/>
          </w:rPr>
          <w:tab/>
        </w:r>
        <w:r>
          <w:rPr>
            <w:noProof/>
            <w:webHidden/>
          </w:rPr>
          <w:fldChar w:fldCharType="begin"/>
        </w:r>
        <w:r>
          <w:rPr>
            <w:noProof/>
            <w:webHidden/>
          </w:rPr>
          <w:instrText xml:space="preserve"> PAGEREF _Toc226579978 \h </w:instrText>
        </w:r>
        <w:r>
          <w:rPr>
            <w:noProof/>
            <w:webHidden/>
          </w:rPr>
        </w:r>
        <w:r>
          <w:rPr>
            <w:noProof/>
            <w:webHidden/>
          </w:rPr>
          <w:fldChar w:fldCharType="separate"/>
        </w:r>
        <w:r>
          <w:rPr>
            <w:noProof/>
            <w:webHidden/>
          </w:rPr>
          <w:t>7</w:t>
        </w:r>
        <w:r>
          <w:rPr>
            <w:noProof/>
            <w:webHidden/>
          </w:rPr>
          <w:fldChar w:fldCharType="end"/>
        </w:r>
      </w:hyperlink>
    </w:p>
    <w:p w14:paraId="3088217C" w14:textId="66440712" w:rsidR="007A294C" w:rsidRDefault="007A294C">
      <w:pPr>
        <w:pStyle w:val="TM2"/>
        <w:tabs>
          <w:tab w:val="right" w:leader="dot" w:pos="9062"/>
        </w:tabs>
        <w:rPr>
          <w:rFonts w:eastAsiaTheme="minorEastAsia"/>
          <w:smallCaps w:val="0"/>
          <w:noProof/>
          <w:kern w:val="2"/>
          <w:sz w:val="24"/>
          <w:szCs w:val="24"/>
          <w:lang w:val="fr-FR" w:eastAsia="fr-FR"/>
          <w14:ligatures w14:val="standardContextual"/>
        </w:rPr>
      </w:pPr>
      <w:hyperlink w:anchor="_Toc226579979" w:history="1">
        <w:r w:rsidRPr="000D5A8E">
          <w:rPr>
            <w:rStyle w:val="Lienhypertexte"/>
            <w:noProof/>
            <w:lang w:val="en-GB"/>
          </w:rPr>
          <w:t>4.4 Institutional Capacity and Compliance Gaps</w:t>
        </w:r>
        <w:r>
          <w:rPr>
            <w:noProof/>
            <w:webHidden/>
          </w:rPr>
          <w:tab/>
        </w:r>
        <w:r>
          <w:rPr>
            <w:noProof/>
            <w:webHidden/>
          </w:rPr>
          <w:fldChar w:fldCharType="begin"/>
        </w:r>
        <w:r>
          <w:rPr>
            <w:noProof/>
            <w:webHidden/>
          </w:rPr>
          <w:instrText xml:space="preserve"> PAGEREF _Toc226579979 \h </w:instrText>
        </w:r>
        <w:r>
          <w:rPr>
            <w:noProof/>
            <w:webHidden/>
          </w:rPr>
        </w:r>
        <w:r>
          <w:rPr>
            <w:noProof/>
            <w:webHidden/>
          </w:rPr>
          <w:fldChar w:fldCharType="separate"/>
        </w:r>
        <w:r>
          <w:rPr>
            <w:noProof/>
            <w:webHidden/>
          </w:rPr>
          <w:t>8</w:t>
        </w:r>
        <w:r>
          <w:rPr>
            <w:noProof/>
            <w:webHidden/>
          </w:rPr>
          <w:fldChar w:fldCharType="end"/>
        </w:r>
      </w:hyperlink>
    </w:p>
    <w:p w14:paraId="71796EA8" w14:textId="7CA7AFB3" w:rsidR="007A294C" w:rsidRDefault="007A294C">
      <w:pPr>
        <w:pStyle w:val="TM2"/>
        <w:tabs>
          <w:tab w:val="right" w:leader="dot" w:pos="9062"/>
        </w:tabs>
        <w:rPr>
          <w:rFonts w:eastAsiaTheme="minorEastAsia"/>
          <w:smallCaps w:val="0"/>
          <w:noProof/>
          <w:kern w:val="2"/>
          <w:sz w:val="24"/>
          <w:szCs w:val="24"/>
          <w:lang w:val="fr-FR" w:eastAsia="fr-FR"/>
          <w14:ligatures w14:val="standardContextual"/>
        </w:rPr>
      </w:pPr>
      <w:hyperlink w:anchor="_Toc226579980" w:history="1">
        <w:r w:rsidRPr="000D5A8E">
          <w:rPr>
            <w:rStyle w:val="Lienhypertexte"/>
            <w:noProof/>
            <w:lang w:val="en-GB"/>
          </w:rPr>
          <w:t>4.5 Synthesis of Governance Gaps</w:t>
        </w:r>
        <w:r>
          <w:rPr>
            <w:noProof/>
            <w:webHidden/>
          </w:rPr>
          <w:tab/>
        </w:r>
        <w:r>
          <w:rPr>
            <w:noProof/>
            <w:webHidden/>
          </w:rPr>
          <w:fldChar w:fldCharType="begin"/>
        </w:r>
        <w:r>
          <w:rPr>
            <w:noProof/>
            <w:webHidden/>
          </w:rPr>
          <w:instrText xml:space="preserve"> PAGEREF _Toc226579980 \h </w:instrText>
        </w:r>
        <w:r>
          <w:rPr>
            <w:noProof/>
            <w:webHidden/>
          </w:rPr>
        </w:r>
        <w:r>
          <w:rPr>
            <w:noProof/>
            <w:webHidden/>
          </w:rPr>
          <w:fldChar w:fldCharType="separate"/>
        </w:r>
        <w:r>
          <w:rPr>
            <w:noProof/>
            <w:webHidden/>
          </w:rPr>
          <w:t>8</w:t>
        </w:r>
        <w:r>
          <w:rPr>
            <w:noProof/>
            <w:webHidden/>
          </w:rPr>
          <w:fldChar w:fldCharType="end"/>
        </w:r>
      </w:hyperlink>
    </w:p>
    <w:p w14:paraId="5A971BDA" w14:textId="1DC3824E" w:rsidR="007A294C" w:rsidRDefault="007A294C">
      <w:pPr>
        <w:pStyle w:val="TM1"/>
        <w:tabs>
          <w:tab w:val="right" w:leader="dot" w:pos="9062"/>
        </w:tabs>
        <w:rPr>
          <w:rFonts w:eastAsiaTheme="minorEastAsia"/>
          <w:b w:val="0"/>
          <w:bCs w:val="0"/>
          <w:caps w:val="0"/>
          <w:noProof/>
          <w:kern w:val="2"/>
          <w:sz w:val="24"/>
          <w:szCs w:val="24"/>
          <w:lang w:val="fr-FR" w:eastAsia="fr-FR"/>
          <w14:ligatures w14:val="standardContextual"/>
        </w:rPr>
      </w:pPr>
      <w:hyperlink w:anchor="_Toc226579981" w:history="1">
        <w:r w:rsidRPr="000D5A8E">
          <w:rPr>
            <w:rStyle w:val="Lienhypertexte"/>
            <w:noProof/>
            <w:lang w:val="en-GB"/>
          </w:rPr>
          <w:t>5. Evidence from the Cemi/Cijevna TBA: why amendments are needed?</w:t>
        </w:r>
        <w:r>
          <w:rPr>
            <w:noProof/>
            <w:webHidden/>
          </w:rPr>
          <w:tab/>
        </w:r>
        <w:r>
          <w:rPr>
            <w:noProof/>
            <w:webHidden/>
          </w:rPr>
          <w:fldChar w:fldCharType="begin"/>
        </w:r>
        <w:r>
          <w:rPr>
            <w:noProof/>
            <w:webHidden/>
          </w:rPr>
          <w:instrText xml:space="preserve"> PAGEREF _Toc226579981 \h </w:instrText>
        </w:r>
        <w:r>
          <w:rPr>
            <w:noProof/>
            <w:webHidden/>
          </w:rPr>
        </w:r>
        <w:r>
          <w:rPr>
            <w:noProof/>
            <w:webHidden/>
          </w:rPr>
          <w:fldChar w:fldCharType="separate"/>
        </w:r>
        <w:r>
          <w:rPr>
            <w:noProof/>
            <w:webHidden/>
          </w:rPr>
          <w:t>8</w:t>
        </w:r>
        <w:r>
          <w:rPr>
            <w:noProof/>
            <w:webHidden/>
          </w:rPr>
          <w:fldChar w:fldCharType="end"/>
        </w:r>
      </w:hyperlink>
    </w:p>
    <w:p w14:paraId="72146351" w14:textId="478DCB35" w:rsidR="007A294C" w:rsidRDefault="007A294C">
      <w:pPr>
        <w:pStyle w:val="TM2"/>
        <w:tabs>
          <w:tab w:val="right" w:leader="dot" w:pos="9062"/>
        </w:tabs>
        <w:rPr>
          <w:rFonts w:eastAsiaTheme="minorEastAsia"/>
          <w:smallCaps w:val="0"/>
          <w:noProof/>
          <w:kern w:val="2"/>
          <w:sz w:val="24"/>
          <w:szCs w:val="24"/>
          <w:lang w:val="fr-FR" w:eastAsia="fr-FR"/>
          <w14:ligatures w14:val="standardContextual"/>
        </w:rPr>
      </w:pPr>
      <w:hyperlink w:anchor="_Toc226579982" w:history="1">
        <w:r w:rsidRPr="000D5A8E">
          <w:rPr>
            <w:rStyle w:val="Lienhypertexte"/>
            <w:noProof/>
            <w:lang w:val="en-GB"/>
          </w:rPr>
          <w:t>5.1 Karst Vulnerability and Transboundary Hydrogeological Connectivity</w:t>
        </w:r>
        <w:r>
          <w:rPr>
            <w:noProof/>
            <w:webHidden/>
          </w:rPr>
          <w:tab/>
        </w:r>
        <w:r>
          <w:rPr>
            <w:noProof/>
            <w:webHidden/>
          </w:rPr>
          <w:fldChar w:fldCharType="begin"/>
        </w:r>
        <w:r>
          <w:rPr>
            <w:noProof/>
            <w:webHidden/>
          </w:rPr>
          <w:instrText xml:space="preserve"> PAGEREF _Toc226579982 \h </w:instrText>
        </w:r>
        <w:r>
          <w:rPr>
            <w:noProof/>
            <w:webHidden/>
          </w:rPr>
        </w:r>
        <w:r>
          <w:rPr>
            <w:noProof/>
            <w:webHidden/>
          </w:rPr>
          <w:fldChar w:fldCharType="separate"/>
        </w:r>
        <w:r>
          <w:rPr>
            <w:noProof/>
            <w:webHidden/>
          </w:rPr>
          <w:t>9</w:t>
        </w:r>
        <w:r>
          <w:rPr>
            <w:noProof/>
            <w:webHidden/>
          </w:rPr>
          <w:fldChar w:fldCharType="end"/>
        </w:r>
      </w:hyperlink>
    </w:p>
    <w:p w14:paraId="13331490" w14:textId="574D2AE9" w:rsidR="007A294C" w:rsidRDefault="007A294C">
      <w:pPr>
        <w:pStyle w:val="TM2"/>
        <w:tabs>
          <w:tab w:val="right" w:leader="dot" w:pos="9062"/>
        </w:tabs>
        <w:rPr>
          <w:rFonts w:eastAsiaTheme="minorEastAsia"/>
          <w:smallCaps w:val="0"/>
          <w:noProof/>
          <w:kern w:val="2"/>
          <w:sz w:val="24"/>
          <w:szCs w:val="24"/>
          <w:lang w:val="fr-FR" w:eastAsia="fr-FR"/>
          <w14:ligatures w14:val="standardContextual"/>
        </w:rPr>
      </w:pPr>
      <w:hyperlink w:anchor="_Toc226579983" w:history="1">
        <w:r w:rsidRPr="000D5A8E">
          <w:rPr>
            <w:rStyle w:val="Lienhypertexte"/>
            <w:noProof/>
            <w:lang w:val="en-GB"/>
          </w:rPr>
          <w:t>5.2 Drinking Water Dependency and Recharge Area Governance</w:t>
        </w:r>
        <w:r>
          <w:rPr>
            <w:noProof/>
            <w:webHidden/>
          </w:rPr>
          <w:tab/>
        </w:r>
        <w:r>
          <w:rPr>
            <w:noProof/>
            <w:webHidden/>
          </w:rPr>
          <w:fldChar w:fldCharType="begin"/>
        </w:r>
        <w:r>
          <w:rPr>
            <w:noProof/>
            <w:webHidden/>
          </w:rPr>
          <w:instrText xml:space="preserve"> PAGEREF _Toc226579983 \h </w:instrText>
        </w:r>
        <w:r>
          <w:rPr>
            <w:noProof/>
            <w:webHidden/>
          </w:rPr>
        </w:r>
        <w:r>
          <w:rPr>
            <w:noProof/>
            <w:webHidden/>
          </w:rPr>
          <w:fldChar w:fldCharType="separate"/>
        </w:r>
        <w:r>
          <w:rPr>
            <w:noProof/>
            <w:webHidden/>
          </w:rPr>
          <w:t>10</w:t>
        </w:r>
        <w:r>
          <w:rPr>
            <w:noProof/>
            <w:webHidden/>
          </w:rPr>
          <w:fldChar w:fldCharType="end"/>
        </w:r>
      </w:hyperlink>
    </w:p>
    <w:p w14:paraId="29A88EC9" w14:textId="6E1DBE37" w:rsidR="007A294C" w:rsidRDefault="007A294C">
      <w:pPr>
        <w:pStyle w:val="TM2"/>
        <w:tabs>
          <w:tab w:val="right" w:leader="dot" w:pos="9062"/>
        </w:tabs>
        <w:rPr>
          <w:rFonts w:eastAsiaTheme="minorEastAsia"/>
          <w:smallCaps w:val="0"/>
          <w:noProof/>
          <w:kern w:val="2"/>
          <w:sz w:val="24"/>
          <w:szCs w:val="24"/>
          <w:lang w:val="fr-FR" w:eastAsia="fr-FR"/>
          <w14:ligatures w14:val="standardContextual"/>
        </w:rPr>
      </w:pPr>
      <w:hyperlink w:anchor="_Toc226579984" w:history="1">
        <w:r w:rsidRPr="000D5A8E">
          <w:rPr>
            <w:rStyle w:val="Lienhypertexte"/>
            <w:noProof/>
            <w:lang w:val="en-GB"/>
          </w:rPr>
          <w:t>5.3 Pressure Hotspots: Local Activities with Transboundary Effects</w:t>
        </w:r>
        <w:r>
          <w:rPr>
            <w:noProof/>
            <w:webHidden/>
          </w:rPr>
          <w:tab/>
        </w:r>
        <w:r>
          <w:rPr>
            <w:noProof/>
            <w:webHidden/>
          </w:rPr>
          <w:fldChar w:fldCharType="begin"/>
        </w:r>
        <w:r>
          <w:rPr>
            <w:noProof/>
            <w:webHidden/>
          </w:rPr>
          <w:instrText xml:space="preserve"> PAGEREF _Toc226579984 \h </w:instrText>
        </w:r>
        <w:r>
          <w:rPr>
            <w:noProof/>
            <w:webHidden/>
          </w:rPr>
        </w:r>
        <w:r>
          <w:rPr>
            <w:noProof/>
            <w:webHidden/>
          </w:rPr>
          <w:fldChar w:fldCharType="separate"/>
        </w:r>
        <w:r>
          <w:rPr>
            <w:noProof/>
            <w:webHidden/>
          </w:rPr>
          <w:t>10</w:t>
        </w:r>
        <w:r>
          <w:rPr>
            <w:noProof/>
            <w:webHidden/>
          </w:rPr>
          <w:fldChar w:fldCharType="end"/>
        </w:r>
      </w:hyperlink>
    </w:p>
    <w:p w14:paraId="427A90E2" w14:textId="4194BF61" w:rsidR="007A294C" w:rsidRDefault="007A294C">
      <w:pPr>
        <w:pStyle w:val="TM3"/>
        <w:tabs>
          <w:tab w:val="right" w:leader="dot" w:pos="9062"/>
        </w:tabs>
        <w:rPr>
          <w:rFonts w:eastAsiaTheme="minorEastAsia"/>
          <w:i w:val="0"/>
          <w:iCs w:val="0"/>
          <w:noProof/>
          <w:kern w:val="2"/>
          <w:sz w:val="24"/>
          <w:szCs w:val="24"/>
          <w:lang w:val="fr-FR" w:eastAsia="fr-FR"/>
          <w14:ligatures w14:val="standardContextual"/>
        </w:rPr>
      </w:pPr>
      <w:hyperlink w:anchor="_Toc226579985" w:history="1">
        <w:r w:rsidRPr="000D5A8E">
          <w:rPr>
            <w:rStyle w:val="Lienhypertexte"/>
            <w:noProof/>
            <w:lang w:val="en-GB"/>
          </w:rPr>
          <w:t>5.3.1 Peri-Urban and Rural Sanitation Gaps</w:t>
        </w:r>
        <w:r>
          <w:rPr>
            <w:noProof/>
            <w:webHidden/>
          </w:rPr>
          <w:tab/>
        </w:r>
        <w:r>
          <w:rPr>
            <w:noProof/>
            <w:webHidden/>
          </w:rPr>
          <w:fldChar w:fldCharType="begin"/>
        </w:r>
        <w:r>
          <w:rPr>
            <w:noProof/>
            <w:webHidden/>
          </w:rPr>
          <w:instrText xml:space="preserve"> PAGEREF _Toc226579985 \h </w:instrText>
        </w:r>
        <w:r>
          <w:rPr>
            <w:noProof/>
            <w:webHidden/>
          </w:rPr>
        </w:r>
        <w:r>
          <w:rPr>
            <w:noProof/>
            <w:webHidden/>
          </w:rPr>
          <w:fldChar w:fldCharType="separate"/>
        </w:r>
        <w:r>
          <w:rPr>
            <w:noProof/>
            <w:webHidden/>
          </w:rPr>
          <w:t>10</w:t>
        </w:r>
        <w:r>
          <w:rPr>
            <w:noProof/>
            <w:webHidden/>
          </w:rPr>
          <w:fldChar w:fldCharType="end"/>
        </w:r>
      </w:hyperlink>
    </w:p>
    <w:p w14:paraId="7314FC19" w14:textId="5398E969" w:rsidR="007A294C" w:rsidRDefault="007A294C">
      <w:pPr>
        <w:pStyle w:val="TM3"/>
        <w:tabs>
          <w:tab w:val="right" w:leader="dot" w:pos="9062"/>
        </w:tabs>
        <w:rPr>
          <w:rFonts w:eastAsiaTheme="minorEastAsia"/>
          <w:i w:val="0"/>
          <w:iCs w:val="0"/>
          <w:noProof/>
          <w:kern w:val="2"/>
          <w:sz w:val="24"/>
          <w:szCs w:val="24"/>
          <w:lang w:val="fr-FR" w:eastAsia="fr-FR"/>
          <w14:ligatures w14:val="standardContextual"/>
        </w:rPr>
      </w:pPr>
      <w:hyperlink w:anchor="_Toc226579986" w:history="1">
        <w:r w:rsidRPr="000D5A8E">
          <w:rPr>
            <w:rStyle w:val="Lienhypertexte"/>
            <w:noProof/>
            <w:lang w:val="en-GB"/>
          </w:rPr>
          <w:t>5.3.2 Development Nodes</w:t>
        </w:r>
        <w:r>
          <w:rPr>
            <w:noProof/>
            <w:webHidden/>
          </w:rPr>
          <w:tab/>
        </w:r>
        <w:r>
          <w:rPr>
            <w:noProof/>
            <w:webHidden/>
          </w:rPr>
          <w:fldChar w:fldCharType="begin"/>
        </w:r>
        <w:r>
          <w:rPr>
            <w:noProof/>
            <w:webHidden/>
          </w:rPr>
          <w:instrText xml:space="preserve"> PAGEREF _Toc226579986 \h </w:instrText>
        </w:r>
        <w:r>
          <w:rPr>
            <w:noProof/>
            <w:webHidden/>
          </w:rPr>
        </w:r>
        <w:r>
          <w:rPr>
            <w:noProof/>
            <w:webHidden/>
          </w:rPr>
          <w:fldChar w:fldCharType="separate"/>
        </w:r>
        <w:r>
          <w:rPr>
            <w:noProof/>
            <w:webHidden/>
          </w:rPr>
          <w:t>11</w:t>
        </w:r>
        <w:r>
          <w:rPr>
            <w:noProof/>
            <w:webHidden/>
          </w:rPr>
          <w:fldChar w:fldCharType="end"/>
        </w:r>
      </w:hyperlink>
    </w:p>
    <w:p w14:paraId="07184EA9" w14:textId="14BD7093" w:rsidR="007A294C" w:rsidRDefault="007A294C">
      <w:pPr>
        <w:pStyle w:val="TM3"/>
        <w:tabs>
          <w:tab w:val="right" w:leader="dot" w:pos="9062"/>
        </w:tabs>
        <w:rPr>
          <w:rFonts w:eastAsiaTheme="minorEastAsia"/>
          <w:i w:val="0"/>
          <w:iCs w:val="0"/>
          <w:noProof/>
          <w:kern w:val="2"/>
          <w:sz w:val="24"/>
          <w:szCs w:val="24"/>
          <w:lang w:val="fr-FR" w:eastAsia="fr-FR"/>
          <w14:ligatures w14:val="standardContextual"/>
        </w:rPr>
      </w:pPr>
      <w:hyperlink w:anchor="_Toc226579987" w:history="1">
        <w:r w:rsidRPr="000D5A8E">
          <w:rPr>
            <w:rStyle w:val="Lienhypertexte"/>
            <w:noProof/>
            <w:lang w:val="en-GB"/>
          </w:rPr>
          <w:t>5.3.3 Diffuse Agricultural Pressures</w:t>
        </w:r>
        <w:r>
          <w:rPr>
            <w:noProof/>
            <w:webHidden/>
          </w:rPr>
          <w:tab/>
        </w:r>
        <w:r>
          <w:rPr>
            <w:noProof/>
            <w:webHidden/>
          </w:rPr>
          <w:fldChar w:fldCharType="begin"/>
        </w:r>
        <w:r>
          <w:rPr>
            <w:noProof/>
            <w:webHidden/>
          </w:rPr>
          <w:instrText xml:space="preserve"> PAGEREF _Toc226579987 \h </w:instrText>
        </w:r>
        <w:r>
          <w:rPr>
            <w:noProof/>
            <w:webHidden/>
          </w:rPr>
        </w:r>
        <w:r>
          <w:rPr>
            <w:noProof/>
            <w:webHidden/>
          </w:rPr>
          <w:fldChar w:fldCharType="separate"/>
        </w:r>
        <w:r>
          <w:rPr>
            <w:noProof/>
            <w:webHidden/>
          </w:rPr>
          <w:t>11</w:t>
        </w:r>
        <w:r>
          <w:rPr>
            <w:noProof/>
            <w:webHidden/>
          </w:rPr>
          <w:fldChar w:fldCharType="end"/>
        </w:r>
      </w:hyperlink>
    </w:p>
    <w:p w14:paraId="4A8E5B5F" w14:textId="51DDD688" w:rsidR="007A294C" w:rsidRDefault="007A294C">
      <w:pPr>
        <w:pStyle w:val="TM3"/>
        <w:tabs>
          <w:tab w:val="right" w:leader="dot" w:pos="9062"/>
        </w:tabs>
        <w:rPr>
          <w:rFonts w:eastAsiaTheme="minorEastAsia"/>
          <w:i w:val="0"/>
          <w:iCs w:val="0"/>
          <w:noProof/>
          <w:kern w:val="2"/>
          <w:sz w:val="24"/>
          <w:szCs w:val="24"/>
          <w:lang w:val="fr-FR" w:eastAsia="fr-FR"/>
          <w14:ligatures w14:val="standardContextual"/>
        </w:rPr>
      </w:pPr>
      <w:hyperlink w:anchor="_Toc226579988" w:history="1">
        <w:r w:rsidRPr="000D5A8E">
          <w:rPr>
            <w:rStyle w:val="Lienhypertexte"/>
            <w:noProof/>
            <w:lang w:val="en-GB"/>
          </w:rPr>
          <w:t>5.3.4 Identification of Illegal or Unregistered Abstractions</w:t>
        </w:r>
        <w:r>
          <w:rPr>
            <w:noProof/>
            <w:webHidden/>
          </w:rPr>
          <w:tab/>
        </w:r>
        <w:r>
          <w:rPr>
            <w:noProof/>
            <w:webHidden/>
          </w:rPr>
          <w:fldChar w:fldCharType="begin"/>
        </w:r>
        <w:r>
          <w:rPr>
            <w:noProof/>
            <w:webHidden/>
          </w:rPr>
          <w:instrText xml:space="preserve"> PAGEREF _Toc226579988 \h </w:instrText>
        </w:r>
        <w:r>
          <w:rPr>
            <w:noProof/>
            <w:webHidden/>
          </w:rPr>
        </w:r>
        <w:r>
          <w:rPr>
            <w:noProof/>
            <w:webHidden/>
          </w:rPr>
          <w:fldChar w:fldCharType="separate"/>
        </w:r>
        <w:r>
          <w:rPr>
            <w:noProof/>
            <w:webHidden/>
          </w:rPr>
          <w:t>11</w:t>
        </w:r>
        <w:r>
          <w:rPr>
            <w:noProof/>
            <w:webHidden/>
          </w:rPr>
          <w:fldChar w:fldCharType="end"/>
        </w:r>
      </w:hyperlink>
    </w:p>
    <w:p w14:paraId="52542B45" w14:textId="1E63288F" w:rsidR="007A294C" w:rsidRDefault="007A294C">
      <w:pPr>
        <w:pStyle w:val="TM2"/>
        <w:tabs>
          <w:tab w:val="right" w:leader="dot" w:pos="9062"/>
        </w:tabs>
        <w:rPr>
          <w:rFonts w:eastAsiaTheme="minorEastAsia"/>
          <w:smallCaps w:val="0"/>
          <w:noProof/>
          <w:kern w:val="2"/>
          <w:sz w:val="24"/>
          <w:szCs w:val="24"/>
          <w:lang w:val="fr-FR" w:eastAsia="fr-FR"/>
          <w14:ligatures w14:val="standardContextual"/>
        </w:rPr>
      </w:pPr>
      <w:hyperlink w:anchor="_Toc226579989" w:history="1">
        <w:r w:rsidRPr="000D5A8E">
          <w:rPr>
            <w:rStyle w:val="Lienhypertexte"/>
            <w:noProof/>
            <w:lang w:val="en-GB"/>
          </w:rPr>
          <w:t>5.4 Governance Frictions and Agreement Limitations</w:t>
        </w:r>
        <w:r>
          <w:rPr>
            <w:noProof/>
            <w:webHidden/>
          </w:rPr>
          <w:tab/>
        </w:r>
        <w:r>
          <w:rPr>
            <w:noProof/>
            <w:webHidden/>
          </w:rPr>
          <w:fldChar w:fldCharType="begin"/>
        </w:r>
        <w:r>
          <w:rPr>
            <w:noProof/>
            <w:webHidden/>
          </w:rPr>
          <w:instrText xml:space="preserve"> PAGEREF _Toc226579989 \h </w:instrText>
        </w:r>
        <w:r>
          <w:rPr>
            <w:noProof/>
            <w:webHidden/>
          </w:rPr>
        </w:r>
        <w:r>
          <w:rPr>
            <w:noProof/>
            <w:webHidden/>
          </w:rPr>
          <w:fldChar w:fldCharType="separate"/>
        </w:r>
        <w:r>
          <w:rPr>
            <w:noProof/>
            <w:webHidden/>
          </w:rPr>
          <w:t>11</w:t>
        </w:r>
        <w:r>
          <w:rPr>
            <w:noProof/>
            <w:webHidden/>
          </w:rPr>
          <w:fldChar w:fldCharType="end"/>
        </w:r>
      </w:hyperlink>
    </w:p>
    <w:p w14:paraId="020CD528" w14:textId="72D3A959" w:rsidR="007A294C" w:rsidRDefault="007A294C">
      <w:pPr>
        <w:pStyle w:val="TM2"/>
        <w:tabs>
          <w:tab w:val="right" w:leader="dot" w:pos="9062"/>
        </w:tabs>
        <w:rPr>
          <w:rFonts w:eastAsiaTheme="minorEastAsia"/>
          <w:smallCaps w:val="0"/>
          <w:noProof/>
          <w:kern w:val="2"/>
          <w:sz w:val="24"/>
          <w:szCs w:val="24"/>
          <w:lang w:val="fr-FR" w:eastAsia="fr-FR"/>
          <w14:ligatures w14:val="standardContextual"/>
        </w:rPr>
      </w:pPr>
      <w:hyperlink w:anchor="_Toc226579990" w:history="1">
        <w:r w:rsidRPr="000D5A8E">
          <w:rPr>
            <w:rStyle w:val="Lienhypertexte"/>
            <w:noProof/>
            <w:lang w:val="en-GB"/>
          </w:rPr>
          <w:t>5.5 Conclusion: Evidence-Based Justification for Amendments</w:t>
        </w:r>
        <w:r>
          <w:rPr>
            <w:noProof/>
            <w:webHidden/>
          </w:rPr>
          <w:tab/>
        </w:r>
        <w:r>
          <w:rPr>
            <w:noProof/>
            <w:webHidden/>
          </w:rPr>
          <w:fldChar w:fldCharType="begin"/>
        </w:r>
        <w:r>
          <w:rPr>
            <w:noProof/>
            <w:webHidden/>
          </w:rPr>
          <w:instrText xml:space="preserve"> PAGEREF _Toc226579990 \h </w:instrText>
        </w:r>
        <w:r>
          <w:rPr>
            <w:noProof/>
            <w:webHidden/>
          </w:rPr>
        </w:r>
        <w:r>
          <w:rPr>
            <w:noProof/>
            <w:webHidden/>
          </w:rPr>
          <w:fldChar w:fldCharType="separate"/>
        </w:r>
        <w:r>
          <w:rPr>
            <w:noProof/>
            <w:webHidden/>
          </w:rPr>
          <w:t>12</w:t>
        </w:r>
        <w:r>
          <w:rPr>
            <w:noProof/>
            <w:webHidden/>
          </w:rPr>
          <w:fldChar w:fldCharType="end"/>
        </w:r>
      </w:hyperlink>
    </w:p>
    <w:p w14:paraId="4159FFE7" w14:textId="5F54498D" w:rsidR="007A294C" w:rsidRDefault="007A294C">
      <w:pPr>
        <w:pStyle w:val="TM1"/>
        <w:tabs>
          <w:tab w:val="right" w:leader="dot" w:pos="9062"/>
        </w:tabs>
        <w:rPr>
          <w:rFonts w:eastAsiaTheme="minorEastAsia"/>
          <w:b w:val="0"/>
          <w:bCs w:val="0"/>
          <w:caps w:val="0"/>
          <w:noProof/>
          <w:kern w:val="2"/>
          <w:sz w:val="24"/>
          <w:szCs w:val="24"/>
          <w:lang w:val="fr-FR" w:eastAsia="fr-FR"/>
          <w14:ligatures w14:val="standardContextual"/>
        </w:rPr>
      </w:pPr>
      <w:hyperlink w:anchor="_Toc226579991" w:history="1">
        <w:r w:rsidRPr="000D5A8E">
          <w:rPr>
            <w:rStyle w:val="Lienhypertexte"/>
            <w:noProof/>
            <w:lang w:val="en-GB"/>
          </w:rPr>
          <w:t>6. Objectives for an Agreement Addendum/Protocol</w:t>
        </w:r>
        <w:r>
          <w:rPr>
            <w:noProof/>
            <w:webHidden/>
          </w:rPr>
          <w:tab/>
        </w:r>
        <w:r>
          <w:rPr>
            <w:noProof/>
            <w:webHidden/>
          </w:rPr>
          <w:fldChar w:fldCharType="begin"/>
        </w:r>
        <w:r>
          <w:rPr>
            <w:noProof/>
            <w:webHidden/>
          </w:rPr>
          <w:instrText xml:space="preserve"> PAGEREF _Toc226579991 \h </w:instrText>
        </w:r>
        <w:r>
          <w:rPr>
            <w:noProof/>
            <w:webHidden/>
          </w:rPr>
        </w:r>
        <w:r>
          <w:rPr>
            <w:noProof/>
            <w:webHidden/>
          </w:rPr>
          <w:fldChar w:fldCharType="separate"/>
        </w:r>
        <w:r>
          <w:rPr>
            <w:noProof/>
            <w:webHidden/>
          </w:rPr>
          <w:t>12</w:t>
        </w:r>
        <w:r>
          <w:rPr>
            <w:noProof/>
            <w:webHidden/>
          </w:rPr>
          <w:fldChar w:fldCharType="end"/>
        </w:r>
      </w:hyperlink>
    </w:p>
    <w:p w14:paraId="34BB0661" w14:textId="0BE6D58C" w:rsidR="007A294C" w:rsidRDefault="007A294C">
      <w:pPr>
        <w:pStyle w:val="TM1"/>
        <w:tabs>
          <w:tab w:val="right" w:leader="dot" w:pos="9062"/>
        </w:tabs>
        <w:rPr>
          <w:rFonts w:eastAsiaTheme="minorEastAsia"/>
          <w:b w:val="0"/>
          <w:bCs w:val="0"/>
          <w:caps w:val="0"/>
          <w:noProof/>
          <w:kern w:val="2"/>
          <w:sz w:val="24"/>
          <w:szCs w:val="24"/>
          <w:lang w:val="fr-FR" w:eastAsia="fr-FR"/>
          <w14:ligatures w14:val="standardContextual"/>
        </w:rPr>
      </w:pPr>
      <w:hyperlink w:anchor="_Toc226579992" w:history="1">
        <w:r w:rsidRPr="000D5A8E">
          <w:rPr>
            <w:rStyle w:val="Lienhypertexte"/>
            <w:noProof/>
            <w:lang w:val="en-GB"/>
          </w:rPr>
          <w:t>7. Proposed Legal Amendments and Key Action Points</w:t>
        </w:r>
        <w:r>
          <w:rPr>
            <w:noProof/>
            <w:webHidden/>
          </w:rPr>
          <w:tab/>
        </w:r>
        <w:r>
          <w:rPr>
            <w:noProof/>
            <w:webHidden/>
          </w:rPr>
          <w:fldChar w:fldCharType="begin"/>
        </w:r>
        <w:r>
          <w:rPr>
            <w:noProof/>
            <w:webHidden/>
          </w:rPr>
          <w:instrText xml:space="preserve"> PAGEREF _Toc226579992 \h </w:instrText>
        </w:r>
        <w:r>
          <w:rPr>
            <w:noProof/>
            <w:webHidden/>
          </w:rPr>
        </w:r>
        <w:r>
          <w:rPr>
            <w:noProof/>
            <w:webHidden/>
          </w:rPr>
          <w:fldChar w:fldCharType="separate"/>
        </w:r>
        <w:r>
          <w:rPr>
            <w:noProof/>
            <w:webHidden/>
          </w:rPr>
          <w:t>14</w:t>
        </w:r>
        <w:r>
          <w:rPr>
            <w:noProof/>
            <w:webHidden/>
          </w:rPr>
          <w:fldChar w:fldCharType="end"/>
        </w:r>
      </w:hyperlink>
    </w:p>
    <w:p w14:paraId="05F09055" w14:textId="26D2EEF5" w:rsidR="007A294C" w:rsidRDefault="007A294C">
      <w:pPr>
        <w:pStyle w:val="TM1"/>
        <w:tabs>
          <w:tab w:val="right" w:leader="dot" w:pos="9062"/>
        </w:tabs>
        <w:rPr>
          <w:rFonts w:eastAsiaTheme="minorEastAsia"/>
          <w:b w:val="0"/>
          <w:bCs w:val="0"/>
          <w:caps w:val="0"/>
          <w:noProof/>
          <w:kern w:val="2"/>
          <w:sz w:val="24"/>
          <w:szCs w:val="24"/>
          <w:lang w:val="fr-FR" w:eastAsia="fr-FR"/>
          <w14:ligatures w14:val="standardContextual"/>
        </w:rPr>
      </w:pPr>
      <w:hyperlink w:anchor="_Toc226579993" w:history="1">
        <w:r w:rsidRPr="000D5A8E">
          <w:rPr>
            <w:rStyle w:val="Lienhypertexte"/>
            <w:noProof/>
            <w:lang w:val="en-GB"/>
          </w:rPr>
          <w:t>8. Implementation Roadmap (Phased, 36 months)</w:t>
        </w:r>
        <w:r>
          <w:rPr>
            <w:noProof/>
            <w:webHidden/>
          </w:rPr>
          <w:tab/>
        </w:r>
        <w:r>
          <w:rPr>
            <w:noProof/>
            <w:webHidden/>
          </w:rPr>
          <w:fldChar w:fldCharType="begin"/>
        </w:r>
        <w:r>
          <w:rPr>
            <w:noProof/>
            <w:webHidden/>
          </w:rPr>
          <w:instrText xml:space="preserve"> PAGEREF _Toc226579993 \h </w:instrText>
        </w:r>
        <w:r>
          <w:rPr>
            <w:noProof/>
            <w:webHidden/>
          </w:rPr>
        </w:r>
        <w:r>
          <w:rPr>
            <w:noProof/>
            <w:webHidden/>
          </w:rPr>
          <w:fldChar w:fldCharType="separate"/>
        </w:r>
        <w:r>
          <w:rPr>
            <w:noProof/>
            <w:webHidden/>
          </w:rPr>
          <w:t>15</w:t>
        </w:r>
        <w:r>
          <w:rPr>
            <w:noProof/>
            <w:webHidden/>
          </w:rPr>
          <w:fldChar w:fldCharType="end"/>
        </w:r>
      </w:hyperlink>
    </w:p>
    <w:p w14:paraId="78DDBF3A" w14:textId="1A9A2F6B" w:rsidR="007A294C" w:rsidRDefault="007A294C">
      <w:pPr>
        <w:pStyle w:val="TM1"/>
        <w:tabs>
          <w:tab w:val="right" w:leader="dot" w:pos="9062"/>
        </w:tabs>
        <w:rPr>
          <w:rFonts w:eastAsiaTheme="minorEastAsia"/>
          <w:b w:val="0"/>
          <w:bCs w:val="0"/>
          <w:caps w:val="0"/>
          <w:noProof/>
          <w:kern w:val="2"/>
          <w:sz w:val="24"/>
          <w:szCs w:val="24"/>
          <w:lang w:val="fr-FR" w:eastAsia="fr-FR"/>
          <w14:ligatures w14:val="standardContextual"/>
        </w:rPr>
      </w:pPr>
      <w:hyperlink w:anchor="_Toc226579994" w:history="1">
        <w:r w:rsidRPr="000D5A8E">
          <w:rPr>
            <w:rStyle w:val="Lienhypertexte"/>
            <w:noProof/>
            <w:lang w:val="en-GB"/>
          </w:rPr>
          <w:t>9. Risks and Mitigation Measures</w:t>
        </w:r>
        <w:r>
          <w:rPr>
            <w:noProof/>
            <w:webHidden/>
          </w:rPr>
          <w:tab/>
        </w:r>
        <w:r>
          <w:rPr>
            <w:noProof/>
            <w:webHidden/>
          </w:rPr>
          <w:fldChar w:fldCharType="begin"/>
        </w:r>
        <w:r>
          <w:rPr>
            <w:noProof/>
            <w:webHidden/>
          </w:rPr>
          <w:instrText xml:space="preserve"> PAGEREF _Toc226579994 \h </w:instrText>
        </w:r>
        <w:r>
          <w:rPr>
            <w:noProof/>
            <w:webHidden/>
          </w:rPr>
        </w:r>
        <w:r>
          <w:rPr>
            <w:noProof/>
            <w:webHidden/>
          </w:rPr>
          <w:fldChar w:fldCharType="separate"/>
        </w:r>
        <w:r>
          <w:rPr>
            <w:noProof/>
            <w:webHidden/>
          </w:rPr>
          <w:t>16</w:t>
        </w:r>
        <w:r>
          <w:rPr>
            <w:noProof/>
            <w:webHidden/>
          </w:rPr>
          <w:fldChar w:fldCharType="end"/>
        </w:r>
      </w:hyperlink>
    </w:p>
    <w:p w14:paraId="6DFE16AB" w14:textId="00B8C092" w:rsidR="007A294C" w:rsidRDefault="007A294C">
      <w:pPr>
        <w:pStyle w:val="TM1"/>
        <w:tabs>
          <w:tab w:val="right" w:leader="dot" w:pos="9062"/>
        </w:tabs>
        <w:rPr>
          <w:rFonts w:eastAsiaTheme="minorEastAsia"/>
          <w:b w:val="0"/>
          <w:bCs w:val="0"/>
          <w:caps w:val="0"/>
          <w:noProof/>
          <w:kern w:val="2"/>
          <w:sz w:val="24"/>
          <w:szCs w:val="24"/>
          <w:lang w:val="fr-FR" w:eastAsia="fr-FR"/>
          <w14:ligatures w14:val="standardContextual"/>
        </w:rPr>
      </w:pPr>
      <w:hyperlink w:anchor="_Toc226579995" w:history="1">
        <w:r w:rsidRPr="000D5A8E">
          <w:rPr>
            <w:rStyle w:val="Lienhypertexte"/>
            <w:noProof/>
            <w:lang w:val="en-GB"/>
          </w:rPr>
          <w:t>10. Conclusions and Next Steps</w:t>
        </w:r>
        <w:r>
          <w:rPr>
            <w:noProof/>
            <w:webHidden/>
          </w:rPr>
          <w:tab/>
        </w:r>
        <w:r>
          <w:rPr>
            <w:noProof/>
            <w:webHidden/>
          </w:rPr>
          <w:fldChar w:fldCharType="begin"/>
        </w:r>
        <w:r>
          <w:rPr>
            <w:noProof/>
            <w:webHidden/>
          </w:rPr>
          <w:instrText xml:space="preserve"> PAGEREF _Toc226579995 \h </w:instrText>
        </w:r>
        <w:r>
          <w:rPr>
            <w:noProof/>
            <w:webHidden/>
          </w:rPr>
        </w:r>
        <w:r>
          <w:rPr>
            <w:noProof/>
            <w:webHidden/>
          </w:rPr>
          <w:fldChar w:fldCharType="separate"/>
        </w:r>
        <w:r>
          <w:rPr>
            <w:noProof/>
            <w:webHidden/>
          </w:rPr>
          <w:t>17</w:t>
        </w:r>
        <w:r>
          <w:rPr>
            <w:noProof/>
            <w:webHidden/>
          </w:rPr>
          <w:fldChar w:fldCharType="end"/>
        </w:r>
      </w:hyperlink>
    </w:p>
    <w:p w14:paraId="4C32B165" w14:textId="47B88F0A" w:rsidR="00EA6A6C" w:rsidRDefault="007A294C" w:rsidP="00EA6A6C">
      <w:pPr>
        <w:jc w:val="both"/>
        <w:rPr>
          <w:rFonts w:ascii="Cambria" w:hAnsi="Cambria" w:cs="Calibri"/>
          <w:sz w:val="28"/>
          <w:szCs w:val="28"/>
          <w:lang w:val="en-GB"/>
        </w:rPr>
        <w:sectPr w:rsidR="00EA6A6C">
          <w:headerReference w:type="default" r:id="rId13"/>
          <w:footerReference w:type="default" r:id="rId14"/>
          <w:pgSz w:w="11906" w:h="16838"/>
          <w:pgMar w:top="1417" w:right="1417" w:bottom="1417" w:left="1417" w:header="708" w:footer="708" w:gutter="0"/>
          <w:cols w:space="708"/>
          <w:docGrid w:linePitch="360"/>
        </w:sectPr>
      </w:pPr>
      <w:r>
        <w:rPr>
          <w:rFonts w:ascii="Cambria" w:hAnsi="Cambria" w:cs="Calibri"/>
          <w:b/>
          <w:bCs/>
          <w:caps/>
          <w:sz w:val="28"/>
          <w:szCs w:val="28"/>
          <w:lang w:val="en-GB"/>
        </w:rPr>
        <w:fldChar w:fldCharType="end"/>
      </w:r>
    </w:p>
    <w:p w14:paraId="18CFE53C" w14:textId="1FEF6F9D" w:rsidR="00BB73CA" w:rsidRDefault="00BB73CA" w:rsidP="00BB73CA">
      <w:pPr>
        <w:rPr>
          <w:lang w:val="en-GB"/>
        </w:rPr>
      </w:pPr>
      <w:bookmarkStart w:id="0" w:name="_Toc226579969"/>
    </w:p>
    <w:p w14:paraId="2543485E" w14:textId="77777777" w:rsidR="00BB73CA" w:rsidRPr="004D584D" w:rsidRDefault="00BB73CA" w:rsidP="00BB73CA">
      <w:pPr>
        <w:rPr>
          <w:rFonts w:ascii="Cambria" w:hAnsi="Cambria"/>
          <w:b/>
          <w:bCs/>
        </w:rPr>
      </w:pPr>
      <w:r w:rsidRPr="004D584D">
        <w:rPr>
          <w:rFonts w:ascii="Cambria" w:hAnsi="Cambria"/>
          <w:b/>
          <w:bCs/>
        </w:rPr>
        <w:t>PREPARED BY DIKTAS II PROJECT TEAM</w:t>
      </w:r>
    </w:p>
    <w:p w14:paraId="213C1405" w14:textId="77777777" w:rsidR="00BB73CA" w:rsidRPr="004D584D" w:rsidRDefault="00BB73CA" w:rsidP="00BB73CA">
      <w:pPr>
        <w:rPr>
          <w:rFonts w:ascii="Cambria" w:hAnsi="Cambria"/>
        </w:rPr>
      </w:pPr>
      <w:r>
        <w:rPr>
          <w:rFonts w:ascii="Cambria" w:hAnsi="Cambria"/>
        </w:rPr>
        <w:t>Raya Marina Stephan</w:t>
      </w:r>
    </w:p>
    <w:p w14:paraId="18D8BD70" w14:textId="77777777" w:rsidR="00BB73CA" w:rsidRPr="004D584D" w:rsidRDefault="00BB73CA" w:rsidP="00BB73CA">
      <w:pPr>
        <w:rPr>
          <w:rFonts w:ascii="Cambria" w:hAnsi="Cambria"/>
        </w:rPr>
      </w:pPr>
      <w:r>
        <w:rPr>
          <w:rFonts w:ascii="Cambria" w:hAnsi="Cambria"/>
        </w:rPr>
        <w:t>Neda Dević</w:t>
      </w:r>
    </w:p>
    <w:p w14:paraId="5E560679" w14:textId="0610C468" w:rsidR="00BB73CA" w:rsidRDefault="00BB73CA" w:rsidP="00BB73CA">
      <w:pPr>
        <w:rPr>
          <w:lang w:val="en-GB"/>
        </w:rPr>
      </w:pPr>
      <w:r>
        <w:rPr>
          <w:lang w:val="en-GB"/>
        </w:rPr>
        <w:t>Halit Kamberi</w:t>
      </w:r>
    </w:p>
    <w:p w14:paraId="3F999EE5" w14:textId="77777777" w:rsidR="00BB73CA" w:rsidRDefault="00BB73CA">
      <w:pPr>
        <w:spacing w:line="278" w:lineRule="auto"/>
        <w:rPr>
          <w:rFonts w:asciiTheme="majorHAnsi" w:eastAsiaTheme="majorEastAsia" w:hAnsiTheme="majorHAnsi" w:cstheme="majorBidi"/>
          <w:color w:val="0F4761" w:themeColor="accent1" w:themeShade="BF"/>
          <w:sz w:val="40"/>
          <w:szCs w:val="40"/>
          <w:lang w:val="en-GB"/>
        </w:rPr>
      </w:pPr>
      <w:r>
        <w:rPr>
          <w:lang w:val="en-GB"/>
        </w:rPr>
        <w:br w:type="page"/>
      </w:r>
    </w:p>
    <w:p w14:paraId="200931B5" w14:textId="7FA284DC" w:rsidR="006112D9" w:rsidRPr="003C5E53" w:rsidRDefault="006112D9" w:rsidP="006D3375">
      <w:pPr>
        <w:pStyle w:val="Titre1"/>
        <w:rPr>
          <w:lang w:val="en-GB"/>
        </w:rPr>
      </w:pPr>
      <w:r w:rsidRPr="003C5E53">
        <w:rPr>
          <w:lang w:val="en-GB"/>
        </w:rPr>
        <w:lastRenderedPageBreak/>
        <w:t>1. Introduction</w:t>
      </w:r>
      <w:bookmarkEnd w:id="0"/>
      <w:r w:rsidRPr="003C5E53">
        <w:rPr>
          <w:lang w:val="en-GB"/>
        </w:rPr>
        <w:t xml:space="preserve"> </w:t>
      </w:r>
    </w:p>
    <w:p w14:paraId="1BC4A33B" w14:textId="77777777" w:rsidR="006112D9" w:rsidRPr="003C5E53" w:rsidRDefault="006112D9" w:rsidP="006112D9">
      <w:pPr>
        <w:jc w:val="both"/>
        <w:rPr>
          <w:rFonts w:ascii="Cambria" w:hAnsi="Cambria" w:cs="Calibri"/>
          <w:sz w:val="24"/>
          <w:szCs w:val="24"/>
          <w:lang w:val="en-US"/>
        </w:rPr>
      </w:pPr>
      <w:r w:rsidRPr="003C5E53">
        <w:rPr>
          <w:rFonts w:ascii="Cambria" w:hAnsi="Cambria" w:cs="Calibri"/>
          <w:sz w:val="24"/>
          <w:szCs w:val="24"/>
          <w:lang w:val="en-US"/>
        </w:rPr>
        <w:t xml:space="preserve">The 2018 Framework Agreement between Montenegro and the Council of Ministers of the Republic of Albania on Mutual Relations in Transboundary Water Resources Management establishes a general framework for cooperation in the management of shared water resources. </w:t>
      </w:r>
    </w:p>
    <w:p w14:paraId="61B6C3EE" w14:textId="77777777" w:rsidR="006112D9" w:rsidRPr="003C5E53" w:rsidRDefault="006112D9" w:rsidP="006112D9">
      <w:pPr>
        <w:jc w:val="both"/>
        <w:rPr>
          <w:rFonts w:ascii="Cambria" w:hAnsi="Cambria" w:cs="Calibri"/>
          <w:sz w:val="24"/>
          <w:szCs w:val="24"/>
          <w:lang w:val="en-US"/>
        </w:rPr>
      </w:pPr>
      <w:r w:rsidRPr="003C5E53">
        <w:rPr>
          <w:rFonts w:ascii="Cambria" w:hAnsi="Cambria" w:cs="Calibri"/>
          <w:sz w:val="24"/>
          <w:szCs w:val="24"/>
          <w:lang w:val="en-US"/>
        </w:rPr>
        <w:t>It reflects key principles of international water law, including equitable and reasonable use, prevention of transboundary harm, and institutional cooperation through a Joint Commission.</w:t>
      </w:r>
    </w:p>
    <w:p w14:paraId="3B8775D3" w14:textId="77777777" w:rsidR="006112D9" w:rsidRPr="003C5E53" w:rsidRDefault="006112D9" w:rsidP="006112D9">
      <w:pPr>
        <w:jc w:val="both"/>
        <w:rPr>
          <w:rFonts w:ascii="Cambria" w:hAnsi="Cambria" w:cs="Calibri"/>
          <w:sz w:val="24"/>
          <w:szCs w:val="24"/>
          <w:lang w:val="en-US"/>
        </w:rPr>
      </w:pPr>
      <w:r w:rsidRPr="003C5E53">
        <w:rPr>
          <w:rFonts w:ascii="Cambria" w:hAnsi="Cambria" w:cs="Calibri"/>
          <w:sz w:val="24"/>
          <w:szCs w:val="24"/>
          <w:lang w:val="en-US"/>
        </w:rPr>
        <w:t xml:space="preserve">The </w:t>
      </w:r>
      <w:proofErr w:type="spellStart"/>
      <w:r w:rsidRPr="003C5E53">
        <w:rPr>
          <w:rFonts w:ascii="Cambria" w:hAnsi="Cambria" w:cs="Calibri"/>
          <w:sz w:val="24"/>
          <w:szCs w:val="24"/>
          <w:lang w:val="en-US"/>
        </w:rPr>
        <w:t>Cemi</w:t>
      </w:r>
      <w:proofErr w:type="spellEnd"/>
      <w:r w:rsidRPr="003C5E53">
        <w:rPr>
          <w:rFonts w:ascii="Cambria" w:hAnsi="Cambria" w:cs="Calibri"/>
          <w:sz w:val="24"/>
          <w:szCs w:val="24"/>
          <w:lang w:val="en-US"/>
        </w:rPr>
        <w:t>/</w:t>
      </w:r>
      <w:proofErr w:type="spellStart"/>
      <w:r w:rsidRPr="003C5E53">
        <w:rPr>
          <w:rFonts w:ascii="Cambria" w:hAnsi="Cambria" w:cs="Calibri"/>
          <w:sz w:val="24"/>
          <w:szCs w:val="24"/>
          <w:lang w:val="en-US"/>
        </w:rPr>
        <w:t>Cijevna</w:t>
      </w:r>
      <w:proofErr w:type="spellEnd"/>
      <w:r w:rsidRPr="003C5E53">
        <w:rPr>
          <w:rFonts w:ascii="Cambria" w:hAnsi="Cambria" w:cs="Calibri"/>
          <w:sz w:val="24"/>
          <w:szCs w:val="24"/>
          <w:lang w:val="en-US"/>
        </w:rPr>
        <w:t xml:space="preserve"> basin forms part of the Dinaric karst system, characterized by rapid infiltration, limited natural filtration capacity, and strong surface-groundwater connectivity. Hydrogeological linkages between recharge areas and abstraction zones-particularly in relation to the Zeta Plain aquifer supplying Podgorica and surrounding municipalities (Zeta and Tuzi) - demonstrate that groundwater management challenges are transboundary in nature.</w:t>
      </w:r>
    </w:p>
    <w:p w14:paraId="56BFFCDD" w14:textId="77777777" w:rsidR="006112D9" w:rsidRPr="003C5E53" w:rsidRDefault="006112D9" w:rsidP="006112D9">
      <w:pPr>
        <w:jc w:val="both"/>
        <w:rPr>
          <w:rFonts w:ascii="Cambria" w:hAnsi="Cambria" w:cs="Calibri"/>
          <w:sz w:val="24"/>
          <w:szCs w:val="24"/>
          <w:lang w:val="en-US"/>
        </w:rPr>
      </w:pPr>
      <w:r w:rsidRPr="003C5E53">
        <w:rPr>
          <w:rFonts w:ascii="Cambria" w:hAnsi="Cambria" w:cs="Calibri"/>
          <w:sz w:val="24"/>
          <w:szCs w:val="24"/>
          <w:lang w:val="en-US"/>
        </w:rPr>
        <w:t>The BGGDA findings highlight several governance deficits: lack of a jointly validated conceptual hydrogeological model; absence of harmonized monitoring networks and QA/QC procedures; incomplete identification and protection of recharge zones; limited interoperability of groundwater data; and insufficient institutional coordination at operational level. Similar governance frictions have been observed in other Dinaric karst TBAs, reinforcing the structural nature of the problem.</w:t>
      </w:r>
    </w:p>
    <w:p w14:paraId="1E5482A1" w14:textId="001D004E" w:rsidR="006112D9" w:rsidRPr="003C5E53" w:rsidRDefault="006112D9" w:rsidP="006112D9">
      <w:pPr>
        <w:jc w:val="both"/>
        <w:rPr>
          <w:rFonts w:ascii="Cambria" w:hAnsi="Cambria" w:cs="Calibri"/>
          <w:sz w:val="24"/>
          <w:szCs w:val="24"/>
          <w:lang w:val="en-US"/>
        </w:rPr>
      </w:pPr>
      <w:r w:rsidRPr="003C5E53">
        <w:rPr>
          <w:rFonts w:ascii="Cambria" w:hAnsi="Cambria" w:cs="Calibri"/>
          <w:sz w:val="24"/>
          <w:szCs w:val="24"/>
          <w:lang w:val="en-US"/>
        </w:rPr>
        <w:t xml:space="preserve">In light of these findings, there is a justified need to amend or supplement the existing bilateral Agreement in order to explicitly recognize shared groundwater bodies and GDEs, establish joint monitoring and data exchange mechanisms, </w:t>
      </w:r>
      <w:r w:rsidR="006D3375">
        <w:rPr>
          <w:rFonts w:ascii="Cambria" w:hAnsi="Cambria" w:cs="Calibri"/>
          <w:sz w:val="24"/>
          <w:szCs w:val="24"/>
          <w:lang w:val="en-US"/>
        </w:rPr>
        <w:t xml:space="preserve">coordinate </w:t>
      </w:r>
      <w:r w:rsidRPr="003C5E53">
        <w:rPr>
          <w:rFonts w:ascii="Cambria" w:hAnsi="Cambria" w:cs="Calibri"/>
          <w:sz w:val="24"/>
          <w:szCs w:val="24"/>
          <w:lang w:val="en-US"/>
        </w:rPr>
        <w:t xml:space="preserve">cross-border </w:t>
      </w:r>
      <w:r w:rsidR="006D3375">
        <w:rPr>
          <w:rFonts w:ascii="Cambria" w:hAnsi="Cambria" w:cs="Calibri"/>
          <w:sz w:val="24"/>
          <w:szCs w:val="24"/>
          <w:lang w:val="en-US"/>
        </w:rPr>
        <w:t>sanitary protection zones (</w:t>
      </w:r>
      <w:r w:rsidRPr="003C5E53">
        <w:rPr>
          <w:rFonts w:ascii="Cambria" w:hAnsi="Cambria" w:cs="Calibri"/>
          <w:sz w:val="24"/>
          <w:szCs w:val="24"/>
          <w:lang w:val="en-US"/>
        </w:rPr>
        <w:t>SPZ</w:t>
      </w:r>
      <w:r w:rsidR="006D3375">
        <w:rPr>
          <w:rFonts w:ascii="Cambria" w:hAnsi="Cambria" w:cs="Calibri"/>
          <w:sz w:val="24"/>
          <w:szCs w:val="24"/>
          <w:lang w:val="en-US"/>
        </w:rPr>
        <w:t>)</w:t>
      </w:r>
      <w:r w:rsidRPr="003C5E53">
        <w:rPr>
          <w:rFonts w:ascii="Cambria" w:hAnsi="Cambria" w:cs="Calibri"/>
          <w:sz w:val="24"/>
          <w:szCs w:val="24"/>
          <w:lang w:val="en-US"/>
        </w:rPr>
        <w:t xml:space="preserve"> principles in karst areas, and institutionalize groundwater-specific cooperation under the Joint Commission framework</w:t>
      </w:r>
      <w:r w:rsidR="009331A6">
        <w:rPr>
          <w:rFonts w:ascii="Cambria" w:hAnsi="Cambria" w:cs="Calibri"/>
          <w:sz w:val="24"/>
          <w:szCs w:val="24"/>
          <w:lang w:val="en-US"/>
        </w:rPr>
        <w:t>. The development of this cooperation between Albania and Montenegro would take place</w:t>
      </w:r>
      <w:r w:rsidR="006D3375">
        <w:rPr>
          <w:rFonts w:ascii="Cambria" w:hAnsi="Cambria" w:cs="Calibri"/>
          <w:sz w:val="24"/>
          <w:szCs w:val="24"/>
          <w:lang w:val="en-US"/>
        </w:rPr>
        <w:t xml:space="preserve"> in coordination with the Consultation and Information Exchange body, as </w:t>
      </w:r>
      <w:r w:rsidR="009331A6">
        <w:rPr>
          <w:rFonts w:ascii="Cambria" w:hAnsi="Cambria" w:cs="Calibri"/>
          <w:sz w:val="24"/>
          <w:szCs w:val="24"/>
          <w:lang w:val="en-US"/>
        </w:rPr>
        <w:t xml:space="preserve">proposed in </w:t>
      </w:r>
      <w:proofErr w:type="gramStart"/>
      <w:r w:rsidR="009331A6">
        <w:rPr>
          <w:rFonts w:ascii="Cambria" w:hAnsi="Cambria" w:cs="Calibri"/>
          <w:sz w:val="24"/>
          <w:szCs w:val="24"/>
          <w:lang w:val="en-US"/>
        </w:rPr>
        <w:t>the  Draft</w:t>
      </w:r>
      <w:proofErr w:type="gramEnd"/>
      <w:r w:rsidR="009331A6">
        <w:rPr>
          <w:rFonts w:ascii="Cambria" w:hAnsi="Cambria" w:cs="Calibri"/>
          <w:sz w:val="24"/>
          <w:szCs w:val="24"/>
          <w:lang w:val="en-US"/>
        </w:rPr>
        <w:t xml:space="preserve"> Multilateral Agreement. </w:t>
      </w:r>
    </w:p>
    <w:p w14:paraId="2B2413E3" w14:textId="1F16058F" w:rsidR="006112D9" w:rsidRPr="003C5E53" w:rsidRDefault="006112D9" w:rsidP="006112D9">
      <w:pPr>
        <w:jc w:val="both"/>
        <w:rPr>
          <w:rFonts w:ascii="Cambria" w:hAnsi="Cambria" w:cs="Calibri"/>
          <w:sz w:val="24"/>
          <w:szCs w:val="24"/>
          <w:lang w:val="en-US"/>
        </w:rPr>
      </w:pPr>
      <w:r w:rsidRPr="003C5E53">
        <w:rPr>
          <w:rFonts w:ascii="Cambria" w:hAnsi="Cambria" w:cs="Calibri"/>
          <w:sz w:val="24"/>
          <w:szCs w:val="24"/>
          <w:lang w:val="en-US"/>
        </w:rPr>
        <w:t>This paper provides a legal-technical foundation for amending</w:t>
      </w:r>
      <w:r w:rsidR="009331A6">
        <w:rPr>
          <w:rFonts w:ascii="Cambria" w:hAnsi="Cambria" w:cs="Calibri"/>
          <w:sz w:val="24"/>
          <w:szCs w:val="24"/>
          <w:lang w:val="en-US"/>
        </w:rPr>
        <w:t xml:space="preserve"> or supplementing</w:t>
      </w:r>
      <w:r w:rsidRPr="003C5E53">
        <w:rPr>
          <w:rFonts w:ascii="Cambria" w:hAnsi="Cambria" w:cs="Calibri"/>
          <w:sz w:val="24"/>
          <w:szCs w:val="24"/>
          <w:lang w:val="en-US"/>
        </w:rPr>
        <w:t xml:space="preserve"> the 2018 Agreement through a dedicated Addendum or Protocol focused on transboundary groundwater governance.</w:t>
      </w:r>
    </w:p>
    <w:p w14:paraId="221BA430" w14:textId="77777777" w:rsidR="006112D9" w:rsidRDefault="006112D9" w:rsidP="006112D9">
      <w:pPr>
        <w:jc w:val="both"/>
        <w:rPr>
          <w:rFonts w:ascii="Cambria" w:hAnsi="Cambria" w:cs="Calibri"/>
          <w:sz w:val="24"/>
          <w:szCs w:val="24"/>
          <w:lang w:val="en-US"/>
        </w:rPr>
      </w:pPr>
    </w:p>
    <w:p w14:paraId="2AAF4A86" w14:textId="77777777" w:rsidR="00AB0ADB" w:rsidRDefault="00AB0ADB" w:rsidP="006112D9">
      <w:pPr>
        <w:jc w:val="both"/>
        <w:rPr>
          <w:rFonts w:ascii="Cambria" w:hAnsi="Cambria" w:cs="Calibri"/>
          <w:sz w:val="24"/>
          <w:szCs w:val="24"/>
          <w:lang w:val="en-US"/>
        </w:rPr>
      </w:pPr>
    </w:p>
    <w:p w14:paraId="78F9BAAA" w14:textId="77777777" w:rsidR="00AB0ADB" w:rsidRDefault="00AB0ADB" w:rsidP="006112D9">
      <w:pPr>
        <w:jc w:val="both"/>
        <w:rPr>
          <w:rFonts w:ascii="Cambria" w:hAnsi="Cambria" w:cs="Calibri"/>
          <w:sz w:val="24"/>
          <w:szCs w:val="24"/>
          <w:lang w:val="en-US"/>
        </w:rPr>
      </w:pPr>
    </w:p>
    <w:p w14:paraId="4B4AD35C" w14:textId="77777777" w:rsidR="00AB0ADB" w:rsidRDefault="00AB0ADB" w:rsidP="006112D9">
      <w:pPr>
        <w:jc w:val="both"/>
        <w:rPr>
          <w:rFonts w:ascii="Cambria" w:hAnsi="Cambria" w:cs="Calibri"/>
          <w:sz w:val="24"/>
          <w:szCs w:val="24"/>
          <w:lang w:val="en-US"/>
        </w:rPr>
      </w:pPr>
    </w:p>
    <w:p w14:paraId="0FE97850" w14:textId="77777777" w:rsidR="00AB0ADB" w:rsidRPr="003C5E53" w:rsidRDefault="00AB0ADB" w:rsidP="006112D9">
      <w:pPr>
        <w:jc w:val="both"/>
        <w:rPr>
          <w:rFonts w:ascii="Cambria" w:hAnsi="Cambria" w:cs="Calibri"/>
          <w:sz w:val="24"/>
          <w:szCs w:val="24"/>
          <w:lang w:val="en-US"/>
        </w:rPr>
      </w:pPr>
    </w:p>
    <w:p w14:paraId="19768C2C" w14:textId="77777777" w:rsidR="006112D9" w:rsidRPr="003C5E53" w:rsidRDefault="006112D9" w:rsidP="0000684E">
      <w:pPr>
        <w:pStyle w:val="Titre1"/>
        <w:rPr>
          <w:lang w:val="en-GB"/>
        </w:rPr>
      </w:pPr>
      <w:bookmarkStart w:id="1" w:name="_Toc226579970"/>
      <w:r w:rsidRPr="003C5E53">
        <w:rPr>
          <w:lang w:val="en-GB"/>
        </w:rPr>
        <w:lastRenderedPageBreak/>
        <w:t>2. Purpose, Scope and Methodology</w:t>
      </w:r>
      <w:bookmarkEnd w:id="1"/>
      <w:r w:rsidRPr="003C5E53">
        <w:rPr>
          <w:lang w:val="en-GB"/>
        </w:rPr>
        <w:t xml:space="preserve"> </w:t>
      </w:r>
    </w:p>
    <w:p w14:paraId="73EC3971" w14:textId="73A1630F" w:rsidR="006112D9" w:rsidRPr="003C5E53" w:rsidRDefault="006112D9" w:rsidP="006112D9">
      <w:pPr>
        <w:jc w:val="both"/>
        <w:rPr>
          <w:rFonts w:ascii="Cambria" w:hAnsi="Cambria" w:cs="Calibri"/>
          <w:sz w:val="24"/>
          <w:szCs w:val="24"/>
          <w:lang w:val="en-GB"/>
        </w:rPr>
      </w:pPr>
      <w:r w:rsidRPr="003C5E53">
        <w:rPr>
          <w:rFonts w:ascii="Cambria" w:hAnsi="Cambria" w:cs="Calibri"/>
          <w:sz w:val="24"/>
          <w:szCs w:val="24"/>
          <w:lang w:val="en-GB"/>
        </w:rPr>
        <w:t>The purpose of this paper is to assess the 2018 water cooperation agreement between Albania and Montenegro regarding its implementation to transboundary between the two countries, and to propose based on the findings an annex or addendum focusing specifically on transboundary aquifer</w:t>
      </w:r>
      <w:r w:rsidR="00A82DDA">
        <w:rPr>
          <w:rFonts w:ascii="Cambria" w:hAnsi="Cambria" w:cs="Calibri"/>
          <w:sz w:val="24"/>
          <w:szCs w:val="24"/>
          <w:lang w:val="en-GB"/>
        </w:rPr>
        <w:t>s</w:t>
      </w:r>
      <w:r w:rsidRPr="003C5E53">
        <w:rPr>
          <w:rFonts w:ascii="Cambria" w:hAnsi="Cambria" w:cs="Calibri"/>
          <w:sz w:val="24"/>
          <w:szCs w:val="24"/>
          <w:lang w:val="en-GB"/>
        </w:rPr>
        <w:t xml:space="preserve"> and related dependent ecosystems. </w:t>
      </w:r>
    </w:p>
    <w:p w14:paraId="48648C80" w14:textId="77777777" w:rsidR="006112D9" w:rsidRPr="003C5E53" w:rsidRDefault="006112D9" w:rsidP="006112D9">
      <w:pPr>
        <w:jc w:val="both"/>
        <w:rPr>
          <w:rFonts w:ascii="Cambria" w:hAnsi="Cambria" w:cs="Calibri"/>
          <w:sz w:val="24"/>
          <w:szCs w:val="24"/>
          <w:lang w:val="en-GB"/>
        </w:rPr>
      </w:pPr>
      <w:r w:rsidRPr="003C5E53">
        <w:rPr>
          <w:rFonts w:ascii="Cambria" w:hAnsi="Cambria" w:cs="Calibri"/>
          <w:sz w:val="24"/>
          <w:szCs w:val="24"/>
          <w:lang w:val="en-GB"/>
        </w:rPr>
        <w:t xml:space="preserve">The first step is to </w:t>
      </w:r>
      <w:proofErr w:type="spellStart"/>
      <w:r w:rsidRPr="003C5E53">
        <w:rPr>
          <w:rFonts w:ascii="Cambria" w:hAnsi="Cambria" w:cs="Calibri"/>
          <w:sz w:val="24"/>
          <w:szCs w:val="24"/>
          <w:lang w:val="en-GB"/>
        </w:rPr>
        <w:t>analyze</w:t>
      </w:r>
      <w:proofErr w:type="spellEnd"/>
      <w:r w:rsidRPr="003C5E53">
        <w:rPr>
          <w:rFonts w:ascii="Cambria" w:hAnsi="Cambria" w:cs="Calibri"/>
          <w:sz w:val="24"/>
          <w:szCs w:val="24"/>
          <w:lang w:val="en-GB"/>
        </w:rPr>
        <w:t xml:space="preserve"> the provisions and principles of the 2018 water cooperation and their possible application to the specific characteristics of transboundary </w:t>
      </w:r>
      <w:proofErr w:type="gramStart"/>
      <w:r w:rsidRPr="003C5E53">
        <w:rPr>
          <w:rFonts w:ascii="Cambria" w:hAnsi="Cambria" w:cs="Calibri"/>
          <w:sz w:val="24"/>
          <w:szCs w:val="24"/>
          <w:lang w:val="en-GB"/>
        </w:rPr>
        <w:t>aquifers, and</w:t>
      </w:r>
      <w:proofErr w:type="gramEnd"/>
      <w:r w:rsidRPr="003C5E53">
        <w:rPr>
          <w:rFonts w:ascii="Cambria" w:hAnsi="Cambria" w:cs="Calibri"/>
          <w:sz w:val="24"/>
          <w:szCs w:val="24"/>
          <w:lang w:val="en-GB"/>
        </w:rPr>
        <w:t xml:space="preserve"> highlighting the gaps. These findings will be compared with the conclusions from the Bilateral Groundwater Governance Diagnostic Analysis for the transboundary aquifer </w:t>
      </w:r>
      <w:proofErr w:type="spellStart"/>
      <w:r w:rsidRPr="003C5E53">
        <w:rPr>
          <w:rFonts w:ascii="Cambria" w:hAnsi="Cambria" w:cs="Calibri"/>
          <w:sz w:val="24"/>
          <w:szCs w:val="24"/>
          <w:lang w:val="en-GB"/>
        </w:rPr>
        <w:t>Cemi</w:t>
      </w:r>
      <w:proofErr w:type="spellEnd"/>
      <w:r w:rsidRPr="003C5E53">
        <w:rPr>
          <w:rFonts w:ascii="Cambria" w:hAnsi="Cambria" w:cs="Calibri"/>
          <w:sz w:val="24"/>
          <w:szCs w:val="24"/>
          <w:lang w:val="en-GB"/>
        </w:rPr>
        <w:t>/</w:t>
      </w:r>
      <w:proofErr w:type="spellStart"/>
      <w:r w:rsidRPr="003C5E53">
        <w:rPr>
          <w:rFonts w:ascii="Cambria" w:hAnsi="Cambria" w:cs="Calibri"/>
          <w:sz w:val="24"/>
          <w:szCs w:val="24"/>
          <w:lang w:val="en-GB"/>
        </w:rPr>
        <w:t>Cijevna</w:t>
      </w:r>
      <w:proofErr w:type="spellEnd"/>
      <w:r w:rsidRPr="003C5E53">
        <w:rPr>
          <w:rFonts w:ascii="Cambria" w:hAnsi="Cambria" w:cs="Calibri"/>
          <w:sz w:val="24"/>
          <w:szCs w:val="24"/>
          <w:lang w:val="en-GB"/>
        </w:rPr>
        <w:t xml:space="preserve">. This comparison will allow to identify more specific definitions, and measures which would need to apply to the case of </w:t>
      </w:r>
      <w:proofErr w:type="spellStart"/>
      <w:r w:rsidRPr="003C5E53">
        <w:rPr>
          <w:rFonts w:ascii="Cambria" w:hAnsi="Cambria" w:cs="Calibri"/>
          <w:sz w:val="24"/>
          <w:szCs w:val="24"/>
          <w:lang w:val="en-GB"/>
        </w:rPr>
        <w:t>Cemi</w:t>
      </w:r>
      <w:proofErr w:type="spellEnd"/>
      <w:r w:rsidRPr="003C5E53">
        <w:rPr>
          <w:rFonts w:ascii="Cambria" w:hAnsi="Cambria" w:cs="Calibri"/>
          <w:sz w:val="24"/>
          <w:szCs w:val="24"/>
          <w:lang w:val="en-GB"/>
        </w:rPr>
        <w:t>/</w:t>
      </w:r>
      <w:proofErr w:type="spellStart"/>
      <w:r w:rsidRPr="003C5E53">
        <w:rPr>
          <w:rFonts w:ascii="Cambria" w:hAnsi="Cambria" w:cs="Calibri"/>
          <w:sz w:val="24"/>
          <w:szCs w:val="24"/>
          <w:lang w:val="en-GB"/>
        </w:rPr>
        <w:t>Cijevna</w:t>
      </w:r>
      <w:proofErr w:type="spellEnd"/>
      <w:r w:rsidRPr="003C5E53">
        <w:rPr>
          <w:rFonts w:ascii="Cambria" w:hAnsi="Cambria" w:cs="Calibri"/>
          <w:sz w:val="24"/>
          <w:szCs w:val="24"/>
          <w:lang w:val="en-GB"/>
        </w:rPr>
        <w:t xml:space="preserve">. If the principles in the agreement apply generally to transboundary aquifers, the amendment needs to only include specific measures for translating these principles to practical application in the case of </w:t>
      </w:r>
      <w:proofErr w:type="spellStart"/>
      <w:r w:rsidRPr="003C5E53">
        <w:rPr>
          <w:rFonts w:ascii="Cambria" w:hAnsi="Cambria" w:cs="Calibri"/>
          <w:sz w:val="24"/>
          <w:szCs w:val="24"/>
          <w:lang w:val="en-GB"/>
        </w:rPr>
        <w:t>Cemi</w:t>
      </w:r>
      <w:proofErr w:type="spellEnd"/>
      <w:r w:rsidRPr="003C5E53">
        <w:rPr>
          <w:rFonts w:ascii="Cambria" w:hAnsi="Cambria" w:cs="Calibri"/>
          <w:sz w:val="24"/>
          <w:szCs w:val="24"/>
          <w:lang w:val="en-GB"/>
        </w:rPr>
        <w:t>/</w:t>
      </w:r>
      <w:proofErr w:type="spellStart"/>
      <w:r w:rsidRPr="003C5E53">
        <w:rPr>
          <w:rFonts w:ascii="Cambria" w:hAnsi="Cambria" w:cs="Calibri"/>
          <w:sz w:val="24"/>
          <w:szCs w:val="24"/>
          <w:lang w:val="en-GB"/>
        </w:rPr>
        <w:t>Cijevna</w:t>
      </w:r>
      <w:proofErr w:type="spellEnd"/>
      <w:r w:rsidRPr="003C5E53">
        <w:rPr>
          <w:rFonts w:ascii="Cambria" w:hAnsi="Cambria" w:cs="Calibri"/>
          <w:sz w:val="24"/>
          <w:szCs w:val="24"/>
          <w:lang w:val="en-GB"/>
        </w:rPr>
        <w:t xml:space="preserve">. Such measures do not need to be included in a formal amendment of the bilateral agreement, which will require following specific procedures in each country. Specific and practical measures can be included in annex, requiring certainly simpler formalities for entering into force.  </w:t>
      </w:r>
    </w:p>
    <w:p w14:paraId="546EEC6E" w14:textId="77777777" w:rsidR="006112D9" w:rsidRPr="003C5E53" w:rsidRDefault="006112D9" w:rsidP="006112D9">
      <w:pPr>
        <w:jc w:val="both"/>
        <w:rPr>
          <w:rFonts w:ascii="Cambria" w:hAnsi="Cambria" w:cs="Calibri"/>
          <w:sz w:val="24"/>
          <w:szCs w:val="24"/>
          <w:lang w:val="en-GB"/>
        </w:rPr>
      </w:pPr>
    </w:p>
    <w:p w14:paraId="3E71214F" w14:textId="77777777" w:rsidR="006112D9" w:rsidRPr="003C5E53" w:rsidRDefault="006112D9" w:rsidP="0000684E">
      <w:pPr>
        <w:pStyle w:val="Titre1"/>
        <w:rPr>
          <w:lang w:val="en-GB"/>
        </w:rPr>
      </w:pPr>
      <w:bookmarkStart w:id="2" w:name="_Toc226579971"/>
      <w:r w:rsidRPr="003C5E53">
        <w:rPr>
          <w:lang w:val="en-GB"/>
        </w:rPr>
        <w:t>3. Current Bilateral Framework (2018 Agreement)</w:t>
      </w:r>
      <w:bookmarkEnd w:id="2"/>
      <w:r w:rsidRPr="003C5E53">
        <w:rPr>
          <w:lang w:val="en-GB"/>
        </w:rPr>
        <w:t xml:space="preserve"> </w:t>
      </w:r>
    </w:p>
    <w:p w14:paraId="1517BC61" w14:textId="1FF70A12" w:rsidR="006112D9" w:rsidRPr="00EA6A6C" w:rsidRDefault="006112D9" w:rsidP="00EA6A6C">
      <w:pPr>
        <w:jc w:val="both"/>
        <w:rPr>
          <w:rFonts w:ascii="Cambria" w:hAnsi="Cambria" w:cs="Calibri"/>
          <w:sz w:val="24"/>
          <w:szCs w:val="24"/>
          <w:lang w:val="en-GB"/>
        </w:rPr>
      </w:pPr>
      <w:r w:rsidRPr="00EA6A6C">
        <w:rPr>
          <w:rFonts w:ascii="Cambria" w:hAnsi="Cambria" w:cs="Calibri"/>
          <w:sz w:val="24"/>
          <w:szCs w:val="24"/>
          <w:lang w:val="en-GB"/>
        </w:rPr>
        <w:t>Albania and Montenegro have signed between themselves a framework agreement on “mutual relations in transboundary water management” in 2018. The agreement as its name indicates is a framework, meaning it provides general principles for transboundary water resources, that need afterwards to be decline</w:t>
      </w:r>
      <w:r w:rsidR="00D62CF6">
        <w:rPr>
          <w:rFonts w:ascii="Cambria" w:hAnsi="Cambria" w:cs="Calibri"/>
          <w:sz w:val="24"/>
          <w:szCs w:val="24"/>
          <w:lang w:val="en-GB"/>
        </w:rPr>
        <w:t>d</w:t>
      </w:r>
      <w:r w:rsidRPr="00EA6A6C">
        <w:rPr>
          <w:rFonts w:ascii="Cambria" w:hAnsi="Cambria" w:cs="Calibri"/>
          <w:sz w:val="24"/>
          <w:szCs w:val="24"/>
          <w:lang w:val="en-GB"/>
        </w:rPr>
        <w:t xml:space="preserve"> into more specific measures for implementation. </w:t>
      </w:r>
    </w:p>
    <w:p w14:paraId="56F69693" w14:textId="76CAE0EE" w:rsidR="006112D9" w:rsidRPr="00EA6A6C" w:rsidRDefault="006112D9" w:rsidP="00EA6A6C">
      <w:pPr>
        <w:jc w:val="both"/>
        <w:rPr>
          <w:rFonts w:ascii="Cambria" w:hAnsi="Cambria"/>
          <w:sz w:val="24"/>
          <w:szCs w:val="24"/>
          <w:lang w:val="en-GB"/>
        </w:rPr>
      </w:pPr>
      <w:r w:rsidRPr="00EA6A6C">
        <w:rPr>
          <w:rFonts w:ascii="Cambria" w:hAnsi="Cambria" w:cs="Calibri"/>
          <w:sz w:val="24"/>
          <w:szCs w:val="24"/>
          <w:lang w:val="en-GB"/>
        </w:rPr>
        <w:t xml:space="preserve">The agreement refers in its preamble to the two global water conventions: the Convention </w:t>
      </w:r>
      <w:r w:rsidRPr="00EA6A6C">
        <w:rPr>
          <w:rFonts w:ascii="Cambria" w:hAnsi="Cambria"/>
          <w:sz w:val="24"/>
          <w:szCs w:val="24"/>
          <w:lang w:val="en-GB"/>
        </w:rPr>
        <w:t xml:space="preserve">on the Protection and Use of Transboundary Watercourses and International Lakes (1992) (Water Convention) (both countries are party), and to the Convention on the Law of Non-Navigational Uses of International Watercourses (1997) (only Montenegro is party). Both conventions cover the same core principles of international water law and are complementary. The Water Convention integrates completely transboundary groundwater within its scope, which is not the case of the UN Watercourses Convention. It also refers to the Convention on Environmental Impact Assessment in Transboundary context (Espoo Convention, 1991), and to the Convention for the Protection of the Mediterranean Sea Against Pollution (Barcelona 1976) and all its protocols, which cover not only the sea itself, but also the coastal zones, and all resources in these zones including water. </w:t>
      </w:r>
    </w:p>
    <w:p w14:paraId="6622156C" w14:textId="6E5CE1D6" w:rsidR="006112D9" w:rsidRPr="00EA6A6C" w:rsidRDefault="006112D9" w:rsidP="00EA6A6C">
      <w:pPr>
        <w:jc w:val="both"/>
        <w:rPr>
          <w:rFonts w:ascii="Cambria" w:hAnsi="Cambria"/>
          <w:sz w:val="24"/>
          <w:szCs w:val="24"/>
          <w:lang w:val="en-GB"/>
        </w:rPr>
      </w:pPr>
      <w:r w:rsidRPr="00EA6A6C">
        <w:rPr>
          <w:rFonts w:ascii="Cambria" w:hAnsi="Cambria"/>
          <w:sz w:val="24"/>
          <w:szCs w:val="24"/>
          <w:lang w:val="en-GB"/>
        </w:rPr>
        <w:t xml:space="preserve">Under this agreement, Albania and Montenegro commit to the joint management of transboundary water resources, covering activities that impact water quantity and quality. The agreement addresses cooperation in water management, including hydroelectric plants, major lakes and rivers (Shkodra/Skadar, Drin, Buna, </w:t>
      </w:r>
      <w:proofErr w:type="spellStart"/>
      <w:r w:rsidRPr="00EA6A6C">
        <w:rPr>
          <w:rFonts w:ascii="Cambria" w:hAnsi="Cambria"/>
          <w:sz w:val="24"/>
          <w:szCs w:val="24"/>
          <w:lang w:val="en-GB"/>
        </w:rPr>
        <w:t>Morača</w:t>
      </w:r>
      <w:proofErr w:type="spellEnd"/>
      <w:r w:rsidRPr="00EA6A6C">
        <w:rPr>
          <w:rFonts w:ascii="Cambria" w:hAnsi="Cambria"/>
          <w:sz w:val="24"/>
          <w:szCs w:val="24"/>
          <w:lang w:val="en-GB"/>
        </w:rPr>
        <w:t xml:space="preserve">), </w:t>
      </w:r>
      <w:r w:rsidRPr="00EA6A6C">
        <w:rPr>
          <w:rFonts w:ascii="Cambria" w:hAnsi="Cambria"/>
          <w:sz w:val="24"/>
          <w:szCs w:val="24"/>
          <w:lang w:val="en-GB"/>
        </w:rPr>
        <w:lastRenderedPageBreak/>
        <w:t>erosion control, and flood protection. Key areas include balancing water resources, preventing harmful effects, maintaining watercourses, pollution protection, shared use of water facilities, and managing waters of shared interest. It also provides for mutual notification, consultation, and cooperation at regional and other organizational levels, with an emphasis on assessing the environmental impacts of water management actions.</w:t>
      </w:r>
    </w:p>
    <w:p w14:paraId="449CB53D" w14:textId="11623588" w:rsidR="006112D9" w:rsidRPr="00EA6A6C" w:rsidRDefault="006112D9" w:rsidP="00EA6A6C">
      <w:pPr>
        <w:jc w:val="both"/>
        <w:rPr>
          <w:rFonts w:ascii="Cambria" w:hAnsi="Cambria"/>
          <w:sz w:val="24"/>
          <w:szCs w:val="24"/>
          <w:lang w:val="en-GB"/>
        </w:rPr>
      </w:pPr>
      <w:r w:rsidRPr="00EA6A6C">
        <w:rPr>
          <w:rFonts w:ascii="Cambria" w:hAnsi="Cambria"/>
          <w:sz w:val="24"/>
          <w:szCs w:val="24"/>
          <w:lang w:val="en-GB"/>
        </w:rPr>
        <w:t xml:space="preserve">The agreement applies to both transboundary surface and groundwaters as per the definition of transboundary waters that it includes, which is the same as the 1992 Water Convention (article 3). </w:t>
      </w:r>
      <w:r w:rsidR="00AB0ADB" w:rsidRPr="00EA6A6C">
        <w:rPr>
          <w:rFonts w:ascii="Cambria" w:hAnsi="Cambria"/>
          <w:sz w:val="24"/>
          <w:szCs w:val="24"/>
          <w:lang w:val="en-GB"/>
        </w:rPr>
        <w:t>Furthermore,</w:t>
      </w:r>
      <w:r w:rsidRPr="00EA6A6C">
        <w:rPr>
          <w:rFonts w:ascii="Cambria" w:hAnsi="Cambria"/>
          <w:sz w:val="24"/>
          <w:szCs w:val="24"/>
          <w:lang w:val="en-GB"/>
        </w:rPr>
        <w:t xml:space="preserve"> the definition of “waters of shared interest” refers also to groundwater. The agreement is based on the equitable and reasonable use and the no harm principles, the two core principles of international water law, and it includes other principles related to environmental protection such as the principles of prevention, precautionary measures without causing damage, and "polluter pays". The agreement establishes the regular exchange of data between the countries, as well as the monitoring to assess the quantity, quality and status of water status. The parties need to agree on the data and information to exchange. The agreement refers also to the WFD for the methodology on the control of water resources quality and adopts its list of hazardous substances. The Parties shall be consulted on the granting of water permits and other water acts. They shall not undertake any unilateral action and shall refrain from taking measures which may cause negative effects or impact on transboundary water resources on the territory of the other Party. Under the agreement, the parties need to encourage the involvement of the concerned stakeholders in the preparation, review and update of any water management plan or project. The agreement creates a Water Resources Management Commission, composed of 10 members from each country. The agreement does not explicit its duties and competences but mentions that they will be defined by the rules of procedure that the Commission will adopt at the first session of its first meeting. The Commission can set up permanent or ad hoc sub-commissions. Its decisions shall be approved unanimously. The Commission must inform and involve the public in its activities in the enforcement of the decisions adopted. The expenses of the meeting are covered by the Party in which territory the meeting is taking place, while the expenses of the representatives are covered by the related countries. </w:t>
      </w:r>
    </w:p>
    <w:p w14:paraId="4AE1B94E" w14:textId="77777777" w:rsidR="006112D9" w:rsidRPr="00EA6A6C" w:rsidRDefault="006112D9" w:rsidP="00EA6A6C">
      <w:pPr>
        <w:jc w:val="both"/>
        <w:rPr>
          <w:rFonts w:ascii="Cambria" w:hAnsi="Cambria"/>
          <w:sz w:val="24"/>
          <w:szCs w:val="24"/>
          <w:lang w:val="en-GB"/>
        </w:rPr>
      </w:pPr>
      <w:r w:rsidRPr="00EA6A6C">
        <w:rPr>
          <w:rFonts w:ascii="Cambria" w:hAnsi="Cambria"/>
          <w:sz w:val="24"/>
          <w:szCs w:val="24"/>
          <w:lang w:val="en-GB"/>
        </w:rPr>
        <w:t xml:space="preserve">The agreement between Albania and Montenegro represents a solid foundation for bilateral cooperation on water resources. It covers both transboundary surface and groundwater as per the definition of transboundary waters included in its article 3 on definitions (§ 2). The agreement mentions the </w:t>
      </w:r>
      <w:proofErr w:type="spellStart"/>
      <w:r w:rsidRPr="00EA6A6C">
        <w:rPr>
          <w:rFonts w:ascii="Cambria" w:hAnsi="Cambria"/>
          <w:sz w:val="24"/>
          <w:szCs w:val="24"/>
          <w:lang w:val="en-GB"/>
        </w:rPr>
        <w:t>Cemi</w:t>
      </w:r>
      <w:proofErr w:type="spellEnd"/>
      <w:r w:rsidRPr="00EA6A6C">
        <w:rPr>
          <w:rFonts w:ascii="Cambria" w:hAnsi="Cambria"/>
          <w:sz w:val="24"/>
          <w:szCs w:val="24"/>
          <w:lang w:val="en-GB"/>
        </w:rPr>
        <w:t>/</w:t>
      </w:r>
      <w:proofErr w:type="spellStart"/>
      <w:r w:rsidRPr="00EA6A6C">
        <w:rPr>
          <w:rFonts w:ascii="Cambria" w:hAnsi="Cambria"/>
          <w:sz w:val="24"/>
          <w:szCs w:val="24"/>
          <w:lang w:val="en-GB"/>
        </w:rPr>
        <w:t>Cijevna</w:t>
      </w:r>
      <w:proofErr w:type="spellEnd"/>
      <w:r w:rsidRPr="00EA6A6C">
        <w:rPr>
          <w:rFonts w:ascii="Cambria" w:hAnsi="Cambria"/>
          <w:sz w:val="24"/>
          <w:szCs w:val="24"/>
          <w:lang w:val="en-GB"/>
        </w:rPr>
        <w:t xml:space="preserve"> rivers among the waters of shared interest between the two countries (article 2), but it does not address the transboundary aquifer. As detailed above, the agreement includes the core principles of international water law which are also applicable to transboundary aquifers following the Draft articles on the law of transboundary aquifers (2018), along with principles related to environmental protection. While it refers to the WFD, the agreement omits the GWD.</w:t>
      </w:r>
    </w:p>
    <w:p w14:paraId="508EBE80" w14:textId="7FAC66AA" w:rsidR="006112D9" w:rsidRPr="00EA6A6C" w:rsidRDefault="006112D9" w:rsidP="00EA6A6C">
      <w:pPr>
        <w:jc w:val="both"/>
        <w:rPr>
          <w:rFonts w:ascii="Cambria" w:hAnsi="Cambria"/>
          <w:color w:val="EE0000"/>
          <w:sz w:val="24"/>
          <w:szCs w:val="24"/>
          <w:lang w:val="en-GB"/>
        </w:rPr>
      </w:pPr>
      <w:r w:rsidRPr="00EA6A6C">
        <w:rPr>
          <w:rFonts w:ascii="Cambria" w:hAnsi="Cambria"/>
          <w:sz w:val="24"/>
          <w:szCs w:val="24"/>
          <w:lang w:val="en-GB"/>
        </w:rPr>
        <w:t xml:space="preserve">The agreement includes provisions for the regular exchange of data and monitoring. </w:t>
      </w:r>
      <w:proofErr w:type="gramStart"/>
      <w:r w:rsidRPr="00EA6A6C">
        <w:rPr>
          <w:rFonts w:ascii="Cambria" w:hAnsi="Cambria"/>
          <w:sz w:val="24"/>
          <w:szCs w:val="24"/>
          <w:lang w:val="en-GB"/>
        </w:rPr>
        <w:t>Furthermore</w:t>
      </w:r>
      <w:proofErr w:type="gramEnd"/>
      <w:r w:rsidRPr="00EA6A6C">
        <w:rPr>
          <w:rFonts w:ascii="Cambria" w:hAnsi="Cambria"/>
          <w:sz w:val="24"/>
          <w:szCs w:val="24"/>
          <w:lang w:val="en-GB"/>
        </w:rPr>
        <w:t xml:space="preserve"> it establishes an institutional mechanism for cooperation, the Water Resources Management Commission, under which sub-commissions can be set up. It is therefore possible to consider establishing a sub-commission</w:t>
      </w:r>
      <w:r w:rsidR="00AB0ADB" w:rsidRPr="00EA6A6C">
        <w:rPr>
          <w:rFonts w:ascii="Cambria" w:hAnsi="Cambria"/>
          <w:sz w:val="24"/>
          <w:szCs w:val="24"/>
          <w:lang w:val="en-GB"/>
        </w:rPr>
        <w:t xml:space="preserve"> for transboundary aquifers, </w:t>
      </w:r>
      <w:r w:rsidR="00AB0ADB" w:rsidRPr="00EA6A6C">
        <w:rPr>
          <w:rFonts w:ascii="Cambria" w:hAnsi="Cambria"/>
          <w:sz w:val="24"/>
          <w:szCs w:val="24"/>
          <w:lang w:val="en-GB"/>
        </w:rPr>
        <w:lastRenderedPageBreak/>
        <w:t xml:space="preserve">which can include a working group </w:t>
      </w:r>
      <w:proofErr w:type="gramStart"/>
      <w:r w:rsidR="00AB0ADB" w:rsidRPr="00EA6A6C">
        <w:rPr>
          <w:rFonts w:ascii="Cambria" w:hAnsi="Cambria"/>
          <w:sz w:val="24"/>
          <w:szCs w:val="24"/>
          <w:lang w:val="en-GB"/>
        </w:rPr>
        <w:t xml:space="preserve">for </w:t>
      </w:r>
      <w:r w:rsidRPr="00EA6A6C">
        <w:rPr>
          <w:rFonts w:ascii="Cambria" w:hAnsi="Cambria"/>
          <w:sz w:val="24"/>
          <w:szCs w:val="24"/>
          <w:lang w:val="en-GB"/>
        </w:rPr>
        <w:t xml:space="preserve"> </w:t>
      </w:r>
      <w:proofErr w:type="spellStart"/>
      <w:r w:rsidRPr="00EA6A6C">
        <w:rPr>
          <w:rFonts w:ascii="Cambria" w:hAnsi="Cambria"/>
          <w:sz w:val="24"/>
          <w:szCs w:val="24"/>
          <w:lang w:val="en-GB"/>
        </w:rPr>
        <w:t>Cemi</w:t>
      </w:r>
      <w:proofErr w:type="spellEnd"/>
      <w:proofErr w:type="gramEnd"/>
      <w:r w:rsidRPr="00EA6A6C">
        <w:rPr>
          <w:rFonts w:ascii="Cambria" w:hAnsi="Cambria"/>
          <w:sz w:val="24"/>
          <w:szCs w:val="24"/>
          <w:lang w:val="en-GB"/>
        </w:rPr>
        <w:t>/</w:t>
      </w:r>
      <w:proofErr w:type="spellStart"/>
      <w:r w:rsidRPr="00EA6A6C">
        <w:rPr>
          <w:rFonts w:ascii="Cambria" w:hAnsi="Cambria"/>
          <w:sz w:val="24"/>
          <w:szCs w:val="24"/>
          <w:lang w:val="en-GB"/>
        </w:rPr>
        <w:t>Cijevna</w:t>
      </w:r>
      <w:proofErr w:type="spellEnd"/>
      <w:r w:rsidRPr="00EA6A6C">
        <w:rPr>
          <w:rFonts w:ascii="Cambria" w:hAnsi="Cambria"/>
          <w:sz w:val="24"/>
          <w:szCs w:val="24"/>
          <w:lang w:val="en-GB"/>
        </w:rPr>
        <w:t xml:space="preserve"> water system</w:t>
      </w:r>
      <w:r w:rsidR="00AB0ADB" w:rsidRPr="00EA6A6C">
        <w:rPr>
          <w:rFonts w:ascii="Cambria" w:hAnsi="Cambria"/>
          <w:sz w:val="24"/>
          <w:szCs w:val="24"/>
          <w:lang w:val="en-GB"/>
        </w:rPr>
        <w:t xml:space="preserve">, or </w:t>
      </w:r>
      <w:r w:rsidR="007224F7" w:rsidRPr="00EA6A6C">
        <w:rPr>
          <w:rFonts w:ascii="Cambria" w:hAnsi="Cambria"/>
          <w:sz w:val="24"/>
          <w:szCs w:val="24"/>
          <w:lang w:val="en-GB"/>
        </w:rPr>
        <w:t xml:space="preserve">a dedicated sub-commission </w:t>
      </w:r>
      <w:proofErr w:type="spellStart"/>
      <w:r w:rsidR="007224F7" w:rsidRPr="00EA6A6C">
        <w:rPr>
          <w:rFonts w:ascii="Cambria" w:hAnsi="Cambria"/>
          <w:sz w:val="24"/>
          <w:szCs w:val="24"/>
          <w:lang w:val="en-GB"/>
        </w:rPr>
        <w:t>forCemi</w:t>
      </w:r>
      <w:proofErr w:type="spellEnd"/>
      <w:r w:rsidR="007224F7" w:rsidRPr="00EA6A6C">
        <w:rPr>
          <w:rFonts w:ascii="Cambria" w:hAnsi="Cambria"/>
          <w:sz w:val="24"/>
          <w:szCs w:val="24"/>
          <w:lang w:val="en-GB"/>
        </w:rPr>
        <w:t>/</w:t>
      </w:r>
      <w:proofErr w:type="spellStart"/>
      <w:r w:rsidR="007224F7" w:rsidRPr="00EA6A6C">
        <w:rPr>
          <w:rFonts w:ascii="Cambria" w:hAnsi="Cambria"/>
          <w:sz w:val="24"/>
          <w:szCs w:val="24"/>
          <w:lang w:val="en-GB"/>
        </w:rPr>
        <w:t>Cijevna</w:t>
      </w:r>
      <w:proofErr w:type="spellEnd"/>
      <w:r w:rsidRPr="00EA6A6C">
        <w:rPr>
          <w:rFonts w:ascii="Cambria" w:hAnsi="Cambria"/>
          <w:sz w:val="24"/>
          <w:szCs w:val="24"/>
          <w:lang w:val="en-GB"/>
        </w:rPr>
        <w:t xml:space="preserve"> </w:t>
      </w:r>
    </w:p>
    <w:p w14:paraId="57DBF6C9" w14:textId="6DB61BB1" w:rsidR="00AB0ADB" w:rsidRDefault="00AB0ADB" w:rsidP="00EA6A6C">
      <w:pPr>
        <w:jc w:val="both"/>
        <w:rPr>
          <w:rFonts w:ascii="Cambria" w:eastAsia="Times New Roman" w:hAnsi="Cambria" w:cs="Times New Roman"/>
          <w:color w:val="1D2228"/>
          <w:sz w:val="24"/>
          <w:szCs w:val="24"/>
          <w:lang w:val="en-GB" w:eastAsia="fr-FR"/>
        </w:rPr>
      </w:pPr>
      <w:r w:rsidRPr="00EA6A6C">
        <w:rPr>
          <w:rFonts w:ascii="Cambria" w:eastAsia="Times New Roman" w:hAnsi="Cambria" w:cs="Times New Roman"/>
          <w:color w:val="1D2228"/>
          <w:sz w:val="24"/>
          <w:szCs w:val="24"/>
          <w:lang w:val="en-GB" w:eastAsia="fr-FR"/>
        </w:rPr>
        <w:t xml:space="preserve">Both countries have nominated members for the Commission, 10 members from each country as required by the Agreement. </w:t>
      </w:r>
      <w:r w:rsidR="00D62CF6">
        <w:rPr>
          <w:rFonts w:ascii="Cambria" w:eastAsia="Times New Roman" w:hAnsi="Cambria" w:cs="Times New Roman"/>
          <w:color w:val="1D2228"/>
          <w:sz w:val="24"/>
          <w:szCs w:val="24"/>
          <w:lang w:val="en-GB" w:eastAsia="fr-FR"/>
        </w:rPr>
        <w:t>The Commission adopted its rules of procedure at its first meeting held on 19 September 2019 in Podgorica (Montenegro)</w:t>
      </w:r>
      <w:r w:rsidR="0037440C">
        <w:rPr>
          <w:rFonts w:ascii="Cambria" w:eastAsia="Times New Roman" w:hAnsi="Cambria" w:cs="Times New Roman"/>
          <w:color w:val="1D2228"/>
          <w:sz w:val="24"/>
          <w:szCs w:val="24"/>
          <w:lang w:val="en-GB" w:eastAsia="fr-FR"/>
        </w:rPr>
        <w:t xml:space="preserve">. The rules of procedure entered into force on 22 February 2022 after the two Presidents from each country signed them. </w:t>
      </w:r>
    </w:p>
    <w:p w14:paraId="5B514926" w14:textId="5F7C7EF8" w:rsidR="0037440C" w:rsidRDefault="0037440C" w:rsidP="00EA6A6C">
      <w:pPr>
        <w:jc w:val="both"/>
        <w:rPr>
          <w:rFonts w:ascii="Cambria" w:eastAsia="Times New Roman" w:hAnsi="Cambria" w:cs="Times New Roman"/>
          <w:color w:val="1D2228"/>
          <w:sz w:val="24"/>
          <w:szCs w:val="24"/>
          <w:lang w:val="en-GB" w:eastAsia="fr-FR"/>
        </w:rPr>
      </w:pPr>
      <w:r>
        <w:rPr>
          <w:rFonts w:ascii="Cambria" w:eastAsia="Times New Roman" w:hAnsi="Cambria" w:cs="Times New Roman"/>
          <w:color w:val="1D2228"/>
          <w:sz w:val="24"/>
          <w:szCs w:val="24"/>
          <w:lang w:val="en-GB" w:eastAsia="fr-FR"/>
        </w:rPr>
        <w:t>As mentioned in the agreement, the rules define the competencies of the Commission, which are quite wide in matter of cooperation on transboundary water (article 5</w:t>
      </w:r>
      <w:r w:rsidR="000947B2">
        <w:rPr>
          <w:rFonts w:ascii="Cambria" w:eastAsia="Times New Roman" w:hAnsi="Cambria" w:cs="Times New Roman"/>
          <w:color w:val="1D2228"/>
          <w:sz w:val="24"/>
          <w:szCs w:val="24"/>
          <w:lang w:val="en-GB" w:eastAsia="fr-FR"/>
        </w:rPr>
        <w:t xml:space="preserve">). The Commission </w:t>
      </w:r>
      <w:r w:rsidR="00B94B23">
        <w:rPr>
          <w:rFonts w:ascii="Cambria" w:eastAsia="Times New Roman" w:hAnsi="Cambria" w:cs="Times New Roman"/>
          <w:color w:val="1D2228"/>
          <w:sz w:val="24"/>
          <w:szCs w:val="24"/>
          <w:lang w:val="en-GB" w:eastAsia="fr-FR"/>
        </w:rPr>
        <w:t>has the general competency</w:t>
      </w:r>
      <w:r w:rsidR="000947B2">
        <w:rPr>
          <w:rFonts w:ascii="Cambria" w:eastAsia="Times New Roman" w:hAnsi="Cambria" w:cs="Times New Roman"/>
          <w:color w:val="1D2228"/>
          <w:sz w:val="24"/>
          <w:szCs w:val="24"/>
          <w:lang w:val="en-GB" w:eastAsia="fr-FR"/>
        </w:rPr>
        <w:t xml:space="preserve"> </w:t>
      </w:r>
      <w:r w:rsidR="00B94B23">
        <w:rPr>
          <w:rFonts w:ascii="Cambria" w:eastAsia="Times New Roman" w:hAnsi="Cambria" w:cs="Times New Roman"/>
          <w:color w:val="1D2228"/>
          <w:sz w:val="24"/>
          <w:szCs w:val="24"/>
          <w:lang w:val="en-GB" w:eastAsia="fr-FR"/>
        </w:rPr>
        <w:t xml:space="preserve">of </w:t>
      </w:r>
      <w:r w:rsidR="000947B2">
        <w:rPr>
          <w:rFonts w:ascii="Cambria" w:eastAsia="Times New Roman" w:hAnsi="Cambria" w:cs="Times New Roman"/>
          <w:color w:val="1D2228"/>
          <w:sz w:val="24"/>
          <w:szCs w:val="24"/>
          <w:lang w:val="en-GB" w:eastAsia="fr-FR"/>
        </w:rPr>
        <w:t>ensur</w:t>
      </w:r>
      <w:r w:rsidR="00B94B23">
        <w:rPr>
          <w:rFonts w:ascii="Cambria" w:eastAsia="Times New Roman" w:hAnsi="Cambria" w:cs="Times New Roman"/>
          <w:color w:val="1D2228"/>
          <w:sz w:val="24"/>
          <w:szCs w:val="24"/>
          <w:lang w:val="en-GB" w:eastAsia="fr-FR"/>
        </w:rPr>
        <w:t>ing</w:t>
      </w:r>
      <w:r w:rsidR="000947B2">
        <w:rPr>
          <w:rFonts w:ascii="Cambria" w:eastAsia="Times New Roman" w:hAnsi="Cambria" w:cs="Times New Roman"/>
          <w:color w:val="1D2228"/>
          <w:sz w:val="24"/>
          <w:szCs w:val="24"/>
          <w:lang w:val="en-GB" w:eastAsia="fr-FR"/>
        </w:rPr>
        <w:t xml:space="preserve"> cooperation </w:t>
      </w:r>
      <w:r w:rsidR="00B94B23">
        <w:rPr>
          <w:rFonts w:ascii="Cambria" w:eastAsia="Times New Roman" w:hAnsi="Cambria" w:cs="Times New Roman"/>
          <w:color w:val="1D2228"/>
          <w:sz w:val="24"/>
          <w:szCs w:val="24"/>
          <w:lang w:val="en-GB" w:eastAsia="fr-FR"/>
        </w:rPr>
        <w:t>and</w:t>
      </w:r>
      <w:r w:rsidR="000947B2">
        <w:rPr>
          <w:rFonts w:ascii="Cambria" w:eastAsia="Times New Roman" w:hAnsi="Cambria" w:cs="Times New Roman"/>
          <w:color w:val="1D2228"/>
          <w:sz w:val="24"/>
          <w:szCs w:val="24"/>
          <w:lang w:val="en-GB" w:eastAsia="fr-FR"/>
        </w:rPr>
        <w:t xml:space="preserve"> maintain</w:t>
      </w:r>
      <w:r w:rsidR="00B94B23">
        <w:rPr>
          <w:rFonts w:ascii="Cambria" w:eastAsia="Times New Roman" w:hAnsi="Cambria" w:cs="Times New Roman"/>
          <w:color w:val="1D2228"/>
          <w:sz w:val="24"/>
          <w:szCs w:val="24"/>
          <w:lang w:val="en-GB" w:eastAsia="fr-FR"/>
        </w:rPr>
        <w:t>ing</w:t>
      </w:r>
      <w:r w:rsidR="000947B2">
        <w:rPr>
          <w:rFonts w:ascii="Cambria" w:eastAsia="Times New Roman" w:hAnsi="Cambria" w:cs="Times New Roman"/>
          <w:color w:val="1D2228"/>
          <w:sz w:val="24"/>
          <w:szCs w:val="24"/>
          <w:lang w:val="en-GB" w:eastAsia="fr-FR"/>
        </w:rPr>
        <w:t xml:space="preserve"> continuity and unity in water management between the two countries. </w:t>
      </w:r>
      <w:r w:rsidR="001208E1">
        <w:rPr>
          <w:rFonts w:ascii="Cambria" w:eastAsia="Times New Roman" w:hAnsi="Cambria" w:cs="Times New Roman"/>
          <w:color w:val="1D2228"/>
          <w:sz w:val="24"/>
          <w:szCs w:val="24"/>
          <w:lang w:val="en-GB" w:eastAsia="fr-FR"/>
        </w:rPr>
        <w:t>More specifically, it can:</w:t>
      </w:r>
    </w:p>
    <w:p w14:paraId="4730A33A" w14:textId="4EED9DE4" w:rsidR="001208E1" w:rsidRDefault="001208E1" w:rsidP="001208E1">
      <w:pPr>
        <w:pStyle w:val="Paragraphedeliste"/>
        <w:numPr>
          <w:ilvl w:val="0"/>
          <w:numId w:val="22"/>
        </w:numPr>
        <w:jc w:val="both"/>
        <w:rPr>
          <w:rFonts w:ascii="Cambria" w:eastAsia="Times New Roman" w:hAnsi="Cambria" w:cs="Times New Roman"/>
          <w:color w:val="1D2228"/>
          <w:sz w:val="24"/>
          <w:szCs w:val="24"/>
          <w:lang w:val="en-GB" w:eastAsia="fr-FR"/>
        </w:rPr>
      </w:pPr>
      <w:r>
        <w:rPr>
          <w:rFonts w:ascii="Cambria" w:eastAsia="Times New Roman" w:hAnsi="Cambria" w:cs="Times New Roman"/>
          <w:color w:val="1D2228"/>
          <w:sz w:val="24"/>
          <w:szCs w:val="24"/>
          <w:lang w:val="en-GB" w:eastAsia="fr-FR"/>
        </w:rPr>
        <w:t>Conduct technical and economic studies and research</w:t>
      </w:r>
    </w:p>
    <w:p w14:paraId="3FCFA360" w14:textId="671CD5F4" w:rsidR="001208E1" w:rsidRDefault="001208E1" w:rsidP="001208E1">
      <w:pPr>
        <w:pStyle w:val="Paragraphedeliste"/>
        <w:numPr>
          <w:ilvl w:val="0"/>
          <w:numId w:val="22"/>
        </w:numPr>
        <w:jc w:val="both"/>
        <w:rPr>
          <w:rFonts w:ascii="Cambria" w:eastAsia="Times New Roman" w:hAnsi="Cambria" w:cs="Times New Roman"/>
          <w:color w:val="1D2228"/>
          <w:sz w:val="24"/>
          <w:szCs w:val="24"/>
          <w:lang w:val="en-GB" w:eastAsia="fr-FR"/>
        </w:rPr>
      </w:pPr>
      <w:r>
        <w:rPr>
          <w:rFonts w:ascii="Cambria" w:eastAsia="Times New Roman" w:hAnsi="Cambria" w:cs="Times New Roman"/>
          <w:color w:val="1D2228"/>
          <w:sz w:val="24"/>
          <w:szCs w:val="24"/>
          <w:lang w:val="en-GB" w:eastAsia="fr-FR"/>
        </w:rPr>
        <w:t>Adopt decisions based on these studies</w:t>
      </w:r>
    </w:p>
    <w:p w14:paraId="37F4D27E" w14:textId="7FFC1AB9" w:rsidR="001208E1" w:rsidRDefault="001208E1" w:rsidP="001208E1">
      <w:pPr>
        <w:pStyle w:val="Paragraphedeliste"/>
        <w:numPr>
          <w:ilvl w:val="0"/>
          <w:numId w:val="22"/>
        </w:numPr>
        <w:jc w:val="both"/>
        <w:rPr>
          <w:rFonts w:ascii="Cambria" w:eastAsia="Times New Roman" w:hAnsi="Cambria" w:cs="Times New Roman"/>
          <w:color w:val="1D2228"/>
          <w:sz w:val="24"/>
          <w:szCs w:val="24"/>
          <w:lang w:val="en-GB" w:eastAsia="fr-FR"/>
        </w:rPr>
      </w:pPr>
      <w:r>
        <w:rPr>
          <w:rFonts w:ascii="Cambria" w:eastAsia="Times New Roman" w:hAnsi="Cambria" w:cs="Times New Roman"/>
          <w:color w:val="1D2228"/>
          <w:sz w:val="24"/>
          <w:szCs w:val="24"/>
          <w:lang w:val="en-GB" w:eastAsia="fr-FR"/>
        </w:rPr>
        <w:t>Develop and evaluate projects</w:t>
      </w:r>
    </w:p>
    <w:p w14:paraId="6EDDFF23" w14:textId="10477CFD" w:rsidR="001208E1" w:rsidRDefault="001208E1" w:rsidP="001208E1">
      <w:pPr>
        <w:pStyle w:val="Paragraphedeliste"/>
        <w:numPr>
          <w:ilvl w:val="0"/>
          <w:numId w:val="22"/>
        </w:numPr>
        <w:jc w:val="both"/>
        <w:rPr>
          <w:rFonts w:ascii="Cambria" w:eastAsia="Times New Roman" w:hAnsi="Cambria" w:cs="Times New Roman"/>
          <w:color w:val="1D2228"/>
          <w:sz w:val="24"/>
          <w:szCs w:val="24"/>
          <w:lang w:val="en-GB" w:eastAsia="fr-FR"/>
        </w:rPr>
      </w:pPr>
      <w:r>
        <w:rPr>
          <w:rFonts w:ascii="Cambria" w:eastAsia="Times New Roman" w:hAnsi="Cambria" w:cs="Times New Roman"/>
          <w:color w:val="1D2228"/>
          <w:sz w:val="24"/>
          <w:szCs w:val="24"/>
          <w:lang w:val="en-GB" w:eastAsia="fr-FR"/>
        </w:rPr>
        <w:t>Propose the implementation and maintenance of common water facilities</w:t>
      </w:r>
    </w:p>
    <w:p w14:paraId="67EC8594" w14:textId="70A43C0C" w:rsidR="001208E1" w:rsidRDefault="001208E1" w:rsidP="001208E1">
      <w:pPr>
        <w:pStyle w:val="Paragraphedeliste"/>
        <w:numPr>
          <w:ilvl w:val="0"/>
          <w:numId w:val="22"/>
        </w:numPr>
        <w:jc w:val="both"/>
        <w:rPr>
          <w:rFonts w:ascii="Cambria" w:eastAsia="Times New Roman" w:hAnsi="Cambria" w:cs="Times New Roman"/>
          <w:color w:val="1D2228"/>
          <w:sz w:val="24"/>
          <w:szCs w:val="24"/>
          <w:lang w:val="en-GB" w:eastAsia="fr-FR"/>
        </w:rPr>
      </w:pPr>
      <w:r>
        <w:rPr>
          <w:rFonts w:ascii="Cambria" w:eastAsia="Times New Roman" w:hAnsi="Cambria" w:cs="Times New Roman"/>
          <w:color w:val="1D2228"/>
          <w:sz w:val="24"/>
          <w:szCs w:val="24"/>
          <w:lang w:val="en-GB" w:eastAsia="fr-FR"/>
        </w:rPr>
        <w:t>Control their execution, and follow-up on the decisions</w:t>
      </w:r>
    </w:p>
    <w:p w14:paraId="42DF1BA3" w14:textId="6B05B49A" w:rsidR="001208E1" w:rsidRDefault="001208E1" w:rsidP="001208E1">
      <w:pPr>
        <w:pStyle w:val="Paragraphedeliste"/>
        <w:numPr>
          <w:ilvl w:val="0"/>
          <w:numId w:val="22"/>
        </w:numPr>
        <w:jc w:val="both"/>
        <w:rPr>
          <w:rFonts w:ascii="Cambria" w:eastAsia="Times New Roman" w:hAnsi="Cambria" w:cs="Times New Roman"/>
          <w:color w:val="1D2228"/>
          <w:sz w:val="24"/>
          <w:szCs w:val="24"/>
          <w:lang w:val="en-GB" w:eastAsia="fr-FR"/>
        </w:rPr>
      </w:pPr>
      <w:r>
        <w:rPr>
          <w:rFonts w:ascii="Cambria" w:eastAsia="Times New Roman" w:hAnsi="Cambria" w:cs="Times New Roman"/>
          <w:color w:val="1D2228"/>
          <w:sz w:val="24"/>
          <w:szCs w:val="24"/>
          <w:lang w:val="en-GB" w:eastAsia="fr-FR"/>
        </w:rPr>
        <w:t>Decide on the exchange of information and mutual consultation</w:t>
      </w:r>
    </w:p>
    <w:p w14:paraId="53ACEF4C" w14:textId="6C4161A5" w:rsidR="00FD175C" w:rsidRDefault="00FD175C" w:rsidP="00FD175C">
      <w:pPr>
        <w:pStyle w:val="Paragraphedeliste"/>
        <w:numPr>
          <w:ilvl w:val="0"/>
          <w:numId w:val="22"/>
        </w:numPr>
        <w:jc w:val="both"/>
        <w:rPr>
          <w:rFonts w:ascii="Cambria" w:eastAsia="Times New Roman" w:hAnsi="Cambria" w:cs="Times New Roman"/>
          <w:color w:val="1D2228"/>
          <w:sz w:val="24"/>
          <w:szCs w:val="24"/>
          <w:lang w:val="en-GB" w:eastAsia="fr-FR"/>
        </w:rPr>
      </w:pPr>
      <w:r>
        <w:rPr>
          <w:rFonts w:ascii="Cambria" w:eastAsia="Times New Roman" w:hAnsi="Cambria" w:cs="Times New Roman"/>
          <w:color w:val="1D2228"/>
          <w:sz w:val="24"/>
          <w:szCs w:val="24"/>
          <w:lang w:val="en-GB" w:eastAsia="fr-FR"/>
        </w:rPr>
        <w:t>P</w:t>
      </w:r>
      <w:r w:rsidRPr="00FD175C">
        <w:rPr>
          <w:rFonts w:ascii="Cambria" w:eastAsia="Times New Roman" w:hAnsi="Cambria" w:cs="Times New Roman"/>
          <w:color w:val="1D2228"/>
          <w:sz w:val="24"/>
          <w:szCs w:val="24"/>
          <w:lang w:val="en-GB" w:eastAsia="fr-FR"/>
        </w:rPr>
        <w:t xml:space="preserve">ropose solutions water resources management issues, </w:t>
      </w:r>
      <w:r>
        <w:rPr>
          <w:rFonts w:ascii="Cambria" w:eastAsia="Times New Roman" w:hAnsi="Cambria" w:cs="Times New Roman"/>
          <w:color w:val="1D2228"/>
          <w:sz w:val="24"/>
          <w:szCs w:val="24"/>
          <w:lang w:val="en-GB" w:eastAsia="fr-FR"/>
        </w:rPr>
        <w:t xml:space="preserve">and to eventual transboundary </w:t>
      </w:r>
      <w:r w:rsidRPr="007A294C">
        <w:rPr>
          <w:rFonts w:ascii="Cambria" w:eastAsia="Times New Roman" w:hAnsi="Cambria" w:cs="Times New Roman"/>
          <w:color w:val="1D2228"/>
          <w:sz w:val="24"/>
          <w:szCs w:val="24"/>
          <w:lang w:val="en-GB" w:eastAsia="fr-FR"/>
        </w:rPr>
        <w:t>impacts</w:t>
      </w:r>
    </w:p>
    <w:p w14:paraId="19B67582" w14:textId="1770962B" w:rsidR="00FD175C" w:rsidRPr="007A294C" w:rsidRDefault="00FD175C" w:rsidP="00FD175C">
      <w:pPr>
        <w:pStyle w:val="Paragraphedeliste"/>
        <w:numPr>
          <w:ilvl w:val="0"/>
          <w:numId w:val="22"/>
        </w:numPr>
        <w:jc w:val="both"/>
        <w:rPr>
          <w:rFonts w:ascii="Cambria" w:eastAsia="Times New Roman" w:hAnsi="Cambria" w:cs="Times New Roman"/>
          <w:color w:val="1D2228"/>
          <w:sz w:val="24"/>
          <w:szCs w:val="24"/>
          <w:lang w:val="en-GB" w:eastAsia="fr-FR"/>
        </w:rPr>
      </w:pPr>
      <w:r>
        <w:rPr>
          <w:rFonts w:ascii="Cambria" w:eastAsia="Times New Roman" w:hAnsi="Cambria" w:cs="Times New Roman"/>
          <w:color w:val="1D2228"/>
          <w:sz w:val="24"/>
          <w:szCs w:val="24"/>
          <w:lang w:val="en-GB" w:eastAsia="fr-FR"/>
        </w:rPr>
        <w:t>M</w:t>
      </w:r>
      <w:r w:rsidRPr="00FD175C">
        <w:rPr>
          <w:rFonts w:ascii="Cambria" w:eastAsia="Times New Roman" w:hAnsi="Cambria" w:cs="Times New Roman"/>
          <w:color w:val="1D2228"/>
          <w:sz w:val="24"/>
          <w:szCs w:val="24"/>
          <w:lang w:val="en-GB" w:eastAsia="fr-FR"/>
        </w:rPr>
        <w:t xml:space="preserve">onitor the implementation of the decisions </w:t>
      </w:r>
      <w:r>
        <w:rPr>
          <w:rFonts w:ascii="Cambria" w:eastAsia="Times New Roman" w:hAnsi="Cambria" w:cs="Times New Roman"/>
          <w:color w:val="1D2228"/>
          <w:sz w:val="24"/>
          <w:szCs w:val="24"/>
          <w:lang w:val="en-GB" w:eastAsia="fr-FR"/>
        </w:rPr>
        <w:t xml:space="preserve">it </w:t>
      </w:r>
      <w:r w:rsidRPr="00FD175C">
        <w:rPr>
          <w:rFonts w:ascii="Cambria" w:eastAsia="Times New Roman" w:hAnsi="Cambria" w:cs="Times New Roman"/>
          <w:color w:val="1D2228"/>
          <w:sz w:val="24"/>
          <w:szCs w:val="24"/>
          <w:lang w:val="en-GB" w:eastAsia="fr-FR"/>
        </w:rPr>
        <w:t xml:space="preserve">adopted </w:t>
      </w:r>
      <w:r w:rsidRPr="007A294C">
        <w:rPr>
          <w:rFonts w:ascii="Cambria" w:eastAsia="Times New Roman" w:hAnsi="Cambria" w:cs="Times New Roman"/>
          <w:color w:val="1D2228"/>
          <w:sz w:val="24"/>
          <w:szCs w:val="24"/>
          <w:lang w:val="en-GB" w:eastAsia="fr-FR"/>
        </w:rPr>
        <w:t xml:space="preserve">and organize technical control </w:t>
      </w:r>
    </w:p>
    <w:p w14:paraId="4B6803CF" w14:textId="6A286CAA" w:rsidR="001208E1" w:rsidRDefault="001208E1" w:rsidP="001208E1">
      <w:pPr>
        <w:jc w:val="both"/>
        <w:rPr>
          <w:rFonts w:ascii="Cambria" w:eastAsia="Times New Roman" w:hAnsi="Cambria" w:cs="Times New Roman"/>
          <w:color w:val="1D2228"/>
          <w:sz w:val="24"/>
          <w:szCs w:val="24"/>
          <w:lang w:val="en-GB" w:eastAsia="fr-FR"/>
        </w:rPr>
      </w:pPr>
      <w:r>
        <w:rPr>
          <w:rFonts w:ascii="Cambria" w:eastAsia="Times New Roman" w:hAnsi="Cambria" w:cs="Times New Roman"/>
          <w:color w:val="1D2228"/>
          <w:sz w:val="24"/>
          <w:szCs w:val="24"/>
          <w:lang w:val="en-GB" w:eastAsia="fr-FR"/>
        </w:rPr>
        <w:t xml:space="preserve">One important competency of the Convention is the consideration of proposing and harmonizing acts related to its overall competencies, for submission to the competent authorities in Montenegro and Albania. </w:t>
      </w:r>
    </w:p>
    <w:p w14:paraId="1FE667AC" w14:textId="7460BCA8" w:rsidR="00FD175C" w:rsidRDefault="00FD175C" w:rsidP="001208E1">
      <w:pPr>
        <w:jc w:val="both"/>
        <w:rPr>
          <w:rFonts w:ascii="Cambria" w:eastAsia="Times New Roman" w:hAnsi="Cambria" w:cs="Times New Roman"/>
          <w:color w:val="1D2228"/>
          <w:sz w:val="24"/>
          <w:szCs w:val="24"/>
          <w:lang w:val="en-GB" w:eastAsia="fr-FR"/>
        </w:rPr>
      </w:pPr>
      <w:r>
        <w:rPr>
          <w:rFonts w:ascii="Cambria" w:eastAsia="Times New Roman" w:hAnsi="Cambria" w:cs="Times New Roman"/>
          <w:color w:val="1D2228"/>
          <w:sz w:val="24"/>
          <w:szCs w:val="24"/>
          <w:lang w:val="en-GB" w:eastAsia="fr-FR"/>
        </w:rPr>
        <w:t xml:space="preserve">The Commission holds a specific competence on the Skadar Lake Basin and the Bojana/Buna River with the objective of finding an appropriate management model for the transboundary water management. </w:t>
      </w:r>
    </w:p>
    <w:p w14:paraId="6EBB3F0B" w14:textId="7AC34550" w:rsidR="00FD175C" w:rsidRDefault="00FD175C" w:rsidP="00FD175C">
      <w:pPr>
        <w:jc w:val="both"/>
        <w:rPr>
          <w:rFonts w:ascii="Cambria" w:eastAsia="Times New Roman" w:hAnsi="Cambria" w:cs="Times New Roman"/>
          <w:color w:val="1D2228"/>
          <w:sz w:val="24"/>
          <w:szCs w:val="24"/>
          <w:lang w:val="en-GB" w:eastAsia="fr-FR"/>
        </w:rPr>
      </w:pPr>
      <w:r>
        <w:rPr>
          <w:rFonts w:ascii="Cambria" w:eastAsia="Times New Roman" w:hAnsi="Cambria" w:cs="Times New Roman"/>
          <w:color w:val="1D2228"/>
          <w:sz w:val="24"/>
          <w:szCs w:val="24"/>
          <w:lang w:val="en-GB" w:eastAsia="fr-FR"/>
        </w:rPr>
        <w:t>And finally</w:t>
      </w:r>
      <w:r w:rsidR="00B1111B">
        <w:rPr>
          <w:rFonts w:ascii="Cambria" w:eastAsia="Times New Roman" w:hAnsi="Cambria" w:cs="Times New Roman"/>
          <w:color w:val="1D2228"/>
          <w:sz w:val="24"/>
          <w:szCs w:val="24"/>
          <w:lang w:val="en-GB" w:eastAsia="fr-FR"/>
        </w:rPr>
        <w:t>,</w:t>
      </w:r>
      <w:r>
        <w:rPr>
          <w:rFonts w:ascii="Cambria" w:eastAsia="Times New Roman" w:hAnsi="Cambria" w:cs="Times New Roman"/>
          <w:color w:val="1D2228"/>
          <w:sz w:val="24"/>
          <w:szCs w:val="24"/>
          <w:lang w:val="en-GB" w:eastAsia="fr-FR"/>
        </w:rPr>
        <w:t xml:space="preserve"> the Commission oversees the work of </w:t>
      </w:r>
      <w:r w:rsidRPr="00FD175C">
        <w:rPr>
          <w:rFonts w:ascii="Cambria" w:eastAsia="Times New Roman" w:hAnsi="Cambria" w:cs="Times New Roman"/>
          <w:color w:val="1D2228"/>
          <w:sz w:val="24"/>
          <w:szCs w:val="24"/>
          <w:lang w:val="en-GB" w:eastAsia="fr-FR"/>
        </w:rPr>
        <w:t>established sub-commissions, expert groups and</w:t>
      </w:r>
      <w:r>
        <w:rPr>
          <w:rFonts w:ascii="Cambria" w:eastAsia="Times New Roman" w:hAnsi="Cambria" w:cs="Times New Roman"/>
          <w:color w:val="1D2228"/>
          <w:sz w:val="24"/>
          <w:szCs w:val="24"/>
          <w:lang w:val="en-GB" w:eastAsia="fr-FR"/>
        </w:rPr>
        <w:t xml:space="preserve"> </w:t>
      </w:r>
      <w:r w:rsidRPr="00FD175C">
        <w:rPr>
          <w:rFonts w:ascii="Cambria" w:eastAsia="Times New Roman" w:hAnsi="Cambria" w:cs="Times New Roman"/>
          <w:color w:val="1D2228"/>
          <w:sz w:val="24"/>
          <w:szCs w:val="24"/>
          <w:lang w:val="en-GB" w:eastAsia="fr-FR"/>
        </w:rPr>
        <w:t>experts</w:t>
      </w:r>
      <w:r>
        <w:rPr>
          <w:rFonts w:ascii="Cambria" w:eastAsia="Times New Roman" w:hAnsi="Cambria" w:cs="Times New Roman"/>
          <w:color w:val="1D2228"/>
          <w:sz w:val="24"/>
          <w:szCs w:val="24"/>
          <w:lang w:val="en-GB" w:eastAsia="fr-FR"/>
        </w:rPr>
        <w:t xml:space="preserve">, which submit </w:t>
      </w:r>
      <w:r w:rsidR="00414482">
        <w:rPr>
          <w:rFonts w:ascii="Cambria" w:eastAsia="Times New Roman" w:hAnsi="Cambria" w:cs="Times New Roman"/>
          <w:color w:val="1D2228"/>
          <w:sz w:val="24"/>
          <w:szCs w:val="24"/>
          <w:lang w:val="en-GB" w:eastAsia="fr-FR"/>
        </w:rPr>
        <w:t xml:space="preserve">reports on their activities. On this basis, the Commission makes the </w:t>
      </w:r>
      <w:r w:rsidRPr="00FD175C">
        <w:rPr>
          <w:rFonts w:ascii="Cambria" w:eastAsia="Times New Roman" w:hAnsi="Cambria" w:cs="Times New Roman"/>
          <w:color w:val="1D2228"/>
          <w:sz w:val="24"/>
          <w:szCs w:val="24"/>
          <w:lang w:val="en-GB" w:eastAsia="fr-FR"/>
        </w:rPr>
        <w:t xml:space="preserve">appropriate conclusions </w:t>
      </w:r>
      <w:r w:rsidR="00414482">
        <w:rPr>
          <w:rFonts w:ascii="Cambria" w:eastAsia="Times New Roman" w:hAnsi="Cambria" w:cs="Times New Roman"/>
          <w:color w:val="1D2228"/>
          <w:sz w:val="24"/>
          <w:szCs w:val="24"/>
          <w:lang w:val="en-GB" w:eastAsia="fr-FR"/>
        </w:rPr>
        <w:t>on</w:t>
      </w:r>
      <w:r w:rsidRPr="00FD175C">
        <w:rPr>
          <w:rFonts w:ascii="Cambria" w:eastAsia="Times New Roman" w:hAnsi="Cambria" w:cs="Times New Roman"/>
          <w:color w:val="1D2228"/>
          <w:sz w:val="24"/>
          <w:szCs w:val="24"/>
          <w:lang w:val="en-GB" w:eastAsia="fr-FR"/>
        </w:rPr>
        <w:t xml:space="preserve"> the performed tasks and </w:t>
      </w:r>
      <w:r w:rsidR="00414482">
        <w:rPr>
          <w:rFonts w:ascii="Cambria" w:eastAsia="Times New Roman" w:hAnsi="Cambria" w:cs="Times New Roman"/>
          <w:color w:val="1D2228"/>
          <w:sz w:val="24"/>
          <w:szCs w:val="24"/>
          <w:lang w:val="en-GB" w:eastAsia="fr-FR"/>
        </w:rPr>
        <w:t xml:space="preserve">the planned ones. </w:t>
      </w:r>
    </w:p>
    <w:p w14:paraId="07941368" w14:textId="7639158B" w:rsidR="00FD175C" w:rsidRDefault="00FD175C" w:rsidP="001208E1">
      <w:pPr>
        <w:jc w:val="both"/>
        <w:rPr>
          <w:rFonts w:ascii="Cambria" w:eastAsia="Times New Roman" w:hAnsi="Cambria" w:cs="Times New Roman"/>
          <w:color w:val="1D2228"/>
          <w:sz w:val="24"/>
          <w:szCs w:val="24"/>
          <w:lang w:val="en-GB" w:eastAsia="fr-FR"/>
        </w:rPr>
      </w:pPr>
      <w:r>
        <w:rPr>
          <w:rFonts w:ascii="Cambria" w:eastAsia="Times New Roman" w:hAnsi="Cambria" w:cs="Times New Roman"/>
          <w:color w:val="1D2228"/>
          <w:sz w:val="24"/>
          <w:szCs w:val="24"/>
          <w:lang w:val="en-GB" w:eastAsia="fr-FR"/>
        </w:rPr>
        <w:t xml:space="preserve">The rules of procedure specify the functioning of the Commission, on its sessions, the decision-making process, the costs, and the roles of the Presidents. </w:t>
      </w:r>
    </w:p>
    <w:p w14:paraId="1C80AED0" w14:textId="200504A7" w:rsidR="00B1111B" w:rsidRDefault="00B1111B" w:rsidP="00B1111B">
      <w:pPr>
        <w:jc w:val="both"/>
        <w:rPr>
          <w:rFonts w:ascii="Cambria" w:eastAsia="Times New Roman" w:hAnsi="Cambria" w:cs="Times New Roman"/>
          <w:color w:val="1D2228"/>
          <w:sz w:val="24"/>
          <w:szCs w:val="24"/>
          <w:lang w:val="en-GB" w:eastAsia="fr-FR"/>
        </w:rPr>
      </w:pPr>
      <w:r>
        <w:rPr>
          <w:rFonts w:ascii="Cambria" w:eastAsia="Times New Roman" w:hAnsi="Cambria" w:cs="Times New Roman"/>
          <w:color w:val="1D2228"/>
          <w:sz w:val="24"/>
          <w:szCs w:val="24"/>
          <w:lang w:val="en-GB" w:eastAsia="fr-FR"/>
        </w:rPr>
        <w:t>The rules of procedure introduce the principle of t</w:t>
      </w:r>
      <w:r w:rsidRPr="00B1111B">
        <w:rPr>
          <w:rFonts w:ascii="Cambria" w:eastAsia="Times New Roman" w:hAnsi="Cambria" w:cs="Times New Roman"/>
          <w:color w:val="1D2228"/>
          <w:sz w:val="24"/>
          <w:szCs w:val="24"/>
          <w:lang w:val="en-GB" w:eastAsia="fr-FR"/>
        </w:rPr>
        <w:t>ransparency</w:t>
      </w:r>
      <w:r>
        <w:rPr>
          <w:rFonts w:ascii="Cambria" w:eastAsia="Times New Roman" w:hAnsi="Cambria" w:cs="Times New Roman"/>
          <w:color w:val="1D2228"/>
          <w:sz w:val="24"/>
          <w:szCs w:val="24"/>
          <w:lang w:val="en-GB" w:eastAsia="fr-FR"/>
        </w:rPr>
        <w:t xml:space="preserve">. The </w:t>
      </w:r>
      <w:r w:rsidRPr="00B1111B">
        <w:rPr>
          <w:rFonts w:ascii="Cambria" w:eastAsia="Times New Roman" w:hAnsi="Cambria" w:cs="Times New Roman"/>
          <w:color w:val="1D2228"/>
          <w:sz w:val="24"/>
          <w:szCs w:val="24"/>
          <w:lang w:val="en-GB" w:eastAsia="fr-FR"/>
        </w:rPr>
        <w:t xml:space="preserve">work of the Commission </w:t>
      </w:r>
      <w:r>
        <w:rPr>
          <w:rFonts w:ascii="Cambria" w:eastAsia="Times New Roman" w:hAnsi="Cambria" w:cs="Times New Roman"/>
          <w:color w:val="1D2228"/>
          <w:sz w:val="24"/>
          <w:szCs w:val="24"/>
          <w:lang w:val="en-GB" w:eastAsia="fr-FR"/>
        </w:rPr>
        <w:t xml:space="preserve">is </w:t>
      </w:r>
      <w:proofErr w:type="spellStart"/>
      <w:r w:rsidRPr="00B1111B">
        <w:rPr>
          <w:rFonts w:ascii="Cambria" w:eastAsia="Times New Roman" w:hAnsi="Cambria" w:cs="Times New Roman"/>
          <w:color w:val="1D2228"/>
          <w:sz w:val="24"/>
          <w:szCs w:val="24"/>
          <w:lang w:val="en-GB" w:eastAsia="fr-FR"/>
        </w:rPr>
        <w:t>is</w:t>
      </w:r>
      <w:proofErr w:type="spellEnd"/>
      <w:r w:rsidRPr="00B1111B">
        <w:rPr>
          <w:rFonts w:ascii="Cambria" w:eastAsia="Times New Roman" w:hAnsi="Cambria" w:cs="Times New Roman"/>
          <w:color w:val="1D2228"/>
          <w:sz w:val="24"/>
          <w:szCs w:val="24"/>
          <w:lang w:val="en-GB" w:eastAsia="fr-FR"/>
        </w:rPr>
        <w:t xml:space="preserve"> public unless the Commission </w:t>
      </w:r>
      <w:r>
        <w:rPr>
          <w:rFonts w:ascii="Cambria" w:eastAsia="Times New Roman" w:hAnsi="Cambria" w:cs="Times New Roman"/>
          <w:color w:val="1D2228"/>
          <w:sz w:val="24"/>
          <w:szCs w:val="24"/>
          <w:lang w:val="en-GB" w:eastAsia="fr-FR"/>
        </w:rPr>
        <w:t xml:space="preserve">has </w:t>
      </w:r>
      <w:r w:rsidRPr="00B1111B">
        <w:rPr>
          <w:rFonts w:ascii="Cambria" w:eastAsia="Times New Roman" w:hAnsi="Cambria" w:cs="Times New Roman"/>
          <w:color w:val="1D2228"/>
          <w:sz w:val="24"/>
          <w:szCs w:val="24"/>
          <w:lang w:val="en-GB" w:eastAsia="fr-FR"/>
        </w:rPr>
        <w:t>unanimously decide</w:t>
      </w:r>
      <w:r>
        <w:rPr>
          <w:rFonts w:ascii="Cambria" w:eastAsia="Times New Roman" w:hAnsi="Cambria" w:cs="Times New Roman"/>
          <w:color w:val="1D2228"/>
          <w:sz w:val="24"/>
          <w:szCs w:val="24"/>
          <w:lang w:val="en-GB" w:eastAsia="fr-FR"/>
        </w:rPr>
        <w:t xml:space="preserve">d </w:t>
      </w:r>
      <w:r w:rsidRPr="00B1111B">
        <w:rPr>
          <w:rFonts w:ascii="Cambria" w:eastAsia="Times New Roman" w:hAnsi="Cambria" w:cs="Times New Roman"/>
          <w:color w:val="1D2228"/>
          <w:sz w:val="24"/>
          <w:szCs w:val="24"/>
          <w:lang w:val="en-GB" w:eastAsia="fr-FR"/>
        </w:rPr>
        <w:t>otherwise.</w:t>
      </w:r>
    </w:p>
    <w:p w14:paraId="50F8631D" w14:textId="7E5149A9" w:rsidR="007224F7" w:rsidRPr="00EA6A6C" w:rsidRDefault="006112D9" w:rsidP="00EA6A6C">
      <w:pPr>
        <w:jc w:val="both"/>
        <w:rPr>
          <w:rFonts w:ascii="Cambria" w:hAnsi="Cambria"/>
          <w:sz w:val="24"/>
          <w:szCs w:val="24"/>
          <w:lang w:val="en-GB"/>
        </w:rPr>
      </w:pPr>
      <w:r w:rsidRPr="00EA6A6C">
        <w:rPr>
          <w:rFonts w:ascii="Cambria" w:hAnsi="Cambria"/>
          <w:sz w:val="24"/>
          <w:szCs w:val="24"/>
          <w:lang w:val="en-GB"/>
        </w:rPr>
        <w:t xml:space="preserve">Under the Water Convention (1992), and with the support of its Implementation Committee, in 2023, </w:t>
      </w:r>
      <w:r w:rsidRPr="00EA6A6C">
        <w:rPr>
          <w:rFonts w:ascii="Cambria" w:hAnsi="Cambria" w:cs="Open Sans"/>
          <w:sz w:val="24"/>
          <w:szCs w:val="24"/>
          <w:lang w:val="en-GB"/>
        </w:rPr>
        <w:t xml:space="preserve">experts from Albania and </w:t>
      </w:r>
      <w:r w:rsidR="00811397" w:rsidRPr="00EA6A6C">
        <w:rPr>
          <w:rFonts w:ascii="Cambria" w:hAnsi="Cambria" w:cs="Open Sans"/>
          <w:sz w:val="24"/>
          <w:szCs w:val="24"/>
          <w:lang w:val="en-GB"/>
        </w:rPr>
        <w:t>Montenegro</w:t>
      </w:r>
      <w:r w:rsidRPr="00EA6A6C">
        <w:rPr>
          <w:rFonts w:ascii="Cambria" w:hAnsi="Cambria" w:cs="Open Sans"/>
          <w:sz w:val="24"/>
          <w:szCs w:val="24"/>
          <w:lang w:val="en-GB"/>
        </w:rPr>
        <w:t xml:space="preserve"> discussed needs and ways for establishing adequate monitoring of transboundary groundwaters in the </w:t>
      </w:r>
      <w:proofErr w:type="spellStart"/>
      <w:r w:rsidRPr="00EA6A6C">
        <w:rPr>
          <w:rFonts w:ascii="Cambria" w:hAnsi="Cambria" w:cs="Open Sans"/>
          <w:sz w:val="24"/>
          <w:szCs w:val="24"/>
          <w:lang w:val="en-GB"/>
        </w:rPr>
        <w:t>Cemi</w:t>
      </w:r>
      <w:proofErr w:type="spellEnd"/>
      <w:r w:rsidRPr="00EA6A6C">
        <w:rPr>
          <w:rFonts w:ascii="Cambria" w:hAnsi="Cambria" w:cs="Open Sans"/>
          <w:sz w:val="24"/>
          <w:szCs w:val="24"/>
          <w:lang w:val="en-GB"/>
        </w:rPr>
        <w:t>/</w:t>
      </w:r>
      <w:proofErr w:type="spellStart"/>
      <w:r w:rsidRPr="00EA6A6C">
        <w:rPr>
          <w:rFonts w:ascii="Cambria" w:hAnsi="Cambria" w:cs="Open Sans"/>
          <w:sz w:val="24"/>
          <w:szCs w:val="24"/>
          <w:lang w:val="en-GB"/>
        </w:rPr>
        <w:t>Cijevna</w:t>
      </w:r>
      <w:proofErr w:type="spellEnd"/>
      <w:r w:rsidRPr="00EA6A6C">
        <w:rPr>
          <w:rFonts w:ascii="Cambria" w:hAnsi="Cambria" w:cs="Open Sans"/>
          <w:sz w:val="24"/>
          <w:szCs w:val="24"/>
          <w:lang w:val="en-GB"/>
        </w:rPr>
        <w:t xml:space="preserve"> basin. The experts also discussed with members of the Implementation Committee the need to jointly collect data on groundwater in the basin, develop groundwater flow maps </w:t>
      </w:r>
      <w:r w:rsidRPr="00EA6A6C">
        <w:rPr>
          <w:rFonts w:ascii="Cambria" w:hAnsi="Cambria" w:cs="Open Sans"/>
          <w:sz w:val="24"/>
          <w:szCs w:val="24"/>
          <w:lang w:val="en-GB"/>
        </w:rPr>
        <w:lastRenderedPageBreak/>
        <w:t>(</w:t>
      </w:r>
      <w:hyperlink r:id="rId15" w:history="1">
        <w:r w:rsidRPr="00EA6A6C">
          <w:rPr>
            <w:rStyle w:val="Lienhypertexte"/>
            <w:rFonts w:ascii="Cambria" w:hAnsi="Cambria" w:cs="Open Sans"/>
            <w:sz w:val="24"/>
            <w:szCs w:val="24"/>
            <w:lang w:val="en-GB"/>
          </w:rPr>
          <w:t>https://unece.org/media/news/378068</w:t>
        </w:r>
      </w:hyperlink>
      <w:r w:rsidRPr="00EA6A6C">
        <w:rPr>
          <w:rFonts w:ascii="Cambria" w:hAnsi="Cambria"/>
          <w:sz w:val="24"/>
          <w:szCs w:val="24"/>
          <w:lang w:val="en-GB"/>
        </w:rPr>
        <w:t>).</w:t>
      </w:r>
      <w:r w:rsidR="007224F7" w:rsidRPr="00EA6A6C">
        <w:rPr>
          <w:rFonts w:ascii="Cambria" w:hAnsi="Cambria"/>
          <w:sz w:val="24"/>
          <w:szCs w:val="24"/>
          <w:lang w:val="en-GB"/>
        </w:rPr>
        <w:t xml:space="preserve"> This initiative </w:t>
      </w:r>
      <w:r w:rsidR="007224F7" w:rsidRPr="00EA6A6C">
        <w:rPr>
          <w:rFonts w:ascii="Cambria" w:hAnsi="Cambria"/>
          <w:color w:val="26282A"/>
          <w:sz w:val="24"/>
          <w:szCs w:val="24"/>
          <w:shd w:val="clear" w:color="auto" w:fill="FFFFFF"/>
          <w:lang w:val="en-GB"/>
        </w:rPr>
        <w:t>related to the Cem/</w:t>
      </w:r>
      <w:proofErr w:type="spellStart"/>
      <w:r w:rsidR="007224F7" w:rsidRPr="00EA6A6C">
        <w:rPr>
          <w:rFonts w:ascii="Cambria" w:hAnsi="Cambria"/>
          <w:color w:val="26282A"/>
          <w:sz w:val="24"/>
          <w:szCs w:val="24"/>
          <w:shd w:val="clear" w:color="auto" w:fill="FFFFFF"/>
          <w:lang w:val="en-GB"/>
        </w:rPr>
        <w:t>Cijevna</w:t>
      </w:r>
      <w:proofErr w:type="spellEnd"/>
      <w:r w:rsidR="007224F7" w:rsidRPr="00EA6A6C">
        <w:rPr>
          <w:rFonts w:ascii="Cambria" w:hAnsi="Cambria"/>
          <w:color w:val="26282A"/>
          <w:sz w:val="24"/>
          <w:szCs w:val="24"/>
          <w:shd w:val="clear" w:color="auto" w:fill="FFFFFF"/>
          <w:lang w:val="en-GB"/>
        </w:rPr>
        <w:t xml:space="preserve"> River involves the development of a Protocol for the exchange of hydrological, water level of groundwater and climatic data. The Protocol is currently pending approval.</w:t>
      </w:r>
    </w:p>
    <w:p w14:paraId="7EBA4DA7" w14:textId="509D7161" w:rsidR="006112D9" w:rsidRPr="00EA6A6C" w:rsidRDefault="006112D9" w:rsidP="00EA6A6C">
      <w:pPr>
        <w:jc w:val="both"/>
        <w:rPr>
          <w:rFonts w:ascii="Cambria" w:hAnsi="Cambria" w:cs="Open Sans"/>
          <w:sz w:val="24"/>
          <w:szCs w:val="24"/>
          <w:lang w:val="en-GB"/>
        </w:rPr>
      </w:pPr>
      <w:r w:rsidRPr="00EA6A6C">
        <w:rPr>
          <w:rFonts w:ascii="Cambria" w:hAnsi="Cambria" w:cs="Open Sans"/>
          <w:sz w:val="24"/>
          <w:szCs w:val="24"/>
          <w:lang w:val="en-GB"/>
        </w:rPr>
        <w:t xml:space="preserve">In summary, the </w:t>
      </w:r>
      <w:r w:rsidR="007224F7" w:rsidRPr="00EA6A6C">
        <w:rPr>
          <w:rFonts w:ascii="Cambria" w:hAnsi="Cambria" w:cs="Open Sans"/>
          <w:sz w:val="24"/>
          <w:szCs w:val="24"/>
          <w:lang w:val="en-GB"/>
        </w:rPr>
        <w:t>Framework A</w:t>
      </w:r>
      <w:r w:rsidRPr="00EA6A6C">
        <w:rPr>
          <w:rFonts w:ascii="Cambria" w:hAnsi="Cambria" w:cs="Open Sans"/>
          <w:sz w:val="24"/>
          <w:szCs w:val="24"/>
          <w:lang w:val="en-GB"/>
        </w:rPr>
        <w:t>greement</w:t>
      </w:r>
      <w:r w:rsidR="007224F7" w:rsidRPr="00EA6A6C">
        <w:rPr>
          <w:rFonts w:ascii="Cambria" w:hAnsi="Cambria" w:cs="Open Sans"/>
          <w:sz w:val="24"/>
          <w:szCs w:val="24"/>
          <w:lang w:val="en-GB"/>
        </w:rPr>
        <w:t xml:space="preserve"> between Albania and </w:t>
      </w:r>
      <w:r w:rsidR="00EA6A6C" w:rsidRPr="00EA6A6C">
        <w:rPr>
          <w:rFonts w:ascii="Cambria" w:hAnsi="Cambria" w:cs="Open Sans"/>
          <w:sz w:val="24"/>
          <w:szCs w:val="24"/>
          <w:lang w:val="en-GB"/>
        </w:rPr>
        <w:t>Montenegro needs</w:t>
      </w:r>
      <w:r w:rsidRPr="00EA6A6C">
        <w:rPr>
          <w:rFonts w:ascii="Cambria" w:hAnsi="Cambria" w:cs="Open Sans"/>
          <w:sz w:val="24"/>
          <w:szCs w:val="24"/>
          <w:lang w:val="en-GB"/>
        </w:rPr>
        <w:t xml:space="preserve"> to be complemented by a document, which can be in the form of an addendum, or an annex to provide more detailed considerations for </w:t>
      </w:r>
      <w:r w:rsidR="000A27F0" w:rsidRPr="00EA6A6C">
        <w:rPr>
          <w:rFonts w:ascii="Cambria" w:hAnsi="Cambria" w:cs="Open Sans"/>
          <w:sz w:val="24"/>
          <w:szCs w:val="24"/>
          <w:lang w:val="en-GB"/>
        </w:rPr>
        <w:t>transboundary</w:t>
      </w:r>
      <w:r w:rsidRPr="00EA6A6C">
        <w:rPr>
          <w:rFonts w:ascii="Cambria" w:hAnsi="Cambria" w:cs="Open Sans"/>
          <w:sz w:val="24"/>
          <w:szCs w:val="24"/>
          <w:lang w:val="en-GB"/>
        </w:rPr>
        <w:t xml:space="preserve"> aquifers. It can be an addendum specific to the case of </w:t>
      </w:r>
      <w:proofErr w:type="spellStart"/>
      <w:r w:rsidRPr="00EA6A6C">
        <w:rPr>
          <w:rFonts w:ascii="Cambria" w:hAnsi="Cambria" w:cs="Open Sans"/>
          <w:sz w:val="24"/>
          <w:szCs w:val="24"/>
          <w:lang w:val="en-GB"/>
        </w:rPr>
        <w:t>Cemi</w:t>
      </w:r>
      <w:proofErr w:type="spellEnd"/>
      <w:r w:rsidRPr="00EA6A6C">
        <w:rPr>
          <w:rFonts w:ascii="Cambria" w:hAnsi="Cambria" w:cs="Open Sans"/>
          <w:sz w:val="24"/>
          <w:szCs w:val="24"/>
          <w:lang w:val="en-GB"/>
        </w:rPr>
        <w:t>/</w:t>
      </w:r>
      <w:proofErr w:type="spellStart"/>
      <w:r w:rsidRPr="00EA6A6C">
        <w:rPr>
          <w:rFonts w:ascii="Cambria" w:hAnsi="Cambria" w:cs="Open Sans"/>
          <w:sz w:val="24"/>
          <w:szCs w:val="24"/>
          <w:lang w:val="en-GB"/>
        </w:rPr>
        <w:t>Cijevna</w:t>
      </w:r>
      <w:proofErr w:type="spellEnd"/>
      <w:r w:rsidRPr="00EA6A6C">
        <w:rPr>
          <w:rFonts w:ascii="Cambria" w:hAnsi="Cambria" w:cs="Open Sans"/>
          <w:sz w:val="24"/>
          <w:szCs w:val="24"/>
          <w:lang w:val="en-GB"/>
        </w:rPr>
        <w:t xml:space="preserve">, referring to the Joint Action Plan, establishing the joint sub-commission for this TBA, or it can be a general addendum on transboundary groundwater, and establishing a sub-commission in charge of </w:t>
      </w:r>
      <w:r w:rsidR="000A27F0" w:rsidRPr="00EA6A6C">
        <w:rPr>
          <w:rFonts w:ascii="Cambria" w:hAnsi="Cambria" w:cs="Open Sans"/>
          <w:sz w:val="24"/>
          <w:szCs w:val="24"/>
          <w:lang w:val="en-GB"/>
        </w:rPr>
        <w:t>groundwater</w:t>
      </w:r>
      <w:r w:rsidRPr="00EA6A6C">
        <w:rPr>
          <w:rFonts w:ascii="Cambria" w:hAnsi="Cambria" w:cs="Open Sans"/>
          <w:sz w:val="24"/>
          <w:szCs w:val="24"/>
          <w:lang w:val="en-GB"/>
        </w:rPr>
        <w:t xml:space="preserve">. </w:t>
      </w:r>
    </w:p>
    <w:p w14:paraId="4C41EB1D" w14:textId="77777777" w:rsidR="006112D9" w:rsidRPr="003C5E53" w:rsidRDefault="006112D9" w:rsidP="006112D9">
      <w:pPr>
        <w:jc w:val="both"/>
        <w:rPr>
          <w:rFonts w:ascii="Cambria" w:hAnsi="Cambria"/>
          <w:sz w:val="24"/>
          <w:szCs w:val="24"/>
        </w:rPr>
      </w:pPr>
      <w:r w:rsidRPr="003C5E53">
        <w:rPr>
          <w:rFonts w:ascii="Cambria" w:hAnsi="Cambria"/>
          <w:sz w:val="24"/>
          <w:szCs w:val="24"/>
        </w:rPr>
        <w:t xml:space="preserve">   </w:t>
      </w:r>
    </w:p>
    <w:p w14:paraId="17E5A3A9" w14:textId="77777777" w:rsidR="006112D9" w:rsidRPr="003C5E53" w:rsidRDefault="006112D9" w:rsidP="0000684E">
      <w:pPr>
        <w:pStyle w:val="Titre1"/>
        <w:rPr>
          <w:lang w:val="en-GB"/>
        </w:rPr>
      </w:pPr>
      <w:bookmarkStart w:id="3" w:name="_Toc226579972"/>
      <w:r w:rsidRPr="003C5E53">
        <w:rPr>
          <w:lang w:val="en-GB"/>
        </w:rPr>
        <w:t>4. Diagnostic: Groundwater and GDE Governance Gaps</w:t>
      </w:r>
      <w:bookmarkEnd w:id="3"/>
      <w:r w:rsidRPr="003C5E53">
        <w:rPr>
          <w:lang w:val="en-GB"/>
        </w:rPr>
        <w:t xml:space="preserve"> </w:t>
      </w:r>
    </w:p>
    <w:p w14:paraId="5FC441FD"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 xml:space="preserve">This chapter provides a structured diagnostic of legal, institutional and operational gaps in groundwater and groundwater-dependent ecosystem (GDE) governance within the Montenegro-Albania bilateral framework. The analysis builds upon the findings of the Bilateral Groundwater Governance Diagnostic Analysis (BGGDA) for the </w:t>
      </w:r>
      <w:proofErr w:type="spellStart"/>
      <w:r w:rsidRPr="00EA6A6C">
        <w:rPr>
          <w:rFonts w:ascii="Cambria" w:hAnsi="Cambria"/>
          <w:sz w:val="24"/>
          <w:szCs w:val="24"/>
          <w:lang w:val="en-GB"/>
        </w:rPr>
        <w:t>Cemi</w:t>
      </w:r>
      <w:proofErr w:type="spellEnd"/>
      <w:r w:rsidRPr="00EA6A6C">
        <w:rPr>
          <w:rFonts w:ascii="Cambria" w:hAnsi="Cambria"/>
          <w:sz w:val="24"/>
          <w:szCs w:val="24"/>
          <w:lang w:val="en-GB"/>
        </w:rPr>
        <w:t>/</w:t>
      </w:r>
      <w:proofErr w:type="spellStart"/>
      <w:r w:rsidRPr="00EA6A6C">
        <w:rPr>
          <w:rFonts w:ascii="Cambria" w:hAnsi="Cambria"/>
          <w:sz w:val="24"/>
          <w:szCs w:val="24"/>
          <w:lang w:val="en-GB"/>
        </w:rPr>
        <w:t>Cijevna</w:t>
      </w:r>
      <w:proofErr w:type="spellEnd"/>
      <w:r w:rsidRPr="00EA6A6C">
        <w:rPr>
          <w:rFonts w:ascii="Cambria" w:hAnsi="Cambria"/>
          <w:sz w:val="24"/>
          <w:szCs w:val="24"/>
          <w:lang w:val="en-GB"/>
        </w:rPr>
        <w:t xml:space="preserve"> Transboundary Area and examines shortcomings across four key dimensions: legal clarity, operational mechanisms, planning integration, and institutional capacity and compliance.</w:t>
      </w:r>
    </w:p>
    <w:p w14:paraId="07247E93" w14:textId="77777777" w:rsidR="006112D9" w:rsidRDefault="006112D9" w:rsidP="006112D9">
      <w:pPr>
        <w:jc w:val="both"/>
        <w:rPr>
          <w:rFonts w:ascii="Cambria" w:hAnsi="Cambria"/>
          <w:sz w:val="24"/>
          <w:szCs w:val="24"/>
          <w:lang w:val="en-GB"/>
        </w:rPr>
      </w:pPr>
      <w:r w:rsidRPr="00EA6A6C">
        <w:rPr>
          <w:rFonts w:ascii="Cambria" w:hAnsi="Cambria"/>
          <w:sz w:val="24"/>
          <w:szCs w:val="24"/>
          <w:lang w:val="en-GB"/>
        </w:rPr>
        <w:t>The diagnostic confirms that both countries have largely harmonized their water legislation with the EU Water Framework Directive (WFD) and the Groundwater Directive (GWD). However, important governance gaps persist at the operational and transboundary levels. These gaps do not primarily stem from the absence of legislation, but from incomplete implementation, limited harmonization of technical procedures, and insufficient institutional coordination in the specific context of transboundary karst aquifers.</w:t>
      </w:r>
    </w:p>
    <w:p w14:paraId="68618F1E" w14:textId="77777777" w:rsidR="00EA6A6C" w:rsidRPr="00EA6A6C" w:rsidRDefault="00EA6A6C" w:rsidP="006112D9">
      <w:pPr>
        <w:jc w:val="both"/>
        <w:rPr>
          <w:rFonts w:ascii="Cambria" w:hAnsi="Cambria"/>
          <w:sz w:val="24"/>
          <w:szCs w:val="24"/>
          <w:lang w:val="en-GB"/>
        </w:rPr>
      </w:pPr>
    </w:p>
    <w:p w14:paraId="1E1883F4" w14:textId="77777777" w:rsidR="006112D9" w:rsidRPr="00EA6A6C" w:rsidRDefault="006112D9" w:rsidP="0000684E">
      <w:pPr>
        <w:pStyle w:val="Titre2"/>
        <w:rPr>
          <w:lang w:val="en-GB"/>
        </w:rPr>
      </w:pPr>
      <w:bookmarkStart w:id="4" w:name="_Toc226579973"/>
      <w:r w:rsidRPr="00EA6A6C">
        <w:rPr>
          <w:lang w:val="en-GB"/>
        </w:rPr>
        <w:t>4.1 Legal Clarity and Scope Gaps</w:t>
      </w:r>
      <w:bookmarkEnd w:id="4"/>
    </w:p>
    <w:p w14:paraId="2D8AE41C" w14:textId="33004EF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 xml:space="preserve">The current bilateral Agreement on Transboundary Water Management (2018) applies to both transboundary surface and groundwater generally and to “waters of common interest” which also covers groundwater. </w:t>
      </w:r>
      <w:r w:rsidR="00EA6A6C" w:rsidRPr="00EA6A6C">
        <w:rPr>
          <w:rFonts w:ascii="Cambria" w:hAnsi="Cambria"/>
          <w:sz w:val="24"/>
          <w:szCs w:val="24"/>
          <w:lang w:val="en-GB"/>
        </w:rPr>
        <w:t>However,</w:t>
      </w:r>
      <w:r w:rsidRPr="00EA6A6C">
        <w:rPr>
          <w:rFonts w:ascii="Cambria" w:hAnsi="Cambria"/>
          <w:sz w:val="24"/>
          <w:szCs w:val="24"/>
          <w:lang w:val="en-GB"/>
        </w:rPr>
        <w:t xml:space="preserve"> the agreement does not explicitly define or operationalize the concept of a transboundary groundwater body.</w:t>
      </w:r>
    </w:p>
    <w:p w14:paraId="445DD00D"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Key legal clarity gaps include:</w:t>
      </w:r>
    </w:p>
    <w:p w14:paraId="5E03604E" w14:textId="77777777" w:rsidR="006112D9" w:rsidRPr="00EA6A6C" w:rsidRDefault="006112D9" w:rsidP="006112D9">
      <w:pPr>
        <w:numPr>
          <w:ilvl w:val="0"/>
          <w:numId w:val="8"/>
        </w:numPr>
        <w:jc w:val="both"/>
        <w:rPr>
          <w:rFonts w:ascii="Cambria" w:hAnsi="Cambria"/>
          <w:sz w:val="24"/>
          <w:szCs w:val="24"/>
          <w:lang w:val="en-GB"/>
        </w:rPr>
      </w:pPr>
      <w:r w:rsidRPr="00EA6A6C">
        <w:rPr>
          <w:rFonts w:ascii="Cambria" w:hAnsi="Cambria"/>
          <w:sz w:val="24"/>
          <w:szCs w:val="24"/>
          <w:lang w:val="en-GB"/>
        </w:rPr>
        <w:t xml:space="preserve">The absence of an explicit definition of shared aquifers or groundwater bodies crossing the state </w:t>
      </w:r>
      <w:proofErr w:type="gramStart"/>
      <w:r w:rsidRPr="00EA6A6C">
        <w:rPr>
          <w:rFonts w:ascii="Cambria" w:hAnsi="Cambria"/>
          <w:sz w:val="24"/>
          <w:szCs w:val="24"/>
          <w:lang w:val="en-GB"/>
        </w:rPr>
        <w:t>border;</w:t>
      </w:r>
      <w:proofErr w:type="gramEnd"/>
    </w:p>
    <w:p w14:paraId="42928B85" w14:textId="77777777" w:rsidR="006112D9" w:rsidRPr="00EA6A6C" w:rsidRDefault="006112D9" w:rsidP="006112D9">
      <w:pPr>
        <w:numPr>
          <w:ilvl w:val="0"/>
          <w:numId w:val="8"/>
        </w:numPr>
        <w:jc w:val="both"/>
        <w:rPr>
          <w:rFonts w:ascii="Cambria" w:hAnsi="Cambria"/>
          <w:sz w:val="24"/>
          <w:szCs w:val="24"/>
          <w:lang w:val="en-GB"/>
        </w:rPr>
      </w:pPr>
      <w:r w:rsidRPr="00EA6A6C">
        <w:rPr>
          <w:rFonts w:ascii="Cambria" w:hAnsi="Cambria"/>
          <w:sz w:val="24"/>
          <w:szCs w:val="24"/>
          <w:lang w:val="en-GB"/>
        </w:rPr>
        <w:t>The absence of a definition of groundwater-dependent ecosystems (GDEs</w:t>
      </w:r>
      <w:proofErr w:type="gramStart"/>
      <w:r w:rsidRPr="00EA6A6C">
        <w:rPr>
          <w:rFonts w:ascii="Cambria" w:hAnsi="Cambria"/>
          <w:sz w:val="24"/>
          <w:szCs w:val="24"/>
          <w:lang w:val="en-GB"/>
        </w:rPr>
        <w:t>);</w:t>
      </w:r>
      <w:proofErr w:type="gramEnd"/>
    </w:p>
    <w:p w14:paraId="0AFF3879" w14:textId="391DA0A5" w:rsidR="006112D9" w:rsidRPr="00EA6A6C" w:rsidRDefault="006112D9" w:rsidP="006112D9">
      <w:pPr>
        <w:numPr>
          <w:ilvl w:val="0"/>
          <w:numId w:val="8"/>
        </w:numPr>
        <w:jc w:val="both"/>
        <w:rPr>
          <w:rFonts w:ascii="Cambria" w:hAnsi="Cambria"/>
          <w:sz w:val="24"/>
          <w:szCs w:val="24"/>
          <w:lang w:val="en-GB"/>
        </w:rPr>
      </w:pPr>
      <w:r w:rsidRPr="00EA6A6C">
        <w:rPr>
          <w:rFonts w:ascii="Cambria" w:hAnsi="Cambria"/>
          <w:sz w:val="24"/>
          <w:szCs w:val="24"/>
          <w:lang w:val="en-GB"/>
        </w:rPr>
        <w:t xml:space="preserve">No detailed measures to prevent deterioration of groundwater status at transboundary scale, including the recognition of </w:t>
      </w:r>
      <w:r w:rsidR="000A67C7" w:rsidRPr="00EA6A6C">
        <w:rPr>
          <w:rFonts w:ascii="Cambria" w:hAnsi="Cambria"/>
          <w:sz w:val="24"/>
          <w:szCs w:val="24"/>
          <w:lang w:val="en-GB"/>
        </w:rPr>
        <w:t xml:space="preserve">coordinated </w:t>
      </w:r>
      <w:r w:rsidRPr="00EA6A6C">
        <w:rPr>
          <w:rFonts w:ascii="Cambria" w:hAnsi="Cambria"/>
          <w:sz w:val="24"/>
          <w:szCs w:val="24"/>
          <w:lang w:val="en-GB"/>
        </w:rPr>
        <w:t xml:space="preserve">sanitary protection zones (SPZ) and extending across </w:t>
      </w:r>
      <w:proofErr w:type="gramStart"/>
      <w:r w:rsidRPr="00EA6A6C">
        <w:rPr>
          <w:rFonts w:ascii="Cambria" w:hAnsi="Cambria"/>
          <w:sz w:val="24"/>
          <w:szCs w:val="24"/>
          <w:lang w:val="en-GB"/>
        </w:rPr>
        <w:t>borders;</w:t>
      </w:r>
      <w:proofErr w:type="gramEnd"/>
    </w:p>
    <w:p w14:paraId="7C26348C" w14:textId="77777777" w:rsidR="006112D9" w:rsidRPr="00EA6A6C" w:rsidRDefault="006112D9" w:rsidP="006112D9">
      <w:pPr>
        <w:numPr>
          <w:ilvl w:val="0"/>
          <w:numId w:val="8"/>
        </w:numPr>
        <w:jc w:val="both"/>
        <w:rPr>
          <w:rFonts w:ascii="Cambria" w:hAnsi="Cambria"/>
          <w:sz w:val="24"/>
          <w:szCs w:val="24"/>
          <w:lang w:val="en-GB"/>
        </w:rPr>
      </w:pPr>
      <w:r w:rsidRPr="00EA6A6C">
        <w:rPr>
          <w:rFonts w:ascii="Cambria" w:hAnsi="Cambria"/>
          <w:sz w:val="24"/>
          <w:szCs w:val="24"/>
          <w:lang w:val="en-GB"/>
        </w:rPr>
        <w:lastRenderedPageBreak/>
        <w:t>No joint delineation procedure for cross-border recharge areas.</w:t>
      </w:r>
    </w:p>
    <w:p w14:paraId="60BAE0B5"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For example, recharge zones located in one country may directly influence abstraction wells in the other, yet there is no legal requirement for prior notification, joint assessment or harmonized land-use restrictions in such zones.</w:t>
      </w:r>
    </w:p>
    <w:p w14:paraId="7C4B77B6" w14:textId="40A89AAE"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 xml:space="preserve">Furthermore, while both national systems recognize SPZ as a regulatory tool, they apply different methodologies and implementation practices. In Albania, SPZ are legally recognized but often partially implemented, with Zone I most consistently delineated. In Montenegro, SPZ are regulated under water legislation and rulebooks, yet karst-specific methodological guidance remains limited. The absence of cross-border </w:t>
      </w:r>
      <w:r w:rsidR="000A67C7" w:rsidRPr="00EA6A6C">
        <w:rPr>
          <w:rFonts w:ascii="Cambria" w:hAnsi="Cambria"/>
          <w:sz w:val="24"/>
          <w:szCs w:val="24"/>
          <w:lang w:val="en-GB"/>
        </w:rPr>
        <w:t xml:space="preserve">coordination </w:t>
      </w:r>
      <w:r w:rsidRPr="00EA6A6C">
        <w:rPr>
          <w:rFonts w:ascii="Cambria" w:hAnsi="Cambria"/>
          <w:sz w:val="24"/>
          <w:szCs w:val="24"/>
          <w:lang w:val="en-GB"/>
        </w:rPr>
        <w:t>may lead to asymmetrical protection regimes within the same hydrogeological system.</w:t>
      </w:r>
    </w:p>
    <w:p w14:paraId="763C79E6"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Thus, the first major governance gap concerns insufficient legal specificity and cross-border clarity regarding shared aquifers and their dependent ecosystems.</w:t>
      </w:r>
    </w:p>
    <w:p w14:paraId="5A87F235" w14:textId="77777777" w:rsidR="00EA6A6C" w:rsidRDefault="00EA6A6C" w:rsidP="0000684E">
      <w:pPr>
        <w:pStyle w:val="Titre2"/>
        <w:rPr>
          <w:lang w:val="en-GB"/>
        </w:rPr>
      </w:pPr>
    </w:p>
    <w:p w14:paraId="091D6545" w14:textId="2DE237EB" w:rsidR="006112D9" w:rsidRPr="00EA6A6C" w:rsidRDefault="006112D9" w:rsidP="0000684E">
      <w:pPr>
        <w:pStyle w:val="Titre2"/>
        <w:rPr>
          <w:lang w:val="en-GB"/>
        </w:rPr>
      </w:pPr>
      <w:bookmarkStart w:id="5" w:name="_Toc226579974"/>
      <w:r w:rsidRPr="00EA6A6C">
        <w:rPr>
          <w:lang w:val="en-GB"/>
        </w:rPr>
        <w:t>4.2 Monitoring and Data Gaps</w:t>
      </w:r>
      <w:bookmarkEnd w:id="5"/>
    </w:p>
    <w:p w14:paraId="47C2AD28"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The second category of governance gaps relates to operational mechanisms necessary for effective groundwater management.</w:t>
      </w:r>
    </w:p>
    <w:p w14:paraId="1279AE00" w14:textId="77777777" w:rsidR="006112D9" w:rsidRPr="00EA6A6C" w:rsidRDefault="006112D9" w:rsidP="0000684E">
      <w:pPr>
        <w:pStyle w:val="Titre3"/>
        <w:rPr>
          <w:lang w:val="en-GB"/>
        </w:rPr>
      </w:pPr>
      <w:bookmarkStart w:id="6" w:name="_Toc226579975"/>
      <w:r w:rsidRPr="00EA6A6C">
        <w:rPr>
          <w:lang w:val="en-GB"/>
        </w:rPr>
        <w:t>4.2.1 Joint Monitoring Deficit</w:t>
      </w:r>
      <w:bookmarkEnd w:id="6"/>
    </w:p>
    <w:p w14:paraId="61150100"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 xml:space="preserve">The BGGDA for </w:t>
      </w:r>
      <w:proofErr w:type="spellStart"/>
      <w:r w:rsidRPr="00EA6A6C">
        <w:rPr>
          <w:rFonts w:ascii="Cambria" w:hAnsi="Cambria"/>
          <w:sz w:val="24"/>
          <w:szCs w:val="24"/>
          <w:lang w:val="en-GB"/>
        </w:rPr>
        <w:t>Cemi</w:t>
      </w:r>
      <w:proofErr w:type="spellEnd"/>
      <w:r w:rsidRPr="00EA6A6C">
        <w:rPr>
          <w:rFonts w:ascii="Cambria" w:hAnsi="Cambria"/>
          <w:sz w:val="24"/>
          <w:szCs w:val="24"/>
          <w:lang w:val="en-GB"/>
        </w:rPr>
        <w:t>/</w:t>
      </w:r>
      <w:proofErr w:type="spellStart"/>
      <w:r w:rsidRPr="00EA6A6C">
        <w:rPr>
          <w:rFonts w:ascii="Cambria" w:hAnsi="Cambria"/>
          <w:sz w:val="24"/>
          <w:szCs w:val="24"/>
          <w:lang w:val="en-GB"/>
        </w:rPr>
        <w:t>Cijevna</w:t>
      </w:r>
      <w:proofErr w:type="spellEnd"/>
      <w:r w:rsidRPr="00EA6A6C">
        <w:rPr>
          <w:rFonts w:ascii="Cambria" w:hAnsi="Cambria"/>
          <w:sz w:val="24"/>
          <w:szCs w:val="24"/>
          <w:lang w:val="en-GB"/>
        </w:rPr>
        <w:t xml:space="preserve"> identifies significant asymmetries and limitations in groundwater monitoring:</w:t>
      </w:r>
    </w:p>
    <w:p w14:paraId="7DD45661" w14:textId="77777777" w:rsidR="006112D9" w:rsidRPr="00EA6A6C" w:rsidRDefault="006112D9" w:rsidP="006112D9">
      <w:pPr>
        <w:numPr>
          <w:ilvl w:val="0"/>
          <w:numId w:val="2"/>
        </w:numPr>
        <w:jc w:val="both"/>
        <w:rPr>
          <w:rFonts w:ascii="Cambria" w:hAnsi="Cambria"/>
          <w:sz w:val="24"/>
          <w:szCs w:val="24"/>
          <w:lang w:val="en-GB"/>
        </w:rPr>
      </w:pPr>
      <w:r w:rsidRPr="00EA6A6C">
        <w:rPr>
          <w:rFonts w:ascii="Cambria" w:hAnsi="Cambria"/>
          <w:sz w:val="24"/>
          <w:szCs w:val="24"/>
          <w:lang w:val="en-GB"/>
        </w:rPr>
        <w:t xml:space="preserve">Uneven spatial coverage of monitoring points, particularly in upland recharge </w:t>
      </w:r>
      <w:proofErr w:type="gramStart"/>
      <w:r w:rsidRPr="00EA6A6C">
        <w:rPr>
          <w:rFonts w:ascii="Cambria" w:hAnsi="Cambria"/>
          <w:sz w:val="24"/>
          <w:szCs w:val="24"/>
          <w:lang w:val="en-GB"/>
        </w:rPr>
        <w:t>zones;</w:t>
      </w:r>
      <w:proofErr w:type="gramEnd"/>
    </w:p>
    <w:p w14:paraId="5602D155" w14:textId="77777777" w:rsidR="006112D9" w:rsidRPr="00EA6A6C" w:rsidRDefault="006112D9" w:rsidP="006112D9">
      <w:pPr>
        <w:numPr>
          <w:ilvl w:val="0"/>
          <w:numId w:val="2"/>
        </w:numPr>
        <w:jc w:val="both"/>
        <w:rPr>
          <w:rFonts w:ascii="Cambria" w:hAnsi="Cambria"/>
          <w:sz w:val="24"/>
          <w:szCs w:val="24"/>
          <w:lang w:val="en-GB"/>
        </w:rPr>
      </w:pPr>
      <w:r w:rsidRPr="00EA6A6C">
        <w:rPr>
          <w:rFonts w:ascii="Cambria" w:hAnsi="Cambria"/>
          <w:sz w:val="24"/>
          <w:szCs w:val="24"/>
          <w:lang w:val="en-GB"/>
        </w:rPr>
        <w:t xml:space="preserve">Lack of harmonized monitoring </w:t>
      </w:r>
      <w:proofErr w:type="gramStart"/>
      <w:r w:rsidRPr="00EA6A6C">
        <w:rPr>
          <w:rFonts w:ascii="Cambria" w:hAnsi="Cambria"/>
          <w:sz w:val="24"/>
          <w:szCs w:val="24"/>
          <w:lang w:val="en-GB"/>
        </w:rPr>
        <w:t>parameters;</w:t>
      </w:r>
      <w:proofErr w:type="gramEnd"/>
    </w:p>
    <w:p w14:paraId="45257ABA" w14:textId="77777777" w:rsidR="006112D9" w:rsidRPr="00EA6A6C" w:rsidRDefault="006112D9" w:rsidP="006112D9">
      <w:pPr>
        <w:numPr>
          <w:ilvl w:val="0"/>
          <w:numId w:val="2"/>
        </w:numPr>
        <w:jc w:val="both"/>
        <w:rPr>
          <w:rFonts w:ascii="Cambria" w:hAnsi="Cambria"/>
          <w:sz w:val="24"/>
          <w:szCs w:val="24"/>
          <w:lang w:val="en-GB"/>
        </w:rPr>
      </w:pPr>
      <w:r w:rsidRPr="00EA6A6C">
        <w:rPr>
          <w:rFonts w:ascii="Cambria" w:hAnsi="Cambria"/>
          <w:sz w:val="24"/>
          <w:szCs w:val="24"/>
          <w:lang w:val="en-GB"/>
        </w:rPr>
        <w:t xml:space="preserve">Inconsistent sampling </w:t>
      </w:r>
      <w:proofErr w:type="gramStart"/>
      <w:r w:rsidRPr="00EA6A6C">
        <w:rPr>
          <w:rFonts w:ascii="Cambria" w:hAnsi="Cambria"/>
          <w:sz w:val="24"/>
          <w:szCs w:val="24"/>
          <w:lang w:val="en-GB"/>
        </w:rPr>
        <w:t>frequency;</w:t>
      </w:r>
      <w:proofErr w:type="gramEnd"/>
    </w:p>
    <w:p w14:paraId="49E20B09" w14:textId="77777777" w:rsidR="006112D9" w:rsidRPr="00EA6A6C" w:rsidRDefault="006112D9" w:rsidP="006112D9">
      <w:pPr>
        <w:numPr>
          <w:ilvl w:val="0"/>
          <w:numId w:val="2"/>
        </w:numPr>
        <w:jc w:val="both"/>
        <w:rPr>
          <w:rFonts w:ascii="Cambria" w:hAnsi="Cambria"/>
          <w:sz w:val="24"/>
          <w:szCs w:val="24"/>
          <w:lang w:val="en-GB"/>
        </w:rPr>
      </w:pPr>
      <w:r w:rsidRPr="00EA6A6C">
        <w:rPr>
          <w:rFonts w:ascii="Cambria" w:hAnsi="Cambria"/>
          <w:sz w:val="24"/>
          <w:szCs w:val="24"/>
          <w:lang w:val="en-GB"/>
        </w:rPr>
        <w:t xml:space="preserve">Limited microbiological monitoring in karst </w:t>
      </w:r>
      <w:proofErr w:type="gramStart"/>
      <w:r w:rsidRPr="00EA6A6C">
        <w:rPr>
          <w:rFonts w:ascii="Cambria" w:hAnsi="Cambria"/>
          <w:sz w:val="24"/>
          <w:szCs w:val="24"/>
          <w:lang w:val="en-GB"/>
        </w:rPr>
        <w:t>systems;</w:t>
      </w:r>
      <w:proofErr w:type="gramEnd"/>
    </w:p>
    <w:p w14:paraId="7FCE2D76" w14:textId="77777777" w:rsidR="006112D9" w:rsidRPr="00EA6A6C" w:rsidRDefault="006112D9" w:rsidP="006112D9">
      <w:pPr>
        <w:numPr>
          <w:ilvl w:val="0"/>
          <w:numId w:val="2"/>
        </w:numPr>
        <w:jc w:val="both"/>
        <w:rPr>
          <w:rFonts w:ascii="Cambria" w:hAnsi="Cambria"/>
          <w:sz w:val="24"/>
          <w:szCs w:val="24"/>
          <w:lang w:val="en-GB"/>
        </w:rPr>
      </w:pPr>
      <w:r w:rsidRPr="00EA6A6C">
        <w:rPr>
          <w:rFonts w:ascii="Cambria" w:hAnsi="Cambria"/>
          <w:sz w:val="24"/>
          <w:szCs w:val="24"/>
          <w:lang w:val="en-GB"/>
        </w:rPr>
        <w:t>Insufficient event-based monitoring during high-flow or rainfall periods.</w:t>
      </w:r>
    </w:p>
    <w:p w14:paraId="23B2F5DD"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While both countries conduct national groundwater monitoring in line with WFD/GWD requirements, no joint monitoring network exists for shared aquifers. Monitoring stations are designed and operated independently, without systematic coordination or alignment of methodologies.</w:t>
      </w:r>
    </w:p>
    <w:p w14:paraId="238EEBA4"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 xml:space="preserve">Karst aquifers, such as those in the </w:t>
      </w:r>
      <w:proofErr w:type="spellStart"/>
      <w:r w:rsidRPr="00EA6A6C">
        <w:rPr>
          <w:rFonts w:ascii="Cambria" w:hAnsi="Cambria"/>
          <w:sz w:val="24"/>
          <w:szCs w:val="24"/>
          <w:lang w:val="en-GB"/>
        </w:rPr>
        <w:t>Cemi</w:t>
      </w:r>
      <w:proofErr w:type="spellEnd"/>
      <w:r w:rsidRPr="00EA6A6C">
        <w:rPr>
          <w:rFonts w:ascii="Cambria" w:hAnsi="Cambria"/>
          <w:sz w:val="24"/>
          <w:szCs w:val="24"/>
          <w:lang w:val="en-GB"/>
        </w:rPr>
        <w:t>/</w:t>
      </w:r>
      <w:proofErr w:type="spellStart"/>
      <w:r w:rsidRPr="00EA6A6C">
        <w:rPr>
          <w:rFonts w:ascii="Cambria" w:hAnsi="Cambria"/>
          <w:sz w:val="24"/>
          <w:szCs w:val="24"/>
          <w:lang w:val="en-GB"/>
        </w:rPr>
        <w:t>Cijevna</w:t>
      </w:r>
      <w:proofErr w:type="spellEnd"/>
      <w:r w:rsidRPr="00EA6A6C">
        <w:rPr>
          <w:rFonts w:ascii="Cambria" w:hAnsi="Cambria"/>
          <w:sz w:val="24"/>
          <w:szCs w:val="24"/>
          <w:lang w:val="en-GB"/>
        </w:rPr>
        <w:t xml:space="preserve"> area, are characterized by rapid groundwater flow and high vulnerability to pollution. Contaminants may travel quickly through conduits with limited natural attenuation. Without coordinated monitoring and harmonized parameter lists, transboundary risks remain insufficiently managed.</w:t>
      </w:r>
    </w:p>
    <w:p w14:paraId="3CF2A993" w14:textId="77777777" w:rsidR="006112D9" w:rsidRPr="00EA6A6C" w:rsidRDefault="006112D9" w:rsidP="0000684E">
      <w:pPr>
        <w:pStyle w:val="Titre3"/>
        <w:rPr>
          <w:lang w:val="en-GB"/>
        </w:rPr>
      </w:pPr>
      <w:bookmarkStart w:id="7" w:name="_Toc226579976"/>
      <w:r w:rsidRPr="00EA6A6C">
        <w:rPr>
          <w:lang w:val="en-GB"/>
        </w:rPr>
        <w:t>4.2.2 Data Exchange and Interoperability Gaps</w:t>
      </w:r>
      <w:bookmarkEnd w:id="7"/>
    </w:p>
    <w:p w14:paraId="446052AE"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Although the 2018 Agreement provides for general data exchange groundwater-specific data sharing remains ad hoc and not structured through:</w:t>
      </w:r>
    </w:p>
    <w:p w14:paraId="3E50B4BA" w14:textId="77777777" w:rsidR="006112D9" w:rsidRPr="00EA6A6C" w:rsidRDefault="006112D9" w:rsidP="006112D9">
      <w:pPr>
        <w:numPr>
          <w:ilvl w:val="0"/>
          <w:numId w:val="3"/>
        </w:numPr>
        <w:jc w:val="both"/>
        <w:rPr>
          <w:rFonts w:ascii="Cambria" w:hAnsi="Cambria"/>
          <w:sz w:val="24"/>
          <w:szCs w:val="24"/>
          <w:lang w:val="en-GB"/>
        </w:rPr>
      </w:pPr>
      <w:r w:rsidRPr="00EA6A6C">
        <w:rPr>
          <w:rFonts w:ascii="Cambria" w:hAnsi="Cambria"/>
          <w:sz w:val="24"/>
          <w:szCs w:val="24"/>
          <w:lang w:val="en-GB"/>
        </w:rPr>
        <w:lastRenderedPageBreak/>
        <w:t xml:space="preserve">Agreed exchange </w:t>
      </w:r>
      <w:proofErr w:type="gramStart"/>
      <w:r w:rsidRPr="00EA6A6C">
        <w:rPr>
          <w:rFonts w:ascii="Cambria" w:hAnsi="Cambria"/>
          <w:sz w:val="24"/>
          <w:szCs w:val="24"/>
          <w:lang w:val="en-GB"/>
        </w:rPr>
        <w:t>formats;</w:t>
      </w:r>
      <w:proofErr w:type="gramEnd"/>
    </w:p>
    <w:p w14:paraId="39322368" w14:textId="77777777" w:rsidR="006112D9" w:rsidRPr="00EA6A6C" w:rsidRDefault="006112D9" w:rsidP="006112D9">
      <w:pPr>
        <w:numPr>
          <w:ilvl w:val="0"/>
          <w:numId w:val="3"/>
        </w:numPr>
        <w:jc w:val="both"/>
        <w:rPr>
          <w:rFonts w:ascii="Cambria" w:hAnsi="Cambria"/>
          <w:sz w:val="24"/>
          <w:szCs w:val="24"/>
          <w:lang w:val="en-GB"/>
        </w:rPr>
      </w:pPr>
      <w:r w:rsidRPr="00EA6A6C">
        <w:rPr>
          <w:rFonts w:ascii="Cambria" w:hAnsi="Cambria"/>
          <w:sz w:val="24"/>
          <w:szCs w:val="24"/>
          <w:lang w:val="en-GB"/>
        </w:rPr>
        <w:t xml:space="preserve">Standardized metadata </w:t>
      </w:r>
      <w:proofErr w:type="gramStart"/>
      <w:r w:rsidRPr="00EA6A6C">
        <w:rPr>
          <w:rFonts w:ascii="Cambria" w:hAnsi="Cambria"/>
          <w:sz w:val="24"/>
          <w:szCs w:val="24"/>
          <w:lang w:val="en-GB"/>
        </w:rPr>
        <w:t>protocols;</w:t>
      </w:r>
      <w:proofErr w:type="gramEnd"/>
    </w:p>
    <w:p w14:paraId="53850C78" w14:textId="77777777" w:rsidR="006112D9" w:rsidRPr="00EA6A6C" w:rsidRDefault="006112D9" w:rsidP="006112D9">
      <w:pPr>
        <w:numPr>
          <w:ilvl w:val="0"/>
          <w:numId w:val="3"/>
        </w:numPr>
        <w:jc w:val="both"/>
        <w:rPr>
          <w:rFonts w:ascii="Cambria" w:hAnsi="Cambria"/>
          <w:sz w:val="24"/>
          <w:szCs w:val="24"/>
          <w:lang w:val="en-GB"/>
        </w:rPr>
      </w:pPr>
      <w:r w:rsidRPr="00EA6A6C">
        <w:rPr>
          <w:rFonts w:ascii="Cambria" w:hAnsi="Cambria"/>
          <w:sz w:val="24"/>
          <w:szCs w:val="24"/>
          <w:lang w:val="en-GB"/>
        </w:rPr>
        <w:t xml:space="preserve">Shared digital </w:t>
      </w:r>
      <w:proofErr w:type="gramStart"/>
      <w:r w:rsidRPr="00EA6A6C">
        <w:rPr>
          <w:rFonts w:ascii="Cambria" w:hAnsi="Cambria"/>
          <w:sz w:val="24"/>
          <w:szCs w:val="24"/>
          <w:lang w:val="en-GB"/>
        </w:rPr>
        <w:t>platforms;</w:t>
      </w:r>
      <w:proofErr w:type="gramEnd"/>
    </w:p>
    <w:p w14:paraId="323C4092" w14:textId="77777777" w:rsidR="006112D9" w:rsidRPr="00EA6A6C" w:rsidRDefault="006112D9" w:rsidP="006112D9">
      <w:pPr>
        <w:numPr>
          <w:ilvl w:val="0"/>
          <w:numId w:val="3"/>
        </w:numPr>
        <w:jc w:val="both"/>
        <w:rPr>
          <w:rFonts w:ascii="Cambria" w:hAnsi="Cambria"/>
          <w:sz w:val="24"/>
          <w:szCs w:val="24"/>
          <w:lang w:val="en-GB"/>
        </w:rPr>
      </w:pPr>
      <w:r w:rsidRPr="00EA6A6C">
        <w:rPr>
          <w:rFonts w:ascii="Cambria" w:hAnsi="Cambria"/>
          <w:sz w:val="24"/>
          <w:szCs w:val="24"/>
          <w:lang w:val="en-GB"/>
        </w:rPr>
        <w:t>Defined notification timelines.</w:t>
      </w:r>
    </w:p>
    <w:p w14:paraId="4C85E6DF"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The BGGDA highlights limited interoperability between national databases and insufficient institutionalization of regular technical exchanges. Data standardization, particularly regarding chemical thresholds and quantitative assessment methodologies, remains incomplete.</w:t>
      </w:r>
    </w:p>
    <w:p w14:paraId="64AD33BA" w14:textId="2C63D22B" w:rsidR="006112D9" w:rsidRPr="00EA6A6C" w:rsidRDefault="006112D9" w:rsidP="00EA6A6C">
      <w:pPr>
        <w:jc w:val="both"/>
        <w:rPr>
          <w:rFonts w:ascii="Cambria" w:hAnsi="Cambria"/>
          <w:sz w:val="24"/>
          <w:szCs w:val="24"/>
          <w:lang w:val="en-GB"/>
        </w:rPr>
      </w:pPr>
      <w:r w:rsidRPr="00EA6A6C">
        <w:rPr>
          <w:rFonts w:ascii="Cambria" w:hAnsi="Cambria"/>
          <w:sz w:val="24"/>
          <w:szCs w:val="24"/>
          <w:lang w:val="en-GB"/>
        </w:rPr>
        <w:t>In the absence of structured exchange mechanisms, risk communication may depend on informal channels rather than institutional procedures, reducing transparency and predictability.</w:t>
      </w:r>
    </w:p>
    <w:p w14:paraId="63A643DB" w14:textId="77777777" w:rsidR="006112D9" w:rsidRPr="00EA6A6C" w:rsidRDefault="006112D9" w:rsidP="0000684E">
      <w:pPr>
        <w:pStyle w:val="Titre3"/>
        <w:rPr>
          <w:lang w:val="en-GB"/>
        </w:rPr>
      </w:pPr>
      <w:bookmarkStart w:id="8" w:name="_Toc226579977"/>
      <w:r w:rsidRPr="00EA6A6C">
        <w:rPr>
          <w:lang w:val="en-GB"/>
        </w:rPr>
        <w:t>4.2.3 Early Warning and Incident Response Gaps</w:t>
      </w:r>
      <w:bookmarkEnd w:id="8"/>
    </w:p>
    <w:p w14:paraId="7C8607DD"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The current bilateral framework does not include groundwater-specific early warning provisions.</w:t>
      </w:r>
    </w:p>
    <w:p w14:paraId="3CE8AB49"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In karst systems, contamination events may be:</w:t>
      </w:r>
    </w:p>
    <w:p w14:paraId="44FFEF0E" w14:textId="77777777" w:rsidR="006112D9" w:rsidRPr="00EA6A6C" w:rsidRDefault="006112D9" w:rsidP="006112D9">
      <w:pPr>
        <w:numPr>
          <w:ilvl w:val="0"/>
          <w:numId w:val="4"/>
        </w:numPr>
        <w:jc w:val="both"/>
        <w:rPr>
          <w:rFonts w:ascii="Cambria" w:hAnsi="Cambria"/>
          <w:sz w:val="24"/>
          <w:szCs w:val="24"/>
          <w:lang w:val="en-GB"/>
        </w:rPr>
      </w:pPr>
      <w:r w:rsidRPr="00EA6A6C">
        <w:rPr>
          <w:rFonts w:ascii="Cambria" w:hAnsi="Cambria"/>
          <w:sz w:val="24"/>
          <w:szCs w:val="24"/>
          <w:lang w:val="en-GB"/>
        </w:rPr>
        <w:t>Sudden and rainfall-</w:t>
      </w:r>
      <w:proofErr w:type="gramStart"/>
      <w:r w:rsidRPr="00EA6A6C">
        <w:rPr>
          <w:rFonts w:ascii="Cambria" w:hAnsi="Cambria"/>
          <w:sz w:val="24"/>
          <w:szCs w:val="24"/>
          <w:lang w:val="en-GB"/>
        </w:rPr>
        <w:t>triggered;</w:t>
      </w:r>
      <w:proofErr w:type="gramEnd"/>
    </w:p>
    <w:p w14:paraId="2982B644" w14:textId="77777777" w:rsidR="006112D9" w:rsidRPr="00EA6A6C" w:rsidRDefault="006112D9" w:rsidP="006112D9">
      <w:pPr>
        <w:numPr>
          <w:ilvl w:val="0"/>
          <w:numId w:val="4"/>
        </w:numPr>
        <w:jc w:val="both"/>
        <w:rPr>
          <w:rFonts w:ascii="Cambria" w:hAnsi="Cambria"/>
          <w:sz w:val="24"/>
          <w:szCs w:val="24"/>
          <w:lang w:val="en-GB"/>
        </w:rPr>
      </w:pPr>
      <w:r w:rsidRPr="00EA6A6C">
        <w:rPr>
          <w:rFonts w:ascii="Cambria" w:hAnsi="Cambria"/>
          <w:sz w:val="24"/>
          <w:szCs w:val="24"/>
          <w:lang w:val="en-GB"/>
        </w:rPr>
        <w:t xml:space="preserve">Microbiological in </w:t>
      </w:r>
      <w:proofErr w:type="gramStart"/>
      <w:r w:rsidRPr="00EA6A6C">
        <w:rPr>
          <w:rFonts w:ascii="Cambria" w:hAnsi="Cambria"/>
          <w:sz w:val="24"/>
          <w:szCs w:val="24"/>
          <w:lang w:val="en-GB"/>
        </w:rPr>
        <w:t>nature;</w:t>
      </w:r>
      <w:proofErr w:type="gramEnd"/>
    </w:p>
    <w:p w14:paraId="169721CD" w14:textId="77777777" w:rsidR="006112D9" w:rsidRPr="00EA6A6C" w:rsidRDefault="006112D9" w:rsidP="006112D9">
      <w:pPr>
        <w:numPr>
          <w:ilvl w:val="0"/>
          <w:numId w:val="4"/>
        </w:numPr>
        <w:jc w:val="both"/>
        <w:rPr>
          <w:rFonts w:ascii="Cambria" w:hAnsi="Cambria"/>
          <w:sz w:val="24"/>
          <w:szCs w:val="24"/>
          <w:lang w:val="en-GB"/>
        </w:rPr>
      </w:pPr>
      <w:r w:rsidRPr="00EA6A6C">
        <w:rPr>
          <w:rFonts w:ascii="Cambria" w:hAnsi="Cambria"/>
          <w:sz w:val="24"/>
          <w:szCs w:val="24"/>
          <w:lang w:val="en-GB"/>
        </w:rPr>
        <w:t xml:space="preserve">Associated with illegal waste disposal or wastewater </w:t>
      </w:r>
      <w:proofErr w:type="gramStart"/>
      <w:r w:rsidRPr="00EA6A6C">
        <w:rPr>
          <w:rFonts w:ascii="Cambria" w:hAnsi="Cambria"/>
          <w:sz w:val="24"/>
          <w:szCs w:val="24"/>
          <w:lang w:val="en-GB"/>
        </w:rPr>
        <w:t>discharge;</w:t>
      </w:r>
      <w:proofErr w:type="gramEnd"/>
    </w:p>
    <w:p w14:paraId="3EF879CF" w14:textId="77777777" w:rsidR="006112D9" w:rsidRPr="00EA6A6C" w:rsidRDefault="006112D9" w:rsidP="006112D9">
      <w:pPr>
        <w:numPr>
          <w:ilvl w:val="0"/>
          <w:numId w:val="4"/>
        </w:numPr>
        <w:jc w:val="both"/>
        <w:rPr>
          <w:rFonts w:ascii="Cambria" w:hAnsi="Cambria"/>
          <w:sz w:val="24"/>
          <w:szCs w:val="24"/>
          <w:lang w:val="en-GB"/>
        </w:rPr>
      </w:pPr>
      <w:r w:rsidRPr="00EA6A6C">
        <w:rPr>
          <w:rFonts w:ascii="Cambria" w:hAnsi="Cambria"/>
          <w:sz w:val="24"/>
          <w:szCs w:val="24"/>
          <w:lang w:val="en-GB"/>
        </w:rPr>
        <w:t>Difficult to trace after dispersion.</w:t>
      </w:r>
    </w:p>
    <w:p w14:paraId="0470F24D" w14:textId="77777777" w:rsidR="00EA6A6C" w:rsidRDefault="00EA6A6C" w:rsidP="0000684E">
      <w:pPr>
        <w:pStyle w:val="Titre2"/>
        <w:rPr>
          <w:lang w:val="en-GB"/>
        </w:rPr>
      </w:pPr>
    </w:p>
    <w:p w14:paraId="5D65C6D9" w14:textId="0C827937" w:rsidR="006112D9" w:rsidRPr="00EA6A6C" w:rsidRDefault="006112D9" w:rsidP="0000684E">
      <w:pPr>
        <w:pStyle w:val="Titre2"/>
        <w:rPr>
          <w:lang w:val="en-GB"/>
        </w:rPr>
      </w:pPr>
      <w:bookmarkStart w:id="9" w:name="_Toc226579978"/>
      <w:r w:rsidRPr="00EA6A6C">
        <w:rPr>
          <w:lang w:val="en-GB"/>
        </w:rPr>
        <w:t>4.3 Planning Integration and Spatial Governance Gaps</w:t>
      </w:r>
      <w:bookmarkEnd w:id="9"/>
    </w:p>
    <w:p w14:paraId="248A6C11"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The third category concerns integration of groundwater protection into spatial and sectoral planning.</w:t>
      </w:r>
    </w:p>
    <w:p w14:paraId="6D609DF7"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The BGGDA indicates that while groundwater is formally recognized within River Basin Management Plans (RBMPs), operational integration into spatial planning instruments remains inconsistent.</w:t>
      </w:r>
    </w:p>
    <w:p w14:paraId="2E990C1C"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 xml:space="preserve">Spatial planning procedures are conducted independently at national or municipal levels, without mandatory cross-border consultation and coordination for activities located in </w:t>
      </w:r>
      <w:proofErr w:type="spellStart"/>
      <w:r w:rsidRPr="00EA6A6C">
        <w:rPr>
          <w:rFonts w:ascii="Cambria" w:hAnsi="Cambria"/>
          <w:sz w:val="24"/>
          <w:szCs w:val="24"/>
          <w:lang w:val="en-GB"/>
        </w:rPr>
        <w:t>hydrogeologically</w:t>
      </w:r>
      <w:proofErr w:type="spellEnd"/>
      <w:r w:rsidRPr="00EA6A6C">
        <w:rPr>
          <w:rFonts w:ascii="Cambria" w:hAnsi="Cambria"/>
          <w:sz w:val="24"/>
          <w:szCs w:val="24"/>
          <w:lang w:val="en-GB"/>
        </w:rPr>
        <w:t xml:space="preserve"> sensitive areas. This absence of coordination may result in:</w:t>
      </w:r>
    </w:p>
    <w:p w14:paraId="40725FEB" w14:textId="77777777" w:rsidR="006112D9" w:rsidRPr="00EA6A6C" w:rsidRDefault="006112D9" w:rsidP="006112D9">
      <w:pPr>
        <w:numPr>
          <w:ilvl w:val="0"/>
          <w:numId w:val="5"/>
        </w:numPr>
        <w:jc w:val="both"/>
        <w:rPr>
          <w:rFonts w:ascii="Cambria" w:hAnsi="Cambria"/>
          <w:sz w:val="24"/>
          <w:szCs w:val="24"/>
          <w:lang w:val="en-GB"/>
        </w:rPr>
      </w:pPr>
      <w:r w:rsidRPr="00EA6A6C">
        <w:rPr>
          <w:rFonts w:ascii="Cambria" w:hAnsi="Cambria"/>
          <w:sz w:val="24"/>
          <w:szCs w:val="24"/>
          <w:lang w:val="en-GB"/>
        </w:rPr>
        <w:t xml:space="preserve">Increased pollution </w:t>
      </w:r>
      <w:proofErr w:type="gramStart"/>
      <w:r w:rsidRPr="00EA6A6C">
        <w:rPr>
          <w:rFonts w:ascii="Cambria" w:hAnsi="Cambria"/>
          <w:sz w:val="24"/>
          <w:szCs w:val="24"/>
          <w:lang w:val="en-GB"/>
        </w:rPr>
        <w:t>risks;</w:t>
      </w:r>
      <w:proofErr w:type="gramEnd"/>
    </w:p>
    <w:p w14:paraId="7ED69ABA" w14:textId="77777777" w:rsidR="006112D9" w:rsidRPr="00EA6A6C" w:rsidRDefault="006112D9" w:rsidP="006112D9">
      <w:pPr>
        <w:numPr>
          <w:ilvl w:val="0"/>
          <w:numId w:val="5"/>
        </w:numPr>
        <w:jc w:val="both"/>
        <w:rPr>
          <w:rFonts w:ascii="Cambria" w:hAnsi="Cambria"/>
          <w:sz w:val="24"/>
          <w:szCs w:val="24"/>
          <w:lang w:val="en-GB"/>
        </w:rPr>
      </w:pPr>
      <w:r w:rsidRPr="00EA6A6C">
        <w:rPr>
          <w:rFonts w:ascii="Cambria" w:hAnsi="Cambria"/>
          <w:sz w:val="24"/>
          <w:szCs w:val="24"/>
          <w:lang w:val="en-GB"/>
        </w:rPr>
        <w:t xml:space="preserve">Uncontrolled development in recharge </w:t>
      </w:r>
      <w:proofErr w:type="gramStart"/>
      <w:r w:rsidRPr="00EA6A6C">
        <w:rPr>
          <w:rFonts w:ascii="Cambria" w:hAnsi="Cambria"/>
          <w:sz w:val="24"/>
          <w:szCs w:val="24"/>
          <w:lang w:val="en-GB"/>
        </w:rPr>
        <w:t>zones;</w:t>
      </w:r>
      <w:proofErr w:type="gramEnd"/>
    </w:p>
    <w:p w14:paraId="09FAC20B" w14:textId="77777777" w:rsidR="006112D9" w:rsidRPr="00EA6A6C" w:rsidRDefault="006112D9" w:rsidP="006112D9">
      <w:pPr>
        <w:numPr>
          <w:ilvl w:val="0"/>
          <w:numId w:val="5"/>
        </w:numPr>
        <w:jc w:val="both"/>
        <w:rPr>
          <w:rFonts w:ascii="Cambria" w:hAnsi="Cambria"/>
          <w:sz w:val="24"/>
          <w:szCs w:val="24"/>
          <w:lang w:val="en-GB"/>
        </w:rPr>
      </w:pPr>
      <w:r w:rsidRPr="00EA6A6C">
        <w:rPr>
          <w:rFonts w:ascii="Cambria" w:hAnsi="Cambria"/>
          <w:sz w:val="24"/>
          <w:szCs w:val="24"/>
          <w:lang w:val="en-GB"/>
        </w:rPr>
        <w:t>Reduced resilience of groundwater-dependent ecosystems.</w:t>
      </w:r>
    </w:p>
    <w:p w14:paraId="73F2C5D5" w14:textId="77777777" w:rsidR="006112D9" w:rsidRPr="00EA6A6C" w:rsidRDefault="006112D9" w:rsidP="006112D9">
      <w:pPr>
        <w:jc w:val="both"/>
        <w:rPr>
          <w:rFonts w:ascii="Cambria" w:hAnsi="Cambria"/>
          <w:sz w:val="24"/>
          <w:szCs w:val="24"/>
          <w:lang w:val="en-GB"/>
        </w:rPr>
      </w:pPr>
    </w:p>
    <w:p w14:paraId="6F9BE00F" w14:textId="77777777" w:rsidR="006112D9" w:rsidRPr="00EA6A6C" w:rsidRDefault="006112D9" w:rsidP="0000684E">
      <w:pPr>
        <w:pStyle w:val="Titre2"/>
        <w:rPr>
          <w:lang w:val="en-GB"/>
        </w:rPr>
      </w:pPr>
      <w:bookmarkStart w:id="10" w:name="_Toc226579979"/>
      <w:r w:rsidRPr="00EA6A6C">
        <w:rPr>
          <w:lang w:val="en-GB"/>
        </w:rPr>
        <w:lastRenderedPageBreak/>
        <w:t>4.4 Institutional Capacity and Compliance Gaps</w:t>
      </w:r>
      <w:bookmarkEnd w:id="10"/>
    </w:p>
    <w:p w14:paraId="49EF8653"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No permanent bilateral groundwater sub-commission exists under the Joint Commission framework. As a result, groundwater issues may not receive continuous technical attention.</w:t>
      </w:r>
    </w:p>
    <w:p w14:paraId="05010721" w14:textId="77777777" w:rsidR="006112D9" w:rsidRPr="00EA6A6C" w:rsidRDefault="006112D9" w:rsidP="006112D9">
      <w:pPr>
        <w:rPr>
          <w:rFonts w:ascii="Cambria" w:hAnsi="Cambria"/>
          <w:b/>
          <w:bCs/>
          <w:sz w:val="24"/>
          <w:szCs w:val="24"/>
          <w:lang w:val="en-GB"/>
        </w:rPr>
      </w:pPr>
    </w:p>
    <w:p w14:paraId="137B42D3" w14:textId="77777777" w:rsidR="006112D9" w:rsidRPr="00EA6A6C" w:rsidRDefault="006112D9" w:rsidP="0000684E">
      <w:pPr>
        <w:pStyle w:val="Titre2"/>
        <w:rPr>
          <w:lang w:val="en-GB"/>
        </w:rPr>
      </w:pPr>
      <w:bookmarkStart w:id="11" w:name="_Toc226579980"/>
      <w:r w:rsidRPr="00EA6A6C">
        <w:rPr>
          <w:lang w:val="en-GB"/>
        </w:rPr>
        <w:t>4.5 Synthesis of Governance Gaps</w:t>
      </w:r>
      <w:bookmarkEnd w:id="11"/>
    </w:p>
    <w:p w14:paraId="7ABF5737"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The diagnostic demonstrates that:</w:t>
      </w:r>
    </w:p>
    <w:p w14:paraId="1981CC86" w14:textId="77777777" w:rsidR="006112D9" w:rsidRPr="00EA6A6C" w:rsidRDefault="006112D9" w:rsidP="006112D9">
      <w:pPr>
        <w:numPr>
          <w:ilvl w:val="0"/>
          <w:numId w:val="6"/>
        </w:numPr>
        <w:jc w:val="both"/>
        <w:rPr>
          <w:rFonts w:ascii="Cambria" w:hAnsi="Cambria"/>
          <w:sz w:val="24"/>
          <w:szCs w:val="24"/>
          <w:lang w:val="en-GB"/>
        </w:rPr>
      </w:pPr>
      <w:r w:rsidRPr="00EA6A6C">
        <w:rPr>
          <w:rFonts w:ascii="Cambria" w:hAnsi="Cambria"/>
          <w:sz w:val="24"/>
          <w:szCs w:val="24"/>
          <w:lang w:val="en-GB"/>
        </w:rPr>
        <w:t xml:space="preserve">Legislative alignment with EU water acquis is largely </w:t>
      </w:r>
      <w:proofErr w:type="gramStart"/>
      <w:r w:rsidRPr="00EA6A6C">
        <w:rPr>
          <w:rFonts w:ascii="Cambria" w:hAnsi="Cambria"/>
          <w:sz w:val="24"/>
          <w:szCs w:val="24"/>
          <w:lang w:val="en-GB"/>
        </w:rPr>
        <w:t>achieved;</w:t>
      </w:r>
      <w:proofErr w:type="gramEnd"/>
    </w:p>
    <w:p w14:paraId="238FE7C1" w14:textId="77777777" w:rsidR="006112D9" w:rsidRPr="00EA6A6C" w:rsidRDefault="006112D9" w:rsidP="006112D9">
      <w:pPr>
        <w:numPr>
          <w:ilvl w:val="0"/>
          <w:numId w:val="6"/>
        </w:numPr>
        <w:jc w:val="both"/>
        <w:rPr>
          <w:rFonts w:ascii="Cambria" w:hAnsi="Cambria"/>
          <w:sz w:val="24"/>
          <w:szCs w:val="24"/>
          <w:lang w:val="en-GB"/>
        </w:rPr>
      </w:pPr>
      <w:r w:rsidRPr="00EA6A6C">
        <w:rPr>
          <w:rFonts w:ascii="Cambria" w:hAnsi="Cambria"/>
          <w:sz w:val="24"/>
          <w:szCs w:val="24"/>
          <w:lang w:val="en-GB"/>
        </w:rPr>
        <w:t>However, bilateral groundwater governance remains under-</w:t>
      </w:r>
      <w:proofErr w:type="gramStart"/>
      <w:r w:rsidRPr="00EA6A6C">
        <w:rPr>
          <w:rFonts w:ascii="Cambria" w:hAnsi="Cambria"/>
          <w:sz w:val="24"/>
          <w:szCs w:val="24"/>
          <w:lang w:val="en-GB"/>
        </w:rPr>
        <w:t>institutionalized;</w:t>
      </w:r>
      <w:proofErr w:type="gramEnd"/>
    </w:p>
    <w:p w14:paraId="62BA9DFE" w14:textId="77777777" w:rsidR="006112D9" w:rsidRPr="00EA6A6C" w:rsidRDefault="006112D9" w:rsidP="006112D9">
      <w:pPr>
        <w:numPr>
          <w:ilvl w:val="0"/>
          <w:numId w:val="6"/>
        </w:numPr>
        <w:jc w:val="both"/>
        <w:rPr>
          <w:rFonts w:ascii="Cambria" w:hAnsi="Cambria"/>
          <w:sz w:val="24"/>
          <w:szCs w:val="24"/>
          <w:lang w:val="en-GB"/>
        </w:rPr>
      </w:pPr>
      <w:r w:rsidRPr="00EA6A6C">
        <w:rPr>
          <w:rFonts w:ascii="Cambria" w:hAnsi="Cambria"/>
          <w:sz w:val="24"/>
          <w:szCs w:val="24"/>
          <w:lang w:val="en-GB"/>
        </w:rPr>
        <w:t xml:space="preserve">Operational joint harmonization is </w:t>
      </w:r>
      <w:proofErr w:type="gramStart"/>
      <w:r w:rsidRPr="00EA6A6C">
        <w:rPr>
          <w:rFonts w:ascii="Cambria" w:hAnsi="Cambria"/>
          <w:sz w:val="24"/>
          <w:szCs w:val="24"/>
          <w:lang w:val="en-GB"/>
        </w:rPr>
        <w:t>insufficient;</w:t>
      </w:r>
      <w:proofErr w:type="gramEnd"/>
    </w:p>
    <w:p w14:paraId="2C4C1309" w14:textId="77777777" w:rsidR="006112D9" w:rsidRPr="00EA6A6C" w:rsidRDefault="006112D9" w:rsidP="006112D9">
      <w:pPr>
        <w:numPr>
          <w:ilvl w:val="0"/>
          <w:numId w:val="6"/>
        </w:numPr>
        <w:jc w:val="both"/>
        <w:rPr>
          <w:rFonts w:ascii="Cambria" w:hAnsi="Cambria"/>
          <w:sz w:val="24"/>
          <w:szCs w:val="24"/>
          <w:lang w:val="en-GB"/>
        </w:rPr>
      </w:pPr>
      <w:r w:rsidRPr="00EA6A6C">
        <w:rPr>
          <w:rFonts w:ascii="Cambria" w:hAnsi="Cambria"/>
          <w:sz w:val="24"/>
          <w:szCs w:val="24"/>
          <w:lang w:val="en-GB"/>
        </w:rPr>
        <w:t xml:space="preserve">Karst-specific risk dynamics are not adequately </w:t>
      </w:r>
      <w:proofErr w:type="gramStart"/>
      <w:r w:rsidRPr="00EA6A6C">
        <w:rPr>
          <w:rFonts w:ascii="Cambria" w:hAnsi="Cambria"/>
          <w:sz w:val="24"/>
          <w:szCs w:val="24"/>
          <w:lang w:val="en-GB"/>
        </w:rPr>
        <w:t>addressed;</w:t>
      </w:r>
      <w:proofErr w:type="gramEnd"/>
    </w:p>
    <w:p w14:paraId="7D82FA1C" w14:textId="77777777" w:rsidR="006112D9" w:rsidRPr="00EA6A6C" w:rsidRDefault="006112D9" w:rsidP="006112D9">
      <w:pPr>
        <w:numPr>
          <w:ilvl w:val="0"/>
          <w:numId w:val="6"/>
        </w:numPr>
        <w:jc w:val="both"/>
        <w:rPr>
          <w:rFonts w:ascii="Cambria" w:hAnsi="Cambria"/>
          <w:sz w:val="24"/>
          <w:szCs w:val="24"/>
          <w:lang w:val="en-GB"/>
        </w:rPr>
      </w:pPr>
      <w:proofErr w:type="gramStart"/>
      <w:r w:rsidRPr="00EA6A6C">
        <w:rPr>
          <w:rFonts w:ascii="Cambria" w:hAnsi="Cambria"/>
          <w:sz w:val="24"/>
          <w:szCs w:val="24"/>
          <w:lang w:val="en-GB"/>
        </w:rPr>
        <w:t>An</w:t>
      </w:r>
      <w:proofErr w:type="gramEnd"/>
      <w:r w:rsidRPr="00EA6A6C">
        <w:rPr>
          <w:rFonts w:ascii="Cambria" w:hAnsi="Cambria"/>
          <w:sz w:val="24"/>
          <w:szCs w:val="24"/>
          <w:lang w:val="en-GB"/>
        </w:rPr>
        <w:t xml:space="preserve"> joint institution (a sub-commission under the Water Commission) is non-existing, with the required technical capacities.</w:t>
      </w:r>
    </w:p>
    <w:p w14:paraId="24C20D11"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The governance deficit is therefore primarily operational and institutional rather than normative.</w:t>
      </w:r>
    </w:p>
    <w:p w14:paraId="437C199F"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Addressing these gaps requires:</w:t>
      </w:r>
    </w:p>
    <w:p w14:paraId="0AEFB771" w14:textId="77777777" w:rsidR="006112D9" w:rsidRPr="00EA6A6C" w:rsidRDefault="006112D9" w:rsidP="006112D9">
      <w:pPr>
        <w:numPr>
          <w:ilvl w:val="0"/>
          <w:numId w:val="7"/>
        </w:numPr>
        <w:jc w:val="both"/>
        <w:rPr>
          <w:rFonts w:ascii="Cambria" w:hAnsi="Cambria"/>
          <w:sz w:val="24"/>
          <w:szCs w:val="24"/>
          <w:lang w:val="en-GB"/>
        </w:rPr>
      </w:pPr>
      <w:r w:rsidRPr="00EA6A6C">
        <w:rPr>
          <w:rFonts w:ascii="Cambria" w:hAnsi="Cambria"/>
          <w:sz w:val="24"/>
          <w:szCs w:val="24"/>
          <w:lang w:val="en-GB"/>
        </w:rPr>
        <w:t xml:space="preserve">Explicit inclusion of transboundary groundwater bodies and GDEs within the bilateral legal </w:t>
      </w:r>
      <w:proofErr w:type="gramStart"/>
      <w:r w:rsidRPr="00EA6A6C">
        <w:rPr>
          <w:rFonts w:ascii="Cambria" w:hAnsi="Cambria"/>
          <w:sz w:val="24"/>
          <w:szCs w:val="24"/>
          <w:lang w:val="en-GB"/>
        </w:rPr>
        <w:t>framework;</w:t>
      </w:r>
      <w:proofErr w:type="gramEnd"/>
    </w:p>
    <w:p w14:paraId="295D12E3" w14:textId="77777777" w:rsidR="006112D9" w:rsidRPr="00EA6A6C" w:rsidRDefault="006112D9" w:rsidP="006112D9">
      <w:pPr>
        <w:numPr>
          <w:ilvl w:val="0"/>
          <w:numId w:val="7"/>
        </w:numPr>
        <w:jc w:val="both"/>
        <w:rPr>
          <w:rFonts w:ascii="Cambria" w:hAnsi="Cambria"/>
          <w:sz w:val="24"/>
          <w:szCs w:val="24"/>
          <w:lang w:val="en-GB"/>
        </w:rPr>
      </w:pPr>
      <w:r w:rsidRPr="00EA6A6C">
        <w:rPr>
          <w:rFonts w:ascii="Cambria" w:hAnsi="Cambria"/>
          <w:sz w:val="24"/>
          <w:szCs w:val="24"/>
          <w:lang w:val="en-GB"/>
        </w:rPr>
        <w:t xml:space="preserve">Establishment of a joint monitoring </w:t>
      </w:r>
      <w:proofErr w:type="gramStart"/>
      <w:r w:rsidRPr="00EA6A6C">
        <w:rPr>
          <w:rFonts w:ascii="Cambria" w:hAnsi="Cambria"/>
          <w:sz w:val="24"/>
          <w:szCs w:val="24"/>
          <w:lang w:val="en-GB"/>
        </w:rPr>
        <w:t>system;</w:t>
      </w:r>
      <w:proofErr w:type="gramEnd"/>
    </w:p>
    <w:p w14:paraId="72AA6814" w14:textId="765E3A75" w:rsidR="006112D9" w:rsidRPr="00EA6A6C" w:rsidRDefault="00EA6A6C" w:rsidP="006112D9">
      <w:pPr>
        <w:numPr>
          <w:ilvl w:val="0"/>
          <w:numId w:val="7"/>
        </w:numPr>
        <w:jc w:val="both"/>
        <w:rPr>
          <w:rFonts w:ascii="Cambria" w:hAnsi="Cambria"/>
          <w:sz w:val="24"/>
          <w:szCs w:val="24"/>
          <w:lang w:val="en-GB"/>
        </w:rPr>
      </w:pPr>
      <w:r w:rsidRPr="00EA6A6C">
        <w:rPr>
          <w:rFonts w:ascii="Cambria" w:hAnsi="Cambria"/>
          <w:sz w:val="24"/>
          <w:szCs w:val="24"/>
          <w:lang w:val="en-GB"/>
        </w:rPr>
        <w:t>Coordination</w:t>
      </w:r>
      <w:r w:rsidR="000A67C7" w:rsidRPr="00EA6A6C">
        <w:rPr>
          <w:rFonts w:ascii="Cambria" w:hAnsi="Cambria"/>
          <w:sz w:val="24"/>
          <w:szCs w:val="24"/>
          <w:lang w:val="en-GB"/>
        </w:rPr>
        <w:t xml:space="preserve"> </w:t>
      </w:r>
      <w:r w:rsidR="006112D9" w:rsidRPr="00EA6A6C">
        <w:rPr>
          <w:rFonts w:ascii="Cambria" w:hAnsi="Cambria"/>
          <w:sz w:val="24"/>
          <w:szCs w:val="24"/>
          <w:lang w:val="en-GB"/>
        </w:rPr>
        <w:t xml:space="preserve">of SPZ delineation </w:t>
      </w:r>
      <w:proofErr w:type="gramStart"/>
      <w:r w:rsidR="006112D9" w:rsidRPr="00EA6A6C">
        <w:rPr>
          <w:rFonts w:ascii="Cambria" w:hAnsi="Cambria"/>
          <w:sz w:val="24"/>
          <w:szCs w:val="24"/>
          <w:lang w:val="en-GB"/>
        </w:rPr>
        <w:t>methodologies;</w:t>
      </w:r>
      <w:proofErr w:type="gramEnd"/>
    </w:p>
    <w:p w14:paraId="0E67AA66" w14:textId="77777777" w:rsidR="006112D9" w:rsidRPr="00EA6A6C" w:rsidRDefault="006112D9" w:rsidP="006112D9">
      <w:pPr>
        <w:numPr>
          <w:ilvl w:val="0"/>
          <w:numId w:val="7"/>
        </w:numPr>
        <w:jc w:val="both"/>
        <w:rPr>
          <w:rFonts w:ascii="Cambria" w:hAnsi="Cambria"/>
          <w:sz w:val="24"/>
          <w:szCs w:val="24"/>
          <w:lang w:val="en-GB"/>
        </w:rPr>
      </w:pPr>
      <w:r w:rsidRPr="00EA6A6C">
        <w:rPr>
          <w:rFonts w:ascii="Cambria" w:hAnsi="Cambria"/>
          <w:sz w:val="24"/>
          <w:szCs w:val="24"/>
          <w:lang w:val="en-GB"/>
        </w:rPr>
        <w:t xml:space="preserve">Structured data exchange </w:t>
      </w:r>
      <w:proofErr w:type="gramStart"/>
      <w:r w:rsidRPr="00EA6A6C">
        <w:rPr>
          <w:rFonts w:ascii="Cambria" w:hAnsi="Cambria"/>
          <w:sz w:val="24"/>
          <w:szCs w:val="24"/>
          <w:lang w:val="en-GB"/>
        </w:rPr>
        <w:t>protocols;</w:t>
      </w:r>
      <w:proofErr w:type="gramEnd"/>
    </w:p>
    <w:p w14:paraId="3A00CA85" w14:textId="77777777" w:rsidR="006112D9" w:rsidRPr="00EA6A6C" w:rsidRDefault="006112D9" w:rsidP="006112D9">
      <w:pPr>
        <w:numPr>
          <w:ilvl w:val="0"/>
          <w:numId w:val="7"/>
        </w:numPr>
        <w:jc w:val="both"/>
        <w:rPr>
          <w:rFonts w:ascii="Cambria" w:hAnsi="Cambria"/>
          <w:sz w:val="24"/>
          <w:szCs w:val="24"/>
          <w:lang w:val="en-GB"/>
        </w:rPr>
      </w:pPr>
      <w:r w:rsidRPr="00EA6A6C">
        <w:rPr>
          <w:rFonts w:ascii="Cambria" w:hAnsi="Cambria"/>
          <w:sz w:val="24"/>
          <w:szCs w:val="24"/>
          <w:lang w:val="en-GB"/>
        </w:rPr>
        <w:t xml:space="preserve">Groundwater-specific early warning </w:t>
      </w:r>
      <w:proofErr w:type="gramStart"/>
      <w:r w:rsidRPr="00EA6A6C">
        <w:rPr>
          <w:rFonts w:ascii="Cambria" w:hAnsi="Cambria"/>
          <w:sz w:val="24"/>
          <w:szCs w:val="24"/>
          <w:lang w:val="en-GB"/>
        </w:rPr>
        <w:t>mechanisms;</w:t>
      </w:r>
      <w:proofErr w:type="gramEnd"/>
    </w:p>
    <w:p w14:paraId="4B662463" w14:textId="77777777" w:rsidR="006112D9" w:rsidRPr="00EA6A6C" w:rsidRDefault="006112D9" w:rsidP="006112D9">
      <w:pPr>
        <w:numPr>
          <w:ilvl w:val="0"/>
          <w:numId w:val="7"/>
        </w:numPr>
        <w:jc w:val="both"/>
        <w:rPr>
          <w:rFonts w:ascii="Cambria" w:hAnsi="Cambria"/>
          <w:sz w:val="24"/>
          <w:szCs w:val="24"/>
          <w:lang w:val="en-GB"/>
        </w:rPr>
      </w:pPr>
      <w:r w:rsidRPr="00EA6A6C">
        <w:rPr>
          <w:rFonts w:ascii="Cambria" w:hAnsi="Cambria"/>
          <w:sz w:val="24"/>
          <w:szCs w:val="24"/>
          <w:lang w:val="en-GB"/>
        </w:rPr>
        <w:t>Creation of a permanent technical groundwater sub-group.</w:t>
      </w:r>
    </w:p>
    <w:p w14:paraId="288EBC2A"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Such measures would not represent a fundamental restructuring of the 2018 Agreement but rather a targeted operational enhancement aligned with the findings of the BGGDA and consistent with evolving DIKTAS II governance architecture.</w:t>
      </w:r>
    </w:p>
    <w:p w14:paraId="06D554B4" w14:textId="77777777" w:rsidR="006112D9" w:rsidRPr="00EA6A6C" w:rsidRDefault="006112D9" w:rsidP="006112D9">
      <w:pPr>
        <w:jc w:val="both"/>
        <w:rPr>
          <w:rFonts w:ascii="Cambria" w:hAnsi="Cambria" w:cs="Calibri"/>
          <w:sz w:val="24"/>
          <w:szCs w:val="24"/>
          <w:lang w:val="en-GB"/>
        </w:rPr>
      </w:pPr>
    </w:p>
    <w:p w14:paraId="411F2EC5" w14:textId="77777777" w:rsidR="006112D9" w:rsidRPr="00EA6A6C" w:rsidRDefault="006112D9" w:rsidP="0000684E">
      <w:pPr>
        <w:pStyle w:val="Titre1"/>
        <w:rPr>
          <w:lang w:val="en-GB"/>
        </w:rPr>
      </w:pPr>
      <w:bookmarkStart w:id="12" w:name="_Toc226579981"/>
      <w:r w:rsidRPr="00EA6A6C">
        <w:rPr>
          <w:lang w:val="en-GB"/>
        </w:rPr>
        <w:t xml:space="preserve">5. Evidence from the </w:t>
      </w:r>
      <w:proofErr w:type="spellStart"/>
      <w:r w:rsidRPr="00EA6A6C">
        <w:rPr>
          <w:lang w:val="en-GB"/>
        </w:rPr>
        <w:t>Cemi</w:t>
      </w:r>
      <w:proofErr w:type="spellEnd"/>
      <w:r w:rsidRPr="00EA6A6C">
        <w:rPr>
          <w:lang w:val="en-GB"/>
        </w:rPr>
        <w:t>/</w:t>
      </w:r>
      <w:proofErr w:type="spellStart"/>
      <w:r w:rsidRPr="00EA6A6C">
        <w:rPr>
          <w:lang w:val="en-GB"/>
        </w:rPr>
        <w:t>Cijevna</w:t>
      </w:r>
      <w:proofErr w:type="spellEnd"/>
      <w:r w:rsidRPr="00EA6A6C">
        <w:rPr>
          <w:lang w:val="en-GB"/>
        </w:rPr>
        <w:t xml:space="preserve"> TBA: why amendments are needed?</w:t>
      </w:r>
      <w:bookmarkEnd w:id="12"/>
      <w:r w:rsidRPr="00EA6A6C">
        <w:rPr>
          <w:lang w:val="en-GB"/>
        </w:rPr>
        <w:t xml:space="preserve"> </w:t>
      </w:r>
    </w:p>
    <w:p w14:paraId="645209F1"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 xml:space="preserve">The diagnostic analysis presented in Chapter 4 identifies structural governance gaps in transboundary groundwater management. The Bilateral Groundwater Governance Diagnostic Analysis (BGGDA) for the </w:t>
      </w:r>
      <w:proofErr w:type="spellStart"/>
      <w:r w:rsidRPr="00EA6A6C">
        <w:rPr>
          <w:rFonts w:ascii="Cambria" w:hAnsi="Cambria"/>
          <w:sz w:val="24"/>
          <w:szCs w:val="24"/>
          <w:lang w:val="en-GB"/>
        </w:rPr>
        <w:t>Cemi</w:t>
      </w:r>
      <w:proofErr w:type="spellEnd"/>
      <w:r w:rsidRPr="00EA6A6C">
        <w:rPr>
          <w:rFonts w:ascii="Cambria" w:hAnsi="Cambria"/>
          <w:sz w:val="24"/>
          <w:szCs w:val="24"/>
          <w:lang w:val="en-GB"/>
        </w:rPr>
        <w:t>/</w:t>
      </w:r>
      <w:proofErr w:type="spellStart"/>
      <w:r w:rsidRPr="00EA6A6C">
        <w:rPr>
          <w:rFonts w:ascii="Cambria" w:hAnsi="Cambria"/>
          <w:sz w:val="24"/>
          <w:szCs w:val="24"/>
          <w:lang w:val="en-GB"/>
        </w:rPr>
        <w:t>Cijevna</w:t>
      </w:r>
      <w:proofErr w:type="spellEnd"/>
      <w:r w:rsidRPr="00EA6A6C">
        <w:rPr>
          <w:rFonts w:ascii="Cambria" w:hAnsi="Cambria"/>
          <w:sz w:val="24"/>
          <w:szCs w:val="24"/>
          <w:lang w:val="en-GB"/>
        </w:rPr>
        <w:t xml:space="preserve"> Transboundary Area (TBA) provides </w:t>
      </w:r>
      <w:r w:rsidRPr="00EA6A6C">
        <w:rPr>
          <w:rFonts w:ascii="Cambria" w:hAnsi="Cambria"/>
          <w:sz w:val="24"/>
          <w:szCs w:val="24"/>
          <w:lang w:val="en-GB"/>
        </w:rPr>
        <w:lastRenderedPageBreak/>
        <w:t>practical evidence illustrating why these gaps require targeted amendments to the existing bilateral framework.</w:t>
      </w:r>
    </w:p>
    <w:p w14:paraId="3A543C3E"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 xml:space="preserve">The </w:t>
      </w:r>
      <w:proofErr w:type="spellStart"/>
      <w:r w:rsidRPr="00EA6A6C">
        <w:rPr>
          <w:rFonts w:ascii="Cambria" w:hAnsi="Cambria"/>
          <w:sz w:val="24"/>
          <w:szCs w:val="24"/>
          <w:lang w:val="en-GB"/>
        </w:rPr>
        <w:t>Cemi</w:t>
      </w:r>
      <w:proofErr w:type="spellEnd"/>
      <w:r w:rsidRPr="00EA6A6C">
        <w:rPr>
          <w:rFonts w:ascii="Cambria" w:hAnsi="Cambria"/>
          <w:sz w:val="24"/>
          <w:szCs w:val="24"/>
          <w:lang w:val="en-GB"/>
        </w:rPr>
        <w:t>/</w:t>
      </w:r>
      <w:proofErr w:type="spellStart"/>
      <w:r w:rsidRPr="00EA6A6C">
        <w:rPr>
          <w:rFonts w:ascii="Cambria" w:hAnsi="Cambria"/>
          <w:sz w:val="24"/>
          <w:szCs w:val="24"/>
          <w:lang w:val="en-GB"/>
        </w:rPr>
        <w:t>Cijevna</w:t>
      </w:r>
      <w:proofErr w:type="spellEnd"/>
      <w:r w:rsidRPr="00EA6A6C">
        <w:rPr>
          <w:rFonts w:ascii="Cambria" w:hAnsi="Cambria"/>
          <w:sz w:val="24"/>
          <w:szCs w:val="24"/>
          <w:lang w:val="en-GB"/>
        </w:rPr>
        <w:t xml:space="preserve"> case demonstrates that groundwater governance challenges in Dinaric karst systems are not theoretical. They arise from hydrogeological vulnerability, asymmetric dependency patterns, localized pressure hotspots, and insufficiently operationalized cross-border coordination mechanisms. While the 2018 Montenegro-Albania Agreement establishes a solid foundation for cooperation it does not contain aquifer-specific provisions capable of addressing these challenges in a systematic and preventive manner.</w:t>
      </w:r>
    </w:p>
    <w:p w14:paraId="4A003BDF" w14:textId="77777777" w:rsidR="00EA6A6C" w:rsidRDefault="00EA6A6C" w:rsidP="0000684E">
      <w:pPr>
        <w:pStyle w:val="Titre2"/>
        <w:rPr>
          <w:lang w:val="en-GB"/>
        </w:rPr>
      </w:pPr>
    </w:p>
    <w:p w14:paraId="4C97DA42" w14:textId="12FE89FC" w:rsidR="006112D9" w:rsidRPr="00EA6A6C" w:rsidRDefault="006112D9" w:rsidP="0000684E">
      <w:pPr>
        <w:pStyle w:val="Titre2"/>
        <w:rPr>
          <w:lang w:val="en-GB"/>
        </w:rPr>
      </w:pPr>
      <w:bookmarkStart w:id="13" w:name="_Toc226579982"/>
      <w:r w:rsidRPr="00EA6A6C">
        <w:rPr>
          <w:lang w:val="en-GB"/>
        </w:rPr>
        <w:t>5.1 Karst Vulnerability and Transboundary Hydrogeological Connectivity</w:t>
      </w:r>
      <w:bookmarkEnd w:id="13"/>
    </w:p>
    <w:p w14:paraId="789CF79B"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 xml:space="preserve">The </w:t>
      </w:r>
      <w:proofErr w:type="spellStart"/>
      <w:r w:rsidRPr="00EA6A6C">
        <w:rPr>
          <w:rFonts w:ascii="Cambria" w:hAnsi="Cambria"/>
          <w:sz w:val="24"/>
          <w:szCs w:val="24"/>
          <w:lang w:val="en-GB"/>
        </w:rPr>
        <w:t>Cemi</w:t>
      </w:r>
      <w:proofErr w:type="spellEnd"/>
      <w:r w:rsidRPr="00EA6A6C">
        <w:rPr>
          <w:rFonts w:ascii="Cambria" w:hAnsi="Cambria"/>
          <w:sz w:val="24"/>
          <w:szCs w:val="24"/>
          <w:lang w:val="en-GB"/>
        </w:rPr>
        <w:t>/</w:t>
      </w:r>
      <w:proofErr w:type="spellStart"/>
      <w:r w:rsidRPr="00EA6A6C">
        <w:rPr>
          <w:rFonts w:ascii="Cambria" w:hAnsi="Cambria"/>
          <w:sz w:val="24"/>
          <w:szCs w:val="24"/>
          <w:lang w:val="en-GB"/>
        </w:rPr>
        <w:t>Cijevna</w:t>
      </w:r>
      <w:proofErr w:type="spellEnd"/>
      <w:r w:rsidRPr="00EA6A6C">
        <w:rPr>
          <w:rFonts w:ascii="Cambria" w:hAnsi="Cambria"/>
          <w:sz w:val="24"/>
          <w:szCs w:val="24"/>
          <w:lang w:val="en-GB"/>
        </w:rPr>
        <w:t xml:space="preserve"> basin is situated within the Dinaric karst region, characterized by highly permeable carbonate formations, complex conduit systems, rapid infiltration, and limited natural attenuation capacity. Hydrogeological processes in such systems differ significantly from those in porous aquifers.</w:t>
      </w:r>
    </w:p>
    <w:p w14:paraId="38D3E926"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Key characteristics include:</w:t>
      </w:r>
    </w:p>
    <w:p w14:paraId="34A429C0" w14:textId="77777777" w:rsidR="006112D9" w:rsidRPr="00EA6A6C" w:rsidRDefault="006112D9" w:rsidP="006112D9">
      <w:pPr>
        <w:numPr>
          <w:ilvl w:val="0"/>
          <w:numId w:val="9"/>
        </w:numPr>
        <w:jc w:val="both"/>
        <w:rPr>
          <w:rFonts w:ascii="Cambria" w:hAnsi="Cambria"/>
          <w:sz w:val="24"/>
          <w:szCs w:val="24"/>
          <w:lang w:val="en-GB"/>
        </w:rPr>
      </w:pPr>
      <w:r w:rsidRPr="00EA6A6C">
        <w:rPr>
          <w:rFonts w:ascii="Cambria" w:hAnsi="Cambria"/>
          <w:sz w:val="24"/>
          <w:szCs w:val="24"/>
          <w:lang w:val="en-GB"/>
        </w:rPr>
        <w:t xml:space="preserve">Rapid transfer of recharge water through fissures and </w:t>
      </w:r>
      <w:proofErr w:type="gramStart"/>
      <w:r w:rsidRPr="00EA6A6C">
        <w:rPr>
          <w:rFonts w:ascii="Cambria" w:hAnsi="Cambria"/>
          <w:sz w:val="24"/>
          <w:szCs w:val="24"/>
          <w:lang w:val="en-GB"/>
        </w:rPr>
        <w:t>conduits;</w:t>
      </w:r>
      <w:proofErr w:type="gramEnd"/>
    </w:p>
    <w:p w14:paraId="18E28784" w14:textId="77777777" w:rsidR="006112D9" w:rsidRPr="00EA6A6C" w:rsidRDefault="006112D9" w:rsidP="006112D9">
      <w:pPr>
        <w:numPr>
          <w:ilvl w:val="0"/>
          <w:numId w:val="9"/>
        </w:numPr>
        <w:jc w:val="both"/>
        <w:rPr>
          <w:rFonts w:ascii="Cambria" w:hAnsi="Cambria"/>
          <w:sz w:val="24"/>
          <w:szCs w:val="24"/>
          <w:lang w:val="en-GB"/>
        </w:rPr>
      </w:pPr>
      <w:r w:rsidRPr="00EA6A6C">
        <w:rPr>
          <w:rFonts w:ascii="Cambria" w:hAnsi="Cambria"/>
          <w:sz w:val="24"/>
          <w:szCs w:val="24"/>
          <w:lang w:val="en-GB"/>
        </w:rPr>
        <w:t xml:space="preserve">Strong hydraulic connectivity between surface water and </w:t>
      </w:r>
      <w:proofErr w:type="gramStart"/>
      <w:r w:rsidRPr="00EA6A6C">
        <w:rPr>
          <w:rFonts w:ascii="Cambria" w:hAnsi="Cambria"/>
          <w:sz w:val="24"/>
          <w:szCs w:val="24"/>
          <w:lang w:val="en-GB"/>
        </w:rPr>
        <w:t>groundwater;</w:t>
      </w:r>
      <w:proofErr w:type="gramEnd"/>
    </w:p>
    <w:p w14:paraId="4575817C" w14:textId="77777777" w:rsidR="006112D9" w:rsidRPr="00EA6A6C" w:rsidRDefault="006112D9" w:rsidP="006112D9">
      <w:pPr>
        <w:numPr>
          <w:ilvl w:val="0"/>
          <w:numId w:val="9"/>
        </w:numPr>
        <w:jc w:val="both"/>
        <w:rPr>
          <w:rFonts w:ascii="Cambria" w:hAnsi="Cambria"/>
          <w:sz w:val="24"/>
          <w:szCs w:val="24"/>
          <w:lang w:val="en-GB"/>
        </w:rPr>
      </w:pPr>
      <w:r w:rsidRPr="00EA6A6C">
        <w:rPr>
          <w:rFonts w:ascii="Cambria" w:hAnsi="Cambria"/>
          <w:sz w:val="24"/>
          <w:szCs w:val="24"/>
          <w:lang w:val="en-GB"/>
        </w:rPr>
        <w:t xml:space="preserve">Seasonal sinking of river flows into subsurface </w:t>
      </w:r>
      <w:proofErr w:type="gramStart"/>
      <w:r w:rsidRPr="00EA6A6C">
        <w:rPr>
          <w:rFonts w:ascii="Cambria" w:hAnsi="Cambria"/>
          <w:sz w:val="24"/>
          <w:szCs w:val="24"/>
          <w:lang w:val="en-GB"/>
        </w:rPr>
        <w:t>systems;</w:t>
      </w:r>
      <w:proofErr w:type="gramEnd"/>
    </w:p>
    <w:p w14:paraId="47F5442B" w14:textId="77777777" w:rsidR="006112D9" w:rsidRPr="00EA6A6C" w:rsidRDefault="006112D9" w:rsidP="006112D9">
      <w:pPr>
        <w:numPr>
          <w:ilvl w:val="0"/>
          <w:numId w:val="9"/>
        </w:numPr>
        <w:jc w:val="both"/>
        <w:rPr>
          <w:rFonts w:ascii="Cambria" w:hAnsi="Cambria"/>
          <w:sz w:val="24"/>
          <w:szCs w:val="24"/>
          <w:lang w:val="en-GB"/>
        </w:rPr>
      </w:pPr>
      <w:r w:rsidRPr="00EA6A6C">
        <w:rPr>
          <w:rFonts w:ascii="Cambria" w:hAnsi="Cambria"/>
          <w:sz w:val="24"/>
          <w:szCs w:val="24"/>
          <w:lang w:val="en-GB"/>
        </w:rPr>
        <w:t>Recharge zones extending across administrative and state borders.</w:t>
      </w:r>
    </w:p>
    <w:p w14:paraId="27450276"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 xml:space="preserve">The BGGDA notes that during low-flow periods, part of the </w:t>
      </w:r>
      <w:proofErr w:type="spellStart"/>
      <w:r w:rsidRPr="00EA6A6C">
        <w:rPr>
          <w:rFonts w:ascii="Cambria" w:hAnsi="Cambria"/>
          <w:sz w:val="24"/>
          <w:szCs w:val="24"/>
          <w:lang w:val="en-GB"/>
        </w:rPr>
        <w:t>Cijevna</w:t>
      </w:r>
      <w:proofErr w:type="spellEnd"/>
      <w:r w:rsidRPr="00EA6A6C">
        <w:rPr>
          <w:rFonts w:ascii="Cambria" w:hAnsi="Cambria"/>
          <w:sz w:val="24"/>
          <w:szCs w:val="24"/>
          <w:lang w:val="en-GB"/>
        </w:rPr>
        <w:t xml:space="preserve"> River, </w:t>
      </w:r>
      <w:r w:rsidRPr="00EA6A6C">
        <w:rPr>
          <w:lang w:val="en-GB"/>
        </w:rPr>
        <w:t>as well as its karst hinterland,</w:t>
      </w:r>
      <w:r w:rsidRPr="00EA6A6C">
        <w:rPr>
          <w:rFonts w:ascii="Cambria" w:hAnsi="Cambria"/>
          <w:sz w:val="24"/>
          <w:szCs w:val="24"/>
          <w:lang w:val="en-GB"/>
        </w:rPr>
        <w:t xml:space="preserve"> contributes to recharge of the Zeta Plain aquifer, which supplies drinking water to Podgorica, Tuzi and Zeta municipalities. This illustrates a direct hydrogeological link between upstream karst recharge areas and downstream abstraction points.</w:t>
      </w:r>
    </w:p>
    <w:p w14:paraId="1D7C1E5E"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In such conditions, contamination events-whether microbiological, chemical, or diffuse-may propagate rapidly across borders. Traditional surface-water monitoring regimes are insufficient to capture rainfall-triggered turbidity spikes or episodic microbiological contamination events characteristic of karst systems.</w:t>
      </w:r>
    </w:p>
    <w:p w14:paraId="3DA5CA26"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However, the current bilateral framework does not establish:</w:t>
      </w:r>
    </w:p>
    <w:p w14:paraId="1C48F105" w14:textId="77777777" w:rsidR="006112D9" w:rsidRPr="00EA6A6C" w:rsidRDefault="006112D9" w:rsidP="006112D9">
      <w:pPr>
        <w:numPr>
          <w:ilvl w:val="0"/>
          <w:numId w:val="10"/>
        </w:numPr>
        <w:jc w:val="both"/>
        <w:rPr>
          <w:rFonts w:ascii="Cambria" w:hAnsi="Cambria"/>
          <w:sz w:val="24"/>
          <w:szCs w:val="24"/>
          <w:lang w:val="en-GB"/>
        </w:rPr>
      </w:pPr>
      <w:r w:rsidRPr="00EA6A6C">
        <w:rPr>
          <w:rFonts w:ascii="Cambria" w:hAnsi="Cambria"/>
          <w:sz w:val="24"/>
          <w:szCs w:val="24"/>
          <w:lang w:val="en-GB"/>
        </w:rPr>
        <w:t xml:space="preserve">A joint karst-adapted monitoring </w:t>
      </w:r>
      <w:proofErr w:type="gramStart"/>
      <w:r w:rsidRPr="00EA6A6C">
        <w:rPr>
          <w:rFonts w:ascii="Cambria" w:hAnsi="Cambria"/>
          <w:sz w:val="24"/>
          <w:szCs w:val="24"/>
          <w:lang w:val="en-GB"/>
        </w:rPr>
        <w:t>system;</w:t>
      </w:r>
      <w:proofErr w:type="gramEnd"/>
    </w:p>
    <w:p w14:paraId="3552FECB" w14:textId="77777777" w:rsidR="006112D9" w:rsidRPr="00EA6A6C" w:rsidRDefault="006112D9" w:rsidP="006112D9">
      <w:pPr>
        <w:numPr>
          <w:ilvl w:val="0"/>
          <w:numId w:val="10"/>
        </w:numPr>
        <w:jc w:val="both"/>
        <w:rPr>
          <w:rFonts w:ascii="Cambria" w:hAnsi="Cambria"/>
          <w:sz w:val="24"/>
          <w:szCs w:val="24"/>
          <w:lang w:val="en-GB"/>
        </w:rPr>
      </w:pPr>
      <w:r w:rsidRPr="00EA6A6C">
        <w:rPr>
          <w:rFonts w:ascii="Cambria" w:hAnsi="Cambria"/>
          <w:sz w:val="24"/>
          <w:szCs w:val="24"/>
          <w:lang w:val="en-GB"/>
        </w:rPr>
        <w:t xml:space="preserve">Event-based sampling </w:t>
      </w:r>
      <w:proofErr w:type="gramStart"/>
      <w:r w:rsidRPr="00EA6A6C">
        <w:rPr>
          <w:rFonts w:ascii="Cambria" w:hAnsi="Cambria"/>
          <w:sz w:val="24"/>
          <w:szCs w:val="24"/>
          <w:lang w:val="en-GB"/>
        </w:rPr>
        <w:t>obligations;</w:t>
      </w:r>
      <w:proofErr w:type="gramEnd"/>
    </w:p>
    <w:p w14:paraId="4C059181" w14:textId="77777777" w:rsidR="006112D9" w:rsidRPr="00EA6A6C" w:rsidRDefault="006112D9" w:rsidP="006112D9">
      <w:pPr>
        <w:numPr>
          <w:ilvl w:val="0"/>
          <w:numId w:val="10"/>
        </w:numPr>
        <w:jc w:val="both"/>
        <w:rPr>
          <w:rFonts w:ascii="Cambria" w:hAnsi="Cambria"/>
          <w:sz w:val="24"/>
          <w:szCs w:val="24"/>
          <w:lang w:val="en-GB"/>
        </w:rPr>
      </w:pPr>
      <w:r w:rsidRPr="00EA6A6C">
        <w:rPr>
          <w:rFonts w:ascii="Cambria" w:hAnsi="Cambria"/>
          <w:sz w:val="24"/>
          <w:szCs w:val="24"/>
          <w:lang w:val="en-GB"/>
        </w:rPr>
        <w:t xml:space="preserve">Shared thresholds for groundwater </w:t>
      </w:r>
      <w:proofErr w:type="gramStart"/>
      <w:r w:rsidRPr="00EA6A6C">
        <w:rPr>
          <w:rFonts w:ascii="Cambria" w:hAnsi="Cambria"/>
          <w:sz w:val="24"/>
          <w:szCs w:val="24"/>
          <w:lang w:val="en-GB"/>
        </w:rPr>
        <w:t>contamination;</w:t>
      </w:r>
      <w:proofErr w:type="gramEnd"/>
    </w:p>
    <w:p w14:paraId="0CABE0F3" w14:textId="77777777" w:rsidR="006112D9" w:rsidRPr="00EA6A6C" w:rsidRDefault="006112D9" w:rsidP="006112D9">
      <w:pPr>
        <w:numPr>
          <w:ilvl w:val="0"/>
          <w:numId w:val="10"/>
        </w:numPr>
        <w:jc w:val="both"/>
        <w:rPr>
          <w:rFonts w:ascii="Cambria" w:hAnsi="Cambria"/>
          <w:sz w:val="24"/>
          <w:szCs w:val="24"/>
          <w:lang w:val="en-GB"/>
        </w:rPr>
      </w:pPr>
      <w:r w:rsidRPr="00EA6A6C">
        <w:rPr>
          <w:rFonts w:ascii="Cambria" w:hAnsi="Cambria"/>
          <w:sz w:val="24"/>
          <w:szCs w:val="24"/>
          <w:lang w:val="en-GB"/>
        </w:rPr>
        <w:t>A coordinated early-warning mechanism specific to groundwater.</w:t>
      </w:r>
    </w:p>
    <w:p w14:paraId="38E19103" w14:textId="77777777" w:rsidR="006112D9" w:rsidRPr="00EA6A6C" w:rsidRDefault="006112D9" w:rsidP="006112D9">
      <w:pPr>
        <w:jc w:val="both"/>
        <w:rPr>
          <w:rFonts w:ascii="Cambria" w:hAnsi="Cambria"/>
          <w:b/>
          <w:bCs/>
          <w:sz w:val="24"/>
          <w:szCs w:val="24"/>
          <w:lang w:val="en-GB"/>
        </w:rPr>
      </w:pPr>
      <w:r w:rsidRPr="00EA6A6C">
        <w:rPr>
          <w:rFonts w:ascii="Cambria" w:hAnsi="Cambria"/>
          <w:sz w:val="24"/>
          <w:szCs w:val="24"/>
          <w:lang w:val="en-GB"/>
        </w:rPr>
        <w:t xml:space="preserve">The hydrogeological nature of the </w:t>
      </w:r>
      <w:proofErr w:type="spellStart"/>
      <w:r w:rsidRPr="00EA6A6C">
        <w:rPr>
          <w:rFonts w:ascii="Cambria" w:hAnsi="Cambria"/>
          <w:sz w:val="24"/>
          <w:szCs w:val="24"/>
          <w:lang w:val="en-GB"/>
        </w:rPr>
        <w:t>Cemi</w:t>
      </w:r>
      <w:proofErr w:type="spellEnd"/>
      <w:r w:rsidRPr="00EA6A6C">
        <w:rPr>
          <w:rFonts w:ascii="Cambria" w:hAnsi="Cambria"/>
          <w:sz w:val="24"/>
          <w:szCs w:val="24"/>
          <w:lang w:val="en-GB"/>
        </w:rPr>
        <w:t>/</w:t>
      </w:r>
      <w:proofErr w:type="spellStart"/>
      <w:r w:rsidRPr="00EA6A6C">
        <w:rPr>
          <w:rFonts w:ascii="Cambria" w:hAnsi="Cambria"/>
          <w:sz w:val="24"/>
          <w:szCs w:val="24"/>
          <w:lang w:val="en-GB"/>
        </w:rPr>
        <w:t>Cijevna</w:t>
      </w:r>
      <w:proofErr w:type="spellEnd"/>
      <w:r w:rsidRPr="00EA6A6C">
        <w:rPr>
          <w:rFonts w:ascii="Cambria" w:hAnsi="Cambria"/>
          <w:sz w:val="24"/>
          <w:szCs w:val="24"/>
          <w:lang w:val="en-GB"/>
        </w:rPr>
        <w:t xml:space="preserve"> system therefore underscores the need for aquifer-specific amendments.</w:t>
      </w:r>
    </w:p>
    <w:p w14:paraId="4084E58C" w14:textId="77777777" w:rsidR="006112D9" w:rsidRPr="00EA6A6C" w:rsidRDefault="006112D9" w:rsidP="006112D9">
      <w:pPr>
        <w:rPr>
          <w:rFonts w:ascii="Cambria" w:hAnsi="Cambria"/>
          <w:b/>
          <w:bCs/>
          <w:sz w:val="24"/>
          <w:szCs w:val="24"/>
          <w:lang w:val="en-GB"/>
        </w:rPr>
      </w:pPr>
    </w:p>
    <w:p w14:paraId="4567144F" w14:textId="77777777" w:rsidR="006112D9" w:rsidRPr="00EA6A6C" w:rsidRDefault="006112D9" w:rsidP="0000684E">
      <w:pPr>
        <w:pStyle w:val="Titre2"/>
        <w:rPr>
          <w:lang w:val="en-GB"/>
        </w:rPr>
      </w:pPr>
      <w:bookmarkStart w:id="14" w:name="_Toc226579983"/>
      <w:r w:rsidRPr="00EA6A6C">
        <w:rPr>
          <w:lang w:val="en-GB"/>
        </w:rPr>
        <w:t>5.2 Drinking Water Dependency and Recharge Area Governance</w:t>
      </w:r>
      <w:bookmarkEnd w:id="14"/>
    </w:p>
    <w:p w14:paraId="1E82FC7C"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 xml:space="preserve">The Zeta Plain aquifer plays a critical role in municipal water supply in Montenegro. Its recharge dynamics are influenced by karst formations within the broader </w:t>
      </w:r>
      <w:proofErr w:type="spellStart"/>
      <w:r w:rsidRPr="00EA6A6C">
        <w:rPr>
          <w:rFonts w:ascii="Cambria" w:hAnsi="Cambria"/>
          <w:sz w:val="24"/>
          <w:szCs w:val="24"/>
          <w:lang w:val="en-GB"/>
        </w:rPr>
        <w:t>Cemi</w:t>
      </w:r>
      <w:proofErr w:type="spellEnd"/>
      <w:r w:rsidRPr="00EA6A6C">
        <w:rPr>
          <w:rFonts w:ascii="Cambria" w:hAnsi="Cambria"/>
          <w:sz w:val="24"/>
          <w:szCs w:val="24"/>
          <w:lang w:val="en-GB"/>
        </w:rPr>
        <w:t>/</w:t>
      </w:r>
      <w:proofErr w:type="spellStart"/>
      <w:r w:rsidRPr="00EA6A6C">
        <w:rPr>
          <w:rFonts w:ascii="Cambria" w:hAnsi="Cambria"/>
          <w:sz w:val="24"/>
          <w:szCs w:val="24"/>
          <w:lang w:val="en-GB"/>
        </w:rPr>
        <w:t>Cijevna</w:t>
      </w:r>
      <w:proofErr w:type="spellEnd"/>
      <w:r w:rsidRPr="00EA6A6C">
        <w:rPr>
          <w:rFonts w:ascii="Cambria" w:hAnsi="Cambria"/>
          <w:sz w:val="24"/>
          <w:szCs w:val="24"/>
          <w:lang w:val="en-GB"/>
        </w:rPr>
        <w:t xml:space="preserve"> basin.</w:t>
      </w:r>
    </w:p>
    <w:p w14:paraId="221CD619"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This creates a structural dependency pattern:</w:t>
      </w:r>
    </w:p>
    <w:p w14:paraId="474E47A3" w14:textId="77777777" w:rsidR="006112D9" w:rsidRPr="00EA6A6C" w:rsidRDefault="006112D9" w:rsidP="006112D9">
      <w:pPr>
        <w:numPr>
          <w:ilvl w:val="0"/>
          <w:numId w:val="11"/>
        </w:numPr>
        <w:jc w:val="both"/>
        <w:rPr>
          <w:rFonts w:ascii="Cambria" w:hAnsi="Cambria"/>
          <w:sz w:val="24"/>
          <w:szCs w:val="24"/>
          <w:lang w:val="en-GB"/>
        </w:rPr>
      </w:pPr>
      <w:r w:rsidRPr="00EA6A6C">
        <w:rPr>
          <w:rFonts w:ascii="Cambria" w:hAnsi="Cambria"/>
          <w:sz w:val="24"/>
          <w:szCs w:val="24"/>
          <w:lang w:val="en-GB"/>
        </w:rPr>
        <w:t xml:space="preserve">Downstream drinking water security depends on upstream land-use </w:t>
      </w:r>
      <w:proofErr w:type="gramStart"/>
      <w:r w:rsidRPr="00EA6A6C">
        <w:rPr>
          <w:rFonts w:ascii="Cambria" w:hAnsi="Cambria"/>
          <w:sz w:val="24"/>
          <w:szCs w:val="24"/>
          <w:lang w:val="en-GB"/>
        </w:rPr>
        <w:t>practices;</w:t>
      </w:r>
      <w:proofErr w:type="gramEnd"/>
    </w:p>
    <w:p w14:paraId="211F07CA" w14:textId="77777777" w:rsidR="006112D9" w:rsidRPr="00EA6A6C" w:rsidRDefault="006112D9" w:rsidP="006112D9">
      <w:pPr>
        <w:numPr>
          <w:ilvl w:val="0"/>
          <w:numId w:val="11"/>
        </w:numPr>
        <w:jc w:val="both"/>
        <w:rPr>
          <w:rFonts w:ascii="Cambria" w:hAnsi="Cambria"/>
          <w:sz w:val="24"/>
          <w:szCs w:val="24"/>
          <w:lang w:val="en-GB"/>
        </w:rPr>
      </w:pPr>
      <w:r w:rsidRPr="00EA6A6C">
        <w:rPr>
          <w:rFonts w:ascii="Cambria" w:hAnsi="Cambria"/>
          <w:sz w:val="24"/>
          <w:szCs w:val="24"/>
          <w:lang w:val="en-GB"/>
        </w:rPr>
        <w:t xml:space="preserve">Recharge areas may extend beyond immediate administrative </w:t>
      </w:r>
      <w:proofErr w:type="gramStart"/>
      <w:r w:rsidRPr="00EA6A6C">
        <w:rPr>
          <w:rFonts w:ascii="Cambria" w:hAnsi="Cambria"/>
          <w:sz w:val="24"/>
          <w:szCs w:val="24"/>
          <w:lang w:val="en-GB"/>
        </w:rPr>
        <w:t>control;</w:t>
      </w:r>
      <w:proofErr w:type="gramEnd"/>
    </w:p>
    <w:p w14:paraId="3E7AA67A" w14:textId="77777777" w:rsidR="006112D9" w:rsidRPr="00EA6A6C" w:rsidRDefault="006112D9" w:rsidP="006112D9">
      <w:pPr>
        <w:numPr>
          <w:ilvl w:val="0"/>
          <w:numId w:val="11"/>
        </w:numPr>
        <w:jc w:val="both"/>
        <w:rPr>
          <w:rFonts w:ascii="Cambria" w:hAnsi="Cambria"/>
          <w:sz w:val="24"/>
          <w:szCs w:val="24"/>
          <w:lang w:val="en-GB"/>
        </w:rPr>
      </w:pPr>
      <w:r w:rsidRPr="00EA6A6C">
        <w:rPr>
          <w:rFonts w:ascii="Cambria" w:hAnsi="Cambria"/>
          <w:sz w:val="24"/>
          <w:szCs w:val="24"/>
          <w:lang w:val="en-GB"/>
        </w:rPr>
        <w:t>Pollution or over-abstraction in recharge zones can affect abstraction points elsewhere.</w:t>
      </w:r>
    </w:p>
    <w:p w14:paraId="025164D9"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Although both countries regulate groundwater abstraction and protection nationally, the BGGDA identifies the absence of a formally recognized joint conceptual hydrogeological model. Without such a model, recharge zones and hydraulic connections are not jointly validated, and cumulative impacts cannot be systematically assessed at aquifer scale.</w:t>
      </w:r>
    </w:p>
    <w:p w14:paraId="07969A19"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Furthermore, sanitary protection zones (SPZ) are regulated within national systems but are not harmonized across borders. there is no joint delineation procedure for transboundary recharge zones, nor a mechanism for mutual recognition of protection regimes.</w:t>
      </w:r>
    </w:p>
    <w:p w14:paraId="37A26C94"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This gap is particularly relevant in karst terrain, where recharge zones may be extensive and diffuse, and where land-use decisions in one jurisdiction may affect water quality and quantity in another.</w:t>
      </w:r>
    </w:p>
    <w:p w14:paraId="6D2C3CC6" w14:textId="77777777" w:rsidR="006112D9" w:rsidRPr="00EA6A6C" w:rsidRDefault="006112D9" w:rsidP="006112D9">
      <w:pPr>
        <w:rPr>
          <w:rFonts w:ascii="Cambria" w:hAnsi="Cambria"/>
          <w:b/>
          <w:bCs/>
          <w:sz w:val="24"/>
          <w:szCs w:val="24"/>
          <w:lang w:val="en-GB"/>
        </w:rPr>
      </w:pPr>
    </w:p>
    <w:p w14:paraId="7EB3664E" w14:textId="77777777" w:rsidR="003552C5" w:rsidRPr="00EA6A6C" w:rsidRDefault="003552C5" w:rsidP="006112D9">
      <w:pPr>
        <w:rPr>
          <w:rFonts w:ascii="Cambria" w:hAnsi="Cambria"/>
          <w:b/>
          <w:bCs/>
          <w:sz w:val="24"/>
          <w:szCs w:val="24"/>
          <w:lang w:val="en-GB"/>
        </w:rPr>
      </w:pPr>
    </w:p>
    <w:p w14:paraId="552472BC" w14:textId="77777777" w:rsidR="006112D9" w:rsidRPr="00EA6A6C" w:rsidRDefault="006112D9" w:rsidP="0000684E">
      <w:pPr>
        <w:pStyle w:val="Titre2"/>
        <w:rPr>
          <w:lang w:val="en-GB"/>
        </w:rPr>
      </w:pPr>
      <w:bookmarkStart w:id="15" w:name="_Toc226579984"/>
      <w:r w:rsidRPr="00EA6A6C">
        <w:rPr>
          <w:lang w:val="en-GB"/>
        </w:rPr>
        <w:t>5.3 Pressure Hotspots: Local Activities with Transboundary Effects</w:t>
      </w:r>
      <w:bookmarkEnd w:id="15"/>
    </w:p>
    <w:p w14:paraId="72528B68"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 xml:space="preserve">The </w:t>
      </w:r>
      <w:proofErr w:type="spellStart"/>
      <w:r w:rsidRPr="00EA6A6C">
        <w:rPr>
          <w:rFonts w:ascii="Cambria" w:hAnsi="Cambria"/>
          <w:sz w:val="24"/>
          <w:szCs w:val="24"/>
          <w:lang w:val="en-GB"/>
        </w:rPr>
        <w:t>Cemi</w:t>
      </w:r>
      <w:proofErr w:type="spellEnd"/>
      <w:r w:rsidRPr="00EA6A6C">
        <w:rPr>
          <w:rFonts w:ascii="Cambria" w:hAnsi="Cambria"/>
          <w:sz w:val="24"/>
          <w:szCs w:val="24"/>
          <w:lang w:val="en-GB"/>
        </w:rPr>
        <w:t>/</w:t>
      </w:r>
      <w:proofErr w:type="spellStart"/>
      <w:r w:rsidRPr="00EA6A6C">
        <w:rPr>
          <w:rFonts w:ascii="Cambria" w:hAnsi="Cambria"/>
          <w:sz w:val="24"/>
          <w:szCs w:val="24"/>
          <w:lang w:val="en-GB"/>
        </w:rPr>
        <w:t>Cijevna</w:t>
      </w:r>
      <w:proofErr w:type="spellEnd"/>
      <w:r w:rsidRPr="00EA6A6C">
        <w:rPr>
          <w:rFonts w:ascii="Cambria" w:hAnsi="Cambria"/>
          <w:sz w:val="24"/>
          <w:szCs w:val="24"/>
          <w:lang w:val="en-GB"/>
        </w:rPr>
        <w:t xml:space="preserve"> BGGDA identifies several categories of pressure hotspots that illustrate the limitations of the current governance framework.</w:t>
      </w:r>
    </w:p>
    <w:p w14:paraId="63BB114F" w14:textId="168249EA" w:rsidR="006112D9" w:rsidRPr="00EA6A6C" w:rsidRDefault="003552C5" w:rsidP="0000684E">
      <w:pPr>
        <w:pStyle w:val="Titre3"/>
        <w:rPr>
          <w:lang w:val="en-GB"/>
        </w:rPr>
      </w:pPr>
      <w:bookmarkStart w:id="16" w:name="_Toc226579985"/>
      <w:r w:rsidRPr="00EA6A6C">
        <w:rPr>
          <w:lang w:val="en-GB"/>
        </w:rPr>
        <w:t xml:space="preserve">5.3.1 </w:t>
      </w:r>
      <w:r w:rsidR="006112D9" w:rsidRPr="00EA6A6C">
        <w:rPr>
          <w:lang w:val="en-GB"/>
        </w:rPr>
        <w:t>Peri-Urban and Rural Sanitation Gaps</w:t>
      </w:r>
      <w:bookmarkEnd w:id="16"/>
    </w:p>
    <w:p w14:paraId="1A93FFB5"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In upland settlements within the recharge area:</w:t>
      </w:r>
    </w:p>
    <w:p w14:paraId="3AC58DD5" w14:textId="77777777" w:rsidR="006112D9" w:rsidRPr="00EA6A6C" w:rsidRDefault="006112D9" w:rsidP="006112D9">
      <w:pPr>
        <w:numPr>
          <w:ilvl w:val="0"/>
          <w:numId w:val="12"/>
        </w:numPr>
        <w:jc w:val="both"/>
        <w:rPr>
          <w:rFonts w:ascii="Cambria" w:hAnsi="Cambria"/>
          <w:sz w:val="24"/>
          <w:szCs w:val="24"/>
          <w:lang w:val="en-GB"/>
        </w:rPr>
      </w:pPr>
      <w:r w:rsidRPr="00EA6A6C">
        <w:rPr>
          <w:rFonts w:ascii="Cambria" w:hAnsi="Cambria"/>
          <w:sz w:val="24"/>
          <w:szCs w:val="24"/>
          <w:lang w:val="en-GB"/>
        </w:rPr>
        <w:t xml:space="preserve">Wastewater collection infrastructure is </w:t>
      </w:r>
      <w:proofErr w:type="gramStart"/>
      <w:r w:rsidRPr="00EA6A6C">
        <w:rPr>
          <w:rFonts w:ascii="Cambria" w:hAnsi="Cambria"/>
          <w:sz w:val="24"/>
          <w:szCs w:val="24"/>
          <w:lang w:val="en-GB"/>
        </w:rPr>
        <w:t>incomplete;</w:t>
      </w:r>
      <w:proofErr w:type="gramEnd"/>
    </w:p>
    <w:p w14:paraId="47DEFE5E" w14:textId="77777777" w:rsidR="006112D9" w:rsidRPr="00EA6A6C" w:rsidRDefault="006112D9" w:rsidP="006112D9">
      <w:pPr>
        <w:numPr>
          <w:ilvl w:val="0"/>
          <w:numId w:val="12"/>
        </w:numPr>
        <w:jc w:val="both"/>
        <w:rPr>
          <w:rFonts w:ascii="Cambria" w:hAnsi="Cambria"/>
          <w:sz w:val="24"/>
          <w:szCs w:val="24"/>
          <w:lang w:val="en-GB"/>
        </w:rPr>
      </w:pPr>
      <w:r w:rsidRPr="00EA6A6C">
        <w:rPr>
          <w:rFonts w:ascii="Cambria" w:hAnsi="Cambria"/>
          <w:sz w:val="24"/>
          <w:szCs w:val="24"/>
          <w:lang w:val="en-GB"/>
        </w:rPr>
        <w:t xml:space="preserve">Septic systems are widely </w:t>
      </w:r>
      <w:proofErr w:type="gramStart"/>
      <w:r w:rsidRPr="00EA6A6C">
        <w:rPr>
          <w:rFonts w:ascii="Cambria" w:hAnsi="Cambria"/>
          <w:sz w:val="24"/>
          <w:szCs w:val="24"/>
          <w:lang w:val="en-GB"/>
        </w:rPr>
        <w:t>used;</w:t>
      </w:r>
      <w:proofErr w:type="gramEnd"/>
    </w:p>
    <w:p w14:paraId="50D13BC2" w14:textId="77777777" w:rsidR="006112D9" w:rsidRPr="00EA6A6C" w:rsidRDefault="006112D9" w:rsidP="006112D9">
      <w:pPr>
        <w:numPr>
          <w:ilvl w:val="0"/>
          <w:numId w:val="12"/>
        </w:numPr>
        <w:jc w:val="both"/>
        <w:rPr>
          <w:rFonts w:ascii="Cambria" w:hAnsi="Cambria"/>
          <w:sz w:val="24"/>
          <w:szCs w:val="24"/>
          <w:lang w:val="en-GB"/>
        </w:rPr>
      </w:pPr>
      <w:r w:rsidRPr="00EA6A6C">
        <w:rPr>
          <w:rFonts w:ascii="Cambria" w:hAnsi="Cambria"/>
          <w:sz w:val="24"/>
          <w:szCs w:val="24"/>
          <w:lang w:val="en-GB"/>
        </w:rPr>
        <w:t>Wastewater treatment capacity remains limited.</w:t>
      </w:r>
    </w:p>
    <w:p w14:paraId="05EE52A1"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In karst systems, untreated or poorly treated wastewater may infiltrate directly into groundwater pathways. While sanitation planning is conducted at municipal or national level, there is no structured mechanism for assessing transboundary groundwater implications of sanitation deficits in recharge zones.</w:t>
      </w:r>
    </w:p>
    <w:p w14:paraId="22E4931A" w14:textId="6317CB88" w:rsidR="006112D9" w:rsidRPr="00EA6A6C" w:rsidRDefault="003552C5" w:rsidP="0000684E">
      <w:pPr>
        <w:pStyle w:val="Titre3"/>
        <w:rPr>
          <w:lang w:val="en-GB"/>
        </w:rPr>
      </w:pPr>
      <w:bookmarkStart w:id="17" w:name="_Toc226579986"/>
      <w:r w:rsidRPr="00EA6A6C">
        <w:rPr>
          <w:lang w:val="en-GB"/>
        </w:rPr>
        <w:lastRenderedPageBreak/>
        <w:t xml:space="preserve">5.3.2 </w:t>
      </w:r>
      <w:r w:rsidR="006112D9" w:rsidRPr="00EA6A6C">
        <w:rPr>
          <w:lang w:val="en-GB"/>
        </w:rPr>
        <w:t>Development Nodes</w:t>
      </w:r>
      <w:bookmarkEnd w:id="17"/>
    </w:p>
    <w:p w14:paraId="35EC1128"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 xml:space="preserve">The </w:t>
      </w:r>
      <w:proofErr w:type="spellStart"/>
      <w:r w:rsidRPr="00EA6A6C">
        <w:rPr>
          <w:rFonts w:ascii="Cambria" w:hAnsi="Cambria"/>
          <w:sz w:val="24"/>
          <w:szCs w:val="24"/>
          <w:lang w:val="en-GB"/>
        </w:rPr>
        <w:t>Cemi</w:t>
      </w:r>
      <w:proofErr w:type="spellEnd"/>
      <w:r w:rsidRPr="00EA6A6C">
        <w:rPr>
          <w:rFonts w:ascii="Cambria" w:hAnsi="Cambria"/>
          <w:sz w:val="24"/>
          <w:szCs w:val="24"/>
          <w:lang w:val="en-GB"/>
        </w:rPr>
        <w:t>/</w:t>
      </w:r>
      <w:proofErr w:type="spellStart"/>
      <w:r w:rsidRPr="00EA6A6C">
        <w:rPr>
          <w:rFonts w:ascii="Cambria" w:hAnsi="Cambria"/>
          <w:sz w:val="24"/>
          <w:szCs w:val="24"/>
          <w:lang w:val="en-GB"/>
        </w:rPr>
        <w:t>Cijevna</w:t>
      </w:r>
      <w:proofErr w:type="spellEnd"/>
      <w:r w:rsidRPr="00EA6A6C">
        <w:rPr>
          <w:rFonts w:ascii="Cambria" w:hAnsi="Cambria"/>
          <w:sz w:val="24"/>
          <w:szCs w:val="24"/>
          <w:lang w:val="en-GB"/>
        </w:rPr>
        <w:t xml:space="preserve"> canyon and surrounding mountainous landscapes have experienced increased tourism activity. Tourism-related pressures include:</w:t>
      </w:r>
    </w:p>
    <w:p w14:paraId="3C5AF4A9" w14:textId="77777777" w:rsidR="006112D9" w:rsidRPr="00EA6A6C" w:rsidRDefault="006112D9" w:rsidP="006112D9">
      <w:pPr>
        <w:numPr>
          <w:ilvl w:val="0"/>
          <w:numId w:val="13"/>
        </w:numPr>
        <w:jc w:val="both"/>
        <w:rPr>
          <w:rFonts w:ascii="Cambria" w:hAnsi="Cambria"/>
          <w:sz w:val="24"/>
          <w:szCs w:val="24"/>
          <w:lang w:val="en-GB"/>
        </w:rPr>
      </w:pPr>
      <w:r w:rsidRPr="00EA6A6C">
        <w:rPr>
          <w:rFonts w:ascii="Cambria" w:hAnsi="Cambria"/>
          <w:sz w:val="24"/>
          <w:szCs w:val="24"/>
          <w:lang w:val="en-GB"/>
        </w:rPr>
        <w:t xml:space="preserve">Seasonal increases in </w:t>
      </w:r>
      <w:proofErr w:type="gramStart"/>
      <w:r w:rsidRPr="00EA6A6C">
        <w:rPr>
          <w:rFonts w:ascii="Cambria" w:hAnsi="Cambria"/>
          <w:sz w:val="24"/>
          <w:szCs w:val="24"/>
          <w:lang w:val="en-GB"/>
        </w:rPr>
        <w:t>abstraction;</w:t>
      </w:r>
      <w:proofErr w:type="gramEnd"/>
    </w:p>
    <w:p w14:paraId="0868DC07" w14:textId="77777777" w:rsidR="006112D9" w:rsidRPr="00EA6A6C" w:rsidRDefault="006112D9" w:rsidP="006112D9">
      <w:pPr>
        <w:numPr>
          <w:ilvl w:val="0"/>
          <w:numId w:val="13"/>
        </w:numPr>
        <w:jc w:val="both"/>
        <w:rPr>
          <w:rFonts w:ascii="Cambria" w:hAnsi="Cambria"/>
          <w:sz w:val="24"/>
          <w:szCs w:val="24"/>
          <w:lang w:val="en-GB"/>
        </w:rPr>
      </w:pPr>
      <w:r w:rsidRPr="00EA6A6C">
        <w:rPr>
          <w:rFonts w:ascii="Cambria" w:hAnsi="Cambria"/>
          <w:sz w:val="24"/>
          <w:szCs w:val="24"/>
          <w:lang w:val="en-GB"/>
        </w:rPr>
        <w:t xml:space="preserve">Increased wastewater </w:t>
      </w:r>
      <w:proofErr w:type="gramStart"/>
      <w:r w:rsidRPr="00EA6A6C">
        <w:rPr>
          <w:rFonts w:ascii="Cambria" w:hAnsi="Cambria"/>
          <w:sz w:val="24"/>
          <w:szCs w:val="24"/>
          <w:lang w:val="en-GB"/>
        </w:rPr>
        <w:t>production;</w:t>
      </w:r>
      <w:proofErr w:type="gramEnd"/>
    </w:p>
    <w:p w14:paraId="39CDA9D9" w14:textId="77777777" w:rsidR="006112D9" w:rsidRPr="00EA6A6C" w:rsidRDefault="006112D9" w:rsidP="006112D9">
      <w:pPr>
        <w:numPr>
          <w:ilvl w:val="0"/>
          <w:numId w:val="13"/>
        </w:numPr>
        <w:jc w:val="both"/>
        <w:rPr>
          <w:rFonts w:ascii="Cambria" w:hAnsi="Cambria"/>
          <w:sz w:val="24"/>
          <w:szCs w:val="24"/>
          <w:lang w:val="en-GB"/>
        </w:rPr>
      </w:pPr>
      <w:r w:rsidRPr="00EA6A6C">
        <w:rPr>
          <w:rFonts w:ascii="Cambria" w:hAnsi="Cambria"/>
          <w:sz w:val="24"/>
          <w:szCs w:val="24"/>
          <w:lang w:val="en-GB"/>
        </w:rPr>
        <w:t xml:space="preserve">Infrastructure development in </w:t>
      </w:r>
      <w:proofErr w:type="spellStart"/>
      <w:r w:rsidRPr="00EA6A6C">
        <w:rPr>
          <w:rFonts w:ascii="Cambria" w:hAnsi="Cambria"/>
          <w:sz w:val="24"/>
          <w:szCs w:val="24"/>
          <w:lang w:val="en-GB"/>
        </w:rPr>
        <w:t>hydrogeologically</w:t>
      </w:r>
      <w:proofErr w:type="spellEnd"/>
      <w:r w:rsidRPr="00EA6A6C">
        <w:rPr>
          <w:rFonts w:ascii="Cambria" w:hAnsi="Cambria"/>
          <w:sz w:val="24"/>
          <w:szCs w:val="24"/>
          <w:lang w:val="en-GB"/>
        </w:rPr>
        <w:t xml:space="preserve"> sensitive areas.</w:t>
      </w:r>
    </w:p>
    <w:p w14:paraId="14B4F324" w14:textId="0CC88F67" w:rsidR="00A3346C" w:rsidRPr="003C5E53" w:rsidRDefault="006112D9" w:rsidP="00A3346C">
      <w:pPr>
        <w:jc w:val="both"/>
        <w:rPr>
          <w:rFonts w:ascii="Cambria" w:hAnsi="Cambria"/>
          <w:sz w:val="24"/>
          <w:szCs w:val="24"/>
        </w:rPr>
      </w:pPr>
      <w:r w:rsidRPr="00EA6A6C">
        <w:rPr>
          <w:rFonts w:ascii="Cambria" w:hAnsi="Cambria"/>
          <w:sz w:val="24"/>
          <w:szCs w:val="24"/>
          <w:lang w:val="en-GB"/>
        </w:rPr>
        <w:t xml:space="preserve">Spatial planning and tourism licensing processes are not systematically linked to transboundary groundwater vulnerability assessments. </w:t>
      </w:r>
      <w:proofErr w:type="spellStart"/>
      <w:r w:rsidR="00A3346C" w:rsidRPr="003C5E53">
        <w:rPr>
          <w:rFonts w:ascii="Cambria" w:hAnsi="Cambria"/>
          <w:sz w:val="24"/>
          <w:szCs w:val="24"/>
        </w:rPr>
        <w:t>Without</w:t>
      </w:r>
      <w:proofErr w:type="spellEnd"/>
      <w:r w:rsidR="00A3346C" w:rsidRPr="003C5E53">
        <w:rPr>
          <w:rFonts w:ascii="Cambria" w:hAnsi="Cambria"/>
          <w:sz w:val="24"/>
          <w:szCs w:val="24"/>
        </w:rPr>
        <w:t xml:space="preserve"> </w:t>
      </w:r>
      <w:proofErr w:type="spellStart"/>
      <w:r w:rsidR="00A3346C" w:rsidRPr="003C5E53">
        <w:rPr>
          <w:rFonts w:ascii="Cambria" w:hAnsi="Cambria"/>
          <w:sz w:val="24"/>
          <w:szCs w:val="24"/>
        </w:rPr>
        <w:t>harmonized</w:t>
      </w:r>
      <w:proofErr w:type="spellEnd"/>
      <w:r w:rsidR="00A3346C" w:rsidRPr="003C5E53">
        <w:rPr>
          <w:rFonts w:ascii="Cambria" w:hAnsi="Cambria"/>
          <w:sz w:val="24"/>
          <w:szCs w:val="24"/>
        </w:rPr>
        <w:t xml:space="preserve"> SPZ </w:t>
      </w:r>
      <w:proofErr w:type="spellStart"/>
      <w:r w:rsidR="00A3346C" w:rsidRPr="003C5E53">
        <w:rPr>
          <w:rFonts w:ascii="Cambria" w:hAnsi="Cambria"/>
          <w:sz w:val="24"/>
          <w:szCs w:val="24"/>
        </w:rPr>
        <w:t>criteria</w:t>
      </w:r>
      <w:proofErr w:type="spellEnd"/>
      <w:r w:rsidR="00A3346C" w:rsidRPr="003C5E53">
        <w:rPr>
          <w:rFonts w:ascii="Cambria" w:hAnsi="Cambria"/>
          <w:sz w:val="24"/>
          <w:szCs w:val="24"/>
        </w:rPr>
        <w:t xml:space="preserve"> </w:t>
      </w:r>
      <w:proofErr w:type="spellStart"/>
      <w:r w:rsidR="00A3346C" w:rsidRPr="003C5E53">
        <w:rPr>
          <w:rFonts w:ascii="Cambria" w:hAnsi="Cambria"/>
          <w:sz w:val="24"/>
          <w:szCs w:val="24"/>
        </w:rPr>
        <w:t>and</w:t>
      </w:r>
      <w:proofErr w:type="spellEnd"/>
      <w:r w:rsidR="00A3346C" w:rsidRPr="003C5E53">
        <w:rPr>
          <w:rFonts w:ascii="Cambria" w:hAnsi="Cambria"/>
          <w:sz w:val="24"/>
          <w:szCs w:val="24"/>
        </w:rPr>
        <w:t xml:space="preserve"> </w:t>
      </w:r>
      <w:proofErr w:type="spellStart"/>
      <w:r w:rsidR="00A3346C" w:rsidRPr="003C5E53">
        <w:rPr>
          <w:rFonts w:ascii="Cambria" w:hAnsi="Cambria"/>
          <w:sz w:val="24"/>
          <w:szCs w:val="24"/>
        </w:rPr>
        <w:t>shared</w:t>
      </w:r>
      <w:proofErr w:type="spellEnd"/>
      <w:r w:rsidR="00A3346C" w:rsidRPr="003C5E53">
        <w:rPr>
          <w:rFonts w:ascii="Cambria" w:hAnsi="Cambria"/>
          <w:sz w:val="24"/>
          <w:szCs w:val="24"/>
        </w:rPr>
        <w:t xml:space="preserve"> </w:t>
      </w:r>
      <w:proofErr w:type="spellStart"/>
      <w:r w:rsidR="00A3346C" w:rsidRPr="003C5E53">
        <w:rPr>
          <w:rFonts w:ascii="Cambria" w:hAnsi="Cambria"/>
          <w:sz w:val="24"/>
          <w:szCs w:val="24"/>
        </w:rPr>
        <w:t>vulnerability</w:t>
      </w:r>
      <w:proofErr w:type="spellEnd"/>
      <w:r w:rsidR="00A3346C" w:rsidRPr="003C5E53">
        <w:rPr>
          <w:rFonts w:ascii="Cambria" w:hAnsi="Cambria"/>
          <w:sz w:val="24"/>
          <w:szCs w:val="24"/>
        </w:rPr>
        <w:t xml:space="preserve"> </w:t>
      </w:r>
      <w:proofErr w:type="spellStart"/>
      <w:r w:rsidR="00A3346C" w:rsidRPr="003C5E53">
        <w:rPr>
          <w:rFonts w:ascii="Cambria" w:hAnsi="Cambria"/>
          <w:sz w:val="24"/>
          <w:szCs w:val="24"/>
        </w:rPr>
        <w:t>mapping</w:t>
      </w:r>
      <w:proofErr w:type="spellEnd"/>
      <w:r w:rsidR="00A3346C" w:rsidRPr="003C5E53">
        <w:rPr>
          <w:rFonts w:ascii="Cambria" w:hAnsi="Cambria"/>
          <w:sz w:val="24"/>
          <w:szCs w:val="24"/>
        </w:rPr>
        <w:t xml:space="preserve">, </w:t>
      </w:r>
      <w:proofErr w:type="spellStart"/>
      <w:r w:rsidR="00A3346C" w:rsidRPr="003C5E53">
        <w:rPr>
          <w:rFonts w:ascii="Cambria" w:hAnsi="Cambria"/>
          <w:sz w:val="24"/>
          <w:szCs w:val="24"/>
        </w:rPr>
        <w:t>tourism</w:t>
      </w:r>
      <w:proofErr w:type="spellEnd"/>
      <w:r w:rsidR="00A3346C" w:rsidRPr="003C5E53">
        <w:rPr>
          <w:rFonts w:ascii="Cambria" w:hAnsi="Cambria"/>
          <w:sz w:val="24"/>
          <w:szCs w:val="24"/>
        </w:rPr>
        <w:t xml:space="preserve"> </w:t>
      </w:r>
      <w:proofErr w:type="spellStart"/>
      <w:r w:rsidR="00A3346C" w:rsidRPr="003C5E53">
        <w:rPr>
          <w:rFonts w:ascii="Cambria" w:hAnsi="Cambria"/>
          <w:sz w:val="24"/>
          <w:szCs w:val="24"/>
        </w:rPr>
        <w:t>expansion</w:t>
      </w:r>
      <w:proofErr w:type="spellEnd"/>
      <w:r w:rsidR="00A3346C" w:rsidRPr="003C5E53">
        <w:rPr>
          <w:rFonts w:ascii="Cambria" w:hAnsi="Cambria"/>
          <w:sz w:val="24"/>
          <w:szCs w:val="24"/>
        </w:rPr>
        <w:t xml:space="preserve"> </w:t>
      </w:r>
      <w:proofErr w:type="spellStart"/>
      <w:r w:rsidR="00A3346C" w:rsidRPr="003C5E53">
        <w:rPr>
          <w:rFonts w:ascii="Cambria" w:hAnsi="Cambria"/>
          <w:sz w:val="24"/>
          <w:szCs w:val="24"/>
        </w:rPr>
        <w:t>may</w:t>
      </w:r>
      <w:proofErr w:type="spellEnd"/>
      <w:r w:rsidR="00A3346C" w:rsidRPr="003C5E53">
        <w:rPr>
          <w:rFonts w:ascii="Cambria" w:hAnsi="Cambria"/>
          <w:sz w:val="24"/>
          <w:szCs w:val="24"/>
        </w:rPr>
        <w:t xml:space="preserve"> </w:t>
      </w:r>
      <w:proofErr w:type="spellStart"/>
      <w:r w:rsidR="00A3346C" w:rsidRPr="003C5E53">
        <w:rPr>
          <w:rFonts w:ascii="Cambria" w:hAnsi="Cambria"/>
          <w:sz w:val="24"/>
          <w:szCs w:val="24"/>
        </w:rPr>
        <w:t>increase</w:t>
      </w:r>
      <w:proofErr w:type="spellEnd"/>
      <w:r w:rsidR="00A3346C" w:rsidRPr="003C5E53">
        <w:rPr>
          <w:rFonts w:ascii="Cambria" w:hAnsi="Cambria"/>
          <w:sz w:val="24"/>
          <w:szCs w:val="24"/>
        </w:rPr>
        <w:t xml:space="preserve"> </w:t>
      </w:r>
      <w:proofErr w:type="spellStart"/>
      <w:r w:rsidR="00A3346C" w:rsidRPr="003C5E53">
        <w:rPr>
          <w:rFonts w:ascii="Cambria" w:hAnsi="Cambria"/>
          <w:sz w:val="24"/>
          <w:szCs w:val="24"/>
        </w:rPr>
        <w:t>risks</w:t>
      </w:r>
      <w:proofErr w:type="spellEnd"/>
      <w:r w:rsidR="00A3346C" w:rsidRPr="003C5E53">
        <w:rPr>
          <w:rFonts w:ascii="Cambria" w:hAnsi="Cambria"/>
          <w:sz w:val="24"/>
          <w:szCs w:val="24"/>
        </w:rPr>
        <w:t xml:space="preserve"> to </w:t>
      </w:r>
      <w:proofErr w:type="spellStart"/>
      <w:r w:rsidR="00A3346C" w:rsidRPr="003C5E53">
        <w:rPr>
          <w:rFonts w:ascii="Cambria" w:hAnsi="Cambria"/>
          <w:sz w:val="24"/>
          <w:szCs w:val="24"/>
        </w:rPr>
        <w:t>shared</w:t>
      </w:r>
      <w:proofErr w:type="spellEnd"/>
      <w:r w:rsidR="00A3346C" w:rsidRPr="003C5E53">
        <w:rPr>
          <w:rFonts w:ascii="Cambria" w:hAnsi="Cambria"/>
          <w:sz w:val="24"/>
          <w:szCs w:val="24"/>
        </w:rPr>
        <w:t xml:space="preserve"> </w:t>
      </w:r>
      <w:proofErr w:type="spellStart"/>
      <w:r w:rsidR="00A3346C" w:rsidRPr="003C5E53">
        <w:rPr>
          <w:rFonts w:ascii="Cambria" w:hAnsi="Cambria"/>
          <w:sz w:val="24"/>
          <w:szCs w:val="24"/>
        </w:rPr>
        <w:t>aquifers</w:t>
      </w:r>
      <w:proofErr w:type="spellEnd"/>
      <w:r w:rsidR="00A3346C" w:rsidRPr="003C5E53">
        <w:rPr>
          <w:rFonts w:ascii="Cambria" w:hAnsi="Cambria"/>
          <w:sz w:val="24"/>
          <w:szCs w:val="24"/>
        </w:rPr>
        <w:t>.</w:t>
      </w:r>
    </w:p>
    <w:p w14:paraId="03114EF9" w14:textId="114DF64E" w:rsidR="006112D9" w:rsidRPr="00EA6A6C" w:rsidRDefault="003552C5" w:rsidP="00A3346C">
      <w:pPr>
        <w:pStyle w:val="Titre3"/>
        <w:rPr>
          <w:lang w:val="en-GB"/>
        </w:rPr>
      </w:pPr>
      <w:bookmarkStart w:id="18" w:name="_Toc226579987"/>
      <w:r w:rsidRPr="00EA6A6C">
        <w:rPr>
          <w:lang w:val="en-GB"/>
        </w:rPr>
        <w:t xml:space="preserve">5.3.3 </w:t>
      </w:r>
      <w:r w:rsidR="006112D9" w:rsidRPr="00EA6A6C">
        <w:rPr>
          <w:lang w:val="en-GB"/>
        </w:rPr>
        <w:t>Diffuse Agricultural Pressures</w:t>
      </w:r>
      <w:bookmarkEnd w:id="18"/>
    </w:p>
    <w:p w14:paraId="4A0F69D1"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Agricultural activities within recharge zones contribute to:</w:t>
      </w:r>
    </w:p>
    <w:p w14:paraId="4C5B5C15" w14:textId="77777777" w:rsidR="006112D9" w:rsidRPr="00EA6A6C" w:rsidRDefault="006112D9" w:rsidP="006112D9">
      <w:pPr>
        <w:numPr>
          <w:ilvl w:val="0"/>
          <w:numId w:val="14"/>
        </w:numPr>
        <w:jc w:val="both"/>
        <w:rPr>
          <w:rFonts w:ascii="Cambria" w:hAnsi="Cambria"/>
          <w:sz w:val="24"/>
          <w:szCs w:val="24"/>
          <w:lang w:val="en-GB"/>
        </w:rPr>
      </w:pPr>
      <w:r w:rsidRPr="00EA6A6C">
        <w:rPr>
          <w:rFonts w:ascii="Cambria" w:hAnsi="Cambria"/>
          <w:sz w:val="24"/>
          <w:szCs w:val="24"/>
          <w:lang w:val="en-GB"/>
        </w:rPr>
        <w:t xml:space="preserve">Nitrate </w:t>
      </w:r>
      <w:proofErr w:type="gramStart"/>
      <w:r w:rsidRPr="00EA6A6C">
        <w:rPr>
          <w:rFonts w:ascii="Cambria" w:hAnsi="Cambria"/>
          <w:sz w:val="24"/>
          <w:szCs w:val="24"/>
          <w:lang w:val="en-GB"/>
        </w:rPr>
        <w:t>loading;</w:t>
      </w:r>
      <w:proofErr w:type="gramEnd"/>
    </w:p>
    <w:p w14:paraId="67E86459" w14:textId="77777777" w:rsidR="006112D9" w:rsidRPr="00EA6A6C" w:rsidRDefault="006112D9" w:rsidP="006112D9">
      <w:pPr>
        <w:numPr>
          <w:ilvl w:val="0"/>
          <w:numId w:val="14"/>
        </w:numPr>
        <w:jc w:val="both"/>
        <w:rPr>
          <w:rFonts w:ascii="Cambria" w:hAnsi="Cambria"/>
          <w:sz w:val="24"/>
          <w:szCs w:val="24"/>
          <w:lang w:val="en-GB"/>
        </w:rPr>
      </w:pPr>
      <w:r w:rsidRPr="00EA6A6C">
        <w:rPr>
          <w:rFonts w:ascii="Cambria" w:hAnsi="Cambria"/>
          <w:sz w:val="24"/>
          <w:szCs w:val="24"/>
          <w:lang w:val="en-GB"/>
        </w:rPr>
        <w:t xml:space="preserve">Pesticide </w:t>
      </w:r>
      <w:proofErr w:type="gramStart"/>
      <w:r w:rsidRPr="00EA6A6C">
        <w:rPr>
          <w:rFonts w:ascii="Cambria" w:hAnsi="Cambria"/>
          <w:sz w:val="24"/>
          <w:szCs w:val="24"/>
          <w:lang w:val="en-GB"/>
        </w:rPr>
        <w:t>presence;</w:t>
      </w:r>
      <w:proofErr w:type="gramEnd"/>
    </w:p>
    <w:p w14:paraId="595E988D" w14:textId="77777777" w:rsidR="006112D9" w:rsidRPr="00EA6A6C" w:rsidRDefault="006112D9" w:rsidP="006112D9">
      <w:pPr>
        <w:numPr>
          <w:ilvl w:val="0"/>
          <w:numId w:val="14"/>
        </w:numPr>
        <w:jc w:val="both"/>
        <w:rPr>
          <w:rFonts w:ascii="Cambria" w:hAnsi="Cambria"/>
          <w:sz w:val="24"/>
          <w:szCs w:val="24"/>
          <w:lang w:val="en-GB"/>
        </w:rPr>
      </w:pPr>
      <w:r w:rsidRPr="00EA6A6C">
        <w:rPr>
          <w:rFonts w:ascii="Cambria" w:hAnsi="Cambria"/>
          <w:sz w:val="24"/>
          <w:szCs w:val="24"/>
          <w:lang w:val="en-GB"/>
        </w:rPr>
        <w:t>Irrigation abstraction pressures.</w:t>
      </w:r>
    </w:p>
    <w:p w14:paraId="1D0F3A7B"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Although national legislation addresses agricultural pollution control, there is limited coordination regarding vulnerability mapping and land-use compatibility criteria for transboundary recharge areas. Monitoring data are not systematically harmonized to detect long-term trends across the border.</w:t>
      </w:r>
    </w:p>
    <w:p w14:paraId="6C4351AE" w14:textId="3C6C0200" w:rsidR="006112D9" w:rsidRPr="00EA6A6C" w:rsidRDefault="003552C5" w:rsidP="0000684E">
      <w:pPr>
        <w:pStyle w:val="Titre3"/>
        <w:rPr>
          <w:lang w:val="en-GB"/>
        </w:rPr>
      </w:pPr>
      <w:bookmarkStart w:id="19" w:name="_Toc226579988"/>
      <w:r w:rsidRPr="00EA6A6C">
        <w:rPr>
          <w:lang w:val="en-GB"/>
        </w:rPr>
        <w:t xml:space="preserve">5.3.4 </w:t>
      </w:r>
      <w:r w:rsidR="006112D9" w:rsidRPr="00EA6A6C">
        <w:rPr>
          <w:lang w:val="en-GB"/>
        </w:rPr>
        <w:t>Identification of Illegal or Unregistered Abstractions</w:t>
      </w:r>
      <w:bookmarkEnd w:id="19"/>
    </w:p>
    <w:p w14:paraId="6DA1679C"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The BGGDA also notes challenges in identifying and registering existing groundwater abstractions within river basins. In a shared aquifer context, uncoordinated abstraction may affect quantitative status cumulatively, yet there is no bilateral mechanism for consolidated abstraction assessment.</w:t>
      </w:r>
    </w:p>
    <w:p w14:paraId="6410BEFC" w14:textId="77777777" w:rsidR="006112D9" w:rsidRPr="00EA6A6C" w:rsidRDefault="006112D9" w:rsidP="006112D9">
      <w:pPr>
        <w:rPr>
          <w:rFonts w:ascii="Cambria" w:hAnsi="Cambria"/>
          <w:b/>
          <w:bCs/>
          <w:sz w:val="24"/>
          <w:szCs w:val="24"/>
          <w:lang w:val="en-GB"/>
        </w:rPr>
      </w:pPr>
    </w:p>
    <w:p w14:paraId="717BB85D" w14:textId="77777777" w:rsidR="006112D9" w:rsidRPr="00EA6A6C" w:rsidRDefault="006112D9" w:rsidP="0000684E">
      <w:pPr>
        <w:pStyle w:val="Titre2"/>
        <w:rPr>
          <w:lang w:val="en-GB"/>
        </w:rPr>
      </w:pPr>
      <w:bookmarkStart w:id="20" w:name="_Toc226579989"/>
      <w:r w:rsidRPr="00EA6A6C">
        <w:rPr>
          <w:lang w:val="en-GB"/>
        </w:rPr>
        <w:t>5.4 Governance Frictions and Agreement Limitations</w:t>
      </w:r>
      <w:bookmarkEnd w:id="20"/>
    </w:p>
    <w:p w14:paraId="325CBA6D"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 xml:space="preserve">The </w:t>
      </w:r>
      <w:proofErr w:type="spellStart"/>
      <w:r w:rsidRPr="00EA6A6C">
        <w:rPr>
          <w:rFonts w:ascii="Cambria" w:hAnsi="Cambria"/>
          <w:sz w:val="24"/>
          <w:szCs w:val="24"/>
          <w:lang w:val="en-GB"/>
        </w:rPr>
        <w:t>Cemi</w:t>
      </w:r>
      <w:proofErr w:type="spellEnd"/>
      <w:r w:rsidRPr="00EA6A6C">
        <w:rPr>
          <w:rFonts w:ascii="Cambria" w:hAnsi="Cambria"/>
          <w:sz w:val="24"/>
          <w:szCs w:val="24"/>
          <w:lang w:val="en-GB"/>
        </w:rPr>
        <w:t>/</w:t>
      </w:r>
      <w:proofErr w:type="spellStart"/>
      <w:r w:rsidRPr="00EA6A6C">
        <w:rPr>
          <w:rFonts w:ascii="Cambria" w:hAnsi="Cambria"/>
          <w:sz w:val="24"/>
          <w:szCs w:val="24"/>
          <w:lang w:val="en-GB"/>
        </w:rPr>
        <w:t>Cijevna</w:t>
      </w:r>
      <w:proofErr w:type="spellEnd"/>
      <w:r w:rsidRPr="00EA6A6C">
        <w:rPr>
          <w:rFonts w:ascii="Cambria" w:hAnsi="Cambria"/>
          <w:sz w:val="24"/>
          <w:szCs w:val="24"/>
          <w:lang w:val="en-GB"/>
        </w:rPr>
        <w:t xml:space="preserve"> TBA reveals specific governance frictions not resolved under the current bilateral Agreement:</w:t>
      </w:r>
    </w:p>
    <w:p w14:paraId="2A68BE24" w14:textId="77777777" w:rsidR="006112D9" w:rsidRPr="00EA6A6C" w:rsidRDefault="006112D9" w:rsidP="006112D9">
      <w:pPr>
        <w:numPr>
          <w:ilvl w:val="0"/>
          <w:numId w:val="15"/>
        </w:numPr>
        <w:jc w:val="both"/>
        <w:rPr>
          <w:rFonts w:ascii="Cambria" w:hAnsi="Cambria"/>
          <w:sz w:val="24"/>
          <w:szCs w:val="24"/>
          <w:lang w:val="en-GB"/>
        </w:rPr>
      </w:pPr>
      <w:r w:rsidRPr="00EA6A6C">
        <w:rPr>
          <w:rFonts w:ascii="Cambria" w:hAnsi="Cambria"/>
          <w:sz w:val="24"/>
          <w:szCs w:val="24"/>
          <w:lang w:val="en-GB"/>
        </w:rPr>
        <w:t xml:space="preserve">No explicit recognition of shared groundwater </w:t>
      </w:r>
      <w:proofErr w:type="gramStart"/>
      <w:r w:rsidRPr="00EA6A6C">
        <w:rPr>
          <w:rFonts w:ascii="Cambria" w:hAnsi="Cambria"/>
          <w:sz w:val="24"/>
          <w:szCs w:val="24"/>
          <w:lang w:val="en-GB"/>
        </w:rPr>
        <w:t>bodies;</w:t>
      </w:r>
      <w:proofErr w:type="gramEnd"/>
    </w:p>
    <w:p w14:paraId="0F533D0E" w14:textId="77777777" w:rsidR="006112D9" w:rsidRPr="00EA6A6C" w:rsidRDefault="006112D9" w:rsidP="006112D9">
      <w:pPr>
        <w:numPr>
          <w:ilvl w:val="0"/>
          <w:numId w:val="15"/>
        </w:numPr>
        <w:jc w:val="both"/>
        <w:rPr>
          <w:rFonts w:ascii="Cambria" w:hAnsi="Cambria"/>
          <w:sz w:val="24"/>
          <w:szCs w:val="24"/>
          <w:lang w:val="en-GB"/>
        </w:rPr>
      </w:pPr>
      <w:r w:rsidRPr="00EA6A6C">
        <w:rPr>
          <w:rFonts w:ascii="Cambria" w:hAnsi="Cambria"/>
          <w:sz w:val="24"/>
          <w:szCs w:val="24"/>
          <w:lang w:val="en-GB"/>
        </w:rPr>
        <w:t xml:space="preserve">No harmonized monitoring parameter </w:t>
      </w:r>
      <w:proofErr w:type="gramStart"/>
      <w:r w:rsidRPr="00EA6A6C">
        <w:rPr>
          <w:rFonts w:ascii="Cambria" w:hAnsi="Cambria"/>
          <w:sz w:val="24"/>
          <w:szCs w:val="24"/>
          <w:lang w:val="en-GB"/>
        </w:rPr>
        <w:t>list;</w:t>
      </w:r>
      <w:proofErr w:type="gramEnd"/>
    </w:p>
    <w:p w14:paraId="0759EAA0" w14:textId="77777777" w:rsidR="006112D9" w:rsidRPr="00EA6A6C" w:rsidRDefault="006112D9" w:rsidP="006112D9">
      <w:pPr>
        <w:numPr>
          <w:ilvl w:val="0"/>
          <w:numId w:val="15"/>
        </w:numPr>
        <w:jc w:val="both"/>
        <w:rPr>
          <w:rFonts w:ascii="Cambria" w:hAnsi="Cambria"/>
          <w:sz w:val="24"/>
          <w:szCs w:val="24"/>
          <w:lang w:val="en-GB"/>
        </w:rPr>
      </w:pPr>
      <w:r w:rsidRPr="00EA6A6C">
        <w:rPr>
          <w:rFonts w:ascii="Cambria" w:hAnsi="Cambria"/>
          <w:sz w:val="24"/>
          <w:szCs w:val="24"/>
          <w:lang w:val="en-GB"/>
        </w:rPr>
        <w:t xml:space="preserve">No joint monitoring </w:t>
      </w:r>
      <w:proofErr w:type="gramStart"/>
      <w:r w:rsidRPr="00EA6A6C">
        <w:rPr>
          <w:rFonts w:ascii="Cambria" w:hAnsi="Cambria"/>
          <w:sz w:val="24"/>
          <w:szCs w:val="24"/>
          <w:lang w:val="en-GB"/>
        </w:rPr>
        <w:t>network;</w:t>
      </w:r>
      <w:proofErr w:type="gramEnd"/>
    </w:p>
    <w:p w14:paraId="1F8AB9DE" w14:textId="77777777" w:rsidR="006112D9" w:rsidRPr="00EA6A6C" w:rsidRDefault="006112D9" w:rsidP="006112D9">
      <w:pPr>
        <w:numPr>
          <w:ilvl w:val="0"/>
          <w:numId w:val="15"/>
        </w:numPr>
        <w:jc w:val="both"/>
        <w:rPr>
          <w:rFonts w:ascii="Cambria" w:hAnsi="Cambria"/>
          <w:sz w:val="24"/>
          <w:szCs w:val="24"/>
          <w:lang w:val="en-GB"/>
        </w:rPr>
      </w:pPr>
      <w:r w:rsidRPr="00EA6A6C">
        <w:rPr>
          <w:rFonts w:ascii="Cambria" w:hAnsi="Cambria"/>
          <w:sz w:val="24"/>
          <w:szCs w:val="24"/>
          <w:lang w:val="en-GB"/>
        </w:rPr>
        <w:t xml:space="preserve">No aquifer-level reporting </w:t>
      </w:r>
      <w:proofErr w:type="gramStart"/>
      <w:r w:rsidRPr="00EA6A6C">
        <w:rPr>
          <w:rFonts w:ascii="Cambria" w:hAnsi="Cambria"/>
          <w:sz w:val="24"/>
          <w:szCs w:val="24"/>
          <w:lang w:val="en-GB"/>
        </w:rPr>
        <w:t>obligation;</w:t>
      </w:r>
      <w:proofErr w:type="gramEnd"/>
    </w:p>
    <w:p w14:paraId="280946E7" w14:textId="77777777" w:rsidR="006112D9" w:rsidRPr="00EA6A6C" w:rsidRDefault="006112D9" w:rsidP="006112D9">
      <w:pPr>
        <w:numPr>
          <w:ilvl w:val="0"/>
          <w:numId w:val="15"/>
        </w:numPr>
        <w:jc w:val="both"/>
        <w:rPr>
          <w:rFonts w:ascii="Cambria" w:hAnsi="Cambria"/>
          <w:sz w:val="24"/>
          <w:szCs w:val="24"/>
          <w:lang w:val="en-GB"/>
        </w:rPr>
      </w:pPr>
      <w:r w:rsidRPr="00EA6A6C">
        <w:rPr>
          <w:rFonts w:ascii="Cambria" w:hAnsi="Cambria"/>
          <w:sz w:val="24"/>
          <w:szCs w:val="24"/>
          <w:lang w:val="en-GB"/>
        </w:rPr>
        <w:t xml:space="preserve">No groundwater-specific early-warning </w:t>
      </w:r>
      <w:proofErr w:type="gramStart"/>
      <w:r w:rsidRPr="00EA6A6C">
        <w:rPr>
          <w:rFonts w:ascii="Cambria" w:hAnsi="Cambria"/>
          <w:sz w:val="24"/>
          <w:szCs w:val="24"/>
          <w:lang w:val="en-GB"/>
        </w:rPr>
        <w:t>protocol;</w:t>
      </w:r>
      <w:proofErr w:type="gramEnd"/>
    </w:p>
    <w:p w14:paraId="06F1C9D0" w14:textId="77777777" w:rsidR="006112D9" w:rsidRPr="00EA6A6C" w:rsidRDefault="006112D9" w:rsidP="006112D9">
      <w:pPr>
        <w:numPr>
          <w:ilvl w:val="0"/>
          <w:numId w:val="15"/>
        </w:numPr>
        <w:jc w:val="both"/>
        <w:rPr>
          <w:rFonts w:ascii="Cambria" w:hAnsi="Cambria"/>
          <w:sz w:val="24"/>
          <w:szCs w:val="24"/>
          <w:lang w:val="en-GB"/>
        </w:rPr>
      </w:pPr>
      <w:r w:rsidRPr="00EA6A6C">
        <w:rPr>
          <w:rFonts w:ascii="Cambria" w:hAnsi="Cambria"/>
          <w:sz w:val="24"/>
          <w:szCs w:val="24"/>
          <w:lang w:val="en-GB"/>
        </w:rPr>
        <w:t xml:space="preserve">No permanent bilateral groundwater technical </w:t>
      </w:r>
      <w:proofErr w:type="gramStart"/>
      <w:r w:rsidRPr="00EA6A6C">
        <w:rPr>
          <w:rFonts w:ascii="Cambria" w:hAnsi="Cambria"/>
          <w:sz w:val="24"/>
          <w:szCs w:val="24"/>
          <w:lang w:val="en-GB"/>
        </w:rPr>
        <w:t>subgroup;</w:t>
      </w:r>
      <w:proofErr w:type="gramEnd"/>
    </w:p>
    <w:p w14:paraId="04D7E564" w14:textId="22E80A95" w:rsidR="006112D9" w:rsidRPr="00EA6A6C" w:rsidRDefault="006112D9" w:rsidP="006112D9">
      <w:pPr>
        <w:numPr>
          <w:ilvl w:val="0"/>
          <w:numId w:val="15"/>
        </w:numPr>
        <w:jc w:val="both"/>
        <w:rPr>
          <w:rFonts w:ascii="Cambria" w:hAnsi="Cambria"/>
          <w:sz w:val="24"/>
          <w:szCs w:val="24"/>
          <w:lang w:val="en-GB"/>
        </w:rPr>
      </w:pPr>
      <w:r w:rsidRPr="00EA6A6C">
        <w:rPr>
          <w:rFonts w:ascii="Cambria" w:hAnsi="Cambria"/>
          <w:sz w:val="24"/>
          <w:szCs w:val="24"/>
          <w:lang w:val="en-GB"/>
        </w:rPr>
        <w:lastRenderedPageBreak/>
        <w:t xml:space="preserve">No </w:t>
      </w:r>
      <w:r w:rsidR="003552C5" w:rsidRPr="00EA6A6C">
        <w:rPr>
          <w:rFonts w:ascii="Cambria" w:hAnsi="Cambria"/>
          <w:sz w:val="24"/>
          <w:szCs w:val="24"/>
          <w:lang w:val="en-GB"/>
        </w:rPr>
        <w:t xml:space="preserve">coordination on </w:t>
      </w:r>
      <w:r w:rsidRPr="00EA6A6C">
        <w:rPr>
          <w:rFonts w:ascii="Cambria" w:hAnsi="Cambria"/>
          <w:sz w:val="24"/>
          <w:szCs w:val="24"/>
          <w:lang w:val="en-GB"/>
        </w:rPr>
        <w:t>cross-border SP</w:t>
      </w:r>
      <w:r w:rsidR="003552C5" w:rsidRPr="00EA6A6C">
        <w:rPr>
          <w:rFonts w:ascii="Cambria" w:hAnsi="Cambria"/>
          <w:sz w:val="24"/>
          <w:szCs w:val="24"/>
          <w:lang w:val="en-GB"/>
        </w:rPr>
        <w:t xml:space="preserve">Z </w:t>
      </w:r>
      <w:r w:rsidRPr="00EA6A6C">
        <w:rPr>
          <w:rFonts w:ascii="Cambria" w:hAnsi="Cambria"/>
          <w:sz w:val="24"/>
          <w:szCs w:val="24"/>
          <w:lang w:val="en-GB"/>
        </w:rPr>
        <w:t>mechanism</w:t>
      </w:r>
      <w:r w:rsidR="003552C5" w:rsidRPr="00EA6A6C">
        <w:rPr>
          <w:rFonts w:ascii="Cambria" w:hAnsi="Cambria"/>
          <w:sz w:val="24"/>
          <w:szCs w:val="24"/>
          <w:lang w:val="en-GB"/>
        </w:rPr>
        <w:t>s</w:t>
      </w:r>
      <w:r w:rsidRPr="00EA6A6C">
        <w:rPr>
          <w:rFonts w:ascii="Cambria" w:hAnsi="Cambria"/>
          <w:sz w:val="24"/>
          <w:szCs w:val="24"/>
          <w:lang w:val="en-GB"/>
        </w:rPr>
        <w:t>.</w:t>
      </w:r>
    </w:p>
    <w:p w14:paraId="6987E2F9"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These frictions do not stem from lack of national legislation. Rather, they result from insufficient operationalization of groundwater governance at transboundary level.</w:t>
      </w:r>
    </w:p>
    <w:p w14:paraId="1D1B6CC3"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 xml:space="preserve">The </w:t>
      </w:r>
      <w:proofErr w:type="spellStart"/>
      <w:r w:rsidRPr="00EA6A6C">
        <w:rPr>
          <w:rFonts w:ascii="Cambria" w:hAnsi="Cambria"/>
          <w:sz w:val="24"/>
          <w:szCs w:val="24"/>
          <w:lang w:val="en-GB"/>
        </w:rPr>
        <w:t>Cemi</w:t>
      </w:r>
      <w:proofErr w:type="spellEnd"/>
      <w:r w:rsidRPr="00EA6A6C">
        <w:rPr>
          <w:rFonts w:ascii="Cambria" w:hAnsi="Cambria"/>
          <w:sz w:val="24"/>
          <w:szCs w:val="24"/>
          <w:lang w:val="en-GB"/>
        </w:rPr>
        <w:t>/</w:t>
      </w:r>
      <w:proofErr w:type="spellStart"/>
      <w:r w:rsidRPr="00EA6A6C">
        <w:rPr>
          <w:rFonts w:ascii="Cambria" w:hAnsi="Cambria"/>
          <w:sz w:val="24"/>
          <w:szCs w:val="24"/>
          <w:lang w:val="en-GB"/>
        </w:rPr>
        <w:t>Cijevna</w:t>
      </w:r>
      <w:proofErr w:type="spellEnd"/>
      <w:r w:rsidRPr="00EA6A6C">
        <w:rPr>
          <w:rFonts w:ascii="Cambria" w:hAnsi="Cambria"/>
          <w:sz w:val="24"/>
          <w:szCs w:val="24"/>
          <w:lang w:val="en-GB"/>
        </w:rPr>
        <w:t xml:space="preserve"> example demonstrates that:</w:t>
      </w:r>
    </w:p>
    <w:p w14:paraId="40282372" w14:textId="77777777" w:rsidR="006112D9" w:rsidRPr="00EA6A6C" w:rsidRDefault="006112D9" w:rsidP="006112D9">
      <w:pPr>
        <w:numPr>
          <w:ilvl w:val="0"/>
          <w:numId w:val="16"/>
        </w:numPr>
        <w:jc w:val="both"/>
        <w:rPr>
          <w:rFonts w:ascii="Cambria" w:hAnsi="Cambria"/>
          <w:sz w:val="24"/>
          <w:szCs w:val="24"/>
          <w:lang w:val="en-GB"/>
        </w:rPr>
      </w:pPr>
      <w:r w:rsidRPr="00EA6A6C">
        <w:rPr>
          <w:rFonts w:ascii="Cambria" w:hAnsi="Cambria"/>
          <w:sz w:val="24"/>
          <w:szCs w:val="24"/>
          <w:lang w:val="en-GB"/>
        </w:rPr>
        <w:t xml:space="preserve">Karst aquifers require tailored governance </w:t>
      </w:r>
      <w:proofErr w:type="gramStart"/>
      <w:r w:rsidRPr="00EA6A6C">
        <w:rPr>
          <w:rFonts w:ascii="Cambria" w:hAnsi="Cambria"/>
          <w:sz w:val="24"/>
          <w:szCs w:val="24"/>
          <w:lang w:val="en-GB"/>
        </w:rPr>
        <w:t>instruments;</w:t>
      </w:r>
      <w:proofErr w:type="gramEnd"/>
    </w:p>
    <w:p w14:paraId="5EE4A581" w14:textId="77777777" w:rsidR="006112D9" w:rsidRPr="00EA6A6C" w:rsidRDefault="006112D9" w:rsidP="006112D9">
      <w:pPr>
        <w:numPr>
          <w:ilvl w:val="0"/>
          <w:numId w:val="16"/>
        </w:numPr>
        <w:jc w:val="both"/>
        <w:rPr>
          <w:rFonts w:ascii="Cambria" w:hAnsi="Cambria"/>
          <w:sz w:val="24"/>
          <w:szCs w:val="24"/>
          <w:lang w:val="en-GB"/>
        </w:rPr>
      </w:pPr>
      <w:r w:rsidRPr="00EA6A6C">
        <w:rPr>
          <w:rFonts w:ascii="Cambria" w:hAnsi="Cambria"/>
          <w:sz w:val="24"/>
          <w:szCs w:val="24"/>
          <w:lang w:val="en-GB"/>
        </w:rPr>
        <w:t xml:space="preserve">Drinking water security depends on coordinated recharge area </w:t>
      </w:r>
      <w:proofErr w:type="gramStart"/>
      <w:r w:rsidRPr="00EA6A6C">
        <w:rPr>
          <w:rFonts w:ascii="Cambria" w:hAnsi="Cambria"/>
          <w:sz w:val="24"/>
          <w:szCs w:val="24"/>
          <w:lang w:val="en-GB"/>
        </w:rPr>
        <w:t>protection;</w:t>
      </w:r>
      <w:proofErr w:type="gramEnd"/>
    </w:p>
    <w:p w14:paraId="04AE1E95" w14:textId="77777777" w:rsidR="006112D9" w:rsidRPr="00EA6A6C" w:rsidRDefault="006112D9" w:rsidP="006112D9">
      <w:pPr>
        <w:numPr>
          <w:ilvl w:val="0"/>
          <w:numId w:val="16"/>
        </w:numPr>
        <w:jc w:val="both"/>
        <w:rPr>
          <w:rFonts w:ascii="Cambria" w:hAnsi="Cambria"/>
          <w:sz w:val="24"/>
          <w:szCs w:val="24"/>
          <w:lang w:val="en-GB"/>
        </w:rPr>
      </w:pPr>
      <w:r w:rsidRPr="00EA6A6C">
        <w:rPr>
          <w:rFonts w:ascii="Cambria" w:hAnsi="Cambria"/>
          <w:sz w:val="24"/>
          <w:szCs w:val="24"/>
          <w:lang w:val="en-GB"/>
        </w:rPr>
        <w:t xml:space="preserve">Localized pressure hotspots may have transboundary </w:t>
      </w:r>
      <w:proofErr w:type="gramStart"/>
      <w:r w:rsidRPr="00EA6A6C">
        <w:rPr>
          <w:rFonts w:ascii="Cambria" w:hAnsi="Cambria"/>
          <w:sz w:val="24"/>
          <w:szCs w:val="24"/>
          <w:lang w:val="en-GB"/>
        </w:rPr>
        <w:t>consequences;</w:t>
      </w:r>
      <w:proofErr w:type="gramEnd"/>
    </w:p>
    <w:p w14:paraId="26D7F001" w14:textId="77777777" w:rsidR="006112D9" w:rsidRPr="00EA6A6C" w:rsidRDefault="006112D9" w:rsidP="006112D9">
      <w:pPr>
        <w:numPr>
          <w:ilvl w:val="0"/>
          <w:numId w:val="16"/>
        </w:numPr>
        <w:jc w:val="both"/>
        <w:rPr>
          <w:rFonts w:ascii="Cambria" w:hAnsi="Cambria"/>
          <w:sz w:val="24"/>
          <w:szCs w:val="24"/>
          <w:lang w:val="en-GB"/>
        </w:rPr>
      </w:pPr>
      <w:r w:rsidRPr="00EA6A6C">
        <w:rPr>
          <w:rFonts w:ascii="Cambria" w:hAnsi="Cambria"/>
          <w:sz w:val="24"/>
          <w:szCs w:val="24"/>
          <w:lang w:val="en-GB"/>
        </w:rPr>
        <w:t>Surface-water oriented cooperation frameworks do not automatically ensure groundwater protection.</w:t>
      </w:r>
    </w:p>
    <w:p w14:paraId="451F20D8" w14:textId="77777777" w:rsidR="006112D9" w:rsidRPr="00EA6A6C" w:rsidRDefault="006112D9" w:rsidP="006112D9">
      <w:pPr>
        <w:rPr>
          <w:rFonts w:ascii="Cambria" w:hAnsi="Cambria"/>
          <w:b/>
          <w:bCs/>
          <w:sz w:val="24"/>
          <w:szCs w:val="24"/>
          <w:lang w:val="en-GB"/>
        </w:rPr>
      </w:pPr>
    </w:p>
    <w:p w14:paraId="4E50FE1E" w14:textId="77777777" w:rsidR="006112D9" w:rsidRPr="00EA6A6C" w:rsidRDefault="006112D9" w:rsidP="0000684E">
      <w:pPr>
        <w:pStyle w:val="Titre2"/>
        <w:rPr>
          <w:lang w:val="en-GB"/>
        </w:rPr>
      </w:pPr>
      <w:bookmarkStart w:id="21" w:name="_Toc226579990"/>
      <w:r w:rsidRPr="00EA6A6C">
        <w:rPr>
          <w:lang w:val="en-GB"/>
        </w:rPr>
        <w:t>5.5 Conclusion: Evidence-Based Justification for Amendments</w:t>
      </w:r>
      <w:bookmarkEnd w:id="21"/>
    </w:p>
    <w:p w14:paraId="1431930D"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 xml:space="preserve">The evidence from the </w:t>
      </w:r>
      <w:proofErr w:type="spellStart"/>
      <w:r w:rsidRPr="00EA6A6C">
        <w:rPr>
          <w:rFonts w:ascii="Cambria" w:hAnsi="Cambria"/>
          <w:sz w:val="24"/>
          <w:szCs w:val="24"/>
          <w:lang w:val="en-GB"/>
        </w:rPr>
        <w:t>Cemi</w:t>
      </w:r>
      <w:proofErr w:type="spellEnd"/>
      <w:r w:rsidRPr="00EA6A6C">
        <w:rPr>
          <w:rFonts w:ascii="Cambria" w:hAnsi="Cambria"/>
          <w:sz w:val="24"/>
          <w:szCs w:val="24"/>
          <w:lang w:val="en-GB"/>
        </w:rPr>
        <w:t>/</w:t>
      </w:r>
      <w:proofErr w:type="spellStart"/>
      <w:r w:rsidRPr="00EA6A6C">
        <w:rPr>
          <w:rFonts w:ascii="Cambria" w:hAnsi="Cambria"/>
          <w:sz w:val="24"/>
          <w:szCs w:val="24"/>
          <w:lang w:val="en-GB"/>
        </w:rPr>
        <w:t>Cijevna</w:t>
      </w:r>
      <w:proofErr w:type="spellEnd"/>
      <w:r w:rsidRPr="00EA6A6C">
        <w:rPr>
          <w:rFonts w:ascii="Cambria" w:hAnsi="Cambria"/>
          <w:sz w:val="24"/>
          <w:szCs w:val="24"/>
          <w:lang w:val="en-GB"/>
        </w:rPr>
        <w:t xml:space="preserve"> TBA confirms the conclusions of Chapter 4: groundwater governance deficits are primarily operational and institutional.</w:t>
      </w:r>
    </w:p>
    <w:p w14:paraId="4CE31E82"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 xml:space="preserve">Amendments to the 2018 Agreement are therefore justified </w:t>
      </w:r>
      <w:proofErr w:type="gramStart"/>
      <w:r w:rsidRPr="00EA6A6C">
        <w:rPr>
          <w:rFonts w:ascii="Cambria" w:hAnsi="Cambria"/>
          <w:sz w:val="24"/>
          <w:szCs w:val="24"/>
          <w:lang w:val="en-GB"/>
        </w:rPr>
        <w:t>in order to</w:t>
      </w:r>
      <w:proofErr w:type="gramEnd"/>
      <w:r w:rsidRPr="00EA6A6C">
        <w:rPr>
          <w:rFonts w:ascii="Cambria" w:hAnsi="Cambria"/>
          <w:sz w:val="24"/>
          <w:szCs w:val="24"/>
          <w:lang w:val="en-GB"/>
        </w:rPr>
        <w:t>:</w:t>
      </w:r>
    </w:p>
    <w:p w14:paraId="40163153" w14:textId="77777777" w:rsidR="006112D9" w:rsidRPr="00EA6A6C" w:rsidRDefault="006112D9" w:rsidP="006112D9">
      <w:pPr>
        <w:numPr>
          <w:ilvl w:val="0"/>
          <w:numId w:val="17"/>
        </w:numPr>
        <w:jc w:val="both"/>
        <w:rPr>
          <w:rFonts w:ascii="Cambria" w:hAnsi="Cambria"/>
          <w:sz w:val="24"/>
          <w:szCs w:val="24"/>
          <w:lang w:val="en-GB"/>
        </w:rPr>
      </w:pPr>
      <w:r w:rsidRPr="00EA6A6C">
        <w:rPr>
          <w:rFonts w:ascii="Cambria" w:hAnsi="Cambria"/>
          <w:sz w:val="24"/>
          <w:szCs w:val="24"/>
          <w:lang w:val="en-GB"/>
        </w:rPr>
        <w:t xml:space="preserve">Provide an explicit definition of transboundary groundwater bodies and </w:t>
      </w:r>
      <w:proofErr w:type="gramStart"/>
      <w:r w:rsidRPr="00EA6A6C">
        <w:rPr>
          <w:rFonts w:ascii="Cambria" w:hAnsi="Cambria"/>
          <w:sz w:val="24"/>
          <w:szCs w:val="24"/>
          <w:lang w:val="en-GB"/>
        </w:rPr>
        <w:t>GDEs;</w:t>
      </w:r>
      <w:proofErr w:type="gramEnd"/>
    </w:p>
    <w:p w14:paraId="2E6F1DA9" w14:textId="77777777" w:rsidR="006112D9" w:rsidRPr="00EA6A6C" w:rsidRDefault="006112D9" w:rsidP="006112D9">
      <w:pPr>
        <w:numPr>
          <w:ilvl w:val="0"/>
          <w:numId w:val="17"/>
        </w:numPr>
        <w:jc w:val="both"/>
        <w:rPr>
          <w:rFonts w:ascii="Cambria" w:hAnsi="Cambria"/>
          <w:sz w:val="24"/>
          <w:szCs w:val="24"/>
          <w:lang w:val="en-GB"/>
        </w:rPr>
      </w:pPr>
      <w:r w:rsidRPr="00EA6A6C">
        <w:rPr>
          <w:rFonts w:ascii="Cambria" w:hAnsi="Cambria"/>
          <w:sz w:val="24"/>
          <w:szCs w:val="24"/>
          <w:lang w:val="en-GB"/>
        </w:rPr>
        <w:t xml:space="preserve">Establish a joint monitoring system adapted to karst </w:t>
      </w:r>
      <w:proofErr w:type="gramStart"/>
      <w:r w:rsidRPr="00EA6A6C">
        <w:rPr>
          <w:rFonts w:ascii="Cambria" w:hAnsi="Cambria"/>
          <w:sz w:val="24"/>
          <w:szCs w:val="24"/>
          <w:lang w:val="en-GB"/>
        </w:rPr>
        <w:t>dynamics;</w:t>
      </w:r>
      <w:proofErr w:type="gramEnd"/>
    </w:p>
    <w:p w14:paraId="77D1B46F" w14:textId="77777777" w:rsidR="006112D9" w:rsidRPr="00EA6A6C" w:rsidRDefault="006112D9" w:rsidP="006112D9">
      <w:pPr>
        <w:numPr>
          <w:ilvl w:val="0"/>
          <w:numId w:val="17"/>
        </w:numPr>
        <w:jc w:val="both"/>
        <w:rPr>
          <w:rFonts w:ascii="Cambria" w:hAnsi="Cambria"/>
          <w:sz w:val="24"/>
          <w:szCs w:val="24"/>
          <w:lang w:val="en-GB"/>
        </w:rPr>
      </w:pPr>
      <w:r w:rsidRPr="00EA6A6C">
        <w:rPr>
          <w:rFonts w:ascii="Cambria" w:hAnsi="Cambria"/>
          <w:sz w:val="24"/>
          <w:szCs w:val="24"/>
          <w:lang w:val="en-GB"/>
        </w:rPr>
        <w:t xml:space="preserve">Harmonize SPZ delineation </w:t>
      </w:r>
      <w:proofErr w:type="gramStart"/>
      <w:r w:rsidRPr="00EA6A6C">
        <w:rPr>
          <w:rFonts w:ascii="Cambria" w:hAnsi="Cambria"/>
          <w:sz w:val="24"/>
          <w:szCs w:val="24"/>
          <w:lang w:val="en-GB"/>
        </w:rPr>
        <w:t>methodologies;</w:t>
      </w:r>
      <w:proofErr w:type="gramEnd"/>
    </w:p>
    <w:p w14:paraId="4303F093" w14:textId="77777777" w:rsidR="006112D9" w:rsidRPr="00EA6A6C" w:rsidRDefault="006112D9" w:rsidP="006112D9">
      <w:pPr>
        <w:numPr>
          <w:ilvl w:val="0"/>
          <w:numId w:val="17"/>
        </w:numPr>
        <w:jc w:val="both"/>
        <w:rPr>
          <w:rFonts w:ascii="Cambria" w:hAnsi="Cambria"/>
          <w:sz w:val="24"/>
          <w:szCs w:val="24"/>
          <w:lang w:val="en-GB"/>
        </w:rPr>
      </w:pPr>
      <w:r w:rsidRPr="00EA6A6C">
        <w:rPr>
          <w:rFonts w:ascii="Cambria" w:hAnsi="Cambria"/>
          <w:sz w:val="24"/>
          <w:szCs w:val="24"/>
          <w:lang w:val="en-GB"/>
        </w:rPr>
        <w:t xml:space="preserve">Introduce groundwater-specific early-warning </w:t>
      </w:r>
      <w:proofErr w:type="gramStart"/>
      <w:r w:rsidRPr="00EA6A6C">
        <w:rPr>
          <w:rFonts w:ascii="Cambria" w:hAnsi="Cambria"/>
          <w:sz w:val="24"/>
          <w:szCs w:val="24"/>
          <w:lang w:val="en-GB"/>
        </w:rPr>
        <w:t>procedures;</w:t>
      </w:r>
      <w:proofErr w:type="gramEnd"/>
    </w:p>
    <w:p w14:paraId="093100C3" w14:textId="77777777" w:rsidR="006112D9" w:rsidRPr="00EA6A6C" w:rsidRDefault="006112D9" w:rsidP="006112D9">
      <w:pPr>
        <w:numPr>
          <w:ilvl w:val="0"/>
          <w:numId w:val="17"/>
        </w:numPr>
        <w:jc w:val="both"/>
        <w:rPr>
          <w:rFonts w:ascii="Cambria" w:hAnsi="Cambria"/>
          <w:sz w:val="24"/>
          <w:szCs w:val="24"/>
          <w:lang w:val="en-GB"/>
        </w:rPr>
      </w:pPr>
      <w:r w:rsidRPr="00EA6A6C">
        <w:rPr>
          <w:rFonts w:ascii="Cambria" w:hAnsi="Cambria"/>
          <w:sz w:val="24"/>
          <w:szCs w:val="24"/>
          <w:lang w:val="en-GB"/>
        </w:rPr>
        <w:t>Create a permanent bilateral groundwater technical mechanism.</w:t>
      </w:r>
    </w:p>
    <w:p w14:paraId="37F6E5A6"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 xml:space="preserve">The </w:t>
      </w:r>
      <w:proofErr w:type="spellStart"/>
      <w:r w:rsidRPr="00EA6A6C">
        <w:rPr>
          <w:rFonts w:ascii="Cambria" w:hAnsi="Cambria"/>
          <w:sz w:val="24"/>
          <w:szCs w:val="24"/>
          <w:lang w:val="en-GB"/>
        </w:rPr>
        <w:t>Cemi</w:t>
      </w:r>
      <w:proofErr w:type="spellEnd"/>
      <w:r w:rsidRPr="00EA6A6C">
        <w:rPr>
          <w:rFonts w:ascii="Cambria" w:hAnsi="Cambria"/>
          <w:sz w:val="24"/>
          <w:szCs w:val="24"/>
          <w:lang w:val="en-GB"/>
        </w:rPr>
        <w:t>/</w:t>
      </w:r>
      <w:proofErr w:type="spellStart"/>
      <w:r w:rsidRPr="00EA6A6C">
        <w:rPr>
          <w:rFonts w:ascii="Cambria" w:hAnsi="Cambria"/>
          <w:sz w:val="24"/>
          <w:szCs w:val="24"/>
          <w:lang w:val="en-GB"/>
        </w:rPr>
        <w:t>Cijevna</w:t>
      </w:r>
      <w:proofErr w:type="spellEnd"/>
      <w:r w:rsidRPr="00EA6A6C">
        <w:rPr>
          <w:rFonts w:ascii="Cambria" w:hAnsi="Cambria"/>
          <w:sz w:val="24"/>
          <w:szCs w:val="24"/>
          <w:lang w:val="en-GB"/>
        </w:rPr>
        <w:t xml:space="preserve"> case provides a practical, evidence-based demonstration that strengthening groundwater governance is necessary to ensure long-term drinking water security, ecosystem stability, and compliance with EU water acquis in transboundary karst contexts.</w:t>
      </w:r>
    </w:p>
    <w:p w14:paraId="15D4DC9C" w14:textId="77777777" w:rsidR="006112D9" w:rsidRPr="00EA6A6C" w:rsidRDefault="006112D9" w:rsidP="006112D9">
      <w:pPr>
        <w:jc w:val="both"/>
        <w:rPr>
          <w:rFonts w:ascii="Cambria" w:hAnsi="Cambria" w:cs="Calibri"/>
          <w:b/>
          <w:bCs/>
          <w:sz w:val="24"/>
          <w:szCs w:val="24"/>
          <w:lang w:val="en-GB"/>
        </w:rPr>
      </w:pPr>
    </w:p>
    <w:p w14:paraId="22201534" w14:textId="77777777" w:rsidR="006112D9" w:rsidRPr="00EA6A6C" w:rsidRDefault="006112D9" w:rsidP="0000684E">
      <w:pPr>
        <w:pStyle w:val="Titre1"/>
        <w:rPr>
          <w:lang w:val="en-GB"/>
        </w:rPr>
      </w:pPr>
      <w:bookmarkStart w:id="22" w:name="_Toc226579991"/>
      <w:r w:rsidRPr="00EA6A6C">
        <w:rPr>
          <w:lang w:val="en-GB"/>
        </w:rPr>
        <w:t>6. Objectives for an Agreement Addendum/Protocol</w:t>
      </w:r>
      <w:bookmarkEnd w:id="22"/>
      <w:r w:rsidRPr="00EA6A6C">
        <w:rPr>
          <w:lang w:val="en-GB"/>
        </w:rPr>
        <w:t xml:space="preserve"> </w:t>
      </w:r>
    </w:p>
    <w:p w14:paraId="43DA3F23" w14:textId="264147CE" w:rsidR="006112D9" w:rsidRPr="00EA6A6C" w:rsidRDefault="00EA6A6C" w:rsidP="006112D9">
      <w:pPr>
        <w:jc w:val="both"/>
        <w:rPr>
          <w:rFonts w:ascii="Cambria" w:hAnsi="Cambria"/>
          <w:sz w:val="24"/>
          <w:szCs w:val="24"/>
          <w:lang w:val="en-GB"/>
        </w:rPr>
      </w:pPr>
      <w:r w:rsidRPr="00EA6A6C">
        <w:rPr>
          <w:rFonts w:ascii="Cambria" w:hAnsi="Cambria"/>
          <w:sz w:val="24"/>
          <w:szCs w:val="24"/>
          <w:lang w:val="en-GB"/>
        </w:rPr>
        <w:t>Considering</w:t>
      </w:r>
      <w:r w:rsidR="006112D9" w:rsidRPr="00EA6A6C">
        <w:rPr>
          <w:rFonts w:ascii="Cambria" w:hAnsi="Cambria"/>
          <w:sz w:val="24"/>
          <w:szCs w:val="24"/>
          <w:lang w:val="en-GB"/>
        </w:rPr>
        <w:t xml:space="preserve"> the governance gaps identified in Chapter 4 and the practical evidence derived from the </w:t>
      </w:r>
      <w:proofErr w:type="spellStart"/>
      <w:r w:rsidR="006112D9" w:rsidRPr="00EA6A6C">
        <w:rPr>
          <w:rFonts w:ascii="Cambria" w:hAnsi="Cambria"/>
          <w:sz w:val="24"/>
          <w:szCs w:val="24"/>
          <w:lang w:val="en-GB"/>
        </w:rPr>
        <w:t>Cemi</w:t>
      </w:r>
      <w:proofErr w:type="spellEnd"/>
      <w:r w:rsidR="006112D9" w:rsidRPr="00EA6A6C">
        <w:rPr>
          <w:rFonts w:ascii="Cambria" w:hAnsi="Cambria"/>
          <w:sz w:val="24"/>
          <w:szCs w:val="24"/>
          <w:lang w:val="en-GB"/>
        </w:rPr>
        <w:t>/</w:t>
      </w:r>
      <w:proofErr w:type="spellStart"/>
      <w:r w:rsidR="006112D9" w:rsidRPr="00EA6A6C">
        <w:rPr>
          <w:rFonts w:ascii="Cambria" w:hAnsi="Cambria"/>
          <w:sz w:val="24"/>
          <w:szCs w:val="24"/>
          <w:lang w:val="en-GB"/>
        </w:rPr>
        <w:t>Cijevna</w:t>
      </w:r>
      <w:proofErr w:type="spellEnd"/>
      <w:r w:rsidR="006112D9" w:rsidRPr="00EA6A6C">
        <w:rPr>
          <w:rFonts w:ascii="Cambria" w:hAnsi="Cambria"/>
          <w:sz w:val="24"/>
          <w:szCs w:val="24"/>
          <w:lang w:val="en-GB"/>
        </w:rPr>
        <w:t xml:space="preserve"> TBA (Chapter 5), the proposed Addendum or Protocol to the 2018 Montenegro-Albania Agreement should pursue clearly defined, measurable and operational objectives. These objectives are designed to transform general cooperation principles into structured aquifer-level governance mechanisms.</w:t>
      </w:r>
    </w:p>
    <w:p w14:paraId="26B4F3FD" w14:textId="77777777" w:rsidR="006112D9" w:rsidRPr="00EA6A6C" w:rsidRDefault="006112D9" w:rsidP="006112D9">
      <w:pPr>
        <w:jc w:val="both"/>
        <w:rPr>
          <w:rFonts w:ascii="Cambria" w:hAnsi="Cambria"/>
          <w:b/>
          <w:bCs/>
          <w:sz w:val="24"/>
          <w:szCs w:val="24"/>
          <w:lang w:val="en-GB"/>
        </w:rPr>
      </w:pPr>
      <w:r w:rsidRPr="00EA6A6C">
        <w:rPr>
          <w:rFonts w:ascii="Cambria" w:hAnsi="Cambria"/>
          <w:sz w:val="24"/>
          <w:szCs w:val="24"/>
          <w:lang w:val="en-GB"/>
        </w:rPr>
        <w:t>The objectives below are formulated in amendment-ready language.</w:t>
      </w:r>
    </w:p>
    <w:p w14:paraId="0700F553" w14:textId="77777777" w:rsidR="006112D9" w:rsidRPr="00EA6A6C" w:rsidRDefault="006112D9" w:rsidP="006112D9">
      <w:pPr>
        <w:jc w:val="both"/>
        <w:rPr>
          <w:rFonts w:ascii="Cambria" w:hAnsi="Cambria"/>
          <w:b/>
          <w:bCs/>
          <w:sz w:val="24"/>
          <w:szCs w:val="24"/>
          <w:lang w:val="en-GB"/>
        </w:rPr>
      </w:pPr>
      <w:r w:rsidRPr="00EA6A6C">
        <w:rPr>
          <w:rFonts w:ascii="Cambria" w:hAnsi="Cambria"/>
          <w:b/>
          <w:bCs/>
          <w:sz w:val="24"/>
          <w:szCs w:val="24"/>
          <w:lang w:val="en-GB"/>
        </w:rPr>
        <w:t>Objective 1: Explicit Recognition of Shared Groundwater Bodies and Groundwater-Dependent Ecosystems</w:t>
      </w:r>
    </w:p>
    <w:p w14:paraId="4AD01E69"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lastRenderedPageBreak/>
        <w:t>The Parties shall explicitly recognize transboundary groundwater bodies and groundwater-dependent ecosystems (GDEs) hydraulically connected across their territories.</w:t>
      </w:r>
    </w:p>
    <w:p w14:paraId="2D2B70E5"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To this end, the Addendum shall:</w:t>
      </w:r>
    </w:p>
    <w:p w14:paraId="7696D75B" w14:textId="77777777" w:rsidR="006112D9" w:rsidRPr="00EA6A6C" w:rsidRDefault="006112D9" w:rsidP="006112D9">
      <w:pPr>
        <w:numPr>
          <w:ilvl w:val="0"/>
          <w:numId w:val="18"/>
        </w:numPr>
        <w:jc w:val="both"/>
        <w:rPr>
          <w:rFonts w:ascii="Cambria" w:hAnsi="Cambria"/>
          <w:sz w:val="24"/>
          <w:szCs w:val="24"/>
          <w:lang w:val="en-GB"/>
        </w:rPr>
      </w:pPr>
      <w:r w:rsidRPr="00EA6A6C">
        <w:rPr>
          <w:rFonts w:ascii="Cambria" w:hAnsi="Cambria"/>
          <w:sz w:val="24"/>
          <w:szCs w:val="24"/>
          <w:lang w:val="en-GB"/>
        </w:rPr>
        <w:t xml:space="preserve">Define “Transboundary Groundwater Body” and “Groundwater-Dependent Ecosystem” in line with EU WFD/GWD </w:t>
      </w:r>
      <w:proofErr w:type="gramStart"/>
      <w:r w:rsidRPr="00EA6A6C">
        <w:rPr>
          <w:rFonts w:ascii="Cambria" w:hAnsi="Cambria"/>
          <w:sz w:val="24"/>
          <w:szCs w:val="24"/>
          <w:lang w:val="en-GB"/>
        </w:rPr>
        <w:t>terminology;</w:t>
      </w:r>
      <w:proofErr w:type="gramEnd"/>
    </w:p>
    <w:p w14:paraId="13D0B9EB" w14:textId="77777777" w:rsidR="006112D9" w:rsidRPr="00EA6A6C" w:rsidRDefault="006112D9" w:rsidP="006112D9">
      <w:pPr>
        <w:numPr>
          <w:ilvl w:val="0"/>
          <w:numId w:val="18"/>
        </w:numPr>
        <w:jc w:val="both"/>
        <w:rPr>
          <w:rFonts w:ascii="Cambria" w:hAnsi="Cambria"/>
          <w:sz w:val="24"/>
          <w:szCs w:val="24"/>
          <w:lang w:val="en-GB"/>
        </w:rPr>
      </w:pPr>
      <w:r w:rsidRPr="00EA6A6C">
        <w:rPr>
          <w:rFonts w:ascii="Cambria" w:hAnsi="Cambria"/>
          <w:sz w:val="24"/>
          <w:szCs w:val="24"/>
          <w:lang w:val="en-GB"/>
        </w:rPr>
        <w:t xml:space="preserve">Acknowledge the hydrogeological interconnectivity of karst aquifers within the </w:t>
      </w:r>
      <w:proofErr w:type="spellStart"/>
      <w:r w:rsidRPr="00EA6A6C">
        <w:rPr>
          <w:rFonts w:ascii="Cambria" w:hAnsi="Cambria"/>
          <w:sz w:val="24"/>
          <w:szCs w:val="24"/>
          <w:lang w:val="en-GB"/>
        </w:rPr>
        <w:t>Cemi</w:t>
      </w:r>
      <w:proofErr w:type="spellEnd"/>
      <w:r w:rsidRPr="00EA6A6C">
        <w:rPr>
          <w:rFonts w:ascii="Cambria" w:hAnsi="Cambria"/>
          <w:sz w:val="24"/>
          <w:szCs w:val="24"/>
          <w:lang w:val="en-GB"/>
        </w:rPr>
        <w:t>/</w:t>
      </w:r>
      <w:proofErr w:type="spellStart"/>
      <w:r w:rsidRPr="00EA6A6C">
        <w:rPr>
          <w:rFonts w:ascii="Cambria" w:hAnsi="Cambria"/>
          <w:sz w:val="24"/>
          <w:szCs w:val="24"/>
          <w:lang w:val="en-GB"/>
        </w:rPr>
        <w:t>Cijevna</w:t>
      </w:r>
      <w:proofErr w:type="spellEnd"/>
      <w:r w:rsidRPr="00EA6A6C">
        <w:rPr>
          <w:rFonts w:ascii="Cambria" w:hAnsi="Cambria"/>
          <w:sz w:val="24"/>
          <w:szCs w:val="24"/>
          <w:lang w:val="en-GB"/>
        </w:rPr>
        <w:t xml:space="preserve"> </w:t>
      </w:r>
      <w:proofErr w:type="gramStart"/>
      <w:r w:rsidRPr="00EA6A6C">
        <w:rPr>
          <w:rFonts w:ascii="Cambria" w:hAnsi="Cambria"/>
          <w:sz w:val="24"/>
          <w:szCs w:val="24"/>
          <w:lang w:val="en-GB"/>
        </w:rPr>
        <w:t>basin;</w:t>
      </w:r>
      <w:proofErr w:type="gramEnd"/>
    </w:p>
    <w:p w14:paraId="49792996" w14:textId="77777777" w:rsidR="006112D9" w:rsidRPr="00EA6A6C" w:rsidRDefault="006112D9" w:rsidP="006112D9">
      <w:pPr>
        <w:numPr>
          <w:ilvl w:val="0"/>
          <w:numId w:val="18"/>
        </w:numPr>
        <w:jc w:val="both"/>
        <w:rPr>
          <w:rFonts w:ascii="Cambria" w:hAnsi="Cambria"/>
          <w:sz w:val="24"/>
          <w:szCs w:val="24"/>
          <w:lang w:val="en-GB"/>
        </w:rPr>
      </w:pPr>
      <w:r w:rsidRPr="00EA6A6C">
        <w:rPr>
          <w:rFonts w:ascii="Cambria" w:hAnsi="Cambria"/>
          <w:sz w:val="24"/>
          <w:szCs w:val="24"/>
          <w:lang w:val="en-GB"/>
        </w:rPr>
        <w:t xml:space="preserve">Establish the obligation to prevent deterioration of quantitative and chemical status of shared groundwater </w:t>
      </w:r>
      <w:proofErr w:type="gramStart"/>
      <w:r w:rsidRPr="00EA6A6C">
        <w:rPr>
          <w:rFonts w:ascii="Cambria" w:hAnsi="Cambria"/>
          <w:sz w:val="24"/>
          <w:szCs w:val="24"/>
          <w:lang w:val="en-GB"/>
        </w:rPr>
        <w:t>bodies;</w:t>
      </w:r>
      <w:proofErr w:type="gramEnd"/>
    </w:p>
    <w:p w14:paraId="483D48B1" w14:textId="77777777" w:rsidR="006112D9" w:rsidRPr="00EA6A6C" w:rsidRDefault="006112D9" w:rsidP="006112D9">
      <w:pPr>
        <w:numPr>
          <w:ilvl w:val="0"/>
          <w:numId w:val="18"/>
        </w:numPr>
        <w:jc w:val="both"/>
        <w:rPr>
          <w:rFonts w:ascii="Cambria" w:hAnsi="Cambria"/>
          <w:sz w:val="24"/>
          <w:szCs w:val="24"/>
          <w:lang w:val="en-GB"/>
        </w:rPr>
      </w:pPr>
      <w:r w:rsidRPr="00EA6A6C">
        <w:rPr>
          <w:rFonts w:ascii="Cambria" w:hAnsi="Cambria"/>
          <w:sz w:val="24"/>
          <w:szCs w:val="24"/>
          <w:lang w:val="en-GB"/>
        </w:rPr>
        <w:t>Apply the principles of equitable and reasonable use and no significant harm specifically to groundwater resources.</w:t>
      </w:r>
    </w:p>
    <w:p w14:paraId="7F081D32" w14:textId="316C7750" w:rsidR="006112D9" w:rsidRPr="00EA6A6C" w:rsidRDefault="006112D9" w:rsidP="00EA6A6C">
      <w:pPr>
        <w:jc w:val="both"/>
        <w:rPr>
          <w:rFonts w:ascii="Cambria" w:hAnsi="Cambria"/>
          <w:sz w:val="24"/>
          <w:szCs w:val="24"/>
          <w:lang w:val="en-GB"/>
        </w:rPr>
      </w:pPr>
      <w:r w:rsidRPr="00EA6A6C">
        <w:rPr>
          <w:rFonts w:ascii="Cambria" w:hAnsi="Cambria"/>
          <w:sz w:val="24"/>
          <w:szCs w:val="24"/>
          <w:lang w:val="en-GB"/>
        </w:rPr>
        <w:t>Measurable outcome: The Parties shall adopt a jointly validated delineation of shared groundwater bodies and associated recharge zones.</w:t>
      </w:r>
    </w:p>
    <w:p w14:paraId="7554FBF9" w14:textId="77777777" w:rsidR="006112D9" w:rsidRPr="00EA6A6C" w:rsidRDefault="006112D9" w:rsidP="006112D9">
      <w:pPr>
        <w:jc w:val="both"/>
        <w:rPr>
          <w:rFonts w:ascii="Cambria" w:hAnsi="Cambria"/>
          <w:sz w:val="24"/>
          <w:szCs w:val="24"/>
          <w:lang w:val="en-GB"/>
        </w:rPr>
      </w:pPr>
      <w:r w:rsidRPr="00EA6A6C">
        <w:rPr>
          <w:rFonts w:ascii="Cambria" w:hAnsi="Cambria"/>
          <w:b/>
          <w:bCs/>
          <w:sz w:val="24"/>
          <w:szCs w:val="24"/>
          <w:lang w:val="en-GB"/>
        </w:rPr>
        <w:t>Objective 2: Establishment of a Joint Groundwater Monitoring and Data Exchange System</w:t>
      </w:r>
    </w:p>
    <w:p w14:paraId="5853868D"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The Parties shall establish a harmonized joint groundwater monitoring system adapted to karst hydrogeological conditions.</w:t>
      </w:r>
    </w:p>
    <w:p w14:paraId="175DBC3F"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The Addendum shall provide that:</w:t>
      </w:r>
    </w:p>
    <w:p w14:paraId="020B7B62" w14:textId="77777777" w:rsidR="006112D9" w:rsidRPr="00EA6A6C" w:rsidRDefault="006112D9" w:rsidP="006112D9">
      <w:pPr>
        <w:numPr>
          <w:ilvl w:val="0"/>
          <w:numId w:val="19"/>
        </w:numPr>
        <w:jc w:val="both"/>
        <w:rPr>
          <w:rFonts w:ascii="Cambria" w:hAnsi="Cambria"/>
          <w:sz w:val="24"/>
          <w:szCs w:val="24"/>
          <w:lang w:val="en-GB"/>
        </w:rPr>
      </w:pPr>
      <w:r w:rsidRPr="00EA6A6C">
        <w:rPr>
          <w:rFonts w:ascii="Cambria" w:hAnsi="Cambria"/>
          <w:sz w:val="24"/>
          <w:szCs w:val="24"/>
          <w:lang w:val="en-GB"/>
        </w:rPr>
        <w:t xml:space="preserve">A joint monitoring network shall be designated, including agreed monitoring points on both sides of the </w:t>
      </w:r>
      <w:proofErr w:type="gramStart"/>
      <w:r w:rsidRPr="00EA6A6C">
        <w:rPr>
          <w:rFonts w:ascii="Cambria" w:hAnsi="Cambria"/>
          <w:sz w:val="24"/>
          <w:szCs w:val="24"/>
          <w:lang w:val="en-GB"/>
        </w:rPr>
        <w:t>border;</w:t>
      </w:r>
      <w:proofErr w:type="gramEnd"/>
    </w:p>
    <w:p w14:paraId="0D88FE73" w14:textId="77777777" w:rsidR="006112D9" w:rsidRPr="00EA6A6C" w:rsidRDefault="006112D9" w:rsidP="006112D9">
      <w:pPr>
        <w:numPr>
          <w:ilvl w:val="0"/>
          <w:numId w:val="19"/>
        </w:numPr>
        <w:jc w:val="both"/>
        <w:rPr>
          <w:rFonts w:ascii="Cambria" w:hAnsi="Cambria"/>
          <w:sz w:val="24"/>
          <w:szCs w:val="24"/>
          <w:lang w:val="en-GB"/>
        </w:rPr>
      </w:pPr>
      <w:r w:rsidRPr="00EA6A6C">
        <w:rPr>
          <w:rFonts w:ascii="Cambria" w:hAnsi="Cambria"/>
          <w:sz w:val="24"/>
          <w:szCs w:val="24"/>
          <w:lang w:val="en-GB"/>
        </w:rPr>
        <w:t xml:space="preserve">A harmonized parameter list shall be adopted, covering quantitative, chemical and microbiological </w:t>
      </w:r>
      <w:proofErr w:type="gramStart"/>
      <w:r w:rsidRPr="00EA6A6C">
        <w:rPr>
          <w:rFonts w:ascii="Cambria" w:hAnsi="Cambria"/>
          <w:sz w:val="24"/>
          <w:szCs w:val="24"/>
          <w:lang w:val="en-GB"/>
        </w:rPr>
        <w:t>indicators;</w:t>
      </w:r>
      <w:proofErr w:type="gramEnd"/>
    </w:p>
    <w:p w14:paraId="5B963CD2" w14:textId="77777777" w:rsidR="006112D9" w:rsidRPr="00EA6A6C" w:rsidRDefault="006112D9" w:rsidP="006112D9">
      <w:pPr>
        <w:numPr>
          <w:ilvl w:val="0"/>
          <w:numId w:val="19"/>
        </w:numPr>
        <w:jc w:val="both"/>
        <w:rPr>
          <w:rFonts w:ascii="Cambria" w:hAnsi="Cambria"/>
          <w:sz w:val="24"/>
          <w:szCs w:val="24"/>
          <w:lang w:val="en-GB"/>
        </w:rPr>
      </w:pPr>
      <w:r w:rsidRPr="00EA6A6C">
        <w:rPr>
          <w:rFonts w:ascii="Cambria" w:hAnsi="Cambria"/>
          <w:sz w:val="24"/>
          <w:szCs w:val="24"/>
          <w:lang w:val="en-GB"/>
        </w:rPr>
        <w:t xml:space="preserve">Sampling frequency and event-based monitoring (particularly rainfall-triggered events) shall be </w:t>
      </w:r>
      <w:proofErr w:type="gramStart"/>
      <w:r w:rsidRPr="00EA6A6C">
        <w:rPr>
          <w:rFonts w:ascii="Cambria" w:hAnsi="Cambria"/>
          <w:sz w:val="24"/>
          <w:szCs w:val="24"/>
          <w:lang w:val="en-GB"/>
        </w:rPr>
        <w:t>standardized;</w:t>
      </w:r>
      <w:proofErr w:type="gramEnd"/>
    </w:p>
    <w:p w14:paraId="2DA83A3A" w14:textId="77777777" w:rsidR="006112D9" w:rsidRPr="00EA6A6C" w:rsidRDefault="006112D9" w:rsidP="006112D9">
      <w:pPr>
        <w:numPr>
          <w:ilvl w:val="0"/>
          <w:numId w:val="19"/>
        </w:numPr>
        <w:jc w:val="both"/>
        <w:rPr>
          <w:rFonts w:ascii="Cambria" w:hAnsi="Cambria"/>
          <w:sz w:val="24"/>
          <w:szCs w:val="24"/>
          <w:lang w:val="en-GB"/>
        </w:rPr>
      </w:pPr>
      <w:r w:rsidRPr="00EA6A6C">
        <w:rPr>
          <w:rFonts w:ascii="Cambria" w:hAnsi="Cambria"/>
          <w:sz w:val="24"/>
          <w:szCs w:val="24"/>
          <w:lang w:val="en-GB"/>
        </w:rPr>
        <w:t xml:space="preserve">Quality assurance and quality control (QA/QC) procedures shall be </w:t>
      </w:r>
      <w:proofErr w:type="gramStart"/>
      <w:r w:rsidRPr="00EA6A6C">
        <w:rPr>
          <w:rFonts w:ascii="Cambria" w:hAnsi="Cambria"/>
          <w:sz w:val="24"/>
          <w:szCs w:val="24"/>
          <w:lang w:val="en-GB"/>
        </w:rPr>
        <w:t>harmonized;</w:t>
      </w:r>
      <w:proofErr w:type="gramEnd"/>
    </w:p>
    <w:p w14:paraId="29CE992A" w14:textId="77777777" w:rsidR="006112D9" w:rsidRPr="00EA6A6C" w:rsidRDefault="006112D9" w:rsidP="006112D9">
      <w:pPr>
        <w:numPr>
          <w:ilvl w:val="0"/>
          <w:numId w:val="19"/>
        </w:numPr>
        <w:jc w:val="both"/>
        <w:rPr>
          <w:rFonts w:ascii="Cambria" w:hAnsi="Cambria"/>
          <w:sz w:val="24"/>
          <w:szCs w:val="24"/>
          <w:lang w:val="en-GB"/>
        </w:rPr>
      </w:pPr>
      <w:r w:rsidRPr="00EA6A6C">
        <w:rPr>
          <w:rFonts w:ascii="Cambria" w:hAnsi="Cambria"/>
          <w:sz w:val="24"/>
          <w:szCs w:val="24"/>
          <w:lang w:val="en-GB"/>
        </w:rPr>
        <w:t xml:space="preserve">Data shall be exchanged quarterly in a mutually agreed </w:t>
      </w:r>
      <w:proofErr w:type="gramStart"/>
      <w:r w:rsidRPr="00EA6A6C">
        <w:rPr>
          <w:rFonts w:ascii="Cambria" w:hAnsi="Cambria"/>
          <w:sz w:val="24"/>
          <w:szCs w:val="24"/>
          <w:lang w:val="en-GB"/>
        </w:rPr>
        <w:t>format;</w:t>
      </w:r>
      <w:proofErr w:type="gramEnd"/>
    </w:p>
    <w:p w14:paraId="75D6AEC8" w14:textId="77777777" w:rsidR="006112D9" w:rsidRPr="00EA6A6C" w:rsidRDefault="006112D9" w:rsidP="006112D9">
      <w:pPr>
        <w:numPr>
          <w:ilvl w:val="0"/>
          <w:numId w:val="19"/>
        </w:numPr>
        <w:jc w:val="both"/>
        <w:rPr>
          <w:rFonts w:ascii="Cambria" w:hAnsi="Cambria"/>
          <w:sz w:val="24"/>
          <w:szCs w:val="24"/>
          <w:lang w:val="en-GB"/>
        </w:rPr>
      </w:pPr>
      <w:r w:rsidRPr="00EA6A6C">
        <w:rPr>
          <w:rFonts w:ascii="Cambria" w:hAnsi="Cambria"/>
          <w:sz w:val="24"/>
          <w:szCs w:val="24"/>
          <w:lang w:val="en-GB"/>
        </w:rPr>
        <w:t>Immediate notification shall occur in case of agreed threshold exceedance.</w:t>
      </w:r>
    </w:p>
    <w:p w14:paraId="4173777C" w14:textId="292A0ADC"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Measurable outcomes: Adoption of a Joint Monitoring Protocol, Operational data exchange platform, Annual joint groundwater status report prepared and submitted to the Joint Commission.</w:t>
      </w:r>
    </w:p>
    <w:p w14:paraId="05BB9BCE" w14:textId="77777777" w:rsidR="006112D9" w:rsidRPr="00EA6A6C" w:rsidRDefault="006112D9" w:rsidP="006112D9">
      <w:pPr>
        <w:jc w:val="both"/>
        <w:rPr>
          <w:rFonts w:ascii="Cambria" w:hAnsi="Cambria"/>
          <w:b/>
          <w:bCs/>
          <w:sz w:val="24"/>
          <w:szCs w:val="24"/>
          <w:lang w:val="en-GB"/>
        </w:rPr>
      </w:pPr>
      <w:r w:rsidRPr="00EA6A6C">
        <w:rPr>
          <w:rFonts w:ascii="Cambria" w:hAnsi="Cambria"/>
          <w:b/>
          <w:bCs/>
          <w:sz w:val="24"/>
          <w:szCs w:val="24"/>
          <w:lang w:val="en-GB"/>
        </w:rPr>
        <w:t>Objective 3: Early-Warning and Incident Response Mechanism for Groundwater</w:t>
      </w:r>
    </w:p>
    <w:p w14:paraId="0954D374"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The Parties shall establish a groundwater-specific early-warning and incident response protocol.</w:t>
      </w:r>
    </w:p>
    <w:p w14:paraId="1640C3AA"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The Addendum shall provide that:</w:t>
      </w:r>
    </w:p>
    <w:p w14:paraId="4D9EFEEA" w14:textId="77777777" w:rsidR="006112D9" w:rsidRPr="00EA6A6C" w:rsidRDefault="006112D9" w:rsidP="006112D9">
      <w:pPr>
        <w:numPr>
          <w:ilvl w:val="0"/>
          <w:numId w:val="21"/>
        </w:numPr>
        <w:jc w:val="both"/>
        <w:rPr>
          <w:rFonts w:ascii="Cambria" w:hAnsi="Cambria"/>
          <w:sz w:val="24"/>
          <w:szCs w:val="24"/>
          <w:lang w:val="en-GB"/>
        </w:rPr>
      </w:pPr>
      <w:r w:rsidRPr="00EA6A6C">
        <w:rPr>
          <w:rFonts w:ascii="Cambria" w:hAnsi="Cambria"/>
          <w:sz w:val="24"/>
          <w:szCs w:val="24"/>
          <w:lang w:val="en-GB"/>
        </w:rPr>
        <w:lastRenderedPageBreak/>
        <w:t xml:space="preserve">Threshold values triggering notification shall be jointly </w:t>
      </w:r>
      <w:proofErr w:type="gramStart"/>
      <w:r w:rsidRPr="00EA6A6C">
        <w:rPr>
          <w:rFonts w:ascii="Cambria" w:hAnsi="Cambria"/>
          <w:sz w:val="24"/>
          <w:szCs w:val="24"/>
          <w:lang w:val="en-GB"/>
        </w:rPr>
        <w:t>defined;</w:t>
      </w:r>
      <w:proofErr w:type="gramEnd"/>
    </w:p>
    <w:p w14:paraId="67A62CA6" w14:textId="77777777" w:rsidR="006112D9" w:rsidRPr="00EA6A6C" w:rsidRDefault="006112D9" w:rsidP="006112D9">
      <w:pPr>
        <w:numPr>
          <w:ilvl w:val="0"/>
          <w:numId w:val="21"/>
        </w:numPr>
        <w:jc w:val="both"/>
        <w:rPr>
          <w:rFonts w:ascii="Cambria" w:hAnsi="Cambria"/>
          <w:sz w:val="24"/>
          <w:szCs w:val="24"/>
          <w:lang w:val="en-GB"/>
        </w:rPr>
      </w:pPr>
      <w:r w:rsidRPr="00EA6A6C">
        <w:rPr>
          <w:rFonts w:ascii="Cambria" w:hAnsi="Cambria"/>
          <w:sz w:val="24"/>
          <w:szCs w:val="24"/>
          <w:lang w:val="en-GB"/>
        </w:rPr>
        <w:t xml:space="preserve">Notification shall occur within 24 hours of detection of significant contamination or abnormal turbidity/microbiological </w:t>
      </w:r>
      <w:proofErr w:type="gramStart"/>
      <w:r w:rsidRPr="00EA6A6C">
        <w:rPr>
          <w:rFonts w:ascii="Cambria" w:hAnsi="Cambria"/>
          <w:sz w:val="24"/>
          <w:szCs w:val="24"/>
          <w:lang w:val="en-GB"/>
        </w:rPr>
        <w:t>event;</w:t>
      </w:r>
      <w:proofErr w:type="gramEnd"/>
    </w:p>
    <w:p w14:paraId="6D0BCDBE" w14:textId="77777777" w:rsidR="006112D9" w:rsidRPr="00EA6A6C" w:rsidRDefault="006112D9" w:rsidP="006112D9">
      <w:pPr>
        <w:numPr>
          <w:ilvl w:val="0"/>
          <w:numId w:val="21"/>
        </w:numPr>
        <w:jc w:val="both"/>
        <w:rPr>
          <w:rFonts w:ascii="Cambria" w:hAnsi="Cambria"/>
          <w:sz w:val="24"/>
          <w:szCs w:val="24"/>
          <w:lang w:val="en-GB"/>
        </w:rPr>
      </w:pPr>
      <w:r w:rsidRPr="00EA6A6C">
        <w:rPr>
          <w:rFonts w:ascii="Cambria" w:hAnsi="Cambria"/>
          <w:sz w:val="24"/>
          <w:szCs w:val="24"/>
          <w:lang w:val="en-GB"/>
        </w:rPr>
        <w:t xml:space="preserve">A joint technical assessment shall be conducted where transboundary impact is </w:t>
      </w:r>
      <w:proofErr w:type="gramStart"/>
      <w:r w:rsidRPr="00EA6A6C">
        <w:rPr>
          <w:rFonts w:ascii="Cambria" w:hAnsi="Cambria"/>
          <w:sz w:val="24"/>
          <w:szCs w:val="24"/>
          <w:lang w:val="en-GB"/>
        </w:rPr>
        <w:t>likely;</w:t>
      </w:r>
      <w:proofErr w:type="gramEnd"/>
    </w:p>
    <w:p w14:paraId="78E0F25F" w14:textId="77777777" w:rsidR="006112D9" w:rsidRPr="00EA6A6C" w:rsidRDefault="006112D9" w:rsidP="006112D9">
      <w:pPr>
        <w:numPr>
          <w:ilvl w:val="0"/>
          <w:numId w:val="21"/>
        </w:numPr>
        <w:jc w:val="both"/>
        <w:rPr>
          <w:rFonts w:ascii="Cambria" w:hAnsi="Cambria"/>
          <w:sz w:val="24"/>
          <w:szCs w:val="24"/>
          <w:lang w:val="en-GB"/>
        </w:rPr>
      </w:pPr>
      <w:r w:rsidRPr="00EA6A6C">
        <w:rPr>
          <w:rFonts w:ascii="Cambria" w:hAnsi="Cambria"/>
          <w:sz w:val="24"/>
          <w:szCs w:val="24"/>
          <w:lang w:val="en-GB"/>
        </w:rPr>
        <w:t xml:space="preserve">Temporary risk mitigation measures (including abstraction adjustments, where necessary) shall be </w:t>
      </w:r>
      <w:proofErr w:type="gramStart"/>
      <w:r w:rsidRPr="00EA6A6C">
        <w:rPr>
          <w:rFonts w:ascii="Cambria" w:hAnsi="Cambria"/>
          <w:sz w:val="24"/>
          <w:szCs w:val="24"/>
          <w:lang w:val="en-GB"/>
        </w:rPr>
        <w:t>coordinated;</w:t>
      </w:r>
      <w:proofErr w:type="gramEnd"/>
    </w:p>
    <w:p w14:paraId="68BF2C8E" w14:textId="77777777" w:rsidR="006112D9" w:rsidRPr="00EA6A6C" w:rsidRDefault="006112D9" w:rsidP="006112D9">
      <w:pPr>
        <w:numPr>
          <w:ilvl w:val="0"/>
          <w:numId w:val="21"/>
        </w:numPr>
        <w:jc w:val="both"/>
        <w:rPr>
          <w:rFonts w:ascii="Cambria" w:hAnsi="Cambria"/>
          <w:sz w:val="24"/>
          <w:szCs w:val="24"/>
          <w:lang w:val="en-GB"/>
        </w:rPr>
      </w:pPr>
      <w:r w:rsidRPr="00EA6A6C">
        <w:rPr>
          <w:rFonts w:ascii="Cambria" w:hAnsi="Cambria"/>
          <w:sz w:val="24"/>
          <w:szCs w:val="24"/>
          <w:lang w:val="en-GB"/>
        </w:rPr>
        <w:t>A post-incident report shall be prepared and reviewed by the Joint Commission.</w:t>
      </w:r>
    </w:p>
    <w:p w14:paraId="427F30E6" w14:textId="4CEF68BF"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Measurable outcomes: Adoption of Early-Warning Protocol; Designation of official groundwater contact points in each Party, Annual summary of incidents.</w:t>
      </w:r>
    </w:p>
    <w:p w14:paraId="2483CEE2" w14:textId="77777777" w:rsidR="006112D9" w:rsidRPr="00EA6A6C" w:rsidRDefault="006112D9" w:rsidP="006112D9">
      <w:pPr>
        <w:jc w:val="both"/>
        <w:rPr>
          <w:rFonts w:ascii="Cambria" w:hAnsi="Cambria"/>
          <w:b/>
          <w:bCs/>
          <w:sz w:val="24"/>
          <w:szCs w:val="24"/>
          <w:lang w:val="en-GB"/>
        </w:rPr>
      </w:pPr>
      <w:r w:rsidRPr="00EA6A6C">
        <w:rPr>
          <w:rFonts w:ascii="Cambria" w:hAnsi="Cambria"/>
          <w:b/>
          <w:bCs/>
          <w:sz w:val="24"/>
          <w:szCs w:val="24"/>
          <w:lang w:val="en-GB"/>
        </w:rPr>
        <w:t>Objective 4: Institutionalization of Periodic Joint Reporting and Review</w:t>
      </w:r>
    </w:p>
    <w:p w14:paraId="6FA47A15"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The Parties shall institutionalize regular review of groundwater governance under the Joint Commission framework.</w:t>
      </w:r>
    </w:p>
    <w:p w14:paraId="13EC6A7F"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By translating general cooperation principles into structured aquifer-specific obligations, the proposed Addendum would strengthen legal certainty, improve risk prevention, and enhance long-term drinking water security and ecosystem resilience in transboundary karst contexts.</w:t>
      </w:r>
    </w:p>
    <w:p w14:paraId="6FBE4F25" w14:textId="77777777" w:rsidR="006112D9" w:rsidRDefault="006112D9" w:rsidP="006112D9">
      <w:pPr>
        <w:jc w:val="both"/>
        <w:rPr>
          <w:rFonts w:ascii="Cambria" w:hAnsi="Cambria" w:cs="Calibri"/>
          <w:sz w:val="24"/>
          <w:szCs w:val="24"/>
          <w:lang w:val="en-GB"/>
        </w:rPr>
      </w:pPr>
    </w:p>
    <w:p w14:paraId="72EF2371" w14:textId="607766F6" w:rsidR="006112D9" w:rsidRPr="00EA6A6C" w:rsidRDefault="006112D9" w:rsidP="0000684E">
      <w:pPr>
        <w:pStyle w:val="Titre1"/>
        <w:rPr>
          <w:lang w:val="en-GB"/>
        </w:rPr>
      </w:pPr>
      <w:bookmarkStart w:id="23" w:name="_Toc226579992"/>
      <w:r w:rsidRPr="00EA6A6C">
        <w:rPr>
          <w:lang w:val="en-GB"/>
        </w:rPr>
        <w:t>7. Proposed Legal Amendments and Key Action Points</w:t>
      </w:r>
      <w:bookmarkEnd w:id="23"/>
      <w:r w:rsidRPr="00EA6A6C">
        <w:rPr>
          <w:lang w:val="en-GB"/>
        </w:rPr>
        <w:t xml:space="preserve"> </w:t>
      </w:r>
    </w:p>
    <w:p w14:paraId="5B2FA08F" w14:textId="0AEF6196" w:rsidR="006112D9" w:rsidRPr="003C5E53" w:rsidRDefault="006112D9" w:rsidP="006112D9">
      <w:pPr>
        <w:jc w:val="both"/>
        <w:rPr>
          <w:rFonts w:ascii="Cambria" w:hAnsi="Cambria" w:cs="Calibri"/>
          <w:sz w:val="24"/>
          <w:szCs w:val="24"/>
          <w:lang w:val="en-GB"/>
        </w:rPr>
      </w:pPr>
      <w:r w:rsidRPr="003C5E53">
        <w:rPr>
          <w:rFonts w:ascii="Cambria" w:hAnsi="Cambria" w:cs="Calibri"/>
          <w:sz w:val="24"/>
          <w:szCs w:val="24"/>
          <w:lang w:val="en-GB"/>
        </w:rPr>
        <w:t xml:space="preserve">7.1 </w:t>
      </w:r>
      <w:r w:rsidR="003552C5">
        <w:rPr>
          <w:rFonts w:ascii="Cambria" w:hAnsi="Cambria" w:cs="Calibri"/>
          <w:sz w:val="24"/>
          <w:szCs w:val="24"/>
          <w:lang w:val="en-GB"/>
        </w:rPr>
        <w:t>Include d</w:t>
      </w:r>
      <w:r w:rsidRPr="003C5E53">
        <w:rPr>
          <w:rFonts w:ascii="Cambria" w:hAnsi="Cambria" w:cs="Calibri"/>
          <w:sz w:val="24"/>
          <w:szCs w:val="24"/>
          <w:lang w:val="en-GB"/>
        </w:rPr>
        <w:t>efinitions</w:t>
      </w:r>
      <w:r w:rsidR="003552C5">
        <w:rPr>
          <w:rFonts w:ascii="Cambria" w:hAnsi="Cambria" w:cs="Calibri"/>
          <w:sz w:val="24"/>
          <w:szCs w:val="24"/>
          <w:lang w:val="en-GB"/>
        </w:rPr>
        <w:t xml:space="preserve"> such as </w:t>
      </w:r>
      <w:r w:rsidRPr="003C5E53">
        <w:rPr>
          <w:rFonts w:ascii="Cambria" w:hAnsi="Cambria" w:cs="Calibri"/>
          <w:sz w:val="24"/>
          <w:szCs w:val="24"/>
          <w:lang w:val="en-GB"/>
        </w:rPr>
        <w:t>“Transboundary Groundwater Body”, “Groundwater</w:t>
      </w:r>
      <w:r w:rsidRPr="003C5E53">
        <w:rPr>
          <w:rFonts w:ascii="Cambria" w:hAnsi="Cambria" w:cs="Cambria Math"/>
          <w:sz w:val="24"/>
          <w:szCs w:val="24"/>
          <w:lang w:val="en-GB"/>
        </w:rPr>
        <w:t>‑</w:t>
      </w:r>
      <w:r w:rsidRPr="003C5E53">
        <w:rPr>
          <w:rFonts w:ascii="Cambria" w:hAnsi="Cambria" w:cs="Calibri"/>
          <w:sz w:val="24"/>
          <w:szCs w:val="24"/>
          <w:lang w:val="en-GB"/>
        </w:rPr>
        <w:t>Dependent Ecosystem”, “Sanitary Protection Zone (SPZ)”, “Incident”.</w:t>
      </w:r>
    </w:p>
    <w:p w14:paraId="4D2F6730" w14:textId="207DD602" w:rsidR="006112D9" w:rsidRPr="003C5E53" w:rsidRDefault="006112D9" w:rsidP="006112D9">
      <w:pPr>
        <w:jc w:val="both"/>
        <w:rPr>
          <w:rFonts w:ascii="Cambria" w:hAnsi="Cambria" w:cs="Calibri"/>
          <w:sz w:val="24"/>
          <w:szCs w:val="24"/>
          <w:lang w:val="en-GB"/>
        </w:rPr>
      </w:pPr>
      <w:r w:rsidRPr="003C5E53">
        <w:rPr>
          <w:rFonts w:ascii="Cambria" w:hAnsi="Cambria" w:cs="Calibri"/>
          <w:sz w:val="24"/>
          <w:szCs w:val="24"/>
          <w:lang w:val="en-GB"/>
        </w:rPr>
        <w:t xml:space="preserve">7.2 Principles &amp; Scope </w:t>
      </w:r>
    </w:p>
    <w:p w14:paraId="2E968317" w14:textId="77777777" w:rsidR="006112D9" w:rsidRPr="003C5E53" w:rsidRDefault="006112D9" w:rsidP="006112D9">
      <w:pPr>
        <w:jc w:val="both"/>
        <w:rPr>
          <w:rFonts w:ascii="Cambria" w:hAnsi="Cambria" w:cs="Calibri"/>
          <w:sz w:val="24"/>
          <w:szCs w:val="24"/>
          <w:lang w:val="en-GB"/>
        </w:rPr>
      </w:pPr>
      <w:r w:rsidRPr="003C5E53">
        <w:rPr>
          <w:rFonts w:ascii="Cambria" w:hAnsi="Cambria" w:cs="Calibri"/>
          <w:sz w:val="24"/>
          <w:szCs w:val="24"/>
          <w:lang w:val="en-GB"/>
        </w:rPr>
        <w:t xml:space="preserve">The framework agreement between Albania and Montenegro already includes the core principles of international water law for transboundary cooperation, the equitable and reasonable utilization and the no harm rule, as well as principles related to precaution, and protection. It also provides for the regular exchange of data and monitoring. </w:t>
      </w:r>
    </w:p>
    <w:p w14:paraId="5F2FDD59" w14:textId="1231C89B" w:rsidR="006112D9" w:rsidRPr="003C5E53" w:rsidRDefault="00EA6A6C" w:rsidP="006112D9">
      <w:pPr>
        <w:jc w:val="both"/>
        <w:rPr>
          <w:rFonts w:ascii="Cambria" w:hAnsi="Cambria" w:cs="Calibri"/>
          <w:sz w:val="24"/>
          <w:szCs w:val="24"/>
          <w:lang w:val="en-GB"/>
        </w:rPr>
      </w:pPr>
      <w:r w:rsidRPr="003C5E53">
        <w:rPr>
          <w:rFonts w:ascii="Cambria" w:hAnsi="Cambria" w:cs="Calibri"/>
          <w:sz w:val="24"/>
          <w:szCs w:val="24"/>
          <w:lang w:val="en-GB"/>
        </w:rPr>
        <w:t>However,</w:t>
      </w:r>
      <w:r w:rsidR="006112D9" w:rsidRPr="003C5E53">
        <w:rPr>
          <w:rFonts w:ascii="Cambria" w:hAnsi="Cambria" w:cs="Calibri"/>
          <w:sz w:val="24"/>
          <w:szCs w:val="24"/>
          <w:lang w:val="en-GB"/>
        </w:rPr>
        <w:t xml:space="preserve"> the principles on precaution and protection remain broad, and merits to be more specific for the case of the </w:t>
      </w:r>
      <w:proofErr w:type="spellStart"/>
      <w:r w:rsidR="006112D9" w:rsidRPr="003C5E53">
        <w:rPr>
          <w:rFonts w:ascii="Cambria" w:hAnsi="Cambria" w:cs="Calibri"/>
          <w:sz w:val="24"/>
          <w:szCs w:val="24"/>
          <w:lang w:val="en-GB"/>
        </w:rPr>
        <w:t>Cemi</w:t>
      </w:r>
      <w:proofErr w:type="spellEnd"/>
      <w:r w:rsidR="006112D9" w:rsidRPr="003C5E53">
        <w:rPr>
          <w:rFonts w:ascii="Cambria" w:hAnsi="Cambria" w:cs="Calibri"/>
          <w:sz w:val="24"/>
          <w:szCs w:val="24"/>
          <w:lang w:val="en-GB"/>
        </w:rPr>
        <w:t>/</w:t>
      </w:r>
      <w:proofErr w:type="spellStart"/>
      <w:r w:rsidR="006112D9" w:rsidRPr="003C5E53">
        <w:rPr>
          <w:rFonts w:ascii="Cambria" w:hAnsi="Cambria" w:cs="Calibri"/>
          <w:sz w:val="24"/>
          <w:szCs w:val="24"/>
          <w:lang w:val="en-GB"/>
        </w:rPr>
        <w:t>Cijevna</w:t>
      </w:r>
      <w:proofErr w:type="spellEnd"/>
      <w:r w:rsidR="006112D9" w:rsidRPr="003C5E53">
        <w:rPr>
          <w:rFonts w:ascii="Cambria" w:hAnsi="Cambria" w:cs="Calibri"/>
          <w:sz w:val="24"/>
          <w:szCs w:val="24"/>
          <w:lang w:val="en-GB"/>
        </w:rPr>
        <w:t xml:space="preserve"> transboundary </w:t>
      </w:r>
      <w:proofErr w:type="gramStart"/>
      <w:r w:rsidR="006112D9" w:rsidRPr="003C5E53">
        <w:rPr>
          <w:rFonts w:ascii="Cambria" w:hAnsi="Cambria" w:cs="Calibri"/>
          <w:sz w:val="24"/>
          <w:szCs w:val="24"/>
          <w:lang w:val="en-GB"/>
        </w:rPr>
        <w:t>aquifer, and</w:t>
      </w:r>
      <w:proofErr w:type="gramEnd"/>
      <w:r w:rsidR="006112D9" w:rsidRPr="003C5E53">
        <w:rPr>
          <w:rFonts w:ascii="Cambria" w:hAnsi="Cambria" w:cs="Calibri"/>
          <w:sz w:val="24"/>
          <w:szCs w:val="24"/>
          <w:lang w:val="en-GB"/>
        </w:rPr>
        <w:t xml:space="preserve"> indicate the protection of ecosystems dependent upon the </w:t>
      </w:r>
      <w:proofErr w:type="spellStart"/>
      <w:r w:rsidR="006112D9" w:rsidRPr="003C5E53">
        <w:rPr>
          <w:rFonts w:ascii="Cambria" w:hAnsi="Cambria" w:cs="Calibri"/>
          <w:sz w:val="24"/>
          <w:szCs w:val="24"/>
          <w:lang w:val="en-GB"/>
        </w:rPr>
        <w:t>Cemi</w:t>
      </w:r>
      <w:proofErr w:type="spellEnd"/>
      <w:r w:rsidR="006112D9" w:rsidRPr="003C5E53">
        <w:rPr>
          <w:rFonts w:ascii="Cambria" w:hAnsi="Cambria" w:cs="Calibri"/>
          <w:sz w:val="24"/>
          <w:szCs w:val="24"/>
          <w:lang w:val="en-GB"/>
        </w:rPr>
        <w:t>/</w:t>
      </w:r>
      <w:proofErr w:type="spellStart"/>
      <w:r w:rsidR="006112D9" w:rsidRPr="003C5E53">
        <w:rPr>
          <w:rFonts w:ascii="Cambria" w:hAnsi="Cambria" w:cs="Calibri"/>
          <w:sz w:val="24"/>
          <w:szCs w:val="24"/>
          <w:lang w:val="en-GB"/>
        </w:rPr>
        <w:t>Cijevna</w:t>
      </w:r>
      <w:proofErr w:type="spellEnd"/>
      <w:r w:rsidR="006112D9" w:rsidRPr="003C5E53">
        <w:rPr>
          <w:rFonts w:ascii="Cambria" w:hAnsi="Cambria" w:cs="Calibri"/>
          <w:sz w:val="24"/>
          <w:szCs w:val="24"/>
          <w:lang w:val="en-GB"/>
        </w:rPr>
        <w:t xml:space="preserve">, with measures related to ensuring that the quality and the quantity of the water </w:t>
      </w:r>
      <w:proofErr w:type="gramStart"/>
      <w:r w:rsidR="006112D9" w:rsidRPr="003C5E53">
        <w:rPr>
          <w:rFonts w:ascii="Cambria" w:hAnsi="Cambria" w:cs="Calibri"/>
          <w:sz w:val="24"/>
          <w:szCs w:val="24"/>
          <w:lang w:val="en-GB"/>
        </w:rPr>
        <w:t>remains</w:t>
      </w:r>
      <w:proofErr w:type="gramEnd"/>
      <w:r w:rsidR="006112D9" w:rsidRPr="003C5E53">
        <w:rPr>
          <w:rFonts w:ascii="Cambria" w:hAnsi="Cambria" w:cs="Calibri"/>
          <w:sz w:val="24"/>
          <w:szCs w:val="24"/>
          <w:lang w:val="en-GB"/>
        </w:rPr>
        <w:t xml:space="preserve"> sufficient to protect and preserve these ecosystems. Such measures can include the identification of Sanitary Protection Zones. This need to be specified in the addendum.    </w:t>
      </w:r>
    </w:p>
    <w:p w14:paraId="4A4B90EC" w14:textId="77777777" w:rsidR="006112D9" w:rsidRPr="003C5E53" w:rsidRDefault="006112D9" w:rsidP="006112D9">
      <w:pPr>
        <w:jc w:val="both"/>
        <w:rPr>
          <w:rFonts w:ascii="Cambria" w:hAnsi="Cambria" w:cs="Calibri"/>
          <w:sz w:val="24"/>
          <w:szCs w:val="24"/>
          <w:lang w:val="en-GB"/>
        </w:rPr>
      </w:pPr>
      <w:r w:rsidRPr="003C5E53">
        <w:rPr>
          <w:rFonts w:ascii="Cambria" w:hAnsi="Cambria" w:cs="Calibri"/>
          <w:sz w:val="24"/>
          <w:szCs w:val="24"/>
          <w:lang w:val="en-GB"/>
        </w:rPr>
        <w:t>7.3 Joint Monitoring System (network design, priority springs/wells; harmonized parameters, frequency; microbiology/turbidity for karst; QA/QC; shared digital platform and INSPIRE</w:t>
      </w:r>
      <w:r w:rsidRPr="003C5E53">
        <w:rPr>
          <w:rFonts w:ascii="Cambria" w:hAnsi="Cambria" w:cs="Cambria Math"/>
          <w:sz w:val="24"/>
          <w:szCs w:val="24"/>
          <w:lang w:val="en-GB"/>
        </w:rPr>
        <w:t>‑</w:t>
      </w:r>
      <w:r w:rsidRPr="003C5E53">
        <w:rPr>
          <w:rFonts w:ascii="Cambria" w:hAnsi="Cambria" w:cs="Calibri"/>
          <w:sz w:val="24"/>
          <w:szCs w:val="24"/>
          <w:lang w:val="en-GB"/>
        </w:rPr>
        <w:t>compatible metadata).</w:t>
      </w:r>
    </w:p>
    <w:p w14:paraId="500395A9" w14:textId="77777777" w:rsidR="006112D9" w:rsidRPr="003C5E53" w:rsidRDefault="006112D9" w:rsidP="006112D9">
      <w:pPr>
        <w:jc w:val="both"/>
        <w:rPr>
          <w:rFonts w:ascii="Cambria" w:hAnsi="Cambria" w:cs="Calibri"/>
          <w:sz w:val="24"/>
          <w:szCs w:val="24"/>
          <w:lang w:val="en-GB"/>
        </w:rPr>
      </w:pPr>
      <w:r w:rsidRPr="003C5E53">
        <w:rPr>
          <w:rFonts w:ascii="Cambria" w:hAnsi="Cambria" w:cs="Calibri"/>
          <w:sz w:val="24"/>
          <w:szCs w:val="24"/>
          <w:lang w:val="en-GB"/>
        </w:rPr>
        <w:lastRenderedPageBreak/>
        <w:t>7.4 Data Exchange &amp; Confidentiality (near</w:t>
      </w:r>
      <w:r w:rsidRPr="003C5E53">
        <w:rPr>
          <w:rFonts w:ascii="Cambria" w:hAnsi="Cambria" w:cs="Cambria Math"/>
          <w:sz w:val="24"/>
          <w:szCs w:val="24"/>
          <w:lang w:val="en-GB"/>
        </w:rPr>
        <w:t>‑</w:t>
      </w:r>
      <w:r w:rsidRPr="003C5E53">
        <w:rPr>
          <w:rFonts w:ascii="Cambria" w:hAnsi="Cambria" w:cs="Calibri"/>
          <w:sz w:val="24"/>
          <w:szCs w:val="24"/>
          <w:lang w:val="en-GB"/>
        </w:rPr>
        <w:t>real</w:t>
      </w:r>
      <w:r w:rsidRPr="003C5E53">
        <w:rPr>
          <w:rFonts w:ascii="Cambria" w:hAnsi="Cambria" w:cs="Cambria Math"/>
          <w:sz w:val="24"/>
          <w:szCs w:val="24"/>
          <w:lang w:val="en-GB"/>
        </w:rPr>
        <w:t>‑</w:t>
      </w:r>
      <w:r w:rsidRPr="003C5E53">
        <w:rPr>
          <w:rFonts w:ascii="Cambria" w:hAnsi="Cambria" w:cs="Calibri"/>
          <w:sz w:val="24"/>
          <w:szCs w:val="24"/>
          <w:lang w:val="en-GB"/>
        </w:rPr>
        <w:t>time exchange; validation; annual public summaries).</w:t>
      </w:r>
    </w:p>
    <w:p w14:paraId="34914BC3" w14:textId="7497F485" w:rsidR="006112D9" w:rsidRPr="003C5E53" w:rsidRDefault="006112D9" w:rsidP="006112D9">
      <w:pPr>
        <w:jc w:val="both"/>
        <w:rPr>
          <w:rFonts w:ascii="Cambria" w:hAnsi="Cambria" w:cs="Calibri"/>
          <w:sz w:val="24"/>
          <w:szCs w:val="24"/>
          <w:lang w:val="en-GB"/>
        </w:rPr>
      </w:pPr>
      <w:r w:rsidRPr="00EA6A6C">
        <w:rPr>
          <w:rFonts w:ascii="Cambria" w:hAnsi="Cambria" w:cs="Calibri"/>
          <w:sz w:val="24"/>
          <w:szCs w:val="24"/>
          <w:lang w:val="en-GB"/>
        </w:rPr>
        <w:t>7.5 SPZ updating and integration (four</w:t>
      </w:r>
      <w:r w:rsidRPr="00EA6A6C">
        <w:rPr>
          <w:rFonts w:ascii="Cambria" w:hAnsi="Cambria" w:cs="Cambria Math"/>
          <w:sz w:val="24"/>
          <w:szCs w:val="24"/>
          <w:lang w:val="en-GB"/>
        </w:rPr>
        <w:t>‑</w:t>
      </w:r>
      <w:r w:rsidRPr="00EA6A6C">
        <w:rPr>
          <w:rFonts w:ascii="Cambria" w:hAnsi="Cambria" w:cs="Calibri"/>
          <w:sz w:val="24"/>
          <w:szCs w:val="24"/>
          <w:lang w:val="en-GB"/>
        </w:rPr>
        <w:t>zone model for karst; vulnerability mapping</w:t>
      </w:r>
      <w:r w:rsidRPr="003C5E53">
        <w:rPr>
          <w:rFonts w:ascii="Cambria" w:hAnsi="Cambria" w:cs="Calibri"/>
          <w:sz w:val="24"/>
          <w:szCs w:val="24"/>
          <w:lang w:val="en-GB"/>
        </w:rPr>
        <w:t xml:space="preserve"> requirement; land</w:t>
      </w:r>
      <w:r w:rsidRPr="003C5E53">
        <w:rPr>
          <w:rFonts w:ascii="Cambria" w:hAnsi="Cambria" w:cs="Cambria Math"/>
          <w:sz w:val="24"/>
          <w:szCs w:val="24"/>
          <w:lang w:val="en-GB"/>
        </w:rPr>
        <w:t>‑</w:t>
      </w:r>
      <w:r w:rsidRPr="003C5E53">
        <w:rPr>
          <w:rFonts w:ascii="Cambria" w:hAnsi="Cambria" w:cs="Calibri"/>
          <w:sz w:val="24"/>
          <w:szCs w:val="24"/>
          <w:lang w:val="en-GB"/>
        </w:rPr>
        <w:t>use compatibility lists; integration into spatial plans on both sides within specified deadlines).</w:t>
      </w:r>
    </w:p>
    <w:p w14:paraId="451449BD" w14:textId="77777777" w:rsidR="006112D9" w:rsidRPr="003C5E53" w:rsidRDefault="006112D9" w:rsidP="006112D9">
      <w:pPr>
        <w:jc w:val="both"/>
        <w:rPr>
          <w:rFonts w:ascii="Cambria" w:hAnsi="Cambria" w:cs="Calibri"/>
          <w:sz w:val="24"/>
          <w:szCs w:val="24"/>
          <w:lang w:val="en-GB"/>
        </w:rPr>
      </w:pPr>
      <w:r w:rsidRPr="003C5E53">
        <w:rPr>
          <w:rFonts w:ascii="Cambria" w:hAnsi="Cambria" w:cs="Calibri"/>
          <w:sz w:val="24"/>
          <w:szCs w:val="24"/>
          <w:lang w:val="en-GB"/>
        </w:rPr>
        <w:t>7.6 Early</w:t>
      </w:r>
      <w:r w:rsidRPr="003C5E53">
        <w:rPr>
          <w:rFonts w:ascii="Cambria" w:hAnsi="Cambria" w:cs="Cambria Math"/>
          <w:sz w:val="24"/>
          <w:szCs w:val="24"/>
          <w:lang w:val="en-GB"/>
        </w:rPr>
        <w:t>‑</w:t>
      </w:r>
      <w:r w:rsidRPr="003C5E53">
        <w:rPr>
          <w:rFonts w:ascii="Cambria" w:hAnsi="Cambria" w:cs="Calibri"/>
          <w:sz w:val="24"/>
          <w:szCs w:val="24"/>
          <w:lang w:val="en-GB"/>
        </w:rPr>
        <w:t>Warning &amp; Incident Management (thresholds, contacts, timelines, temporary abstraction curtailment, public notice, post</w:t>
      </w:r>
      <w:r w:rsidRPr="003C5E53">
        <w:rPr>
          <w:rFonts w:ascii="Cambria" w:hAnsi="Cambria" w:cs="Cambria Math"/>
          <w:sz w:val="24"/>
          <w:szCs w:val="24"/>
          <w:lang w:val="en-GB"/>
        </w:rPr>
        <w:t>‑</w:t>
      </w:r>
      <w:r w:rsidRPr="003C5E53">
        <w:rPr>
          <w:rFonts w:ascii="Cambria" w:hAnsi="Cambria" w:cs="Calibri"/>
          <w:sz w:val="24"/>
          <w:szCs w:val="24"/>
          <w:lang w:val="en-GB"/>
        </w:rPr>
        <w:t>event joint report).</w:t>
      </w:r>
    </w:p>
    <w:p w14:paraId="365D9F98" w14:textId="048C88C8" w:rsidR="006112D9" w:rsidRPr="003C5E53" w:rsidRDefault="006112D9" w:rsidP="006112D9">
      <w:pPr>
        <w:jc w:val="both"/>
        <w:rPr>
          <w:rFonts w:ascii="Cambria" w:hAnsi="Cambria" w:cs="Calibri"/>
          <w:sz w:val="24"/>
          <w:szCs w:val="24"/>
          <w:lang w:val="en-GB"/>
        </w:rPr>
      </w:pPr>
      <w:r w:rsidRPr="003C5E53">
        <w:rPr>
          <w:rFonts w:ascii="Cambria" w:hAnsi="Cambria" w:cs="Calibri"/>
          <w:sz w:val="24"/>
          <w:szCs w:val="24"/>
          <w:lang w:val="en-GB"/>
        </w:rPr>
        <w:t>7.7 Institutional Arrangements (groundwater sub</w:t>
      </w:r>
      <w:r w:rsidRPr="003C5E53">
        <w:rPr>
          <w:rFonts w:ascii="Cambria" w:hAnsi="Cambria" w:cs="Cambria Math"/>
          <w:sz w:val="24"/>
          <w:szCs w:val="24"/>
          <w:lang w:val="en-GB"/>
        </w:rPr>
        <w:t>‑</w:t>
      </w:r>
      <w:r w:rsidR="003552C5">
        <w:rPr>
          <w:rFonts w:ascii="Cambria" w:hAnsi="Cambria" w:cs="Calibri"/>
          <w:sz w:val="24"/>
          <w:szCs w:val="24"/>
          <w:lang w:val="en-GB"/>
        </w:rPr>
        <w:t>commission</w:t>
      </w:r>
      <w:r w:rsidRPr="003C5E53">
        <w:rPr>
          <w:rFonts w:ascii="Cambria" w:hAnsi="Cambria" w:cs="Calibri"/>
          <w:sz w:val="24"/>
          <w:szCs w:val="24"/>
          <w:lang w:val="en-GB"/>
        </w:rPr>
        <w:t xml:space="preserve"> under the Joint Commission; annual technical reviews; stakeholder engagement).</w:t>
      </w:r>
    </w:p>
    <w:p w14:paraId="40C04C15" w14:textId="0ACAE8B2" w:rsidR="006112D9" w:rsidRPr="003C5E53" w:rsidRDefault="006112D9" w:rsidP="006112D9">
      <w:pPr>
        <w:jc w:val="both"/>
        <w:rPr>
          <w:rFonts w:ascii="Cambria" w:hAnsi="Cambria" w:cs="Calibri"/>
          <w:sz w:val="24"/>
          <w:szCs w:val="24"/>
          <w:lang w:val="en-GB"/>
        </w:rPr>
      </w:pPr>
      <w:r w:rsidRPr="003C5E53">
        <w:rPr>
          <w:rFonts w:ascii="Cambria" w:hAnsi="Cambria" w:cs="Calibri"/>
          <w:sz w:val="24"/>
          <w:szCs w:val="24"/>
          <w:lang w:val="en-GB"/>
        </w:rPr>
        <w:t xml:space="preserve">The 2018 Framework agreement establishes a </w:t>
      </w:r>
      <w:r w:rsidRPr="003C5E53">
        <w:rPr>
          <w:rFonts w:ascii="Cambria" w:hAnsi="Cambria"/>
          <w:sz w:val="24"/>
          <w:szCs w:val="24"/>
          <w:lang w:val="en-US"/>
        </w:rPr>
        <w:t xml:space="preserve">Water Resources Management Commission, under which sub-commissions can be created. </w:t>
      </w:r>
      <w:r w:rsidR="003552C5">
        <w:rPr>
          <w:rFonts w:ascii="Cambria" w:hAnsi="Cambria"/>
          <w:sz w:val="24"/>
          <w:szCs w:val="24"/>
          <w:lang w:val="en-US"/>
        </w:rPr>
        <w:t>T</w:t>
      </w:r>
      <w:r w:rsidRPr="003C5E53">
        <w:rPr>
          <w:rFonts w:ascii="Cambria" w:hAnsi="Cambria"/>
          <w:sz w:val="24"/>
          <w:szCs w:val="24"/>
          <w:lang w:val="en-US"/>
        </w:rPr>
        <w:t>he Commission has already been established</w:t>
      </w:r>
      <w:r w:rsidR="003552C5">
        <w:rPr>
          <w:rFonts w:ascii="Cambria" w:hAnsi="Cambria"/>
          <w:sz w:val="24"/>
          <w:szCs w:val="24"/>
          <w:lang w:val="en-US"/>
        </w:rPr>
        <w:t xml:space="preserve"> with members nominated in both countries</w:t>
      </w:r>
      <w:r w:rsidRPr="003C5E53">
        <w:rPr>
          <w:rFonts w:ascii="Cambria" w:hAnsi="Cambria"/>
          <w:sz w:val="24"/>
          <w:szCs w:val="24"/>
          <w:lang w:val="en-US"/>
        </w:rPr>
        <w:t xml:space="preserve">. </w:t>
      </w:r>
      <w:r w:rsidR="00EA6A6C" w:rsidRPr="003C5E53">
        <w:rPr>
          <w:rFonts w:ascii="Cambria" w:hAnsi="Cambria"/>
          <w:sz w:val="24"/>
          <w:szCs w:val="24"/>
          <w:lang w:val="en-US"/>
        </w:rPr>
        <w:t>However,</w:t>
      </w:r>
      <w:r w:rsidRPr="003C5E53">
        <w:rPr>
          <w:rFonts w:ascii="Cambria" w:hAnsi="Cambria"/>
          <w:sz w:val="24"/>
          <w:szCs w:val="24"/>
          <w:lang w:val="en-US"/>
        </w:rPr>
        <w:t xml:space="preserve"> its duties and competences are not defined yet. </w:t>
      </w:r>
      <w:r w:rsidR="00EA6A6C" w:rsidRPr="003C5E53">
        <w:rPr>
          <w:rFonts w:ascii="Cambria" w:hAnsi="Cambria"/>
          <w:sz w:val="24"/>
          <w:szCs w:val="24"/>
          <w:lang w:val="en-US"/>
        </w:rPr>
        <w:t>Nevertheless,</w:t>
      </w:r>
      <w:r w:rsidRPr="003C5E53">
        <w:rPr>
          <w:rFonts w:ascii="Cambria" w:hAnsi="Cambria"/>
          <w:sz w:val="24"/>
          <w:szCs w:val="24"/>
          <w:lang w:val="en-US"/>
        </w:rPr>
        <w:t xml:space="preserve"> it can be envisaged to create a sub-commission specifically for </w:t>
      </w:r>
      <w:r w:rsidR="003552C5">
        <w:rPr>
          <w:rFonts w:ascii="Cambria" w:hAnsi="Cambria"/>
          <w:sz w:val="24"/>
          <w:szCs w:val="24"/>
          <w:lang w:val="en-US"/>
        </w:rPr>
        <w:t>transboundary groundwater</w:t>
      </w:r>
      <w:r w:rsidR="00984D1D">
        <w:rPr>
          <w:rFonts w:ascii="Cambria" w:hAnsi="Cambria"/>
          <w:sz w:val="24"/>
          <w:szCs w:val="24"/>
          <w:lang w:val="en-US"/>
        </w:rPr>
        <w:t xml:space="preserve"> including a sub-group for </w:t>
      </w:r>
      <w:r w:rsidRPr="003C5E53">
        <w:rPr>
          <w:rFonts w:ascii="Cambria" w:hAnsi="Cambria"/>
          <w:sz w:val="24"/>
          <w:szCs w:val="24"/>
          <w:lang w:val="en-US"/>
        </w:rPr>
        <w:t xml:space="preserve">the </w:t>
      </w:r>
      <w:proofErr w:type="spellStart"/>
      <w:r w:rsidRPr="003C5E53">
        <w:rPr>
          <w:rFonts w:ascii="Cambria" w:hAnsi="Cambria"/>
          <w:sz w:val="24"/>
          <w:szCs w:val="24"/>
          <w:lang w:val="en-US"/>
        </w:rPr>
        <w:t>Cemi</w:t>
      </w:r>
      <w:proofErr w:type="spellEnd"/>
      <w:r w:rsidRPr="003C5E53">
        <w:rPr>
          <w:rFonts w:ascii="Cambria" w:hAnsi="Cambria"/>
          <w:sz w:val="24"/>
          <w:szCs w:val="24"/>
          <w:lang w:val="en-US"/>
        </w:rPr>
        <w:t>/</w:t>
      </w:r>
      <w:proofErr w:type="spellStart"/>
      <w:r w:rsidRPr="003C5E53">
        <w:rPr>
          <w:rFonts w:ascii="Cambria" w:hAnsi="Cambria"/>
          <w:sz w:val="24"/>
          <w:szCs w:val="24"/>
          <w:lang w:val="en-US"/>
        </w:rPr>
        <w:t>Cijevna</w:t>
      </w:r>
      <w:proofErr w:type="spellEnd"/>
      <w:r w:rsidRPr="003C5E53">
        <w:rPr>
          <w:rFonts w:ascii="Cambria" w:hAnsi="Cambria"/>
          <w:sz w:val="24"/>
          <w:szCs w:val="24"/>
          <w:lang w:val="en-US"/>
        </w:rPr>
        <w:t xml:space="preserve"> basin, covering surface waters and groundwaters as it seems difficult to separate both. </w:t>
      </w:r>
      <w:r w:rsidR="00EA6A6C" w:rsidRPr="003C5E53">
        <w:rPr>
          <w:rFonts w:ascii="Cambria" w:hAnsi="Cambria"/>
          <w:sz w:val="24"/>
          <w:szCs w:val="24"/>
          <w:lang w:val="en-US"/>
        </w:rPr>
        <w:t>Moreover,</w:t>
      </w:r>
      <w:r w:rsidRPr="003C5E53">
        <w:rPr>
          <w:rFonts w:ascii="Cambria" w:hAnsi="Cambria"/>
          <w:sz w:val="24"/>
          <w:szCs w:val="24"/>
          <w:lang w:val="en-US"/>
        </w:rPr>
        <w:t xml:space="preserve"> the sub-commission could oversee the implementation of the Joint Action Plan. </w:t>
      </w:r>
    </w:p>
    <w:p w14:paraId="2C338E82" w14:textId="77777777" w:rsidR="006112D9" w:rsidRPr="003C5E53" w:rsidRDefault="006112D9" w:rsidP="006112D9">
      <w:pPr>
        <w:jc w:val="both"/>
        <w:rPr>
          <w:rFonts w:ascii="Cambria" w:hAnsi="Cambria" w:cs="Calibri"/>
          <w:sz w:val="24"/>
          <w:szCs w:val="24"/>
          <w:lang w:val="en-GB"/>
        </w:rPr>
      </w:pPr>
      <w:r w:rsidRPr="003C5E53">
        <w:rPr>
          <w:rFonts w:ascii="Cambria" w:hAnsi="Cambria" w:cs="Calibri"/>
          <w:sz w:val="24"/>
          <w:szCs w:val="24"/>
          <w:lang w:val="en-GB"/>
        </w:rPr>
        <w:t>7.8 Financing &amp; Economic Instruments (principles) (earmarking for monitoring/SPZ implementation; cooperation on remedial measures).</w:t>
      </w:r>
    </w:p>
    <w:p w14:paraId="50EED2A3" w14:textId="77777777" w:rsidR="006112D9" w:rsidRPr="003C5E53" w:rsidRDefault="006112D9" w:rsidP="006112D9">
      <w:pPr>
        <w:jc w:val="both"/>
        <w:rPr>
          <w:rFonts w:ascii="Cambria" w:hAnsi="Cambria" w:cs="Calibri"/>
          <w:sz w:val="24"/>
          <w:szCs w:val="24"/>
          <w:lang w:val="en-GB"/>
        </w:rPr>
      </w:pPr>
      <w:r w:rsidRPr="003C5E53">
        <w:rPr>
          <w:rFonts w:ascii="Cambria" w:hAnsi="Cambria" w:cs="Calibri"/>
          <w:sz w:val="24"/>
          <w:szCs w:val="24"/>
          <w:lang w:val="en-GB"/>
        </w:rPr>
        <w:t>7.9 Implementation, Reporting &amp; Review (biennial implementation report; five</w:t>
      </w:r>
      <w:r w:rsidRPr="003C5E53">
        <w:rPr>
          <w:rFonts w:ascii="Cambria" w:hAnsi="Cambria" w:cs="Cambria Math"/>
          <w:sz w:val="24"/>
          <w:szCs w:val="24"/>
          <w:lang w:val="en-GB"/>
        </w:rPr>
        <w:t>‑</w:t>
      </w:r>
      <w:r w:rsidRPr="003C5E53">
        <w:rPr>
          <w:rFonts w:ascii="Cambria" w:hAnsi="Cambria" w:cs="Calibri"/>
          <w:sz w:val="24"/>
          <w:szCs w:val="24"/>
          <w:lang w:val="en-GB"/>
        </w:rPr>
        <w:t>year clause review).</w:t>
      </w:r>
    </w:p>
    <w:p w14:paraId="7513A701" w14:textId="77777777" w:rsidR="006112D9" w:rsidRPr="003C5E53" w:rsidRDefault="006112D9" w:rsidP="006112D9">
      <w:pPr>
        <w:jc w:val="both"/>
        <w:rPr>
          <w:rFonts w:ascii="Cambria" w:hAnsi="Cambria" w:cs="Calibri"/>
          <w:sz w:val="24"/>
          <w:szCs w:val="24"/>
          <w:lang w:val="en-GB"/>
        </w:rPr>
      </w:pPr>
      <w:r w:rsidRPr="003C5E53">
        <w:rPr>
          <w:rFonts w:ascii="Cambria" w:hAnsi="Cambria" w:cs="Calibri"/>
          <w:sz w:val="24"/>
          <w:szCs w:val="24"/>
          <w:lang w:val="en-GB"/>
        </w:rPr>
        <w:t>7.10 Relationship to Existing Instruments (consistency with 1996 Agreement; without prejudice clauses)</w:t>
      </w:r>
    </w:p>
    <w:p w14:paraId="0DFAD1DE" w14:textId="1ADBE263" w:rsidR="006112D9" w:rsidRPr="003C5E53" w:rsidRDefault="006112D9" w:rsidP="006112D9">
      <w:pPr>
        <w:jc w:val="both"/>
        <w:rPr>
          <w:rFonts w:ascii="Cambria" w:hAnsi="Cambria" w:cs="Calibri"/>
          <w:sz w:val="24"/>
          <w:szCs w:val="24"/>
          <w:lang w:val="en-GB"/>
        </w:rPr>
      </w:pPr>
      <w:r w:rsidRPr="003C5E53">
        <w:rPr>
          <w:rFonts w:ascii="Cambria" w:hAnsi="Cambria" w:cs="Calibri"/>
          <w:sz w:val="24"/>
          <w:szCs w:val="24"/>
          <w:lang w:val="en-GB"/>
        </w:rPr>
        <w:t xml:space="preserve">The requirements for the addendum fall well under the Framework agreement between Albania and Montenegro on transboundary water resources. It complements and specifies the cooperation and protection principles of the agreement by providing application measures adapted to transboundary </w:t>
      </w:r>
      <w:r w:rsidR="00984D1D">
        <w:rPr>
          <w:rFonts w:ascii="Cambria" w:hAnsi="Cambria" w:cs="Calibri"/>
          <w:sz w:val="24"/>
          <w:szCs w:val="24"/>
          <w:lang w:val="en-GB"/>
        </w:rPr>
        <w:t>groundwater bodies</w:t>
      </w:r>
      <w:r w:rsidRPr="003C5E53">
        <w:rPr>
          <w:rFonts w:ascii="Cambria" w:hAnsi="Cambria" w:cs="Calibri"/>
          <w:sz w:val="24"/>
          <w:szCs w:val="24"/>
          <w:lang w:val="en-GB"/>
        </w:rPr>
        <w:t xml:space="preserve">, and moreover in a karstic environment. </w:t>
      </w:r>
    </w:p>
    <w:p w14:paraId="6A51F8E7" w14:textId="77777777" w:rsidR="006112D9" w:rsidRPr="003C5E53" w:rsidRDefault="006112D9" w:rsidP="006112D9">
      <w:pPr>
        <w:jc w:val="both"/>
        <w:rPr>
          <w:rFonts w:ascii="Cambria" w:hAnsi="Cambria" w:cs="Calibri"/>
          <w:sz w:val="24"/>
          <w:szCs w:val="24"/>
          <w:lang w:val="en-GB"/>
        </w:rPr>
      </w:pPr>
    </w:p>
    <w:p w14:paraId="65C6AC27" w14:textId="0088AFBC" w:rsidR="006112D9" w:rsidRPr="003C5E53" w:rsidRDefault="006112D9" w:rsidP="0000684E">
      <w:pPr>
        <w:pStyle w:val="Titre1"/>
        <w:rPr>
          <w:lang w:val="en-GB"/>
        </w:rPr>
      </w:pPr>
      <w:bookmarkStart w:id="24" w:name="_Toc226579993"/>
      <w:r w:rsidRPr="003C5E53">
        <w:rPr>
          <w:lang w:val="en-GB"/>
        </w:rPr>
        <w:t>8. Implementation Roadmap (Phased, 36 months)</w:t>
      </w:r>
      <w:bookmarkEnd w:id="24"/>
      <w:r w:rsidRPr="003C5E53">
        <w:rPr>
          <w:lang w:val="en-GB"/>
        </w:rPr>
        <w:t xml:space="preserve"> </w:t>
      </w:r>
    </w:p>
    <w:p w14:paraId="11C74623" w14:textId="77777777" w:rsidR="006112D9" w:rsidRPr="003C5E53" w:rsidRDefault="006112D9" w:rsidP="006112D9">
      <w:pPr>
        <w:jc w:val="both"/>
        <w:rPr>
          <w:rFonts w:ascii="Cambria" w:hAnsi="Cambria" w:cs="Calibri"/>
          <w:sz w:val="24"/>
          <w:szCs w:val="24"/>
          <w:lang w:val="en-GB"/>
        </w:rPr>
      </w:pPr>
      <w:r w:rsidRPr="003C5E53">
        <w:rPr>
          <w:rFonts w:ascii="Cambria" w:hAnsi="Cambria" w:cs="Calibri"/>
          <w:sz w:val="24"/>
          <w:szCs w:val="24"/>
          <w:lang w:val="en-GB"/>
        </w:rPr>
        <w:t>Three phases with deliverables and responsible bodies:</w:t>
      </w:r>
    </w:p>
    <w:p w14:paraId="24DA6AC2" w14:textId="77777777" w:rsidR="006112D9" w:rsidRPr="003C5E53" w:rsidRDefault="006112D9" w:rsidP="006112D9">
      <w:pPr>
        <w:pStyle w:val="Paragraphedeliste"/>
        <w:numPr>
          <w:ilvl w:val="0"/>
          <w:numId w:val="1"/>
        </w:numPr>
        <w:jc w:val="both"/>
        <w:rPr>
          <w:rFonts w:ascii="Cambria" w:hAnsi="Cambria" w:cs="Calibri"/>
          <w:sz w:val="24"/>
          <w:szCs w:val="24"/>
          <w:lang w:val="en-GB"/>
        </w:rPr>
      </w:pPr>
      <w:r w:rsidRPr="003C5E53">
        <w:rPr>
          <w:rFonts w:ascii="Cambria" w:hAnsi="Cambria" w:cs="Calibri"/>
          <w:sz w:val="24"/>
          <w:szCs w:val="24"/>
          <w:lang w:val="en-GB"/>
        </w:rPr>
        <w:t>Phase 1 (0-12 months): adopt Addendum/Protocol; draft SPZ mutual</w:t>
      </w:r>
      <w:r w:rsidRPr="003C5E53">
        <w:rPr>
          <w:rFonts w:ascii="Cambria" w:hAnsi="Cambria" w:cs="Cambria Math"/>
          <w:sz w:val="24"/>
          <w:szCs w:val="24"/>
          <w:lang w:val="en-GB"/>
        </w:rPr>
        <w:t>‑</w:t>
      </w:r>
      <w:r w:rsidRPr="003C5E53">
        <w:rPr>
          <w:rFonts w:ascii="Cambria" w:hAnsi="Cambria" w:cs="Calibri"/>
          <w:sz w:val="24"/>
          <w:szCs w:val="24"/>
          <w:lang w:val="en-GB"/>
        </w:rPr>
        <w:t>recognition guidance; set up emergency notification template.</w:t>
      </w:r>
    </w:p>
    <w:p w14:paraId="6A3E573C" w14:textId="77777777" w:rsidR="006112D9" w:rsidRPr="003C5E53" w:rsidRDefault="006112D9" w:rsidP="006112D9">
      <w:pPr>
        <w:pStyle w:val="Paragraphedeliste"/>
        <w:numPr>
          <w:ilvl w:val="0"/>
          <w:numId w:val="1"/>
        </w:numPr>
        <w:jc w:val="both"/>
        <w:rPr>
          <w:rFonts w:ascii="Cambria" w:hAnsi="Cambria" w:cs="Calibri"/>
          <w:sz w:val="24"/>
          <w:szCs w:val="24"/>
          <w:lang w:val="en-GB"/>
        </w:rPr>
      </w:pPr>
      <w:r w:rsidRPr="003C5E53">
        <w:rPr>
          <w:rFonts w:ascii="Cambria" w:hAnsi="Cambria" w:cs="Calibri"/>
          <w:sz w:val="24"/>
          <w:szCs w:val="24"/>
          <w:lang w:val="en-GB"/>
        </w:rPr>
        <w:t>Phase 2 (12-24 months): deploy shared data platform; align permit templates; integrate SPZ/vulnerability layers into local plans in designated hotspots.</w:t>
      </w:r>
    </w:p>
    <w:p w14:paraId="74A592ED" w14:textId="77777777" w:rsidR="006112D9" w:rsidRPr="003C5E53" w:rsidRDefault="006112D9" w:rsidP="006112D9">
      <w:pPr>
        <w:pStyle w:val="Paragraphedeliste"/>
        <w:numPr>
          <w:ilvl w:val="0"/>
          <w:numId w:val="1"/>
        </w:numPr>
        <w:jc w:val="both"/>
        <w:rPr>
          <w:rFonts w:ascii="Cambria" w:hAnsi="Cambria" w:cs="Calibri"/>
          <w:sz w:val="24"/>
          <w:szCs w:val="24"/>
          <w:lang w:val="en-GB"/>
        </w:rPr>
      </w:pPr>
      <w:r w:rsidRPr="003C5E53">
        <w:rPr>
          <w:rFonts w:ascii="Cambria" w:hAnsi="Cambria" w:cs="Calibri"/>
          <w:sz w:val="24"/>
          <w:szCs w:val="24"/>
          <w:lang w:val="en-GB"/>
        </w:rPr>
        <w:t>Phase 3 (24-36 months): adopt cost</w:t>
      </w:r>
      <w:r w:rsidRPr="003C5E53">
        <w:rPr>
          <w:rFonts w:ascii="Cambria" w:hAnsi="Cambria" w:cs="Cambria Math"/>
          <w:sz w:val="24"/>
          <w:szCs w:val="24"/>
          <w:lang w:val="en-GB"/>
        </w:rPr>
        <w:t>‑</w:t>
      </w:r>
      <w:r w:rsidRPr="003C5E53">
        <w:rPr>
          <w:rFonts w:ascii="Cambria" w:hAnsi="Cambria" w:cs="Calibri"/>
          <w:sz w:val="24"/>
          <w:szCs w:val="24"/>
          <w:lang w:val="en-GB"/>
        </w:rPr>
        <w:t>recovery earmarking; publish first joint implementation report.</w:t>
      </w:r>
    </w:p>
    <w:p w14:paraId="0F029127" w14:textId="77777777" w:rsidR="006112D9" w:rsidRPr="003C5E53" w:rsidRDefault="006112D9" w:rsidP="006112D9">
      <w:pPr>
        <w:jc w:val="both"/>
        <w:rPr>
          <w:rFonts w:ascii="Cambria" w:hAnsi="Cambria" w:cs="Calibri"/>
          <w:sz w:val="24"/>
          <w:szCs w:val="24"/>
          <w:lang w:val="en-GB"/>
        </w:rPr>
      </w:pPr>
    </w:p>
    <w:p w14:paraId="70872CCD" w14:textId="77777777" w:rsidR="006112D9" w:rsidRPr="003C5E53" w:rsidRDefault="006112D9" w:rsidP="0000684E">
      <w:pPr>
        <w:pStyle w:val="Titre1"/>
        <w:rPr>
          <w:lang w:val="en-GB"/>
        </w:rPr>
      </w:pPr>
      <w:bookmarkStart w:id="25" w:name="_Toc226579994"/>
      <w:r w:rsidRPr="003C5E53">
        <w:rPr>
          <w:lang w:val="en-GB"/>
        </w:rPr>
        <w:lastRenderedPageBreak/>
        <w:t>9. Risks and Mitigation Measures</w:t>
      </w:r>
      <w:bookmarkEnd w:id="25"/>
      <w:r w:rsidRPr="003C5E53">
        <w:rPr>
          <w:lang w:val="en-GB"/>
        </w:rPr>
        <w:t xml:space="preserve"> </w:t>
      </w:r>
    </w:p>
    <w:p w14:paraId="0CCEB80D" w14:textId="77777777"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The implementation of the proposed amendments may involve several operational and institutional risks, which can be addressed through appropriate mitigation measures.</w:t>
      </w:r>
    </w:p>
    <w:tbl>
      <w:tblPr>
        <w:tblStyle w:val="Grilledutableau"/>
        <w:tblW w:w="0" w:type="auto"/>
        <w:tblLook w:val="04A0" w:firstRow="1" w:lastRow="0" w:firstColumn="1" w:lastColumn="0" w:noHBand="0" w:noVBand="1"/>
      </w:tblPr>
      <w:tblGrid>
        <w:gridCol w:w="3020"/>
        <w:gridCol w:w="3021"/>
        <w:gridCol w:w="3021"/>
      </w:tblGrid>
      <w:tr w:rsidR="006112D9" w:rsidRPr="00EA6A6C" w14:paraId="0E330649" w14:textId="77777777" w:rsidTr="007A4EDD">
        <w:tc>
          <w:tcPr>
            <w:tcW w:w="3116" w:type="dxa"/>
          </w:tcPr>
          <w:p w14:paraId="71777CB2" w14:textId="77777777" w:rsidR="006112D9" w:rsidRPr="00EA6A6C" w:rsidRDefault="006112D9" w:rsidP="007A4EDD">
            <w:pPr>
              <w:jc w:val="both"/>
              <w:rPr>
                <w:rFonts w:ascii="Cambria" w:hAnsi="Cambria"/>
                <w:b/>
                <w:bCs/>
                <w:sz w:val="24"/>
                <w:szCs w:val="24"/>
                <w:lang w:val="en-GB"/>
              </w:rPr>
            </w:pPr>
            <w:r w:rsidRPr="00EA6A6C">
              <w:rPr>
                <w:rStyle w:val="bzpyqfadein"/>
                <w:rFonts w:ascii="Cambria" w:hAnsi="Cambria"/>
                <w:sz w:val="24"/>
                <w:szCs w:val="24"/>
                <w:lang w:val="en-GB"/>
              </w:rPr>
              <w:t>Identified Risk</w:t>
            </w:r>
          </w:p>
        </w:tc>
        <w:tc>
          <w:tcPr>
            <w:tcW w:w="3117" w:type="dxa"/>
          </w:tcPr>
          <w:p w14:paraId="0FF7BECA" w14:textId="77777777" w:rsidR="006112D9" w:rsidRPr="00EA6A6C" w:rsidRDefault="006112D9" w:rsidP="007A4EDD">
            <w:pPr>
              <w:jc w:val="both"/>
              <w:rPr>
                <w:rFonts w:ascii="Cambria" w:hAnsi="Cambria"/>
                <w:b/>
                <w:bCs/>
                <w:sz w:val="24"/>
                <w:szCs w:val="24"/>
                <w:lang w:val="en-GB"/>
              </w:rPr>
            </w:pPr>
            <w:r w:rsidRPr="00EA6A6C">
              <w:rPr>
                <w:rFonts w:ascii="Cambria" w:hAnsi="Cambria"/>
                <w:b/>
                <w:bCs/>
                <w:sz w:val="24"/>
                <w:szCs w:val="24"/>
                <w:lang w:val="en-GB"/>
              </w:rPr>
              <w:t>Description</w:t>
            </w:r>
          </w:p>
        </w:tc>
        <w:tc>
          <w:tcPr>
            <w:tcW w:w="3117" w:type="dxa"/>
          </w:tcPr>
          <w:p w14:paraId="2E5F0441" w14:textId="77777777" w:rsidR="006112D9" w:rsidRPr="00EA6A6C" w:rsidRDefault="006112D9" w:rsidP="007A4EDD">
            <w:pPr>
              <w:jc w:val="both"/>
              <w:rPr>
                <w:rFonts w:ascii="Cambria" w:hAnsi="Cambria"/>
                <w:b/>
                <w:bCs/>
                <w:sz w:val="24"/>
                <w:szCs w:val="24"/>
                <w:lang w:val="en-GB"/>
              </w:rPr>
            </w:pPr>
            <w:r w:rsidRPr="00EA6A6C">
              <w:rPr>
                <w:rFonts w:ascii="Cambria" w:hAnsi="Cambria"/>
                <w:b/>
                <w:bCs/>
                <w:sz w:val="24"/>
                <w:szCs w:val="24"/>
                <w:lang w:val="en-GB"/>
              </w:rPr>
              <w:t>Proposed Mitigation Measures</w:t>
            </w:r>
          </w:p>
        </w:tc>
      </w:tr>
      <w:tr w:rsidR="006112D9" w:rsidRPr="00EA6A6C" w14:paraId="00C247F2" w14:textId="77777777" w:rsidTr="007A4EDD">
        <w:tc>
          <w:tcPr>
            <w:tcW w:w="3116" w:type="dxa"/>
          </w:tcPr>
          <w:p w14:paraId="5684DBBC" w14:textId="77777777" w:rsidR="006112D9" w:rsidRPr="00EA6A6C" w:rsidRDefault="006112D9" w:rsidP="007A4EDD">
            <w:pPr>
              <w:jc w:val="both"/>
              <w:rPr>
                <w:rFonts w:ascii="Cambria" w:hAnsi="Cambria"/>
                <w:sz w:val="24"/>
                <w:szCs w:val="24"/>
                <w:lang w:val="en-GB"/>
              </w:rPr>
            </w:pPr>
            <w:r w:rsidRPr="00EA6A6C">
              <w:rPr>
                <w:rFonts w:ascii="Cambria" w:hAnsi="Cambria"/>
                <w:sz w:val="24"/>
                <w:szCs w:val="24"/>
                <w:lang w:val="en-GB"/>
              </w:rPr>
              <w:t>Institutional fragmentation</w:t>
            </w:r>
          </w:p>
        </w:tc>
        <w:tc>
          <w:tcPr>
            <w:tcW w:w="3117" w:type="dxa"/>
          </w:tcPr>
          <w:p w14:paraId="41EEA47F" w14:textId="77777777" w:rsidR="006112D9" w:rsidRPr="00EA6A6C" w:rsidRDefault="006112D9" w:rsidP="007A4EDD">
            <w:pPr>
              <w:jc w:val="both"/>
              <w:rPr>
                <w:rFonts w:ascii="Cambria" w:hAnsi="Cambria"/>
                <w:sz w:val="24"/>
                <w:szCs w:val="24"/>
                <w:lang w:val="en-GB"/>
              </w:rPr>
            </w:pPr>
            <w:r w:rsidRPr="00EA6A6C">
              <w:rPr>
                <w:rFonts w:ascii="Cambria" w:hAnsi="Cambria"/>
                <w:sz w:val="24"/>
                <w:szCs w:val="24"/>
                <w:lang w:val="en-GB"/>
              </w:rPr>
              <w:t>Responsibilities for groundwater governance are distributed among several institutions at national and local levels, which may lead to coordination gaps and unclear accountability.</w:t>
            </w:r>
          </w:p>
        </w:tc>
        <w:tc>
          <w:tcPr>
            <w:tcW w:w="3117" w:type="dxa"/>
          </w:tcPr>
          <w:p w14:paraId="7B2976DF" w14:textId="77777777" w:rsidR="006112D9" w:rsidRPr="00EA6A6C" w:rsidRDefault="006112D9" w:rsidP="007A4EDD">
            <w:pPr>
              <w:jc w:val="both"/>
              <w:rPr>
                <w:rFonts w:ascii="Cambria" w:hAnsi="Cambria"/>
                <w:sz w:val="24"/>
                <w:szCs w:val="24"/>
                <w:lang w:val="en-GB"/>
              </w:rPr>
            </w:pPr>
            <w:r w:rsidRPr="00EA6A6C">
              <w:rPr>
                <w:rFonts w:ascii="Cambria" w:hAnsi="Cambria"/>
                <w:sz w:val="24"/>
                <w:szCs w:val="24"/>
                <w:lang w:val="en-GB"/>
              </w:rPr>
              <w:t>Establish clear institutional mandates, define reporting lines under the Joint Commission, and create a permanent bilateral technical sub-group for groundwater cooperation.</w:t>
            </w:r>
          </w:p>
        </w:tc>
      </w:tr>
      <w:tr w:rsidR="006112D9" w:rsidRPr="00EA6A6C" w14:paraId="6C6954F2" w14:textId="77777777" w:rsidTr="007A4EDD">
        <w:tc>
          <w:tcPr>
            <w:tcW w:w="3116" w:type="dxa"/>
          </w:tcPr>
          <w:p w14:paraId="384EB700" w14:textId="77777777" w:rsidR="006112D9" w:rsidRPr="00EA6A6C" w:rsidRDefault="006112D9" w:rsidP="007A4EDD">
            <w:pPr>
              <w:jc w:val="both"/>
              <w:rPr>
                <w:rFonts w:ascii="Cambria" w:hAnsi="Cambria"/>
                <w:sz w:val="24"/>
                <w:szCs w:val="24"/>
                <w:lang w:val="en-GB"/>
              </w:rPr>
            </w:pPr>
            <w:r w:rsidRPr="00EA6A6C">
              <w:rPr>
                <w:rFonts w:ascii="Cambria" w:hAnsi="Cambria"/>
                <w:sz w:val="24"/>
                <w:szCs w:val="24"/>
                <w:lang w:val="en-GB"/>
              </w:rPr>
              <w:t>Data incompatibility</w:t>
            </w:r>
          </w:p>
        </w:tc>
        <w:tc>
          <w:tcPr>
            <w:tcW w:w="3117" w:type="dxa"/>
          </w:tcPr>
          <w:p w14:paraId="3ECF5BA9" w14:textId="77777777" w:rsidR="006112D9" w:rsidRPr="00EA6A6C" w:rsidRDefault="006112D9" w:rsidP="007A4EDD">
            <w:pPr>
              <w:jc w:val="both"/>
              <w:rPr>
                <w:rFonts w:ascii="Cambria" w:hAnsi="Cambria"/>
                <w:sz w:val="24"/>
                <w:szCs w:val="24"/>
                <w:lang w:val="en-GB"/>
              </w:rPr>
            </w:pPr>
            <w:r w:rsidRPr="00EA6A6C">
              <w:rPr>
                <w:rFonts w:ascii="Cambria" w:hAnsi="Cambria"/>
                <w:sz w:val="24"/>
                <w:szCs w:val="24"/>
                <w:lang w:val="en-GB"/>
              </w:rPr>
              <w:t>Monitoring systems, methodologies and databases may differ between the two countries, limiting comparability and joint assessment of groundwater status.</w:t>
            </w:r>
          </w:p>
        </w:tc>
        <w:tc>
          <w:tcPr>
            <w:tcW w:w="3117" w:type="dxa"/>
          </w:tcPr>
          <w:p w14:paraId="33FC2D79" w14:textId="77777777" w:rsidR="006112D9" w:rsidRPr="00EA6A6C" w:rsidRDefault="006112D9" w:rsidP="007A4EDD">
            <w:pPr>
              <w:jc w:val="both"/>
              <w:rPr>
                <w:rFonts w:ascii="Cambria" w:hAnsi="Cambria"/>
                <w:sz w:val="24"/>
                <w:szCs w:val="24"/>
                <w:lang w:val="en-GB"/>
              </w:rPr>
            </w:pPr>
            <w:r w:rsidRPr="00EA6A6C">
              <w:rPr>
                <w:rFonts w:ascii="Cambria" w:hAnsi="Cambria"/>
                <w:sz w:val="24"/>
                <w:szCs w:val="24"/>
                <w:lang w:val="en-GB"/>
              </w:rPr>
              <w:t>Adopt a harmonized monitoring parameter list, standardized sampling methodologies, and agreed QA/QC procedures, supported by a shared data exchange platform.</w:t>
            </w:r>
          </w:p>
        </w:tc>
      </w:tr>
      <w:tr w:rsidR="006112D9" w:rsidRPr="00EA6A6C" w14:paraId="30324BFC" w14:textId="77777777" w:rsidTr="007A4EDD">
        <w:tc>
          <w:tcPr>
            <w:tcW w:w="3116" w:type="dxa"/>
          </w:tcPr>
          <w:p w14:paraId="1FECA786" w14:textId="77777777" w:rsidR="006112D9" w:rsidRPr="00EA6A6C" w:rsidRDefault="006112D9" w:rsidP="007A4EDD">
            <w:pPr>
              <w:jc w:val="both"/>
              <w:rPr>
                <w:rFonts w:ascii="Cambria" w:hAnsi="Cambria"/>
                <w:sz w:val="24"/>
                <w:szCs w:val="24"/>
                <w:lang w:val="en-GB"/>
              </w:rPr>
            </w:pPr>
            <w:r w:rsidRPr="00EA6A6C">
              <w:rPr>
                <w:rFonts w:ascii="Cambria" w:hAnsi="Cambria"/>
                <w:sz w:val="24"/>
                <w:szCs w:val="24"/>
                <w:lang w:val="en-GB"/>
              </w:rPr>
              <w:t>Financial constraints</w:t>
            </w:r>
          </w:p>
        </w:tc>
        <w:tc>
          <w:tcPr>
            <w:tcW w:w="3117" w:type="dxa"/>
          </w:tcPr>
          <w:p w14:paraId="54E390D3" w14:textId="77777777" w:rsidR="006112D9" w:rsidRPr="00EA6A6C" w:rsidRDefault="006112D9" w:rsidP="007A4EDD">
            <w:pPr>
              <w:jc w:val="both"/>
              <w:rPr>
                <w:rFonts w:ascii="Cambria" w:hAnsi="Cambria"/>
                <w:sz w:val="24"/>
                <w:szCs w:val="24"/>
                <w:lang w:val="en-GB"/>
              </w:rPr>
            </w:pPr>
            <w:r w:rsidRPr="00EA6A6C">
              <w:rPr>
                <w:rFonts w:ascii="Cambria" w:hAnsi="Cambria"/>
                <w:sz w:val="24"/>
                <w:szCs w:val="24"/>
                <w:lang w:val="en-GB"/>
              </w:rPr>
              <w:t>Implementation of joint monitoring networks, hydrogeological studies and data management systems requires sustained financial resources.</w:t>
            </w:r>
          </w:p>
        </w:tc>
        <w:tc>
          <w:tcPr>
            <w:tcW w:w="3117" w:type="dxa"/>
          </w:tcPr>
          <w:p w14:paraId="3937E3FE" w14:textId="77777777" w:rsidR="006112D9" w:rsidRPr="00EA6A6C" w:rsidRDefault="006112D9" w:rsidP="007A4EDD">
            <w:pPr>
              <w:jc w:val="both"/>
              <w:rPr>
                <w:rFonts w:ascii="Cambria" w:hAnsi="Cambria"/>
                <w:sz w:val="24"/>
                <w:szCs w:val="24"/>
                <w:lang w:val="en-GB"/>
              </w:rPr>
            </w:pPr>
            <w:r w:rsidRPr="00EA6A6C">
              <w:rPr>
                <w:rFonts w:ascii="Cambria" w:hAnsi="Cambria"/>
                <w:sz w:val="24"/>
                <w:szCs w:val="24"/>
                <w:lang w:val="en-GB"/>
              </w:rPr>
              <w:t xml:space="preserve">Apply a phased implementation approach and explore external funding opportunities through EU, IPA, or regional cooperation programmes. </w:t>
            </w:r>
          </w:p>
        </w:tc>
      </w:tr>
      <w:tr w:rsidR="006112D9" w:rsidRPr="00EA6A6C" w14:paraId="5B7B0477" w14:textId="77777777" w:rsidTr="007A4EDD">
        <w:tc>
          <w:tcPr>
            <w:tcW w:w="3116" w:type="dxa"/>
          </w:tcPr>
          <w:p w14:paraId="1499CBAE" w14:textId="77777777" w:rsidR="006112D9" w:rsidRPr="00EA6A6C" w:rsidRDefault="006112D9" w:rsidP="007A4EDD">
            <w:pPr>
              <w:jc w:val="both"/>
              <w:rPr>
                <w:rFonts w:ascii="Cambria" w:hAnsi="Cambria"/>
                <w:sz w:val="24"/>
                <w:szCs w:val="24"/>
                <w:lang w:val="en-GB"/>
              </w:rPr>
            </w:pPr>
            <w:r w:rsidRPr="00EA6A6C">
              <w:rPr>
                <w:rFonts w:ascii="Cambria" w:hAnsi="Cambria"/>
                <w:sz w:val="24"/>
                <w:szCs w:val="24"/>
                <w:lang w:val="en-GB"/>
              </w:rPr>
              <w:t>Political sensitivity</w:t>
            </w:r>
          </w:p>
        </w:tc>
        <w:tc>
          <w:tcPr>
            <w:tcW w:w="3117" w:type="dxa"/>
          </w:tcPr>
          <w:p w14:paraId="6B279079" w14:textId="77777777" w:rsidR="006112D9" w:rsidRPr="00EA6A6C" w:rsidRDefault="006112D9" w:rsidP="007A4EDD">
            <w:pPr>
              <w:jc w:val="both"/>
              <w:rPr>
                <w:rFonts w:ascii="Cambria" w:hAnsi="Cambria"/>
                <w:sz w:val="24"/>
                <w:szCs w:val="24"/>
                <w:lang w:val="en-GB"/>
              </w:rPr>
            </w:pPr>
            <w:r w:rsidRPr="00EA6A6C">
              <w:rPr>
                <w:rFonts w:ascii="Cambria" w:hAnsi="Cambria"/>
                <w:sz w:val="24"/>
                <w:szCs w:val="24"/>
                <w:lang w:val="en-GB"/>
              </w:rPr>
              <w:t>Transboundary water management may occasionally involve political sensitivities, particularly where resource dependency is uneven.</w:t>
            </w:r>
          </w:p>
        </w:tc>
        <w:tc>
          <w:tcPr>
            <w:tcW w:w="3117" w:type="dxa"/>
          </w:tcPr>
          <w:p w14:paraId="67DE6FFC" w14:textId="77777777" w:rsidR="006112D9" w:rsidRPr="00EA6A6C" w:rsidRDefault="006112D9" w:rsidP="007A4EDD">
            <w:pPr>
              <w:jc w:val="both"/>
              <w:rPr>
                <w:rFonts w:ascii="Cambria" w:hAnsi="Cambria"/>
                <w:sz w:val="24"/>
                <w:szCs w:val="24"/>
                <w:lang w:val="en-GB"/>
              </w:rPr>
            </w:pPr>
            <w:r w:rsidRPr="00EA6A6C">
              <w:rPr>
                <w:rFonts w:ascii="Cambria" w:hAnsi="Cambria"/>
                <w:sz w:val="24"/>
                <w:szCs w:val="24"/>
                <w:lang w:val="en-GB"/>
              </w:rPr>
              <w:t>Maintain the process within a technical and expert-driven framework, ensuring transparent communication and regular consultations under the Joint Commission.</w:t>
            </w:r>
          </w:p>
        </w:tc>
      </w:tr>
      <w:tr w:rsidR="006112D9" w:rsidRPr="00EA6A6C" w14:paraId="3CABDB6A" w14:textId="77777777" w:rsidTr="007A4EDD">
        <w:tc>
          <w:tcPr>
            <w:tcW w:w="3116" w:type="dxa"/>
          </w:tcPr>
          <w:p w14:paraId="196734FB" w14:textId="77777777" w:rsidR="006112D9" w:rsidRPr="00EA6A6C" w:rsidRDefault="006112D9" w:rsidP="007A4EDD">
            <w:pPr>
              <w:jc w:val="both"/>
              <w:rPr>
                <w:rFonts w:ascii="Cambria" w:hAnsi="Cambria"/>
                <w:sz w:val="24"/>
                <w:szCs w:val="24"/>
                <w:lang w:val="en-GB"/>
              </w:rPr>
            </w:pPr>
            <w:r w:rsidRPr="00EA6A6C">
              <w:rPr>
                <w:rFonts w:ascii="Cambria" w:hAnsi="Cambria"/>
                <w:sz w:val="24"/>
                <w:szCs w:val="24"/>
                <w:lang w:val="en-GB"/>
              </w:rPr>
              <w:t>Karst hydrogeological uncertainty</w:t>
            </w:r>
          </w:p>
        </w:tc>
        <w:tc>
          <w:tcPr>
            <w:tcW w:w="3117" w:type="dxa"/>
          </w:tcPr>
          <w:p w14:paraId="27683C4E" w14:textId="77777777" w:rsidR="006112D9" w:rsidRPr="00EA6A6C" w:rsidRDefault="006112D9" w:rsidP="007A4EDD">
            <w:pPr>
              <w:jc w:val="both"/>
              <w:rPr>
                <w:rFonts w:ascii="Cambria" w:hAnsi="Cambria"/>
                <w:sz w:val="24"/>
                <w:szCs w:val="24"/>
                <w:lang w:val="en-GB"/>
              </w:rPr>
            </w:pPr>
            <w:r w:rsidRPr="00EA6A6C">
              <w:rPr>
                <w:rFonts w:ascii="Cambria" w:hAnsi="Cambria"/>
                <w:sz w:val="24"/>
                <w:szCs w:val="24"/>
                <w:lang w:val="en-GB"/>
              </w:rPr>
              <w:t>Karst aquifers exhibit complex and sometimes unpredictable flow dynamics, making hydrogeological interpretation and risk prediction challenging.</w:t>
            </w:r>
          </w:p>
        </w:tc>
        <w:tc>
          <w:tcPr>
            <w:tcW w:w="3117" w:type="dxa"/>
          </w:tcPr>
          <w:p w14:paraId="64DE3BE0" w14:textId="77777777" w:rsidR="006112D9" w:rsidRPr="00EA6A6C" w:rsidRDefault="006112D9" w:rsidP="007A4EDD">
            <w:pPr>
              <w:jc w:val="both"/>
              <w:rPr>
                <w:rFonts w:ascii="Cambria" w:hAnsi="Cambria"/>
                <w:sz w:val="24"/>
                <w:szCs w:val="24"/>
                <w:lang w:val="en-GB"/>
              </w:rPr>
            </w:pPr>
            <w:r w:rsidRPr="00EA6A6C">
              <w:rPr>
                <w:rFonts w:ascii="Cambria" w:hAnsi="Cambria"/>
                <w:sz w:val="24"/>
                <w:szCs w:val="24"/>
                <w:lang w:val="en-GB"/>
              </w:rPr>
              <w:t>Apply adaptive management principles, periodically review monitoring networks and conceptual models, and incorporate new scientific data into decision-making processes.</w:t>
            </w:r>
          </w:p>
        </w:tc>
      </w:tr>
    </w:tbl>
    <w:p w14:paraId="280D3F96" w14:textId="77777777" w:rsidR="006112D9" w:rsidRPr="00EA6A6C" w:rsidRDefault="006112D9" w:rsidP="006112D9">
      <w:pPr>
        <w:jc w:val="both"/>
        <w:rPr>
          <w:rFonts w:ascii="Cambria" w:hAnsi="Cambria"/>
          <w:sz w:val="24"/>
          <w:szCs w:val="24"/>
          <w:lang w:val="en-GB"/>
        </w:rPr>
      </w:pPr>
    </w:p>
    <w:p w14:paraId="1F4D1B4F" w14:textId="77777777" w:rsidR="006112D9" w:rsidRPr="00EA6A6C" w:rsidRDefault="006112D9" w:rsidP="006112D9">
      <w:pPr>
        <w:jc w:val="both"/>
        <w:rPr>
          <w:rFonts w:ascii="Cambria" w:hAnsi="Cambria" w:cs="Calibri"/>
          <w:sz w:val="24"/>
          <w:szCs w:val="24"/>
          <w:lang w:val="en-GB"/>
        </w:rPr>
      </w:pPr>
    </w:p>
    <w:p w14:paraId="6C1D79EB" w14:textId="77777777" w:rsidR="006112D9" w:rsidRPr="00EA6A6C" w:rsidRDefault="006112D9" w:rsidP="00EA6A6C">
      <w:pPr>
        <w:pStyle w:val="Titre1"/>
        <w:rPr>
          <w:lang w:val="en-GB"/>
        </w:rPr>
      </w:pPr>
      <w:bookmarkStart w:id="26" w:name="_Toc226579995"/>
      <w:r w:rsidRPr="00EA6A6C">
        <w:rPr>
          <w:lang w:val="en-GB"/>
        </w:rPr>
        <w:t>10. Conclusions and Next Steps</w:t>
      </w:r>
      <w:bookmarkEnd w:id="26"/>
      <w:r w:rsidRPr="00EA6A6C">
        <w:rPr>
          <w:lang w:val="en-GB"/>
        </w:rPr>
        <w:t xml:space="preserve"> </w:t>
      </w:r>
    </w:p>
    <w:p w14:paraId="41DB0C81" w14:textId="378F2190" w:rsidR="006112D9" w:rsidRPr="00EA6A6C" w:rsidRDefault="006112D9" w:rsidP="006112D9">
      <w:pPr>
        <w:jc w:val="both"/>
        <w:rPr>
          <w:rFonts w:ascii="Cambria" w:hAnsi="Cambria"/>
          <w:sz w:val="24"/>
          <w:szCs w:val="24"/>
          <w:lang w:val="en-GB"/>
        </w:rPr>
      </w:pPr>
      <w:r w:rsidRPr="00EA6A6C">
        <w:rPr>
          <w:rFonts w:ascii="Cambria" w:hAnsi="Cambria"/>
          <w:sz w:val="24"/>
          <w:szCs w:val="24"/>
          <w:lang w:val="en-GB"/>
        </w:rPr>
        <w:t xml:space="preserve">The amendment of the 2018 Montenegro-Albania Agreement to explicitly regulate transboundary groundwater is legally justified, technically necessary, and institutionally feasible. It basically needs to explicit the principles from the agreement to practical applicability to transboundary groundwater bodies in general, which afterwards can be detailed for the specific case of </w:t>
      </w:r>
      <w:proofErr w:type="spellStart"/>
      <w:r w:rsidRPr="00EA6A6C">
        <w:rPr>
          <w:rFonts w:ascii="Cambria" w:hAnsi="Cambria"/>
          <w:sz w:val="24"/>
          <w:szCs w:val="24"/>
          <w:lang w:val="en-GB"/>
        </w:rPr>
        <w:t>Cemi</w:t>
      </w:r>
      <w:proofErr w:type="spellEnd"/>
      <w:r w:rsidRPr="00EA6A6C">
        <w:rPr>
          <w:rFonts w:ascii="Cambria" w:hAnsi="Cambria"/>
          <w:sz w:val="24"/>
          <w:szCs w:val="24"/>
          <w:lang w:val="en-GB"/>
        </w:rPr>
        <w:t>/</w:t>
      </w:r>
      <w:proofErr w:type="spellStart"/>
      <w:r w:rsidRPr="00EA6A6C">
        <w:rPr>
          <w:rFonts w:ascii="Cambria" w:hAnsi="Cambria"/>
          <w:sz w:val="24"/>
          <w:szCs w:val="24"/>
          <w:lang w:val="en-GB"/>
        </w:rPr>
        <w:t>Cijevna</w:t>
      </w:r>
      <w:proofErr w:type="spellEnd"/>
      <w:r w:rsidRPr="00EA6A6C">
        <w:rPr>
          <w:rFonts w:ascii="Cambria" w:hAnsi="Cambria"/>
          <w:sz w:val="24"/>
          <w:szCs w:val="24"/>
          <w:lang w:val="en-GB"/>
        </w:rPr>
        <w:t xml:space="preserve"> transboundary water system, probably in t</w:t>
      </w:r>
      <w:r w:rsidR="00984D1D" w:rsidRPr="00EA6A6C">
        <w:rPr>
          <w:rFonts w:ascii="Cambria" w:hAnsi="Cambria"/>
          <w:sz w:val="24"/>
          <w:szCs w:val="24"/>
          <w:lang w:val="en-GB"/>
        </w:rPr>
        <w:t>he</w:t>
      </w:r>
      <w:r w:rsidRPr="00EA6A6C">
        <w:rPr>
          <w:rFonts w:ascii="Cambria" w:hAnsi="Cambria"/>
          <w:sz w:val="24"/>
          <w:szCs w:val="24"/>
          <w:lang w:val="en-GB"/>
        </w:rPr>
        <w:t xml:space="preserve"> Joint Action Plan. The amendments can be adopted in the form of an annex and do not nec</w:t>
      </w:r>
      <w:r w:rsidR="00984D1D" w:rsidRPr="00EA6A6C">
        <w:rPr>
          <w:rFonts w:ascii="Cambria" w:hAnsi="Cambria"/>
          <w:sz w:val="24"/>
          <w:szCs w:val="24"/>
          <w:lang w:val="en-GB"/>
        </w:rPr>
        <w:t>e</w:t>
      </w:r>
      <w:r w:rsidRPr="00EA6A6C">
        <w:rPr>
          <w:rFonts w:ascii="Cambria" w:hAnsi="Cambria"/>
          <w:sz w:val="24"/>
          <w:szCs w:val="24"/>
          <w:lang w:val="en-GB"/>
        </w:rPr>
        <w:t>ss</w:t>
      </w:r>
      <w:r w:rsidR="00984D1D" w:rsidRPr="00EA6A6C">
        <w:rPr>
          <w:rFonts w:ascii="Cambria" w:hAnsi="Cambria"/>
          <w:sz w:val="24"/>
          <w:szCs w:val="24"/>
          <w:lang w:val="en-GB"/>
        </w:rPr>
        <w:t>it</w:t>
      </w:r>
      <w:r w:rsidRPr="00EA6A6C">
        <w:rPr>
          <w:rFonts w:ascii="Cambria" w:hAnsi="Cambria"/>
          <w:sz w:val="24"/>
          <w:szCs w:val="24"/>
          <w:lang w:val="en-GB"/>
        </w:rPr>
        <w:t>ate the revi</w:t>
      </w:r>
      <w:r w:rsidR="00984D1D" w:rsidRPr="00EA6A6C">
        <w:rPr>
          <w:rFonts w:ascii="Cambria" w:hAnsi="Cambria"/>
          <w:sz w:val="24"/>
          <w:szCs w:val="24"/>
          <w:lang w:val="en-GB"/>
        </w:rPr>
        <w:t>s</w:t>
      </w:r>
      <w:r w:rsidRPr="00EA6A6C">
        <w:rPr>
          <w:rFonts w:ascii="Cambria" w:hAnsi="Cambria"/>
          <w:sz w:val="24"/>
          <w:szCs w:val="24"/>
          <w:lang w:val="en-GB"/>
        </w:rPr>
        <w:t xml:space="preserve">ion of the Agreement. </w:t>
      </w:r>
    </w:p>
    <w:p w14:paraId="0B7B8C81" w14:textId="77777777" w:rsidR="006112D9" w:rsidRPr="00EA6A6C" w:rsidRDefault="006112D9" w:rsidP="006112D9">
      <w:pPr>
        <w:jc w:val="both"/>
        <w:rPr>
          <w:rFonts w:ascii="Cambria" w:hAnsi="Cambria" w:cs="Calibri"/>
          <w:sz w:val="24"/>
          <w:szCs w:val="24"/>
          <w:lang w:val="en-GB"/>
        </w:rPr>
      </w:pPr>
    </w:p>
    <w:p w14:paraId="34DA25BC" w14:textId="77777777" w:rsidR="003D6345" w:rsidRDefault="003D6345"/>
    <w:sectPr w:rsidR="003D6345" w:rsidSect="00EA6A6C">
      <w:headerReference w:type="default" r:id="rId16"/>
      <w:footerReference w:type="default" r:id="rId17"/>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D3B9A" w14:textId="77777777" w:rsidR="00997BA1" w:rsidRDefault="00997BA1" w:rsidP="006112D9">
      <w:pPr>
        <w:spacing w:after="0" w:line="240" w:lineRule="auto"/>
      </w:pPr>
      <w:r>
        <w:separator/>
      </w:r>
    </w:p>
  </w:endnote>
  <w:endnote w:type="continuationSeparator" w:id="0">
    <w:p w14:paraId="7264AB52" w14:textId="77777777" w:rsidR="00997BA1" w:rsidRDefault="00997BA1" w:rsidP="006112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Open Sans">
    <w:panose1 w:val="020B0604020202020204"/>
    <w:charset w:val="00"/>
    <w:family w:val="swiss"/>
    <w:pitch w:val="variable"/>
    <w:sig w:usb0="E00002EF" w:usb1="4000205B" w:usb2="00000028"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1D044" w14:textId="6CAF49B4" w:rsidR="00F1178D" w:rsidRDefault="00F1178D">
    <w:pPr>
      <w:pStyle w:val="Pieddepage"/>
      <w:jc w:val="right"/>
    </w:pPr>
  </w:p>
  <w:p w14:paraId="5DEA43A7" w14:textId="77777777" w:rsidR="00EA6A6C" w:rsidRDefault="00EA6A6C">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995944"/>
      <w:docPartObj>
        <w:docPartGallery w:val="Page Numbers (Bottom of Page)"/>
        <w:docPartUnique/>
      </w:docPartObj>
    </w:sdtPr>
    <w:sdtContent>
      <w:p w14:paraId="1DD32D41" w14:textId="05326B37" w:rsidR="00F1178D" w:rsidRDefault="00F1178D">
        <w:pPr>
          <w:pStyle w:val="Pieddepage"/>
          <w:jc w:val="right"/>
        </w:pPr>
        <w:r>
          <w:fldChar w:fldCharType="begin"/>
        </w:r>
        <w:r>
          <w:instrText>PAGE   \* MERGEFORMAT</w:instrText>
        </w:r>
        <w:r>
          <w:fldChar w:fldCharType="separate"/>
        </w:r>
        <w:r>
          <w:rPr>
            <w:lang w:val="hr-HR"/>
          </w:rPr>
          <w:t>2</w:t>
        </w:r>
        <w:r>
          <w:fldChar w:fldCharType="end"/>
        </w:r>
      </w:p>
    </w:sdtContent>
  </w:sdt>
  <w:p w14:paraId="125C8935" w14:textId="77777777" w:rsidR="00F1178D" w:rsidRDefault="00F1178D">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82E52" w14:textId="77777777" w:rsidR="00997BA1" w:rsidRDefault="00997BA1" w:rsidP="006112D9">
      <w:pPr>
        <w:spacing w:after="0" w:line="240" w:lineRule="auto"/>
      </w:pPr>
      <w:r>
        <w:separator/>
      </w:r>
    </w:p>
  </w:footnote>
  <w:footnote w:type="continuationSeparator" w:id="0">
    <w:p w14:paraId="14B1A0C5" w14:textId="77777777" w:rsidR="00997BA1" w:rsidRDefault="00997BA1" w:rsidP="006112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7AA9E" w14:textId="1F6AA33D" w:rsidR="006112D9" w:rsidRDefault="006112D9" w:rsidP="00F1178D">
    <w:pPr>
      <w:pStyle w:val="En-tte"/>
      <w:tabs>
        <w:tab w:val="clear" w:pos="4536"/>
        <w:tab w:val="clear" w:pos="9072"/>
        <w:tab w:val="left" w:pos="3683"/>
      </w:tabs>
    </w:pPr>
    <w:r w:rsidRPr="00E36ECF">
      <w:rPr>
        <w:noProof/>
        <w:lang w:val="en-US"/>
      </w:rPr>
      <w:drawing>
        <wp:anchor distT="0" distB="0" distL="114300" distR="114300" simplePos="0" relativeHeight="251659264" behindDoc="0" locked="0" layoutInCell="1" allowOverlap="1" wp14:anchorId="1D5EDE59" wp14:editId="71BD0760">
          <wp:simplePos x="0" y="0"/>
          <wp:positionH relativeFrom="column">
            <wp:posOffset>-219456</wp:posOffset>
          </wp:positionH>
          <wp:positionV relativeFrom="paragraph">
            <wp:posOffset>-247523</wp:posOffset>
          </wp:positionV>
          <wp:extent cx="1099997" cy="619125"/>
          <wp:effectExtent l="0" t="0" r="5080" b="0"/>
          <wp:wrapNone/>
          <wp:docPr id="7913852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099997" cy="619125"/>
                  </a:xfrm>
                  <a:prstGeom prst="rect">
                    <a:avLst/>
                  </a:prstGeom>
                </pic:spPr>
              </pic:pic>
            </a:graphicData>
          </a:graphic>
        </wp:anchor>
      </w:drawing>
    </w:r>
    <w:r w:rsidR="00F1178D">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BE6B6" w14:textId="77777777" w:rsidR="00F1178D" w:rsidRDefault="00F1178D" w:rsidP="00F1178D">
    <w:pPr>
      <w:pStyle w:val="En-tte"/>
      <w:tabs>
        <w:tab w:val="clear" w:pos="4536"/>
        <w:tab w:val="clear" w:pos="9072"/>
        <w:tab w:val="left" w:pos="3683"/>
      </w:tabs>
    </w:pPr>
    <w:r w:rsidRPr="00E36ECF">
      <w:rPr>
        <w:noProof/>
        <w:lang w:val="en-US"/>
      </w:rPr>
      <w:drawing>
        <wp:anchor distT="0" distB="0" distL="114300" distR="114300" simplePos="0" relativeHeight="251661312" behindDoc="0" locked="0" layoutInCell="1" allowOverlap="1" wp14:anchorId="5D7E7C34" wp14:editId="586FB78C">
          <wp:simplePos x="0" y="0"/>
          <wp:positionH relativeFrom="column">
            <wp:posOffset>-219456</wp:posOffset>
          </wp:positionH>
          <wp:positionV relativeFrom="paragraph">
            <wp:posOffset>-247523</wp:posOffset>
          </wp:positionV>
          <wp:extent cx="1099997" cy="619125"/>
          <wp:effectExtent l="0" t="0" r="5080" b="0"/>
          <wp:wrapNone/>
          <wp:docPr id="2077061812" name="Picture 207706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099997" cy="619125"/>
                  </a:xfrm>
                  <a:prstGeom prst="rect">
                    <a:avLst/>
                  </a:prstGeom>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81451"/>
    <w:multiLevelType w:val="multilevel"/>
    <w:tmpl w:val="32542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C25380"/>
    <w:multiLevelType w:val="multilevel"/>
    <w:tmpl w:val="455C4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56732"/>
    <w:multiLevelType w:val="multilevel"/>
    <w:tmpl w:val="87DC8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B2102"/>
    <w:multiLevelType w:val="multilevel"/>
    <w:tmpl w:val="FB442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A4350D"/>
    <w:multiLevelType w:val="multilevel"/>
    <w:tmpl w:val="01E88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463C2E"/>
    <w:multiLevelType w:val="multilevel"/>
    <w:tmpl w:val="C9267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DC69D6"/>
    <w:multiLevelType w:val="multilevel"/>
    <w:tmpl w:val="0D864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250A71"/>
    <w:multiLevelType w:val="multilevel"/>
    <w:tmpl w:val="98FC8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D67E9B"/>
    <w:multiLevelType w:val="multilevel"/>
    <w:tmpl w:val="B90EF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A111F0"/>
    <w:multiLevelType w:val="multilevel"/>
    <w:tmpl w:val="8EF01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060002"/>
    <w:multiLevelType w:val="multilevel"/>
    <w:tmpl w:val="F9E8E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EA60E3"/>
    <w:multiLevelType w:val="multilevel"/>
    <w:tmpl w:val="6200F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C66DB0"/>
    <w:multiLevelType w:val="multilevel"/>
    <w:tmpl w:val="97507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B83721"/>
    <w:multiLevelType w:val="hybridMultilevel"/>
    <w:tmpl w:val="57502B9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43892D86"/>
    <w:multiLevelType w:val="multilevel"/>
    <w:tmpl w:val="586EE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7742B8"/>
    <w:multiLevelType w:val="multilevel"/>
    <w:tmpl w:val="B9CEC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6D3F4F"/>
    <w:multiLevelType w:val="multilevel"/>
    <w:tmpl w:val="E66AE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5E3722"/>
    <w:multiLevelType w:val="multilevel"/>
    <w:tmpl w:val="A8A2B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365B41"/>
    <w:multiLevelType w:val="hybridMultilevel"/>
    <w:tmpl w:val="C610F002"/>
    <w:lvl w:ilvl="0" w:tplc="7F880A8A">
      <w:start w:val="2026"/>
      <w:numFmt w:val="bullet"/>
      <w:lvlText w:val="-"/>
      <w:lvlJc w:val="left"/>
      <w:pPr>
        <w:ind w:left="720" w:hanging="360"/>
      </w:pPr>
      <w:rPr>
        <w:rFonts w:ascii="Cambria" w:eastAsia="Times New Roman"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6D8C6A40"/>
    <w:multiLevelType w:val="multilevel"/>
    <w:tmpl w:val="F1E81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BC3F7A"/>
    <w:multiLevelType w:val="multilevel"/>
    <w:tmpl w:val="D6925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4B87744"/>
    <w:multiLevelType w:val="multilevel"/>
    <w:tmpl w:val="9E661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4040175">
    <w:abstractNumId w:val="13"/>
  </w:num>
  <w:num w:numId="2" w16cid:durableId="63720320">
    <w:abstractNumId w:val="1"/>
  </w:num>
  <w:num w:numId="3" w16cid:durableId="835801076">
    <w:abstractNumId w:val="14"/>
  </w:num>
  <w:num w:numId="4" w16cid:durableId="262689099">
    <w:abstractNumId w:val="6"/>
  </w:num>
  <w:num w:numId="5" w16cid:durableId="567035312">
    <w:abstractNumId w:val="0"/>
  </w:num>
  <w:num w:numId="6" w16cid:durableId="1741829053">
    <w:abstractNumId w:val="19"/>
  </w:num>
  <w:num w:numId="7" w16cid:durableId="2092316699">
    <w:abstractNumId w:val="17"/>
  </w:num>
  <w:num w:numId="8" w16cid:durableId="845288824">
    <w:abstractNumId w:val="20"/>
  </w:num>
  <w:num w:numId="9" w16cid:durableId="887257596">
    <w:abstractNumId w:val="8"/>
  </w:num>
  <w:num w:numId="10" w16cid:durableId="1454129418">
    <w:abstractNumId w:val="3"/>
  </w:num>
  <w:num w:numId="11" w16cid:durableId="1707169967">
    <w:abstractNumId w:val="11"/>
  </w:num>
  <w:num w:numId="12" w16cid:durableId="90667732">
    <w:abstractNumId w:val="9"/>
  </w:num>
  <w:num w:numId="13" w16cid:durableId="1115052861">
    <w:abstractNumId w:val="12"/>
  </w:num>
  <w:num w:numId="14" w16cid:durableId="1031995714">
    <w:abstractNumId w:val="16"/>
  </w:num>
  <w:num w:numId="15" w16cid:durableId="36442495">
    <w:abstractNumId w:val="15"/>
  </w:num>
  <w:num w:numId="16" w16cid:durableId="277025598">
    <w:abstractNumId w:val="7"/>
  </w:num>
  <w:num w:numId="17" w16cid:durableId="240723882">
    <w:abstractNumId w:val="5"/>
  </w:num>
  <w:num w:numId="18" w16cid:durableId="329800279">
    <w:abstractNumId w:val="21"/>
  </w:num>
  <w:num w:numId="19" w16cid:durableId="1316295591">
    <w:abstractNumId w:val="10"/>
  </w:num>
  <w:num w:numId="20" w16cid:durableId="1001935679">
    <w:abstractNumId w:val="4"/>
  </w:num>
  <w:num w:numId="21" w16cid:durableId="1725106805">
    <w:abstractNumId w:val="2"/>
  </w:num>
  <w:num w:numId="22" w16cid:durableId="147352389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C81"/>
    <w:rsid w:val="0000684E"/>
    <w:rsid w:val="000947B2"/>
    <w:rsid w:val="000A27F0"/>
    <w:rsid w:val="000A67C7"/>
    <w:rsid w:val="000B7AF4"/>
    <w:rsid w:val="001208E1"/>
    <w:rsid w:val="001C2D29"/>
    <w:rsid w:val="003552C5"/>
    <w:rsid w:val="0037440C"/>
    <w:rsid w:val="003929A4"/>
    <w:rsid w:val="003A2CCA"/>
    <w:rsid w:val="003D6345"/>
    <w:rsid w:val="00414482"/>
    <w:rsid w:val="00425DF3"/>
    <w:rsid w:val="004D584D"/>
    <w:rsid w:val="006112D9"/>
    <w:rsid w:val="006377DC"/>
    <w:rsid w:val="00697272"/>
    <w:rsid w:val="006D3375"/>
    <w:rsid w:val="007224F7"/>
    <w:rsid w:val="00747797"/>
    <w:rsid w:val="007A294C"/>
    <w:rsid w:val="00811397"/>
    <w:rsid w:val="0083247D"/>
    <w:rsid w:val="009331A6"/>
    <w:rsid w:val="00946AC3"/>
    <w:rsid w:val="00984D1D"/>
    <w:rsid w:val="00997BA1"/>
    <w:rsid w:val="009F2D32"/>
    <w:rsid w:val="00A3346C"/>
    <w:rsid w:val="00A418C0"/>
    <w:rsid w:val="00A82DDA"/>
    <w:rsid w:val="00AB0ADB"/>
    <w:rsid w:val="00B1111B"/>
    <w:rsid w:val="00B94B23"/>
    <w:rsid w:val="00BB73CA"/>
    <w:rsid w:val="00BD72D9"/>
    <w:rsid w:val="00C41E03"/>
    <w:rsid w:val="00D62CF6"/>
    <w:rsid w:val="00D94EBF"/>
    <w:rsid w:val="00DC5062"/>
    <w:rsid w:val="00E01158"/>
    <w:rsid w:val="00E01BEB"/>
    <w:rsid w:val="00EA6A6C"/>
    <w:rsid w:val="00EC6C81"/>
    <w:rsid w:val="00F1178D"/>
    <w:rsid w:val="00F469F8"/>
    <w:rsid w:val="00FD175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15B91A"/>
  <w15:chartTrackingRefBased/>
  <w15:docId w15:val="{07A5AE3B-FDBB-264F-A465-6316F37D7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C81"/>
    <w:pPr>
      <w:spacing w:line="259" w:lineRule="auto"/>
    </w:pPr>
    <w:rPr>
      <w:kern w:val="0"/>
      <w:sz w:val="22"/>
      <w:szCs w:val="22"/>
      <w:lang w:val="sr-Latn-RS"/>
      <w14:ligatures w14:val="none"/>
    </w:rPr>
  </w:style>
  <w:style w:type="paragraph" w:styleId="Titre1">
    <w:name w:val="heading 1"/>
    <w:basedOn w:val="Normal"/>
    <w:next w:val="Normal"/>
    <w:link w:val="Titre1Car"/>
    <w:uiPriority w:val="9"/>
    <w:qFormat/>
    <w:rsid w:val="00EC6C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unhideWhenUsed/>
    <w:qFormat/>
    <w:rsid w:val="00EC6C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unhideWhenUsed/>
    <w:qFormat/>
    <w:rsid w:val="00EC6C81"/>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EC6C81"/>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EC6C81"/>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EC6C81"/>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EC6C81"/>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EC6C81"/>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EC6C81"/>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C6C81"/>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rsid w:val="00EC6C81"/>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rsid w:val="00EC6C81"/>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EC6C81"/>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EC6C81"/>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EC6C81"/>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EC6C81"/>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EC6C81"/>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EC6C81"/>
    <w:rPr>
      <w:rFonts w:eastAsiaTheme="majorEastAsia" w:cstheme="majorBidi"/>
      <w:color w:val="272727" w:themeColor="text1" w:themeTint="D8"/>
    </w:rPr>
  </w:style>
  <w:style w:type="paragraph" w:styleId="Titre">
    <w:name w:val="Title"/>
    <w:basedOn w:val="Normal"/>
    <w:next w:val="Normal"/>
    <w:link w:val="TitreCar"/>
    <w:uiPriority w:val="10"/>
    <w:qFormat/>
    <w:rsid w:val="00EC6C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EC6C81"/>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EC6C81"/>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EC6C81"/>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EC6C81"/>
    <w:pPr>
      <w:spacing w:before="160"/>
      <w:jc w:val="center"/>
    </w:pPr>
    <w:rPr>
      <w:i/>
      <w:iCs/>
      <w:color w:val="404040" w:themeColor="text1" w:themeTint="BF"/>
    </w:rPr>
  </w:style>
  <w:style w:type="character" w:customStyle="1" w:styleId="CitationCar">
    <w:name w:val="Citation Car"/>
    <w:basedOn w:val="Policepardfaut"/>
    <w:link w:val="Citation"/>
    <w:uiPriority w:val="29"/>
    <w:rsid w:val="00EC6C81"/>
    <w:rPr>
      <w:i/>
      <w:iCs/>
      <w:color w:val="404040" w:themeColor="text1" w:themeTint="BF"/>
    </w:rPr>
  </w:style>
  <w:style w:type="paragraph" w:styleId="Paragraphedeliste">
    <w:name w:val="List Paragraph"/>
    <w:basedOn w:val="Normal"/>
    <w:uiPriority w:val="34"/>
    <w:qFormat/>
    <w:rsid w:val="00EC6C81"/>
    <w:pPr>
      <w:ind w:left="720"/>
      <w:contextualSpacing/>
    </w:pPr>
  </w:style>
  <w:style w:type="character" w:styleId="Accentuationintense">
    <w:name w:val="Intense Emphasis"/>
    <w:basedOn w:val="Policepardfaut"/>
    <w:uiPriority w:val="21"/>
    <w:qFormat/>
    <w:rsid w:val="00EC6C81"/>
    <w:rPr>
      <w:i/>
      <w:iCs/>
      <w:color w:val="0F4761" w:themeColor="accent1" w:themeShade="BF"/>
    </w:rPr>
  </w:style>
  <w:style w:type="paragraph" w:styleId="Citationintense">
    <w:name w:val="Intense Quote"/>
    <w:basedOn w:val="Normal"/>
    <w:next w:val="Normal"/>
    <w:link w:val="CitationintenseCar"/>
    <w:uiPriority w:val="30"/>
    <w:qFormat/>
    <w:rsid w:val="00EC6C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EC6C81"/>
    <w:rPr>
      <w:i/>
      <w:iCs/>
      <w:color w:val="0F4761" w:themeColor="accent1" w:themeShade="BF"/>
    </w:rPr>
  </w:style>
  <w:style w:type="character" w:styleId="Rfrenceintense">
    <w:name w:val="Intense Reference"/>
    <w:basedOn w:val="Policepardfaut"/>
    <w:uiPriority w:val="32"/>
    <w:qFormat/>
    <w:rsid w:val="00EC6C81"/>
    <w:rPr>
      <w:b/>
      <w:bCs/>
      <w:smallCaps/>
      <w:color w:val="0F4761" w:themeColor="accent1" w:themeShade="BF"/>
      <w:spacing w:val="5"/>
    </w:rPr>
  </w:style>
  <w:style w:type="paragraph" w:customStyle="1" w:styleId="Default">
    <w:name w:val="Default"/>
    <w:rsid w:val="00EC6C81"/>
    <w:pPr>
      <w:autoSpaceDE w:val="0"/>
      <w:autoSpaceDN w:val="0"/>
      <w:adjustRightInd w:val="0"/>
      <w:spacing w:after="0" w:line="240" w:lineRule="auto"/>
    </w:pPr>
    <w:rPr>
      <w:rFonts w:ascii="Cambria" w:hAnsi="Cambria" w:cs="Cambria"/>
      <w:color w:val="000000"/>
      <w:kern w:val="0"/>
      <w:lang w:val="sr-Latn-RS"/>
      <w14:ligatures w14:val="none"/>
    </w:rPr>
  </w:style>
  <w:style w:type="character" w:styleId="Lienhypertexte">
    <w:name w:val="Hyperlink"/>
    <w:basedOn w:val="Policepardfaut"/>
    <w:uiPriority w:val="99"/>
    <w:unhideWhenUsed/>
    <w:rsid w:val="006112D9"/>
    <w:rPr>
      <w:color w:val="467886" w:themeColor="hyperlink"/>
      <w:u w:val="single"/>
    </w:rPr>
  </w:style>
  <w:style w:type="character" w:styleId="Marquedecommentaire">
    <w:name w:val="annotation reference"/>
    <w:basedOn w:val="Policepardfaut"/>
    <w:uiPriority w:val="99"/>
    <w:semiHidden/>
    <w:unhideWhenUsed/>
    <w:rsid w:val="006112D9"/>
    <w:rPr>
      <w:sz w:val="16"/>
      <w:szCs w:val="16"/>
    </w:rPr>
  </w:style>
  <w:style w:type="paragraph" w:styleId="Commentaire">
    <w:name w:val="annotation text"/>
    <w:basedOn w:val="Normal"/>
    <w:link w:val="CommentaireCar"/>
    <w:uiPriority w:val="99"/>
    <w:semiHidden/>
    <w:unhideWhenUsed/>
    <w:rsid w:val="006112D9"/>
    <w:pPr>
      <w:spacing w:line="240" w:lineRule="auto"/>
    </w:pPr>
    <w:rPr>
      <w:kern w:val="2"/>
      <w:sz w:val="20"/>
      <w:szCs w:val="20"/>
      <w:lang w:val="hr-HR"/>
      <w14:ligatures w14:val="standardContextual"/>
    </w:rPr>
  </w:style>
  <w:style w:type="character" w:customStyle="1" w:styleId="CommentaireCar">
    <w:name w:val="Commentaire Car"/>
    <w:basedOn w:val="Policepardfaut"/>
    <w:link w:val="Commentaire"/>
    <w:uiPriority w:val="99"/>
    <w:semiHidden/>
    <w:rsid w:val="006112D9"/>
    <w:rPr>
      <w:sz w:val="20"/>
      <w:szCs w:val="20"/>
      <w:lang w:val="hr-HR"/>
    </w:rPr>
  </w:style>
  <w:style w:type="table" w:styleId="Grilledutableau">
    <w:name w:val="Table Grid"/>
    <w:basedOn w:val="TableauNormal"/>
    <w:uiPriority w:val="39"/>
    <w:rsid w:val="006112D9"/>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zpyqfadein">
    <w:name w:val="bz_pyq_fadein"/>
    <w:basedOn w:val="Policepardfaut"/>
    <w:rsid w:val="006112D9"/>
  </w:style>
  <w:style w:type="paragraph" w:styleId="En-tte">
    <w:name w:val="header"/>
    <w:basedOn w:val="Normal"/>
    <w:link w:val="En-tteCar"/>
    <w:uiPriority w:val="99"/>
    <w:unhideWhenUsed/>
    <w:rsid w:val="006112D9"/>
    <w:pPr>
      <w:tabs>
        <w:tab w:val="center" w:pos="4536"/>
        <w:tab w:val="right" w:pos="9072"/>
      </w:tabs>
      <w:spacing w:after="0" w:line="240" w:lineRule="auto"/>
    </w:pPr>
  </w:style>
  <w:style w:type="character" w:customStyle="1" w:styleId="En-tteCar">
    <w:name w:val="En-tête Car"/>
    <w:basedOn w:val="Policepardfaut"/>
    <w:link w:val="En-tte"/>
    <w:uiPriority w:val="99"/>
    <w:rsid w:val="006112D9"/>
    <w:rPr>
      <w:kern w:val="0"/>
      <w:sz w:val="22"/>
      <w:szCs w:val="22"/>
      <w:lang w:val="sr-Latn-RS"/>
      <w14:ligatures w14:val="none"/>
    </w:rPr>
  </w:style>
  <w:style w:type="paragraph" w:styleId="Pieddepage">
    <w:name w:val="footer"/>
    <w:basedOn w:val="Normal"/>
    <w:link w:val="PieddepageCar"/>
    <w:uiPriority w:val="99"/>
    <w:unhideWhenUsed/>
    <w:rsid w:val="006112D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112D9"/>
    <w:rPr>
      <w:kern w:val="0"/>
      <w:sz w:val="22"/>
      <w:szCs w:val="22"/>
      <w:lang w:val="sr-Latn-RS"/>
      <w14:ligatures w14:val="none"/>
    </w:rPr>
  </w:style>
  <w:style w:type="paragraph" w:styleId="Rvision">
    <w:name w:val="Revision"/>
    <w:hidden/>
    <w:uiPriority w:val="99"/>
    <w:semiHidden/>
    <w:rsid w:val="006D3375"/>
    <w:pPr>
      <w:spacing w:after="0" w:line="240" w:lineRule="auto"/>
    </w:pPr>
    <w:rPr>
      <w:kern w:val="0"/>
      <w:sz w:val="22"/>
      <w:szCs w:val="22"/>
      <w:lang w:val="sr-Latn-RS"/>
      <w14:ligatures w14:val="none"/>
    </w:rPr>
  </w:style>
  <w:style w:type="paragraph" w:styleId="NormalWeb">
    <w:name w:val="Normal (Web)"/>
    <w:basedOn w:val="Normal"/>
    <w:uiPriority w:val="99"/>
    <w:semiHidden/>
    <w:unhideWhenUsed/>
    <w:rsid w:val="007224F7"/>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styleId="Objetducommentaire">
    <w:name w:val="annotation subject"/>
    <w:basedOn w:val="Commentaire"/>
    <w:next w:val="Commentaire"/>
    <w:link w:val="ObjetducommentaireCar"/>
    <w:uiPriority w:val="99"/>
    <w:semiHidden/>
    <w:unhideWhenUsed/>
    <w:rsid w:val="000A67C7"/>
    <w:rPr>
      <w:b/>
      <w:bCs/>
      <w:kern w:val="0"/>
      <w:lang w:val="sr-Latn-RS"/>
      <w14:ligatures w14:val="none"/>
    </w:rPr>
  </w:style>
  <w:style w:type="character" w:customStyle="1" w:styleId="ObjetducommentaireCar">
    <w:name w:val="Objet du commentaire Car"/>
    <w:basedOn w:val="CommentaireCar"/>
    <w:link w:val="Objetducommentaire"/>
    <w:uiPriority w:val="99"/>
    <w:semiHidden/>
    <w:rsid w:val="000A67C7"/>
    <w:rPr>
      <w:b/>
      <w:bCs/>
      <w:kern w:val="0"/>
      <w:sz w:val="20"/>
      <w:szCs w:val="20"/>
      <w:lang w:val="sr-Latn-RS"/>
      <w14:ligatures w14:val="none"/>
    </w:rPr>
  </w:style>
  <w:style w:type="paragraph" w:styleId="TM1">
    <w:name w:val="toc 1"/>
    <w:basedOn w:val="Normal"/>
    <w:next w:val="Normal"/>
    <w:autoRedefine/>
    <w:uiPriority w:val="39"/>
    <w:unhideWhenUsed/>
    <w:rsid w:val="00A82DDA"/>
    <w:pPr>
      <w:spacing w:before="120" w:after="120"/>
    </w:pPr>
    <w:rPr>
      <w:b/>
      <w:bCs/>
      <w:caps/>
      <w:sz w:val="20"/>
      <w:szCs w:val="20"/>
    </w:rPr>
  </w:style>
  <w:style w:type="paragraph" w:styleId="TM2">
    <w:name w:val="toc 2"/>
    <w:basedOn w:val="Normal"/>
    <w:next w:val="Normal"/>
    <w:autoRedefine/>
    <w:uiPriority w:val="39"/>
    <w:unhideWhenUsed/>
    <w:rsid w:val="00A82DDA"/>
    <w:pPr>
      <w:spacing w:after="0"/>
      <w:ind w:left="220"/>
    </w:pPr>
    <w:rPr>
      <w:smallCaps/>
      <w:sz w:val="20"/>
      <w:szCs w:val="20"/>
    </w:rPr>
  </w:style>
  <w:style w:type="paragraph" w:styleId="TM3">
    <w:name w:val="toc 3"/>
    <w:basedOn w:val="Normal"/>
    <w:next w:val="Normal"/>
    <w:autoRedefine/>
    <w:uiPriority w:val="39"/>
    <w:unhideWhenUsed/>
    <w:rsid w:val="00A82DDA"/>
    <w:pPr>
      <w:spacing w:after="0"/>
      <w:ind w:left="440"/>
    </w:pPr>
    <w:rPr>
      <w:i/>
      <w:iCs/>
      <w:sz w:val="20"/>
      <w:szCs w:val="20"/>
    </w:rPr>
  </w:style>
  <w:style w:type="paragraph" w:styleId="TM4">
    <w:name w:val="toc 4"/>
    <w:basedOn w:val="Normal"/>
    <w:next w:val="Normal"/>
    <w:autoRedefine/>
    <w:uiPriority w:val="39"/>
    <w:unhideWhenUsed/>
    <w:rsid w:val="00A82DDA"/>
    <w:pPr>
      <w:spacing w:after="0"/>
      <w:ind w:left="660"/>
    </w:pPr>
    <w:rPr>
      <w:sz w:val="18"/>
      <w:szCs w:val="18"/>
    </w:rPr>
  </w:style>
  <w:style w:type="paragraph" w:styleId="TM5">
    <w:name w:val="toc 5"/>
    <w:basedOn w:val="Normal"/>
    <w:next w:val="Normal"/>
    <w:autoRedefine/>
    <w:uiPriority w:val="39"/>
    <w:unhideWhenUsed/>
    <w:rsid w:val="00A82DDA"/>
    <w:pPr>
      <w:spacing w:after="0"/>
      <w:ind w:left="880"/>
    </w:pPr>
    <w:rPr>
      <w:sz w:val="18"/>
      <w:szCs w:val="18"/>
    </w:rPr>
  </w:style>
  <w:style w:type="paragraph" w:styleId="TM6">
    <w:name w:val="toc 6"/>
    <w:basedOn w:val="Normal"/>
    <w:next w:val="Normal"/>
    <w:autoRedefine/>
    <w:uiPriority w:val="39"/>
    <w:unhideWhenUsed/>
    <w:rsid w:val="00A82DDA"/>
    <w:pPr>
      <w:spacing w:after="0"/>
      <w:ind w:left="1100"/>
    </w:pPr>
    <w:rPr>
      <w:sz w:val="18"/>
      <w:szCs w:val="18"/>
    </w:rPr>
  </w:style>
  <w:style w:type="paragraph" w:styleId="TM7">
    <w:name w:val="toc 7"/>
    <w:basedOn w:val="Normal"/>
    <w:next w:val="Normal"/>
    <w:autoRedefine/>
    <w:uiPriority w:val="39"/>
    <w:unhideWhenUsed/>
    <w:rsid w:val="00A82DDA"/>
    <w:pPr>
      <w:spacing w:after="0"/>
      <w:ind w:left="1320"/>
    </w:pPr>
    <w:rPr>
      <w:sz w:val="18"/>
      <w:szCs w:val="18"/>
    </w:rPr>
  </w:style>
  <w:style w:type="paragraph" w:styleId="TM8">
    <w:name w:val="toc 8"/>
    <w:basedOn w:val="Normal"/>
    <w:next w:val="Normal"/>
    <w:autoRedefine/>
    <w:uiPriority w:val="39"/>
    <w:unhideWhenUsed/>
    <w:rsid w:val="00A82DDA"/>
    <w:pPr>
      <w:spacing w:after="0"/>
      <w:ind w:left="1540"/>
    </w:pPr>
    <w:rPr>
      <w:sz w:val="18"/>
      <w:szCs w:val="18"/>
    </w:rPr>
  </w:style>
  <w:style w:type="paragraph" w:styleId="TM9">
    <w:name w:val="toc 9"/>
    <w:basedOn w:val="Normal"/>
    <w:next w:val="Normal"/>
    <w:autoRedefine/>
    <w:uiPriority w:val="39"/>
    <w:unhideWhenUsed/>
    <w:rsid w:val="00A82DDA"/>
    <w:pPr>
      <w:spacing w:after="0"/>
      <w:ind w:left="1760"/>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unece.org/media/news/378068"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131101-CC81-7544-93DF-073680861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6448</Words>
  <Characters>34244</Characters>
  <Application>Microsoft Office Word</Application>
  <DocSecurity>0</DocSecurity>
  <Lines>552</Lines>
  <Paragraphs>155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40537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Raya Stephan</dc:creator>
  <cp:keywords/>
  <dc:description/>
  <cp:lastModifiedBy>Raya Stephan</cp:lastModifiedBy>
  <cp:revision>2</cp:revision>
  <dcterms:created xsi:type="dcterms:W3CDTF">2026-04-10T06:36:00Z</dcterms:created>
  <dcterms:modified xsi:type="dcterms:W3CDTF">2026-04-10T06:36:00Z</dcterms:modified>
</cp:coreProperties>
</file>