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E5BF" w14:textId="77777777" w:rsidR="005833C2" w:rsidRPr="00302BD2" w:rsidRDefault="00375603">
      <w:pPr>
        <w:rPr>
          <w:lang w:val="en-GB"/>
        </w:rPr>
      </w:pPr>
      <w:r w:rsidRPr="00302BD2">
        <w:rPr>
          <w:noProof/>
          <w:lang w:val="en-GB"/>
        </w:rPr>
        <w:drawing>
          <wp:anchor distT="0" distB="0" distL="114300" distR="114300" simplePos="0" relativeHeight="251662336" behindDoc="0" locked="0" layoutInCell="1" allowOverlap="1" wp14:anchorId="2198BDEA" wp14:editId="7BBA79EB">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1312" behindDoc="1" locked="0" layoutInCell="1" allowOverlap="1" wp14:anchorId="3BE42A40" wp14:editId="3B35B915">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3360" behindDoc="0" locked="0" layoutInCell="1" allowOverlap="1" wp14:anchorId="170A40AF" wp14:editId="7F603C2F">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3EFD77E0" w14:textId="77777777" w:rsidR="005833C2" w:rsidRPr="00302BD2" w:rsidRDefault="005833C2">
      <w:pPr>
        <w:rPr>
          <w:lang w:val="en-GB"/>
        </w:rPr>
      </w:pPr>
    </w:p>
    <w:p w14:paraId="1CEC9BA7" w14:textId="77777777" w:rsidR="005833C2" w:rsidRPr="00302BD2" w:rsidRDefault="005833C2">
      <w:pPr>
        <w:rPr>
          <w:lang w:val="en-GB"/>
        </w:rPr>
      </w:pPr>
    </w:p>
    <w:p w14:paraId="3C1C0FE3" w14:textId="77777777" w:rsidR="005833C2" w:rsidRPr="00302BD2" w:rsidRDefault="005833C2">
      <w:pPr>
        <w:rPr>
          <w:lang w:val="en-GB"/>
        </w:rPr>
      </w:pPr>
    </w:p>
    <w:p w14:paraId="1B9A567A" w14:textId="77777777" w:rsidR="005833C2" w:rsidRPr="00302BD2" w:rsidRDefault="005833C2">
      <w:pPr>
        <w:rPr>
          <w:lang w:val="en-GB"/>
        </w:rPr>
      </w:pPr>
    </w:p>
    <w:p w14:paraId="0AF44616" w14:textId="77777777" w:rsidR="005833C2" w:rsidRPr="00302BD2" w:rsidRDefault="00375603" w:rsidP="00375603">
      <w:pPr>
        <w:tabs>
          <w:tab w:val="left" w:pos="5520"/>
        </w:tabs>
        <w:rPr>
          <w:lang w:val="en-GB"/>
        </w:rPr>
      </w:pPr>
      <w:r w:rsidRPr="00302BD2">
        <w:rPr>
          <w:lang w:val="en-GB"/>
        </w:rPr>
        <w:tab/>
      </w:r>
    </w:p>
    <w:p w14:paraId="58318392" w14:textId="77777777" w:rsidR="00CF3B13" w:rsidRPr="00302BD2" w:rsidRDefault="00CF3B13" w:rsidP="00375603">
      <w:pPr>
        <w:tabs>
          <w:tab w:val="left" w:pos="5520"/>
        </w:tabs>
        <w:rPr>
          <w:lang w:val="en-GB"/>
        </w:rPr>
      </w:pPr>
    </w:p>
    <w:p w14:paraId="7E91601C" w14:textId="77777777" w:rsidR="005833C2" w:rsidRPr="00302BD2" w:rsidRDefault="005833C2">
      <w:pPr>
        <w:rPr>
          <w:lang w:val="en-GB"/>
        </w:rPr>
      </w:pPr>
    </w:p>
    <w:p w14:paraId="2A211DD7" w14:textId="77777777" w:rsidR="005833C2" w:rsidRPr="00302BD2" w:rsidRDefault="00D264C7" w:rsidP="00D264C7">
      <w:pPr>
        <w:tabs>
          <w:tab w:val="left" w:pos="3540"/>
        </w:tabs>
        <w:jc w:val="center"/>
        <w:rPr>
          <w:lang w:val="en-GB"/>
        </w:rPr>
      </w:pPr>
      <w:r w:rsidRPr="00302BD2">
        <w:rPr>
          <w:noProof/>
          <w:lang w:val="en-GB"/>
        </w:rPr>
        <w:drawing>
          <wp:inline distT="0" distB="0" distL="0" distR="0" wp14:anchorId="29F1C346" wp14:editId="3ADD12FF">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53828AC2" w14:textId="77777777" w:rsidR="00D67A17" w:rsidRPr="00302BD2" w:rsidRDefault="00D67A17" w:rsidP="00D67A17">
      <w:pPr>
        <w:jc w:val="center"/>
        <w:rPr>
          <w:b/>
          <w:color w:val="2F5496" w:themeColor="accent1" w:themeShade="BF"/>
          <w:sz w:val="28"/>
          <w:szCs w:val="28"/>
          <w:lang w:val="en-GB"/>
        </w:rPr>
      </w:pPr>
      <w:r w:rsidRPr="00302BD2">
        <w:rPr>
          <w:b/>
          <w:color w:val="2F5496" w:themeColor="accent1" w:themeShade="BF"/>
          <w:sz w:val="28"/>
          <w:szCs w:val="28"/>
          <w:lang w:val="en-GB"/>
        </w:rPr>
        <w:t>IMPLEMENTATION OF THE STRATEGIC ACTION PROGRAMME (SAP) OF THE DINARIC KARST AQUIFER SYSTEM: IMPROVING GROUNDWATER GOVERNANCE AND SUSTAINABILITY OF RELATED ECOSYSTEMS</w:t>
      </w:r>
    </w:p>
    <w:p w14:paraId="52122385" w14:textId="77777777" w:rsidR="005833C2" w:rsidRPr="00302BD2" w:rsidRDefault="005833C2">
      <w:pPr>
        <w:rPr>
          <w:lang w:val="en-GB"/>
        </w:rPr>
      </w:pPr>
    </w:p>
    <w:p w14:paraId="1CE98680" w14:textId="488360B5" w:rsidR="00CF0ED7" w:rsidRPr="00302BD2" w:rsidRDefault="00CF0ED7" w:rsidP="00CF0ED7">
      <w:pPr>
        <w:pStyle w:val="Default"/>
        <w:jc w:val="center"/>
        <w:rPr>
          <w:rFonts w:asciiTheme="minorHAnsi" w:hAnsiTheme="minorHAnsi" w:cstheme="minorHAnsi"/>
          <w:b/>
          <w:bCs/>
          <w:color w:val="2F5496" w:themeColor="accent1" w:themeShade="BF"/>
          <w:sz w:val="36"/>
          <w:szCs w:val="36"/>
          <w:lang w:val="en-GB"/>
        </w:rPr>
      </w:pPr>
      <w:r w:rsidRPr="00302BD2">
        <w:rPr>
          <w:rFonts w:asciiTheme="minorHAnsi" w:hAnsiTheme="minorHAnsi" w:cstheme="minorHAnsi"/>
          <w:b/>
          <w:bCs/>
          <w:color w:val="2F5496" w:themeColor="accent1" w:themeShade="BF"/>
          <w:sz w:val="36"/>
          <w:szCs w:val="36"/>
          <w:lang w:val="en-GB"/>
        </w:rPr>
        <w:t>OUTPUT 2.</w:t>
      </w:r>
      <w:r w:rsidR="0068075B">
        <w:rPr>
          <w:rFonts w:asciiTheme="minorHAnsi" w:hAnsiTheme="minorHAnsi" w:cstheme="minorHAnsi"/>
          <w:b/>
          <w:bCs/>
          <w:color w:val="2F5496" w:themeColor="accent1" w:themeShade="BF"/>
          <w:sz w:val="36"/>
          <w:szCs w:val="36"/>
          <w:lang w:val="en-GB"/>
        </w:rPr>
        <w:t>2</w:t>
      </w:r>
    </w:p>
    <w:p w14:paraId="45D9A687" w14:textId="77777777" w:rsidR="00CF0ED7" w:rsidRPr="00302BD2" w:rsidRDefault="00CF0ED7" w:rsidP="00CF0ED7">
      <w:pPr>
        <w:pStyle w:val="Default"/>
        <w:jc w:val="center"/>
        <w:rPr>
          <w:rFonts w:asciiTheme="minorHAnsi" w:hAnsiTheme="minorHAnsi" w:cstheme="minorHAnsi"/>
          <w:b/>
          <w:bCs/>
          <w:color w:val="2F5496" w:themeColor="accent1" w:themeShade="BF"/>
          <w:sz w:val="28"/>
          <w:szCs w:val="28"/>
          <w:lang w:val="en-GB"/>
        </w:rPr>
      </w:pPr>
    </w:p>
    <w:p w14:paraId="6FB0A883" w14:textId="399966A3" w:rsidR="009D3C75" w:rsidRPr="00302BD2" w:rsidRDefault="0068075B" w:rsidP="00CF0ED7">
      <w:pPr>
        <w:pStyle w:val="Default"/>
        <w:jc w:val="center"/>
        <w:rPr>
          <w:rFonts w:asciiTheme="minorHAnsi" w:hAnsiTheme="minorHAnsi" w:cstheme="minorHAnsi"/>
          <w:b/>
          <w:bCs/>
          <w:color w:val="2F5496" w:themeColor="accent1" w:themeShade="BF"/>
          <w:sz w:val="36"/>
          <w:szCs w:val="36"/>
          <w:lang w:val="en-GB"/>
        </w:rPr>
      </w:pPr>
      <w:r w:rsidRPr="0068075B">
        <w:rPr>
          <w:rFonts w:asciiTheme="minorHAnsi" w:hAnsiTheme="minorHAnsi" w:cstheme="minorHAnsi"/>
          <w:b/>
          <w:bCs/>
          <w:color w:val="2F5496" w:themeColor="accent1" w:themeShade="BF"/>
          <w:sz w:val="36"/>
          <w:szCs w:val="36"/>
          <w:lang w:val="en-GB"/>
        </w:rPr>
        <w:t>JOINT FRAMEWORK DOCUMENT FOR POLICY, LEGAL AND INSTITUTIONAL ALIGNMENT ON GROUNDWATER PROTECTION (</w:t>
      </w:r>
      <w:r w:rsidR="002D62CE">
        <w:rPr>
          <w:rFonts w:asciiTheme="minorHAnsi" w:hAnsiTheme="minorHAnsi" w:cstheme="minorHAnsi"/>
          <w:b/>
          <w:bCs/>
          <w:color w:val="2F5496" w:themeColor="accent1" w:themeShade="BF"/>
          <w:sz w:val="36"/>
          <w:szCs w:val="36"/>
          <w:lang w:val="en-GB"/>
        </w:rPr>
        <w:t>ME-AL</w:t>
      </w:r>
      <w:r w:rsidRPr="0068075B">
        <w:rPr>
          <w:rFonts w:asciiTheme="minorHAnsi" w:hAnsiTheme="minorHAnsi" w:cstheme="minorHAnsi"/>
          <w:b/>
          <w:bCs/>
          <w:color w:val="2F5496" w:themeColor="accent1" w:themeShade="BF"/>
          <w:sz w:val="36"/>
          <w:szCs w:val="36"/>
          <w:lang w:val="en-GB"/>
        </w:rPr>
        <w:t>)</w:t>
      </w:r>
    </w:p>
    <w:p w14:paraId="673DA9DD" w14:textId="77777777" w:rsidR="005833C2" w:rsidRPr="00302BD2" w:rsidRDefault="005833C2">
      <w:pPr>
        <w:rPr>
          <w:lang w:val="en-GB"/>
        </w:rPr>
      </w:pPr>
    </w:p>
    <w:p w14:paraId="43AA824A" w14:textId="77777777" w:rsidR="005833C2" w:rsidRPr="00302BD2" w:rsidRDefault="005833C2">
      <w:pPr>
        <w:rPr>
          <w:lang w:val="en-GB"/>
        </w:rPr>
      </w:pPr>
    </w:p>
    <w:p w14:paraId="7F552626" w14:textId="77777777" w:rsidR="005833C2" w:rsidRPr="00302BD2" w:rsidRDefault="005833C2">
      <w:pPr>
        <w:rPr>
          <w:lang w:val="en-GB"/>
        </w:rPr>
      </w:pPr>
    </w:p>
    <w:p w14:paraId="00A574C6" w14:textId="10036DB5" w:rsidR="005833C2" w:rsidRPr="00302BD2" w:rsidRDefault="0068075B" w:rsidP="007C40DF">
      <w:pPr>
        <w:jc w:val="center"/>
        <w:rPr>
          <w:color w:val="002060"/>
          <w:lang w:val="en-GB"/>
        </w:rPr>
      </w:pPr>
      <w:r>
        <w:rPr>
          <w:color w:val="002060"/>
          <w:lang w:val="en-GB"/>
        </w:rPr>
        <w:t>APRIL</w:t>
      </w:r>
      <w:r w:rsidR="00FE4AFD">
        <w:rPr>
          <w:color w:val="002060"/>
          <w:lang w:val="en-GB"/>
        </w:rPr>
        <w:t xml:space="preserve"> </w:t>
      </w:r>
      <w:r w:rsidR="007C40DF" w:rsidRPr="00302BD2">
        <w:rPr>
          <w:color w:val="002060"/>
          <w:lang w:val="en-GB"/>
        </w:rPr>
        <w:t xml:space="preserve"> 202</w:t>
      </w:r>
      <w:r w:rsidR="00115718">
        <w:rPr>
          <w:color w:val="002060"/>
          <w:lang w:val="en-GB"/>
        </w:rPr>
        <w:t>6</w:t>
      </w:r>
    </w:p>
    <w:p w14:paraId="667D71DF" w14:textId="77777777" w:rsidR="005833C2" w:rsidRPr="00302BD2" w:rsidRDefault="005833C2">
      <w:pPr>
        <w:rPr>
          <w:lang w:val="en-GB"/>
        </w:rPr>
      </w:pPr>
    </w:p>
    <w:p w14:paraId="75865CB7" w14:textId="77777777" w:rsidR="005833C2" w:rsidRPr="00302BD2" w:rsidRDefault="00CF3B13" w:rsidP="00CF3B13">
      <w:pPr>
        <w:jc w:val="center"/>
        <w:rPr>
          <w:lang w:val="en-GB"/>
        </w:rPr>
      </w:pPr>
      <w:r w:rsidRPr="00302BD2">
        <w:rPr>
          <w:noProof/>
          <w:lang w:val="en-GB"/>
        </w:rPr>
        <w:drawing>
          <wp:inline distT="0" distB="0" distL="0" distR="0" wp14:anchorId="4E2E8DD0" wp14:editId="6B0341D9">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sdt>
      <w:sdtPr>
        <w:rPr>
          <w:rFonts w:asciiTheme="minorHAnsi" w:eastAsiaTheme="minorHAnsi" w:hAnsiTheme="minorHAnsi" w:cstheme="minorBidi"/>
          <w:b w:val="0"/>
          <w:color w:val="auto"/>
          <w:sz w:val="22"/>
          <w:szCs w:val="22"/>
          <w:lang w:val="sr-Latn-RS" w:eastAsia="en-US"/>
        </w:rPr>
        <w:id w:val="1451744067"/>
        <w:docPartObj>
          <w:docPartGallery w:val="Table of Contents"/>
          <w:docPartUnique/>
        </w:docPartObj>
      </w:sdtPr>
      <w:sdtEndPr>
        <w:rPr>
          <w:bCs/>
          <w:noProof/>
        </w:rPr>
      </w:sdtEndPr>
      <w:sdtContent>
        <w:p w14:paraId="649535C5" w14:textId="58954175" w:rsidR="00376158" w:rsidRDefault="00376158">
          <w:pPr>
            <w:pStyle w:val="TOCHeading"/>
          </w:pPr>
          <w:r>
            <w:t>Contents</w:t>
          </w:r>
        </w:p>
        <w:p w14:paraId="20F849C9" w14:textId="04C914D7" w:rsidR="00336FA1" w:rsidRDefault="00376158" w:rsidP="000B4994">
          <w:pPr>
            <w:pStyle w:val="TOC1"/>
            <w:spacing w:line="360" w:lineRule="auto"/>
            <w:rPr>
              <w:rFonts w:eastAsiaTheme="minorEastAsia"/>
              <w:noProof/>
              <w:kern w:val="2"/>
              <w:sz w:val="24"/>
              <w:szCs w:val="24"/>
              <w:lang w:val="hr-HR" w:eastAsia="hr-HR"/>
              <w14:ligatures w14:val="standardContextual"/>
            </w:rPr>
          </w:pPr>
          <w:r>
            <w:fldChar w:fldCharType="begin"/>
          </w:r>
          <w:r>
            <w:instrText xml:space="preserve"> TOC \o "1-3" \h \z \u </w:instrText>
          </w:r>
          <w:r>
            <w:fldChar w:fldCharType="separate"/>
          </w:r>
          <w:hyperlink w:anchor="_Toc225418417" w:history="1">
            <w:r w:rsidR="00336FA1" w:rsidRPr="00B15CF8">
              <w:rPr>
                <w:rStyle w:val="Hyperlink"/>
                <w:noProof/>
                <w:lang w:val="en-GB"/>
              </w:rPr>
              <w:t>1 Introduction</w:t>
            </w:r>
            <w:r w:rsidR="00336FA1">
              <w:rPr>
                <w:noProof/>
                <w:webHidden/>
              </w:rPr>
              <w:tab/>
            </w:r>
            <w:r w:rsidR="00336FA1">
              <w:rPr>
                <w:noProof/>
                <w:webHidden/>
              </w:rPr>
              <w:fldChar w:fldCharType="begin"/>
            </w:r>
            <w:r w:rsidR="00336FA1">
              <w:rPr>
                <w:noProof/>
                <w:webHidden/>
              </w:rPr>
              <w:instrText xml:space="preserve"> PAGEREF _Toc225418417 \h </w:instrText>
            </w:r>
            <w:r w:rsidR="00336FA1">
              <w:rPr>
                <w:noProof/>
                <w:webHidden/>
              </w:rPr>
            </w:r>
            <w:r w:rsidR="00336FA1">
              <w:rPr>
                <w:noProof/>
                <w:webHidden/>
              </w:rPr>
              <w:fldChar w:fldCharType="separate"/>
            </w:r>
            <w:r w:rsidR="00336FA1">
              <w:rPr>
                <w:noProof/>
                <w:webHidden/>
              </w:rPr>
              <w:t>1</w:t>
            </w:r>
            <w:r w:rsidR="00336FA1">
              <w:rPr>
                <w:noProof/>
                <w:webHidden/>
              </w:rPr>
              <w:fldChar w:fldCharType="end"/>
            </w:r>
          </w:hyperlink>
        </w:p>
        <w:p w14:paraId="70337610" w14:textId="447755C5" w:rsidR="00336FA1" w:rsidRDefault="00336FA1" w:rsidP="000B4994">
          <w:pPr>
            <w:pStyle w:val="TOC1"/>
            <w:spacing w:line="360" w:lineRule="auto"/>
            <w:rPr>
              <w:rFonts w:eastAsiaTheme="minorEastAsia"/>
              <w:noProof/>
              <w:kern w:val="2"/>
              <w:sz w:val="24"/>
              <w:szCs w:val="24"/>
              <w:lang w:val="hr-HR" w:eastAsia="hr-HR"/>
              <w14:ligatures w14:val="standardContextual"/>
            </w:rPr>
          </w:pPr>
          <w:hyperlink w:anchor="_Toc225418418" w:history="1">
            <w:r w:rsidRPr="00B15CF8">
              <w:rPr>
                <w:rStyle w:val="Hyperlink"/>
                <w:noProof/>
                <w:lang w:val="en-GB"/>
              </w:rPr>
              <w:t>2 Purpose, scope and alignment</w:t>
            </w:r>
            <w:r>
              <w:rPr>
                <w:noProof/>
                <w:webHidden/>
              </w:rPr>
              <w:tab/>
            </w:r>
            <w:r>
              <w:rPr>
                <w:noProof/>
                <w:webHidden/>
              </w:rPr>
              <w:fldChar w:fldCharType="begin"/>
            </w:r>
            <w:r>
              <w:rPr>
                <w:noProof/>
                <w:webHidden/>
              </w:rPr>
              <w:instrText xml:space="preserve"> PAGEREF _Toc225418418 \h </w:instrText>
            </w:r>
            <w:r>
              <w:rPr>
                <w:noProof/>
                <w:webHidden/>
              </w:rPr>
            </w:r>
            <w:r>
              <w:rPr>
                <w:noProof/>
                <w:webHidden/>
              </w:rPr>
              <w:fldChar w:fldCharType="separate"/>
            </w:r>
            <w:r>
              <w:rPr>
                <w:noProof/>
                <w:webHidden/>
              </w:rPr>
              <w:t>2</w:t>
            </w:r>
            <w:r>
              <w:rPr>
                <w:noProof/>
                <w:webHidden/>
              </w:rPr>
              <w:fldChar w:fldCharType="end"/>
            </w:r>
          </w:hyperlink>
        </w:p>
        <w:p w14:paraId="0145400C" w14:textId="6BB02F94" w:rsidR="00336FA1" w:rsidRDefault="00336FA1" w:rsidP="000B4994">
          <w:pPr>
            <w:pStyle w:val="TOC1"/>
            <w:spacing w:line="360" w:lineRule="auto"/>
            <w:rPr>
              <w:rFonts w:eastAsiaTheme="minorEastAsia"/>
              <w:noProof/>
              <w:kern w:val="2"/>
              <w:sz w:val="24"/>
              <w:szCs w:val="24"/>
              <w:lang w:val="hr-HR" w:eastAsia="hr-HR"/>
              <w14:ligatures w14:val="standardContextual"/>
            </w:rPr>
          </w:pPr>
          <w:hyperlink w:anchor="_Toc225418419" w:history="1">
            <w:r w:rsidRPr="00B15CF8">
              <w:rPr>
                <w:rStyle w:val="Hyperlink"/>
                <w:noProof/>
                <w:lang w:val="en-GB"/>
              </w:rPr>
              <w:t>3 Approach and inputs for developing the Joint Framework document</w:t>
            </w:r>
            <w:r>
              <w:rPr>
                <w:noProof/>
                <w:webHidden/>
              </w:rPr>
              <w:tab/>
            </w:r>
            <w:r w:rsidR="00F238F7">
              <w:rPr>
                <w:noProof/>
                <w:webHidden/>
              </w:rPr>
              <w:t>4</w:t>
            </w:r>
          </w:hyperlink>
        </w:p>
        <w:p w14:paraId="58B6C621" w14:textId="6EDF2533" w:rsidR="00336FA1" w:rsidRDefault="00336FA1" w:rsidP="000B4994">
          <w:pPr>
            <w:pStyle w:val="TOC1"/>
            <w:spacing w:line="360" w:lineRule="auto"/>
            <w:rPr>
              <w:rFonts w:eastAsiaTheme="minorEastAsia"/>
              <w:noProof/>
              <w:kern w:val="2"/>
              <w:sz w:val="24"/>
              <w:szCs w:val="24"/>
              <w:lang w:val="hr-HR" w:eastAsia="hr-HR"/>
              <w14:ligatures w14:val="standardContextual"/>
            </w:rPr>
          </w:pPr>
          <w:hyperlink w:anchor="_Toc225418420" w:history="1">
            <w:r w:rsidRPr="00B15CF8">
              <w:rPr>
                <w:rStyle w:val="Hyperlink"/>
                <w:noProof/>
                <w:lang w:val="en-GB"/>
              </w:rPr>
              <w:t>4 Transboundary context: why harmonization of sanitary protection zones matters</w:t>
            </w:r>
            <w:r>
              <w:rPr>
                <w:noProof/>
                <w:webHidden/>
              </w:rPr>
              <w:tab/>
            </w:r>
            <w:r w:rsidR="00F238F7">
              <w:rPr>
                <w:noProof/>
                <w:webHidden/>
              </w:rPr>
              <w:t>6</w:t>
            </w:r>
          </w:hyperlink>
        </w:p>
        <w:p w14:paraId="76DBBB8C" w14:textId="66C7ECA6" w:rsidR="00336FA1" w:rsidRDefault="00336FA1" w:rsidP="000B4994">
          <w:pPr>
            <w:pStyle w:val="TOC1"/>
            <w:spacing w:line="360" w:lineRule="auto"/>
            <w:rPr>
              <w:rFonts w:eastAsiaTheme="minorEastAsia"/>
              <w:noProof/>
              <w:kern w:val="2"/>
              <w:sz w:val="24"/>
              <w:szCs w:val="24"/>
              <w:lang w:val="hr-HR" w:eastAsia="hr-HR"/>
              <w14:ligatures w14:val="standardContextual"/>
            </w:rPr>
          </w:pPr>
          <w:hyperlink w:anchor="_Toc225418421" w:history="1">
            <w:r w:rsidRPr="00B15CF8">
              <w:rPr>
                <w:rStyle w:val="Hyperlink"/>
                <w:noProof/>
                <w:lang w:val="en-GB"/>
              </w:rPr>
              <w:t xml:space="preserve">5 Comparative assessment: legal, policy and permitting frameworks in </w:t>
            </w:r>
            <w:r w:rsidR="001E6348">
              <w:rPr>
                <w:rStyle w:val="Hyperlink"/>
                <w:noProof/>
                <w:lang w:val="en-GB"/>
              </w:rPr>
              <w:t xml:space="preserve">Montenegro </w:t>
            </w:r>
            <w:r w:rsidRPr="00B15CF8">
              <w:rPr>
                <w:rStyle w:val="Hyperlink"/>
                <w:noProof/>
                <w:lang w:val="en-GB"/>
              </w:rPr>
              <w:t xml:space="preserve">and </w:t>
            </w:r>
            <w:r w:rsidR="001E6348">
              <w:rPr>
                <w:rStyle w:val="Hyperlink"/>
                <w:noProof/>
                <w:lang w:val="en-GB"/>
              </w:rPr>
              <w:t>Albania</w:t>
            </w:r>
            <w:r>
              <w:rPr>
                <w:noProof/>
                <w:webHidden/>
              </w:rPr>
              <w:tab/>
            </w:r>
            <w:r w:rsidR="00F238F7">
              <w:rPr>
                <w:noProof/>
                <w:webHidden/>
              </w:rPr>
              <w:t>7</w:t>
            </w:r>
          </w:hyperlink>
        </w:p>
        <w:p w14:paraId="66B6F42D" w14:textId="75433C49"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22" w:history="1">
            <w:r w:rsidRPr="00B15CF8">
              <w:rPr>
                <w:rStyle w:val="Hyperlink"/>
                <w:noProof/>
                <w:lang w:val="en-GB"/>
              </w:rPr>
              <w:t xml:space="preserve">5.1 </w:t>
            </w:r>
            <w:r w:rsidR="001E6348">
              <w:rPr>
                <w:rStyle w:val="Hyperlink"/>
                <w:noProof/>
                <w:lang w:val="en-GB"/>
              </w:rPr>
              <w:t>Montenegro</w:t>
            </w:r>
            <w:r w:rsidRPr="00B15CF8">
              <w:rPr>
                <w:rStyle w:val="Hyperlink"/>
                <w:noProof/>
                <w:lang w:val="en-GB"/>
              </w:rPr>
              <w:t>: alignment with EU acquis and remaining implementation challenges</w:t>
            </w:r>
            <w:r>
              <w:rPr>
                <w:noProof/>
                <w:webHidden/>
              </w:rPr>
              <w:tab/>
            </w:r>
            <w:r w:rsidR="00F238F7">
              <w:rPr>
                <w:noProof/>
                <w:webHidden/>
              </w:rPr>
              <w:t>7</w:t>
            </w:r>
          </w:hyperlink>
        </w:p>
        <w:p w14:paraId="13C2482E" w14:textId="77912DF9"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23" w:history="1">
            <w:r w:rsidRPr="00B15CF8">
              <w:rPr>
                <w:rStyle w:val="Hyperlink"/>
                <w:noProof/>
                <w:lang w:val="en-GB"/>
              </w:rPr>
              <w:t xml:space="preserve">5.2 </w:t>
            </w:r>
            <w:r w:rsidR="001E6348">
              <w:rPr>
                <w:rStyle w:val="Hyperlink"/>
                <w:noProof/>
                <w:lang w:val="en-GB"/>
              </w:rPr>
              <w:t>Albania</w:t>
            </w:r>
            <w:r w:rsidRPr="00B15CF8">
              <w:rPr>
                <w:rStyle w:val="Hyperlink"/>
                <w:noProof/>
                <w:lang w:val="en-GB"/>
              </w:rPr>
              <w:t>: partial approximation, multi</w:t>
            </w:r>
            <w:r w:rsidRPr="00B15CF8">
              <w:rPr>
                <w:rStyle w:val="Hyperlink"/>
                <w:rFonts w:ascii="Cambria Math" w:hAnsi="Cambria Math" w:cs="Cambria Math"/>
                <w:noProof/>
                <w:lang w:val="en-GB"/>
              </w:rPr>
              <w:t>‑</w:t>
            </w:r>
            <w:r w:rsidRPr="00B15CF8">
              <w:rPr>
                <w:rStyle w:val="Hyperlink"/>
                <w:noProof/>
                <w:lang w:val="en-GB"/>
              </w:rPr>
              <w:t>layered governance and uneven implementation</w:t>
            </w:r>
            <w:r>
              <w:rPr>
                <w:noProof/>
                <w:webHidden/>
              </w:rPr>
              <w:tab/>
            </w:r>
            <w:r w:rsidR="00F238F7">
              <w:rPr>
                <w:noProof/>
                <w:webHidden/>
              </w:rPr>
              <w:t>9</w:t>
            </w:r>
          </w:hyperlink>
        </w:p>
        <w:p w14:paraId="1F57BA6B" w14:textId="126F1904"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24" w:history="1">
            <w:r w:rsidRPr="00B15CF8">
              <w:rPr>
                <w:rStyle w:val="Hyperlink"/>
                <w:noProof/>
                <w:lang w:val="en-GB"/>
              </w:rPr>
              <w:t>5.3 Cross</w:t>
            </w:r>
            <w:r w:rsidRPr="00B15CF8">
              <w:rPr>
                <w:rStyle w:val="Hyperlink"/>
                <w:rFonts w:ascii="Cambria Math" w:hAnsi="Cambria Math" w:cs="Cambria Math"/>
                <w:noProof/>
                <w:lang w:val="en-GB"/>
              </w:rPr>
              <w:t>‑</w:t>
            </w:r>
            <w:r w:rsidRPr="00B15CF8">
              <w:rPr>
                <w:rStyle w:val="Hyperlink"/>
                <w:noProof/>
                <w:lang w:val="en-GB"/>
              </w:rPr>
              <w:t>country comparison: implications for transboundary karst aquifers</w:t>
            </w:r>
            <w:r>
              <w:rPr>
                <w:noProof/>
                <w:webHidden/>
              </w:rPr>
              <w:tab/>
            </w:r>
            <w:r w:rsidR="00F238F7">
              <w:rPr>
                <w:noProof/>
                <w:webHidden/>
              </w:rPr>
              <w:t>9</w:t>
            </w:r>
          </w:hyperlink>
        </w:p>
        <w:p w14:paraId="03976D12" w14:textId="1304EFC4" w:rsidR="00336FA1" w:rsidRDefault="00336FA1" w:rsidP="000B4994">
          <w:pPr>
            <w:pStyle w:val="TOC1"/>
            <w:spacing w:line="360" w:lineRule="auto"/>
            <w:rPr>
              <w:rFonts w:eastAsiaTheme="minorEastAsia"/>
              <w:noProof/>
              <w:kern w:val="2"/>
              <w:sz w:val="24"/>
              <w:szCs w:val="24"/>
              <w:lang w:val="hr-HR" w:eastAsia="hr-HR"/>
              <w14:ligatures w14:val="standardContextual"/>
            </w:rPr>
          </w:pPr>
          <w:hyperlink w:anchor="_Toc225418425" w:history="1">
            <w:r w:rsidRPr="00B15CF8">
              <w:rPr>
                <w:rStyle w:val="Hyperlink"/>
                <w:noProof/>
                <w:lang w:val="en-GB"/>
              </w:rPr>
              <w:t>6 Institutional responsibilities and enforcement capacity</w:t>
            </w:r>
            <w:r>
              <w:rPr>
                <w:noProof/>
                <w:webHidden/>
              </w:rPr>
              <w:tab/>
            </w:r>
            <w:r w:rsidR="00783493">
              <w:rPr>
                <w:noProof/>
                <w:webHidden/>
              </w:rPr>
              <w:t>10</w:t>
            </w:r>
          </w:hyperlink>
        </w:p>
        <w:p w14:paraId="634008FA" w14:textId="63D1D5CC" w:rsidR="00336FA1" w:rsidRDefault="00336FA1" w:rsidP="000B4994">
          <w:pPr>
            <w:pStyle w:val="TOC2"/>
            <w:tabs>
              <w:tab w:val="right" w:leader="dot" w:pos="9016"/>
            </w:tabs>
            <w:spacing w:line="360" w:lineRule="auto"/>
            <w:rPr>
              <w:rFonts w:eastAsiaTheme="minorEastAsia"/>
              <w:noProof/>
              <w:kern w:val="2"/>
              <w:sz w:val="24"/>
              <w:szCs w:val="24"/>
              <w:lang w:val="hr-HR" w:eastAsia="hr-HR"/>
              <w14:ligatures w14:val="standardContextual"/>
            </w:rPr>
          </w:pPr>
          <w:hyperlink w:anchor="_Toc225418426" w:history="1">
            <w:r w:rsidRPr="00B15CF8">
              <w:rPr>
                <w:rStyle w:val="Hyperlink"/>
                <w:noProof/>
                <w:lang w:val="en-GB"/>
              </w:rPr>
              <w:t xml:space="preserve">6.1 Institutional responsibilities in </w:t>
            </w:r>
            <w:r w:rsidR="00557CBD">
              <w:rPr>
                <w:rStyle w:val="Hyperlink"/>
                <w:noProof/>
                <w:lang w:val="en-GB"/>
              </w:rPr>
              <w:t>Montenegro</w:t>
            </w:r>
            <w:r>
              <w:rPr>
                <w:noProof/>
                <w:webHidden/>
              </w:rPr>
              <w:tab/>
            </w:r>
            <w:r>
              <w:rPr>
                <w:noProof/>
                <w:webHidden/>
              </w:rPr>
              <w:fldChar w:fldCharType="begin"/>
            </w:r>
            <w:r>
              <w:rPr>
                <w:noProof/>
                <w:webHidden/>
              </w:rPr>
              <w:instrText xml:space="preserve"> PAGEREF _Toc225418426 \h </w:instrText>
            </w:r>
            <w:r>
              <w:rPr>
                <w:noProof/>
                <w:webHidden/>
              </w:rPr>
            </w:r>
            <w:r>
              <w:rPr>
                <w:noProof/>
                <w:webHidden/>
              </w:rPr>
              <w:fldChar w:fldCharType="separate"/>
            </w:r>
            <w:r>
              <w:rPr>
                <w:noProof/>
                <w:webHidden/>
              </w:rPr>
              <w:t>10</w:t>
            </w:r>
            <w:r>
              <w:rPr>
                <w:noProof/>
                <w:webHidden/>
              </w:rPr>
              <w:fldChar w:fldCharType="end"/>
            </w:r>
          </w:hyperlink>
        </w:p>
        <w:p w14:paraId="2AA55CED" w14:textId="1D4B6BED"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27" w:history="1">
            <w:r w:rsidRPr="00B15CF8">
              <w:rPr>
                <w:rStyle w:val="Hyperlink"/>
                <w:noProof/>
                <w:lang w:val="en-GB"/>
              </w:rPr>
              <w:t xml:space="preserve">6.2 Institutional responsibilities in </w:t>
            </w:r>
            <w:r w:rsidR="00557CBD">
              <w:rPr>
                <w:rStyle w:val="Hyperlink"/>
                <w:noProof/>
                <w:lang w:val="en-GB"/>
              </w:rPr>
              <w:t>Albania</w:t>
            </w:r>
            <w:r>
              <w:rPr>
                <w:noProof/>
                <w:webHidden/>
              </w:rPr>
              <w:tab/>
            </w:r>
            <w:r>
              <w:rPr>
                <w:noProof/>
                <w:webHidden/>
              </w:rPr>
              <w:fldChar w:fldCharType="begin"/>
            </w:r>
            <w:r>
              <w:rPr>
                <w:noProof/>
                <w:webHidden/>
              </w:rPr>
              <w:instrText xml:space="preserve"> PAGEREF _Toc225418427 \h </w:instrText>
            </w:r>
            <w:r>
              <w:rPr>
                <w:noProof/>
                <w:webHidden/>
              </w:rPr>
            </w:r>
            <w:r>
              <w:rPr>
                <w:noProof/>
                <w:webHidden/>
              </w:rPr>
              <w:fldChar w:fldCharType="separate"/>
            </w:r>
            <w:r>
              <w:rPr>
                <w:noProof/>
                <w:webHidden/>
              </w:rPr>
              <w:t>1</w:t>
            </w:r>
            <w:r w:rsidR="00783493">
              <w:rPr>
                <w:noProof/>
                <w:webHidden/>
              </w:rPr>
              <w:t>1</w:t>
            </w:r>
            <w:r>
              <w:rPr>
                <w:noProof/>
                <w:webHidden/>
              </w:rPr>
              <w:fldChar w:fldCharType="end"/>
            </w:r>
          </w:hyperlink>
        </w:p>
        <w:p w14:paraId="24EABE7A" w14:textId="2B25C79D"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28" w:history="1">
            <w:r w:rsidRPr="00B15CF8">
              <w:rPr>
                <w:rStyle w:val="Hyperlink"/>
                <w:noProof/>
                <w:lang w:val="en-GB"/>
              </w:rPr>
              <w:t>6.3 Enforcement capacity: comparative observations</w:t>
            </w:r>
            <w:r>
              <w:rPr>
                <w:noProof/>
                <w:webHidden/>
              </w:rPr>
              <w:tab/>
            </w:r>
            <w:r>
              <w:rPr>
                <w:noProof/>
                <w:webHidden/>
              </w:rPr>
              <w:fldChar w:fldCharType="begin"/>
            </w:r>
            <w:r>
              <w:rPr>
                <w:noProof/>
                <w:webHidden/>
              </w:rPr>
              <w:instrText xml:space="preserve"> PAGEREF _Toc225418428 \h </w:instrText>
            </w:r>
            <w:r>
              <w:rPr>
                <w:noProof/>
                <w:webHidden/>
              </w:rPr>
            </w:r>
            <w:r>
              <w:rPr>
                <w:noProof/>
                <w:webHidden/>
              </w:rPr>
              <w:fldChar w:fldCharType="separate"/>
            </w:r>
            <w:r>
              <w:rPr>
                <w:noProof/>
                <w:webHidden/>
              </w:rPr>
              <w:t>1</w:t>
            </w:r>
            <w:r w:rsidR="00783493">
              <w:rPr>
                <w:noProof/>
                <w:webHidden/>
              </w:rPr>
              <w:t>2</w:t>
            </w:r>
            <w:r>
              <w:rPr>
                <w:noProof/>
                <w:webHidden/>
              </w:rPr>
              <w:fldChar w:fldCharType="end"/>
            </w:r>
          </w:hyperlink>
        </w:p>
        <w:p w14:paraId="5C9A01A5" w14:textId="18BB5EC3"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29" w:history="1">
            <w:r w:rsidRPr="00B15CF8">
              <w:rPr>
                <w:rStyle w:val="Hyperlink"/>
                <w:noProof/>
                <w:lang w:val="en-GB"/>
              </w:rPr>
              <w:t>6.4 Implications for transboundary implementation</w:t>
            </w:r>
            <w:r>
              <w:rPr>
                <w:noProof/>
                <w:webHidden/>
              </w:rPr>
              <w:tab/>
            </w:r>
            <w:r>
              <w:rPr>
                <w:noProof/>
                <w:webHidden/>
              </w:rPr>
              <w:fldChar w:fldCharType="begin"/>
            </w:r>
            <w:r>
              <w:rPr>
                <w:noProof/>
                <w:webHidden/>
              </w:rPr>
              <w:instrText xml:space="preserve"> PAGEREF _Toc225418429 \h </w:instrText>
            </w:r>
            <w:r>
              <w:rPr>
                <w:noProof/>
                <w:webHidden/>
              </w:rPr>
            </w:r>
            <w:r>
              <w:rPr>
                <w:noProof/>
                <w:webHidden/>
              </w:rPr>
              <w:fldChar w:fldCharType="separate"/>
            </w:r>
            <w:r>
              <w:rPr>
                <w:noProof/>
                <w:webHidden/>
              </w:rPr>
              <w:t>1</w:t>
            </w:r>
            <w:r w:rsidR="00783493">
              <w:rPr>
                <w:noProof/>
                <w:webHidden/>
              </w:rPr>
              <w:t>2</w:t>
            </w:r>
            <w:r>
              <w:rPr>
                <w:noProof/>
                <w:webHidden/>
              </w:rPr>
              <w:fldChar w:fldCharType="end"/>
            </w:r>
          </w:hyperlink>
        </w:p>
        <w:p w14:paraId="1B3E010B" w14:textId="2A6A786C" w:rsidR="00336FA1" w:rsidRDefault="00336FA1" w:rsidP="000B4994">
          <w:pPr>
            <w:pStyle w:val="TOC1"/>
            <w:spacing w:line="360" w:lineRule="auto"/>
            <w:rPr>
              <w:rFonts w:eastAsiaTheme="minorEastAsia"/>
              <w:noProof/>
              <w:kern w:val="2"/>
              <w:sz w:val="24"/>
              <w:szCs w:val="24"/>
              <w:lang w:val="hr-HR" w:eastAsia="hr-HR"/>
              <w14:ligatures w14:val="standardContextual"/>
            </w:rPr>
          </w:pPr>
          <w:hyperlink w:anchor="_Toc225418430" w:history="1">
            <w:r w:rsidRPr="00B15CF8">
              <w:rPr>
                <w:rStyle w:val="Hyperlink"/>
                <w:noProof/>
                <w:lang w:val="en-GB"/>
              </w:rPr>
              <w:t>7 Joint criteria and methodologies for managing sanitary protection zones</w:t>
            </w:r>
            <w:r>
              <w:rPr>
                <w:noProof/>
                <w:webHidden/>
              </w:rPr>
              <w:tab/>
            </w:r>
            <w:r>
              <w:rPr>
                <w:noProof/>
                <w:webHidden/>
              </w:rPr>
              <w:fldChar w:fldCharType="begin"/>
            </w:r>
            <w:r>
              <w:rPr>
                <w:noProof/>
                <w:webHidden/>
              </w:rPr>
              <w:instrText xml:space="preserve"> PAGEREF _Toc225418430 \h </w:instrText>
            </w:r>
            <w:r>
              <w:rPr>
                <w:noProof/>
                <w:webHidden/>
              </w:rPr>
            </w:r>
            <w:r>
              <w:rPr>
                <w:noProof/>
                <w:webHidden/>
              </w:rPr>
              <w:fldChar w:fldCharType="separate"/>
            </w:r>
            <w:r>
              <w:rPr>
                <w:noProof/>
                <w:webHidden/>
              </w:rPr>
              <w:t>1</w:t>
            </w:r>
            <w:r w:rsidR="00FB21D5">
              <w:rPr>
                <w:noProof/>
                <w:webHidden/>
              </w:rPr>
              <w:t>3</w:t>
            </w:r>
            <w:r>
              <w:rPr>
                <w:noProof/>
                <w:webHidden/>
              </w:rPr>
              <w:fldChar w:fldCharType="end"/>
            </w:r>
          </w:hyperlink>
        </w:p>
        <w:p w14:paraId="34BABE44" w14:textId="45AF43B5" w:rsidR="00336FA1" w:rsidRDefault="00336FA1" w:rsidP="000B4994">
          <w:pPr>
            <w:pStyle w:val="TOC2"/>
            <w:tabs>
              <w:tab w:val="right" w:leader="dot" w:pos="9016"/>
            </w:tabs>
            <w:spacing w:line="360" w:lineRule="auto"/>
            <w:rPr>
              <w:rFonts w:eastAsiaTheme="minorEastAsia"/>
              <w:noProof/>
              <w:kern w:val="2"/>
              <w:sz w:val="24"/>
              <w:szCs w:val="24"/>
              <w:lang w:val="hr-HR" w:eastAsia="hr-HR"/>
              <w14:ligatures w14:val="standardContextual"/>
            </w:rPr>
          </w:pPr>
          <w:hyperlink w:anchor="_Toc225418431" w:history="1">
            <w:r w:rsidRPr="00B15CF8">
              <w:rPr>
                <w:rStyle w:val="Hyperlink"/>
                <w:noProof/>
                <w:lang w:val="en-GB"/>
              </w:rPr>
              <w:t>7.1 Shared principles for assessing recharge areas and groundwater vulnerability</w:t>
            </w:r>
            <w:r>
              <w:rPr>
                <w:noProof/>
                <w:webHidden/>
              </w:rPr>
              <w:tab/>
            </w:r>
            <w:r>
              <w:rPr>
                <w:noProof/>
                <w:webHidden/>
              </w:rPr>
              <w:fldChar w:fldCharType="begin"/>
            </w:r>
            <w:r>
              <w:rPr>
                <w:noProof/>
                <w:webHidden/>
              </w:rPr>
              <w:instrText xml:space="preserve"> PAGEREF _Toc225418431 \h </w:instrText>
            </w:r>
            <w:r>
              <w:rPr>
                <w:noProof/>
                <w:webHidden/>
              </w:rPr>
            </w:r>
            <w:r>
              <w:rPr>
                <w:noProof/>
                <w:webHidden/>
              </w:rPr>
              <w:fldChar w:fldCharType="separate"/>
            </w:r>
            <w:r>
              <w:rPr>
                <w:noProof/>
                <w:webHidden/>
              </w:rPr>
              <w:t>13</w:t>
            </w:r>
            <w:r>
              <w:rPr>
                <w:noProof/>
                <w:webHidden/>
              </w:rPr>
              <w:fldChar w:fldCharType="end"/>
            </w:r>
          </w:hyperlink>
        </w:p>
        <w:p w14:paraId="7B22042D" w14:textId="422F2E52"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32" w:history="1">
            <w:r w:rsidRPr="00B15CF8">
              <w:rPr>
                <w:rStyle w:val="Hyperlink"/>
                <w:noProof/>
                <w:lang w:val="en-GB"/>
              </w:rPr>
              <w:t>7.1.1 Groundwater vulnerability mapping</w:t>
            </w:r>
            <w:r>
              <w:rPr>
                <w:noProof/>
                <w:webHidden/>
              </w:rPr>
              <w:tab/>
            </w:r>
            <w:r>
              <w:rPr>
                <w:noProof/>
                <w:webHidden/>
              </w:rPr>
              <w:fldChar w:fldCharType="begin"/>
            </w:r>
            <w:r>
              <w:rPr>
                <w:noProof/>
                <w:webHidden/>
              </w:rPr>
              <w:instrText xml:space="preserve"> PAGEREF _Toc225418432 \h </w:instrText>
            </w:r>
            <w:r>
              <w:rPr>
                <w:noProof/>
                <w:webHidden/>
              </w:rPr>
            </w:r>
            <w:r>
              <w:rPr>
                <w:noProof/>
                <w:webHidden/>
              </w:rPr>
              <w:fldChar w:fldCharType="separate"/>
            </w:r>
            <w:r>
              <w:rPr>
                <w:noProof/>
                <w:webHidden/>
              </w:rPr>
              <w:t>1</w:t>
            </w:r>
            <w:r w:rsidR="004341DB">
              <w:rPr>
                <w:noProof/>
                <w:webHidden/>
              </w:rPr>
              <w:t>4</w:t>
            </w:r>
            <w:r>
              <w:rPr>
                <w:noProof/>
                <w:webHidden/>
              </w:rPr>
              <w:fldChar w:fldCharType="end"/>
            </w:r>
          </w:hyperlink>
        </w:p>
        <w:p w14:paraId="63072B81" w14:textId="4BBC0FB2"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33" w:history="1">
            <w:r w:rsidRPr="00B15CF8">
              <w:rPr>
                <w:rStyle w:val="Hyperlink"/>
                <w:noProof/>
              </w:rPr>
              <w:t>7.1.2 Guidance for using vulnerability mapping as a harmonising tool between countries</w:t>
            </w:r>
            <w:r>
              <w:rPr>
                <w:noProof/>
                <w:webHidden/>
              </w:rPr>
              <w:tab/>
            </w:r>
            <w:r>
              <w:rPr>
                <w:noProof/>
                <w:webHidden/>
              </w:rPr>
              <w:fldChar w:fldCharType="begin"/>
            </w:r>
            <w:r>
              <w:rPr>
                <w:noProof/>
                <w:webHidden/>
              </w:rPr>
              <w:instrText xml:space="preserve"> PAGEREF _Toc225418433 \h </w:instrText>
            </w:r>
            <w:r>
              <w:rPr>
                <w:noProof/>
                <w:webHidden/>
              </w:rPr>
            </w:r>
            <w:r>
              <w:rPr>
                <w:noProof/>
                <w:webHidden/>
              </w:rPr>
              <w:fldChar w:fldCharType="separate"/>
            </w:r>
            <w:r>
              <w:rPr>
                <w:noProof/>
                <w:webHidden/>
              </w:rPr>
              <w:t>1</w:t>
            </w:r>
            <w:r w:rsidR="004341DB">
              <w:rPr>
                <w:noProof/>
                <w:webHidden/>
              </w:rPr>
              <w:t>5</w:t>
            </w:r>
            <w:r>
              <w:rPr>
                <w:noProof/>
                <w:webHidden/>
              </w:rPr>
              <w:fldChar w:fldCharType="end"/>
            </w:r>
          </w:hyperlink>
        </w:p>
        <w:p w14:paraId="251CE921" w14:textId="558D965C"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34" w:history="1">
            <w:r w:rsidRPr="00B15CF8">
              <w:rPr>
                <w:rStyle w:val="Hyperlink"/>
                <w:noProof/>
              </w:rPr>
              <w:t>7.1.3 Event</w:t>
            </w:r>
            <w:r w:rsidRPr="00B15CF8">
              <w:rPr>
                <w:rStyle w:val="Hyperlink"/>
                <w:rFonts w:ascii="Cambria Math" w:hAnsi="Cambria Math" w:cs="Cambria Math"/>
                <w:noProof/>
              </w:rPr>
              <w:t>‑</w:t>
            </w:r>
            <w:r w:rsidRPr="00B15CF8">
              <w:rPr>
                <w:rStyle w:val="Hyperlink"/>
                <w:noProof/>
              </w:rPr>
              <w:t>driven dynamics and implications for shared methodologies</w:t>
            </w:r>
            <w:r>
              <w:rPr>
                <w:noProof/>
                <w:webHidden/>
              </w:rPr>
              <w:tab/>
            </w:r>
            <w:r>
              <w:rPr>
                <w:noProof/>
                <w:webHidden/>
              </w:rPr>
              <w:fldChar w:fldCharType="begin"/>
            </w:r>
            <w:r>
              <w:rPr>
                <w:noProof/>
                <w:webHidden/>
              </w:rPr>
              <w:instrText xml:space="preserve"> PAGEREF _Toc225418434 \h </w:instrText>
            </w:r>
            <w:r>
              <w:rPr>
                <w:noProof/>
                <w:webHidden/>
              </w:rPr>
            </w:r>
            <w:r>
              <w:rPr>
                <w:noProof/>
                <w:webHidden/>
              </w:rPr>
              <w:fldChar w:fldCharType="separate"/>
            </w:r>
            <w:r>
              <w:rPr>
                <w:noProof/>
                <w:webHidden/>
              </w:rPr>
              <w:t>1</w:t>
            </w:r>
            <w:r w:rsidR="004341DB">
              <w:rPr>
                <w:noProof/>
                <w:webHidden/>
              </w:rPr>
              <w:t>6</w:t>
            </w:r>
            <w:r>
              <w:rPr>
                <w:noProof/>
                <w:webHidden/>
              </w:rPr>
              <w:fldChar w:fldCharType="end"/>
            </w:r>
          </w:hyperlink>
        </w:p>
        <w:p w14:paraId="612854BA" w14:textId="09D86B3C"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35" w:history="1">
            <w:r w:rsidRPr="00B15CF8">
              <w:rPr>
                <w:rStyle w:val="Hyperlink"/>
                <w:noProof/>
                <w:lang w:val="en-GB"/>
              </w:rPr>
              <w:t>7.2 Harmonised non</w:t>
            </w:r>
            <w:r w:rsidRPr="00B15CF8">
              <w:rPr>
                <w:rStyle w:val="Hyperlink"/>
                <w:rFonts w:ascii="Cambria Math" w:hAnsi="Cambria Math" w:cs="Cambria Math"/>
                <w:noProof/>
                <w:lang w:val="en-GB"/>
              </w:rPr>
              <w:t>‑</w:t>
            </w:r>
            <w:r w:rsidRPr="00B15CF8">
              <w:rPr>
                <w:rStyle w:val="Hyperlink"/>
                <w:noProof/>
                <w:lang w:val="en-GB"/>
              </w:rPr>
              <w:t>binding criteria for operational management of sanitary protection zones</w:t>
            </w:r>
            <w:r>
              <w:rPr>
                <w:noProof/>
                <w:webHidden/>
              </w:rPr>
              <w:tab/>
            </w:r>
            <w:r>
              <w:rPr>
                <w:noProof/>
                <w:webHidden/>
              </w:rPr>
              <w:fldChar w:fldCharType="begin"/>
            </w:r>
            <w:r>
              <w:rPr>
                <w:noProof/>
                <w:webHidden/>
              </w:rPr>
              <w:instrText xml:space="preserve"> PAGEREF _Toc225418435 \h </w:instrText>
            </w:r>
            <w:r>
              <w:rPr>
                <w:noProof/>
                <w:webHidden/>
              </w:rPr>
            </w:r>
            <w:r>
              <w:rPr>
                <w:noProof/>
                <w:webHidden/>
              </w:rPr>
              <w:fldChar w:fldCharType="separate"/>
            </w:r>
            <w:r>
              <w:rPr>
                <w:noProof/>
                <w:webHidden/>
              </w:rPr>
              <w:t>1</w:t>
            </w:r>
            <w:r w:rsidR="004341DB">
              <w:rPr>
                <w:noProof/>
                <w:webHidden/>
              </w:rPr>
              <w:t>6</w:t>
            </w:r>
            <w:r>
              <w:rPr>
                <w:noProof/>
                <w:webHidden/>
              </w:rPr>
              <w:fldChar w:fldCharType="end"/>
            </w:r>
          </w:hyperlink>
        </w:p>
        <w:p w14:paraId="6347572F" w14:textId="00F021B1"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36" w:history="1">
            <w:r w:rsidRPr="00B15CF8">
              <w:rPr>
                <w:rStyle w:val="Hyperlink"/>
                <w:noProof/>
                <w:lang w:val="en-GB"/>
              </w:rPr>
              <w:t>7.2.1 Prioritising high</w:t>
            </w:r>
            <w:r w:rsidRPr="00B15CF8">
              <w:rPr>
                <w:rStyle w:val="Hyperlink"/>
                <w:rFonts w:ascii="Cambria Math" w:hAnsi="Cambria Math" w:cs="Cambria Math"/>
                <w:noProof/>
                <w:lang w:val="en-GB"/>
              </w:rPr>
              <w:t>‑</w:t>
            </w:r>
            <w:r w:rsidRPr="00B15CF8">
              <w:rPr>
                <w:rStyle w:val="Hyperlink"/>
                <w:noProof/>
                <w:lang w:val="en-GB"/>
              </w:rPr>
              <w:t>risk recharge and infiltration areas</w:t>
            </w:r>
            <w:r>
              <w:rPr>
                <w:noProof/>
                <w:webHidden/>
              </w:rPr>
              <w:tab/>
            </w:r>
            <w:r>
              <w:rPr>
                <w:noProof/>
                <w:webHidden/>
              </w:rPr>
              <w:fldChar w:fldCharType="begin"/>
            </w:r>
            <w:r>
              <w:rPr>
                <w:noProof/>
                <w:webHidden/>
              </w:rPr>
              <w:instrText xml:space="preserve"> PAGEREF _Toc225418436 \h </w:instrText>
            </w:r>
            <w:r>
              <w:rPr>
                <w:noProof/>
                <w:webHidden/>
              </w:rPr>
            </w:r>
            <w:r>
              <w:rPr>
                <w:noProof/>
                <w:webHidden/>
              </w:rPr>
              <w:fldChar w:fldCharType="separate"/>
            </w:r>
            <w:r>
              <w:rPr>
                <w:noProof/>
                <w:webHidden/>
              </w:rPr>
              <w:t>1</w:t>
            </w:r>
            <w:r w:rsidR="004341DB">
              <w:rPr>
                <w:noProof/>
                <w:webHidden/>
              </w:rPr>
              <w:t>7</w:t>
            </w:r>
            <w:r>
              <w:rPr>
                <w:noProof/>
                <w:webHidden/>
              </w:rPr>
              <w:fldChar w:fldCharType="end"/>
            </w:r>
          </w:hyperlink>
        </w:p>
        <w:p w14:paraId="42E88A54" w14:textId="101CC542"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37" w:history="1">
            <w:r w:rsidRPr="00B15CF8">
              <w:rPr>
                <w:rStyle w:val="Hyperlink"/>
                <w:noProof/>
              </w:rPr>
              <w:t>7.2.2 Aligning expectations for routine and event</w:t>
            </w:r>
            <w:r w:rsidRPr="00B15CF8">
              <w:rPr>
                <w:rStyle w:val="Hyperlink"/>
                <w:rFonts w:ascii="Cambria Math" w:hAnsi="Cambria Math" w:cs="Cambria Math"/>
                <w:noProof/>
              </w:rPr>
              <w:t>‑</w:t>
            </w:r>
            <w:r w:rsidRPr="00B15CF8">
              <w:rPr>
                <w:rStyle w:val="Hyperlink"/>
                <w:noProof/>
              </w:rPr>
              <w:t>based monitoring</w:t>
            </w:r>
            <w:r>
              <w:rPr>
                <w:noProof/>
                <w:webHidden/>
              </w:rPr>
              <w:tab/>
            </w:r>
            <w:r>
              <w:rPr>
                <w:noProof/>
                <w:webHidden/>
              </w:rPr>
              <w:fldChar w:fldCharType="begin"/>
            </w:r>
            <w:r>
              <w:rPr>
                <w:noProof/>
                <w:webHidden/>
              </w:rPr>
              <w:instrText xml:space="preserve"> PAGEREF _Toc225418437 \h </w:instrText>
            </w:r>
            <w:r>
              <w:rPr>
                <w:noProof/>
                <w:webHidden/>
              </w:rPr>
            </w:r>
            <w:r>
              <w:rPr>
                <w:noProof/>
                <w:webHidden/>
              </w:rPr>
              <w:fldChar w:fldCharType="separate"/>
            </w:r>
            <w:r>
              <w:rPr>
                <w:noProof/>
                <w:webHidden/>
              </w:rPr>
              <w:t>1</w:t>
            </w:r>
            <w:r w:rsidR="004341DB">
              <w:rPr>
                <w:noProof/>
                <w:webHidden/>
              </w:rPr>
              <w:t>7</w:t>
            </w:r>
            <w:r>
              <w:rPr>
                <w:noProof/>
                <w:webHidden/>
              </w:rPr>
              <w:fldChar w:fldCharType="end"/>
            </w:r>
          </w:hyperlink>
        </w:p>
        <w:p w14:paraId="6E0F93B3" w14:textId="16E79E6A"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38" w:history="1">
            <w:r w:rsidRPr="00B15CF8">
              <w:rPr>
                <w:rStyle w:val="Hyperlink"/>
                <w:noProof/>
              </w:rPr>
              <w:t>7.2.3 Structuring inspection planning around shared risk indicators</w:t>
            </w:r>
            <w:r>
              <w:rPr>
                <w:noProof/>
                <w:webHidden/>
              </w:rPr>
              <w:tab/>
            </w:r>
            <w:r>
              <w:rPr>
                <w:noProof/>
                <w:webHidden/>
              </w:rPr>
              <w:fldChar w:fldCharType="begin"/>
            </w:r>
            <w:r>
              <w:rPr>
                <w:noProof/>
                <w:webHidden/>
              </w:rPr>
              <w:instrText xml:space="preserve"> PAGEREF _Toc225418438 \h </w:instrText>
            </w:r>
            <w:r>
              <w:rPr>
                <w:noProof/>
                <w:webHidden/>
              </w:rPr>
            </w:r>
            <w:r>
              <w:rPr>
                <w:noProof/>
                <w:webHidden/>
              </w:rPr>
              <w:fldChar w:fldCharType="separate"/>
            </w:r>
            <w:r>
              <w:rPr>
                <w:noProof/>
                <w:webHidden/>
              </w:rPr>
              <w:t>1</w:t>
            </w:r>
            <w:r w:rsidR="004341DB">
              <w:rPr>
                <w:noProof/>
                <w:webHidden/>
              </w:rPr>
              <w:t>7</w:t>
            </w:r>
            <w:r>
              <w:rPr>
                <w:noProof/>
                <w:webHidden/>
              </w:rPr>
              <w:fldChar w:fldCharType="end"/>
            </w:r>
          </w:hyperlink>
        </w:p>
        <w:p w14:paraId="66A23C67" w14:textId="0A229E0C"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39" w:history="1">
            <w:r w:rsidRPr="00624A65">
              <w:rPr>
                <w:rStyle w:val="Hyperlink"/>
                <w:noProof/>
                <w:lang w:val="en-GB"/>
              </w:rPr>
              <w:t xml:space="preserve">7.2.4 Establishing compatible operational responses during </w:t>
            </w:r>
            <w:r w:rsidR="00624A65" w:rsidRPr="00624A65">
              <w:rPr>
                <w:rStyle w:val="Hyperlink"/>
                <w:noProof/>
              </w:rPr>
              <w:t>high-risk</w:t>
            </w:r>
            <w:r w:rsidRPr="00624A65">
              <w:rPr>
                <w:rStyle w:val="Hyperlink"/>
                <w:noProof/>
                <w:lang w:val="en-GB"/>
              </w:rPr>
              <w:t xml:space="preserve"> periods</w:t>
            </w:r>
            <w:r w:rsidRPr="00624A65">
              <w:rPr>
                <w:rStyle w:val="Hyperlink"/>
                <w:noProof/>
                <w:webHidden/>
              </w:rPr>
              <w:tab/>
            </w:r>
            <w:r w:rsidRPr="00624A65">
              <w:rPr>
                <w:rStyle w:val="Hyperlink"/>
                <w:noProof/>
                <w:webHidden/>
              </w:rPr>
              <w:fldChar w:fldCharType="begin"/>
            </w:r>
            <w:r w:rsidRPr="00624A65">
              <w:rPr>
                <w:rStyle w:val="Hyperlink"/>
                <w:noProof/>
                <w:webHidden/>
              </w:rPr>
              <w:instrText xml:space="preserve"> PAGEREF _Toc225418439 \h </w:instrText>
            </w:r>
            <w:r w:rsidRPr="00624A65">
              <w:rPr>
                <w:rStyle w:val="Hyperlink"/>
                <w:noProof/>
                <w:webHidden/>
              </w:rPr>
            </w:r>
            <w:r w:rsidRPr="00624A65">
              <w:rPr>
                <w:rStyle w:val="Hyperlink"/>
                <w:noProof/>
                <w:webHidden/>
              </w:rPr>
              <w:fldChar w:fldCharType="separate"/>
            </w:r>
            <w:r w:rsidRPr="00624A65">
              <w:rPr>
                <w:rStyle w:val="Hyperlink"/>
                <w:noProof/>
                <w:webHidden/>
              </w:rPr>
              <w:t>1</w:t>
            </w:r>
            <w:r w:rsidR="004341DB" w:rsidRPr="00624A65">
              <w:rPr>
                <w:rStyle w:val="Hyperlink"/>
                <w:noProof/>
                <w:webHidden/>
              </w:rPr>
              <w:t>7</w:t>
            </w:r>
            <w:r w:rsidRPr="00624A65">
              <w:rPr>
                <w:rStyle w:val="Hyperlink"/>
                <w:noProof/>
                <w:webHidden/>
              </w:rPr>
              <w:fldChar w:fldCharType="end"/>
            </w:r>
          </w:hyperlink>
        </w:p>
        <w:p w14:paraId="78F4175A" w14:textId="6002EFF1"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0" w:history="1">
            <w:r w:rsidRPr="00B15CF8">
              <w:rPr>
                <w:rStyle w:val="Hyperlink"/>
                <w:noProof/>
              </w:rPr>
              <w:t>7.2.5 Introducing a shared technical vocabulary for SPZ operations</w:t>
            </w:r>
            <w:r>
              <w:rPr>
                <w:noProof/>
                <w:webHidden/>
              </w:rPr>
              <w:tab/>
            </w:r>
            <w:r>
              <w:rPr>
                <w:noProof/>
                <w:webHidden/>
              </w:rPr>
              <w:fldChar w:fldCharType="begin"/>
            </w:r>
            <w:r>
              <w:rPr>
                <w:noProof/>
                <w:webHidden/>
              </w:rPr>
              <w:instrText xml:space="preserve"> PAGEREF _Toc225418440 \h </w:instrText>
            </w:r>
            <w:r>
              <w:rPr>
                <w:noProof/>
                <w:webHidden/>
              </w:rPr>
            </w:r>
            <w:r>
              <w:rPr>
                <w:noProof/>
                <w:webHidden/>
              </w:rPr>
              <w:fldChar w:fldCharType="separate"/>
            </w:r>
            <w:r>
              <w:rPr>
                <w:noProof/>
                <w:webHidden/>
              </w:rPr>
              <w:t>1</w:t>
            </w:r>
            <w:r w:rsidR="004341DB">
              <w:rPr>
                <w:noProof/>
                <w:webHidden/>
              </w:rPr>
              <w:t>7</w:t>
            </w:r>
            <w:r>
              <w:rPr>
                <w:noProof/>
                <w:webHidden/>
              </w:rPr>
              <w:fldChar w:fldCharType="end"/>
            </w:r>
          </w:hyperlink>
        </w:p>
        <w:p w14:paraId="4730D307" w14:textId="6F9078E9"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1" w:history="1">
            <w:r w:rsidRPr="00B15CF8">
              <w:rPr>
                <w:rStyle w:val="Hyperlink"/>
                <w:noProof/>
              </w:rPr>
              <w:t>7.2.6 Using harmonised criteria to support coordinated communication with local actors</w:t>
            </w:r>
            <w:r>
              <w:rPr>
                <w:noProof/>
                <w:webHidden/>
              </w:rPr>
              <w:tab/>
            </w:r>
            <w:r>
              <w:rPr>
                <w:noProof/>
                <w:webHidden/>
              </w:rPr>
              <w:fldChar w:fldCharType="begin"/>
            </w:r>
            <w:r>
              <w:rPr>
                <w:noProof/>
                <w:webHidden/>
              </w:rPr>
              <w:instrText xml:space="preserve"> PAGEREF _Toc225418441 \h </w:instrText>
            </w:r>
            <w:r>
              <w:rPr>
                <w:noProof/>
                <w:webHidden/>
              </w:rPr>
            </w:r>
            <w:r>
              <w:rPr>
                <w:noProof/>
                <w:webHidden/>
              </w:rPr>
              <w:fldChar w:fldCharType="separate"/>
            </w:r>
            <w:r>
              <w:rPr>
                <w:noProof/>
                <w:webHidden/>
              </w:rPr>
              <w:t>1</w:t>
            </w:r>
            <w:r w:rsidR="004341DB">
              <w:rPr>
                <w:noProof/>
                <w:webHidden/>
              </w:rPr>
              <w:t>7</w:t>
            </w:r>
            <w:r>
              <w:rPr>
                <w:noProof/>
                <w:webHidden/>
              </w:rPr>
              <w:fldChar w:fldCharType="end"/>
            </w:r>
          </w:hyperlink>
        </w:p>
        <w:p w14:paraId="371C8CC9" w14:textId="2AE485E7"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2" w:history="1">
            <w:r w:rsidRPr="00B15CF8">
              <w:rPr>
                <w:rStyle w:val="Hyperlink"/>
                <w:noProof/>
              </w:rPr>
              <w:t>7.2.7 Creating an iterative framework for progressive alignment of SPZ management</w:t>
            </w:r>
            <w:r>
              <w:rPr>
                <w:noProof/>
                <w:webHidden/>
              </w:rPr>
              <w:tab/>
            </w:r>
            <w:r>
              <w:rPr>
                <w:noProof/>
                <w:webHidden/>
              </w:rPr>
              <w:fldChar w:fldCharType="begin"/>
            </w:r>
            <w:r>
              <w:rPr>
                <w:noProof/>
                <w:webHidden/>
              </w:rPr>
              <w:instrText xml:space="preserve"> PAGEREF _Toc225418442 \h </w:instrText>
            </w:r>
            <w:r>
              <w:rPr>
                <w:noProof/>
                <w:webHidden/>
              </w:rPr>
            </w:r>
            <w:r>
              <w:rPr>
                <w:noProof/>
                <w:webHidden/>
              </w:rPr>
              <w:fldChar w:fldCharType="separate"/>
            </w:r>
            <w:r>
              <w:rPr>
                <w:noProof/>
                <w:webHidden/>
              </w:rPr>
              <w:t>1</w:t>
            </w:r>
            <w:r w:rsidR="004341DB">
              <w:rPr>
                <w:noProof/>
                <w:webHidden/>
              </w:rPr>
              <w:t>8</w:t>
            </w:r>
            <w:r>
              <w:rPr>
                <w:noProof/>
                <w:webHidden/>
              </w:rPr>
              <w:fldChar w:fldCharType="end"/>
            </w:r>
          </w:hyperlink>
        </w:p>
        <w:p w14:paraId="5D51BB4E" w14:textId="220C360D"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43" w:history="1">
            <w:r w:rsidRPr="00B15CF8">
              <w:rPr>
                <w:rStyle w:val="Hyperlink"/>
                <w:noProof/>
                <w:lang w:val="en-GB"/>
              </w:rPr>
              <w:t>7.3 Shared tools supporting sanitary protection zone management</w:t>
            </w:r>
            <w:r>
              <w:rPr>
                <w:noProof/>
                <w:webHidden/>
              </w:rPr>
              <w:tab/>
            </w:r>
            <w:r>
              <w:rPr>
                <w:noProof/>
                <w:webHidden/>
              </w:rPr>
              <w:fldChar w:fldCharType="begin"/>
            </w:r>
            <w:r>
              <w:rPr>
                <w:noProof/>
                <w:webHidden/>
              </w:rPr>
              <w:instrText xml:space="preserve"> PAGEREF _Toc225418443 \h </w:instrText>
            </w:r>
            <w:r>
              <w:rPr>
                <w:noProof/>
                <w:webHidden/>
              </w:rPr>
            </w:r>
            <w:r>
              <w:rPr>
                <w:noProof/>
                <w:webHidden/>
              </w:rPr>
              <w:fldChar w:fldCharType="separate"/>
            </w:r>
            <w:r>
              <w:rPr>
                <w:noProof/>
                <w:webHidden/>
              </w:rPr>
              <w:t>1</w:t>
            </w:r>
            <w:r w:rsidR="004341DB">
              <w:rPr>
                <w:noProof/>
                <w:webHidden/>
              </w:rPr>
              <w:t>8</w:t>
            </w:r>
            <w:r>
              <w:rPr>
                <w:noProof/>
                <w:webHidden/>
              </w:rPr>
              <w:fldChar w:fldCharType="end"/>
            </w:r>
          </w:hyperlink>
        </w:p>
        <w:p w14:paraId="238B99B2" w14:textId="2A0E35B2"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4" w:history="1">
            <w:r w:rsidRPr="00B15CF8">
              <w:rPr>
                <w:rStyle w:val="Hyperlink"/>
                <w:noProof/>
              </w:rPr>
              <w:t>7.3.1 Joint approaches for investigating recharge areas and flow connectivity</w:t>
            </w:r>
            <w:r>
              <w:rPr>
                <w:noProof/>
                <w:webHidden/>
              </w:rPr>
              <w:tab/>
            </w:r>
            <w:r>
              <w:rPr>
                <w:noProof/>
                <w:webHidden/>
              </w:rPr>
              <w:fldChar w:fldCharType="begin"/>
            </w:r>
            <w:r>
              <w:rPr>
                <w:noProof/>
                <w:webHidden/>
              </w:rPr>
              <w:instrText xml:space="preserve"> PAGEREF _Toc225418444 \h </w:instrText>
            </w:r>
            <w:r>
              <w:rPr>
                <w:noProof/>
                <w:webHidden/>
              </w:rPr>
            </w:r>
            <w:r>
              <w:rPr>
                <w:noProof/>
                <w:webHidden/>
              </w:rPr>
              <w:fldChar w:fldCharType="separate"/>
            </w:r>
            <w:r>
              <w:rPr>
                <w:noProof/>
                <w:webHidden/>
              </w:rPr>
              <w:t>1</w:t>
            </w:r>
            <w:r w:rsidR="004341DB">
              <w:rPr>
                <w:noProof/>
                <w:webHidden/>
              </w:rPr>
              <w:t>8</w:t>
            </w:r>
            <w:r>
              <w:rPr>
                <w:noProof/>
                <w:webHidden/>
              </w:rPr>
              <w:fldChar w:fldCharType="end"/>
            </w:r>
          </w:hyperlink>
        </w:p>
        <w:p w14:paraId="3D940CE4" w14:textId="60109AEB"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5" w:history="1">
            <w:r w:rsidRPr="00B15CF8">
              <w:rPr>
                <w:rStyle w:val="Hyperlink"/>
                <w:noProof/>
              </w:rPr>
              <w:t>7.3.2 Harmonised use of vulnerability</w:t>
            </w:r>
            <w:r w:rsidRPr="00B15CF8">
              <w:rPr>
                <w:rStyle w:val="Hyperlink"/>
                <w:rFonts w:ascii="Cambria Math" w:hAnsi="Cambria Math" w:cs="Cambria Math"/>
                <w:noProof/>
              </w:rPr>
              <w:t>‑</w:t>
            </w:r>
            <w:r w:rsidRPr="00B15CF8">
              <w:rPr>
                <w:rStyle w:val="Hyperlink"/>
                <w:noProof/>
              </w:rPr>
              <w:t>based assessment tools</w:t>
            </w:r>
            <w:r>
              <w:rPr>
                <w:noProof/>
                <w:webHidden/>
              </w:rPr>
              <w:tab/>
            </w:r>
            <w:r>
              <w:rPr>
                <w:noProof/>
                <w:webHidden/>
              </w:rPr>
              <w:fldChar w:fldCharType="begin"/>
            </w:r>
            <w:r>
              <w:rPr>
                <w:noProof/>
                <w:webHidden/>
              </w:rPr>
              <w:instrText xml:space="preserve"> PAGEREF _Toc225418445 \h </w:instrText>
            </w:r>
            <w:r>
              <w:rPr>
                <w:noProof/>
                <w:webHidden/>
              </w:rPr>
            </w:r>
            <w:r>
              <w:rPr>
                <w:noProof/>
                <w:webHidden/>
              </w:rPr>
              <w:fldChar w:fldCharType="separate"/>
            </w:r>
            <w:r>
              <w:rPr>
                <w:noProof/>
                <w:webHidden/>
              </w:rPr>
              <w:t>1</w:t>
            </w:r>
            <w:r w:rsidR="004341DB">
              <w:rPr>
                <w:noProof/>
                <w:webHidden/>
              </w:rPr>
              <w:t>8</w:t>
            </w:r>
            <w:r>
              <w:rPr>
                <w:noProof/>
                <w:webHidden/>
              </w:rPr>
              <w:fldChar w:fldCharType="end"/>
            </w:r>
          </w:hyperlink>
        </w:p>
        <w:p w14:paraId="73BF6EC0" w14:textId="34E867FA"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6" w:history="1">
            <w:r w:rsidRPr="00B15CF8">
              <w:rPr>
                <w:rStyle w:val="Hyperlink"/>
                <w:noProof/>
              </w:rPr>
              <w:t>7.3.3 Event</w:t>
            </w:r>
            <w:r w:rsidRPr="00B15CF8">
              <w:rPr>
                <w:rStyle w:val="Hyperlink"/>
                <w:rFonts w:ascii="Cambria Math" w:hAnsi="Cambria Math" w:cs="Cambria Math"/>
                <w:noProof/>
              </w:rPr>
              <w:t>‑</w:t>
            </w:r>
            <w:r w:rsidRPr="00B15CF8">
              <w:rPr>
                <w:rStyle w:val="Hyperlink"/>
                <w:noProof/>
              </w:rPr>
              <w:t>responsive tools for early detection and operational decision</w:t>
            </w:r>
            <w:r w:rsidRPr="00B15CF8">
              <w:rPr>
                <w:rStyle w:val="Hyperlink"/>
                <w:rFonts w:ascii="Cambria Math" w:hAnsi="Cambria Math" w:cs="Cambria Math"/>
                <w:noProof/>
              </w:rPr>
              <w:t>‑</w:t>
            </w:r>
            <w:r w:rsidRPr="00B15CF8">
              <w:rPr>
                <w:rStyle w:val="Hyperlink"/>
                <w:noProof/>
              </w:rPr>
              <w:t>making</w:t>
            </w:r>
            <w:r>
              <w:rPr>
                <w:noProof/>
                <w:webHidden/>
              </w:rPr>
              <w:tab/>
            </w:r>
            <w:r>
              <w:rPr>
                <w:noProof/>
                <w:webHidden/>
              </w:rPr>
              <w:fldChar w:fldCharType="begin"/>
            </w:r>
            <w:r>
              <w:rPr>
                <w:noProof/>
                <w:webHidden/>
              </w:rPr>
              <w:instrText xml:space="preserve"> PAGEREF _Toc225418446 \h </w:instrText>
            </w:r>
            <w:r>
              <w:rPr>
                <w:noProof/>
                <w:webHidden/>
              </w:rPr>
            </w:r>
            <w:r>
              <w:rPr>
                <w:noProof/>
                <w:webHidden/>
              </w:rPr>
              <w:fldChar w:fldCharType="separate"/>
            </w:r>
            <w:r>
              <w:rPr>
                <w:noProof/>
                <w:webHidden/>
              </w:rPr>
              <w:t>1</w:t>
            </w:r>
            <w:r w:rsidR="004341DB">
              <w:rPr>
                <w:noProof/>
                <w:webHidden/>
              </w:rPr>
              <w:t>8</w:t>
            </w:r>
            <w:r>
              <w:rPr>
                <w:noProof/>
                <w:webHidden/>
              </w:rPr>
              <w:fldChar w:fldCharType="end"/>
            </w:r>
          </w:hyperlink>
        </w:p>
        <w:p w14:paraId="1208B97C" w14:textId="6AA62184"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7" w:history="1">
            <w:r w:rsidRPr="00B15CF8">
              <w:rPr>
                <w:rStyle w:val="Hyperlink"/>
                <w:noProof/>
              </w:rPr>
              <w:t>7.3.4 Spatial tools for identifying hotspots and prioritising interventions</w:t>
            </w:r>
            <w:r>
              <w:rPr>
                <w:noProof/>
                <w:webHidden/>
              </w:rPr>
              <w:tab/>
            </w:r>
            <w:r>
              <w:rPr>
                <w:noProof/>
                <w:webHidden/>
              </w:rPr>
              <w:fldChar w:fldCharType="begin"/>
            </w:r>
            <w:r>
              <w:rPr>
                <w:noProof/>
                <w:webHidden/>
              </w:rPr>
              <w:instrText xml:space="preserve"> PAGEREF _Toc225418447 \h </w:instrText>
            </w:r>
            <w:r>
              <w:rPr>
                <w:noProof/>
                <w:webHidden/>
              </w:rPr>
            </w:r>
            <w:r>
              <w:rPr>
                <w:noProof/>
                <w:webHidden/>
              </w:rPr>
              <w:fldChar w:fldCharType="separate"/>
            </w:r>
            <w:r>
              <w:rPr>
                <w:noProof/>
                <w:webHidden/>
              </w:rPr>
              <w:t>1</w:t>
            </w:r>
            <w:r w:rsidR="004341DB">
              <w:rPr>
                <w:noProof/>
                <w:webHidden/>
              </w:rPr>
              <w:t>9</w:t>
            </w:r>
            <w:r>
              <w:rPr>
                <w:noProof/>
                <w:webHidden/>
              </w:rPr>
              <w:fldChar w:fldCharType="end"/>
            </w:r>
          </w:hyperlink>
        </w:p>
        <w:p w14:paraId="73C075BA" w14:textId="50A458D0"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8" w:history="1">
            <w:r w:rsidRPr="00B15CF8">
              <w:rPr>
                <w:rStyle w:val="Hyperlink"/>
                <w:noProof/>
              </w:rPr>
              <w:t>7.3.5 Joint operational checklists and SPZ compliance tools</w:t>
            </w:r>
            <w:r>
              <w:rPr>
                <w:noProof/>
                <w:webHidden/>
              </w:rPr>
              <w:tab/>
            </w:r>
            <w:r>
              <w:rPr>
                <w:noProof/>
                <w:webHidden/>
              </w:rPr>
              <w:fldChar w:fldCharType="begin"/>
            </w:r>
            <w:r>
              <w:rPr>
                <w:noProof/>
                <w:webHidden/>
              </w:rPr>
              <w:instrText xml:space="preserve"> PAGEREF _Toc225418448 \h </w:instrText>
            </w:r>
            <w:r>
              <w:rPr>
                <w:noProof/>
                <w:webHidden/>
              </w:rPr>
            </w:r>
            <w:r>
              <w:rPr>
                <w:noProof/>
                <w:webHidden/>
              </w:rPr>
              <w:fldChar w:fldCharType="separate"/>
            </w:r>
            <w:r>
              <w:rPr>
                <w:noProof/>
                <w:webHidden/>
              </w:rPr>
              <w:t>1</w:t>
            </w:r>
            <w:r w:rsidR="004341DB">
              <w:rPr>
                <w:noProof/>
                <w:webHidden/>
              </w:rPr>
              <w:t>9</w:t>
            </w:r>
            <w:r>
              <w:rPr>
                <w:noProof/>
                <w:webHidden/>
              </w:rPr>
              <w:fldChar w:fldCharType="end"/>
            </w:r>
          </w:hyperlink>
        </w:p>
        <w:p w14:paraId="39715CCD" w14:textId="51E1B532"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49" w:history="1">
            <w:r w:rsidRPr="00B15CF8">
              <w:rPr>
                <w:rStyle w:val="Hyperlink"/>
                <w:noProof/>
              </w:rPr>
              <w:t>7.3.6 Harmonised data</w:t>
            </w:r>
            <w:r w:rsidRPr="00B15CF8">
              <w:rPr>
                <w:rStyle w:val="Hyperlink"/>
                <w:rFonts w:ascii="Cambria Math" w:hAnsi="Cambria Math" w:cs="Cambria Math"/>
                <w:noProof/>
              </w:rPr>
              <w:t>‑</w:t>
            </w:r>
            <w:r w:rsidRPr="00B15CF8">
              <w:rPr>
                <w:rStyle w:val="Hyperlink"/>
                <w:noProof/>
              </w:rPr>
              <w:t>processing and visualisation tools</w:t>
            </w:r>
            <w:r>
              <w:rPr>
                <w:noProof/>
                <w:webHidden/>
              </w:rPr>
              <w:tab/>
            </w:r>
            <w:r>
              <w:rPr>
                <w:noProof/>
                <w:webHidden/>
              </w:rPr>
              <w:fldChar w:fldCharType="begin"/>
            </w:r>
            <w:r>
              <w:rPr>
                <w:noProof/>
                <w:webHidden/>
              </w:rPr>
              <w:instrText xml:space="preserve"> PAGEREF _Toc225418449 \h </w:instrText>
            </w:r>
            <w:r>
              <w:rPr>
                <w:noProof/>
                <w:webHidden/>
              </w:rPr>
            </w:r>
            <w:r>
              <w:rPr>
                <w:noProof/>
                <w:webHidden/>
              </w:rPr>
              <w:fldChar w:fldCharType="separate"/>
            </w:r>
            <w:r>
              <w:rPr>
                <w:noProof/>
                <w:webHidden/>
              </w:rPr>
              <w:t>1</w:t>
            </w:r>
            <w:r w:rsidR="004341DB">
              <w:rPr>
                <w:noProof/>
                <w:webHidden/>
              </w:rPr>
              <w:t>9</w:t>
            </w:r>
            <w:r>
              <w:rPr>
                <w:noProof/>
                <w:webHidden/>
              </w:rPr>
              <w:fldChar w:fldCharType="end"/>
            </w:r>
          </w:hyperlink>
        </w:p>
        <w:p w14:paraId="4D02049B" w14:textId="4345832F"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50" w:history="1">
            <w:r w:rsidRPr="00B15CF8">
              <w:rPr>
                <w:rStyle w:val="Hyperlink"/>
                <w:noProof/>
                <w:lang w:val="en-GB"/>
              </w:rPr>
              <w:t>7.3.7 Tools for supporting joint risk assessment</w:t>
            </w:r>
            <w:r>
              <w:rPr>
                <w:noProof/>
                <w:webHidden/>
              </w:rPr>
              <w:tab/>
            </w:r>
            <w:r>
              <w:rPr>
                <w:noProof/>
                <w:webHidden/>
              </w:rPr>
              <w:fldChar w:fldCharType="begin"/>
            </w:r>
            <w:r>
              <w:rPr>
                <w:noProof/>
                <w:webHidden/>
              </w:rPr>
              <w:instrText xml:space="preserve"> PAGEREF _Toc225418450 \h </w:instrText>
            </w:r>
            <w:r>
              <w:rPr>
                <w:noProof/>
                <w:webHidden/>
              </w:rPr>
            </w:r>
            <w:r>
              <w:rPr>
                <w:noProof/>
                <w:webHidden/>
              </w:rPr>
              <w:fldChar w:fldCharType="separate"/>
            </w:r>
            <w:r>
              <w:rPr>
                <w:noProof/>
                <w:webHidden/>
              </w:rPr>
              <w:t>1</w:t>
            </w:r>
            <w:r w:rsidR="004341DB">
              <w:rPr>
                <w:noProof/>
                <w:webHidden/>
              </w:rPr>
              <w:t>9</w:t>
            </w:r>
            <w:r>
              <w:rPr>
                <w:noProof/>
                <w:webHidden/>
              </w:rPr>
              <w:fldChar w:fldCharType="end"/>
            </w:r>
          </w:hyperlink>
        </w:p>
        <w:p w14:paraId="617789DF" w14:textId="0B5E9F67" w:rsidR="00336FA1" w:rsidRDefault="00336FA1" w:rsidP="000B4994">
          <w:pPr>
            <w:pStyle w:val="TOC1"/>
            <w:spacing w:line="360" w:lineRule="auto"/>
            <w:rPr>
              <w:rFonts w:eastAsiaTheme="minorEastAsia"/>
              <w:noProof/>
              <w:kern w:val="2"/>
              <w:sz w:val="24"/>
              <w:szCs w:val="24"/>
              <w:lang w:val="hr-HR" w:eastAsia="hr-HR"/>
              <w14:ligatures w14:val="standardContextual"/>
            </w:rPr>
          </w:pPr>
          <w:hyperlink w:anchor="_Toc225418451" w:history="1">
            <w:r w:rsidRPr="00C63E2F">
              <w:rPr>
                <w:rStyle w:val="Hyperlink"/>
                <w:noProof/>
                <w:lang w:val="en-GB"/>
              </w:rPr>
              <w:t xml:space="preserve">8 </w:t>
            </w:r>
            <w:r w:rsidR="00C63E2F" w:rsidRPr="00C63E2F">
              <w:rPr>
                <w:rStyle w:val="Hyperlink"/>
                <w:noProof/>
              </w:rPr>
              <w:t>Guidelines for updating the 2018 Montenegro–Albania Water Management Agreement</w:t>
            </w:r>
            <w:r w:rsidRPr="00C63E2F">
              <w:rPr>
                <w:rStyle w:val="Hyperlink"/>
                <w:noProof/>
                <w:webHidden/>
              </w:rPr>
              <w:tab/>
            </w:r>
            <w:r w:rsidR="004341DB">
              <w:rPr>
                <w:rStyle w:val="Hyperlink"/>
                <w:noProof/>
                <w:webHidden/>
              </w:rPr>
              <w:t>21</w:t>
            </w:r>
          </w:hyperlink>
        </w:p>
        <w:p w14:paraId="41F10881" w14:textId="0D99B76A" w:rsidR="00336FA1" w:rsidRDefault="00336FA1" w:rsidP="000B4994">
          <w:pPr>
            <w:pStyle w:val="TOC1"/>
            <w:spacing w:line="360" w:lineRule="auto"/>
            <w:rPr>
              <w:rFonts w:eastAsiaTheme="minorEastAsia"/>
              <w:noProof/>
              <w:kern w:val="2"/>
              <w:sz w:val="24"/>
              <w:szCs w:val="24"/>
              <w:lang w:val="hr-HR" w:eastAsia="hr-HR"/>
              <w14:ligatures w14:val="standardContextual"/>
            </w:rPr>
          </w:pPr>
          <w:hyperlink w:anchor="_Toc225418452" w:history="1">
            <w:r w:rsidRPr="00B15CF8">
              <w:rPr>
                <w:rStyle w:val="Hyperlink"/>
                <w:noProof/>
                <w:lang w:val="en-GB"/>
              </w:rPr>
              <w:t>9 Phased implementation roadmap of the Joint Framework document</w:t>
            </w:r>
            <w:r>
              <w:rPr>
                <w:noProof/>
                <w:webHidden/>
              </w:rPr>
              <w:tab/>
            </w:r>
            <w:r>
              <w:rPr>
                <w:noProof/>
                <w:webHidden/>
              </w:rPr>
              <w:fldChar w:fldCharType="begin"/>
            </w:r>
            <w:r>
              <w:rPr>
                <w:noProof/>
                <w:webHidden/>
              </w:rPr>
              <w:instrText xml:space="preserve"> PAGEREF _Toc225418452 \h </w:instrText>
            </w:r>
            <w:r>
              <w:rPr>
                <w:noProof/>
                <w:webHidden/>
              </w:rPr>
            </w:r>
            <w:r>
              <w:rPr>
                <w:noProof/>
                <w:webHidden/>
              </w:rPr>
              <w:fldChar w:fldCharType="separate"/>
            </w:r>
            <w:r>
              <w:rPr>
                <w:noProof/>
                <w:webHidden/>
              </w:rPr>
              <w:t>2</w:t>
            </w:r>
            <w:r w:rsidR="004341DB">
              <w:rPr>
                <w:noProof/>
                <w:webHidden/>
              </w:rPr>
              <w:t>2</w:t>
            </w:r>
            <w:r>
              <w:rPr>
                <w:noProof/>
                <w:webHidden/>
              </w:rPr>
              <w:fldChar w:fldCharType="end"/>
            </w:r>
          </w:hyperlink>
        </w:p>
        <w:p w14:paraId="56E00432" w14:textId="67898DAE"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53" w:history="1">
            <w:r w:rsidRPr="00B15CF8">
              <w:rPr>
                <w:rStyle w:val="Hyperlink"/>
                <w:noProof/>
                <w:lang w:val="en-GB"/>
              </w:rPr>
              <w:t>9.1 Phase 1 (Months 0–12): Establishing foundation and pilot launch</w:t>
            </w:r>
            <w:r>
              <w:rPr>
                <w:noProof/>
                <w:webHidden/>
              </w:rPr>
              <w:tab/>
            </w:r>
            <w:r>
              <w:rPr>
                <w:noProof/>
                <w:webHidden/>
              </w:rPr>
              <w:fldChar w:fldCharType="begin"/>
            </w:r>
            <w:r>
              <w:rPr>
                <w:noProof/>
                <w:webHidden/>
              </w:rPr>
              <w:instrText xml:space="preserve"> PAGEREF _Toc225418453 \h </w:instrText>
            </w:r>
            <w:r>
              <w:rPr>
                <w:noProof/>
                <w:webHidden/>
              </w:rPr>
            </w:r>
            <w:r>
              <w:rPr>
                <w:noProof/>
                <w:webHidden/>
              </w:rPr>
              <w:fldChar w:fldCharType="separate"/>
            </w:r>
            <w:r>
              <w:rPr>
                <w:noProof/>
                <w:webHidden/>
              </w:rPr>
              <w:t>2</w:t>
            </w:r>
            <w:r w:rsidR="004341DB">
              <w:rPr>
                <w:noProof/>
                <w:webHidden/>
              </w:rPr>
              <w:t>3</w:t>
            </w:r>
            <w:r>
              <w:rPr>
                <w:noProof/>
                <w:webHidden/>
              </w:rPr>
              <w:fldChar w:fldCharType="end"/>
            </w:r>
          </w:hyperlink>
        </w:p>
        <w:p w14:paraId="6B0DC901" w14:textId="4CFD756D"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54" w:history="1">
            <w:r w:rsidRPr="00B15CF8">
              <w:rPr>
                <w:rStyle w:val="Hyperlink"/>
                <w:rFonts w:eastAsia="Times New Roman"/>
                <w:noProof/>
                <w:lang w:val="en-GB" w:eastAsia="hr-HR"/>
              </w:rPr>
              <w:t>9.2 Phase 2 (Months 12–24): Systematization and operational integration</w:t>
            </w:r>
            <w:r>
              <w:rPr>
                <w:noProof/>
                <w:webHidden/>
              </w:rPr>
              <w:tab/>
            </w:r>
            <w:r>
              <w:rPr>
                <w:noProof/>
                <w:webHidden/>
              </w:rPr>
              <w:fldChar w:fldCharType="begin"/>
            </w:r>
            <w:r>
              <w:rPr>
                <w:noProof/>
                <w:webHidden/>
              </w:rPr>
              <w:instrText xml:space="preserve"> PAGEREF _Toc225418454 \h </w:instrText>
            </w:r>
            <w:r>
              <w:rPr>
                <w:noProof/>
                <w:webHidden/>
              </w:rPr>
            </w:r>
            <w:r>
              <w:rPr>
                <w:noProof/>
                <w:webHidden/>
              </w:rPr>
              <w:fldChar w:fldCharType="separate"/>
            </w:r>
            <w:r>
              <w:rPr>
                <w:noProof/>
                <w:webHidden/>
              </w:rPr>
              <w:t>2</w:t>
            </w:r>
            <w:r w:rsidR="004341DB">
              <w:rPr>
                <w:noProof/>
                <w:webHidden/>
              </w:rPr>
              <w:t>3</w:t>
            </w:r>
            <w:r>
              <w:rPr>
                <w:noProof/>
                <w:webHidden/>
              </w:rPr>
              <w:fldChar w:fldCharType="end"/>
            </w:r>
          </w:hyperlink>
        </w:p>
        <w:p w14:paraId="0AE51936" w14:textId="26A64F47"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55" w:history="1">
            <w:r w:rsidRPr="00B15CF8">
              <w:rPr>
                <w:rStyle w:val="Hyperlink"/>
                <w:rFonts w:eastAsia="Times New Roman"/>
                <w:noProof/>
                <w:lang w:val="en-GB" w:eastAsia="hr-HR"/>
              </w:rPr>
              <w:t>9.3 Phase 3 (Months 24–36): Consolidation, scaling and reporting</w:t>
            </w:r>
            <w:r>
              <w:rPr>
                <w:noProof/>
                <w:webHidden/>
              </w:rPr>
              <w:tab/>
            </w:r>
            <w:r>
              <w:rPr>
                <w:noProof/>
                <w:webHidden/>
              </w:rPr>
              <w:fldChar w:fldCharType="begin"/>
            </w:r>
            <w:r>
              <w:rPr>
                <w:noProof/>
                <w:webHidden/>
              </w:rPr>
              <w:instrText xml:space="preserve"> PAGEREF _Toc225418455 \h </w:instrText>
            </w:r>
            <w:r>
              <w:rPr>
                <w:noProof/>
                <w:webHidden/>
              </w:rPr>
            </w:r>
            <w:r>
              <w:rPr>
                <w:noProof/>
                <w:webHidden/>
              </w:rPr>
              <w:fldChar w:fldCharType="separate"/>
            </w:r>
            <w:r>
              <w:rPr>
                <w:noProof/>
                <w:webHidden/>
              </w:rPr>
              <w:t>2</w:t>
            </w:r>
            <w:r w:rsidR="004341DB">
              <w:rPr>
                <w:noProof/>
                <w:webHidden/>
              </w:rPr>
              <w:t>4</w:t>
            </w:r>
            <w:r>
              <w:rPr>
                <w:noProof/>
                <w:webHidden/>
              </w:rPr>
              <w:fldChar w:fldCharType="end"/>
            </w:r>
          </w:hyperlink>
        </w:p>
        <w:p w14:paraId="1204EB2F" w14:textId="0A711DDD" w:rsidR="00336FA1" w:rsidRDefault="00336FA1" w:rsidP="000B4994">
          <w:pPr>
            <w:pStyle w:val="TOC1"/>
            <w:spacing w:line="276" w:lineRule="auto"/>
            <w:rPr>
              <w:rFonts w:eastAsiaTheme="minorEastAsia"/>
              <w:noProof/>
              <w:kern w:val="2"/>
              <w:sz w:val="24"/>
              <w:szCs w:val="24"/>
              <w:lang w:val="hr-HR" w:eastAsia="hr-HR"/>
              <w14:ligatures w14:val="standardContextual"/>
            </w:rPr>
          </w:pPr>
          <w:hyperlink w:anchor="_Toc225418456" w:history="1">
            <w:r w:rsidRPr="00B15CF8">
              <w:rPr>
                <w:rStyle w:val="Hyperlink"/>
                <w:noProof/>
                <w:lang w:val="en-GB"/>
              </w:rPr>
              <w:t>10 Performance tracking for output 2.2: indicators and verification</w:t>
            </w:r>
            <w:r>
              <w:rPr>
                <w:noProof/>
                <w:webHidden/>
              </w:rPr>
              <w:tab/>
            </w:r>
            <w:r>
              <w:rPr>
                <w:noProof/>
                <w:webHidden/>
              </w:rPr>
              <w:fldChar w:fldCharType="begin"/>
            </w:r>
            <w:r>
              <w:rPr>
                <w:noProof/>
                <w:webHidden/>
              </w:rPr>
              <w:instrText xml:space="preserve"> PAGEREF _Toc225418456 \h </w:instrText>
            </w:r>
            <w:r>
              <w:rPr>
                <w:noProof/>
                <w:webHidden/>
              </w:rPr>
            </w:r>
            <w:r>
              <w:rPr>
                <w:noProof/>
                <w:webHidden/>
              </w:rPr>
              <w:fldChar w:fldCharType="separate"/>
            </w:r>
            <w:r>
              <w:rPr>
                <w:noProof/>
                <w:webHidden/>
              </w:rPr>
              <w:t>2</w:t>
            </w:r>
            <w:r w:rsidR="00420A95">
              <w:rPr>
                <w:noProof/>
                <w:webHidden/>
              </w:rPr>
              <w:t>4</w:t>
            </w:r>
            <w:r>
              <w:rPr>
                <w:noProof/>
                <w:webHidden/>
              </w:rPr>
              <w:fldChar w:fldCharType="end"/>
            </w:r>
          </w:hyperlink>
        </w:p>
        <w:p w14:paraId="61BF3740" w14:textId="21D10836"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57" w:history="1">
            <w:r w:rsidRPr="00B15CF8">
              <w:rPr>
                <w:rStyle w:val="Hyperlink"/>
                <w:rFonts w:eastAsia="Times New Roman"/>
                <w:noProof/>
                <w:lang w:eastAsia="hr-HR"/>
              </w:rPr>
              <w:t>10.1 Indicator structure and purpose</w:t>
            </w:r>
            <w:r>
              <w:rPr>
                <w:noProof/>
                <w:webHidden/>
              </w:rPr>
              <w:tab/>
            </w:r>
            <w:r>
              <w:rPr>
                <w:noProof/>
                <w:webHidden/>
              </w:rPr>
              <w:fldChar w:fldCharType="begin"/>
            </w:r>
            <w:r>
              <w:rPr>
                <w:noProof/>
                <w:webHidden/>
              </w:rPr>
              <w:instrText xml:space="preserve"> PAGEREF _Toc225418457 \h </w:instrText>
            </w:r>
            <w:r>
              <w:rPr>
                <w:noProof/>
                <w:webHidden/>
              </w:rPr>
            </w:r>
            <w:r>
              <w:rPr>
                <w:noProof/>
                <w:webHidden/>
              </w:rPr>
              <w:fldChar w:fldCharType="separate"/>
            </w:r>
            <w:r>
              <w:rPr>
                <w:noProof/>
                <w:webHidden/>
              </w:rPr>
              <w:t>2</w:t>
            </w:r>
            <w:r w:rsidR="00420A95">
              <w:rPr>
                <w:noProof/>
                <w:webHidden/>
              </w:rPr>
              <w:t>5</w:t>
            </w:r>
            <w:r>
              <w:rPr>
                <w:noProof/>
                <w:webHidden/>
              </w:rPr>
              <w:fldChar w:fldCharType="end"/>
            </w:r>
          </w:hyperlink>
        </w:p>
        <w:p w14:paraId="7FB76F88" w14:textId="607C893E"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58" w:history="1">
            <w:r w:rsidRPr="00B15CF8">
              <w:rPr>
                <w:rStyle w:val="Hyperlink"/>
                <w:rFonts w:eastAsia="Times New Roman"/>
                <w:noProof/>
                <w:lang w:eastAsia="hr-HR"/>
              </w:rPr>
              <w:t>10.2 Verification approach</w:t>
            </w:r>
            <w:r>
              <w:rPr>
                <w:noProof/>
                <w:webHidden/>
              </w:rPr>
              <w:tab/>
            </w:r>
            <w:r>
              <w:rPr>
                <w:noProof/>
                <w:webHidden/>
              </w:rPr>
              <w:fldChar w:fldCharType="begin"/>
            </w:r>
            <w:r>
              <w:rPr>
                <w:noProof/>
                <w:webHidden/>
              </w:rPr>
              <w:instrText xml:space="preserve"> PAGEREF _Toc225418458 \h </w:instrText>
            </w:r>
            <w:r>
              <w:rPr>
                <w:noProof/>
                <w:webHidden/>
              </w:rPr>
            </w:r>
            <w:r>
              <w:rPr>
                <w:noProof/>
                <w:webHidden/>
              </w:rPr>
              <w:fldChar w:fldCharType="separate"/>
            </w:r>
            <w:r>
              <w:rPr>
                <w:noProof/>
                <w:webHidden/>
              </w:rPr>
              <w:t>2</w:t>
            </w:r>
            <w:r w:rsidR="00420A95">
              <w:rPr>
                <w:noProof/>
                <w:webHidden/>
              </w:rPr>
              <w:t>5</w:t>
            </w:r>
            <w:r>
              <w:rPr>
                <w:noProof/>
                <w:webHidden/>
              </w:rPr>
              <w:fldChar w:fldCharType="end"/>
            </w:r>
          </w:hyperlink>
        </w:p>
        <w:p w14:paraId="3B3EBA14" w14:textId="26B217B7"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59" w:history="1">
            <w:r w:rsidRPr="00B15CF8">
              <w:rPr>
                <w:rStyle w:val="Hyperlink"/>
                <w:rFonts w:eastAsia="Times New Roman"/>
                <w:noProof/>
                <w:lang w:eastAsia="hr-HR"/>
              </w:rPr>
              <w:t>10.3 Use of indicators in project management</w:t>
            </w:r>
            <w:r>
              <w:rPr>
                <w:noProof/>
                <w:webHidden/>
              </w:rPr>
              <w:tab/>
            </w:r>
            <w:r>
              <w:rPr>
                <w:noProof/>
                <w:webHidden/>
              </w:rPr>
              <w:fldChar w:fldCharType="begin"/>
            </w:r>
            <w:r>
              <w:rPr>
                <w:noProof/>
                <w:webHidden/>
              </w:rPr>
              <w:instrText xml:space="preserve"> PAGEREF _Toc225418459 \h </w:instrText>
            </w:r>
            <w:r>
              <w:rPr>
                <w:noProof/>
                <w:webHidden/>
              </w:rPr>
            </w:r>
            <w:r>
              <w:rPr>
                <w:noProof/>
                <w:webHidden/>
              </w:rPr>
              <w:fldChar w:fldCharType="separate"/>
            </w:r>
            <w:r>
              <w:rPr>
                <w:noProof/>
                <w:webHidden/>
              </w:rPr>
              <w:t>2</w:t>
            </w:r>
            <w:r w:rsidR="00420A95">
              <w:rPr>
                <w:noProof/>
                <w:webHidden/>
              </w:rPr>
              <w:t>6</w:t>
            </w:r>
            <w:r>
              <w:rPr>
                <w:noProof/>
                <w:webHidden/>
              </w:rPr>
              <w:fldChar w:fldCharType="end"/>
            </w:r>
          </w:hyperlink>
        </w:p>
        <w:p w14:paraId="70756CE6" w14:textId="77722987" w:rsidR="00336FA1" w:rsidRDefault="00336FA1" w:rsidP="000B4994">
          <w:pPr>
            <w:pStyle w:val="TOC1"/>
            <w:spacing w:line="276" w:lineRule="auto"/>
            <w:rPr>
              <w:rFonts w:eastAsiaTheme="minorEastAsia"/>
              <w:noProof/>
              <w:kern w:val="2"/>
              <w:sz w:val="24"/>
              <w:szCs w:val="24"/>
              <w:lang w:val="hr-HR" w:eastAsia="hr-HR"/>
              <w14:ligatures w14:val="standardContextual"/>
            </w:rPr>
          </w:pPr>
          <w:hyperlink w:anchor="_Toc225418460" w:history="1">
            <w:r w:rsidRPr="00B15CF8">
              <w:rPr>
                <w:rStyle w:val="Hyperlink"/>
                <w:noProof/>
                <w:lang w:val="en-GB"/>
              </w:rPr>
              <w:t>11 References</w:t>
            </w:r>
            <w:r>
              <w:rPr>
                <w:noProof/>
                <w:webHidden/>
              </w:rPr>
              <w:tab/>
            </w:r>
            <w:r>
              <w:rPr>
                <w:noProof/>
                <w:webHidden/>
              </w:rPr>
              <w:fldChar w:fldCharType="begin"/>
            </w:r>
            <w:r>
              <w:rPr>
                <w:noProof/>
                <w:webHidden/>
              </w:rPr>
              <w:instrText xml:space="preserve"> PAGEREF _Toc225418460 \h </w:instrText>
            </w:r>
            <w:r>
              <w:rPr>
                <w:noProof/>
                <w:webHidden/>
              </w:rPr>
            </w:r>
            <w:r>
              <w:rPr>
                <w:noProof/>
                <w:webHidden/>
              </w:rPr>
              <w:fldChar w:fldCharType="separate"/>
            </w:r>
            <w:r>
              <w:rPr>
                <w:noProof/>
                <w:webHidden/>
              </w:rPr>
              <w:t>2</w:t>
            </w:r>
            <w:r w:rsidR="00420A95">
              <w:rPr>
                <w:noProof/>
                <w:webHidden/>
              </w:rPr>
              <w:t>6</w:t>
            </w:r>
            <w:r>
              <w:rPr>
                <w:noProof/>
                <w:webHidden/>
              </w:rPr>
              <w:fldChar w:fldCharType="end"/>
            </w:r>
          </w:hyperlink>
        </w:p>
        <w:p w14:paraId="63DFB960" w14:textId="0DC91784"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61" w:history="1">
            <w:r w:rsidRPr="00B15CF8">
              <w:rPr>
                <w:rStyle w:val="Hyperlink"/>
                <w:rFonts w:eastAsia="Calibri"/>
                <w:noProof/>
                <w:lang w:val="en-GB"/>
              </w:rPr>
              <w:t xml:space="preserve">11.1 Policy, legal and regulatory framework in </w:t>
            </w:r>
            <w:r w:rsidR="00557CBD">
              <w:rPr>
                <w:rStyle w:val="Hyperlink"/>
                <w:rFonts w:eastAsia="Calibri"/>
                <w:noProof/>
                <w:lang w:val="en-GB"/>
              </w:rPr>
              <w:t>Montenegro</w:t>
            </w:r>
            <w:r>
              <w:rPr>
                <w:noProof/>
                <w:webHidden/>
              </w:rPr>
              <w:tab/>
            </w:r>
            <w:r>
              <w:rPr>
                <w:noProof/>
                <w:webHidden/>
              </w:rPr>
              <w:fldChar w:fldCharType="begin"/>
            </w:r>
            <w:r>
              <w:rPr>
                <w:noProof/>
                <w:webHidden/>
              </w:rPr>
              <w:instrText xml:space="preserve"> PAGEREF _Toc225418461 \h </w:instrText>
            </w:r>
            <w:r>
              <w:rPr>
                <w:noProof/>
                <w:webHidden/>
              </w:rPr>
            </w:r>
            <w:r>
              <w:rPr>
                <w:noProof/>
                <w:webHidden/>
              </w:rPr>
              <w:fldChar w:fldCharType="separate"/>
            </w:r>
            <w:r>
              <w:rPr>
                <w:noProof/>
                <w:webHidden/>
              </w:rPr>
              <w:t>2</w:t>
            </w:r>
            <w:r w:rsidR="00420A95">
              <w:rPr>
                <w:noProof/>
                <w:webHidden/>
              </w:rPr>
              <w:t>6</w:t>
            </w:r>
            <w:r>
              <w:rPr>
                <w:noProof/>
                <w:webHidden/>
              </w:rPr>
              <w:fldChar w:fldCharType="end"/>
            </w:r>
          </w:hyperlink>
        </w:p>
        <w:p w14:paraId="18D7819A" w14:textId="39A85008"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62" w:history="1">
            <w:r w:rsidRPr="00B15CF8">
              <w:rPr>
                <w:rStyle w:val="Hyperlink"/>
                <w:rFonts w:eastAsia="Calibri"/>
                <w:noProof/>
                <w:lang w:val="en-GB"/>
              </w:rPr>
              <w:t xml:space="preserve">11.2 Policy, legal and regulatory framework in </w:t>
            </w:r>
            <w:r w:rsidR="00557CBD">
              <w:rPr>
                <w:rStyle w:val="Hyperlink"/>
                <w:rFonts w:eastAsia="Calibri"/>
                <w:noProof/>
                <w:lang w:val="en-GB"/>
              </w:rPr>
              <w:t>Albania</w:t>
            </w:r>
            <w:r>
              <w:rPr>
                <w:noProof/>
                <w:webHidden/>
              </w:rPr>
              <w:tab/>
            </w:r>
            <w:r>
              <w:rPr>
                <w:noProof/>
                <w:webHidden/>
              </w:rPr>
              <w:fldChar w:fldCharType="begin"/>
            </w:r>
            <w:r>
              <w:rPr>
                <w:noProof/>
                <w:webHidden/>
              </w:rPr>
              <w:instrText xml:space="preserve"> PAGEREF _Toc225418462 \h </w:instrText>
            </w:r>
            <w:r>
              <w:rPr>
                <w:noProof/>
                <w:webHidden/>
              </w:rPr>
            </w:r>
            <w:r>
              <w:rPr>
                <w:noProof/>
                <w:webHidden/>
              </w:rPr>
              <w:fldChar w:fldCharType="separate"/>
            </w:r>
            <w:r>
              <w:rPr>
                <w:noProof/>
                <w:webHidden/>
              </w:rPr>
              <w:t>2</w:t>
            </w:r>
            <w:r w:rsidR="00420A95">
              <w:rPr>
                <w:noProof/>
                <w:webHidden/>
              </w:rPr>
              <w:t>7</w:t>
            </w:r>
            <w:r>
              <w:rPr>
                <w:noProof/>
                <w:webHidden/>
              </w:rPr>
              <w:fldChar w:fldCharType="end"/>
            </w:r>
          </w:hyperlink>
        </w:p>
        <w:p w14:paraId="2C40D72A" w14:textId="3B31B4DB" w:rsidR="00336FA1" w:rsidRDefault="00336FA1" w:rsidP="000B4994">
          <w:pPr>
            <w:pStyle w:val="TOC2"/>
            <w:tabs>
              <w:tab w:val="right" w:leader="dot" w:pos="9016"/>
            </w:tabs>
            <w:spacing w:line="276" w:lineRule="auto"/>
            <w:rPr>
              <w:rFonts w:eastAsiaTheme="minorEastAsia"/>
              <w:noProof/>
              <w:kern w:val="2"/>
              <w:sz w:val="24"/>
              <w:szCs w:val="24"/>
              <w:lang w:val="hr-HR" w:eastAsia="hr-HR"/>
              <w14:ligatures w14:val="standardContextual"/>
            </w:rPr>
          </w:pPr>
          <w:hyperlink w:anchor="_Toc225418465" w:history="1">
            <w:r w:rsidRPr="00B15CF8">
              <w:rPr>
                <w:rStyle w:val="Hyperlink"/>
                <w:rFonts w:eastAsia="Calibri"/>
                <w:noProof/>
                <w:lang w:val="en-GB"/>
              </w:rPr>
              <w:t>11.3. International laws, contracts and agreements, EU directives, technical sources</w:t>
            </w:r>
            <w:r>
              <w:rPr>
                <w:noProof/>
                <w:webHidden/>
              </w:rPr>
              <w:tab/>
            </w:r>
            <w:r>
              <w:rPr>
                <w:noProof/>
                <w:webHidden/>
              </w:rPr>
              <w:fldChar w:fldCharType="begin"/>
            </w:r>
            <w:r>
              <w:rPr>
                <w:noProof/>
                <w:webHidden/>
              </w:rPr>
              <w:instrText xml:space="preserve"> PAGEREF _Toc225418465 \h </w:instrText>
            </w:r>
            <w:r>
              <w:rPr>
                <w:noProof/>
                <w:webHidden/>
              </w:rPr>
            </w:r>
            <w:r>
              <w:rPr>
                <w:noProof/>
                <w:webHidden/>
              </w:rPr>
              <w:fldChar w:fldCharType="separate"/>
            </w:r>
            <w:r>
              <w:rPr>
                <w:noProof/>
                <w:webHidden/>
              </w:rPr>
              <w:t>2</w:t>
            </w:r>
            <w:r w:rsidR="00420A95">
              <w:rPr>
                <w:noProof/>
                <w:webHidden/>
              </w:rPr>
              <w:t>8</w:t>
            </w:r>
            <w:r>
              <w:rPr>
                <w:noProof/>
                <w:webHidden/>
              </w:rPr>
              <w:fldChar w:fldCharType="end"/>
            </w:r>
          </w:hyperlink>
        </w:p>
        <w:p w14:paraId="4E8B2054" w14:textId="38955E06"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66" w:history="1">
            <w:r w:rsidRPr="00B15CF8">
              <w:rPr>
                <w:rStyle w:val="Hyperlink"/>
                <w:noProof/>
              </w:rPr>
              <w:t>11.3.1 EU Directives</w:t>
            </w:r>
            <w:r>
              <w:rPr>
                <w:noProof/>
                <w:webHidden/>
              </w:rPr>
              <w:tab/>
            </w:r>
            <w:r>
              <w:rPr>
                <w:noProof/>
                <w:webHidden/>
              </w:rPr>
              <w:fldChar w:fldCharType="begin"/>
            </w:r>
            <w:r>
              <w:rPr>
                <w:noProof/>
                <w:webHidden/>
              </w:rPr>
              <w:instrText xml:space="preserve"> PAGEREF _Toc225418466 \h </w:instrText>
            </w:r>
            <w:r>
              <w:rPr>
                <w:noProof/>
                <w:webHidden/>
              </w:rPr>
            </w:r>
            <w:r>
              <w:rPr>
                <w:noProof/>
                <w:webHidden/>
              </w:rPr>
              <w:fldChar w:fldCharType="separate"/>
            </w:r>
            <w:r>
              <w:rPr>
                <w:noProof/>
                <w:webHidden/>
              </w:rPr>
              <w:t>2</w:t>
            </w:r>
            <w:r w:rsidR="00420A95">
              <w:rPr>
                <w:noProof/>
                <w:webHidden/>
              </w:rPr>
              <w:t>8</w:t>
            </w:r>
            <w:r>
              <w:rPr>
                <w:noProof/>
                <w:webHidden/>
              </w:rPr>
              <w:fldChar w:fldCharType="end"/>
            </w:r>
          </w:hyperlink>
        </w:p>
        <w:p w14:paraId="4A640796" w14:textId="4C7BBF0B"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67" w:history="1">
            <w:r w:rsidRPr="00B15CF8">
              <w:rPr>
                <w:rStyle w:val="Hyperlink"/>
                <w:noProof/>
              </w:rPr>
              <w:t>11.3.2 International conventions and agreements</w:t>
            </w:r>
            <w:r>
              <w:rPr>
                <w:noProof/>
                <w:webHidden/>
              </w:rPr>
              <w:tab/>
            </w:r>
            <w:r>
              <w:rPr>
                <w:noProof/>
                <w:webHidden/>
              </w:rPr>
              <w:fldChar w:fldCharType="begin"/>
            </w:r>
            <w:r>
              <w:rPr>
                <w:noProof/>
                <w:webHidden/>
              </w:rPr>
              <w:instrText xml:space="preserve"> PAGEREF _Toc225418467 \h </w:instrText>
            </w:r>
            <w:r>
              <w:rPr>
                <w:noProof/>
                <w:webHidden/>
              </w:rPr>
            </w:r>
            <w:r>
              <w:rPr>
                <w:noProof/>
                <w:webHidden/>
              </w:rPr>
              <w:fldChar w:fldCharType="separate"/>
            </w:r>
            <w:r>
              <w:rPr>
                <w:noProof/>
                <w:webHidden/>
              </w:rPr>
              <w:t>2</w:t>
            </w:r>
            <w:r w:rsidR="00420A95">
              <w:rPr>
                <w:noProof/>
                <w:webHidden/>
              </w:rPr>
              <w:t>8</w:t>
            </w:r>
            <w:r>
              <w:rPr>
                <w:noProof/>
                <w:webHidden/>
              </w:rPr>
              <w:fldChar w:fldCharType="end"/>
            </w:r>
          </w:hyperlink>
        </w:p>
        <w:p w14:paraId="7A83F3DC" w14:textId="019C303A" w:rsidR="00336FA1" w:rsidRDefault="00336FA1" w:rsidP="000B4994">
          <w:pPr>
            <w:pStyle w:val="TOC3"/>
            <w:tabs>
              <w:tab w:val="right" w:leader="dot" w:pos="9016"/>
            </w:tabs>
            <w:spacing w:line="276" w:lineRule="auto"/>
            <w:rPr>
              <w:rFonts w:eastAsiaTheme="minorEastAsia"/>
              <w:noProof/>
              <w:kern w:val="2"/>
              <w:sz w:val="24"/>
              <w:szCs w:val="24"/>
              <w:lang w:val="hr-HR" w:eastAsia="hr-HR"/>
              <w14:ligatures w14:val="standardContextual"/>
            </w:rPr>
          </w:pPr>
          <w:hyperlink w:anchor="_Toc225418468" w:history="1">
            <w:r w:rsidRPr="00B15CF8">
              <w:rPr>
                <w:rStyle w:val="Hyperlink"/>
                <w:noProof/>
              </w:rPr>
              <w:t>11.3.3 Technical and scientific sources</w:t>
            </w:r>
            <w:r>
              <w:rPr>
                <w:noProof/>
                <w:webHidden/>
              </w:rPr>
              <w:tab/>
            </w:r>
            <w:r>
              <w:rPr>
                <w:noProof/>
                <w:webHidden/>
              </w:rPr>
              <w:fldChar w:fldCharType="begin"/>
            </w:r>
            <w:r>
              <w:rPr>
                <w:noProof/>
                <w:webHidden/>
              </w:rPr>
              <w:instrText xml:space="preserve"> PAGEREF _Toc225418468 \h </w:instrText>
            </w:r>
            <w:r>
              <w:rPr>
                <w:noProof/>
                <w:webHidden/>
              </w:rPr>
            </w:r>
            <w:r>
              <w:rPr>
                <w:noProof/>
                <w:webHidden/>
              </w:rPr>
              <w:fldChar w:fldCharType="separate"/>
            </w:r>
            <w:r>
              <w:rPr>
                <w:noProof/>
                <w:webHidden/>
              </w:rPr>
              <w:t>2</w:t>
            </w:r>
            <w:r w:rsidR="00420A95">
              <w:rPr>
                <w:noProof/>
                <w:webHidden/>
              </w:rPr>
              <w:t>8</w:t>
            </w:r>
            <w:r>
              <w:rPr>
                <w:noProof/>
                <w:webHidden/>
              </w:rPr>
              <w:fldChar w:fldCharType="end"/>
            </w:r>
          </w:hyperlink>
        </w:p>
        <w:p w14:paraId="4B3CB0AA" w14:textId="332F2E1E" w:rsidR="00376158" w:rsidRDefault="00376158">
          <w:r>
            <w:rPr>
              <w:b/>
              <w:bCs/>
              <w:noProof/>
            </w:rPr>
            <w:fldChar w:fldCharType="end"/>
          </w:r>
        </w:p>
      </w:sdtContent>
    </w:sdt>
    <w:p w14:paraId="3CFBB9F6" w14:textId="769B92BB" w:rsidR="0068075B" w:rsidRPr="00336FA1" w:rsidRDefault="0068075B" w:rsidP="00336FA1">
      <w:pPr>
        <w:rPr>
          <w:rFonts w:asciiTheme="majorHAnsi" w:hAnsiTheme="majorHAnsi" w:cstheme="majorHAnsi"/>
          <w:b/>
          <w:bCs/>
          <w:color w:val="0070C0"/>
          <w:sz w:val="32"/>
          <w:szCs w:val="32"/>
          <w:lang w:val="en-GB"/>
        </w:rPr>
      </w:pPr>
      <w:r w:rsidRPr="00336FA1">
        <w:rPr>
          <w:rFonts w:asciiTheme="majorHAnsi" w:hAnsiTheme="majorHAnsi" w:cstheme="majorHAnsi"/>
          <w:b/>
          <w:bCs/>
          <w:color w:val="0070C0"/>
          <w:sz w:val="32"/>
          <w:szCs w:val="32"/>
          <w:lang w:val="en-GB"/>
        </w:rPr>
        <w:t>List of Tables</w:t>
      </w:r>
    </w:p>
    <w:p w14:paraId="07FC9022" w14:textId="5EF76FB3" w:rsidR="00336FA1" w:rsidRDefault="00336FA1" w:rsidP="00336FA1">
      <w:pPr>
        <w:pStyle w:val="TableofFigures"/>
        <w:tabs>
          <w:tab w:val="right" w:leader="dot" w:pos="9016"/>
        </w:tabs>
        <w:spacing w:line="360" w:lineRule="auto"/>
        <w:rPr>
          <w:rFonts w:eastAsiaTheme="minorEastAsia"/>
          <w:noProof/>
          <w:kern w:val="2"/>
          <w:sz w:val="24"/>
          <w:szCs w:val="24"/>
          <w:lang w:val="hr-HR" w:eastAsia="hr-HR"/>
          <w14:ligatures w14:val="standardContextual"/>
        </w:rPr>
      </w:pPr>
      <w:r>
        <w:rPr>
          <w:b/>
          <w:bCs/>
          <w:lang w:val="en-GB"/>
        </w:rPr>
        <w:fldChar w:fldCharType="begin"/>
      </w:r>
      <w:r>
        <w:rPr>
          <w:b/>
          <w:bCs/>
          <w:lang w:val="en-GB"/>
        </w:rPr>
        <w:instrText xml:space="preserve"> TOC \h \z \c "Table" </w:instrText>
      </w:r>
      <w:r>
        <w:rPr>
          <w:b/>
          <w:bCs/>
          <w:lang w:val="en-GB"/>
        </w:rPr>
        <w:fldChar w:fldCharType="separate"/>
      </w:r>
      <w:hyperlink w:anchor="_Toc225418884" w:history="1">
        <w:r w:rsidRPr="009E0663">
          <w:rPr>
            <w:rStyle w:val="Hyperlink"/>
            <w:noProof/>
          </w:rPr>
          <w:t>Table 1</w:t>
        </w:r>
        <w:r w:rsidR="00903EAC">
          <w:rPr>
            <w:rStyle w:val="Hyperlink"/>
            <w:noProof/>
          </w:rPr>
          <w:t>.</w:t>
        </w:r>
        <w:r w:rsidRPr="009E0663">
          <w:rPr>
            <w:rStyle w:val="Hyperlink"/>
            <w:noProof/>
            <w:lang w:val="en-GB"/>
          </w:rPr>
          <w:t xml:space="preserve"> Summary of evidence and reference documents</w:t>
        </w:r>
        <w:r>
          <w:rPr>
            <w:noProof/>
            <w:webHidden/>
          </w:rPr>
          <w:tab/>
        </w:r>
        <w:r w:rsidR="00F238F7">
          <w:rPr>
            <w:noProof/>
            <w:webHidden/>
          </w:rPr>
          <w:t>5</w:t>
        </w:r>
      </w:hyperlink>
    </w:p>
    <w:p w14:paraId="11FCEE34" w14:textId="669C8F8F" w:rsidR="00204599" w:rsidRPr="00903EAC" w:rsidRDefault="00204599" w:rsidP="00204599">
      <w:pPr>
        <w:pStyle w:val="TableofFigures"/>
        <w:tabs>
          <w:tab w:val="right" w:leader="dot" w:pos="9016"/>
        </w:tabs>
        <w:spacing w:line="360" w:lineRule="auto"/>
        <w:rPr>
          <w:lang w:val="en-GB"/>
        </w:rPr>
      </w:pPr>
      <w:r w:rsidRPr="00903EAC">
        <w:rPr>
          <w:lang w:val="en-GB"/>
        </w:rPr>
        <w:t xml:space="preserve">Table </w:t>
      </w:r>
      <w:r w:rsidRPr="00903EAC">
        <w:rPr>
          <w:lang w:val="en-GB"/>
        </w:rPr>
        <w:fldChar w:fldCharType="begin"/>
      </w:r>
      <w:r w:rsidRPr="00903EAC">
        <w:rPr>
          <w:lang w:val="en-GB"/>
        </w:rPr>
        <w:instrText xml:space="preserve"> SEQ Table \* ARABIC </w:instrText>
      </w:r>
      <w:r w:rsidRPr="00903EAC">
        <w:rPr>
          <w:lang w:val="en-GB"/>
        </w:rPr>
        <w:fldChar w:fldCharType="separate"/>
      </w:r>
      <w:r w:rsidRPr="00903EAC">
        <w:rPr>
          <w:lang w:val="en-GB"/>
        </w:rPr>
        <w:t>2</w:t>
      </w:r>
      <w:r w:rsidRPr="00903EAC">
        <w:fldChar w:fldCharType="end"/>
      </w:r>
      <w:r w:rsidR="00B005A6">
        <w:t>.</w:t>
      </w:r>
      <w:r w:rsidRPr="00903EAC">
        <w:rPr>
          <w:lang w:val="en-GB"/>
        </w:rPr>
        <w:t xml:space="preserve"> Legal &amp; Policy Comparison: Montenegro and Albania (TBA Cemi/Cijevna)</w:t>
      </w:r>
      <w:r w:rsidR="008A584B">
        <w:rPr>
          <w:lang w:val="en-GB"/>
        </w:rPr>
        <w:t xml:space="preserve">    </w:t>
      </w:r>
      <w:r w:rsidRPr="00903EAC">
        <w:rPr>
          <w:lang w:val="en-GB"/>
        </w:rPr>
        <w:t xml:space="preserve"> ……………</w:t>
      </w:r>
      <w:r w:rsidR="00F238F7">
        <w:rPr>
          <w:lang w:val="en-GB"/>
        </w:rPr>
        <w:t>.</w:t>
      </w:r>
      <w:r w:rsidRPr="00903EAC">
        <w:rPr>
          <w:lang w:val="en-GB"/>
        </w:rPr>
        <w:t>…………</w:t>
      </w:r>
      <w:r w:rsidR="00F238F7">
        <w:rPr>
          <w:lang w:val="en-GB"/>
        </w:rPr>
        <w:t>9</w:t>
      </w:r>
    </w:p>
    <w:p w14:paraId="3F2633EA" w14:textId="3F6AE71B" w:rsidR="00336FA1" w:rsidRPr="00903EAC" w:rsidRDefault="00336FA1" w:rsidP="00336FA1">
      <w:pPr>
        <w:pStyle w:val="TableofFigures"/>
        <w:tabs>
          <w:tab w:val="right" w:leader="dot" w:pos="9016"/>
        </w:tabs>
        <w:spacing w:line="360" w:lineRule="auto"/>
        <w:rPr>
          <w:rFonts w:eastAsiaTheme="minorEastAsia"/>
          <w:noProof/>
          <w:kern w:val="2"/>
          <w:sz w:val="24"/>
          <w:szCs w:val="24"/>
          <w:lang w:val="hr-HR" w:eastAsia="hr-HR"/>
          <w14:ligatures w14:val="standardContextual"/>
        </w:rPr>
      </w:pPr>
      <w:hyperlink w:anchor="_Toc225418886" w:history="1">
        <w:r w:rsidRPr="00903EAC">
          <w:rPr>
            <w:rStyle w:val="Hyperlink"/>
            <w:noProof/>
            <w:lang w:val="en-GB"/>
          </w:rPr>
          <w:t>Table 3</w:t>
        </w:r>
        <w:r w:rsidR="00B005A6">
          <w:rPr>
            <w:rStyle w:val="Hyperlink"/>
            <w:noProof/>
            <w:lang w:val="en-GB"/>
          </w:rPr>
          <w:t>.</w:t>
        </w:r>
        <w:r w:rsidRPr="00903EAC">
          <w:rPr>
            <w:rStyle w:val="Hyperlink"/>
            <w:noProof/>
            <w:lang w:val="en-GB"/>
          </w:rPr>
          <w:t xml:space="preserve"> Key institutions and their roles in SPZ enforcement in </w:t>
        </w:r>
        <w:r w:rsidR="00557CBD" w:rsidRPr="00903EAC">
          <w:rPr>
            <w:rStyle w:val="Hyperlink"/>
            <w:noProof/>
            <w:lang w:val="en-GB"/>
          </w:rPr>
          <w:t xml:space="preserve">Montenegro </w:t>
        </w:r>
        <w:r w:rsidRPr="00903EAC">
          <w:rPr>
            <w:rStyle w:val="Hyperlink"/>
            <w:noProof/>
            <w:lang w:val="en-GB"/>
          </w:rPr>
          <w:t xml:space="preserve">and </w:t>
        </w:r>
        <w:r w:rsidR="00557CBD" w:rsidRPr="00903EAC">
          <w:rPr>
            <w:rStyle w:val="Hyperlink"/>
            <w:noProof/>
            <w:lang w:val="en-GB"/>
          </w:rPr>
          <w:t>Albania</w:t>
        </w:r>
        <w:r w:rsidRPr="00903EAC">
          <w:rPr>
            <w:noProof/>
            <w:webHidden/>
          </w:rPr>
          <w:tab/>
        </w:r>
        <w:r w:rsidRPr="00903EAC">
          <w:rPr>
            <w:noProof/>
            <w:webHidden/>
          </w:rPr>
          <w:fldChar w:fldCharType="begin"/>
        </w:r>
        <w:r w:rsidRPr="00903EAC">
          <w:rPr>
            <w:noProof/>
            <w:webHidden/>
          </w:rPr>
          <w:instrText xml:space="preserve"> PAGEREF _Toc225418886 \h </w:instrText>
        </w:r>
        <w:r w:rsidRPr="00903EAC">
          <w:rPr>
            <w:noProof/>
            <w:webHidden/>
          </w:rPr>
        </w:r>
        <w:r w:rsidRPr="00903EAC">
          <w:rPr>
            <w:noProof/>
            <w:webHidden/>
          </w:rPr>
          <w:fldChar w:fldCharType="separate"/>
        </w:r>
        <w:r w:rsidRPr="00903EAC">
          <w:rPr>
            <w:noProof/>
            <w:webHidden/>
          </w:rPr>
          <w:t>1</w:t>
        </w:r>
        <w:r w:rsidR="008A584B">
          <w:rPr>
            <w:noProof/>
            <w:webHidden/>
          </w:rPr>
          <w:t>3</w:t>
        </w:r>
        <w:r w:rsidRPr="00903EAC">
          <w:rPr>
            <w:noProof/>
            <w:webHidden/>
          </w:rPr>
          <w:fldChar w:fldCharType="end"/>
        </w:r>
      </w:hyperlink>
    </w:p>
    <w:p w14:paraId="37A26A5B" w14:textId="58C19809" w:rsidR="00336FA1" w:rsidRPr="00903EAC" w:rsidRDefault="00336FA1" w:rsidP="00336FA1">
      <w:pPr>
        <w:pStyle w:val="TableofFigures"/>
        <w:tabs>
          <w:tab w:val="right" w:leader="dot" w:pos="9016"/>
        </w:tabs>
        <w:spacing w:line="360" w:lineRule="auto"/>
        <w:rPr>
          <w:rFonts w:eastAsiaTheme="minorEastAsia"/>
          <w:noProof/>
          <w:kern w:val="2"/>
          <w:sz w:val="24"/>
          <w:szCs w:val="24"/>
          <w:lang w:val="hr-HR" w:eastAsia="hr-HR"/>
          <w14:ligatures w14:val="standardContextual"/>
        </w:rPr>
      </w:pPr>
      <w:hyperlink w:anchor="_Toc225418887" w:history="1">
        <w:r w:rsidRPr="00903EAC">
          <w:rPr>
            <w:rStyle w:val="Hyperlink"/>
            <w:noProof/>
            <w:lang w:val="en-GB"/>
          </w:rPr>
          <w:t>Table 4</w:t>
        </w:r>
        <w:r w:rsidR="00B005A6">
          <w:rPr>
            <w:rStyle w:val="Hyperlink"/>
            <w:noProof/>
            <w:lang w:val="en-GB"/>
          </w:rPr>
          <w:t>.</w:t>
        </w:r>
        <w:r w:rsidRPr="00903EAC">
          <w:rPr>
            <w:rStyle w:val="Hyperlink"/>
            <w:noProof/>
            <w:lang w:val="en-GB"/>
          </w:rPr>
          <w:t xml:space="preserve"> Proposed shared tools for assessing and managing SPZ</w:t>
        </w:r>
        <w:r w:rsidRPr="00903EAC">
          <w:rPr>
            <w:noProof/>
            <w:webHidden/>
          </w:rPr>
          <w:tab/>
        </w:r>
        <w:r w:rsidR="00FB21D5">
          <w:rPr>
            <w:noProof/>
            <w:webHidden/>
          </w:rPr>
          <w:t>20</w:t>
        </w:r>
      </w:hyperlink>
    </w:p>
    <w:p w14:paraId="6CD6F06F" w14:textId="730B3B6F" w:rsidR="00336FA1" w:rsidRPr="00903EAC" w:rsidRDefault="00336FA1" w:rsidP="00336FA1">
      <w:pPr>
        <w:pStyle w:val="TableofFigures"/>
        <w:tabs>
          <w:tab w:val="right" w:leader="dot" w:pos="9016"/>
        </w:tabs>
        <w:spacing w:line="360" w:lineRule="auto"/>
        <w:rPr>
          <w:rFonts w:eastAsiaTheme="minorEastAsia"/>
          <w:noProof/>
          <w:kern w:val="2"/>
          <w:sz w:val="24"/>
          <w:szCs w:val="24"/>
          <w:lang w:val="hr-HR" w:eastAsia="hr-HR"/>
          <w14:ligatures w14:val="standardContextual"/>
        </w:rPr>
      </w:pPr>
      <w:hyperlink w:anchor="_Toc225418888" w:history="1">
        <w:r w:rsidRPr="00903EAC">
          <w:rPr>
            <w:rStyle w:val="Hyperlink"/>
            <w:noProof/>
            <w:lang w:val="en-GB"/>
          </w:rPr>
          <w:t>Table 5</w:t>
        </w:r>
        <w:r w:rsidR="00B005A6">
          <w:rPr>
            <w:rStyle w:val="Hyperlink"/>
            <w:noProof/>
            <w:lang w:val="en-GB"/>
          </w:rPr>
          <w:t>.</w:t>
        </w:r>
        <w:r w:rsidRPr="00903EAC">
          <w:rPr>
            <w:rStyle w:val="Hyperlink"/>
            <w:noProof/>
            <w:lang w:val="en-GB"/>
          </w:rPr>
          <w:t xml:space="preserve"> Output 2.2 indicator plan: activities, targets and checks</w:t>
        </w:r>
        <w:r w:rsidRPr="00903EAC">
          <w:rPr>
            <w:noProof/>
            <w:webHidden/>
          </w:rPr>
          <w:tab/>
        </w:r>
        <w:r w:rsidRPr="00903EAC">
          <w:rPr>
            <w:noProof/>
            <w:webHidden/>
          </w:rPr>
          <w:fldChar w:fldCharType="begin"/>
        </w:r>
        <w:r w:rsidRPr="00903EAC">
          <w:rPr>
            <w:noProof/>
            <w:webHidden/>
          </w:rPr>
          <w:instrText xml:space="preserve"> PAGEREF _Toc225418888 \h </w:instrText>
        </w:r>
        <w:r w:rsidRPr="00903EAC">
          <w:rPr>
            <w:noProof/>
            <w:webHidden/>
          </w:rPr>
        </w:r>
        <w:r w:rsidRPr="00903EAC">
          <w:rPr>
            <w:noProof/>
            <w:webHidden/>
          </w:rPr>
          <w:fldChar w:fldCharType="separate"/>
        </w:r>
        <w:r w:rsidRPr="00903EAC">
          <w:rPr>
            <w:noProof/>
            <w:webHidden/>
          </w:rPr>
          <w:t>2</w:t>
        </w:r>
        <w:r w:rsidR="004341DB">
          <w:rPr>
            <w:noProof/>
            <w:webHidden/>
          </w:rPr>
          <w:t>6</w:t>
        </w:r>
        <w:r w:rsidRPr="00903EAC">
          <w:rPr>
            <w:noProof/>
            <w:webHidden/>
          </w:rPr>
          <w:fldChar w:fldCharType="end"/>
        </w:r>
      </w:hyperlink>
    </w:p>
    <w:p w14:paraId="0C81A18A" w14:textId="0CD2C831" w:rsidR="00185914" w:rsidRPr="00622EEE" w:rsidRDefault="00336FA1" w:rsidP="00336FA1">
      <w:pPr>
        <w:spacing w:before="20" w:after="20" w:line="360" w:lineRule="auto"/>
        <w:rPr>
          <w:b/>
          <w:bCs/>
          <w:lang w:val="en-GB"/>
        </w:rPr>
      </w:pPr>
      <w:r>
        <w:rPr>
          <w:b/>
          <w:bCs/>
          <w:lang w:val="en-GB"/>
        </w:rPr>
        <w:fldChar w:fldCharType="end"/>
      </w:r>
    </w:p>
    <w:p w14:paraId="7B0ABBF5" w14:textId="073FA6AF" w:rsidR="008660E5" w:rsidRDefault="008660E5" w:rsidP="00622EEE">
      <w:pPr>
        <w:tabs>
          <w:tab w:val="left" w:pos="1890"/>
        </w:tabs>
        <w:spacing w:before="20" w:after="20"/>
        <w:rPr>
          <w:b/>
          <w:bCs/>
          <w:lang w:val="en-GB"/>
        </w:rPr>
      </w:pPr>
      <w:bookmarkStart w:id="0" w:name="_Hlk215063336"/>
    </w:p>
    <w:p w14:paraId="1BEAA89D" w14:textId="77777777" w:rsidR="00D3734D" w:rsidRDefault="00D3734D" w:rsidP="00302BD2">
      <w:pPr>
        <w:tabs>
          <w:tab w:val="left" w:pos="1890"/>
        </w:tabs>
        <w:rPr>
          <w:b/>
          <w:bCs/>
          <w:lang w:val="en-GB"/>
        </w:rPr>
      </w:pPr>
    </w:p>
    <w:p w14:paraId="37295D3F" w14:textId="77777777" w:rsidR="00894628" w:rsidRDefault="00894628" w:rsidP="00302BD2">
      <w:pPr>
        <w:tabs>
          <w:tab w:val="left" w:pos="1890"/>
        </w:tabs>
        <w:rPr>
          <w:b/>
          <w:bCs/>
          <w:lang w:val="en-GB"/>
        </w:rPr>
      </w:pPr>
    </w:p>
    <w:p w14:paraId="7BB44B82" w14:textId="17E235D1" w:rsidR="00894628" w:rsidRDefault="00894628" w:rsidP="00302BD2">
      <w:pPr>
        <w:tabs>
          <w:tab w:val="left" w:pos="1890"/>
        </w:tabs>
        <w:rPr>
          <w:b/>
          <w:bCs/>
          <w:lang w:val="en-GB"/>
        </w:rPr>
      </w:pPr>
    </w:p>
    <w:p w14:paraId="5C375B28" w14:textId="52B0EB44" w:rsidR="00903EAC" w:rsidRDefault="00903EAC" w:rsidP="00302BD2">
      <w:pPr>
        <w:tabs>
          <w:tab w:val="left" w:pos="1890"/>
        </w:tabs>
        <w:rPr>
          <w:b/>
          <w:bCs/>
          <w:lang w:val="en-GB"/>
        </w:rPr>
      </w:pPr>
    </w:p>
    <w:p w14:paraId="683E7275" w14:textId="77777777" w:rsidR="00903EAC" w:rsidRDefault="00903EAC" w:rsidP="00302BD2">
      <w:pPr>
        <w:tabs>
          <w:tab w:val="left" w:pos="1890"/>
        </w:tabs>
        <w:rPr>
          <w:b/>
          <w:bCs/>
          <w:lang w:val="en-GB"/>
        </w:rPr>
      </w:pPr>
    </w:p>
    <w:p w14:paraId="2D240EA1" w14:textId="77777777" w:rsidR="0068075B" w:rsidRDefault="0068075B" w:rsidP="00302BD2">
      <w:pPr>
        <w:tabs>
          <w:tab w:val="left" w:pos="1890"/>
        </w:tabs>
        <w:rPr>
          <w:b/>
          <w:bCs/>
          <w:lang w:val="en-GB"/>
        </w:rPr>
      </w:pPr>
    </w:p>
    <w:p w14:paraId="54E101B4" w14:textId="77777777" w:rsidR="0068075B" w:rsidRPr="00336FA1" w:rsidRDefault="0068075B" w:rsidP="0068075B">
      <w:pPr>
        <w:tabs>
          <w:tab w:val="left" w:pos="1890"/>
        </w:tabs>
        <w:rPr>
          <w:rFonts w:asciiTheme="majorHAnsi" w:hAnsiTheme="majorHAnsi" w:cstheme="majorHAnsi"/>
          <w:b/>
          <w:bCs/>
          <w:color w:val="0070C0"/>
          <w:sz w:val="32"/>
          <w:szCs w:val="32"/>
          <w:lang w:val="en-GB"/>
        </w:rPr>
      </w:pPr>
      <w:r w:rsidRPr="00336FA1">
        <w:rPr>
          <w:rFonts w:asciiTheme="majorHAnsi" w:hAnsiTheme="majorHAnsi" w:cstheme="majorHAnsi"/>
          <w:b/>
          <w:bCs/>
          <w:color w:val="0070C0"/>
          <w:sz w:val="32"/>
          <w:szCs w:val="32"/>
          <w:lang w:val="en-GB"/>
        </w:rPr>
        <w:lastRenderedPageBreak/>
        <w:t>PREPARED BY DIKTAS II PROJECT TEAM</w:t>
      </w:r>
    </w:p>
    <w:p w14:paraId="0E7D0ADE" w14:textId="77777777" w:rsidR="00BA4D0A" w:rsidRPr="00BA4D0A" w:rsidRDefault="00BA4D0A" w:rsidP="00BA4D0A">
      <w:r w:rsidRPr="00BA4D0A">
        <w:t>Neda Dević, National Expert for Legal policy, Montenegro</w:t>
      </w:r>
    </w:p>
    <w:p w14:paraId="6E16A297" w14:textId="77777777" w:rsidR="00BA4D0A" w:rsidRPr="00BA4D0A" w:rsidRDefault="00BA4D0A" w:rsidP="00BA4D0A">
      <w:r w:rsidRPr="00BA4D0A">
        <w:t>Halit Kamberi, National Expert for Legal policy, Albania</w:t>
      </w:r>
    </w:p>
    <w:p w14:paraId="1FE9B10F" w14:textId="77777777" w:rsidR="00BA4D0A" w:rsidRPr="00BA4D0A" w:rsidRDefault="00BA4D0A" w:rsidP="00BA4D0A">
      <w:r w:rsidRPr="00BA4D0A">
        <w:t>Zoran Nakić, National Expert for Legal policy, Croatia</w:t>
      </w:r>
    </w:p>
    <w:p w14:paraId="78072521" w14:textId="1E327D48" w:rsidR="0068075B" w:rsidRPr="00302BD2" w:rsidRDefault="0068075B" w:rsidP="0068075B">
      <w:pPr>
        <w:rPr>
          <w:lang w:val="en-GB"/>
        </w:rPr>
      </w:pPr>
      <w:r>
        <w:rPr>
          <w:lang w:val="en-GB"/>
        </w:rPr>
        <w:t>Raya Marina Stephan</w:t>
      </w:r>
      <w:r w:rsidR="00BA4D0A">
        <w:rPr>
          <w:lang w:val="en-GB"/>
        </w:rPr>
        <w:t xml:space="preserve">, International Expert </w:t>
      </w:r>
      <w:r w:rsidR="00204599">
        <w:rPr>
          <w:lang w:val="en-GB"/>
        </w:rPr>
        <w:t xml:space="preserve">for </w:t>
      </w:r>
      <w:r w:rsidR="00BA4D0A" w:rsidRPr="00BA4D0A">
        <w:t>Legal policy</w:t>
      </w:r>
    </w:p>
    <w:p w14:paraId="72BE55E1" w14:textId="77777777" w:rsidR="00375603" w:rsidRPr="00302BD2" w:rsidRDefault="00375603" w:rsidP="00375603">
      <w:pPr>
        <w:ind w:firstLine="708"/>
        <w:rPr>
          <w:lang w:val="en-GB"/>
        </w:rPr>
      </w:pPr>
    </w:p>
    <w:bookmarkEnd w:id="0"/>
    <w:p w14:paraId="03137F8F" w14:textId="77777777" w:rsidR="00E509CB" w:rsidRPr="00302BD2" w:rsidRDefault="00E509CB" w:rsidP="00E509CB">
      <w:pPr>
        <w:rPr>
          <w:lang w:val="en-GB"/>
        </w:rPr>
      </w:pPr>
    </w:p>
    <w:p w14:paraId="1E1135F7" w14:textId="77777777" w:rsidR="00E509CB" w:rsidRPr="00302BD2" w:rsidRDefault="00E509CB" w:rsidP="00E509CB">
      <w:pPr>
        <w:rPr>
          <w:lang w:val="en-GB"/>
        </w:rPr>
      </w:pPr>
    </w:p>
    <w:p w14:paraId="1550143C" w14:textId="77777777" w:rsidR="00E509CB" w:rsidRPr="00302BD2" w:rsidRDefault="00E509CB" w:rsidP="00E509CB">
      <w:pPr>
        <w:rPr>
          <w:lang w:val="en-GB"/>
        </w:rPr>
      </w:pPr>
    </w:p>
    <w:p w14:paraId="3C250190" w14:textId="77777777" w:rsidR="00E509CB" w:rsidRPr="00302BD2" w:rsidRDefault="00E509CB" w:rsidP="00E509CB">
      <w:pPr>
        <w:rPr>
          <w:lang w:val="en-GB"/>
        </w:rPr>
      </w:pPr>
    </w:p>
    <w:p w14:paraId="116368D5" w14:textId="77777777" w:rsidR="00E509CB" w:rsidRPr="00302BD2" w:rsidRDefault="00E509CB" w:rsidP="00E509CB">
      <w:pPr>
        <w:rPr>
          <w:lang w:val="en-GB"/>
        </w:rPr>
      </w:pPr>
    </w:p>
    <w:p w14:paraId="54462D72" w14:textId="56F60AAB" w:rsidR="001D2F82" w:rsidRPr="00302BD2" w:rsidRDefault="001D2F82" w:rsidP="0029484B">
      <w:pPr>
        <w:tabs>
          <w:tab w:val="left" w:pos="1515"/>
        </w:tabs>
        <w:rPr>
          <w:lang w:val="en-GB"/>
        </w:rPr>
        <w:sectPr w:rsidR="001D2F82" w:rsidRPr="00302BD2" w:rsidSect="0025343D">
          <w:headerReference w:type="default" r:id="rId13"/>
          <w:footerReference w:type="default" r:id="rId14"/>
          <w:footerReference w:type="first" r:id="rId15"/>
          <w:pgSz w:w="11906" w:h="16838"/>
          <w:pgMar w:top="1701" w:right="1440" w:bottom="1440" w:left="1440" w:header="851" w:footer="709" w:gutter="0"/>
          <w:pgNumType w:fmt="lowerRoman" w:start="1"/>
          <w:cols w:space="708"/>
          <w:titlePg/>
          <w:docGrid w:linePitch="360"/>
        </w:sectPr>
      </w:pPr>
    </w:p>
    <w:p w14:paraId="234A4D0D" w14:textId="77777777" w:rsidR="00E509CB" w:rsidRPr="003B035A" w:rsidRDefault="00E509CB" w:rsidP="003B035A">
      <w:pPr>
        <w:pStyle w:val="Heading1"/>
        <w:rPr>
          <w:lang w:val="en-GB"/>
        </w:rPr>
      </w:pPr>
      <w:bookmarkStart w:id="1" w:name="_Toc223350719"/>
      <w:bookmarkStart w:id="2" w:name="_Toc225418417"/>
      <w:bookmarkStart w:id="3" w:name="_Hlk216692078"/>
      <w:r w:rsidRPr="003B035A">
        <w:rPr>
          <w:lang w:val="en-GB"/>
        </w:rPr>
        <w:lastRenderedPageBreak/>
        <w:t>1 Introduction</w:t>
      </w:r>
      <w:bookmarkEnd w:id="1"/>
      <w:bookmarkEnd w:id="2"/>
      <w:r w:rsidRPr="003B035A">
        <w:rPr>
          <w:lang w:val="en-GB"/>
        </w:rPr>
        <w:t xml:space="preserve"> </w:t>
      </w:r>
    </w:p>
    <w:bookmarkEnd w:id="3"/>
    <w:p w14:paraId="4EAB3BC1" w14:textId="77777777" w:rsidR="009434CF" w:rsidRPr="009434CF" w:rsidRDefault="009434CF" w:rsidP="009434CF">
      <w:pPr>
        <w:jc w:val="both"/>
        <w:rPr>
          <w:lang w:val="en-US"/>
        </w:rPr>
      </w:pPr>
      <w:r w:rsidRPr="009434CF">
        <w:rPr>
          <w:lang w:val="en-US"/>
        </w:rPr>
        <w:t xml:space="preserve">The Joint Framework document for policy, legal and institutional alignment on groundwater protection between Montenegro and Albania provides a structured and operational basis for strengthening governance of the transboundary </w:t>
      </w:r>
      <w:proofErr w:type="spellStart"/>
      <w:r w:rsidRPr="009434CF">
        <w:rPr>
          <w:lang w:val="en-US"/>
        </w:rPr>
        <w:t>Cemi</w:t>
      </w:r>
      <w:proofErr w:type="spellEnd"/>
      <w:r w:rsidRPr="009434CF">
        <w:rPr>
          <w:lang w:val="en-US"/>
        </w:rPr>
        <w:t>/</w:t>
      </w:r>
      <w:proofErr w:type="spellStart"/>
      <w:r w:rsidRPr="009434CF">
        <w:rPr>
          <w:lang w:val="en-US"/>
        </w:rPr>
        <w:t>Cijevna</w:t>
      </w:r>
      <w:proofErr w:type="spellEnd"/>
      <w:r w:rsidRPr="009434CF">
        <w:rPr>
          <w:lang w:val="en-US"/>
        </w:rPr>
        <w:t xml:space="preserve"> karst aquifer and enabling coordinated protection measures across both countries.</w:t>
      </w:r>
    </w:p>
    <w:p w14:paraId="1A202957" w14:textId="77777777" w:rsidR="009434CF" w:rsidRPr="009434CF" w:rsidRDefault="009434CF" w:rsidP="009434CF">
      <w:pPr>
        <w:jc w:val="both"/>
        <w:rPr>
          <w:lang w:val="en-US"/>
        </w:rPr>
      </w:pPr>
      <w:r w:rsidRPr="009434CF">
        <w:rPr>
          <w:lang w:val="en-US"/>
        </w:rPr>
        <w:t xml:space="preserve">Developed under DIKTAS II Output 2.2 and aligned with the Strategic Action </w:t>
      </w:r>
      <w:proofErr w:type="spellStart"/>
      <w:r w:rsidRPr="009434CF">
        <w:rPr>
          <w:lang w:val="en-US"/>
        </w:rPr>
        <w:t>Programme</w:t>
      </w:r>
      <w:proofErr w:type="spellEnd"/>
      <w:r w:rsidRPr="009434CF">
        <w:rPr>
          <w:lang w:val="en-US"/>
        </w:rPr>
        <w:t xml:space="preserve"> (SAP), particularly the priority on harmonization of sanitary protection zones (SPZs), the document addresses the need for a coherent, coordinated and practically applicable bilateral approach to groundwater governance in a highly sensitive transboundary karst system.</w:t>
      </w:r>
    </w:p>
    <w:p w14:paraId="5EDEBA5B" w14:textId="77777777" w:rsidR="009434CF" w:rsidRPr="009434CF" w:rsidRDefault="009434CF" w:rsidP="009434CF">
      <w:pPr>
        <w:jc w:val="both"/>
        <w:rPr>
          <w:lang w:val="en-US"/>
        </w:rPr>
      </w:pPr>
      <w:r w:rsidRPr="009434CF">
        <w:rPr>
          <w:lang w:val="en-US"/>
        </w:rPr>
        <w:t xml:space="preserve">The </w:t>
      </w:r>
      <w:proofErr w:type="spellStart"/>
      <w:r w:rsidRPr="009434CF">
        <w:rPr>
          <w:lang w:val="en-US"/>
        </w:rPr>
        <w:t>Cemi</w:t>
      </w:r>
      <w:proofErr w:type="spellEnd"/>
      <w:r w:rsidRPr="009434CF">
        <w:rPr>
          <w:lang w:val="en-US"/>
        </w:rPr>
        <w:t>/</w:t>
      </w:r>
      <w:proofErr w:type="spellStart"/>
      <w:r w:rsidRPr="009434CF">
        <w:rPr>
          <w:lang w:val="en-US"/>
        </w:rPr>
        <w:t>Cijevna</w:t>
      </w:r>
      <w:proofErr w:type="spellEnd"/>
      <w:r w:rsidRPr="009434CF">
        <w:rPr>
          <w:lang w:val="en-US"/>
        </w:rPr>
        <w:t xml:space="preserve"> aquifer is a typical Dinaric karst system, characterized by highly permeable carbonate formations, rapid infiltration processes, limited natural attenuation capacity and strong hydraulic connectivity across national boundaries. These characteristics result in direct and often rapid transfer of pressures from recharge areas in Albania toward abstraction zones in Montenegro, particularly within the Zeta Plain aquifer system, which represents a key source of drinking water supply for Podgorica, Tuzi and surrounding areas.</w:t>
      </w:r>
    </w:p>
    <w:p w14:paraId="21A02767" w14:textId="77777777" w:rsidR="009434CF" w:rsidRPr="009434CF" w:rsidRDefault="009434CF" w:rsidP="009434CF">
      <w:pPr>
        <w:jc w:val="both"/>
        <w:rPr>
          <w:lang w:val="en-US"/>
        </w:rPr>
      </w:pPr>
      <w:r w:rsidRPr="009434CF">
        <w:rPr>
          <w:lang w:val="en-US"/>
        </w:rPr>
        <w:t>In addition to its importance for water supply, the aquifer supports groundwater-dependent ecosystems and plays a significant role in regional socio-economic activities, including agriculture, tourism and local development. At the same time, it is subject to multiple and interacting pressures, including microbiological contamination linked to inadequate sanitation systems, diffuse agricultural pollution, localized hazardous pollution risks, unregulated or insufficiently monitored groundwater abstraction, and land-use changes in vulnerable recharge areas.</w:t>
      </w:r>
    </w:p>
    <w:p w14:paraId="181454F1" w14:textId="77777777" w:rsidR="009434CF" w:rsidRPr="009434CF" w:rsidRDefault="009434CF" w:rsidP="009434CF">
      <w:pPr>
        <w:jc w:val="both"/>
        <w:rPr>
          <w:lang w:val="en-US"/>
        </w:rPr>
      </w:pPr>
      <w:r w:rsidRPr="009434CF">
        <w:rPr>
          <w:lang w:val="en-US"/>
        </w:rPr>
        <w:t>Due to the intrinsic characteristics of karst systems, these pressures can propagate rapidly through underground flow paths, often with limited natural filtration. This significantly increases risks to water quality, ecosystem integrity and human health, particularly during high-flow or rainfall events when contaminant transport is accelerated.</w:t>
      </w:r>
    </w:p>
    <w:p w14:paraId="5F0B4FB4" w14:textId="3DCAB1E5" w:rsidR="009434CF" w:rsidRPr="009434CF" w:rsidRDefault="00BC4D96" w:rsidP="009434CF">
      <w:pPr>
        <w:jc w:val="both"/>
        <w:rPr>
          <w:lang w:val="en-US"/>
        </w:rPr>
      </w:pPr>
      <w:r w:rsidRPr="00BC4D96">
        <w:t>Groundwater protection in this setting cannot be effectively addressed through isolated national measures confined within administrative boundaries.</w:t>
      </w:r>
      <w:r w:rsidR="009434CF" w:rsidRPr="009434CF">
        <w:rPr>
          <w:lang w:val="en-US"/>
        </w:rPr>
        <w:t xml:space="preserve"> Instead, it requires coordinated, compatible and mutually reinforcing approaches between Montenegro and Albania, based on a shared understanding of hydrogeological processes and aligned operational practices.</w:t>
      </w:r>
    </w:p>
    <w:p w14:paraId="4FFDA865" w14:textId="77777777" w:rsidR="009434CF" w:rsidRPr="009434CF" w:rsidRDefault="009434CF" w:rsidP="009434CF">
      <w:pPr>
        <w:jc w:val="both"/>
        <w:rPr>
          <w:lang w:val="en-US"/>
        </w:rPr>
      </w:pPr>
      <w:r w:rsidRPr="009434CF">
        <w:rPr>
          <w:lang w:val="en-US"/>
        </w:rPr>
        <w:t>The Joint Framework provides an overview of the policy, legal and institutional landscape relevant for groundwater protection in both countries, identifying key differences that directly influence the management of the shared aquifer system. While both Montenegro and Albania are progressively aligning their water legislation with the EU Water Framework Directive (WFD) and Groundwater Directive (GWD), important differences remain in the implementation and operationalization of sanitary protection zones, groundwater monitoring systems, data availability and comparability, as well as institutional coordination and enforcement capacity.</w:t>
      </w:r>
    </w:p>
    <w:p w14:paraId="51321C22" w14:textId="77777777" w:rsidR="009434CF" w:rsidRPr="009434CF" w:rsidRDefault="009434CF" w:rsidP="009434CF">
      <w:pPr>
        <w:jc w:val="both"/>
        <w:rPr>
          <w:lang w:val="en-US"/>
        </w:rPr>
      </w:pPr>
      <w:r w:rsidRPr="009434CF">
        <w:rPr>
          <w:lang w:val="en-US"/>
        </w:rPr>
        <w:t>These differences create practical challenges for coordinated groundwater protection, particularly in a system where recharge areas, contamination pathways and socio-economic pressures extend across the state border.</w:t>
      </w:r>
    </w:p>
    <w:p w14:paraId="0A6E1E58" w14:textId="77777777" w:rsidR="009434CF" w:rsidRPr="009434CF" w:rsidRDefault="009434CF" w:rsidP="009434CF">
      <w:pPr>
        <w:jc w:val="both"/>
        <w:rPr>
          <w:lang w:val="en-US"/>
        </w:rPr>
      </w:pPr>
      <w:r w:rsidRPr="009434CF">
        <w:rPr>
          <w:lang w:val="en-US"/>
        </w:rPr>
        <w:t>Within this context, the Framework defines several core areas for alignment:</w:t>
      </w:r>
    </w:p>
    <w:p w14:paraId="3D8ECF37" w14:textId="77777777" w:rsidR="009434CF" w:rsidRPr="009434CF" w:rsidRDefault="009434CF" w:rsidP="009434CF">
      <w:pPr>
        <w:numPr>
          <w:ilvl w:val="0"/>
          <w:numId w:val="20"/>
        </w:numPr>
        <w:spacing w:after="0"/>
        <w:jc w:val="both"/>
        <w:rPr>
          <w:lang w:val="en-US"/>
        </w:rPr>
      </w:pPr>
      <w:r w:rsidRPr="009434CF">
        <w:rPr>
          <w:lang w:val="en-US"/>
        </w:rPr>
        <w:lastRenderedPageBreak/>
        <w:t xml:space="preserve">harmonization of SPZ methodologies and operational approaches, ensuring compatible protection measures in karst environments; </w:t>
      </w:r>
    </w:p>
    <w:p w14:paraId="2AB04221" w14:textId="77777777" w:rsidR="009434CF" w:rsidRPr="009434CF" w:rsidRDefault="009434CF" w:rsidP="009434CF">
      <w:pPr>
        <w:numPr>
          <w:ilvl w:val="0"/>
          <w:numId w:val="20"/>
        </w:numPr>
        <w:spacing w:after="0"/>
        <w:jc w:val="both"/>
        <w:rPr>
          <w:lang w:val="en-US"/>
        </w:rPr>
      </w:pPr>
      <w:r w:rsidRPr="009434CF">
        <w:rPr>
          <w:lang w:val="en-US"/>
        </w:rPr>
        <w:t xml:space="preserve">establishment of a bilateral groundwater data exchange mechanism, including interoperable datasets, harmonized monitoring parameters and structured data-sharing routines; </w:t>
      </w:r>
    </w:p>
    <w:p w14:paraId="46E5BAF6" w14:textId="77777777" w:rsidR="009434CF" w:rsidRPr="009434CF" w:rsidRDefault="009434CF" w:rsidP="009434CF">
      <w:pPr>
        <w:numPr>
          <w:ilvl w:val="0"/>
          <w:numId w:val="20"/>
        </w:numPr>
        <w:spacing w:after="0"/>
        <w:jc w:val="both"/>
        <w:rPr>
          <w:lang w:val="en-US"/>
        </w:rPr>
      </w:pPr>
      <w:r w:rsidRPr="009434CF">
        <w:rPr>
          <w:lang w:val="en-US"/>
        </w:rPr>
        <w:t xml:space="preserve">strengthening of joint monitoring practices, including event-based monitoring relevant for karst systems; </w:t>
      </w:r>
    </w:p>
    <w:p w14:paraId="76425A70" w14:textId="77777777" w:rsidR="009434CF" w:rsidRPr="009434CF" w:rsidRDefault="009434CF" w:rsidP="009434CF">
      <w:pPr>
        <w:numPr>
          <w:ilvl w:val="0"/>
          <w:numId w:val="20"/>
        </w:numPr>
        <w:spacing w:after="0"/>
        <w:jc w:val="both"/>
        <w:rPr>
          <w:lang w:val="en-US"/>
        </w:rPr>
      </w:pPr>
      <w:r w:rsidRPr="009434CF">
        <w:rPr>
          <w:lang w:val="en-US"/>
        </w:rPr>
        <w:t xml:space="preserve">preparation of a legal addendum or protocol to the existing bilateral agreement, introducing specific provisions for groundwater and coordinated management of transboundary risks; </w:t>
      </w:r>
    </w:p>
    <w:p w14:paraId="6A946A2E" w14:textId="77777777" w:rsidR="009434CF" w:rsidRPr="009434CF" w:rsidRDefault="009434CF" w:rsidP="009434CF">
      <w:pPr>
        <w:numPr>
          <w:ilvl w:val="0"/>
          <w:numId w:val="20"/>
        </w:numPr>
        <w:spacing w:after="0"/>
        <w:jc w:val="both"/>
        <w:rPr>
          <w:lang w:val="en-US"/>
        </w:rPr>
      </w:pPr>
      <w:r w:rsidRPr="009434CF">
        <w:rPr>
          <w:lang w:val="en-US"/>
        </w:rPr>
        <w:t xml:space="preserve">improved integration of groundwater protection into spatial and sectoral planning, including land-use management in vulnerable recharge areas. </w:t>
      </w:r>
    </w:p>
    <w:p w14:paraId="5ABA4B57" w14:textId="77777777" w:rsidR="009434CF" w:rsidRPr="009434CF" w:rsidRDefault="009434CF" w:rsidP="009434CF">
      <w:pPr>
        <w:jc w:val="both"/>
        <w:rPr>
          <w:lang w:val="en-US"/>
        </w:rPr>
      </w:pPr>
      <w:r w:rsidRPr="009434CF">
        <w:rPr>
          <w:lang w:val="en-US"/>
        </w:rPr>
        <w:t xml:space="preserve">These priority areas directly respond to governance gaps identified through the Bilateral Groundwater Governance Diagnostic Analysis (BGGDA) and the Joint Action </w:t>
      </w:r>
      <w:proofErr w:type="spellStart"/>
      <w:r w:rsidRPr="009434CF">
        <w:rPr>
          <w:lang w:val="en-US"/>
        </w:rPr>
        <w:t>Programme</w:t>
      </w:r>
      <w:proofErr w:type="spellEnd"/>
      <w:r w:rsidRPr="009434CF">
        <w:rPr>
          <w:lang w:val="en-US"/>
        </w:rPr>
        <w:t xml:space="preserve"> (JAP) for the </w:t>
      </w:r>
      <w:proofErr w:type="spellStart"/>
      <w:r w:rsidRPr="009434CF">
        <w:rPr>
          <w:lang w:val="en-US"/>
        </w:rPr>
        <w:t>Cemi</w:t>
      </w:r>
      <w:proofErr w:type="spellEnd"/>
      <w:r w:rsidRPr="009434CF">
        <w:rPr>
          <w:lang w:val="en-US"/>
        </w:rPr>
        <w:t>/</w:t>
      </w:r>
      <w:proofErr w:type="spellStart"/>
      <w:r w:rsidRPr="009434CF">
        <w:rPr>
          <w:lang w:val="en-US"/>
        </w:rPr>
        <w:t>Cijevna</w:t>
      </w:r>
      <w:proofErr w:type="spellEnd"/>
      <w:r w:rsidRPr="009434CF">
        <w:rPr>
          <w:lang w:val="en-US"/>
        </w:rPr>
        <w:t xml:space="preserve"> TBA, including limited monitoring coverage, absence of harmonized methodologies, insufficient data exchange, uneven implementation of SPZs, and constrained institutional capacities.</w:t>
      </w:r>
    </w:p>
    <w:p w14:paraId="37E92046" w14:textId="77777777" w:rsidR="009434CF" w:rsidRPr="009434CF" w:rsidRDefault="009434CF" w:rsidP="009434CF">
      <w:pPr>
        <w:jc w:val="both"/>
        <w:rPr>
          <w:lang w:val="en-US"/>
        </w:rPr>
      </w:pPr>
      <w:r w:rsidRPr="009434CF">
        <w:rPr>
          <w:lang w:val="en-US"/>
        </w:rPr>
        <w:t>The Joint Framework also clarifies the expected adoption pathway under DIKTAS II Output 2.2, whereby the proposed measures will be submitted to the competent authorities of Montenegro and Albania for technical review and potential consideration at the governmental level. In addition, the Framework is closely linked with other relevant DIKTAS II outputs, particularly Output 4.1, which supports the development of interoperable groundwater monitoring systems and data-exchange mechanisms across the Dinaric karst region.</w:t>
      </w:r>
    </w:p>
    <w:p w14:paraId="0587E4D7" w14:textId="77777777" w:rsidR="009434CF" w:rsidRPr="009434CF" w:rsidRDefault="009434CF" w:rsidP="009434CF">
      <w:pPr>
        <w:jc w:val="both"/>
        <w:rPr>
          <w:lang w:val="en-US"/>
        </w:rPr>
      </w:pPr>
      <w:r w:rsidRPr="009434CF">
        <w:rPr>
          <w:lang w:val="en-US"/>
        </w:rPr>
        <w:t>To facilitate this process, the Framework introduces a phased implementation roadmap comprising short-term actions focused on technical alignment and pilot activities, medium-term actions aimed at operationalizing data-exchange routines and improving integration into planning instruments, and long-term actions oriented toward the formalization of bilateral cooperation mechanisms, including a potential legal addendum or protocol.</w:t>
      </w:r>
    </w:p>
    <w:p w14:paraId="4962C38D" w14:textId="77777777" w:rsidR="009434CF" w:rsidRPr="009434CF" w:rsidRDefault="009434CF" w:rsidP="009434CF">
      <w:pPr>
        <w:jc w:val="both"/>
        <w:rPr>
          <w:lang w:val="en-US"/>
        </w:rPr>
      </w:pPr>
      <w:r w:rsidRPr="009434CF">
        <w:rPr>
          <w:lang w:val="en-US"/>
        </w:rPr>
        <w:t>This structured and sequenced approach ensures consistency with the broader DIKTAS II implementation framework and acknowledges the need for gradual strengthening of institutional capacities, technical systems and cross-border coordination in managing complex karst aquifers.</w:t>
      </w:r>
    </w:p>
    <w:p w14:paraId="6CF4E1F2" w14:textId="77777777" w:rsidR="009434CF" w:rsidRPr="009434CF" w:rsidRDefault="009434CF" w:rsidP="009434CF">
      <w:pPr>
        <w:jc w:val="both"/>
        <w:rPr>
          <w:lang w:val="en-US"/>
        </w:rPr>
      </w:pPr>
      <w:r w:rsidRPr="009434CF">
        <w:rPr>
          <w:lang w:val="en-US"/>
        </w:rPr>
        <w:t>Furthermore, the development of this Framework is guided by internationally recognized principles, including those outlined in the UN General Assembly Resolution A/RES/63/124 on the Law of Transboundary Aquifers, which emphasizes the importance of cooperation between countries sharing groundwater resources.</w:t>
      </w:r>
    </w:p>
    <w:p w14:paraId="098CE612" w14:textId="77777777" w:rsidR="009434CF" w:rsidRPr="009434CF" w:rsidRDefault="009434CF" w:rsidP="009434CF">
      <w:pPr>
        <w:jc w:val="both"/>
        <w:rPr>
          <w:lang w:val="en-US"/>
        </w:rPr>
      </w:pPr>
      <w:r w:rsidRPr="009434CF">
        <w:rPr>
          <w:lang w:val="en-US"/>
        </w:rPr>
        <w:t xml:space="preserve">Importantly, the Joint Framework is not intended as a binding legal instrument. Rather, it serves as an analytical and strategic foundation for further work under DIKTAS II. By identifying areas where policy, legal and institutional alignment is both necessary and feasible, it establishes the basis for more coherent, predictable and effective groundwater protection across the transboundary </w:t>
      </w:r>
      <w:proofErr w:type="spellStart"/>
      <w:r w:rsidRPr="009434CF">
        <w:rPr>
          <w:lang w:val="en-US"/>
        </w:rPr>
        <w:t>Cemi</w:t>
      </w:r>
      <w:proofErr w:type="spellEnd"/>
      <w:r w:rsidRPr="009434CF">
        <w:rPr>
          <w:lang w:val="en-US"/>
        </w:rPr>
        <w:t>/</w:t>
      </w:r>
      <w:proofErr w:type="spellStart"/>
      <w:r w:rsidRPr="009434CF">
        <w:rPr>
          <w:lang w:val="en-US"/>
        </w:rPr>
        <w:t>Cijevna</w:t>
      </w:r>
      <w:proofErr w:type="spellEnd"/>
      <w:r w:rsidRPr="009434CF">
        <w:rPr>
          <w:lang w:val="en-US"/>
        </w:rPr>
        <w:t xml:space="preserve"> aquifer system.</w:t>
      </w:r>
    </w:p>
    <w:p w14:paraId="7413E547" w14:textId="77777777" w:rsidR="00E83BD5" w:rsidRDefault="00E83BD5" w:rsidP="00A76424">
      <w:pPr>
        <w:rPr>
          <w:lang w:val="en-GB"/>
        </w:rPr>
      </w:pPr>
    </w:p>
    <w:p w14:paraId="2BCFCBAD" w14:textId="77777777" w:rsidR="00011CA4" w:rsidRPr="003B035A" w:rsidRDefault="00011CA4" w:rsidP="00011CA4">
      <w:pPr>
        <w:pStyle w:val="Heading1"/>
        <w:rPr>
          <w:lang w:val="en-GB"/>
        </w:rPr>
      </w:pPr>
      <w:bookmarkStart w:id="4" w:name="_Toc225418418"/>
      <w:r>
        <w:rPr>
          <w:lang w:val="en-GB"/>
        </w:rPr>
        <w:t>2</w:t>
      </w:r>
      <w:r w:rsidRPr="003B035A">
        <w:rPr>
          <w:lang w:val="en-GB"/>
        </w:rPr>
        <w:t xml:space="preserve"> </w:t>
      </w:r>
      <w:r>
        <w:rPr>
          <w:lang w:val="en-GB"/>
        </w:rPr>
        <w:t>Purpose, scope and alignment</w:t>
      </w:r>
      <w:bookmarkEnd w:id="4"/>
      <w:r w:rsidRPr="003B035A">
        <w:rPr>
          <w:lang w:val="en-GB"/>
        </w:rPr>
        <w:t xml:space="preserve"> </w:t>
      </w:r>
    </w:p>
    <w:p w14:paraId="15EAFD53" w14:textId="77777777" w:rsidR="00096623" w:rsidRPr="00096623" w:rsidRDefault="00096623" w:rsidP="00096623">
      <w:pPr>
        <w:jc w:val="both"/>
        <w:rPr>
          <w:lang w:val="en-US"/>
        </w:rPr>
      </w:pPr>
      <w:r w:rsidRPr="00096623">
        <w:rPr>
          <w:lang w:val="en-US"/>
        </w:rPr>
        <w:t xml:space="preserve">The Joint Framework document provides a structured basis for identifying where policy, legal and institutional adjustments may support more consistent and coordinated approaches to groundwater </w:t>
      </w:r>
      <w:r w:rsidRPr="00096623">
        <w:rPr>
          <w:lang w:val="en-US"/>
        </w:rPr>
        <w:lastRenderedPageBreak/>
        <w:t xml:space="preserve">protection between Montenegro and Albania, particularly in areas where the transboundary </w:t>
      </w:r>
      <w:proofErr w:type="spellStart"/>
      <w:r w:rsidRPr="00096623">
        <w:rPr>
          <w:lang w:val="en-US"/>
        </w:rPr>
        <w:t>Cemi</w:t>
      </w:r>
      <w:proofErr w:type="spellEnd"/>
      <w:r w:rsidRPr="00096623">
        <w:rPr>
          <w:lang w:val="en-US"/>
        </w:rPr>
        <w:t>/</w:t>
      </w:r>
      <w:proofErr w:type="spellStart"/>
      <w:r w:rsidRPr="00096623">
        <w:rPr>
          <w:lang w:val="en-US"/>
        </w:rPr>
        <w:t>Cijevna</w:t>
      </w:r>
      <w:proofErr w:type="spellEnd"/>
      <w:r w:rsidRPr="00096623">
        <w:rPr>
          <w:lang w:val="en-US"/>
        </w:rPr>
        <w:t xml:space="preserve"> aquifer requires compatible governance measures.</w:t>
      </w:r>
    </w:p>
    <w:p w14:paraId="73051B16" w14:textId="77777777" w:rsidR="00096623" w:rsidRPr="00096623" w:rsidRDefault="00096623" w:rsidP="00096623">
      <w:pPr>
        <w:jc w:val="both"/>
        <w:rPr>
          <w:lang w:val="en-US"/>
        </w:rPr>
      </w:pPr>
      <w:r w:rsidRPr="00096623">
        <w:rPr>
          <w:lang w:val="en-US"/>
        </w:rPr>
        <w:t xml:space="preserve">The thematic focus is limited to elements of highest relevance for transboundary karst systems, with particular emphasis on the definition, implementation and operational management of sanitary protection zones (SPZs), as well as on procedures for groundwater monitoring and data exchange across administrative boundaries. These areas are of critical importance due to the strong hydraulic connectivity of the </w:t>
      </w:r>
      <w:proofErr w:type="spellStart"/>
      <w:r w:rsidRPr="00096623">
        <w:rPr>
          <w:lang w:val="en-US"/>
        </w:rPr>
        <w:t>Cemi</w:t>
      </w:r>
      <w:proofErr w:type="spellEnd"/>
      <w:r w:rsidRPr="00096623">
        <w:rPr>
          <w:lang w:val="en-US"/>
        </w:rPr>
        <w:t>/</w:t>
      </w:r>
      <w:proofErr w:type="spellStart"/>
      <w:r w:rsidRPr="00096623">
        <w:rPr>
          <w:lang w:val="en-US"/>
        </w:rPr>
        <w:t>Cijevna</w:t>
      </w:r>
      <w:proofErr w:type="spellEnd"/>
      <w:r w:rsidRPr="00096623">
        <w:rPr>
          <w:lang w:val="en-US"/>
        </w:rPr>
        <w:t xml:space="preserve"> karst system, where recharge processes, contamination pathways and groundwater flows extend across the state border.</w:t>
      </w:r>
    </w:p>
    <w:p w14:paraId="25ED1534" w14:textId="77777777" w:rsidR="00096623" w:rsidRPr="00096623" w:rsidRDefault="00096623" w:rsidP="00096623">
      <w:pPr>
        <w:jc w:val="both"/>
        <w:rPr>
          <w:lang w:val="en-US"/>
        </w:rPr>
      </w:pPr>
      <w:r w:rsidRPr="00096623">
        <w:rPr>
          <w:lang w:val="en-US"/>
        </w:rPr>
        <w:t xml:space="preserve">The selection of priority themes is based on the findings of the Bilateral Groundwater Governance Diagnostic Analysis (BGGDA) and the Joint Action </w:t>
      </w:r>
      <w:proofErr w:type="spellStart"/>
      <w:r w:rsidRPr="00096623">
        <w:rPr>
          <w:lang w:val="en-US"/>
        </w:rPr>
        <w:t>Programme</w:t>
      </w:r>
      <w:proofErr w:type="spellEnd"/>
      <w:r w:rsidRPr="00096623">
        <w:rPr>
          <w:lang w:val="en-US"/>
        </w:rPr>
        <w:t xml:space="preserve"> (JAP) for the </w:t>
      </w:r>
      <w:proofErr w:type="spellStart"/>
      <w:r w:rsidRPr="00096623">
        <w:rPr>
          <w:lang w:val="en-US"/>
        </w:rPr>
        <w:t>Cemi</w:t>
      </w:r>
      <w:proofErr w:type="spellEnd"/>
      <w:r w:rsidRPr="00096623">
        <w:rPr>
          <w:lang w:val="en-US"/>
        </w:rPr>
        <w:t>/</w:t>
      </w:r>
      <w:proofErr w:type="spellStart"/>
      <w:r w:rsidRPr="00096623">
        <w:rPr>
          <w:lang w:val="en-US"/>
        </w:rPr>
        <w:t>Cijevna</w:t>
      </w:r>
      <w:proofErr w:type="spellEnd"/>
      <w:r w:rsidRPr="00096623">
        <w:rPr>
          <w:lang w:val="en-US"/>
        </w:rPr>
        <w:t xml:space="preserve"> TBA. These analyses highlight key governance challenges, including insufficiently harmonized monitoring approaches, limited data exchange mechanisms, uneven implementation of SPZs, and gaps in institutional coordination and enforcement. The Framework therefore focuses on those governance components where alignment may contribute to clearer, more predictable and operationally effective groundwater protection measures, without duplicating detailed technical assessments already developed under DIKTAS II.</w:t>
      </w:r>
    </w:p>
    <w:p w14:paraId="13532943" w14:textId="77777777" w:rsidR="00096623" w:rsidRPr="00096623" w:rsidRDefault="00096623" w:rsidP="00096623">
      <w:pPr>
        <w:jc w:val="both"/>
        <w:rPr>
          <w:lang w:val="en-US"/>
        </w:rPr>
      </w:pPr>
      <w:r w:rsidRPr="00096623">
        <w:rPr>
          <w:lang w:val="en-US"/>
        </w:rPr>
        <w:t xml:space="preserve">Alignment with DIKTAS II and the Strategic Action </w:t>
      </w:r>
      <w:proofErr w:type="spellStart"/>
      <w:r w:rsidRPr="00096623">
        <w:rPr>
          <w:lang w:val="en-US"/>
        </w:rPr>
        <w:t>Programme</w:t>
      </w:r>
      <w:proofErr w:type="spellEnd"/>
      <w:r w:rsidRPr="00096623">
        <w:rPr>
          <w:lang w:val="en-US"/>
        </w:rPr>
        <w:t xml:space="preserve"> (SAP) is ensured by concentrating on regionally significant priorities, particularly the harmonization of SPZ approaches, strengthening of joint monitoring practices, and improvement of groundwater data exchange. The Framework builds upon the diagnostic work carried out under Output 2.1 and defines areas where further technical, operational and regulatory development may be justified during subsequent phases of the project. At the same time, it maintains consistency with related DIKTAS II outputs, including Output 4.1, which supports the development of interoperable monitoring systems and data-sharing mechanisms across the Dinaric karst region.</w:t>
      </w:r>
    </w:p>
    <w:p w14:paraId="786299BF" w14:textId="77777777" w:rsidR="00096623" w:rsidRPr="00096623" w:rsidRDefault="00096623" w:rsidP="00096623">
      <w:pPr>
        <w:jc w:val="both"/>
        <w:rPr>
          <w:lang w:val="en-US"/>
        </w:rPr>
      </w:pPr>
      <w:r w:rsidRPr="00096623">
        <w:rPr>
          <w:lang w:val="en-US"/>
        </w:rPr>
        <w:t>The document also sets out the expected adoption pathway under DIKTAS II Output 2.2. Measures and options developed through this Framework will be submitted to the competent authorities of Montenegro and Albania for technical review, administrative consideration and, where appropriate, further consideration within governmental procedures. In this context, the Framework serves as a reference document supporting gradual integration of agreed approaches into national systems.</w:t>
      </w:r>
    </w:p>
    <w:p w14:paraId="79B12D3E" w14:textId="77777777" w:rsidR="00096623" w:rsidRPr="00096623" w:rsidRDefault="00096623" w:rsidP="00096623">
      <w:pPr>
        <w:jc w:val="both"/>
        <w:rPr>
          <w:lang w:val="en-US"/>
        </w:rPr>
      </w:pPr>
      <w:r w:rsidRPr="00096623">
        <w:rPr>
          <w:lang w:val="en-US"/>
        </w:rPr>
        <w:t>To facilitate this process, the Framework introduces a phased sequence of actions:</w:t>
      </w:r>
    </w:p>
    <w:p w14:paraId="1D21A347" w14:textId="77777777" w:rsidR="00096623" w:rsidRPr="00096623" w:rsidRDefault="00096623" w:rsidP="00C9330E">
      <w:pPr>
        <w:numPr>
          <w:ilvl w:val="0"/>
          <w:numId w:val="21"/>
        </w:numPr>
        <w:spacing w:after="0"/>
        <w:jc w:val="both"/>
        <w:rPr>
          <w:lang w:val="en-US"/>
        </w:rPr>
      </w:pPr>
      <w:r w:rsidRPr="00096623">
        <w:rPr>
          <w:lang w:val="en-US"/>
        </w:rPr>
        <w:t xml:space="preserve">short-term steps focused on methodological compatibility, technical alignment and pilot implementation of joint approaches; </w:t>
      </w:r>
    </w:p>
    <w:p w14:paraId="2E81A918" w14:textId="77777777" w:rsidR="00096623" w:rsidRPr="00096623" w:rsidRDefault="00096623" w:rsidP="00C9330E">
      <w:pPr>
        <w:numPr>
          <w:ilvl w:val="0"/>
          <w:numId w:val="21"/>
        </w:numPr>
        <w:spacing w:after="0"/>
        <w:jc w:val="both"/>
        <w:rPr>
          <w:lang w:val="en-US"/>
        </w:rPr>
      </w:pPr>
      <w:r w:rsidRPr="00096623">
        <w:rPr>
          <w:lang w:val="en-US"/>
        </w:rPr>
        <w:t xml:space="preserve">medium-term steps aimed at establishing routine data exchange, improving monitoring coordination and integrating groundwater protection into spatial and sectoral planning instruments; </w:t>
      </w:r>
    </w:p>
    <w:p w14:paraId="3F40D071" w14:textId="2C6655E6" w:rsidR="00096623" w:rsidRPr="00096623" w:rsidRDefault="00096623" w:rsidP="00C9330E">
      <w:pPr>
        <w:numPr>
          <w:ilvl w:val="0"/>
          <w:numId w:val="21"/>
        </w:numPr>
        <w:spacing w:after="0"/>
        <w:jc w:val="both"/>
        <w:rPr>
          <w:lang w:val="en-US"/>
        </w:rPr>
      </w:pPr>
      <w:r w:rsidRPr="00096623">
        <w:rPr>
          <w:lang w:val="en-US"/>
        </w:rPr>
        <w:t>long-term steps that may involve the preparation of a bilateral addendum or protocol to the existing Albania</w:t>
      </w:r>
      <w:r w:rsidR="00C9330E">
        <w:rPr>
          <w:lang w:val="en-US"/>
        </w:rPr>
        <w:t>-</w:t>
      </w:r>
      <w:r w:rsidRPr="00096623">
        <w:rPr>
          <w:lang w:val="en-US"/>
        </w:rPr>
        <w:t xml:space="preserve">Montenegro agreement, as well as the development of more formalized cooperation mechanisms for transboundary groundwater management. </w:t>
      </w:r>
    </w:p>
    <w:p w14:paraId="348946E8" w14:textId="77777777" w:rsidR="00096623" w:rsidRPr="00096623" w:rsidRDefault="00096623" w:rsidP="00096623">
      <w:pPr>
        <w:jc w:val="both"/>
        <w:rPr>
          <w:lang w:val="en-US"/>
        </w:rPr>
      </w:pPr>
      <w:r w:rsidRPr="00096623">
        <w:rPr>
          <w:lang w:val="en-US"/>
        </w:rPr>
        <w:t>This phased structuring reflects the recognition that procedural, institutional and regulatory adjustments require time to be effectively embedded across different administrative levels, particularly in the context of complex karst aquifer systems.</w:t>
      </w:r>
    </w:p>
    <w:p w14:paraId="1172138B" w14:textId="77777777" w:rsidR="00096623" w:rsidRPr="00096623" w:rsidRDefault="00096623" w:rsidP="00096623">
      <w:pPr>
        <w:jc w:val="both"/>
        <w:rPr>
          <w:lang w:val="en-US"/>
        </w:rPr>
      </w:pPr>
      <w:r w:rsidRPr="00096623">
        <w:rPr>
          <w:lang w:val="en-US"/>
        </w:rPr>
        <w:t xml:space="preserve">It is important to emphasize that the Joint Framework is not intended as a binding legal instrument. Its primary function is to provide a coherent and practical reference for subsequent work under the </w:t>
      </w:r>
      <w:r w:rsidRPr="00096623">
        <w:rPr>
          <w:lang w:val="en-US"/>
        </w:rPr>
        <w:lastRenderedPageBreak/>
        <w:t xml:space="preserve">DIKTAS II project, supporting the progressive alignment of groundwater governance approaches and the strengthening of transboundary cooperation in the </w:t>
      </w:r>
      <w:proofErr w:type="spellStart"/>
      <w:r w:rsidRPr="00096623">
        <w:rPr>
          <w:lang w:val="en-US"/>
        </w:rPr>
        <w:t>Cemi</w:t>
      </w:r>
      <w:proofErr w:type="spellEnd"/>
      <w:r w:rsidRPr="00096623">
        <w:rPr>
          <w:lang w:val="en-US"/>
        </w:rPr>
        <w:t>/</w:t>
      </w:r>
      <w:proofErr w:type="spellStart"/>
      <w:r w:rsidRPr="00096623">
        <w:rPr>
          <w:lang w:val="en-US"/>
        </w:rPr>
        <w:t>Cijevna</w:t>
      </w:r>
      <w:proofErr w:type="spellEnd"/>
      <w:r w:rsidRPr="00096623">
        <w:rPr>
          <w:lang w:val="en-US"/>
        </w:rPr>
        <w:t xml:space="preserve"> aquifer system.</w:t>
      </w:r>
    </w:p>
    <w:p w14:paraId="698B3E48" w14:textId="77777777" w:rsidR="00BD3225" w:rsidRDefault="00BD3225" w:rsidP="00BD3225">
      <w:pPr>
        <w:jc w:val="both"/>
        <w:rPr>
          <w:lang w:val="en-GB"/>
        </w:rPr>
      </w:pPr>
    </w:p>
    <w:p w14:paraId="0AD834CC" w14:textId="6715042D" w:rsidR="00E83BD5" w:rsidRPr="003B035A" w:rsidRDefault="00E83BD5" w:rsidP="00E83BD5">
      <w:pPr>
        <w:pStyle w:val="Heading1"/>
        <w:rPr>
          <w:lang w:val="en-GB"/>
        </w:rPr>
      </w:pPr>
      <w:bookmarkStart w:id="5" w:name="_Toc225418419"/>
      <w:r>
        <w:rPr>
          <w:lang w:val="en-GB"/>
        </w:rPr>
        <w:t>3</w:t>
      </w:r>
      <w:r w:rsidRPr="003B035A">
        <w:rPr>
          <w:lang w:val="en-GB"/>
        </w:rPr>
        <w:t xml:space="preserve"> </w:t>
      </w:r>
      <w:r w:rsidRPr="00E83BD5">
        <w:rPr>
          <w:lang w:val="en-GB"/>
        </w:rPr>
        <w:t xml:space="preserve">Approach and inputs for developing the </w:t>
      </w:r>
      <w:r w:rsidR="00E422B7">
        <w:rPr>
          <w:lang w:val="en-GB"/>
        </w:rPr>
        <w:t>Joint F</w:t>
      </w:r>
      <w:r w:rsidRPr="00E83BD5">
        <w:rPr>
          <w:lang w:val="en-GB"/>
        </w:rPr>
        <w:t>ramework document</w:t>
      </w:r>
      <w:bookmarkEnd w:id="5"/>
      <w:r w:rsidRPr="003B035A">
        <w:rPr>
          <w:lang w:val="en-GB"/>
        </w:rPr>
        <w:t xml:space="preserve"> </w:t>
      </w:r>
    </w:p>
    <w:p w14:paraId="0996164A" w14:textId="77777777" w:rsidR="00333A5F" w:rsidRPr="00333A5F" w:rsidRDefault="00333A5F" w:rsidP="00333A5F">
      <w:pPr>
        <w:jc w:val="both"/>
        <w:rPr>
          <w:lang w:val="en-US"/>
        </w:rPr>
      </w:pPr>
      <w:r w:rsidRPr="00333A5F">
        <w:rPr>
          <w:lang w:val="en-US"/>
        </w:rPr>
        <w:t xml:space="preserve">The analysis is based on a comparative review of groundwater governance in Montenegro and Albania. It draws on the Bilateral Groundwater Governance Diagnostic Analysis (BGGDA) and the Joint Action </w:t>
      </w:r>
      <w:proofErr w:type="spellStart"/>
      <w:r w:rsidRPr="00333A5F">
        <w:rPr>
          <w:lang w:val="en-US"/>
        </w:rPr>
        <w:t>Programme</w:t>
      </w:r>
      <w:proofErr w:type="spellEnd"/>
      <w:r w:rsidRPr="00333A5F">
        <w:rPr>
          <w:lang w:val="en-US"/>
        </w:rPr>
        <w:t xml:space="preserve"> (JAP) for the </w:t>
      </w:r>
      <w:proofErr w:type="spellStart"/>
      <w:r w:rsidRPr="00333A5F">
        <w:rPr>
          <w:lang w:val="en-US"/>
        </w:rPr>
        <w:t>Cemi</w:t>
      </w:r>
      <w:proofErr w:type="spellEnd"/>
      <w:r w:rsidRPr="00333A5F">
        <w:rPr>
          <w:lang w:val="en-US"/>
        </w:rPr>
        <w:t>/</w:t>
      </w:r>
      <w:proofErr w:type="spellStart"/>
      <w:r w:rsidRPr="00333A5F">
        <w:rPr>
          <w:lang w:val="en-US"/>
        </w:rPr>
        <w:t>Cijevna</w:t>
      </w:r>
      <w:proofErr w:type="spellEnd"/>
      <w:r w:rsidRPr="00333A5F">
        <w:rPr>
          <w:lang w:val="en-US"/>
        </w:rPr>
        <w:t xml:space="preserve"> TBA, as well as on DIKTAS II materials describing institutional roles, monitoring practices and regulatory arrangements. Together, these sources provide a consolidated overview of legislation, policies, institutional responsibilities and technical aspects relevant to the management of the transboundary karst aquifer system.</w:t>
      </w:r>
    </w:p>
    <w:p w14:paraId="38D06E9B" w14:textId="0D6AC569" w:rsidR="00333A5F" w:rsidRPr="00333A5F" w:rsidRDefault="00333A5F" w:rsidP="00333A5F">
      <w:pPr>
        <w:jc w:val="both"/>
        <w:rPr>
          <w:lang w:val="en-US"/>
        </w:rPr>
      </w:pPr>
      <w:r w:rsidRPr="00333A5F">
        <w:rPr>
          <w:lang w:val="en-US"/>
        </w:rPr>
        <w:t>The analysis follows a structured sequence of three steps.</w:t>
      </w:r>
      <w:r>
        <w:rPr>
          <w:lang w:val="en-US"/>
        </w:rPr>
        <w:t xml:space="preserve"> </w:t>
      </w:r>
      <w:r w:rsidRPr="00333A5F">
        <w:rPr>
          <w:lang w:val="en-US"/>
        </w:rPr>
        <w:t>The first step involves the compilation and review of existing legal acts, implementing regulations, institutional responsibilities and planning instruments related to groundwater protection in both countries. This includes the assessment of national water legislation, environmental regulations and sectoral policies, as well as the identification of institutional mandates and procedures governing groundwater use, monitoring and sanitary protection zones. Particular attention is given to the level of alignment with the EU Water Framework Directive (WFD) and Groundwater Directive (GWD), as well as to differences in how these principles are operationalized in practice.</w:t>
      </w:r>
    </w:p>
    <w:p w14:paraId="2F2FF8D7" w14:textId="77777777" w:rsidR="00333A5F" w:rsidRPr="00333A5F" w:rsidRDefault="00333A5F" w:rsidP="00333A5F">
      <w:pPr>
        <w:jc w:val="both"/>
        <w:rPr>
          <w:lang w:val="en-US"/>
        </w:rPr>
      </w:pPr>
      <w:r w:rsidRPr="00333A5F">
        <w:rPr>
          <w:lang w:val="en-US"/>
        </w:rPr>
        <w:t xml:space="preserve">The second step involves a comparative analysis of differences that may influence the consistent application of groundwater protection measures across the transboundary system. These differences relate to variations in administrative structures, approaches to defining and implementing sanitary protection zones, groundwater monitoring practices, data availability and the operational capacity of responsible institutions. They are reflected in the diagnostic findings for the </w:t>
      </w:r>
      <w:proofErr w:type="spellStart"/>
      <w:r w:rsidRPr="00333A5F">
        <w:rPr>
          <w:lang w:val="en-US"/>
        </w:rPr>
        <w:t>Cemi</w:t>
      </w:r>
      <w:proofErr w:type="spellEnd"/>
      <w:r w:rsidRPr="00333A5F">
        <w:rPr>
          <w:lang w:val="en-US"/>
        </w:rPr>
        <w:t>/</w:t>
      </w:r>
      <w:proofErr w:type="spellStart"/>
      <w:r w:rsidRPr="00333A5F">
        <w:rPr>
          <w:lang w:val="en-US"/>
        </w:rPr>
        <w:t>Cijevna</w:t>
      </w:r>
      <w:proofErr w:type="spellEnd"/>
      <w:r w:rsidRPr="00333A5F">
        <w:rPr>
          <w:lang w:val="en-US"/>
        </w:rPr>
        <w:t xml:space="preserve"> TBA, which identify uneven monitoring coverage, differences in methodologies, and limitations in institutional coordination and enforcement. This comparison helps to clarify which aspects of the two governance systems may require closer coordination to ensure more consistent and predictable groundwater management.</w:t>
      </w:r>
    </w:p>
    <w:p w14:paraId="5E6A2359" w14:textId="77777777" w:rsidR="00333A5F" w:rsidRPr="00333A5F" w:rsidRDefault="00333A5F" w:rsidP="00333A5F">
      <w:pPr>
        <w:jc w:val="both"/>
        <w:rPr>
          <w:lang w:val="en-US"/>
        </w:rPr>
      </w:pPr>
      <w:r w:rsidRPr="00333A5F">
        <w:rPr>
          <w:lang w:val="en-US"/>
        </w:rPr>
        <w:t>The third step focuses on identifying areas where complementary or coordinated procedures could improve the effectiveness of groundwater protection across the transboundary aquifer. This includes domains with potential for alignment, such as sanitary protection zone practices, groundwater monitoring systems, data exchange mechanisms and selected administrative procedures. The requirements of the EU Water Framework Directive and Groundwater Directive are used as a reference point for assessing national approaches against broadly recognized groundwater management principles. These requirements serve as a benchmark rather than a binding standard, helping to identify where greater compatibility can be achieved without requiring changes to existing legal frameworks.</w:t>
      </w:r>
    </w:p>
    <w:p w14:paraId="28DB05F8" w14:textId="77777777" w:rsidR="00333A5F" w:rsidRPr="00333A5F" w:rsidRDefault="00333A5F" w:rsidP="00333A5F">
      <w:pPr>
        <w:jc w:val="both"/>
        <w:rPr>
          <w:lang w:val="en-US"/>
        </w:rPr>
      </w:pPr>
      <w:r w:rsidRPr="00333A5F">
        <w:rPr>
          <w:lang w:val="en-US"/>
        </w:rPr>
        <w:t>The information supporting these analytical steps is summarized in Table 1, which provides an overview of the evidence base used across different thematic areas.</w:t>
      </w:r>
    </w:p>
    <w:p w14:paraId="27525D9C" w14:textId="77777777" w:rsidR="00333A5F" w:rsidRDefault="00333A5F" w:rsidP="00714873">
      <w:pPr>
        <w:jc w:val="both"/>
        <w:rPr>
          <w:lang w:val="en-GB"/>
        </w:rPr>
      </w:pPr>
    </w:p>
    <w:p w14:paraId="2EC21792" w14:textId="77777777" w:rsidR="00C9330E" w:rsidRDefault="00C9330E" w:rsidP="00714873">
      <w:pPr>
        <w:jc w:val="both"/>
        <w:rPr>
          <w:lang w:val="en-GB"/>
        </w:rPr>
      </w:pPr>
    </w:p>
    <w:p w14:paraId="4803B334" w14:textId="77777777" w:rsidR="00C9330E" w:rsidRDefault="00C9330E" w:rsidP="00714873">
      <w:pPr>
        <w:jc w:val="both"/>
        <w:rPr>
          <w:lang w:val="en-GB"/>
        </w:rPr>
      </w:pPr>
    </w:p>
    <w:p w14:paraId="37A11434" w14:textId="3EB9DBC7" w:rsidR="00714873" w:rsidRPr="00903EAC" w:rsidRDefault="00336FA1" w:rsidP="00336FA1">
      <w:pPr>
        <w:pStyle w:val="Caption"/>
        <w:rPr>
          <w:rFonts w:ascii="Calibri" w:hAnsi="Calibri" w:cs="Calibri"/>
          <w:i w:val="0"/>
          <w:iCs w:val="0"/>
          <w:szCs w:val="20"/>
          <w:lang w:val="en-GB"/>
        </w:rPr>
      </w:pPr>
      <w:bookmarkStart w:id="6" w:name="_Toc225418884"/>
      <w:r w:rsidRPr="00903EAC">
        <w:rPr>
          <w:b/>
          <w:bCs/>
          <w:i w:val="0"/>
          <w:iCs w:val="0"/>
        </w:rPr>
        <w:lastRenderedPageBreak/>
        <w:t xml:space="preserve">Table </w:t>
      </w:r>
      <w:r w:rsidR="00BA0ADC" w:rsidRPr="00903EAC">
        <w:rPr>
          <w:b/>
          <w:bCs/>
          <w:i w:val="0"/>
          <w:iCs w:val="0"/>
        </w:rPr>
        <w:fldChar w:fldCharType="begin"/>
      </w:r>
      <w:r w:rsidR="00BA0ADC" w:rsidRPr="00903EAC">
        <w:rPr>
          <w:b/>
          <w:bCs/>
          <w:i w:val="0"/>
          <w:iCs w:val="0"/>
        </w:rPr>
        <w:instrText xml:space="preserve"> SEQ Table \* ARABIC </w:instrText>
      </w:r>
      <w:r w:rsidR="00BA0ADC" w:rsidRPr="00903EAC">
        <w:rPr>
          <w:b/>
          <w:bCs/>
          <w:i w:val="0"/>
          <w:iCs w:val="0"/>
        </w:rPr>
        <w:fldChar w:fldCharType="separate"/>
      </w:r>
      <w:r w:rsidRPr="00903EAC">
        <w:rPr>
          <w:b/>
          <w:bCs/>
          <w:i w:val="0"/>
          <w:iCs w:val="0"/>
          <w:noProof/>
        </w:rPr>
        <w:t>1</w:t>
      </w:r>
      <w:r w:rsidR="00BA0ADC" w:rsidRPr="00903EAC">
        <w:rPr>
          <w:b/>
          <w:bCs/>
          <w:i w:val="0"/>
          <w:iCs w:val="0"/>
          <w:noProof/>
        </w:rPr>
        <w:fldChar w:fldCharType="end"/>
      </w:r>
      <w:r w:rsidR="00903EAC">
        <w:rPr>
          <w:i w:val="0"/>
          <w:iCs w:val="0"/>
          <w:sz w:val="18"/>
          <w:lang w:val="en-GB"/>
        </w:rPr>
        <w:t>.</w:t>
      </w:r>
      <w:r w:rsidRPr="00903EAC">
        <w:rPr>
          <w:i w:val="0"/>
          <w:iCs w:val="0"/>
          <w:sz w:val="18"/>
          <w:lang w:val="en-GB"/>
        </w:rPr>
        <w:t xml:space="preserve"> Summary of evidence and reference documents</w:t>
      </w:r>
      <w:bookmarkEnd w:id="6"/>
    </w:p>
    <w:tbl>
      <w:tblPr>
        <w:tblStyle w:val="Reetkatablice1"/>
        <w:tblW w:w="0" w:type="auto"/>
        <w:tblInd w:w="108" w:type="dxa"/>
        <w:tblLook w:val="04A0" w:firstRow="1" w:lastRow="0" w:firstColumn="1" w:lastColumn="0" w:noHBand="0" w:noVBand="1"/>
      </w:tblPr>
      <w:tblGrid>
        <w:gridCol w:w="2223"/>
        <w:gridCol w:w="2786"/>
        <w:gridCol w:w="3863"/>
      </w:tblGrid>
      <w:tr w:rsidR="00714873" w:rsidRPr="00B94F87" w14:paraId="2818E688" w14:textId="77777777" w:rsidTr="00B94F87">
        <w:tc>
          <w:tcPr>
            <w:tcW w:w="2085" w:type="dxa"/>
            <w:shd w:val="clear" w:color="auto" w:fill="D9E2F3" w:themeFill="accent1" w:themeFillTint="33"/>
            <w:hideMark/>
          </w:tcPr>
          <w:p w14:paraId="54EF41E2" w14:textId="003FE38E" w:rsidR="00714873" w:rsidRPr="00B94F87" w:rsidRDefault="00714873" w:rsidP="00E90D08">
            <w:pPr>
              <w:jc w:val="center"/>
              <w:rPr>
                <w:rFonts w:cstheme="minorHAnsi"/>
                <w:b/>
                <w:bCs/>
                <w:sz w:val="16"/>
                <w:szCs w:val="16"/>
                <w:lang w:val="en-GB" w:eastAsia="en-GB"/>
              </w:rPr>
            </w:pPr>
            <w:r w:rsidRPr="00B94F87">
              <w:rPr>
                <w:rFonts w:cstheme="minorHAnsi"/>
                <w:b/>
                <w:bCs/>
                <w:sz w:val="16"/>
                <w:szCs w:val="16"/>
                <w:lang w:val="en-GB" w:eastAsia="en-GB"/>
              </w:rPr>
              <w:t>Thematic area</w:t>
            </w:r>
          </w:p>
        </w:tc>
        <w:tc>
          <w:tcPr>
            <w:tcW w:w="3369" w:type="dxa"/>
            <w:shd w:val="clear" w:color="auto" w:fill="D9E2F3" w:themeFill="accent1" w:themeFillTint="33"/>
            <w:hideMark/>
          </w:tcPr>
          <w:p w14:paraId="79BF5144" w14:textId="6F960A97" w:rsidR="00714873" w:rsidRPr="00B94F87" w:rsidRDefault="00714873" w:rsidP="00E90D08">
            <w:pPr>
              <w:jc w:val="center"/>
              <w:rPr>
                <w:rFonts w:cstheme="minorHAnsi"/>
                <w:b/>
                <w:bCs/>
                <w:sz w:val="16"/>
                <w:szCs w:val="16"/>
                <w:lang w:val="en-GB" w:eastAsia="en-GB"/>
              </w:rPr>
            </w:pPr>
            <w:r w:rsidRPr="00B94F87">
              <w:rPr>
                <w:rFonts w:cstheme="minorHAnsi"/>
                <w:b/>
                <w:bCs/>
                <w:sz w:val="16"/>
                <w:szCs w:val="16"/>
                <w:lang w:val="en-GB" w:eastAsia="en-GB"/>
              </w:rPr>
              <w:t>Key documents and information sources used</w:t>
            </w:r>
          </w:p>
        </w:tc>
        <w:tc>
          <w:tcPr>
            <w:tcW w:w="3418" w:type="dxa"/>
            <w:shd w:val="clear" w:color="auto" w:fill="D9E2F3" w:themeFill="accent1" w:themeFillTint="33"/>
            <w:hideMark/>
          </w:tcPr>
          <w:p w14:paraId="3B9D998F" w14:textId="5256CC3B" w:rsidR="00714873" w:rsidRPr="00B94F87" w:rsidRDefault="00714873" w:rsidP="00E90D08">
            <w:pPr>
              <w:jc w:val="center"/>
              <w:rPr>
                <w:rFonts w:cstheme="minorHAnsi"/>
                <w:b/>
                <w:bCs/>
                <w:sz w:val="16"/>
                <w:szCs w:val="16"/>
                <w:lang w:val="en-GB" w:eastAsia="en-GB"/>
              </w:rPr>
            </w:pPr>
            <w:r w:rsidRPr="00B94F87">
              <w:rPr>
                <w:rFonts w:cstheme="minorHAnsi"/>
                <w:b/>
                <w:bCs/>
                <w:sz w:val="16"/>
                <w:szCs w:val="16"/>
                <w:lang w:val="en-GB" w:eastAsia="en-GB"/>
              </w:rPr>
              <w:t>Type of information used</w:t>
            </w:r>
          </w:p>
        </w:tc>
      </w:tr>
      <w:tr w:rsidR="00714873" w:rsidRPr="00B94F87" w14:paraId="44AF04F9" w14:textId="77777777" w:rsidTr="007A4C14">
        <w:tc>
          <w:tcPr>
            <w:tcW w:w="0" w:type="auto"/>
            <w:vAlign w:val="center"/>
            <w:hideMark/>
          </w:tcPr>
          <w:p w14:paraId="7EF0A556" w14:textId="77777777" w:rsidR="00714873" w:rsidRPr="00B94F87" w:rsidRDefault="00714873" w:rsidP="007A4C14">
            <w:pPr>
              <w:jc w:val="center"/>
              <w:rPr>
                <w:b/>
                <w:bCs/>
                <w:sz w:val="16"/>
                <w:szCs w:val="16"/>
              </w:rPr>
            </w:pPr>
            <w:r w:rsidRPr="00B94F87">
              <w:rPr>
                <w:rStyle w:val="Strong"/>
                <w:sz w:val="16"/>
                <w:szCs w:val="16"/>
              </w:rPr>
              <w:t>Legal and institutional baseline</w:t>
            </w:r>
          </w:p>
        </w:tc>
        <w:tc>
          <w:tcPr>
            <w:tcW w:w="0" w:type="auto"/>
            <w:hideMark/>
          </w:tcPr>
          <w:p w14:paraId="7103C0D0" w14:textId="222616B1" w:rsidR="00714873" w:rsidRPr="00B94F87" w:rsidRDefault="00FB1506">
            <w:pPr>
              <w:rPr>
                <w:sz w:val="16"/>
                <w:szCs w:val="16"/>
              </w:rPr>
            </w:pPr>
            <w:r w:rsidRPr="00FB1506">
              <w:rPr>
                <w:sz w:val="16"/>
                <w:szCs w:val="16"/>
                <w:lang w:val="sr-Latn-RS"/>
              </w:rPr>
              <w:t xml:space="preserve">• BGGDA Cemi/Cijevna (legal and institutional sections) </w:t>
            </w:r>
            <w:r w:rsidRPr="00FB1506">
              <w:rPr>
                <w:sz w:val="16"/>
                <w:szCs w:val="16"/>
                <w:lang w:val="sr-Latn-RS"/>
              </w:rPr>
              <w:br/>
              <w:t>• Analysis of bilateral agreement and proposed amendments</w:t>
            </w:r>
          </w:p>
        </w:tc>
        <w:tc>
          <w:tcPr>
            <w:tcW w:w="0" w:type="auto"/>
            <w:hideMark/>
          </w:tcPr>
          <w:p w14:paraId="3808CD0C" w14:textId="24BF29B0" w:rsidR="00714873" w:rsidRPr="00B94F87" w:rsidRDefault="00FB1506">
            <w:pPr>
              <w:rPr>
                <w:sz w:val="16"/>
                <w:szCs w:val="16"/>
              </w:rPr>
            </w:pPr>
            <w:r w:rsidRPr="00FB1506">
              <w:rPr>
                <w:sz w:val="16"/>
                <w:szCs w:val="16"/>
                <w:lang w:val="sr-Latn-RS"/>
              </w:rPr>
              <w:t>National legislation; level of WFD/GWD alignment; institutional mandates; permitting procedures; SPZ frameworks</w:t>
            </w:r>
          </w:p>
        </w:tc>
      </w:tr>
      <w:tr w:rsidR="00B720B3" w:rsidRPr="00B94F87" w14:paraId="2B0C379B" w14:textId="77777777" w:rsidTr="007A4C14">
        <w:tc>
          <w:tcPr>
            <w:tcW w:w="0" w:type="auto"/>
            <w:vAlign w:val="center"/>
            <w:hideMark/>
          </w:tcPr>
          <w:p w14:paraId="4B862009" w14:textId="77777777" w:rsidR="00B720B3" w:rsidRPr="00B94F87" w:rsidRDefault="00B720B3" w:rsidP="007A4C14">
            <w:pPr>
              <w:jc w:val="center"/>
              <w:rPr>
                <w:b/>
                <w:bCs/>
                <w:sz w:val="16"/>
                <w:szCs w:val="16"/>
              </w:rPr>
            </w:pPr>
            <w:r w:rsidRPr="00B94F87">
              <w:rPr>
                <w:rStyle w:val="Strong"/>
                <w:sz w:val="16"/>
                <w:szCs w:val="16"/>
              </w:rPr>
              <w:t>Hydrogeological and environmental context</w:t>
            </w:r>
          </w:p>
        </w:tc>
        <w:tc>
          <w:tcPr>
            <w:tcW w:w="0" w:type="auto"/>
            <w:hideMark/>
          </w:tcPr>
          <w:p w14:paraId="7387D355" w14:textId="1EE6849B" w:rsidR="00B720B3" w:rsidRPr="00B94F87" w:rsidRDefault="00FB1506">
            <w:pPr>
              <w:rPr>
                <w:sz w:val="16"/>
                <w:szCs w:val="16"/>
              </w:rPr>
            </w:pPr>
            <w:r w:rsidRPr="00FB1506">
              <w:rPr>
                <w:sz w:val="16"/>
                <w:szCs w:val="16"/>
                <w:lang w:val="sr-Latn-RS"/>
              </w:rPr>
              <w:t xml:space="preserve">• BGGDA Cemi/Cijevna (hydrogeological characterization, karst features) </w:t>
            </w:r>
            <w:r w:rsidRPr="00FB1506">
              <w:rPr>
                <w:sz w:val="16"/>
                <w:szCs w:val="16"/>
                <w:lang w:val="sr-Latn-RS"/>
              </w:rPr>
              <w:br/>
              <w:t>• JAP Cemi/Cijevna (aquifer dynamics, recharge/discharge zones)</w:t>
            </w:r>
          </w:p>
        </w:tc>
        <w:tc>
          <w:tcPr>
            <w:tcW w:w="0" w:type="auto"/>
            <w:hideMark/>
          </w:tcPr>
          <w:p w14:paraId="3CC34A75" w14:textId="6E5F98AB" w:rsidR="00B720B3" w:rsidRPr="00B94F87" w:rsidRDefault="00FB1506">
            <w:pPr>
              <w:rPr>
                <w:sz w:val="16"/>
                <w:szCs w:val="16"/>
              </w:rPr>
            </w:pPr>
            <w:r w:rsidRPr="00FB1506">
              <w:rPr>
                <w:sz w:val="16"/>
                <w:szCs w:val="16"/>
                <w:lang w:val="sr-Latn-RS"/>
              </w:rPr>
              <w:t>Karst characteristics, hydraulic connectivity, recharge areas, groundwater–surface water interaction, vulnerability factors</w:t>
            </w:r>
          </w:p>
        </w:tc>
      </w:tr>
      <w:tr w:rsidR="00B94F87" w:rsidRPr="00B94F87" w14:paraId="79334678" w14:textId="77777777" w:rsidTr="007A4C14">
        <w:tc>
          <w:tcPr>
            <w:tcW w:w="0" w:type="auto"/>
            <w:vAlign w:val="center"/>
            <w:hideMark/>
          </w:tcPr>
          <w:p w14:paraId="67512325" w14:textId="77777777" w:rsidR="00B94F87" w:rsidRPr="00B94F87" w:rsidRDefault="00B94F87" w:rsidP="007A4C14">
            <w:pPr>
              <w:jc w:val="center"/>
              <w:rPr>
                <w:b/>
                <w:bCs/>
                <w:sz w:val="16"/>
                <w:szCs w:val="16"/>
              </w:rPr>
            </w:pPr>
            <w:r w:rsidRPr="00B94F87">
              <w:rPr>
                <w:rStyle w:val="Strong"/>
                <w:sz w:val="16"/>
                <w:szCs w:val="16"/>
              </w:rPr>
              <w:t>Monitoring systems &amp; data availability</w:t>
            </w:r>
          </w:p>
        </w:tc>
        <w:tc>
          <w:tcPr>
            <w:tcW w:w="0" w:type="auto"/>
            <w:hideMark/>
          </w:tcPr>
          <w:p w14:paraId="2EBE23C6" w14:textId="41474E50" w:rsidR="00B94F87" w:rsidRPr="00B94F87" w:rsidRDefault="00FB1506">
            <w:pPr>
              <w:rPr>
                <w:sz w:val="16"/>
                <w:szCs w:val="16"/>
              </w:rPr>
            </w:pPr>
            <w:r w:rsidRPr="00FB1506">
              <w:rPr>
                <w:sz w:val="16"/>
                <w:szCs w:val="16"/>
                <w:lang w:val="sr-Latn-RS"/>
              </w:rPr>
              <w:t xml:space="preserve">• BGGDA findings (monitoring gaps and asymmetries) </w:t>
            </w:r>
            <w:r w:rsidRPr="00FB1506">
              <w:rPr>
                <w:sz w:val="16"/>
                <w:szCs w:val="16"/>
                <w:lang w:val="sr-Latn-RS"/>
              </w:rPr>
              <w:br/>
              <w:t>• JAP Cemi/Cijevna, Chapter 5 (monitoring networks and parameters)</w:t>
            </w:r>
          </w:p>
        </w:tc>
        <w:tc>
          <w:tcPr>
            <w:tcW w:w="0" w:type="auto"/>
            <w:hideMark/>
          </w:tcPr>
          <w:p w14:paraId="4F6F3AE5" w14:textId="4072A29F" w:rsidR="00B94F87" w:rsidRPr="00B94F87" w:rsidRDefault="00FB1506">
            <w:pPr>
              <w:rPr>
                <w:sz w:val="16"/>
                <w:szCs w:val="16"/>
              </w:rPr>
            </w:pPr>
            <w:r w:rsidRPr="00FB1506">
              <w:rPr>
                <w:sz w:val="16"/>
                <w:szCs w:val="16"/>
                <w:lang w:val="sr-Latn-RS"/>
              </w:rPr>
              <w:t>Monitoring structures, parameter sets, sampling frequency, QA/QC practices, data gaps and inconsistencies</w:t>
            </w:r>
          </w:p>
        </w:tc>
      </w:tr>
      <w:tr w:rsidR="00B94F87" w:rsidRPr="00B94F87" w14:paraId="0FF090EB" w14:textId="77777777" w:rsidTr="007A4C14">
        <w:tc>
          <w:tcPr>
            <w:tcW w:w="2085" w:type="dxa"/>
            <w:vAlign w:val="center"/>
          </w:tcPr>
          <w:p w14:paraId="45398632" w14:textId="18338FB1" w:rsidR="00B94F87" w:rsidRPr="00B94F87" w:rsidRDefault="00B94F87" w:rsidP="007A4C14">
            <w:pPr>
              <w:jc w:val="center"/>
              <w:rPr>
                <w:rFonts w:cstheme="minorHAnsi"/>
                <w:sz w:val="16"/>
                <w:szCs w:val="16"/>
                <w:lang w:val="en-GB" w:eastAsia="en-GB"/>
              </w:rPr>
            </w:pPr>
            <w:r w:rsidRPr="00B94F87">
              <w:rPr>
                <w:rStyle w:val="Strong"/>
                <w:sz w:val="16"/>
                <w:szCs w:val="16"/>
              </w:rPr>
              <w:t>Transboundary risk pathways &amp; pressures</w:t>
            </w:r>
          </w:p>
        </w:tc>
        <w:tc>
          <w:tcPr>
            <w:tcW w:w="336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B1506" w:rsidRPr="00FB1506" w14:paraId="10AFFB60" w14:textId="77777777" w:rsidTr="00FB1506">
              <w:trPr>
                <w:tblCellSpacing w:w="15" w:type="dxa"/>
              </w:trPr>
              <w:tc>
                <w:tcPr>
                  <w:tcW w:w="0" w:type="auto"/>
                  <w:vAlign w:val="center"/>
                  <w:hideMark/>
                </w:tcPr>
                <w:p w14:paraId="3B96510C" w14:textId="77777777" w:rsidR="00FB1506" w:rsidRPr="00FB1506" w:rsidRDefault="00FB1506" w:rsidP="00FB1506">
                  <w:pPr>
                    <w:spacing w:after="0" w:line="240" w:lineRule="auto"/>
                    <w:rPr>
                      <w:rFonts w:eastAsia="Times New Roman"/>
                      <w:sz w:val="16"/>
                      <w:szCs w:val="16"/>
                      <w:lang w:val="en-US"/>
                    </w:rPr>
                  </w:pPr>
                </w:p>
              </w:tc>
            </w:tr>
          </w:tbl>
          <w:p w14:paraId="4A4B4653" w14:textId="77777777" w:rsidR="00FB1506" w:rsidRPr="00FB1506" w:rsidRDefault="00FB1506" w:rsidP="00FB1506">
            <w:pPr>
              <w:rPr>
                <w:vanish/>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70"/>
            </w:tblGrid>
            <w:tr w:rsidR="00FB1506" w:rsidRPr="00FB1506" w14:paraId="56DAD31E" w14:textId="77777777" w:rsidTr="00FB1506">
              <w:trPr>
                <w:tblCellSpacing w:w="15" w:type="dxa"/>
              </w:trPr>
              <w:tc>
                <w:tcPr>
                  <w:tcW w:w="0" w:type="auto"/>
                  <w:vAlign w:val="center"/>
                  <w:hideMark/>
                </w:tcPr>
                <w:p w14:paraId="44D5BDB0" w14:textId="77777777" w:rsidR="00FB1506" w:rsidRPr="00FB1506" w:rsidRDefault="00FB1506" w:rsidP="00FB1506">
                  <w:pPr>
                    <w:spacing w:after="0" w:line="240" w:lineRule="auto"/>
                    <w:rPr>
                      <w:rFonts w:eastAsia="Times New Roman"/>
                      <w:sz w:val="16"/>
                      <w:szCs w:val="16"/>
                      <w:lang w:val="en-US"/>
                    </w:rPr>
                  </w:pPr>
                  <w:r w:rsidRPr="00FB1506">
                    <w:rPr>
                      <w:rFonts w:eastAsia="Times New Roman"/>
                      <w:sz w:val="16"/>
                      <w:szCs w:val="16"/>
                      <w:lang w:val="en-US"/>
                    </w:rPr>
                    <w:t>• BGGDA and JAP (pollution sources, land-use pressures, sanitation issues)</w:t>
                  </w:r>
                </w:p>
              </w:tc>
            </w:tr>
          </w:tbl>
          <w:p w14:paraId="4ADE10CB" w14:textId="0ECF239F" w:rsidR="00B94F87" w:rsidRPr="00B94F87" w:rsidRDefault="00B94F87" w:rsidP="00B94F87">
            <w:pPr>
              <w:rPr>
                <w:rFonts w:cstheme="minorHAnsi"/>
                <w:sz w:val="16"/>
                <w:szCs w:val="16"/>
                <w:lang w:val="en-GB" w:eastAsia="en-GB"/>
              </w:rPr>
            </w:pPr>
          </w:p>
        </w:tc>
        <w:tc>
          <w:tcPr>
            <w:tcW w:w="3418" w:type="dxa"/>
            <w:vAlign w:val="center"/>
          </w:tcPr>
          <w:p w14:paraId="4437136A" w14:textId="41FB7762" w:rsidR="00B94F87" w:rsidRPr="00B94F87" w:rsidRDefault="00FB1506" w:rsidP="00B94F87">
            <w:pPr>
              <w:rPr>
                <w:rFonts w:cstheme="minorHAnsi"/>
                <w:sz w:val="16"/>
                <w:szCs w:val="16"/>
                <w:lang w:val="en-GB" w:eastAsia="en-GB"/>
              </w:rPr>
            </w:pPr>
            <w:r w:rsidRPr="00FB1506">
              <w:rPr>
                <w:sz w:val="16"/>
                <w:szCs w:val="16"/>
                <w:lang w:val="sr-Latn-RS"/>
              </w:rPr>
              <w:t>Distribution of pressures, diffuse pollution, wastewater impacts, agricultural pressures, risks to water quality and ecosystems</w:t>
            </w:r>
          </w:p>
        </w:tc>
      </w:tr>
      <w:tr w:rsidR="00B94F87" w:rsidRPr="00B94F87" w14:paraId="06938497" w14:textId="77777777" w:rsidTr="007A4C14">
        <w:tc>
          <w:tcPr>
            <w:tcW w:w="2085" w:type="dxa"/>
            <w:vAlign w:val="center"/>
          </w:tcPr>
          <w:p w14:paraId="1AF43ED2" w14:textId="1A525BE0" w:rsidR="00B94F87" w:rsidRPr="00B94F87" w:rsidRDefault="00B94F87" w:rsidP="007A4C14">
            <w:pPr>
              <w:jc w:val="center"/>
              <w:rPr>
                <w:rFonts w:cstheme="minorHAnsi"/>
                <w:sz w:val="16"/>
                <w:szCs w:val="16"/>
                <w:lang w:val="en-GB" w:eastAsia="en-GB"/>
              </w:rPr>
            </w:pPr>
            <w:r w:rsidRPr="00B94F87">
              <w:rPr>
                <w:rStyle w:val="Strong"/>
                <w:sz w:val="16"/>
                <w:szCs w:val="16"/>
              </w:rPr>
              <w:t>Institutional capacities &amp; governance performance</w:t>
            </w:r>
          </w:p>
        </w:tc>
        <w:tc>
          <w:tcPr>
            <w:tcW w:w="3369" w:type="dxa"/>
            <w:vAlign w:val="center"/>
          </w:tcPr>
          <w:p w14:paraId="271AC1A7" w14:textId="4D9EA195" w:rsidR="00B94F87" w:rsidRPr="00B94F87" w:rsidRDefault="00FB1506" w:rsidP="00B94F87">
            <w:pPr>
              <w:rPr>
                <w:rFonts w:cstheme="minorHAnsi"/>
                <w:sz w:val="16"/>
                <w:szCs w:val="16"/>
                <w:lang w:val="en-GB" w:eastAsia="en-GB"/>
              </w:rPr>
            </w:pPr>
            <w:r w:rsidRPr="00FB1506">
              <w:rPr>
                <w:sz w:val="16"/>
                <w:szCs w:val="16"/>
                <w:lang w:val="sr-Latn-RS"/>
              </w:rPr>
              <w:t xml:space="preserve">• BGGDA institutional analysis </w:t>
            </w:r>
            <w:r w:rsidRPr="00FB1506">
              <w:rPr>
                <w:sz w:val="16"/>
                <w:szCs w:val="16"/>
                <w:lang w:val="sr-Latn-RS"/>
              </w:rPr>
              <w:br/>
              <w:t>• Bilateral cooperation assessments</w:t>
            </w:r>
          </w:p>
        </w:tc>
        <w:tc>
          <w:tcPr>
            <w:tcW w:w="3418" w:type="dxa"/>
            <w:vAlign w:val="center"/>
          </w:tcPr>
          <w:p w14:paraId="4883E275" w14:textId="2CB13B34" w:rsidR="00B94F87" w:rsidRPr="00B94F87" w:rsidRDefault="00FB1506" w:rsidP="00B94F87">
            <w:pPr>
              <w:rPr>
                <w:rFonts w:cstheme="minorHAnsi"/>
                <w:sz w:val="16"/>
                <w:szCs w:val="16"/>
                <w:lang w:val="en-GB" w:eastAsia="en-GB"/>
              </w:rPr>
            </w:pPr>
            <w:r w:rsidRPr="00FB1506">
              <w:rPr>
                <w:sz w:val="16"/>
                <w:szCs w:val="16"/>
                <w:lang w:val="sr-Latn-RS"/>
              </w:rPr>
              <w:t>Institutional roles, coordination mechanisms, enforcement capacity, cross-sectoral interaction</w:t>
            </w:r>
          </w:p>
        </w:tc>
      </w:tr>
      <w:tr w:rsidR="00B94F87" w:rsidRPr="00B94F87" w14:paraId="25E0C522" w14:textId="77777777" w:rsidTr="007A4C14">
        <w:tc>
          <w:tcPr>
            <w:tcW w:w="2085" w:type="dxa"/>
            <w:vAlign w:val="center"/>
          </w:tcPr>
          <w:p w14:paraId="64523F6A" w14:textId="6B5AA93E" w:rsidR="00B94F87" w:rsidRPr="00B94F87" w:rsidRDefault="00B94F87" w:rsidP="007A4C14">
            <w:pPr>
              <w:jc w:val="center"/>
              <w:rPr>
                <w:rFonts w:cstheme="minorHAnsi"/>
                <w:sz w:val="16"/>
                <w:szCs w:val="16"/>
                <w:lang w:val="en-GB" w:eastAsia="en-GB"/>
              </w:rPr>
            </w:pPr>
            <w:r w:rsidRPr="00B94F87">
              <w:rPr>
                <w:rStyle w:val="Strong"/>
                <w:sz w:val="16"/>
                <w:szCs w:val="16"/>
              </w:rPr>
              <w:t>EU WFD/GWD coherence benchmark</w:t>
            </w:r>
          </w:p>
        </w:tc>
        <w:tc>
          <w:tcPr>
            <w:tcW w:w="3369" w:type="dxa"/>
            <w:vAlign w:val="center"/>
          </w:tcPr>
          <w:p w14:paraId="4EBF2415" w14:textId="6EF5B755" w:rsidR="00FB1506" w:rsidRDefault="00FB1506" w:rsidP="00B94F87">
            <w:pPr>
              <w:rPr>
                <w:sz w:val="16"/>
                <w:szCs w:val="16"/>
                <w:lang w:val="sr-Latn-RS"/>
              </w:rPr>
            </w:pPr>
            <w:r w:rsidRPr="00FB1506">
              <w:rPr>
                <w:sz w:val="16"/>
                <w:szCs w:val="16"/>
                <w:lang w:val="sr-Latn-RS"/>
              </w:rPr>
              <w:t xml:space="preserve">• BGGDA </w:t>
            </w:r>
            <w:r>
              <w:rPr>
                <w:sz w:val="16"/>
                <w:szCs w:val="16"/>
                <w:lang w:val="sr-Latn-RS"/>
              </w:rPr>
              <w:t xml:space="preserve">Cemi/Cijevna, </w:t>
            </w:r>
            <w:r w:rsidRPr="00FB1506">
              <w:rPr>
                <w:sz w:val="16"/>
                <w:szCs w:val="16"/>
                <w:lang w:val="sr-Latn-RS"/>
              </w:rPr>
              <w:t>analytical sections</w:t>
            </w:r>
          </w:p>
          <w:p w14:paraId="4257A5F1" w14:textId="31601980" w:rsidR="00B94F87" w:rsidRPr="00B94F87" w:rsidRDefault="00B94F87" w:rsidP="00B94F87">
            <w:pPr>
              <w:rPr>
                <w:rFonts w:cstheme="minorHAnsi"/>
                <w:sz w:val="16"/>
                <w:szCs w:val="16"/>
                <w:lang w:val="en-GB" w:eastAsia="en-GB"/>
              </w:rPr>
            </w:pPr>
            <w:r w:rsidRPr="00B94F87">
              <w:rPr>
                <w:sz w:val="16"/>
                <w:szCs w:val="16"/>
              </w:rPr>
              <w:t xml:space="preserve">• DIKTAS II </w:t>
            </w:r>
            <w:r>
              <w:rPr>
                <w:sz w:val="16"/>
                <w:szCs w:val="16"/>
              </w:rPr>
              <w:t xml:space="preserve">project </w:t>
            </w:r>
            <w:r w:rsidRPr="00B94F87">
              <w:rPr>
                <w:sz w:val="16"/>
                <w:szCs w:val="16"/>
              </w:rPr>
              <w:t xml:space="preserve">materials referencing WFD/GWD principles </w:t>
            </w:r>
          </w:p>
        </w:tc>
        <w:tc>
          <w:tcPr>
            <w:tcW w:w="3418" w:type="dxa"/>
            <w:vAlign w:val="center"/>
          </w:tcPr>
          <w:p w14:paraId="3785DFA0" w14:textId="66646888" w:rsidR="00B94F87" w:rsidRPr="00B94F87" w:rsidRDefault="00FB1506" w:rsidP="00B94F87">
            <w:pPr>
              <w:rPr>
                <w:rFonts w:cstheme="minorHAnsi"/>
                <w:sz w:val="16"/>
                <w:szCs w:val="16"/>
                <w:lang w:val="en-GB" w:eastAsia="en-GB"/>
              </w:rPr>
            </w:pPr>
            <w:r w:rsidRPr="00FB1506">
              <w:rPr>
                <w:sz w:val="16"/>
                <w:szCs w:val="16"/>
                <w:lang w:val="sr-Latn-RS"/>
              </w:rPr>
              <w:t>Comparison of national practices with EU principles; identification of aligned and non-aligned elements</w:t>
            </w:r>
          </w:p>
        </w:tc>
      </w:tr>
      <w:tr w:rsidR="00B94F87" w:rsidRPr="00B94F87" w14:paraId="350374AD" w14:textId="77777777" w:rsidTr="007A4C14">
        <w:tc>
          <w:tcPr>
            <w:tcW w:w="0" w:type="auto"/>
            <w:vAlign w:val="center"/>
            <w:hideMark/>
          </w:tcPr>
          <w:p w14:paraId="4BF6B8E3" w14:textId="77777777" w:rsidR="00B94F87" w:rsidRPr="00B94F87" w:rsidRDefault="00B94F87" w:rsidP="007A4C14">
            <w:pPr>
              <w:jc w:val="center"/>
              <w:rPr>
                <w:b/>
                <w:bCs/>
                <w:sz w:val="16"/>
                <w:szCs w:val="16"/>
              </w:rPr>
            </w:pPr>
            <w:r w:rsidRPr="00B94F87">
              <w:rPr>
                <w:rStyle w:val="Strong"/>
                <w:sz w:val="16"/>
                <w:szCs w:val="16"/>
              </w:rPr>
              <w:t>Operational practices &amp; concrete management issues</w:t>
            </w:r>
          </w:p>
        </w:tc>
        <w:tc>
          <w:tcPr>
            <w:tcW w:w="0" w:type="auto"/>
            <w:hideMark/>
          </w:tcPr>
          <w:p w14:paraId="531FB1CF" w14:textId="19FF99FB" w:rsidR="00B94F87" w:rsidRPr="00B94F87" w:rsidRDefault="00FB1506">
            <w:pPr>
              <w:rPr>
                <w:sz w:val="16"/>
                <w:szCs w:val="16"/>
              </w:rPr>
            </w:pPr>
            <w:r w:rsidRPr="00FB1506">
              <w:rPr>
                <w:sz w:val="16"/>
                <w:szCs w:val="16"/>
                <w:lang w:val="sr-Latn-RS"/>
              </w:rPr>
              <w:t>• JAP Cemi/Cijevna (water use, infrastructure, monitoring challenges)</w:t>
            </w:r>
          </w:p>
        </w:tc>
        <w:tc>
          <w:tcPr>
            <w:tcW w:w="0" w:type="auto"/>
            <w:hideMark/>
          </w:tcPr>
          <w:p w14:paraId="01F527C5" w14:textId="56DEB1E7" w:rsidR="00B94F87" w:rsidRPr="00B94F87" w:rsidRDefault="00FB1506">
            <w:pPr>
              <w:rPr>
                <w:sz w:val="16"/>
                <w:szCs w:val="16"/>
              </w:rPr>
            </w:pPr>
            <w:r w:rsidRPr="00FB1506">
              <w:rPr>
                <w:sz w:val="16"/>
                <w:szCs w:val="16"/>
                <w:lang w:val="sr-Latn-RS"/>
              </w:rPr>
              <w:t>Practical issues in implementation, groundwater use pressures, infrastructure limitations, management constraints</w:t>
            </w:r>
          </w:p>
        </w:tc>
      </w:tr>
      <w:tr w:rsidR="00B94F87" w:rsidRPr="00B94F87" w14:paraId="6DA4D4D8" w14:textId="77777777" w:rsidTr="007A4C14">
        <w:tc>
          <w:tcPr>
            <w:tcW w:w="0" w:type="auto"/>
            <w:vAlign w:val="center"/>
            <w:hideMark/>
          </w:tcPr>
          <w:p w14:paraId="4E309EF2" w14:textId="77777777" w:rsidR="00B94F87" w:rsidRPr="00B94F87" w:rsidRDefault="00B94F87" w:rsidP="007A4C14">
            <w:pPr>
              <w:jc w:val="center"/>
              <w:rPr>
                <w:b/>
                <w:bCs/>
                <w:sz w:val="16"/>
                <w:szCs w:val="16"/>
              </w:rPr>
            </w:pPr>
            <w:r w:rsidRPr="00B94F87">
              <w:rPr>
                <w:rStyle w:val="Strong"/>
                <w:sz w:val="16"/>
                <w:szCs w:val="16"/>
              </w:rPr>
              <w:t>Transboundary cooperation setting</w:t>
            </w:r>
          </w:p>
        </w:tc>
        <w:tc>
          <w:tcPr>
            <w:tcW w:w="0" w:type="auto"/>
            <w:hideMark/>
          </w:tcPr>
          <w:p w14:paraId="3A4E8374" w14:textId="33143589" w:rsidR="00B94F87" w:rsidRPr="00B94F87" w:rsidRDefault="00FB1506">
            <w:pPr>
              <w:rPr>
                <w:sz w:val="16"/>
                <w:szCs w:val="16"/>
              </w:rPr>
            </w:pPr>
            <w:r w:rsidRPr="00FB1506">
              <w:rPr>
                <w:sz w:val="16"/>
                <w:szCs w:val="16"/>
                <w:lang w:val="sr-Latn-RS"/>
              </w:rPr>
              <w:t xml:space="preserve">• Bilateral agreement (2018) and proposed amendments </w:t>
            </w:r>
            <w:r w:rsidRPr="00FB1506">
              <w:rPr>
                <w:sz w:val="16"/>
                <w:szCs w:val="16"/>
                <w:lang w:val="sr-Latn-RS"/>
              </w:rPr>
              <w:br/>
            </w:r>
            <w:r w:rsidR="00B94F87" w:rsidRPr="00B94F87">
              <w:rPr>
                <w:sz w:val="16"/>
                <w:szCs w:val="16"/>
              </w:rPr>
              <w:t xml:space="preserve">• DIKTAS II </w:t>
            </w:r>
            <w:r w:rsidR="007A4C14">
              <w:rPr>
                <w:sz w:val="16"/>
                <w:szCs w:val="16"/>
              </w:rPr>
              <w:t>project</w:t>
            </w:r>
            <w:r w:rsidR="00B94F87" w:rsidRPr="00B94F87">
              <w:rPr>
                <w:sz w:val="16"/>
                <w:szCs w:val="16"/>
              </w:rPr>
              <w:t xml:space="preserve"> material (multilateral cooperation structure) </w:t>
            </w:r>
          </w:p>
        </w:tc>
        <w:tc>
          <w:tcPr>
            <w:tcW w:w="0" w:type="auto"/>
            <w:hideMark/>
          </w:tcPr>
          <w:p w14:paraId="7115D54D" w14:textId="02B8EBDB" w:rsidR="00B94F87" w:rsidRPr="00B94F87" w:rsidRDefault="004879EA">
            <w:pPr>
              <w:rPr>
                <w:sz w:val="16"/>
                <w:szCs w:val="16"/>
              </w:rPr>
            </w:pPr>
            <w:r w:rsidRPr="004879EA">
              <w:rPr>
                <w:sz w:val="16"/>
                <w:szCs w:val="16"/>
                <w:lang w:val="sr-Latn-RS"/>
              </w:rPr>
              <w:t>Existing cooperation mechanisms, gaps in coordination, data exchange limitations, institutional arrangements</w:t>
            </w:r>
          </w:p>
        </w:tc>
      </w:tr>
      <w:tr w:rsidR="00B94F87" w:rsidRPr="00B94F87" w14:paraId="5C396EAA" w14:textId="77777777" w:rsidTr="007A4C14">
        <w:tc>
          <w:tcPr>
            <w:tcW w:w="2085" w:type="dxa"/>
            <w:vAlign w:val="center"/>
          </w:tcPr>
          <w:p w14:paraId="07EBAEDD" w14:textId="5BECAB17" w:rsidR="00B94F87" w:rsidRPr="00B94F87" w:rsidRDefault="00B94F87" w:rsidP="007A4C14">
            <w:pPr>
              <w:jc w:val="center"/>
              <w:rPr>
                <w:rFonts w:cstheme="minorHAnsi"/>
                <w:sz w:val="16"/>
                <w:szCs w:val="16"/>
                <w:lang w:val="en-GB" w:eastAsia="en-GB"/>
              </w:rPr>
            </w:pPr>
            <w:r w:rsidRPr="00B94F87">
              <w:rPr>
                <w:rStyle w:val="Strong"/>
                <w:sz w:val="16"/>
                <w:szCs w:val="16"/>
              </w:rPr>
              <w:t>Evidence supporting prioritization of alignment areas</w:t>
            </w:r>
          </w:p>
        </w:tc>
        <w:tc>
          <w:tcPr>
            <w:tcW w:w="3369" w:type="dxa"/>
            <w:vAlign w:val="center"/>
          </w:tcPr>
          <w:p w14:paraId="77A00A15" w14:textId="15305FB0" w:rsidR="00B94F87" w:rsidRPr="00B94F87" w:rsidRDefault="004879EA" w:rsidP="00B94F87">
            <w:pPr>
              <w:rPr>
                <w:rFonts w:cstheme="minorHAnsi"/>
                <w:sz w:val="16"/>
                <w:szCs w:val="16"/>
                <w:lang w:val="en-GB" w:eastAsia="en-GB"/>
              </w:rPr>
            </w:pPr>
            <w:r w:rsidRPr="004879EA">
              <w:rPr>
                <w:sz w:val="16"/>
                <w:szCs w:val="16"/>
                <w:lang w:val="sr-Latn-RS"/>
              </w:rPr>
              <w:t xml:space="preserve">• BGGDA summary findings </w:t>
            </w:r>
            <w:r w:rsidRPr="004879EA">
              <w:rPr>
                <w:sz w:val="16"/>
                <w:szCs w:val="16"/>
                <w:lang w:val="sr-Latn-RS"/>
              </w:rPr>
              <w:br/>
              <w:t>• JAP priority issues</w:t>
            </w:r>
          </w:p>
        </w:tc>
        <w:tc>
          <w:tcPr>
            <w:tcW w:w="3418" w:type="dxa"/>
            <w:vAlign w:val="center"/>
          </w:tcPr>
          <w:p w14:paraId="51AFB180" w14:textId="1BFABC10" w:rsidR="00B94F87" w:rsidRPr="00B94F87" w:rsidRDefault="004879EA" w:rsidP="00B94F87">
            <w:pPr>
              <w:rPr>
                <w:rFonts w:cstheme="minorHAnsi"/>
                <w:sz w:val="16"/>
                <w:szCs w:val="16"/>
                <w:lang w:val="en-GB" w:eastAsia="en-GB"/>
              </w:rPr>
            </w:pPr>
            <w:r w:rsidRPr="004879EA">
              <w:rPr>
                <w:sz w:val="16"/>
                <w:szCs w:val="16"/>
                <w:lang w:val="sr-Latn-RS"/>
              </w:rPr>
              <w:t>Identification of priority domains where harmonization is justified and feasible</w:t>
            </w:r>
          </w:p>
        </w:tc>
      </w:tr>
    </w:tbl>
    <w:p w14:paraId="11A1110C" w14:textId="77777777" w:rsidR="00714873" w:rsidRDefault="00714873" w:rsidP="00714873">
      <w:pPr>
        <w:jc w:val="both"/>
        <w:rPr>
          <w:lang w:val="en-GB"/>
        </w:rPr>
      </w:pPr>
    </w:p>
    <w:p w14:paraId="2F953125" w14:textId="384261B5" w:rsidR="004879EA" w:rsidRPr="004879EA" w:rsidRDefault="004879EA" w:rsidP="004879EA">
      <w:pPr>
        <w:jc w:val="both"/>
        <w:rPr>
          <w:lang w:val="en-US"/>
        </w:rPr>
      </w:pPr>
      <w:r w:rsidRPr="004879EA">
        <w:rPr>
          <w:lang w:val="en-US"/>
        </w:rPr>
        <w:t xml:space="preserve">The analysis uses several types of inputs, including legislative reviews, institutional mappings, hydrogeological data and assessments of environmental pressures documented in the diagnostic materials. </w:t>
      </w:r>
      <w:r w:rsidR="00D87862" w:rsidRPr="00D87862">
        <w:t>These sources provide a clear understanding of groundwater management systems in both countries and help identify operational issues relevant for transboundary aquifers.</w:t>
      </w:r>
    </w:p>
    <w:p w14:paraId="098B3368" w14:textId="77777777" w:rsidR="004879EA" w:rsidRPr="004879EA" w:rsidRDefault="004879EA" w:rsidP="004879EA">
      <w:pPr>
        <w:jc w:val="both"/>
        <w:rPr>
          <w:lang w:val="en-US"/>
        </w:rPr>
      </w:pPr>
      <w:r w:rsidRPr="004879EA">
        <w:rPr>
          <w:lang w:val="en-US"/>
        </w:rPr>
        <w:t>A pragmatic approach is applied throughout the analysis. Proposed measures focus on actions that are feasible within existing administrative arrangements, consistent with current institutional mandates and suitable for consideration by competent authorities. The Framework does not imply changes to legal definitions or formal delineation of sanitary protection zones. Instead, it emphasizes operational consistency, improved coordination and the alignment of selected technical procedures in areas where transboundary connectivity makes such alignment necessary.</w:t>
      </w:r>
    </w:p>
    <w:p w14:paraId="6479DBB1" w14:textId="77777777" w:rsidR="004879EA" w:rsidRDefault="004879EA" w:rsidP="00DB6053">
      <w:pPr>
        <w:jc w:val="both"/>
        <w:rPr>
          <w:lang w:val="en-GB"/>
        </w:rPr>
      </w:pPr>
    </w:p>
    <w:p w14:paraId="6A8CC088" w14:textId="77777777" w:rsidR="00BD3225" w:rsidRDefault="00BD3225" w:rsidP="00BD3225">
      <w:pPr>
        <w:jc w:val="both"/>
        <w:rPr>
          <w:lang w:val="en-GB"/>
        </w:rPr>
      </w:pPr>
    </w:p>
    <w:p w14:paraId="1AFC9E45" w14:textId="77777777" w:rsidR="00BD3225" w:rsidRDefault="00BD3225" w:rsidP="00BD3225">
      <w:pPr>
        <w:jc w:val="both"/>
        <w:rPr>
          <w:lang w:val="en-GB"/>
        </w:rPr>
      </w:pPr>
    </w:p>
    <w:p w14:paraId="070AA0B5" w14:textId="19D42558" w:rsidR="00FB0298" w:rsidRPr="003B035A" w:rsidRDefault="00FB0298" w:rsidP="00C26B89">
      <w:pPr>
        <w:pStyle w:val="Heading1"/>
        <w:jc w:val="both"/>
        <w:rPr>
          <w:lang w:val="en-GB"/>
        </w:rPr>
      </w:pPr>
      <w:bookmarkStart w:id="7" w:name="_Toc225418420"/>
      <w:r>
        <w:rPr>
          <w:lang w:val="en-GB"/>
        </w:rPr>
        <w:lastRenderedPageBreak/>
        <w:t>4</w:t>
      </w:r>
      <w:r w:rsidRPr="003B035A">
        <w:rPr>
          <w:lang w:val="en-GB"/>
        </w:rPr>
        <w:t xml:space="preserve"> </w:t>
      </w:r>
      <w:r w:rsidR="00C26B89" w:rsidRPr="00C26B89">
        <w:rPr>
          <w:lang w:val="en-GB"/>
        </w:rPr>
        <w:t xml:space="preserve">Transboundary </w:t>
      </w:r>
      <w:proofErr w:type="gramStart"/>
      <w:r w:rsidR="00C26B89" w:rsidRPr="00C26B89">
        <w:rPr>
          <w:lang w:val="en-GB"/>
        </w:rPr>
        <w:t>context</w:t>
      </w:r>
      <w:proofErr w:type="gramEnd"/>
      <w:r w:rsidR="00C26B89" w:rsidRPr="00C26B89">
        <w:rPr>
          <w:lang w:val="en-GB"/>
        </w:rPr>
        <w:t>: why harmonization of sanitary protection zones matters</w:t>
      </w:r>
      <w:bookmarkEnd w:id="7"/>
    </w:p>
    <w:p w14:paraId="510FB048" w14:textId="77777777" w:rsidR="005D7EAC" w:rsidRPr="005D7EAC" w:rsidRDefault="005D7EAC" w:rsidP="005D7EAC">
      <w:pPr>
        <w:jc w:val="both"/>
        <w:rPr>
          <w:lang w:val="en-US"/>
        </w:rPr>
      </w:pPr>
      <w:r w:rsidRPr="005D7EAC">
        <w:rPr>
          <w:lang w:val="en-US"/>
        </w:rPr>
        <w:t xml:space="preserve">The </w:t>
      </w:r>
      <w:proofErr w:type="spellStart"/>
      <w:r w:rsidRPr="005D7EAC">
        <w:rPr>
          <w:lang w:val="en-US"/>
        </w:rPr>
        <w:t>Cemi</w:t>
      </w:r>
      <w:proofErr w:type="spellEnd"/>
      <w:r w:rsidRPr="005D7EAC">
        <w:rPr>
          <w:lang w:val="en-US"/>
        </w:rPr>
        <w:t>/</w:t>
      </w:r>
      <w:proofErr w:type="spellStart"/>
      <w:r w:rsidRPr="005D7EAC">
        <w:rPr>
          <w:lang w:val="en-US"/>
        </w:rPr>
        <w:t>Cijevna</w:t>
      </w:r>
      <w:proofErr w:type="spellEnd"/>
      <w:r w:rsidRPr="005D7EAC">
        <w:rPr>
          <w:lang w:val="en-US"/>
        </w:rPr>
        <w:t xml:space="preserve"> transboundary aquifer, shared between Montenegro and Albania, is part of the Dinaric karst system and is characterized by very high permeability, limited natural attenuation capacity and rapid groundwater flow through karst conduits. These features enable fast hydraulic connections between recharge areas located in Albania and discharge zones in Montenegro, particularly within the Zeta Plain aquifer system, which supplies drinking water to Podgorica, Tuzi and surrounding areas.</w:t>
      </w:r>
    </w:p>
    <w:p w14:paraId="61EA8C0D" w14:textId="77777777" w:rsidR="005D7EAC" w:rsidRPr="005D7EAC" w:rsidRDefault="005D7EAC" w:rsidP="005D7EAC">
      <w:pPr>
        <w:jc w:val="both"/>
        <w:rPr>
          <w:lang w:val="en-US"/>
        </w:rPr>
      </w:pPr>
      <w:r w:rsidRPr="005D7EAC">
        <w:rPr>
          <w:lang w:val="en-US"/>
        </w:rPr>
        <w:t>Because recharge and discharge zones extend across national boundaries, pressures originating in one country can directly affect groundwater quality and availability in the other. In karst environments, this connectivity is often difficult to delineate precisely using administrative boundaries, as groundwater flow paths are controlled by geological structures and karst features rather than surface catchments.</w:t>
      </w:r>
    </w:p>
    <w:p w14:paraId="7E0BBD03" w14:textId="77777777" w:rsidR="005D7EAC" w:rsidRPr="005D7EAC" w:rsidRDefault="005D7EAC" w:rsidP="005D7EAC">
      <w:pPr>
        <w:jc w:val="both"/>
        <w:rPr>
          <w:lang w:val="en-US"/>
        </w:rPr>
      </w:pPr>
      <w:r w:rsidRPr="005D7EAC">
        <w:rPr>
          <w:lang w:val="en-US"/>
        </w:rPr>
        <w:t xml:space="preserve">Recharge of the </w:t>
      </w:r>
      <w:proofErr w:type="spellStart"/>
      <w:r w:rsidRPr="005D7EAC">
        <w:rPr>
          <w:lang w:val="en-US"/>
        </w:rPr>
        <w:t>Cemi</w:t>
      </w:r>
      <w:proofErr w:type="spellEnd"/>
      <w:r w:rsidRPr="005D7EAC">
        <w:rPr>
          <w:lang w:val="en-US"/>
        </w:rPr>
        <w:t>/</w:t>
      </w:r>
      <w:proofErr w:type="spellStart"/>
      <w:r w:rsidRPr="005D7EAC">
        <w:rPr>
          <w:lang w:val="en-US"/>
        </w:rPr>
        <w:t>Cijevna</w:t>
      </w:r>
      <w:proofErr w:type="spellEnd"/>
      <w:r w:rsidRPr="005D7EAC">
        <w:rPr>
          <w:lang w:val="en-US"/>
        </w:rPr>
        <w:t xml:space="preserve"> aquifer occurs through a combination of diffuse infiltration and concentrated inputs, including sinking streams, karst depressions and highly permeable zones within carbonate formations. Once water enters the subsurface, it can travel rapidly through karst conduits and fractures, crossing the state border before emerging at springs or contributing to groundwater bodies used for water supply. This creates a strong functional linkage between land-use practices in Albania and groundwater resources in Montenegro.</w:t>
      </w:r>
    </w:p>
    <w:p w14:paraId="235F2AAE" w14:textId="77777777" w:rsidR="005D7EAC" w:rsidRPr="005D7EAC" w:rsidRDefault="005D7EAC" w:rsidP="005D7EAC">
      <w:pPr>
        <w:jc w:val="both"/>
        <w:rPr>
          <w:lang w:val="en-US"/>
        </w:rPr>
      </w:pPr>
      <w:r w:rsidRPr="005D7EAC">
        <w:rPr>
          <w:lang w:val="en-US"/>
        </w:rPr>
        <w:t xml:space="preserve">Diagnostic analyses for the </w:t>
      </w:r>
      <w:proofErr w:type="spellStart"/>
      <w:r w:rsidRPr="005D7EAC">
        <w:rPr>
          <w:lang w:val="en-US"/>
        </w:rPr>
        <w:t>Cemi</w:t>
      </w:r>
      <w:proofErr w:type="spellEnd"/>
      <w:r w:rsidRPr="005D7EAC">
        <w:rPr>
          <w:lang w:val="en-US"/>
        </w:rPr>
        <w:t>/</w:t>
      </w:r>
      <w:proofErr w:type="spellStart"/>
      <w:r w:rsidRPr="005D7EAC">
        <w:rPr>
          <w:lang w:val="en-US"/>
        </w:rPr>
        <w:t>Cijevna</w:t>
      </w:r>
      <w:proofErr w:type="spellEnd"/>
      <w:r w:rsidRPr="005D7EAC">
        <w:rPr>
          <w:lang w:val="en-US"/>
        </w:rPr>
        <w:t xml:space="preserve"> TBA identify a range of pressures typical for transboundary karst systems. These include microbiological contamination associated with insufficient wastewater treatment and decentralized sanitation systems, diffuse pollution from agricultural activities, localized risks from hazardous substances, as well as unregulated or poorly monitored groundwater abstraction. Additional pressures arise from land-use changes in recharge areas and increasing tourism-related activities, which can intensify wastewater generation and seasonal water demand.</w:t>
      </w:r>
    </w:p>
    <w:p w14:paraId="14F5222A" w14:textId="77777777" w:rsidR="005D7EAC" w:rsidRPr="005D7EAC" w:rsidRDefault="005D7EAC" w:rsidP="005D7EAC">
      <w:pPr>
        <w:jc w:val="both"/>
        <w:rPr>
          <w:lang w:val="en-US"/>
        </w:rPr>
      </w:pPr>
      <w:r w:rsidRPr="005D7EAC">
        <w:rPr>
          <w:lang w:val="en-US"/>
        </w:rPr>
        <w:t>During periods of intense precipitation or snowmelt, rapid recharge and short groundwater residence times facilitate the transport of contaminants through the aquifer system. Under such conditions, pollutants can reach springs and abstraction points with limited attenuation, reducing the effectiveness of isolated or locally applied protection measures. Seasonal variability, particularly during summer periods with increased water demand and tourism pressure, can further amplify the vulnerability of the system.</w:t>
      </w:r>
    </w:p>
    <w:p w14:paraId="1B2C6DA4" w14:textId="77777777" w:rsidR="005D7EAC" w:rsidRPr="005D7EAC" w:rsidRDefault="005D7EAC" w:rsidP="005D7EAC">
      <w:pPr>
        <w:jc w:val="both"/>
        <w:rPr>
          <w:lang w:val="en-US"/>
        </w:rPr>
      </w:pPr>
      <w:r w:rsidRPr="005D7EAC">
        <w:rPr>
          <w:lang w:val="en-US"/>
        </w:rPr>
        <w:t>In the absence of harmonized sanitary protection zone (SPZ) practices, the ability of Montenegro and Albania to manage these transboundary pressures becomes uneven. Differences exist in legal frameworks, methodological approaches to SPZ delineation, monitoring practices and enforcement capacity. These differences may result in inconsistent levels of protection within the same hydrogeological system, particularly where recharge areas located in one country influence abstraction zones in the other.</w:t>
      </w:r>
    </w:p>
    <w:p w14:paraId="1276F1E4" w14:textId="77777777" w:rsidR="005D7EAC" w:rsidRPr="005D7EAC" w:rsidRDefault="005D7EAC" w:rsidP="005D7EAC">
      <w:pPr>
        <w:jc w:val="both"/>
        <w:rPr>
          <w:lang w:val="en-US"/>
        </w:rPr>
      </w:pPr>
      <w:r w:rsidRPr="005D7EAC">
        <w:rPr>
          <w:lang w:val="en-US"/>
        </w:rPr>
        <w:t>Variations may include differences in the type and quality of hydrogeological data used for delineation, the criteria applied for defining zone boundaries, and the extent to which protection measures are integrated into spatial planning and land-use regulation. In a highly connected karst aquifer, such inconsistencies can create gaps in protection, potentially undermining the effectiveness of measures implemented across the border.</w:t>
      </w:r>
    </w:p>
    <w:p w14:paraId="782A6BFA" w14:textId="77777777" w:rsidR="005D7EAC" w:rsidRPr="005D7EAC" w:rsidRDefault="005D7EAC" w:rsidP="005D7EAC">
      <w:pPr>
        <w:jc w:val="both"/>
        <w:rPr>
          <w:lang w:val="en-US"/>
        </w:rPr>
      </w:pPr>
      <w:r w:rsidRPr="005D7EAC">
        <w:rPr>
          <w:lang w:val="en-US"/>
        </w:rPr>
        <w:lastRenderedPageBreak/>
        <w:t>A further implication of non-aligned approaches is reduced predictability in managing pollution incidents and high-risk situations. Where drinking water sources in Montenegro depend on recharge areas located partly or entirely in Albania, the absence of compatible SPZ measures may complicate early warning, communication and coordinated response. Consistent operational principles and compatible technical approaches can improve the capacity of both countries to respond effectively and in a coordinated manner.</w:t>
      </w:r>
    </w:p>
    <w:p w14:paraId="0E7D3FD9" w14:textId="0ECEFA7C" w:rsidR="005D7EAC" w:rsidRPr="005D7EAC" w:rsidRDefault="00BC4D96" w:rsidP="005D7EAC">
      <w:pPr>
        <w:jc w:val="both"/>
        <w:rPr>
          <w:lang w:val="en-US"/>
        </w:rPr>
      </w:pPr>
      <w:r w:rsidRPr="00BC4D96">
        <w:t>Harmonization does not imply identical national regulations.</w:t>
      </w:r>
      <w:r>
        <w:t xml:space="preserve"> </w:t>
      </w:r>
      <w:r w:rsidR="005D7EAC" w:rsidRPr="005D7EAC">
        <w:rPr>
          <w:lang w:val="en-US"/>
        </w:rPr>
        <w:t>Rather, it involves establishing a sufficient level of compatibility in the delineation, management and enforcement of SPZs, ensuring that protection measures applied in one country complement those applied in the other. This includes alignment of key methodological principles, such as the use of hydrogeological evidence, consideration of concentrated recharge points, and consistent management of activities within defined protection zones.</w:t>
      </w:r>
    </w:p>
    <w:p w14:paraId="76071C34" w14:textId="77777777" w:rsidR="005D7EAC" w:rsidRPr="005D7EAC" w:rsidRDefault="005D7EAC" w:rsidP="005D7EAC">
      <w:pPr>
        <w:jc w:val="both"/>
        <w:rPr>
          <w:lang w:val="en-US"/>
        </w:rPr>
      </w:pPr>
      <w:r w:rsidRPr="005D7EAC">
        <w:rPr>
          <w:lang w:val="en-US"/>
        </w:rPr>
        <w:t>Mutual recognition of SPZs represents an important element of transboundary cooperation. Where recharge areas or protection zones extend across the border, a shared understanding of hydrogeological conditions supports more coherent land-use control, enforcement and communication with stakeholders. This contributes to greater transparency and predictability for local authorities, water utilities and other users, and supports long-term groundwater protection.</w:t>
      </w:r>
    </w:p>
    <w:p w14:paraId="09D1F5D3" w14:textId="77777777" w:rsidR="005D7EAC" w:rsidRPr="005D7EAC" w:rsidRDefault="005D7EAC" w:rsidP="005D7EAC">
      <w:pPr>
        <w:jc w:val="both"/>
        <w:rPr>
          <w:lang w:val="en-US"/>
        </w:rPr>
      </w:pPr>
      <w:r w:rsidRPr="005D7EAC">
        <w:rPr>
          <w:lang w:val="en-US"/>
        </w:rPr>
        <w:t xml:space="preserve">The characteristics of the </w:t>
      </w:r>
      <w:proofErr w:type="spellStart"/>
      <w:r w:rsidRPr="005D7EAC">
        <w:rPr>
          <w:lang w:val="en-US"/>
        </w:rPr>
        <w:t>Cemi</w:t>
      </w:r>
      <w:proofErr w:type="spellEnd"/>
      <w:r w:rsidRPr="005D7EAC">
        <w:rPr>
          <w:lang w:val="en-US"/>
        </w:rPr>
        <w:t>/</w:t>
      </w:r>
      <w:proofErr w:type="spellStart"/>
      <w:r w:rsidRPr="005D7EAC">
        <w:rPr>
          <w:lang w:val="en-US"/>
        </w:rPr>
        <w:t>Cijevna</w:t>
      </w:r>
      <w:proofErr w:type="spellEnd"/>
      <w:r w:rsidRPr="005D7EAC">
        <w:rPr>
          <w:lang w:val="en-US"/>
        </w:rPr>
        <w:t xml:space="preserve"> karst system, together with the pressures identified in the diagnostic analyses, demonstrate that harmonized SPZ approaches are essential for safeguarding drinking water resources and groundwater-dependent ecosystems. Coordinated delineation, monitoring and enforcement practices can significantly enhance the effectiveness of protection measures and ensure that actions taken in one country are not compromised by uncoordinated practices in transboundary recharge areas.</w:t>
      </w:r>
    </w:p>
    <w:p w14:paraId="33056476" w14:textId="77777777" w:rsidR="00BD3225" w:rsidRDefault="00BD3225" w:rsidP="00BD3225">
      <w:pPr>
        <w:jc w:val="both"/>
        <w:rPr>
          <w:lang w:val="en-GB"/>
        </w:rPr>
      </w:pPr>
    </w:p>
    <w:p w14:paraId="4763DC0E" w14:textId="0FAB4E63" w:rsidR="00C20491" w:rsidRPr="003B035A" w:rsidRDefault="00C20491" w:rsidP="00C20491">
      <w:pPr>
        <w:pStyle w:val="Heading1"/>
        <w:jc w:val="both"/>
        <w:rPr>
          <w:lang w:val="en-GB"/>
        </w:rPr>
      </w:pPr>
      <w:bookmarkStart w:id="8" w:name="_Toc225418421"/>
      <w:bookmarkStart w:id="9" w:name="_Toc223350812"/>
      <w:r>
        <w:rPr>
          <w:lang w:val="en-GB"/>
        </w:rPr>
        <w:t>5</w:t>
      </w:r>
      <w:r w:rsidRPr="003B035A">
        <w:rPr>
          <w:lang w:val="en-GB"/>
        </w:rPr>
        <w:t xml:space="preserve"> </w:t>
      </w:r>
      <w:r w:rsidR="00F00818" w:rsidRPr="00F00818">
        <w:rPr>
          <w:lang w:val="en-GB"/>
        </w:rPr>
        <w:t xml:space="preserve">Comparative </w:t>
      </w:r>
      <w:r w:rsidR="00F00818">
        <w:rPr>
          <w:lang w:val="en-GB"/>
        </w:rPr>
        <w:t>assessment</w:t>
      </w:r>
      <w:r w:rsidR="00F00818" w:rsidRPr="00F00818">
        <w:rPr>
          <w:lang w:val="en-GB"/>
        </w:rPr>
        <w:t xml:space="preserve">: legal, policy and permitting frameworks in </w:t>
      </w:r>
      <w:r w:rsidR="005D7EAC">
        <w:rPr>
          <w:lang w:val="en-GB"/>
        </w:rPr>
        <w:t>Montenegro and Albania</w:t>
      </w:r>
      <w:bookmarkEnd w:id="8"/>
    </w:p>
    <w:p w14:paraId="00152A10" w14:textId="77777777" w:rsidR="00206CC6" w:rsidRPr="00206CC6" w:rsidRDefault="00206CC6" w:rsidP="00206CC6">
      <w:pPr>
        <w:jc w:val="both"/>
        <w:rPr>
          <w:lang w:val="en-US"/>
        </w:rPr>
      </w:pPr>
      <w:r w:rsidRPr="00206CC6">
        <w:rPr>
          <w:lang w:val="en-US"/>
        </w:rPr>
        <w:t xml:space="preserve">Groundwater governance in Montenegro and Albania is based on two distinct legal and institutional systems. These differences shape how each country regulates groundwater protection, applies sanitary protection zones (SPZs), and organizes monitoring and permitting procedures. In the context of the </w:t>
      </w:r>
      <w:proofErr w:type="spellStart"/>
      <w:r w:rsidRPr="00206CC6">
        <w:rPr>
          <w:lang w:val="en-US"/>
        </w:rPr>
        <w:t>Cemi</w:t>
      </w:r>
      <w:proofErr w:type="spellEnd"/>
      <w:r w:rsidRPr="00206CC6">
        <w:rPr>
          <w:lang w:val="en-US"/>
        </w:rPr>
        <w:t>/</w:t>
      </w:r>
      <w:proofErr w:type="spellStart"/>
      <w:r w:rsidRPr="00206CC6">
        <w:rPr>
          <w:lang w:val="en-US"/>
        </w:rPr>
        <w:t>Cijevna</w:t>
      </w:r>
      <w:proofErr w:type="spellEnd"/>
      <w:r w:rsidRPr="00206CC6">
        <w:rPr>
          <w:lang w:val="en-US"/>
        </w:rPr>
        <w:t xml:space="preserve"> transboundary aquifer, where recharge areas and groundwater flow paths extend across national boundaries, their effects become more pronounced. In such settings, protection measures are most effective when procedures on both sides are coordinated or at least compatible.</w:t>
      </w:r>
    </w:p>
    <w:p w14:paraId="46FB67A7" w14:textId="77777777" w:rsidR="00206CC6" w:rsidRPr="00206CC6" w:rsidRDefault="00206CC6" w:rsidP="00206CC6">
      <w:pPr>
        <w:jc w:val="both"/>
        <w:rPr>
          <w:lang w:val="en-US"/>
        </w:rPr>
      </w:pPr>
      <w:r w:rsidRPr="00206CC6">
        <w:rPr>
          <w:lang w:val="en-US"/>
        </w:rPr>
        <w:t xml:space="preserve">The following overview outlines key areas of alignment and divergence between the two national systems. It draws on the Bilateral Groundwater Governance Diagnostic Analysis (BGGDA), the Joint Action </w:t>
      </w:r>
      <w:proofErr w:type="spellStart"/>
      <w:r w:rsidRPr="00206CC6">
        <w:rPr>
          <w:lang w:val="en-US"/>
        </w:rPr>
        <w:t>Programme</w:t>
      </w:r>
      <w:proofErr w:type="spellEnd"/>
      <w:r w:rsidRPr="00206CC6">
        <w:rPr>
          <w:lang w:val="en-US"/>
        </w:rPr>
        <w:t xml:space="preserve"> (JAP) for the </w:t>
      </w:r>
      <w:proofErr w:type="spellStart"/>
      <w:r w:rsidRPr="00206CC6">
        <w:rPr>
          <w:lang w:val="en-US"/>
        </w:rPr>
        <w:t>Cemi</w:t>
      </w:r>
      <w:proofErr w:type="spellEnd"/>
      <w:r w:rsidRPr="00206CC6">
        <w:rPr>
          <w:lang w:val="en-US"/>
        </w:rPr>
        <w:t>/</w:t>
      </w:r>
      <w:proofErr w:type="spellStart"/>
      <w:r w:rsidRPr="00206CC6">
        <w:rPr>
          <w:lang w:val="en-US"/>
        </w:rPr>
        <w:t>Cijevna</w:t>
      </w:r>
      <w:proofErr w:type="spellEnd"/>
      <w:r w:rsidRPr="00206CC6">
        <w:rPr>
          <w:lang w:val="en-US"/>
        </w:rPr>
        <w:t xml:space="preserve"> TBA, and the analysis of the bilateral cooperation framework and proposed amendments.</w:t>
      </w:r>
    </w:p>
    <w:p w14:paraId="2CA7AB8D" w14:textId="77777777" w:rsidR="0078613C" w:rsidRDefault="0078613C" w:rsidP="0078613C">
      <w:pPr>
        <w:jc w:val="both"/>
        <w:rPr>
          <w:lang w:val="en-GB"/>
        </w:rPr>
      </w:pPr>
    </w:p>
    <w:p w14:paraId="3972CCF5" w14:textId="5BB8BDC3" w:rsidR="0078613C" w:rsidRPr="00376158" w:rsidRDefault="0078613C" w:rsidP="0078613C">
      <w:pPr>
        <w:pStyle w:val="Heading2"/>
        <w:rPr>
          <w:lang w:val="en-GB"/>
        </w:rPr>
      </w:pPr>
      <w:bookmarkStart w:id="10" w:name="_Toc225418422"/>
      <w:r w:rsidRPr="00376158">
        <w:rPr>
          <w:lang w:val="en-GB"/>
        </w:rPr>
        <w:t xml:space="preserve">5.1 </w:t>
      </w:r>
      <w:r w:rsidR="001E6348">
        <w:rPr>
          <w:lang w:val="en-GB"/>
        </w:rPr>
        <w:t>Montenegro</w:t>
      </w:r>
      <w:r w:rsidRPr="00376158">
        <w:rPr>
          <w:lang w:val="en-GB"/>
        </w:rPr>
        <w:t xml:space="preserve">: </w:t>
      </w:r>
      <w:bookmarkEnd w:id="10"/>
      <w:r w:rsidR="00206CC6" w:rsidRPr="00206CC6">
        <w:rPr>
          <w:lang w:val="sr-Latn-RS"/>
        </w:rPr>
        <w:t>alignment with EU principles and implementation context</w:t>
      </w:r>
    </w:p>
    <w:p w14:paraId="59B96340" w14:textId="77777777" w:rsidR="00206CC6" w:rsidRPr="00206CC6" w:rsidRDefault="00206CC6" w:rsidP="00206CC6">
      <w:pPr>
        <w:jc w:val="both"/>
        <w:rPr>
          <w:lang w:val="en-US"/>
        </w:rPr>
      </w:pPr>
      <w:r w:rsidRPr="00206CC6">
        <w:rPr>
          <w:lang w:val="en-US"/>
        </w:rPr>
        <w:t xml:space="preserve">Montenegro’s groundwater governance framework reflects a high level of alignment with the principles of the EU Water Framework Directive (Directive 2000/60/EC) and, to a certain extent, the Groundwater Directive (Directive 2006/118/EC). The legal basis is provided by the Water Law (“Official </w:t>
      </w:r>
      <w:r w:rsidRPr="00206CC6">
        <w:rPr>
          <w:lang w:val="en-US"/>
        </w:rPr>
        <w:lastRenderedPageBreak/>
        <w:t>Gazette of Montenegro”, No. 27/07, 73/10, 32/11, 47/11, 48/15, 52/16, 55/16, 2/17, 80/17, 84/18, 84/24), supported by the Water Management Strategy of Montenegro (2017) and the Water Management Plans for the Adriatic and Danube River Basin Districts (2021).</w:t>
      </w:r>
    </w:p>
    <w:p w14:paraId="38216AA3" w14:textId="77777777" w:rsidR="00206CC6" w:rsidRPr="00206CC6" w:rsidRDefault="00206CC6" w:rsidP="00206CC6">
      <w:pPr>
        <w:jc w:val="both"/>
        <w:rPr>
          <w:lang w:val="en-US"/>
        </w:rPr>
      </w:pPr>
      <w:r w:rsidRPr="00206CC6">
        <w:rPr>
          <w:lang w:val="en-US"/>
        </w:rPr>
        <w:t>These instruments set the framework for groundwater monitoring, status assessment, abstraction control and integration into planning processes. Monitoring is primarily carried out by the Institute of Hydrometeorology and Seismology, while policy coordination is ensured by the Ministry of Agriculture, Forestry and Water Management.</w:t>
      </w:r>
    </w:p>
    <w:p w14:paraId="7504C7A1" w14:textId="77777777" w:rsidR="00206CC6" w:rsidRPr="00206CC6" w:rsidRDefault="00206CC6" w:rsidP="00206CC6">
      <w:pPr>
        <w:jc w:val="both"/>
        <w:rPr>
          <w:lang w:val="en-US"/>
        </w:rPr>
      </w:pPr>
      <w:r w:rsidRPr="00206CC6">
        <w:rPr>
          <w:lang w:val="en-US"/>
        </w:rPr>
        <w:t>Sanitary protection zones (SPZs) are defined under the Water Law and the Rulebook on the Determination and Maintenance of Sanitary Protection Zones and Belts of Water Supply Sources and Restrictions within These Zones (“Official Gazette of Montenegro”, Nos. 066/09 and 013/24). Delineation is generally based on hydrogeological studies.</w:t>
      </w:r>
    </w:p>
    <w:p w14:paraId="536B5237" w14:textId="77777777" w:rsidR="00206CC6" w:rsidRPr="00206CC6" w:rsidRDefault="00206CC6" w:rsidP="00206CC6">
      <w:pPr>
        <w:jc w:val="both"/>
        <w:rPr>
          <w:lang w:val="en-US"/>
        </w:rPr>
      </w:pPr>
      <w:r w:rsidRPr="00206CC6">
        <w:rPr>
          <w:lang w:val="en-US"/>
        </w:rPr>
        <w:t>In practice, several factors influence how these provisions are applied. This is reflected in the availability of methodological guidance adapted to karst environments, the pace at which SPZs are incorporated into spatial planning documents, variability in enforcement at local level, and gaps in monitoring coverage, particularly in recharge areas.</w:t>
      </w:r>
    </w:p>
    <w:p w14:paraId="573DE304" w14:textId="77777777" w:rsidR="00206CC6" w:rsidRPr="00206CC6" w:rsidRDefault="00206CC6" w:rsidP="00206CC6">
      <w:pPr>
        <w:jc w:val="both"/>
        <w:rPr>
          <w:lang w:val="en-US"/>
        </w:rPr>
      </w:pPr>
      <w:r w:rsidRPr="00206CC6">
        <w:rPr>
          <w:lang w:val="en-US"/>
        </w:rPr>
        <w:t>Permitting for groundwater abstraction and discharge is regulated under the Water Law and supported by established administrative procedures. While the framework is coherent, implementation depends on local administrative capacity, especially in areas with decentralized sanitation systems and small-scale water use.</w:t>
      </w:r>
    </w:p>
    <w:p w14:paraId="7C3B04E3" w14:textId="77777777" w:rsidR="00206CC6" w:rsidRPr="00206CC6" w:rsidRDefault="00206CC6" w:rsidP="00206CC6">
      <w:pPr>
        <w:jc w:val="both"/>
        <w:rPr>
          <w:lang w:val="en-US"/>
        </w:rPr>
      </w:pPr>
      <w:r w:rsidRPr="00206CC6">
        <w:rPr>
          <w:lang w:val="en-US"/>
        </w:rPr>
        <w:t>Groundwater protection is further supported by the Law on Environmental Protection (“Official Gazette of Montenegro”, No. 52/16, 59/18, 10/23) and the Law on Nature Protection (“Official Gazette of Montenegro”, No. 54/16, 18/19, 84/24), which introduce general principles relevant to water and ecosystem protection.</w:t>
      </w:r>
    </w:p>
    <w:p w14:paraId="2DEB12D7" w14:textId="77777777" w:rsidR="0078613C" w:rsidRPr="0078613C" w:rsidRDefault="0078613C" w:rsidP="0078613C">
      <w:pPr>
        <w:jc w:val="both"/>
        <w:rPr>
          <w:lang w:val="en-GB"/>
        </w:rPr>
      </w:pPr>
    </w:p>
    <w:p w14:paraId="06E37771" w14:textId="0BEF6468" w:rsidR="0078613C" w:rsidRPr="00376158" w:rsidRDefault="0078613C" w:rsidP="00376158">
      <w:pPr>
        <w:pStyle w:val="Heading2"/>
        <w:jc w:val="both"/>
        <w:rPr>
          <w:lang w:val="en-GB"/>
        </w:rPr>
      </w:pPr>
      <w:bookmarkStart w:id="11" w:name="_Toc225418423"/>
      <w:r w:rsidRPr="00376158">
        <w:rPr>
          <w:lang w:val="en-GB"/>
        </w:rPr>
        <w:t xml:space="preserve">5.2 </w:t>
      </w:r>
      <w:bookmarkEnd w:id="11"/>
      <w:r w:rsidR="00206CC6" w:rsidRPr="00206CC6">
        <w:rPr>
          <w:lang w:val="sr-Latn-RS"/>
        </w:rPr>
        <w:t>Albania: evolving framework and implementation context</w:t>
      </w:r>
    </w:p>
    <w:p w14:paraId="32262CA7" w14:textId="77777777" w:rsidR="00206CC6" w:rsidRPr="00206CC6" w:rsidRDefault="00206CC6" w:rsidP="00206CC6">
      <w:pPr>
        <w:jc w:val="both"/>
        <w:rPr>
          <w:lang w:val="en-US"/>
        </w:rPr>
      </w:pPr>
      <w:r w:rsidRPr="00206CC6">
        <w:rPr>
          <w:lang w:val="en-US"/>
        </w:rPr>
        <w:t>Groundwater governance in Albania is defined by the Law No. 29/2024 “On Water Resources”, which establishes the basis for integrated water management and reflects key principles of the EU Water Framework Directive and Groundwater Directive.</w:t>
      </w:r>
    </w:p>
    <w:p w14:paraId="7D8BC8B9" w14:textId="77777777" w:rsidR="00206CC6" w:rsidRPr="00206CC6" w:rsidRDefault="00206CC6" w:rsidP="00206CC6">
      <w:pPr>
        <w:jc w:val="both"/>
        <w:rPr>
          <w:lang w:val="en-US"/>
        </w:rPr>
      </w:pPr>
      <w:r w:rsidRPr="00206CC6">
        <w:rPr>
          <w:lang w:val="en-US"/>
        </w:rPr>
        <w:t>The legal framework is complemented by the Law No. 10431 on Environmental Protection, Law No. 9115/2003 on Environmental Treatment of Polluted Waters, Regulation No. 177 on wastewater discharge, and Decision of the Council of Ministers No. 379 (25.05.2016) on drinking water quality. Strategic planning is supported by the Water Resources Management Plan of Albania (2022) and related sectoral policies.</w:t>
      </w:r>
    </w:p>
    <w:p w14:paraId="76A05B0A" w14:textId="77777777" w:rsidR="00206CC6" w:rsidRPr="00206CC6" w:rsidRDefault="00206CC6" w:rsidP="00206CC6">
      <w:pPr>
        <w:jc w:val="both"/>
        <w:rPr>
          <w:lang w:val="en-US"/>
        </w:rPr>
      </w:pPr>
      <w:r w:rsidRPr="00206CC6">
        <w:rPr>
          <w:lang w:val="en-US"/>
        </w:rPr>
        <w:t>Sanitary protection zones are legally recognized and require hydrogeological studies for delineation.</w:t>
      </w:r>
    </w:p>
    <w:p w14:paraId="00D175F7" w14:textId="77777777" w:rsidR="00206CC6" w:rsidRPr="00206CC6" w:rsidRDefault="00206CC6" w:rsidP="00206CC6">
      <w:pPr>
        <w:jc w:val="both"/>
        <w:rPr>
          <w:lang w:val="en-US"/>
        </w:rPr>
      </w:pPr>
      <w:r w:rsidRPr="00206CC6">
        <w:rPr>
          <w:lang w:val="en-US"/>
        </w:rPr>
        <w:t>Application in practice is not uniform. This is visible in the extent of SPZ delineation, the availability of methodologies adapted to karst conditions, the degree of integration into spatial planning, and the technical and institutional capacity available for monitoring and enforcement.</w:t>
      </w:r>
    </w:p>
    <w:p w14:paraId="7EA7246C" w14:textId="77777777" w:rsidR="00206CC6" w:rsidRPr="00206CC6" w:rsidRDefault="00206CC6" w:rsidP="00206CC6">
      <w:pPr>
        <w:jc w:val="both"/>
        <w:rPr>
          <w:lang w:val="en-US"/>
        </w:rPr>
      </w:pPr>
      <w:r w:rsidRPr="00206CC6">
        <w:rPr>
          <w:lang w:val="en-US"/>
        </w:rPr>
        <w:t xml:space="preserve">Monitoring systems are still developing, with differences in spatial coverage, parameters and data handling affecting comparability and continuity. Permitting procedures are established in legislation, </w:t>
      </w:r>
      <w:r w:rsidRPr="00206CC6">
        <w:rPr>
          <w:lang w:val="en-US"/>
        </w:rPr>
        <w:lastRenderedPageBreak/>
        <w:t>but their implementation varies, particularly in rural areas where informal abstraction and decentralized wastewater systems are present.</w:t>
      </w:r>
    </w:p>
    <w:p w14:paraId="6D2D3D11" w14:textId="77777777" w:rsidR="00206CC6" w:rsidRPr="00206CC6" w:rsidRDefault="00206CC6" w:rsidP="00206CC6">
      <w:pPr>
        <w:jc w:val="both"/>
        <w:rPr>
          <w:lang w:val="en-US"/>
        </w:rPr>
      </w:pPr>
      <w:r w:rsidRPr="00206CC6">
        <w:rPr>
          <w:lang w:val="en-US"/>
        </w:rPr>
        <w:t>Environmental impact assessment procedures are in place, although the extent to which groundwater vulnerability—especially in karst recharge zones—is systematically addressed depends on the specific project context.</w:t>
      </w:r>
    </w:p>
    <w:p w14:paraId="3FE50314" w14:textId="77777777" w:rsidR="0078613C" w:rsidRPr="0078613C" w:rsidRDefault="0078613C" w:rsidP="0078613C">
      <w:pPr>
        <w:jc w:val="both"/>
        <w:rPr>
          <w:lang w:val="en-GB"/>
        </w:rPr>
      </w:pPr>
    </w:p>
    <w:p w14:paraId="061CA764" w14:textId="2B0697F2" w:rsidR="0078613C" w:rsidRPr="006C3CFF" w:rsidRDefault="0078613C" w:rsidP="006C3CFF">
      <w:pPr>
        <w:pStyle w:val="Heading2"/>
        <w:rPr>
          <w:lang w:val="en-GB"/>
        </w:rPr>
      </w:pPr>
      <w:bookmarkStart w:id="12" w:name="_Toc225418424"/>
      <w:r w:rsidRPr="006C3CFF">
        <w:rPr>
          <w:lang w:val="en-GB"/>
        </w:rPr>
        <w:t>5.3 Cross</w:t>
      </w:r>
      <w:r w:rsidRPr="006C3CFF">
        <w:rPr>
          <w:rFonts w:ascii="Cambria Math" w:hAnsi="Cambria Math" w:cs="Cambria Math"/>
          <w:lang w:val="en-GB"/>
        </w:rPr>
        <w:t>‑</w:t>
      </w:r>
      <w:r w:rsidRPr="006C3CFF">
        <w:rPr>
          <w:lang w:val="en-GB"/>
        </w:rPr>
        <w:t xml:space="preserve">country comparison: </w:t>
      </w:r>
      <w:r w:rsidR="004D597A" w:rsidRPr="004D597A">
        <w:rPr>
          <w:lang w:val="sr-Latn-RS"/>
        </w:rPr>
        <w:t>implications for the Cemi/Cijevna transboundary aquifer</w:t>
      </w:r>
      <w:bookmarkEnd w:id="12"/>
    </w:p>
    <w:p w14:paraId="13D78793" w14:textId="77777777" w:rsidR="00206CC6" w:rsidRPr="00206CC6" w:rsidRDefault="00206CC6" w:rsidP="00206CC6">
      <w:pPr>
        <w:jc w:val="both"/>
        <w:rPr>
          <w:lang w:val="en-US"/>
        </w:rPr>
      </w:pPr>
      <w:r w:rsidRPr="00206CC6">
        <w:rPr>
          <w:lang w:val="en-US"/>
        </w:rPr>
        <w:t xml:space="preserve">The differences between Montenegro and Albania reflect the structure and level of operational development of their respective governance systems. In the context of the </w:t>
      </w:r>
      <w:proofErr w:type="spellStart"/>
      <w:r w:rsidRPr="00206CC6">
        <w:rPr>
          <w:lang w:val="en-US"/>
        </w:rPr>
        <w:t>Cemi</w:t>
      </w:r>
      <w:proofErr w:type="spellEnd"/>
      <w:r w:rsidRPr="00206CC6">
        <w:rPr>
          <w:lang w:val="en-US"/>
        </w:rPr>
        <w:t>/</w:t>
      </w:r>
      <w:proofErr w:type="spellStart"/>
      <w:r w:rsidRPr="00206CC6">
        <w:rPr>
          <w:lang w:val="en-US"/>
        </w:rPr>
        <w:t>Cijevna</w:t>
      </w:r>
      <w:proofErr w:type="spellEnd"/>
      <w:r w:rsidRPr="00206CC6">
        <w:rPr>
          <w:lang w:val="en-US"/>
        </w:rPr>
        <w:t xml:space="preserve"> karst aquifer, where recharge areas and groundwater flow paths extend across the state border, these differences have practical implications.</w:t>
      </w:r>
    </w:p>
    <w:p w14:paraId="4E78C2CE" w14:textId="77777777" w:rsidR="00206CC6" w:rsidRPr="00206CC6" w:rsidRDefault="00206CC6" w:rsidP="00206CC6">
      <w:pPr>
        <w:jc w:val="both"/>
        <w:rPr>
          <w:lang w:val="en-US"/>
        </w:rPr>
      </w:pPr>
      <w:r w:rsidRPr="00206CC6">
        <w:rPr>
          <w:lang w:val="en-US"/>
        </w:rPr>
        <w:t>Differences in the delineation, legal status and implementation of sanitary protection zones may result in uneven levels of protection within the same hydrogeological system, particularly where recharge areas in one country influence abstraction zones in the other. Monitoring systems are not fully aligned, with variations in coverage, parameters and data management limiting the possibility of joint groundwater status assessment and complicating the interpretation of transboundary trends.</w:t>
      </w:r>
    </w:p>
    <w:p w14:paraId="09D63FB7" w14:textId="77777777" w:rsidR="00206CC6" w:rsidRPr="00206CC6" w:rsidRDefault="00206CC6" w:rsidP="00206CC6">
      <w:pPr>
        <w:jc w:val="both"/>
        <w:rPr>
          <w:lang w:val="en-US"/>
        </w:rPr>
      </w:pPr>
      <w:r w:rsidRPr="00206CC6">
        <w:rPr>
          <w:lang w:val="en-US"/>
        </w:rPr>
        <w:t>Permitting procedures and enforcement practices also vary, especially in relation to small-scale abstraction and wastewater management. These aspects are particularly relevant in rural karst areas, where diffuse pressures and decentralized systems can significantly influence groundwater quality. At the same time, structured data-exchange mechanisms are not yet fully operational, which constrains coordinated responses to pollution events and reduces predictability in risk management.</w:t>
      </w:r>
    </w:p>
    <w:p w14:paraId="7B571203" w14:textId="77777777" w:rsidR="00206CC6" w:rsidRPr="00206CC6" w:rsidRDefault="00206CC6" w:rsidP="00206CC6">
      <w:pPr>
        <w:jc w:val="both"/>
        <w:rPr>
          <w:lang w:val="en-US"/>
        </w:rPr>
      </w:pPr>
      <w:r w:rsidRPr="00206CC6">
        <w:rPr>
          <w:lang w:val="en-US"/>
        </w:rPr>
        <w:t>Integration of groundwater protection into spatial planning remains uneven, particularly in recharge areas exposed to development pressures. This highlights the need for closer coordination between water management and land-use planning.</w:t>
      </w:r>
    </w:p>
    <w:p w14:paraId="565B08AE" w14:textId="1B54FC55" w:rsidR="00206CC6" w:rsidRPr="00206CC6" w:rsidRDefault="00D87862" w:rsidP="00206CC6">
      <w:pPr>
        <w:jc w:val="both"/>
        <w:rPr>
          <w:lang w:val="en-US"/>
        </w:rPr>
      </w:pPr>
      <w:r w:rsidRPr="00D87862">
        <w:t>These differences point to the need for more coordinated and compatible approaches to groundwater protection across the transboundary system.</w:t>
      </w:r>
      <w:r>
        <w:t xml:space="preserve"> </w:t>
      </w:r>
      <w:r w:rsidR="00206CC6" w:rsidRPr="00206CC6">
        <w:rPr>
          <w:lang w:val="en-US"/>
        </w:rPr>
        <w:t xml:space="preserve">Alignment of methodological principles, improved monitoring coordination, establishment of structured data exchange and stronger integration of groundwater considerations into planning instruments can significantly enhance the effectiveness of protection measures in the </w:t>
      </w:r>
      <w:proofErr w:type="spellStart"/>
      <w:r w:rsidR="00206CC6" w:rsidRPr="00206CC6">
        <w:rPr>
          <w:lang w:val="en-US"/>
        </w:rPr>
        <w:t>Cemi</w:t>
      </w:r>
      <w:proofErr w:type="spellEnd"/>
      <w:r w:rsidR="00206CC6" w:rsidRPr="00206CC6">
        <w:rPr>
          <w:lang w:val="en-US"/>
        </w:rPr>
        <w:t>/</w:t>
      </w:r>
      <w:proofErr w:type="spellStart"/>
      <w:r w:rsidR="00206CC6" w:rsidRPr="00206CC6">
        <w:rPr>
          <w:lang w:val="en-US"/>
        </w:rPr>
        <w:t>Cijevna</w:t>
      </w:r>
      <w:proofErr w:type="spellEnd"/>
      <w:r w:rsidR="00206CC6" w:rsidRPr="00206CC6">
        <w:rPr>
          <w:lang w:val="en-US"/>
        </w:rPr>
        <w:t xml:space="preserve"> aquifer.</w:t>
      </w:r>
    </w:p>
    <w:p w14:paraId="20053C67" w14:textId="77777777" w:rsidR="004D597A" w:rsidRDefault="004D597A" w:rsidP="0078613C">
      <w:pPr>
        <w:jc w:val="both"/>
        <w:rPr>
          <w:lang w:val="en-GB"/>
        </w:rPr>
      </w:pPr>
    </w:p>
    <w:p w14:paraId="4C9AEA86" w14:textId="2BE42B72" w:rsidR="0078613C" w:rsidRPr="00903EAC" w:rsidRDefault="00336FA1" w:rsidP="00336FA1">
      <w:pPr>
        <w:pStyle w:val="Caption"/>
        <w:rPr>
          <w:rFonts w:ascii="Calibri" w:hAnsi="Calibri" w:cs="Calibri"/>
          <w:i w:val="0"/>
          <w:iCs w:val="0"/>
          <w:szCs w:val="20"/>
          <w:lang w:val="en-GB"/>
        </w:rPr>
      </w:pPr>
      <w:bookmarkStart w:id="13" w:name="_Toc225418885"/>
      <w:r w:rsidRPr="00903EAC">
        <w:rPr>
          <w:b/>
          <w:bCs/>
          <w:i w:val="0"/>
          <w:iCs w:val="0"/>
          <w:lang w:val="en-GB"/>
        </w:rPr>
        <w:t xml:space="preserve">Table </w:t>
      </w:r>
      <w:r w:rsidRPr="00903EAC">
        <w:rPr>
          <w:b/>
          <w:bCs/>
          <w:i w:val="0"/>
          <w:iCs w:val="0"/>
          <w:lang w:val="en-GB"/>
        </w:rPr>
        <w:fldChar w:fldCharType="begin"/>
      </w:r>
      <w:r w:rsidRPr="00903EAC">
        <w:rPr>
          <w:b/>
          <w:bCs/>
          <w:i w:val="0"/>
          <w:iCs w:val="0"/>
          <w:lang w:val="en-GB"/>
        </w:rPr>
        <w:instrText xml:space="preserve"> SEQ Table \* ARABIC </w:instrText>
      </w:r>
      <w:r w:rsidRPr="00903EAC">
        <w:rPr>
          <w:b/>
          <w:bCs/>
          <w:i w:val="0"/>
          <w:iCs w:val="0"/>
          <w:lang w:val="en-GB"/>
        </w:rPr>
        <w:fldChar w:fldCharType="separate"/>
      </w:r>
      <w:r w:rsidRPr="00903EAC">
        <w:rPr>
          <w:b/>
          <w:bCs/>
          <w:i w:val="0"/>
          <w:iCs w:val="0"/>
          <w:noProof/>
          <w:lang w:val="en-GB"/>
        </w:rPr>
        <w:t>2</w:t>
      </w:r>
      <w:r w:rsidRPr="00903EAC">
        <w:rPr>
          <w:b/>
          <w:bCs/>
          <w:i w:val="0"/>
          <w:iCs w:val="0"/>
          <w:lang w:val="en-GB"/>
        </w:rPr>
        <w:fldChar w:fldCharType="end"/>
      </w:r>
      <w:r w:rsidR="00903EAC" w:rsidRPr="00903EAC">
        <w:rPr>
          <w:b/>
          <w:bCs/>
          <w:i w:val="0"/>
          <w:iCs w:val="0"/>
          <w:lang w:val="en-GB"/>
        </w:rPr>
        <w:t>.</w:t>
      </w:r>
      <w:r w:rsidRPr="00903EAC">
        <w:rPr>
          <w:i w:val="0"/>
          <w:iCs w:val="0"/>
          <w:lang w:val="en-GB"/>
        </w:rPr>
        <w:t xml:space="preserve"> Legal &amp; Policy Comparison: </w:t>
      </w:r>
      <w:r w:rsidR="004D597A" w:rsidRPr="00903EAC">
        <w:rPr>
          <w:i w:val="0"/>
          <w:iCs w:val="0"/>
          <w:lang w:val="en-GB"/>
        </w:rPr>
        <w:t>Montenegro and Albania</w:t>
      </w:r>
      <w:r w:rsidRPr="00903EAC">
        <w:rPr>
          <w:i w:val="0"/>
          <w:iCs w:val="0"/>
          <w:lang w:val="en-GB"/>
        </w:rPr>
        <w:t xml:space="preserve"> (</w:t>
      </w:r>
      <w:r w:rsidR="004D597A" w:rsidRPr="00903EAC">
        <w:rPr>
          <w:i w:val="0"/>
          <w:iCs w:val="0"/>
          <w:lang w:val="en-GB"/>
        </w:rPr>
        <w:t xml:space="preserve">TBA </w:t>
      </w:r>
      <w:proofErr w:type="spellStart"/>
      <w:r w:rsidR="004D597A" w:rsidRPr="00903EAC">
        <w:rPr>
          <w:i w:val="0"/>
          <w:iCs w:val="0"/>
          <w:lang w:val="en-GB"/>
        </w:rPr>
        <w:t>Cemi</w:t>
      </w:r>
      <w:proofErr w:type="spellEnd"/>
      <w:r w:rsidR="004D597A" w:rsidRPr="00903EAC">
        <w:rPr>
          <w:i w:val="0"/>
          <w:iCs w:val="0"/>
          <w:lang w:val="en-GB"/>
        </w:rPr>
        <w:t>/</w:t>
      </w:r>
      <w:proofErr w:type="spellStart"/>
      <w:r w:rsidR="004D597A" w:rsidRPr="00903EAC">
        <w:rPr>
          <w:i w:val="0"/>
          <w:iCs w:val="0"/>
          <w:lang w:val="en-GB"/>
        </w:rPr>
        <w:t>Cijevna</w:t>
      </w:r>
      <w:proofErr w:type="spellEnd"/>
      <w:r w:rsidRPr="00903EAC">
        <w:rPr>
          <w:i w:val="0"/>
          <w:iCs w:val="0"/>
          <w:lang w:val="en-GB"/>
        </w:rPr>
        <w:t>)</w:t>
      </w:r>
      <w:bookmarkEnd w:id="13"/>
    </w:p>
    <w:tbl>
      <w:tblPr>
        <w:tblStyle w:val="Reetkatablice1"/>
        <w:tblW w:w="0" w:type="auto"/>
        <w:tblInd w:w="108" w:type="dxa"/>
        <w:tblLook w:val="04A0" w:firstRow="1" w:lastRow="0" w:firstColumn="1" w:lastColumn="0" w:noHBand="0" w:noVBand="1"/>
      </w:tblPr>
      <w:tblGrid>
        <w:gridCol w:w="2141"/>
        <w:gridCol w:w="3676"/>
        <w:gridCol w:w="3055"/>
      </w:tblGrid>
      <w:tr w:rsidR="0078613C" w:rsidRPr="00492DAC" w14:paraId="7715D42B" w14:textId="77777777" w:rsidTr="004F315A">
        <w:tc>
          <w:tcPr>
            <w:tcW w:w="2777" w:type="dxa"/>
            <w:shd w:val="clear" w:color="auto" w:fill="D9E2F3" w:themeFill="accent1" w:themeFillTint="33"/>
            <w:hideMark/>
          </w:tcPr>
          <w:p w14:paraId="6E240186" w14:textId="1B729262" w:rsidR="0078613C" w:rsidRPr="00492DAC" w:rsidRDefault="0078613C" w:rsidP="00E90D08">
            <w:pPr>
              <w:jc w:val="center"/>
              <w:rPr>
                <w:rFonts w:cstheme="minorHAnsi"/>
                <w:b/>
                <w:bCs/>
                <w:sz w:val="16"/>
                <w:szCs w:val="16"/>
                <w:lang w:val="en-GB" w:eastAsia="en-GB"/>
              </w:rPr>
            </w:pPr>
            <w:r w:rsidRPr="00492DAC">
              <w:rPr>
                <w:rFonts w:cstheme="minorHAnsi"/>
                <w:b/>
                <w:bCs/>
                <w:sz w:val="16"/>
                <w:szCs w:val="16"/>
                <w:lang w:val="en-GB" w:eastAsia="en-GB"/>
              </w:rPr>
              <w:t xml:space="preserve">Thematic </w:t>
            </w:r>
            <w:r w:rsidR="00E90A98" w:rsidRPr="00492DAC">
              <w:rPr>
                <w:rFonts w:cstheme="minorHAnsi"/>
                <w:b/>
                <w:bCs/>
                <w:sz w:val="16"/>
                <w:szCs w:val="16"/>
                <w:lang w:val="en-GB" w:eastAsia="en-GB"/>
              </w:rPr>
              <w:t>category</w:t>
            </w:r>
          </w:p>
        </w:tc>
        <w:tc>
          <w:tcPr>
            <w:tcW w:w="3155" w:type="dxa"/>
            <w:shd w:val="clear" w:color="auto" w:fill="D9E2F3" w:themeFill="accent1" w:themeFillTint="33"/>
            <w:hideMark/>
          </w:tcPr>
          <w:p w14:paraId="765B72A1" w14:textId="1C8C63E2" w:rsidR="0078613C" w:rsidRPr="00492DAC" w:rsidRDefault="00555B7D" w:rsidP="00E90D08">
            <w:pPr>
              <w:jc w:val="center"/>
              <w:rPr>
                <w:rFonts w:cstheme="minorHAnsi"/>
                <w:b/>
                <w:bCs/>
                <w:sz w:val="16"/>
                <w:szCs w:val="16"/>
                <w:lang w:val="en-GB" w:eastAsia="en-GB"/>
              </w:rPr>
            </w:pPr>
            <w:r>
              <w:rPr>
                <w:rFonts w:cstheme="minorHAnsi"/>
                <w:b/>
                <w:bCs/>
                <w:sz w:val="16"/>
                <w:szCs w:val="16"/>
                <w:lang w:val="en-GB" w:eastAsia="en-GB"/>
              </w:rPr>
              <w:t>Montenegro</w:t>
            </w:r>
          </w:p>
        </w:tc>
        <w:tc>
          <w:tcPr>
            <w:tcW w:w="2940" w:type="dxa"/>
            <w:shd w:val="clear" w:color="auto" w:fill="D9E2F3" w:themeFill="accent1" w:themeFillTint="33"/>
            <w:hideMark/>
          </w:tcPr>
          <w:p w14:paraId="2D497B8E" w14:textId="1C2DDC95" w:rsidR="0078613C" w:rsidRPr="00492DAC" w:rsidRDefault="00555B7D" w:rsidP="00E90D08">
            <w:pPr>
              <w:jc w:val="center"/>
              <w:rPr>
                <w:rFonts w:cstheme="minorHAnsi"/>
                <w:b/>
                <w:bCs/>
                <w:sz w:val="16"/>
                <w:szCs w:val="16"/>
                <w:lang w:val="en-GB" w:eastAsia="en-GB"/>
              </w:rPr>
            </w:pPr>
            <w:r>
              <w:rPr>
                <w:rFonts w:cstheme="minorHAnsi"/>
                <w:b/>
                <w:bCs/>
                <w:sz w:val="16"/>
                <w:szCs w:val="16"/>
                <w:lang w:val="en-GB" w:eastAsia="en-GB"/>
              </w:rPr>
              <w:t>Albania</w:t>
            </w:r>
          </w:p>
        </w:tc>
      </w:tr>
      <w:tr w:rsidR="00492DAC" w:rsidRPr="00492DAC" w14:paraId="1CAD073D" w14:textId="77777777" w:rsidTr="004F315A">
        <w:tc>
          <w:tcPr>
            <w:tcW w:w="0" w:type="auto"/>
            <w:vAlign w:val="center"/>
          </w:tcPr>
          <w:p w14:paraId="1B7970CE" w14:textId="7D3ACB13" w:rsidR="00492DAC" w:rsidRPr="00492DAC" w:rsidRDefault="00492DAC" w:rsidP="00492DAC">
            <w:pPr>
              <w:jc w:val="center"/>
              <w:rPr>
                <w:b/>
                <w:bCs/>
                <w:sz w:val="16"/>
                <w:szCs w:val="16"/>
              </w:rPr>
            </w:pPr>
            <w:r w:rsidRPr="00492DAC">
              <w:rPr>
                <w:rStyle w:val="Strong"/>
                <w:sz w:val="16"/>
                <w:szCs w:val="16"/>
              </w:rPr>
              <w:t>EU alignment (WFD/GWD)</w:t>
            </w:r>
          </w:p>
        </w:tc>
        <w:tc>
          <w:tcPr>
            <w:tcW w:w="3155" w:type="dxa"/>
            <w:vAlign w:val="center"/>
          </w:tcPr>
          <w:p w14:paraId="3F2E1FDE" w14:textId="2E1B33B4" w:rsidR="00492DAC" w:rsidRPr="001D4C10" w:rsidRDefault="004F315A" w:rsidP="00492DAC">
            <w:pPr>
              <w:rPr>
                <w:sz w:val="16"/>
                <w:szCs w:val="16"/>
                <w:lang w:val="sr-Latn-RS"/>
              </w:rPr>
            </w:pPr>
            <w:r w:rsidRPr="004F315A">
              <w:rPr>
                <w:sz w:val="16"/>
                <w:szCs w:val="16"/>
                <w:lang w:val="sr-Latn-RS"/>
              </w:rPr>
              <w:t>Legal alignment with the WFD is strong, while implementation of GWD-related requirements remains partial in practice. RBMPs for the Adriatic and Danube River Basin Districts were adopted in 2021.</w:t>
            </w:r>
          </w:p>
        </w:tc>
        <w:tc>
          <w:tcPr>
            <w:tcW w:w="2940" w:type="dxa"/>
            <w:vAlign w:val="center"/>
          </w:tcPr>
          <w:p w14:paraId="67896322" w14:textId="2F8974E9" w:rsidR="00492DAC" w:rsidRPr="00492DAC" w:rsidRDefault="004F315A" w:rsidP="00492DAC">
            <w:pPr>
              <w:rPr>
                <w:sz w:val="16"/>
                <w:szCs w:val="16"/>
              </w:rPr>
            </w:pPr>
            <w:r w:rsidRPr="004F315A">
              <w:rPr>
                <w:sz w:val="16"/>
                <w:szCs w:val="16"/>
                <w:lang w:val="sr-Latn-RS"/>
              </w:rPr>
              <w:t>Legal approximation was significantly advanced through Law No. 29/2024 “On Water Resources”, while full implementation in practice is still ongoing.</w:t>
            </w:r>
          </w:p>
        </w:tc>
      </w:tr>
      <w:tr w:rsidR="00492DAC" w:rsidRPr="00492DAC" w14:paraId="3D2CA0DA" w14:textId="77777777" w:rsidTr="004F315A">
        <w:tc>
          <w:tcPr>
            <w:tcW w:w="0" w:type="auto"/>
            <w:vAlign w:val="center"/>
          </w:tcPr>
          <w:p w14:paraId="34FB7A9D" w14:textId="324AA5C1" w:rsidR="00492DAC" w:rsidRPr="00492DAC" w:rsidRDefault="00492DAC" w:rsidP="00492DAC">
            <w:pPr>
              <w:jc w:val="center"/>
              <w:rPr>
                <w:b/>
                <w:bCs/>
                <w:sz w:val="16"/>
                <w:szCs w:val="16"/>
              </w:rPr>
            </w:pPr>
            <w:r w:rsidRPr="00492DAC">
              <w:rPr>
                <w:rStyle w:val="Strong"/>
                <w:sz w:val="16"/>
                <w:szCs w:val="16"/>
              </w:rPr>
              <w:t>SPZ legal basis &amp; methodology</w:t>
            </w:r>
          </w:p>
        </w:tc>
        <w:tc>
          <w:tcPr>
            <w:tcW w:w="3155" w:type="dxa"/>
            <w:vAlign w:val="center"/>
          </w:tcPr>
          <w:p w14:paraId="25A8B2DE" w14:textId="4D895473" w:rsidR="00492DAC" w:rsidRPr="00492DAC" w:rsidRDefault="004F315A" w:rsidP="00492DAC">
            <w:pPr>
              <w:rPr>
                <w:sz w:val="16"/>
                <w:szCs w:val="16"/>
              </w:rPr>
            </w:pPr>
            <w:r w:rsidRPr="004F315A">
              <w:rPr>
                <w:sz w:val="16"/>
                <w:szCs w:val="16"/>
                <w:lang w:val="sr-Latn-RS"/>
              </w:rPr>
              <w:t>SPZs are regulated under water legislation and rulebooks, with an established legal basis, but karst-specific methodological guidance remains limited and practical implementation remains an issue.</w:t>
            </w:r>
          </w:p>
        </w:tc>
        <w:tc>
          <w:tcPr>
            <w:tcW w:w="2940" w:type="dxa"/>
            <w:vAlign w:val="center"/>
          </w:tcPr>
          <w:p w14:paraId="53E2C1AB" w14:textId="4E857068" w:rsidR="00492DAC" w:rsidRPr="00492DAC" w:rsidRDefault="004F315A" w:rsidP="00492DAC">
            <w:pPr>
              <w:rPr>
                <w:sz w:val="16"/>
                <w:szCs w:val="16"/>
              </w:rPr>
            </w:pPr>
            <w:r w:rsidRPr="004F315A">
              <w:rPr>
                <w:sz w:val="16"/>
                <w:szCs w:val="16"/>
                <w:lang w:val="sr-Latn-RS"/>
              </w:rPr>
              <w:t>SPZs are legally recognized and a zonation concept exists, but in practice implementation remains partial, with Zone I most consistently delineated and Zones II–III largely remaining at the level of methodological recommendation.</w:t>
            </w:r>
          </w:p>
        </w:tc>
      </w:tr>
      <w:tr w:rsidR="00492DAC" w:rsidRPr="00492DAC" w14:paraId="572A741C" w14:textId="77777777" w:rsidTr="004F315A">
        <w:tc>
          <w:tcPr>
            <w:tcW w:w="0" w:type="auto"/>
            <w:vAlign w:val="center"/>
          </w:tcPr>
          <w:p w14:paraId="74239BF7" w14:textId="56C37E9A" w:rsidR="00492DAC" w:rsidRPr="00492DAC" w:rsidRDefault="00492DAC" w:rsidP="00492DAC">
            <w:pPr>
              <w:jc w:val="center"/>
              <w:rPr>
                <w:b/>
                <w:bCs/>
                <w:sz w:val="16"/>
                <w:szCs w:val="16"/>
              </w:rPr>
            </w:pPr>
            <w:r w:rsidRPr="00492DAC">
              <w:rPr>
                <w:rStyle w:val="Strong"/>
                <w:sz w:val="16"/>
                <w:szCs w:val="16"/>
              </w:rPr>
              <w:lastRenderedPageBreak/>
              <w:t>Monitoring &amp; implementation</w:t>
            </w:r>
          </w:p>
        </w:tc>
        <w:tc>
          <w:tcPr>
            <w:tcW w:w="3155" w:type="dxa"/>
            <w:vAlign w:val="center"/>
          </w:tcPr>
          <w:p w14:paraId="15234B98" w14:textId="66C86CDF" w:rsidR="004F315A" w:rsidRPr="00492DAC" w:rsidRDefault="004F315A" w:rsidP="00492DAC">
            <w:pPr>
              <w:rPr>
                <w:sz w:val="16"/>
                <w:szCs w:val="16"/>
              </w:rPr>
            </w:pPr>
            <w:r w:rsidRPr="004F315A">
              <w:rPr>
                <w:sz w:val="16"/>
                <w:szCs w:val="16"/>
                <w:lang w:val="sr-Latn-RS"/>
              </w:rPr>
              <w:t>Groundwater quality monitoring is established, but quantitative monitoring and spatial coverage remain insufficient.</w:t>
            </w:r>
          </w:p>
        </w:tc>
        <w:tc>
          <w:tcPr>
            <w:tcW w:w="2940" w:type="dxa"/>
            <w:vAlign w:val="center"/>
          </w:tcPr>
          <w:p w14:paraId="0617B940" w14:textId="79F442E0" w:rsidR="00492DAC" w:rsidRPr="00492DAC" w:rsidRDefault="004F315A" w:rsidP="00492DAC">
            <w:pPr>
              <w:rPr>
                <w:sz w:val="16"/>
                <w:szCs w:val="16"/>
              </w:rPr>
            </w:pPr>
            <w:r w:rsidRPr="004F315A">
              <w:rPr>
                <w:sz w:val="16"/>
                <w:szCs w:val="16"/>
                <w:lang w:val="sr-Latn-RS"/>
              </w:rPr>
              <w:t>Monitoring expansion is ongoing, but coverage and capacity remain limited, particularly in karst and upland areas.</w:t>
            </w:r>
          </w:p>
        </w:tc>
      </w:tr>
      <w:tr w:rsidR="004F315A" w:rsidRPr="00492DAC" w14:paraId="7797D45A" w14:textId="77777777" w:rsidTr="004F315A">
        <w:tc>
          <w:tcPr>
            <w:tcW w:w="0" w:type="auto"/>
            <w:vAlign w:val="center"/>
          </w:tcPr>
          <w:p w14:paraId="53A04748" w14:textId="21A033F0" w:rsidR="004F315A" w:rsidRPr="00492DAC" w:rsidRDefault="004F315A" w:rsidP="00492DAC">
            <w:pPr>
              <w:jc w:val="center"/>
              <w:rPr>
                <w:rStyle w:val="Strong"/>
                <w:sz w:val="16"/>
                <w:szCs w:val="16"/>
              </w:rPr>
            </w:pPr>
            <w:r w:rsidRPr="004F315A">
              <w:rPr>
                <w:b/>
                <w:bCs/>
                <w:sz w:val="16"/>
                <w:szCs w:val="16"/>
                <w:lang w:val="sr-Latn-RS"/>
              </w:rPr>
              <w:t>Data availability and standardization</w:t>
            </w:r>
          </w:p>
        </w:tc>
        <w:tc>
          <w:tcPr>
            <w:tcW w:w="3155" w:type="dxa"/>
            <w:vAlign w:val="center"/>
          </w:tcPr>
          <w:p w14:paraId="46DB6C13" w14:textId="7FC96955" w:rsidR="004F315A" w:rsidRPr="004F315A" w:rsidRDefault="004F315A" w:rsidP="00492DAC">
            <w:pPr>
              <w:rPr>
                <w:sz w:val="16"/>
                <w:szCs w:val="16"/>
              </w:rPr>
            </w:pPr>
            <w:r w:rsidRPr="004F315A">
              <w:rPr>
                <w:sz w:val="16"/>
                <w:szCs w:val="16"/>
                <w:lang w:val="sr-Latn-RS"/>
              </w:rPr>
              <w:t>Data are available, but further standardization and integration across institutions are needed.</w:t>
            </w:r>
          </w:p>
        </w:tc>
        <w:tc>
          <w:tcPr>
            <w:tcW w:w="2940" w:type="dxa"/>
            <w:vAlign w:val="center"/>
          </w:tcPr>
          <w:p w14:paraId="6ACDE35A" w14:textId="3BFC5A30" w:rsidR="004F315A" w:rsidRPr="004F315A" w:rsidRDefault="004F315A" w:rsidP="00492DAC">
            <w:pPr>
              <w:rPr>
                <w:sz w:val="16"/>
                <w:szCs w:val="16"/>
              </w:rPr>
            </w:pPr>
            <w:r w:rsidRPr="004F315A">
              <w:rPr>
                <w:sz w:val="16"/>
                <w:szCs w:val="16"/>
                <w:lang w:val="sr-Latn-RS"/>
              </w:rPr>
              <w:t>Data availability is improving, but fragmentation and inconsistencies remain a challenge.</w:t>
            </w:r>
          </w:p>
        </w:tc>
      </w:tr>
      <w:tr w:rsidR="00492DAC" w:rsidRPr="00492DAC" w14:paraId="196D301E" w14:textId="77777777" w:rsidTr="00492DAC">
        <w:tc>
          <w:tcPr>
            <w:tcW w:w="0" w:type="auto"/>
            <w:vAlign w:val="center"/>
            <w:hideMark/>
          </w:tcPr>
          <w:p w14:paraId="278F331C" w14:textId="77777777" w:rsidR="00492DAC" w:rsidRPr="00492DAC" w:rsidRDefault="00492DAC">
            <w:pPr>
              <w:jc w:val="center"/>
              <w:rPr>
                <w:b/>
                <w:bCs/>
                <w:sz w:val="16"/>
                <w:szCs w:val="16"/>
              </w:rPr>
            </w:pPr>
            <w:r w:rsidRPr="00492DAC">
              <w:rPr>
                <w:rStyle w:val="Strong"/>
                <w:sz w:val="16"/>
                <w:szCs w:val="16"/>
              </w:rPr>
              <w:t>Permitting, indirect discharges &amp; enforcement</w:t>
            </w:r>
          </w:p>
        </w:tc>
        <w:tc>
          <w:tcPr>
            <w:tcW w:w="0" w:type="auto"/>
            <w:hideMark/>
          </w:tcPr>
          <w:p w14:paraId="3BA884B3" w14:textId="29C5312F" w:rsidR="00492DAC" w:rsidRPr="00492DAC" w:rsidRDefault="004F315A">
            <w:pPr>
              <w:rPr>
                <w:sz w:val="16"/>
                <w:szCs w:val="16"/>
              </w:rPr>
            </w:pPr>
            <w:r w:rsidRPr="004F315A">
              <w:rPr>
                <w:sz w:val="16"/>
                <w:szCs w:val="16"/>
                <w:lang w:val="sr-Latn-RS"/>
              </w:rPr>
              <w:t>The legal framework is in place, but enforcement capacity remains limited in practice due to shortages of personnel, financial and technical resources, and insufficiently developed monitoring and inspection mechanisms.</w:t>
            </w:r>
          </w:p>
        </w:tc>
        <w:tc>
          <w:tcPr>
            <w:tcW w:w="0" w:type="auto"/>
            <w:hideMark/>
          </w:tcPr>
          <w:p w14:paraId="4AF7A476" w14:textId="580FD48B" w:rsidR="00492DAC" w:rsidRPr="00492DAC" w:rsidRDefault="004F315A">
            <w:pPr>
              <w:rPr>
                <w:sz w:val="16"/>
                <w:szCs w:val="16"/>
              </w:rPr>
            </w:pPr>
            <w:r w:rsidRPr="004F315A">
              <w:rPr>
                <w:sz w:val="16"/>
                <w:szCs w:val="16"/>
                <w:lang w:val="sr-Latn-RS"/>
              </w:rPr>
              <w:t>The legal framework is in place, but institutional and technical capacity still requires strengthening in order to fulfil WFD/GWD-related obligations consistently.</w:t>
            </w:r>
          </w:p>
        </w:tc>
      </w:tr>
      <w:tr w:rsidR="00492DAC" w:rsidRPr="00492DAC" w14:paraId="7A0249B3" w14:textId="77777777" w:rsidTr="004F315A">
        <w:tc>
          <w:tcPr>
            <w:tcW w:w="2777" w:type="dxa"/>
            <w:vAlign w:val="center"/>
          </w:tcPr>
          <w:p w14:paraId="12B5484A" w14:textId="46B35769" w:rsidR="00492DAC" w:rsidRPr="00492DAC" w:rsidRDefault="00492DAC" w:rsidP="00492DAC">
            <w:pPr>
              <w:jc w:val="center"/>
              <w:rPr>
                <w:rFonts w:cstheme="minorHAnsi"/>
                <w:sz w:val="16"/>
                <w:szCs w:val="16"/>
                <w:lang w:val="en-GB" w:eastAsia="en-GB"/>
              </w:rPr>
            </w:pPr>
            <w:r w:rsidRPr="00492DAC">
              <w:rPr>
                <w:rStyle w:val="Strong"/>
                <w:sz w:val="16"/>
                <w:szCs w:val="16"/>
              </w:rPr>
              <w:t>Spatial</w:t>
            </w:r>
            <w:r w:rsidRPr="00492DAC">
              <w:rPr>
                <w:rStyle w:val="Strong"/>
                <w:sz w:val="16"/>
                <w:szCs w:val="16"/>
              </w:rPr>
              <w:noBreakHyphen/>
              <w:t>planning integration</w:t>
            </w:r>
          </w:p>
        </w:tc>
        <w:tc>
          <w:tcPr>
            <w:tcW w:w="3155" w:type="dxa"/>
            <w:vAlign w:val="center"/>
          </w:tcPr>
          <w:p w14:paraId="3CE47ACE" w14:textId="4AAF0CB1" w:rsidR="00492DAC" w:rsidRPr="00492DAC" w:rsidRDefault="004F315A" w:rsidP="00492DAC">
            <w:pPr>
              <w:rPr>
                <w:rFonts w:cstheme="minorHAnsi"/>
                <w:sz w:val="16"/>
                <w:szCs w:val="16"/>
                <w:lang w:val="en-GB" w:eastAsia="en-GB"/>
              </w:rPr>
            </w:pPr>
            <w:r w:rsidRPr="004F315A">
              <w:rPr>
                <w:sz w:val="16"/>
                <w:szCs w:val="16"/>
                <w:lang w:val="sr-Latn-RS"/>
              </w:rPr>
              <w:t>Formal requirements for alignment with water policies exist, but coordination with other sectors remains uneven in practice.</w:t>
            </w:r>
          </w:p>
        </w:tc>
        <w:tc>
          <w:tcPr>
            <w:tcW w:w="2940" w:type="dxa"/>
            <w:vAlign w:val="center"/>
          </w:tcPr>
          <w:p w14:paraId="2448055B" w14:textId="0CFED735" w:rsidR="00492DAC" w:rsidRPr="00492DAC" w:rsidRDefault="004F315A" w:rsidP="00492DAC">
            <w:pPr>
              <w:rPr>
                <w:rFonts w:cstheme="minorHAnsi"/>
                <w:sz w:val="16"/>
                <w:szCs w:val="16"/>
                <w:lang w:val="en-GB" w:eastAsia="en-GB"/>
              </w:rPr>
            </w:pPr>
            <w:r w:rsidRPr="004F315A">
              <w:rPr>
                <w:sz w:val="16"/>
                <w:szCs w:val="16"/>
                <w:lang w:val="sr-Latn-RS"/>
              </w:rPr>
              <w:t>Integration is progressing, but implementation remains inconsistent and groundwater priorities are not systematically carried through into planning practice.</w:t>
            </w:r>
          </w:p>
        </w:tc>
      </w:tr>
      <w:tr w:rsidR="00492DAC" w:rsidRPr="00492DAC" w14:paraId="52AB2897" w14:textId="77777777" w:rsidTr="004F315A">
        <w:tc>
          <w:tcPr>
            <w:tcW w:w="2777" w:type="dxa"/>
            <w:vAlign w:val="center"/>
          </w:tcPr>
          <w:p w14:paraId="44D24978" w14:textId="6894B2B8" w:rsidR="00492DAC" w:rsidRPr="00492DAC" w:rsidRDefault="00492DAC" w:rsidP="00492DAC">
            <w:pPr>
              <w:jc w:val="center"/>
              <w:rPr>
                <w:rFonts w:cstheme="minorHAnsi"/>
                <w:sz w:val="16"/>
                <w:szCs w:val="16"/>
                <w:lang w:val="en-GB" w:eastAsia="en-GB"/>
              </w:rPr>
            </w:pPr>
            <w:r w:rsidRPr="00492DAC">
              <w:rPr>
                <w:rStyle w:val="Strong"/>
                <w:sz w:val="16"/>
                <w:szCs w:val="16"/>
              </w:rPr>
              <w:t>Economic instruments &amp; cost recovery</w:t>
            </w:r>
          </w:p>
        </w:tc>
        <w:tc>
          <w:tcPr>
            <w:tcW w:w="3155" w:type="dxa"/>
            <w:vAlign w:val="center"/>
          </w:tcPr>
          <w:p w14:paraId="52595ABB" w14:textId="0A3636FC" w:rsidR="00492DAC" w:rsidRPr="00492DAC" w:rsidRDefault="004F315A" w:rsidP="00492DAC">
            <w:pPr>
              <w:rPr>
                <w:rFonts w:cstheme="minorHAnsi"/>
                <w:sz w:val="16"/>
                <w:szCs w:val="16"/>
                <w:lang w:val="en-GB" w:eastAsia="en-GB"/>
              </w:rPr>
            </w:pPr>
            <w:r w:rsidRPr="004F315A">
              <w:rPr>
                <w:sz w:val="16"/>
                <w:szCs w:val="16"/>
                <w:lang w:val="sr-Latn-RS"/>
              </w:rPr>
              <w:t>Cost-recovery principles are reflected in water legislation, but their application in practice is partial and depends on available financial and institutional capacity</w:t>
            </w:r>
          </w:p>
        </w:tc>
        <w:tc>
          <w:tcPr>
            <w:tcW w:w="2940" w:type="dxa"/>
            <w:vAlign w:val="center"/>
          </w:tcPr>
          <w:p w14:paraId="48FAA57B" w14:textId="1F7FBEBE" w:rsidR="00492DAC" w:rsidRPr="00492DAC" w:rsidRDefault="004F315A" w:rsidP="00492DAC">
            <w:pPr>
              <w:rPr>
                <w:rFonts w:cstheme="minorHAnsi"/>
                <w:sz w:val="16"/>
                <w:szCs w:val="16"/>
                <w:lang w:val="en-GB" w:eastAsia="en-GB"/>
              </w:rPr>
            </w:pPr>
            <w:r w:rsidRPr="004F315A">
              <w:rPr>
                <w:sz w:val="16"/>
                <w:szCs w:val="16"/>
                <w:lang w:val="sr-Latn-RS"/>
              </w:rPr>
              <w:t>Legal provisions for economic instruments exist, but cost-recovery mechanisms are not systematically applied and investment in water infrastructure remains strongly dependent on external funding</w:t>
            </w:r>
          </w:p>
        </w:tc>
      </w:tr>
      <w:tr w:rsidR="00492DAC" w:rsidRPr="00492DAC" w14:paraId="58EB8D34" w14:textId="77777777" w:rsidTr="004F315A">
        <w:tc>
          <w:tcPr>
            <w:tcW w:w="2777" w:type="dxa"/>
            <w:vAlign w:val="center"/>
          </w:tcPr>
          <w:p w14:paraId="0B40F895" w14:textId="32AEAD12" w:rsidR="00492DAC" w:rsidRPr="00492DAC" w:rsidRDefault="00492DAC" w:rsidP="00492DAC">
            <w:pPr>
              <w:jc w:val="center"/>
              <w:rPr>
                <w:rFonts w:cstheme="minorHAnsi"/>
                <w:sz w:val="16"/>
                <w:szCs w:val="16"/>
                <w:lang w:val="en-GB" w:eastAsia="en-GB"/>
              </w:rPr>
            </w:pPr>
            <w:r w:rsidRPr="00492DAC">
              <w:rPr>
                <w:rStyle w:val="Strong"/>
                <w:sz w:val="16"/>
                <w:szCs w:val="16"/>
              </w:rPr>
              <w:t>Groundwater</w:t>
            </w:r>
            <w:r w:rsidRPr="00492DAC">
              <w:rPr>
                <w:rStyle w:val="Strong"/>
                <w:sz w:val="16"/>
                <w:szCs w:val="16"/>
              </w:rPr>
              <w:noBreakHyphen/>
              <w:t>dependent ecosystems</w:t>
            </w:r>
          </w:p>
        </w:tc>
        <w:tc>
          <w:tcPr>
            <w:tcW w:w="3155" w:type="dxa"/>
            <w:vAlign w:val="center"/>
          </w:tcPr>
          <w:p w14:paraId="00893D65" w14:textId="4DCB9AD7" w:rsidR="00492DAC" w:rsidRPr="00492DAC" w:rsidRDefault="006151A2" w:rsidP="00492DAC">
            <w:pPr>
              <w:rPr>
                <w:rFonts w:cstheme="minorHAnsi"/>
                <w:sz w:val="16"/>
                <w:szCs w:val="16"/>
                <w:lang w:val="en-GB" w:eastAsia="en-GB"/>
              </w:rPr>
            </w:pPr>
            <w:r w:rsidRPr="006151A2">
              <w:rPr>
                <w:sz w:val="16"/>
                <w:szCs w:val="16"/>
                <w:lang w:val="sr-Latn-RS"/>
              </w:rPr>
              <w:t>Not explicitly defined as a distinct management category; groundwater–ecosystem interactions are addressed indirectly through environmental and nature protection legislation</w:t>
            </w:r>
          </w:p>
        </w:tc>
        <w:tc>
          <w:tcPr>
            <w:tcW w:w="2940" w:type="dxa"/>
            <w:vAlign w:val="center"/>
          </w:tcPr>
          <w:p w14:paraId="2C050DB4" w14:textId="31531BA3" w:rsidR="00492DAC" w:rsidRPr="00492DAC" w:rsidRDefault="006151A2" w:rsidP="00492DAC">
            <w:pPr>
              <w:rPr>
                <w:rFonts w:cstheme="minorHAnsi"/>
                <w:sz w:val="16"/>
                <w:szCs w:val="16"/>
                <w:lang w:val="en-GB" w:eastAsia="en-GB"/>
              </w:rPr>
            </w:pPr>
            <w:r w:rsidRPr="006151A2">
              <w:rPr>
                <w:sz w:val="16"/>
                <w:szCs w:val="16"/>
                <w:lang w:val="sr-Latn-RS"/>
              </w:rPr>
              <w:t>Not explicitly defined as a distinct management category; considerations related to groundwater and ecosystems are addressed in general environmental legislation, without specific operational frameworks</w:t>
            </w:r>
          </w:p>
        </w:tc>
      </w:tr>
      <w:tr w:rsidR="00492DAC" w:rsidRPr="00492DAC" w14:paraId="727DC3CE" w14:textId="77777777" w:rsidTr="004F315A">
        <w:tc>
          <w:tcPr>
            <w:tcW w:w="0" w:type="auto"/>
            <w:vAlign w:val="center"/>
          </w:tcPr>
          <w:p w14:paraId="5F94EEED" w14:textId="2FFC92B6" w:rsidR="00492DAC" w:rsidRPr="00492DAC" w:rsidRDefault="00492DAC" w:rsidP="00492DAC">
            <w:pPr>
              <w:jc w:val="center"/>
              <w:rPr>
                <w:b/>
                <w:bCs/>
                <w:sz w:val="16"/>
                <w:szCs w:val="16"/>
              </w:rPr>
            </w:pPr>
            <w:r w:rsidRPr="00492DAC">
              <w:rPr>
                <w:rStyle w:val="Strong"/>
                <w:sz w:val="16"/>
                <w:szCs w:val="16"/>
              </w:rPr>
              <w:t>Remediation obligations</w:t>
            </w:r>
          </w:p>
        </w:tc>
        <w:tc>
          <w:tcPr>
            <w:tcW w:w="3155" w:type="dxa"/>
            <w:vAlign w:val="center"/>
          </w:tcPr>
          <w:p w14:paraId="6F9ED2F6" w14:textId="134B4552" w:rsidR="00492DAC" w:rsidRPr="00492DAC" w:rsidRDefault="006151A2" w:rsidP="00492DAC">
            <w:pPr>
              <w:rPr>
                <w:sz w:val="16"/>
                <w:szCs w:val="16"/>
              </w:rPr>
            </w:pPr>
            <w:r w:rsidRPr="006151A2">
              <w:rPr>
                <w:sz w:val="16"/>
                <w:szCs w:val="16"/>
                <w:lang w:val="sr-Latn-RS"/>
              </w:rPr>
              <w:t>General legal provisions exist within water and environmental legislation; operational application in groundwater context is limited and not systematic</w:t>
            </w:r>
          </w:p>
        </w:tc>
        <w:tc>
          <w:tcPr>
            <w:tcW w:w="2940" w:type="dxa"/>
            <w:vAlign w:val="center"/>
          </w:tcPr>
          <w:p w14:paraId="3B10118B" w14:textId="1478157E" w:rsidR="00492DAC" w:rsidRPr="00492DAC" w:rsidRDefault="006151A2" w:rsidP="00492DAC">
            <w:pPr>
              <w:rPr>
                <w:sz w:val="16"/>
                <w:szCs w:val="16"/>
              </w:rPr>
            </w:pPr>
            <w:r w:rsidRPr="006151A2">
              <w:rPr>
                <w:sz w:val="16"/>
                <w:szCs w:val="16"/>
                <w:lang w:val="sr-Latn-RS"/>
              </w:rPr>
              <w:t>General provisions exist in environmental and water legislation; application in practice remains limited and not systematically linked to groundwater protection</w:t>
            </w:r>
          </w:p>
        </w:tc>
      </w:tr>
    </w:tbl>
    <w:p w14:paraId="7E6CF2A3" w14:textId="77777777" w:rsidR="00CD78CD" w:rsidRDefault="00CD78CD" w:rsidP="00CD78CD">
      <w:pPr>
        <w:rPr>
          <w:lang w:val="en-GB"/>
        </w:rPr>
      </w:pPr>
    </w:p>
    <w:p w14:paraId="27D5DE5A" w14:textId="2C52C56F" w:rsidR="00CD78CD" w:rsidRPr="00376158" w:rsidRDefault="00CD78CD" w:rsidP="00CD78CD">
      <w:pPr>
        <w:pStyle w:val="Heading1"/>
        <w:rPr>
          <w:lang w:val="en-GB"/>
        </w:rPr>
      </w:pPr>
      <w:bookmarkStart w:id="14" w:name="_Toc225418425"/>
      <w:r w:rsidRPr="00376158">
        <w:rPr>
          <w:lang w:val="en-GB"/>
        </w:rPr>
        <w:t>6 Institutional responsibilities and enforcement capacity</w:t>
      </w:r>
      <w:bookmarkEnd w:id="14"/>
    </w:p>
    <w:p w14:paraId="39BBF351" w14:textId="77777777" w:rsidR="0069248F" w:rsidRDefault="0069248F" w:rsidP="0069248F">
      <w:pPr>
        <w:pStyle w:val="Heading2"/>
        <w:jc w:val="both"/>
        <w:rPr>
          <w:rFonts w:asciiTheme="minorHAnsi" w:eastAsiaTheme="minorHAnsi" w:hAnsiTheme="minorHAnsi" w:cstheme="minorHAnsi"/>
          <w:b w:val="0"/>
          <w:color w:val="auto"/>
          <w:kern w:val="0"/>
          <w:sz w:val="22"/>
          <w:szCs w:val="22"/>
          <w:lang w:val="sr-Latn-RS"/>
          <w14:ligatures w14:val="none"/>
        </w:rPr>
      </w:pPr>
      <w:bookmarkStart w:id="15" w:name="_Toc225418426"/>
      <w:r w:rsidRPr="0069248F">
        <w:rPr>
          <w:rFonts w:asciiTheme="minorHAnsi" w:eastAsiaTheme="minorHAnsi" w:hAnsiTheme="minorHAnsi" w:cstheme="minorHAnsi"/>
          <w:b w:val="0"/>
          <w:color w:val="auto"/>
          <w:kern w:val="0"/>
          <w:sz w:val="22"/>
          <w:szCs w:val="22"/>
          <w:lang w:val="sr-Latn-RS"/>
          <w14:ligatures w14:val="none"/>
        </w:rPr>
        <w:t>Institutional responsibilities for groundwater protection and sanitary protection zones (SPZs) in Montenegro and Albania are organized through different administrative arrangements. These differences influence how regulatory obligations are implemented in practice, how inspection functions are carried out, and how consistently land-use controls and pollution-prevention measures are enforced in groundwater-sensitive karst environments. Evidence from the BGGDA and JAP for the Cemi/Cijevna TBA shows that both countries have established legal and institutional frameworks, while differences remain in operational coordination, monitoring coverage and enforcement capacity.</w:t>
      </w:r>
    </w:p>
    <w:p w14:paraId="0A561189" w14:textId="77777777" w:rsidR="0069248F" w:rsidRDefault="0069248F" w:rsidP="00CD78CD">
      <w:pPr>
        <w:pStyle w:val="Heading2"/>
        <w:rPr>
          <w:rFonts w:asciiTheme="minorHAnsi" w:eastAsiaTheme="minorHAnsi" w:hAnsiTheme="minorHAnsi" w:cstheme="minorHAnsi"/>
          <w:b w:val="0"/>
          <w:color w:val="auto"/>
          <w:kern w:val="0"/>
          <w:sz w:val="22"/>
          <w:szCs w:val="22"/>
          <w:lang w:val="sr-Latn-RS"/>
          <w14:ligatures w14:val="none"/>
        </w:rPr>
      </w:pPr>
    </w:p>
    <w:p w14:paraId="0422F66F" w14:textId="71B63365" w:rsidR="00CD78CD" w:rsidRPr="00CD78CD" w:rsidRDefault="00CD78CD" w:rsidP="00CD78CD">
      <w:pPr>
        <w:pStyle w:val="Heading2"/>
        <w:rPr>
          <w:lang w:val="en-GB"/>
        </w:rPr>
      </w:pPr>
      <w:r w:rsidRPr="00CD78CD">
        <w:rPr>
          <w:lang w:val="en-GB"/>
        </w:rPr>
        <w:t xml:space="preserve">6.1 Institutional responsibilities in </w:t>
      </w:r>
      <w:bookmarkEnd w:id="15"/>
      <w:r w:rsidR="0069248F">
        <w:rPr>
          <w:lang w:val="en-GB"/>
        </w:rPr>
        <w:t>Montenegro</w:t>
      </w:r>
    </w:p>
    <w:p w14:paraId="688ACE99" w14:textId="77777777" w:rsidR="0069248F" w:rsidRPr="0069248F" w:rsidRDefault="0069248F" w:rsidP="0069248F">
      <w:pPr>
        <w:jc w:val="both"/>
        <w:rPr>
          <w:lang w:val="en-US"/>
        </w:rPr>
      </w:pPr>
      <w:r w:rsidRPr="0069248F">
        <w:rPr>
          <w:lang w:val="en-US"/>
        </w:rPr>
        <w:t xml:space="preserve">In Montenegro, groundwater governance is primarily organized through national-level institutions with clearly defined mandates. Strategic and policy responsibilities lie with the </w:t>
      </w:r>
      <w:r w:rsidRPr="0069248F">
        <w:rPr>
          <w:b/>
          <w:bCs/>
          <w:lang w:val="en-US"/>
        </w:rPr>
        <w:t>Ministry of Agriculture, Forestry and Water Management</w:t>
      </w:r>
      <w:r w:rsidRPr="0069248F">
        <w:rPr>
          <w:lang w:val="en-US"/>
        </w:rPr>
        <w:t>, which is responsible for water policy, alignment with EU requirements and coordination of River Basin Management Plans.</w:t>
      </w:r>
    </w:p>
    <w:p w14:paraId="3024B0E7" w14:textId="10E65ECE" w:rsidR="0069248F" w:rsidRPr="0069248F" w:rsidRDefault="0069248F" w:rsidP="0069248F">
      <w:pPr>
        <w:jc w:val="both"/>
        <w:rPr>
          <w:lang w:val="en-US"/>
        </w:rPr>
      </w:pPr>
      <w:r w:rsidRPr="0069248F">
        <w:rPr>
          <w:lang w:val="en-US"/>
        </w:rPr>
        <w:t xml:space="preserve">Operational water-management functions are carried out by national institutions and specialized agencies. The </w:t>
      </w:r>
      <w:r w:rsidRPr="0069248F">
        <w:rPr>
          <w:b/>
          <w:bCs/>
          <w:lang w:val="en-US"/>
        </w:rPr>
        <w:t>Institute of Hydrometeorology and Seismology</w:t>
      </w:r>
      <w:r w:rsidRPr="0069248F">
        <w:rPr>
          <w:lang w:val="en-US"/>
        </w:rPr>
        <w:t xml:space="preserve"> is responsible for groundwater monitoring, including data collection and reporting on water status. </w:t>
      </w:r>
      <w:r w:rsidR="000D7EAC" w:rsidRPr="000D7EAC">
        <w:t xml:space="preserve">The Geological Survey of Montenegro is also responsible for monitoring groundwater. </w:t>
      </w:r>
      <w:r w:rsidRPr="0069248F">
        <w:rPr>
          <w:lang w:val="en-US"/>
        </w:rPr>
        <w:t>Water administration manage</w:t>
      </w:r>
      <w:r w:rsidR="00A5561F">
        <w:rPr>
          <w:lang w:val="en-US"/>
        </w:rPr>
        <w:t>s</w:t>
      </w:r>
      <w:r w:rsidRPr="0069248F">
        <w:rPr>
          <w:lang w:val="en-US"/>
        </w:rPr>
        <w:t xml:space="preserve"> permitting procedures for abstraction and discharge, as well as technical aspects of water protection.</w:t>
      </w:r>
    </w:p>
    <w:p w14:paraId="0AA36849" w14:textId="77777777" w:rsidR="0069248F" w:rsidRPr="0069248F" w:rsidRDefault="0069248F" w:rsidP="0069248F">
      <w:pPr>
        <w:jc w:val="both"/>
        <w:rPr>
          <w:lang w:val="en-US"/>
        </w:rPr>
      </w:pPr>
      <w:r w:rsidRPr="0069248F">
        <w:rPr>
          <w:lang w:val="en-US"/>
        </w:rPr>
        <w:lastRenderedPageBreak/>
        <w:t>Sanitary protection zones are defined through hydrogeological studies and formalized under the Water Law and relevant rulebooks. Their implementation requires coordination between national authorities and local governments, particularly in relation to spatial planning and land-use regulation.</w:t>
      </w:r>
    </w:p>
    <w:p w14:paraId="39E46E3E" w14:textId="77777777" w:rsidR="0069248F" w:rsidRPr="0069248F" w:rsidRDefault="0069248F" w:rsidP="0069248F">
      <w:pPr>
        <w:jc w:val="both"/>
        <w:rPr>
          <w:lang w:val="en-US"/>
        </w:rPr>
      </w:pPr>
      <w:r w:rsidRPr="0069248F">
        <w:rPr>
          <w:lang w:val="en-US"/>
        </w:rPr>
        <w:t>In practice, the application of these responsibilities depends on administrative and technical capacity at different levels. This is reflected in the pace of integration of SPZs into spatial planning documents, the availability of monitoring data in recharge areas, and the consistency of enforcement in rapidly developing or peri-urban zones.</w:t>
      </w:r>
    </w:p>
    <w:p w14:paraId="0B66236F" w14:textId="77777777" w:rsidR="0069248F" w:rsidRPr="0069248F" w:rsidRDefault="0069248F" w:rsidP="0069248F">
      <w:pPr>
        <w:jc w:val="both"/>
        <w:rPr>
          <w:lang w:val="en-US"/>
        </w:rPr>
      </w:pPr>
      <w:r w:rsidRPr="0069248F">
        <w:rPr>
          <w:lang w:val="en-US"/>
        </w:rPr>
        <w:t>Environmental oversight is supported by the competent inspection services, which supervise compliance with water-protection measures, wastewater-discharge conditions and land-use restrictions in protected areas. Public health institutions and accredited laboratories monitor drinking-water quality, providing data relevant for risk identification around abstraction sites.</w:t>
      </w:r>
    </w:p>
    <w:p w14:paraId="686A03CE" w14:textId="77777777" w:rsidR="0069248F" w:rsidRPr="0069248F" w:rsidRDefault="0069248F" w:rsidP="0069248F">
      <w:pPr>
        <w:jc w:val="both"/>
        <w:rPr>
          <w:lang w:val="en-US"/>
        </w:rPr>
      </w:pPr>
      <w:r w:rsidRPr="0069248F">
        <w:rPr>
          <w:lang w:val="en-US"/>
        </w:rPr>
        <w:t>Municipalities contribute through spatial planning, management of local sanitation systems and municipal utilities, and implementation of land-use decisions affecting groundwater protection.</w:t>
      </w:r>
    </w:p>
    <w:p w14:paraId="2ACB2329" w14:textId="77777777" w:rsidR="00CD78CD" w:rsidRDefault="00CD78CD" w:rsidP="00CD78CD">
      <w:pPr>
        <w:pStyle w:val="Heading2"/>
        <w:jc w:val="both"/>
        <w:rPr>
          <w:rFonts w:asciiTheme="minorHAnsi" w:hAnsiTheme="minorHAnsi" w:cstheme="minorHAnsi"/>
          <w:b w:val="0"/>
          <w:bCs/>
          <w:color w:val="auto"/>
          <w:sz w:val="22"/>
          <w:szCs w:val="22"/>
          <w:lang w:val="en-GB"/>
        </w:rPr>
      </w:pPr>
    </w:p>
    <w:p w14:paraId="242F448B" w14:textId="54B5C9D9" w:rsidR="00CD78CD" w:rsidRPr="00CD78CD" w:rsidRDefault="00CD78CD" w:rsidP="00CD78CD">
      <w:pPr>
        <w:pStyle w:val="Heading2"/>
        <w:rPr>
          <w:lang w:val="en-GB"/>
        </w:rPr>
      </w:pPr>
      <w:bookmarkStart w:id="16" w:name="_Toc225418427"/>
      <w:r w:rsidRPr="00CD78CD">
        <w:rPr>
          <w:lang w:val="en-GB"/>
        </w:rPr>
        <w:t xml:space="preserve">6.2 Institutional responsibilities in </w:t>
      </w:r>
      <w:r w:rsidR="0069248F">
        <w:rPr>
          <w:lang w:val="en-GB"/>
        </w:rPr>
        <w:t>Albania</w:t>
      </w:r>
      <w:bookmarkEnd w:id="16"/>
    </w:p>
    <w:p w14:paraId="1F234BE4" w14:textId="617EB733" w:rsidR="0069248F" w:rsidRPr="0069248F" w:rsidRDefault="0069248F" w:rsidP="0069248F">
      <w:pPr>
        <w:jc w:val="both"/>
        <w:rPr>
          <w:lang w:val="en-US"/>
        </w:rPr>
      </w:pPr>
      <w:r w:rsidRPr="0069248F">
        <w:rPr>
          <w:lang w:val="en-US"/>
        </w:rPr>
        <w:t xml:space="preserve">In Albania, groundwater governance is organized through a combination of national and basin-level institutions. The Ministry responsible for infrastructure and energy, together with the National </w:t>
      </w:r>
      <w:r w:rsidR="003A52A9">
        <w:rPr>
          <w:lang w:val="en-US"/>
        </w:rPr>
        <w:t xml:space="preserve">Territory and </w:t>
      </w:r>
      <w:r w:rsidRPr="0069248F">
        <w:rPr>
          <w:lang w:val="en-US"/>
        </w:rPr>
        <w:t>Water Council, provides overall policy direction and coordination in the water sector.</w:t>
      </w:r>
    </w:p>
    <w:p w14:paraId="28232001" w14:textId="77777777" w:rsidR="0069248F" w:rsidRPr="0069248F" w:rsidRDefault="0069248F" w:rsidP="0069248F">
      <w:pPr>
        <w:jc w:val="both"/>
        <w:rPr>
          <w:lang w:val="en-US"/>
        </w:rPr>
      </w:pPr>
      <w:r w:rsidRPr="0069248F">
        <w:rPr>
          <w:lang w:val="en-US"/>
        </w:rPr>
        <w:t>Operational responsibilities are carried out by the Water Resources Management Agency (AMBU) and river basin directorates, which are responsible for water-resource administration, permitting procedures, and implementation of water-management measures at basin level.</w:t>
      </w:r>
    </w:p>
    <w:p w14:paraId="668F865A" w14:textId="77777777" w:rsidR="0069248F" w:rsidRPr="0069248F" w:rsidRDefault="0069248F" w:rsidP="0069248F">
      <w:pPr>
        <w:jc w:val="both"/>
        <w:rPr>
          <w:lang w:val="en-US"/>
        </w:rPr>
      </w:pPr>
      <w:r w:rsidRPr="0069248F">
        <w:rPr>
          <w:lang w:val="en-US"/>
        </w:rPr>
        <w:t>Sanitary protection zones are defined within the legal framework established by the Law No. 29/2024 “On Water Resources” and require hydrogeological studies for delineation. Their practical implementation depends on coordination between national institutions, basin authorities and local governments.</w:t>
      </w:r>
    </w:p>
    <w:p w14:paraId="2B22092E" w14:textId="77777777" w:rsidR="0069248F" w:rsidRPr="0069248F" w:rsidRDefault="0069248F" w:rsidP="0069248F">
      <w:pPr>
        <w:jc w:val="both"/>
        <w:rPr>
          <w:lang w:val="en-US"/>
        </w:rPr>
      </w:pPr>
      <w:r w:rsidRPr="0069248F">
        <w:rPr>
          <w:lang w:val="en-US"/>
        </w:rPr>
        <w:t>The analysis shows that responsibilities are defined, but their application varies in practice. This is reflected in the extent to which SPZs are formally established and integrated into planning instruments, as well as in the availability of monitoring data and institutional capacity for enforcement.</w:t>
      </w:r>
    </w:p>
    <w:p w14:paraId="53C7056C" w14:textId="1C5CB8CA" w:rsidR="0069248F" w:rsidRPr="0069248F" w:rsidRDefault="0069248F" w:rsidP="0069248F">
      <w:pPr>
        <w:jc w:val="both"/>
        <w:rPr>
          <w:lang w:val="en-US"/>
        </w:rPr>
      </w:pPr>
      <w:r w:rsidRPr="0069248F">
        <w:rPr>
          <w:lang w:val="en-US"/>
        </w:rPr>
        <w:t>Monitoring of groundwater is still developing and is carried out through national institutions and project-based initiatives</w:t>
      </w:r>
      <w:r w:rsidR="003A52A9">
        <w:rPr>
          <w:lang w:val="en-US"/>
        </w:rPr>
        <w:t xml:space="preserve"> by Albanian Geological Services related to the physical-chemical elements.</w:t>
      </w:r>
      <w:r w:rsidRPr="0069248F">
        <w:rPr>
          <w:lang w:val="en-US"/>
        </w:rPr>
        <w:t xml:space="preserve"> Public health institutions perform drinking-water quality monitoring at supply sources,</w:t>
      </w:r>
      <w:r w:rsidR="003A52A9">
        <w:rPr>
          <w:lang w:val="en-US"/>
        </w:rPr>
        <w:t xml:space="preserve"> including microbiological elements,</w:t>
      </w:r>
      <w:r w:rsidRPr="0069248F">
        <w:rPr>
          <w:lang w:val="en-US"/>
        </w:rPr>
        <w:t xml:space="preserve"> providing important information for identifying risks.</w:t>
      </w:r>
    </w:p>
    <w:p w14:paraId="1527E6AA" w14:textId="77777777" w:rsidR="0069248F" w:rsidRPr="0069248F" w:rsidRDefault="0069248F" w:rsidP="0069248F">
      <w:pPr>
        <w:jc w:val="both"/>
        <w:rPr>
          <w:lang w:val="en-US"/>
        </w:rPr>
      </w:pPr>
      <w:r w:rsidRPr="0069248F">
        <w:rPr>
          <w:lang w:val="en-US"/>
        </w:rPr>
        <w:t>Local governments play a role in land-use planning, wastewater management and municipal services. However, coordination between water management institutions and local planning processes is not always consistent, particularly in areas with rapid development or limited infrastructure.</w:t>
      </w:r>
    </w:p>
    <w:p w14:paraId="36C8C6D9" w14:textId="77777777" w:rsidR="0069248F" w:rsidRPr="0069248F" w:rsidRDefault="0069248F" w:rsidP="0069248F">
      <w:pPr>
        <w:jc w:val="both"/>
        <w:rPr>
          <w:lang w:val="en-US"/>
        </w:rPr>
      </w:pPr>
      <w:r w:rsidRPr="0069248F">
        <w:rPr>
          <w:lang w:val="en-US"/>
        </w:rPr>
        <w:t>Inspection functions are carried out by environmental and sectoral inspectorates, which oversee compliance with environmental and water regulations. Enforcement capacity is influenced by available resources and institutional coordination.</w:t>
      </w:r>
    </w:p>
    <w:p w14:paraId="5CE8E713" w14:textId="1B8379C3" w:rsidR="00CD78CD" w:rsidRPr="00CD78CD" w:rsidRDefault="00CD78CD" w:rsidP="00CD78CD">
      <w:pPr>
        <w:pStyle w:val="Heading2"/>
        <w:rPr>
          <w:lang w:val="en-GB"/>
        </w:rPr>
      </w:pPr>
      <w:bookmarkStart w:id="17" w:name="_Toc225418428"/>
      <w:r w:rsidRPr="00CD78CD">
        <w:rPr>
          <w:lang w:val="en-GB"/>
        </w:rPr>
        <w:lastRenderedPageBreak/>
        <w:t>6.3 Enforcement capacity: comparative observations</w:t>
      </w:r>
      <w:bookmarkEnd w:id="17"/>
    </w:p>
    <w:p w14:paraId="48E74F5E" w14:textId="77777777" w:rsidR="0069248F" w:rsidRPr="0069248F" w:rsidRDefault="0069248F" w:rsidP="0069248F">
      <w:pPr>
        <w:jc w:val="both"/>
        <w:rPr>
          <w:lang w:val="en-US"/>
        </w:rPr>
      </w:pPr>
      <w:r w:rsidRPr="0069248F">
        <w:rPr>
          <w:lang w:val="en-US"/>
        </w:rPr>
        <w:t>Differences in enforcement capacity are a key aspect of institutional performance in both countries. In Montenegro, enforcement is organized through national inspection services with clearly defined mandates, providing a structured framework for supervision of water-protection measures. In practice, enforcement outcomes vary depending on local capacity, particularly in rural and peri-urban areas where decentralized sanitation systems and small-scale abstraction are common.</w:t>
      </w:r>
    </w:p>
    <w:p w14:paraId="6CDCA768" w14:textId="77777777" w:rsidR="0069248F" w:rsidRPr="0069248F" w:rsidRDefault="0069248F" w:rsidP="0069248F">
      <w:pPr>
        <w:jc w:val="both"/>
        <w:rPr>
          <w:lang w:val="en-US"/>
        </w:rPr>
      </w:pPr>
      <w:r w:rsidRPr="0069248F">
        <w:rPr>
          <w:lang w:val="en-US"/>
        </w:rPr>
        <w:t>In Albania, enforcement responsibilities are distributed across several institutional levels. While inspection mechanisms are in place, their effectiveness depends on coordination between institutions and the availability of technical and human resources. The analysis indicates that enforcement is often reactive, particularly in areas where monitoring data are limited or where SPZs are not fully integrated into planning instruments.</w:t>
      </w:r>
    </w:p>
    <w:p w14:paraId="680F2DF3" w14:textId="77777777" w:rsidR="0069248F" w:rsidRPr="0069248F" w:rsidRDefault="0069248F" w:rsidP="0069248F">
      <w:pPr>
        <w:jc w:val="both"/>
        <w:rPr>
          <w:lang w:val="en-US"/>
        </w:rPr>
      </w:pPr>
      <w:r w:rsidRPr="0069248F">
        <w:rPr>
          <w:lang w:val="en-US"/>
        </w:rPr>
        <w:t>In both countries, enforcement is closely linked to the status of SPZ delineation and their incorporation into spatial planning documents. Where protection zones are not fully defined or formally integrated, the ability of authorities to impose restrictions on land-use or activities in recharge areas is limited.</w:t>
      </w:r>
    </w:p>
    <w:p w14:paraId="2962B625" w14:textId="77777777" w:rsidR="0069248F" w:rsidRPr="0069248F" w:rsidRDefault="0069248F" w:rsidP="0069248F">
      <w:pPr>
        <w:jc w:val="both"/>
        <w:rPr>
          <w:lang w:val="en-US"/>
        </w:rPr>
      </w:pPr>
      <w:r w:rsidRPr="0069248F">
        <w:rPr>
          <w:lang w:val="en-US"/>
        </w:rPr>
        <w:t>Monitoring coverage also influences enforcement. Limited data availability, particularly in karst recharge zones, affects the ability to detect pressures, assess risks and apply preventive measures. This is especially relevant in transboundary settings, where pressures originating in one country may affect groundwater conditions in the other.</w:t>
      </w:r>
    </w:p>
    <w:p w14:paraId="346D6012" w14:textId="77777777" w:rsidR="00B92E6D" w:rsidRDefault="00B92E6D" w:rsidP="00CD78CD">
      <w:pPr>
        <w:pStyle w:val="Heading2"/>
        <w:jc w:val="both"/>
        <w:rPr>
          <w:rFonts w:asciiTheme="minorHAnsi" w:hAnsiTheme="minorHAnsi" w:cstheme="minorHAnsi"/>
          <w:b w:val="0"/>
          <w:bCs/>
          <w:color w:val="auto"/>
          <w:sz w:val="22"/>
          <w:szCs w:val="22"/>
          <w:lang w:val="en-GB"/>
        </w:rPr>
      </w:pPr>
    </w:p>
    <w:p w14:paraId="74B929B6" w14:textId="5B750C80" w:rsidR="00CD78CD" w:rsidRPr="00B92E6D" w:rsidRDefault="00CD78CD" w:rsidP="00B92E6D">
      <w:pPr>
        <w:pStyle w:val="Heading2"/>
        <w:rPr>
          <w:lang w:val="en-GB"/>
        </w:rPr>
      </w:pPr>
      <w:bookmarkStart w:id="18" w:name="_Toc225418429"/>
      <w:r w:rsidRPr="00B92E6D">
        <w:rPr>
          <w:lang w:val="en-GB"/>
        </w:rPr>
        <w:t>6.4 Implications for transboundary implementation</w:t>
      </w:r>
      <w:bookmarkEnd w:id="18"/>
    </w:p>
    <w:p w14:paraId="2D8302BE" w14:textId="77777777" w:rsidR="009058A7" w:rsidRPr="009058A7" w:rsidRDefault="009058A7" w:rsidP="009058A7">
      <w:pPr>
        <w:spacing w:after="200" w:line="240" w:lineRule="auto"/>
        <w:jc w:val="both"/>
        <w:rPr>
          <w:lang w:val="en-US"/>
        </w:rPr>
      </w:pPr>
      <w:r w:rsidRPr="009058A7">
        <w:rPr>
          <w:lang w:val="en-US"/>
        </w:rPr>
        <w:t xml:space="preserve">For the </w:t>
      </w:r>
      <w:proofErr w:type="spellStart"/>
      <w:r w:rsidRPr="009058A7">
        <w:rPr>
          <w:lang w:val="en-US"/>
        </w:rPr>
        <w:t>Cemi</w:t>
      </w:r>
      <w:proofErr w:type="spellEnd"/>
      <w:r w:rsidRPr="009058A7">
        <w:rPr>
          <w:lang w:val="en-US"/>
        </w:rPr>
        <w:t>/</w:t>
      </w:r>
      <w:proofErr w:type="spellStart"/>
      <w:r w:rsidRPr="009058A7">
        <w:rPr>
          <w:lang w:val="en-US"/>
        </w:rPr>
        <w:t>Cijevna</w:t>
      </w:r>
      <w:proofErr w:type="spellEnd"/>
      <w:r w:rsidRPr="009058A7">
        <w:rPr>
          <w:lang w:val="en-US"/>
        </w:rPr>
        <w:t xml:space="preserve"> transboundary aquifer, differences in institutional arrangements and enforcement capacity have direct implications for the implementation of groundwater-protection measures. Variations in mandate clarity, monitoring systems, administrative capacity and SPZ implementation influence how consistently each country can manage pressures within shared recharge areas.</w:t>
      </w:r>
    </w:p>
    <w:p w14:paraId="160CF0D8" w14:textId="77777777" w:rsidR="009058A7" w:rsidRPr="009058A7" w:rsidRDefault="009058A7" w:rsidP="009058A7">
      <w:pPr>
        <w:spacing w:after="200" w:line="240" w:lineRule="auto"/>
        <w:jc w:val="both"/>
        <w:rPr>
          <w:lang w:val="en-US"/>
        </w:rPr>
      </w:pPr>
      <w:r w:rsidRPr="009058A7">
        <w:rPr>
          <w:lang w:val="en-US"/>
        </w:rPr>
        <w:t>These differences affect the predictability of protection outcomes and the ability to respond to transboundary risks. In highly connected karst systems, effective protection depends on coordinated implementation of measures on both sides of the border.</w:t>
      </w:r>
    </w:p>
    <w:p w14:paraId="09803C54" w14:textId="77777777" w:rsidR="009058A7" w:rsidRPr="009058A7" w:rsidRDefault="009058A7" w:rsidP="009058A7">
      <w:pPr>
        <w:spacing w:after="200" w:line="240" w:lineRule="auto"/>
        <w:jc w:val="both"/>
        <w:rPr>
          <w:lang w:val="en-US"/>
        </w:rPr>
      </w:pPr>
      <w:r w:rsidRPr="009058A7">
        <w:rPr>
          <w:lang w:val="en-US"/>
        </w:rPr>
        <w:t>Addressing these differences may involve the development of joint technical procedures, improved coordination between institutions, and strengthening of monitoring and data-exchange mechanisms. Capacity-building measures, particularly in relation to enforcement and monitoring in karst environments, can support more consistent application of SPZs and other protection measures.</w:t>
      </w:r>
    </w:p>
    <w:p w14:paraId="17971C4A" w14:textId="77777777" w:rsidR="009058A7" w:rsidRPr="009058A7" w:rsidRDefault="009058A7" w:rsidP="009058A7">
      <w:pPr>
        <w:spacing w:after="200" w:line="240" w:lineRule="auto"/>
        <w:jc w:val="both"/>
        <w:rPr>
          <w:lang w:val="en-US"/>
        </w:rPr>
      </w:pPr>
      <w:r w:rsidRPr="009058A7">
        <w:rPr>
          <w:lang w:val="en-US"/>
        </w:rPr>
        <w:t xml:space="preserve">Enhanced institutional cooperation, including regular communication and exchange of information between competent authorities, would contribute to more coherent implementation of groundwater-protection measures and improve the effectiveness of SPZs in the transboundary </w:t>
      </w:r>
      <w:proofErr w:type="spellStart"/>
      <w:r w:rsidRPr="009058A7">
        <w:rPr>
          <w:lang w:val="en-US"/>
        </w:rPr>
        <w:t>Cemi</w:t>
      </w:r>
      <w:proofErr w:type="spellEnd"/>
      <w:r w:rsidRPr="009058A7">
        <w:rPr>
          <w:lang w:val="en-US"/>
        </w:rPr>
        <w:t>/</w:t>
      </w:r>
      <w:proofErr w:type="spellStart"/>
      <w:r w:rsidRPr="009058A7">
        <w:rPr>
          <w:lang w:val="en-US"/>
        </w:rPr>
        <w:t>Cijevna</w:t>
      </w:r>
      <w:proofErr w:type="spellEnd"/>
      <w:r w:rsidRPr="009058A7">
        <w:rPr>
          <w:lang w:val="en-US"/>
        </w:rPr>
        <w:t xml:space="preserve"> system.</w:t>
      </w:r>
    </w:p>
    <w:p w14:paraId="2BE110CB" w14:textId="77777777" w:rsidR="00336FA1" w:rsidRDefault="00336FA1" w:rsidP="00B92E6D">
      <w:pPr>
        <w:spacing w:after="200" w:line="240" w:lineRule="auto"/>
        <w:rPr>
          <w:i/>
          <w:iCs/>
          <w:color w:val="44546A" w:themeColor="text2"/>
          <w:sz w:val="18"/>
          <w:szCs w:val="18"/>
          <w:lang w:val="en-GB"/>
        </w:rPr>
      </w:pPr>
    </w:p>
    <w:p w14:paraId="6E661DCA" w14:textId="77777777" w:rsidR="00336FA1" w:rsidRDefault="00336FA1" w:rsidP="00B92E6D">
      <w:pPr>
        <w:spacing w:after="200" w:line="240" w:lineRule="auto"/>
        <w:rPr>
          <w:i/>
          <w:iCs/>
          <w:color w:val="44546A" w:themeColor="text2"/>
          <w:sz w:val="18"/>
          <w:szCs w:val="18"/>
          <w:lang w:val="en-GB"/>
        </w:rPr>
      </w:pPr>
    </w:p>
    <w:p w14:paraId="1722CB1C" w14:textId="77777777" w:rsidR="00336FA1" w:rsidRDefault="00336FA1" w:rsidP="00B92E6D">
      <w:pPr>
        <w:spacing w:after="200" w:line="240" w:lineRule="auto"/>
        <w:rPr>
          <w:i/>
          <w:iCs/>
          <w:color w:val="44546A" w:themeColor="text2"/>
          <w:sz w:val="18"/>
          <w:szCs w:val="18"/>
          <w:lang w:val="en-GB"/>
        </w:rPr>
      </w:pPr>
    </w:p>
    <w:p w14:paraId="4220DE59" w14:textId="77777777" w:rsidR="00336FA1" w:rsidRDefault="00336FA1" w:rsidP="00B92E6D">
      <w:pPr>
        <w:spacing w:after="200" w:line="240" w:lineRule="auto"/>
        <w:rPr>
          <w:i/>
          <w:iCs/>
          <w:color w:val="44546A" w:themeColor="text2"/>
          <w:sz w:val="18"/>
          <w:szCs w:val="18"/>
          <w:lang w:val="en-GB"/>
        </w:rPr>
      </w:pPr>
    </w:p>
    <w:p w14:paraId="4105B837" w14:textId="6B638329" w:rsidR="00B92E6D" w:rsidRPr="00903EAC" w:rsidRDefault="00336FA1" w:rsidP="00336FA1">
      <w:pPr>
        <w:pStyle w:val="Caption"/>
        <w:rPr>
          <w:rFonts w:ascii="Calibri" w:hAnsi="Calibri" w:cs="Calibri"/>
          <w:i w:val="0"/>
          <w:iCs w:val="0"/>
          <w:szCs w:val="20"/>
          <w:lang w:val="en-GB"/>
        </w:rPr>
      </w:pPr>
      <w:bookmarkStart w:id="19" w:name="_Toc225418886"/>
      <w:r w:rsidRPr="00903EAC">
        <w:rPr>
          <w:b/>
          <w:bCs/>
          <w:i w:val="0"/>
          <w:iCs w:val="0"/>
          <w:lang w:val="en-GB"/>
        </w:rPr>
        <w:lastRenderedPageBreak/>
        <w:t xml:space="preserve">Table </w:t>
      </w:r>
      <w:r w:rsidRPr="00903EAC">
        <w:rPr>
          <w:b/>
          <w:bCs/>
          <w:i w:val="0"/>
          <w:iCs w:val="0"/>
          <w:lang w:val="en-GB"/>
        </w:rPr>
        <w:fldChar w:fldCharType="begin"/>
      </w:r>
      <w:r w:rsidRPr="00903EAC">
        <w:rPr>
          <w:b/>
          <w:bCs/>
          <w:i w:val="0"/>
          <w:iCs w:val="0"/>
          <w:lang w:val="en-GB"/>
        </w:rPr>
        <w:instrText xml:space="preserve"> SEQ Table \* ARABIC </w:instrText>
      </w:r>
      <w:r w:rsidRPr="00903EAC">
        <w:rPr>
          <w:b/>
          <w:bCs/>
          <w:i w:val="0"/>
          <w:iCs w:val="0"/>
          <w:lang w:val="en-GB"/>
        </w:rPr>
        <w:fldChar w:fldCharType="separate"/>
      </w:r>
      <w:r w:rsidRPr="00903EAC">
        <w:rPr>
          <w:b/>
          <w:bCs/>
          <w:i w:val="0"/>
          <w:iCs w:val="0"/>
          <w:noProof/>
          <w:lang w:val="en-GB"/>
        </w:rPr>
        <w:t>3</w:t>
      </w:r>
      <w:r w:rsidRPr="00903EAC">
        <w:rPr>
          <w:b/>
          <w:bCs/>
          <w:i w:val="0"/>
          <w:iCs w:val="0"/>
          <w:lang w:val="en-GB"/>
        </w:rPr>
        <w:fldChar w:fldCharType="end"/>
      </w:r>
      <w:r w:rsidR="00903EAC" w:rsidRPr="00903EAC">
        <w:rPr>
          <w:b/>
          <w:bCs/>
          <w:i w:val="0"/>
          <w:iCs w:val="0"/>
          <w:lang w:val="en-GB"/>
        </w:rPr>
        <w:t>.</w:t>
      </w:r>
      <w:r w:rsidRPr="00903EAC">
        <w:rPr>
          <w:i w:val="0"/>
          <w:iCs w:val="0"/>
          <w:lang w:val="en-GB"/>
        </w:rPr>
        <w:t xml:space="preserve"> Key institutions and their roles in SPZ enforcement in </w:t>
      </w:r>
      <w:r w:rsidR="009058A7" w:rsidRPr="00903EAC">
        <w:rPr>
          <w:i w:val="0"/>
          <w:iCs w:val="0"/>
          <w:lang w:val="en-GB"/>
        </w:rPr>
        <w:t xml:space="preserve">Montenegro </w:t>
      </w:r>
      <w:r w:rsidRPr="00903EAC">
        <w:rPr>
          <w:i w:val="0"/>
          <w:iCs w:val="0"/>
          <w:lang w:val="en-GB"/>
        </w:rPr>
        <w:t xml:space="preserve">and </w:t>
      </w:r>
      <w:r w:rsidR="009058A7" w:rsidRPr="00903EAC">
        <w:rPr>
          <w:i w:val="0"/>
          <w:iCs w:val="0"/>
          <w:lang w:val="en-GB"/>
        </w:rPr>
        <w:t>Al</w:t>
      </w:r>
      <w:bookmarkEnd w:id="19"/>
      <w:r w:rsidR="009058A7" w:rsidRPr="00903EAC">
        <w:rPr>
          <w:i w:val="0"/>
          <w:iCs w:val="0"/>
          <w:lang w:val="en-GB"/>
        </w:rPr>
        <w:t>bania</w:t>
      </w:r>
    </w:p>
    <w:tbl>
      <w:tblPr>
        <w:tblStyle w:val="Reetkatablice1"/>
        <w:tblW w:w="0" w:type="auto"/>
        <w:tblInd w:w="-23" w:type="dxa"/>
        <w:tblLook w:val="04A0" w:firstRow="1" w:lastRow="0" w:firstColumn="1" w:lastColumn="0" w:noHBand="0" w:noVBand="1"/>
      </w:tblPr>
      <w:tblGrid>
        <w:gridCol w:w="4465"/>
        <w:gridCol w:w="4466"/>
      </w:tblGrid>
      <w:tr w:rsidR="00B92E6D" w:rsidRPr="004A0D87" w14:paraId="76C70617" w14:textId="77777777" w:rsidTr="00B92E6D">
        <w:tc>
          <w:tcPr>
            <w:tcW w:w="4465" w:type="dxa"/>
            <w:shd w:val="clear" w:color="auto" w:fill="D9E2F3" w:themeFill="accent1" w:themeFillTint="33"/>
            <w:hideMark/>
          </w:tcPr>
          <w:p w14:paraId="23FC414A" w14:textId="24342E3B" w:rsidR="00B92E6D" w:rsidRPr="004A0D87" w:rsidRDefault="009058A7" w:rsidP="00E90D08">
            <w:pPr>
              <w:jc w:val="center"/>
              <w:rPr>
                <w:rFonts w:cstheme="minorHAnsi"/>
                <w:b/>
                <w:bCs/>
                <w:sz w:val="16"/>
                <w:szCs w:val="16"/>
                <w:lang w:val="en-GB" w:eastAsia="en-GB"/>
              </w:rPr>
            </w:pPr>
            <w:r>
              <w:rPr>
                <w:rFonts w:cstheme="minorHAnsi"/>
                <w:b/>
                <w:bCs/>
                <w:sz w:val="16"/>
                <w:szCs w:val="16"/>
                <w:lang w:val="en-GB" w:eastAsia="en-GB"/>
              </w:rPr>
              <w:t>Montenegro</w:t>
            </w:r>
          </w:p>
        </w:tc>
        <w:tc>
          <w:tcPr>
            <w:tcW w:w="4466" w:type="dxa"/>
            <w:shd w:val="clear" w:color="auto" w:fill="D9E2F3" w:themeFill="accent1" w:themeFillTint="33"/>
            <w:hideMark/>
          </w:tcPr>
          <w:p w14:paraId="1F61675C" w14:textId="44601A9F" w:rsidR="00B92E6D" w:rsidRPr="004A0D87" w:rsidRDefault="009058A7" w:rsidP="00E90D08">
            <w:pPr>
              <w:jc w:val="center"/>
              <w:rPr>
                <w:rFonts w:cstheme="minorHAnsi"/>
                <w:b/>
                <w:bCs/>
                <w:sz w:val="16"/>
                <w:szCs w:val="16"/>
                <w:lang w:val="en-GB" w:eastAsia="en-GB"/>
              </w:rPr>
            </w:pPr>
            <w:r>
              <w:rPr>
                <w:rFonts w:cstheme="minorHAnsi"/>
                <w:b/>
                <w:bCs/>
                <w:sz w:val="16"/>
                <w:szCs w:val="16"/>
                <w:lang w:val="en-GB" w:eastAsia="en-GB"/>
              </w:rPr>
              <w:t>Albania</w:t>
            </w:r>
          </w:p>
        </w:tc>
      </w:tr>
      <w:tr w:rsidR="004A0D87" w:rsidRPr="004A0D87" w14:paraId="7D3E9F10" w14:textId="77777777" w:rsidTr="00B92E6D">
        <w:tc>
          <w:tcPr>
            <w:tcW w:w="4465" w:type="dxa"/>
            <w:vAlign w:val="center"/>
          </w:tcPr>
          <w:p w14:paraId="0CA8207A" w14:textId="554244BA" w:rsidR="004A0D87" w:rsidRPr="0025410D" w:rsidRDefault="0025410D" w:rsidP="0025410D">
            <w:pPr>
              <w:jc w:val="both"/>
              <w:rPr>
                <w:rFonts w:cstheme="minorHAnsi"/>
                <w:sz w:val="16"/>
                <w:szCs w:val="16"/>
              </w:rPr>
            </w:pPr>
            <w:r w:rsidRPr="0025410D">
              <w:rPr>
                <w:rFonts w:cstheme="minorHAnsi"/>
                <w:sz w:val="16"/>
                <w:szCs w:val="16"/>
                <w:lang w:val="sr-Latn-RS"/>
              </w:rPr>
              <w:t>Ministry of Agriculture, Forestry and Water Management – defines water policy; coordinates RBMPs; ensures alignment with EU requirements; provides the regulatory framework for groundwater and SPZ management</w:t>
            </w:r>
          </w:p>
        </w:tc>
        <w:tc>
          <w:tcPr>
            <w:tcW w:w="4466" w:type="dxa"/>
            <w:vAlign w:val="center"/>
          </w:tcPr>
          <w:p w14:paraId="28F294AE" w14:textId="7FEAE845" w:rsidR="004A0D87" w:rsidRPr="0025410D" w:rsidRDefault="0025410D" w:rsidP="004A0D87">
            <w:pPr>
              <w:rPr>
                <w:rFonts w:cstheme="minorHAnsi"/>
                <w:sz w:val="16"/>
                <w:szCs w:val="16"/>
              </w:rPr>
            </w:pPr>
            <w:r w:rsidRPr="0025410D">
              <w:rPr>
                <w:rFonts w:cstheme="minorHAnsi"/>
                <w:sz w:val="16"/>
                <w:szCs w:val="16"/>
                <w:lang w:val="sr-Latn-RS"/>
              </w:rPr>
              <w:t xml:space="preserve">Ministry responsible for infrastructure and energy / National </w:t>
            </w:r>
            <w:r w:rsidR="003A52A9">
              <w:rPr>
                <w:rFonts w:cstheme="minorHAnsi"/>
                <w:sz w:val="16"/>
                <w:szCs w:val="16"/>
                <w:lang w:val="sr-Latn-RS"/>
              </w:rPr>
              <w:t xml:space="preserve">Territory and </w:t>
            </w:r>
            <w:r w:rsidRPr="0025410D">
              <w:rPr>
                <w:rFonts w:cstheme="minorHAnsi"/>
                <w:sz w:val="16"/>
                <w:szCs w:val="16"/>
                <w:lang w:val="sr-Latn-RS"/>
              </w:rPr>
              <w:t xml:space="preserve">Water Council </w:t>
            </w:r>
            <w:r w:rsidR="00A75139">
              <w:rPr>
                <w:rFonts w:cstheme="minorHAnsi"/>
                <w:sz w:val="16"/>
                <w:szCs w:val="16"/>
                <w:lang w:val="sr-Latn-RS"/>
              </w:rPr>
              <w:t>-</w:t>
            </w:r>
            <w:r w:rsidRPr="0025410D">
              <w:rPr>
                <w:rFonts w:cstheme="minorHAnsi"/>
                <w:sz w:val="16"/>
                <w:szCs w:val="16"/>
                <w:lang w:val="sr-Latn-RS"/>
              </w:rPr>
              <w:t xml:space="preserve"> define national water policy; coordinate water management; oversee implementation of water legislation and planning instruments</w:t>
            </w:r>
          </w:p>
        </w:tc>
      </w:tr>
      <w:tr w:rsidR="004A0D87" w:rsidRPr="004A0D87" w14:paraId="1FA200B0" w14:textId="77777777" w:rsidTr="00B92E6D">
        <w:tc>
          <w:tcPr>
            <w:tcW w:w="4465" w:type="dxa"/>
            <w:vAlign w:val="center"/>
          </w:tcPr>
          <w:p w14:paraId="6C73E378" w14:textId="791131D0" w:rsidR="004A0D87" w:rsidRPr="00C16398" w:rsidRDefault="00C16398" w:rsidP="00C16398">
            <w:pPr>
              <w:jc w:val="both"/>
              <w:rPr>
                <w:rFonts w:cstheme="minorHAnsi"/>
                <w:sz w:val="16"/>
                <w:szCs w:val="16"/>
              </w:rPr>
            </w:pPr>
            <w:r w:rsidRPr="00C16398">
              <w:rPr>
                <w:rFonts w:cstheme="minorHAnsi"/>
                <w:sz w:val="16"/>
                <w:szCs w:val="16"/>
                <w:lang w:val="sr-Latn-RS"/>
              </w:rPr>
              <w:t xml:space="preserve">Water Administration (within the Ministry of Agriculture, Forestry and Water Management) </w:t>
            </w:r>
            <w:r w:rsidR="00A75139">
              <w:rPr>
                <w:rFonts w:cstheme="minorHAnsi"/>
                <w:sz w:val="16"/>
                <w:szCs w:val="16"/>
                <w:lang w:val="sr-Latn-RS"/>
              </w:rPr>
              <w:t>-</w:t>
            </w:r>
            <w:r w:rsidRPr="00C16398">
              <w:rPr>
                <w:rFonts w:cstheme="minorHAnsi"/>
                <w:sz w:val="16"/>
                <w:szCs w:val="16"/>
                <w:lang w:val="sr-Latn-RS"/>
              </w:rPr>
              <w:t xml:space="preserve"> responsible for water permitting procedures; in coordination with the Ministry of Health, grants approvals for the use of water supply sources based on approved technical documentation; supports implementation of groundwater protection measures</w:t>
            </w:r>
          </w:p>
        </w:tc>
        <w:tc>
          <w:tcPr>
            <w:tcW w:w="4466" w:type="dxa"/>
            <w:vAlign w:val="center"/>
          </w:tcPr>
          <w:p w14:paraId="34EA67EF" w14:textId="1D7D00B2" w:rsidR="004A0D87" w:rsidRPr="00C16398" w:rsidRDefault="00C16398" w:rsidP="00C16398">
            <w:pPr>
              <w:jc w:val="both"/>
              <w:rPr>
                <w:rFonts w:cstheme="minorHAnsi"/>
                <w:sz w:val="16"/>
                <w:szCs w:val="16"/>
              </w:rPr>
            </w:pPr>
            <w:r w:rsidRPr="00C16398">
              <w:rPr>
                <w:rFonts w:cstheme="minorHAnsi"/>
                <w:sz w:val="16"/>
                <w:szCs w:val="16"/>
                <w:lang w:val="sr-Latn-RS"/>
              </w:rPr>
              <w:t xml:space="preserve">Water Resources Management Agency (AMBU) </w:t>
            </w:r>
            <w:r w:rsidR="00A75139">
              <w:rPr>
                <w:rFonts w:cstheme="minorHAnsi"/>
                <w:sz w:val="16"/>
                <w:szCs w:val="16"/>
                <w:lang w:val="sr-Latn-RS"/>
              </w:rPr>
              <w:t>-</w:t>
            </w:r>
            <w:r w:rsidRPr="00C16398">
              <w:rPr>
                <w:rFonts w:cstheme="minorHAnsi"/>
                <w:sz w:val="16"/>
                <w:szCs w:val="16"/>
                <w:lang w:val="sr-Latn-RS"/>
              </w:rPr>
              <w:t xml:space="preserve"> responsible for water resources administration, permitting procedures, implementation of water policy and coordination at national level</w:t>
            </w:r>
          </w:p>
        </w:tc>
      </w:tr>
      <w:tr w:rsidR="004A0D87" w:rsidRPr="004A0D87" w14:paraId="64B3D52B" w14:textId="77777777" w:rsidTr="00B92E6D">
        <w:tc>
          <w:tcPr>
            <w:tcW w:w="4465" w:type="dxa"/>
            <w:vAlign w:val="center"/>
          </w:tcPr>
          <w:p w14:paraId="34E83FF7" w14:textId="0F23C9D9" w:rsidR="004A0D87" w:rsidRPr="00A75139" w:rsidRDefault="00C16398" w:rsidP="00A75139">
            <w:pPr>
              <w:jc w:val="both"/>
              <w:rPr>
                <w:rFonts w:cstheme="minorHAnsi"/>
                <w:sz w:val="16"/>
                <w:szCs w:val="16"/>
              </w:rPr>
            </w:pPr>
            <w:r w:rsidRPr="00A75139">
              <w:rPr>
                <w:rFonts w:cstheme="minorHAnsi"/>
                <w:sz w:val="16"/>
                <w:szCs w:val="16"/>
                <w:lang w:val="sr-Latn-RS"/>
              </w:rPr>
              <w:t xml:space="preserve">Institute of Hydrometeorology and Seismology (IHMS) </w:t>
            </w:r>
            <w:r w:rsidR="00A75139" w:rsidRPr="00A75139">
              <w:rPr>
                <w:rFonts w:cstheme="minorHAnsi"/>
                <w:sz w:val="16"/>
                <w:szCs w:val="16"/>
                <w:lang w:val="sr-Latn-RS"/>
              </w:rPr>
              <w:t>and Geological survey of Montenegro (GSM)</w:t>
            </w:r>
            <w:r w:rsidR="00A75139">
              <w:rPr>
                <w:rFonts w:cstheme="minorHAnsi"/>
                <w:sz w:val="16"/>
                <w:szCs w:val="16"/>
                <w:lang w:val="sr-Latn-RS"/>
              </w:rPr>
              <w:t xml:space="preserve"> -</w:t>
            </w:r>
            <w:r w:rsidRPr="00A75139">
              <w:rPr>
                <w:rFonts w:cstheme="minorHAnsi"/>
                <w:sz w:val="16"/>
                <w:szCs w:val="16"/>
                <w:lang w:val="sr-Latn-RS"/>
              </w:rPr>
              <w:t xml:space="preserve"> conducts groundwater monitoring; provides hydrological and hydrogeological data; supports assessment of water status</w:t>
            </w:r>
          </w:p>
        </w:tc>
        <w:tc>
          <w:tcPr>
            <w:tcW w:w="4466" w:type="dxa"/>
            <w:vAlign w:val="center"/>
          </w:tcPr>
          <w:p w14:paraId="4CEABF25" w14:textId="35E28659" w:rsidR="004A0D87" w:rsidRPr="00A75139" w:rsidRDefault="00A75139" w:rsidP="00A75139">
            <w:pPr>
              <w:jc w:val="both"/>
              <w:rPr>
                <w:rFonts w:cstheme="minorHAnsi"/>
                <w:sz w:val="16"/>
                <w:szCs w:val="16"/>
              </w:rPr>
            </w:pPr>
            <w:r w:rsidRPr="00A75139">
              <w:rPr>
                <w:rFonts w:cstheme="minorHAnsi"/>
                <w:sz w:val="16"/>
                <w:szCs w:val="16"/>
                <w:lang w:val="sr-Latn-RS"/>
              </w:rPr>
              <w:t>River Basin Directorates – implement water management at basin level; support monitoring activities and data collection; coordinate with national authorities</w:t>
            </w:r>
          </w:p>
        </w:tc>
      </w:tr>
      <w:tr w:rsidR="00B92E6D" w:rsidRPr="004A0D87" w14:paraId="0DC07CF3" w14:textId="77777777" w:rsidTr="00C82A32">
        <w:tc>
          <w:tcPr>
            <w:tcW w:w="4465" w:type="dxa"/>
            <w:vAlign w:val="center"/>
          </w:tcPr>
          <w:p w14:paraId="0EE11A9A" w14:textId="49ECDDB3" w:rsidR="00B92E6D" w:rsidRPr="00A75139" w:rsidRDefault="00A75139" w:rsidP="00A75139">
            <w:pPr>
              <w:jc w:val="both"/>
              <w:rPr>
                <w:rFonts w:cstheme="minorHAnsi"/>
                <w:sz w:val="16"/>
                <w:szCs w:val="16"/>
              </w:rPr>
            </w:pPr>
            <w:r w:rsidRPr="00A75139">
              <w:rPr>
                <w:rFonts w:cstheme="minorHAnsi"/>
                <w:sz w:val="16"/>
                <w:szCs w:val="16"/>
                <w:lang w:val="sr-Latn-RS"/>
              </w:rPr>
              <w:t xml:space="preserve">Environmental and water inspection services </w:t>
            </w:r>
            <w:r>
              <w:rPr>
                <w:rFonts w:cstheme="minorHAnsi"/>
                <w:sz w:val="16"/>
                <w:szCs w:val="16"/>
                <w:lang w:val="sr-Latn-RS"/>
              </w:rPr>
              <w:t>-</w:t>
            </w:r>
            <w:r w:rsidRPr="00A75139">
              <w:rPr>
                <w:rFonts w:cstheme="minorHAnsi"/>
                <w:sz w:val="16"/>
                <w:szCs w:val="16"/>
                <w:lang w:val="sr-Latn-RS"/>
              </w:rPr>
              <w:t xml:space="preserve"> supervise compliance with water-protection measures, SPZ restrictions, wastewater discharge conditions and land-use regulations</w:t>
            </w:r>
          </w:p>
        </w:tc>
        <w:tc>
          <w:tcPr>
            <w:tcW w:w="4466" w:type="dxa"/>
            <w:vAlign w:val="center"/>
          </w:tcPr>
          <w:p w14:paraId="6CC647E1" w14:textId="43D8B351" w:rsidR="00B92E6D" w:rsidRPr="00A75139" w:rsidRDefault="00A75139" w:rsidP="00A75139">
            <w:pPr>
              <w:jc w:val="both"/>
              <w:rPr>
                <w:rFonts w:cstheme="minorHAnsi"/>
                <w:sz w:val="16"/>
                <w:szCs w:val="16"/>
              </w:rPr>
            </w:pPr>
            <w:r w:rsidRPr="00A75139">
              <w:rPr>
                <w:rFonts w:cstheme="minorHAnsi"/>
                <w:sz w:val="16"/>
                <w:szCs w:val="16"/>
                <w:lang w:val="sr-Latn-RS"/>
              </w:rPr>
              <w:t xml:space="preserve">Environmental Inspectorate and sectoral inspectorates </w:t>
            </w:r>
            <w:r>
              <w:rPr>
                <w:rFonts w:cstheme="minorHAnsi"/>
                <w:sz w:val="16"/>
                <w:szCs w:val="16"/>
                <w:lang w:val="sr-Latn-RS"/>
              </w:rPr>
              <w:t>-</w:t>
            </w:r>
            <w:r w:rsidRPr="00A75139">
              <w:rPr>
                <w:rFonts w:cstheme="minorHAnsi"/>
                <w:sz w:val="16"/>
                <w:szCs w:val="16"/>
                <w:lang w:val="sr-Latn-RS"/>
              </w:rPr>
              <w:t xml:space="preserve"> enforce water and environmental regulations; supervise compliance with permits and protection measures</w:t>
            </w:r>
          </w:p>
        </w:tc>
      </w:tr>
      <w:tr w:rsidR="004A0D87" w:rsidRPr="004A0D87" w14:paraId="2ED72F23" w14:textId="77777777" w:rsidTr="00B92E6D">
        <w:tc>
          <w:tcPr>
            <w:tcW w:w="4465" w:type="dxa"/>
            <w:vAlign w:val="center"/>
          </w:tcPr>
          <w:p w14:paraId="337811B7" w14:textId="60194B95" w:rsidR="004A0D87" w:rsidRPr="00A75139" w:rsidRDefault="00A75139" w:rsidP="00A75139">
            <w:pPr>
              <w:jc w:val="both"/>
              <w:rPr>
                <w:rFonts w:cstheme="minorHAnsi"/>
                <w:sz w:val="16"/>
                <w:szCs w:val="16"/>
                <w:lang w:val="en-GB" w:eastAsia="en-GB"/>
              </w:rPr>
            </w:pPr>
            <w:r w:rsidRPr="00A75139">
              <w:rPr>
                <w:rFonts w:cstheme="minorHAnsi"/>
                <w:sz w:val="16"/>
                <w:szCs w:val="16"/>
                <w:lang w:val="sr-Latn-RS" w:eastAsia="en-GB"/>
              </w:rPr>
              <w:t xml:space="preserve">Public health institutions and accredited laboratories </w:t>
            </w:r>
            <w:r>
              <w:rPr>
                <w:rFonts w:cstheme="minorHAnsi"/>
                <w:sz w:val="16"/>
                <w:szCs w:val="16"/>
                <w:lang w:val="sr-Latn-RS" w:eastAsia="en-GB"/>
              </w:rPr>
              <w:t>-</w:t>
            </w:r>
            <w:r w:rsidRPr="00A75139">
              <w:rPr>
                <w:rFonts w:cstheme="minorHAnsi"/>
                <w:sz w:val="16"/>
                <w:szCs w:val="16"/>
                <w:lang w:val="sr-Latn-RS" w:eastAsia="en-GB"/>
              </w:rPr>
              <w:t xml:space="preserve"> monitor drinking-water quality at supply sources; provide analytical data for identifying risks and supporting SPZ management</w:t>
            </w:r>
          </w:p>
        </w:tc>
        <w:tc>
          <w:tcPr>
            <w:tcW w:w="4466" w:type="dxa"/>
            <w:vAlign w:val="center"/>
          </w:tcPr>
          <w:p w14:paraId="204C6BFB" w14:textId="747513DC" w:rsidR="004A0D87" w:rsidRPr="00A75139" w:rsidRDefault="00A75139" w:rsidP="00A75139">
            <w:pPr>
              <w:jc w:val="both"/>
              <w:rPr>
                <w:rFonts w:cstheme="minorHAnsi"/>
                <w:sz w:val="16"/>
                <w:szCs w:val="16"/>
                <w:lang w:val="en-GB" w:eastAsia="en-GB"/>
              </w:rPr>
            </w:pPr>
            <w:r w:rsidRPr="00A75139">
              <w:rPr>
                <w:rFonts w:cstheme="minorHAnsi"/>
                <w:sz w:val="16"/>
                <w:szCs w:val="16"/>
                <w:lang w:val="sr-Latn-RS" w:eastAsia="en-GB"/>
              </w:rPr>
              <w:t xml:space="preserve">Public health institutions and laboratories </w:t>
            </w:r>
            <w:r>
              <w:rPr>
                <w:rFonts w:cstheme="minorHAnsi"/>
                <w:sz w:val="16"/>
                <w:szCs w:val="16"/>
                <w:lang w:val="sr-Latn-RS" w:eastAsia="en-GB"/>
              </w:rPr>
              <w:t>-</w:t>
            </w:r>
            <w:r w:rsidRPr="00A75139">
              <w:rPr>
                <w:rFonts w:cstheme="minorHAnsi"/>
                <w:sz w:val="16"/>
                <w:szCs w:val="16"/>
                <w:lang w:val="sr-Latn-RS" w:eastAsia="en-GB"/>
              </w:rPr>
              <w:t xml:space="preserve"> monitor drinking-water quality; conduct analyses relevant for identifying risks to water supply</w:t>
            </w:r>
          </w:p>
        </w:tc>
      </w:tr>
      <w:tr w:rsidR="004A0D87" w:rsidRPr="004A0D87" w14:paraId="65695316" w14:textId="77777777" w:rsidTr="00B92E6D">
        <w:tc>
          <w:tcPr>
            <w:tcW w:w="4465" w:type="dxa"/>
            <w:vAlign w:val="center"/>
          </w:tcPr>
          <w:p w14:paraId="5322D854" w14:textId="5690C283" w:rsidR="004A0D87" w:rsidRPr="00A75139" w:rsidRDefault="00A75139" w:rsidP="00A75139">
            <w:pPr>
              <w:jc w:val="both"/>
              <w:rPr>
                <w:rFonts w:cstheme="minorHAnsi"/>
                <w:sz w:val="16"/>
                <w:szCs w:val="16"/>
                <w:lang w:val="en-GB" w:eastAsia="en-GB"/>
              </w:rPr>
            </w:pPr>
            <w:r w:rsidRPr="00A75139">
              <w:rPr>
                <w:rFonts w:cstheme="minorHAnsi"/>
                <w:sz w:val="16"/>
                <w:szCs w:val="16"/>
                <w:lang w:val="sr-Latn-RS" w:eastAsia="en-GB"/>
              </w:rPr>
              <w:t xml:space="preserve">Municipalities </w:t>
            </w:r>
            <w:r>
              <w:rPr>
                <w:rFonts w:cstheme="minorHAnsi"/>
                <w:sz w:val="16"/>
                <w:szCs w:val="16"/>
                <w:lang w:val="sr-Latn-RS" w:eastAsia="en-GB"/>
              </w:rPr>
              <w:t>-</w:t>
            </w:r>
            <w:r w:rsidRPr="00A75139">
              <w:rPr>
                <w:rFonts w:cstheme="minorHAnsi"/>
                <w:sz w:val="16"/>
                <w:szCs w:val="16"/>
                <w:lang w:val="sr-Latn-RS" w:eastAsia="en-GB"/>
              </w:rPr>
              <w:t xml:space="preserve"> integrate SPZs into spatial plans; manage local sanitation systems and utilities; implement land-use decisions; support enforcement through local administrative procedures</w:t>
            </w:r>
          </w:p>
        </w:tc>
        <w:tc>
          <w:tcPr>
            <w:tcW w:w="4466" w:type="dxa"/>
            <w:vAlign w:val="center"/>
          </w:tcPr>
          <w:p w14:paraId="7AD2007A" w14:textId="3E6679B6" w:rsidR="004A0D87" w:rsidRPr="00A75139" w:rsidRDefault="00A75139" w:rsidP="00A75139">
            <w:pPr>
              <w:jc w:val="both"/>
              <w:rPr>
                <w:rFonts w:cstheme="minorHAnsi"/>
                <w:sz w:val="16"/>
                <w:szCs w:val="16"/>
                <w:lang w:val="en-GB" w:eastAsia="en-GB"/>
              </w:rPr>
            </w:pPr>
            <w:r w:rsidRPr="00A75139">
              <w:rPr>
                <w:rFonts w:cstheme="minorHAnsi"/>
                <w:sz w:val="16"/>
                <w:szCs w:val="16"/>
                <w:lang w:val="sr-Latn-RS" w:eastAsia="en-GB"/>
              </w:rPr>
              <w:t xml:space="preserve">Municipalities </w:t>
            </w:r>
            <w:r>
              <w:rPr>
                <w:rFonts w:cstheme="minorHAnsi"/>
                <w:sz w:val="16"/>
                <w:szCs w:val="16"/>
                <w:lang w:val="sr-Latn-RS" w:eastAsia="en-GB"/>
              </w:rPr>
              <w:t>-</w:t>
            </w:r>
            <w:r w:rsidRPr="00A75139">
              <w:rPr>
                <w:rFonts w:cstheme="minorHAnsi"/>
                <w:sz w:val="16"/>
                <w:szCs w:val="16"/>
                <w:lang w:val="sr-Latn-RS" w:eastAsia="en-GB"/>
              </w:rPr>
              <w:t xml:space="preserve"> responsible for spatial planning, wastewater management and local services; integrate protection measures into planning where applicable</w:t>
            </w:r>
          </w:p>
        </w:tc>
      </w:tr>
      <w:tr w:rsidR="00A75139" w:rsidRPr="004A0D87" w14:paraId="6F545996" w14:textId="77777777" w:rsidTr="00B92E6D">
        <w:tc>
          <w:tcPr>
            <w:tcW w:w="4465" w:type="dxa"/>
            <w:vAlign w:val="center"/>
          </w:tcPr>
          <w:p w14:paraId="32E11EE2" w14:textId="080D7BF8" w:rsidR="00A75139" w:rsidRPr="00A75139" w:rsidRDefault="00A75139" w:rsidP="00A75139">
            <w:pPr>
              <w:jc w:val="both"/>
              <w:rPr>
                <w:rFonts w:cstheme="minorHAnsi"/>
                <w:sz w:val="16"/>
                <w:szCs w:val="16"/>
                <w:lang w:eastAsia="en-GB"/>
              </w:rPr>
            </w:pPr>
            <w:r w:rsidRPr="00A75139">
              <w:rPr>
                <w:rFonts w:cstheme="minorHAnsi"/>
                <w:sz w:val="16"/>
                <w:szCs w:val="16"/>
                <w:lang w:val="sr-Latn-RS" w:eastAsia="en-GB"/>
              </w:rPr>
              <w:t>Water utilities - operate public water-supply systems; implement operational protection measures at abstraction sites; monitor local conditions and report incidents</w:t>
            </w:r>
          </w:p>
        </w:tc>
        <w:tc>
          <w:tcPr>
            <w:tcW w:w="4466" w:type="dxa"/>
            <w:vAlign w:val="center"/>
          </w:tcPr>
          <w:p w14:paraId="016A8A9D" w14:textId="61362AD4" w:rsidR="00A75139" w:rsidRPr="00A75139" w:rsidRDefault="00A75139" w:rsidP="004A0D87">
            <w:pPr>
              <w:rPr>
                <w:rFonts w:cstheme="minorHAnsi"/>
                <w:sz w:val="16"/>
                <w:szCs w:val="16"/>
                <w:lang w:val="en-GB" w:eastAsia="en-GB"/>
              </w:rPr>
            </w:pPr>
            <w:r w:rsidRPr="00A75139">
              <w:rPr>
                <w:rFonts w:cstheme="minorHAnsi"/>
                <w:sz w:val="16"/>
                <w:szCs w:val="16"/>
                <w:lang w:val="sr-Latn-RS" w:eastAsia="en-GB"/>
              </w:rPr>
              <w:t xml:space="preserve">Water utilities </w:t>
            </w:r>
            <w:r>
              <w:rPr>
                <w:rFonts w:cstheme="minorHAnsi"/>
                <w:sz w:val="16"/>
                <w:szCs w:val="16"/>
                <w:lang w:val="sr-Latn-RS" w:eastAsia="en-GB"/>
              </w:rPr>
              <w:t>-</w:t>
            </w:r>
            <w:r w:rsidRPr="00A75139">
              <w:rPr>
                <w:rFonts w:cstheme="minorHAnsi"/>
                <w:sz w:val="16"/>
                <w:szCs w:val="16"/>
                <w:lang w:val="sr-Latn-RS" w:eastAsia="en-GB"/>
              </w:rPr>
              <w:t xml:space="preserve"> manage water supply systems; perform operational monitoring; report incidents and support implementation of protection measures</w:t>
            </w:r>
          </w:p>
        </w:tc>
      </w:tr>
    </w:tbl>
    <w:p w14:paraId="529CD6F5" w14:textId="77777777" w:rsidR="00CD78CD" w:rsidRDefault="00CD78CD" w:rsidP="00336FA1">
      <w:pPr>
        <w:pStyle w:val="NoSpacing"/>
      </w:pPr>
    </w:p>
    <w:p w14:paraId="285A4A06" w14:textId="77777777" w:rsidR="00CD78CD" w:rsidRDefault="00CD78CD" w:rsidP="00336FA1">
      <w:pPr>
        <w:pStyle w:val="NoSpacing"/>
      </w:pPr>
    </w:p>
    <w:p w14:paraId="0EA4539A" w14:textId="57B2A4B9" w:rsidR="002B4026" w:rsidRPr="00336FA1" w:rsidRDefault="002B4026" w:rsidP="00F251C6">
      <w:pPr>
        <w:pStyle w:val="Heading1"/>
        <w:rPr>
          <w:lang w:val="en-GB"/>
        </w:rPr>
      </w:pPr>
      <w:bookmarkStart w:id="20" w:name="_Toc225418430"/>
      <w:r w:rsidRPr="00336FA1">
        <w:rPr>
          <w:lang w:val="en-GB"/>
        </w:rPr>
        <w:t xml:space="preserve">7 </w:t>
      </w:r>
      <w:r w:rsidR="0035658C" w:rsidRPr="00336FA1">
        <w:rPr>
          <w:lang w:val="en-GB"/>
        </w:rPr>
        <w:t>Joint criteria and methodologies for managing sanitary protection zones</w:t>
      </w:r>
      <w:bookmarkEnd w:id="20"/>
    </w:p>
    <w:p w14:paraId="23C7D354" w14:textId="77777777" w:rsidR="00903EAC" w:rsidRPr="00903EAC" w:rsidRDefault="00903EAC" w:rsidP="00903EAC">
      <w:pPr>
        <w:jc w:val="both"/>
        <w:rPr>
          <w:rFonts w:cstheme="minorHAnsi"/>
          <w:lang w:val="en-US"/>
        </w:rPr>
      </w:pPr>
      <w:r w:rsidRPr="00903EAC">
        <w:rPr>
          <w:rFonts w:cstheme="minorHAnsi"/>
          <w:lang w:val="en-US"/>
        </w:rPr>
        <w:t xml:space="preserve">The development of joint criteria and methodologies for sanitary protection zones (SPZs) in the transboundary </w:t>
      </w:r>
      <w:proofErr w:type="spellStart"/>
      <w:r w:rsidRPr="00903EAC">
        <w:rPr>
          <w:rFonts w:cstheme="minorHAnsi"/>
          <w:lang w:val="en-US"/>
        </w:rPr>
        <w:t>Cemi</w:t>
      </w:r>
      <w:proofErr w:type="spellEnd"/>
      <w:r w:rsidRPr="00903EAC">
        <w:rPr>
          <w:rFonts w:cstheme="minorHAnsi"/>
          <w:lang w:val="en-US"/>
        </w:rPr>
        <w:t>/</w:t>
      </w:r>
      <w:proofErr w:type="spellStart"/>
      <w:r w:rsidRPr="00903EAC">
        <w:rPr>
          <w:rFonts w:cstheme="minorHAnsi"/>
          <w:lang w:val="en-US"/>
        </w:rPr>
        <w:t>Cijevna</w:t>
      </w:r>
      <w:proofErr w:type="spellEnd"/>
      <w:r w:rsidRPr="00903EAC">
        <w:rPr>
          <w:rFonts w:cstheme="minorHAnsi"/>
          <w:lang w:val="en-US"/>
        </w:rPr>
        <w:t xml:space="preserve"> karst aquifer aims to improve consistency in groundwater protection between Montenegro and Albania, while remaining fully compatible with existing national legislation.</w:t>
      </w:r>
    </w:p>
    <w:p w14:paraId="4402FE07" w14:textId="77777777" w:rsidR="00903EAC" w:rsidRPr="00903EAC" w:rsidRDefault="00903EAC" w:rsidP="00903EAC">
      <w:pPr>
        <w:jc w:val="both"/>
        <w:rPr>
          <w:rFonts w:cstheme="minorHAnsi"/>
          <w:lang w:val="en-US"/>
        </w:rPr>
      </w:pPr>
      <w:r w:rsidRPr="00903EAC">
        <w:rPr>
          <w:rFonts w:cstheme="minorHAnsi"/>
          <w:lang w:val="en-US"/>
        </w:rPr>
        <w:t xml:space="preserve">The intrinsic characteristics of karst systems, as documented in the BGGDA and JAP for the </w:t>
      </w:r>
      <w:proofErr w:type="spellStart"/>
      <w:r w:rsidRPr="00903EAC">
        <w:rPr>
          <w:rFonts w:cstheme="minorHAnsi"/>
          <w:lang w:val="en-US"/>
        </w:rPr>
        <w:t>Cemi</w:t>
      </w:r>
      <w:proofErr w:type="spellEnd"/>
      <w:r w:rsidRPr="00903EAC">
        <w:rPr>
          <w:rFonts w:cstheme="minorHAnsi"/>
          <w:lang w:val="en-US"/>
        </w:rPr>
        <w:t>/</w:t>
      </w:r>
      <w:proofErr w:type="spellStart"/>
      <w:r w:rsidRPr="00903EAC">
        <w:rPr>
          <w:rFonts w:cstheme="minorHAnsi"/>
          <w:lang w:val="en-US"/>
        </w:rPr>
        <w:t>Cijevna</w:t>
      </w:r>
      <w:proofErr w:type="spellEnd"/>
      <w:r w:rsidRPr="00903EAC">
        <w:rPr>
          <w:rFonts w:cstheme="minorHAnsi"/>
          <w:lang w:val="en-US"/>
        </w:rPr>
        <w:t xml:space="preserve"> TBA, result in high vulnerability, rapid groundwater flow and strong hydraulic connectivity across the state border. These features make coordinated operational approaches essential for safeguarding drinking-water sources, reducing contamination risks and improving the effectiveness of protection measures.</w:t>
      </w:r>
    </w:p>
    <w:p w14:paraId="41D83B71" w14:textId="77777777" w:rsidR="00903EAC" w:rsidRPr="00903EAC" w:rsidRDefault="00903EAC" w:rsidP="00903EAC">
      <w:pPr>
        <w:jc w:val="both"/>
        <w:rPr>
          <w:rFonts w:cstheme="minorHAnsi"/>
          <w:lang w:val="en-US"/>
        </w:rPr>
      </w:pPr>
      <w:r w:rsidRPr="00903EAC">
        <w:rPr>
          <w:rFonts w:cstheme="minorHAnsi"/>
          <w:lang w:val="en-US"/>
        </w:rPr>
        <w:t>The approaches presented in this chapter do not modify legal obligations or national SPZ delineation procedures. Instead, they provide a shared set of technical principles, tools and operational practices that can support coordinated implementation, improve decision-making and strengthen institutional cooperation across the Montenegro–Albania border.</w:t>
      </w:r>
    </w:p>
    <w:p w14:paraId="28E0BC86" w14:textId="77777777" w:rsidR="00F251C6" w:rsidRDefault="00F251C6" w:rsidP="00F251C6">
      <w:pPr>
        <w:jc w:val="both"/>
        <w:rPr>
          <w:rFonts w:cstheme="minorHAnsi"/>
          <w:lang w:val="en-GB"/>
        </w:rPr>
      </w:pPr>
    </w:p>
    <w:p w14:paraId="50AD2E3B" w14:textId="486C970B" w:rsidR="00F251C6" w:rsidRPr="00F251C6" w:rsidRDefault="00F251C6" w:rsidP="00F251C6">
      <w:pPr>
        <w:pStyle w:val="Heading2"/>
        <w:rPr>
          <w:lang w:val="en-GB"/>
        </w:rPr>
      </w:pPr>
      <w:bookmarkStart w:id="21" w:name="_Toc225418431"/>
      <w:r w:rsidRPr="00F251C6">
        <w:rPr>
          <w:lang w:val="en-GB"/>
        </w:rPr>
        <w:t>7.1 Shared principles for assessing recharge areas and groundwater vulnerability</w:t>
      </w:r>
      <w:bookmarkEnd w:id="21"/>
    </w:p>
    <w:p w14:paraId="1DBC27D4" w14:textId="77777777" w:rsidR="00820448" w:rsidRPr="00820448" w:rsidRDefault="00820448" w:rsidP="00820448">
      <w:pPr>
        <w:jc w:val="both"/>
        <w:rPr>
          <w:rFonts w:cstheme="minorHAnsi"/>
          <w:lang w:val="en-US"/>
        </w:rPr>
      </w:pPr>
      <w:r w:rsidRPr="00820448">
        <w:rPr>
          <w:rFonts w:cstheme="minorHAnsi"/>
          <w:lang w:val="en-US"/>
        </w:rPr>
        <w:t xml:space="preserve">Karst aquifers function as highly dynamic systems in which groundwater recharge, storage and flow are controlled by geological structure, degree of karstification and the distribution of karst features such as ponors, sinkholes and losing streams. In the </w:t>
      </w:r>
      <w:proofErr w:type="spellStart"/>
      <w:r w:rsidRPr="00820448">
        <w:rPr>
          <w:rFonts w:cstheme="minorHAnsi"/>
          <w:lang w:val="en-US"/>
        </w:rPr>
        <w:t>Cemi</w:t>
      </w:r>
      <w:proofErr w:type="spellEnd"/>
      <w:r w:rsidRPr="00820448">
        <w:rPr>
          <w:rFonts w:cstheme="minorHAnsi"/>
          <w:lang w:val="en-US"/>
        </w:rPr>
        <w:t>/</w:t>
      </w:r>
      <w:proofErr w:type="spellStart"/>
      <w:r w:rsidRPr="00820448">
        <w:rPr>
          <w:rFonts w:cstheme="minorHAnsi"/>
          <w:lang w:val="en-US"/>
        </w:rPr>
        <w:t>Cijevna</w:t>
      </w:r>
      <w:proofErr w:type="spellEnd"/>
      <w:r w:rsidRPr="00820448">
        <w:rPr>
          <w:rFonts w:cstheme="minorHAnsi"/>
          <w:lang w:val="en-US"/>
        </w:rPr>
        <w:t xml:space="preserve"> system, recharge areas located </w:t>
      </w:r>
      <w:r w:rsidRPr="00820448">
        <w:rPr>
          <w:rFonts w:cstheme="minorHAnsi"/>
          <w:lang w:val="en-US"/>
        </w:rPr>
        <w:lastRenderedPageBreak/>
        <w:t>predominantly in Albania are hydraulically connected with discharge zones in Montenegro, particularly within the Zeta Plain aquifer.</w:t>
      </w:r>
    </w:p>
    <w:p w14:paraId="5650A30A" w14:textId="77777777" w:rsidR="00820448" w:rsidRPr="00820448" w:rsidRDefault="00820448" w:rsidP="00820448">
      <w:pPr>
        <w:jc w:val="both"/>
        <w:rPr>
          <w:rFonts w:cstheme="minorHAnsi"/>
          <w:lang w:val="en-US"/>
        </w:rPr>
      </w:pPr>
      <w:r w:rsidRPr="00820448">
        <w:rPr>
          <w:rFonts w:cstheme="minorHAnsi"/>
          <w:lang w:val="en-US"/>
        </w:rPr>
        <w:t>This configuration means that land use, sanitation conditions and infrastructure in recharge areas can directly affect groundwater quality across the border. Hydrogeological investigations, including tracer tests and field studies, confirm the existence of rapid and extensive underground flow connections, which cannot be interpreted solely based on surface catchments.</w:t>
      </w:r>
    </w:p>
    <w:p w14:paraId="6E8BAB38" w14:textId="77777777" w:rsidR="00820448" w:rsidRPr="00820448" w:rsidRDefault="00820448" w:rsidP="00820448">
      <w:pPr>
        <w:jc w:val="both"/>
        <w:rPr>
          <w:rFonts w:cstheme="minorHAnsi"/>
          <w:lang w:val="en-US"/>
        </w:rPr>
      </w:pPr>
      <w:r w:rsidRPr="00820448">
        <w:rPr>
          <w:rFonts w:cstheme="minorHAnsi"/>
          <w:lang w:val="en-US"/>
        </w:rPr>
        <w:t>Because of these characteristics, a shared approach to recharge-area assessment should include:</w:t>
      </w:r>
    </w:p>
    <w:p w14:paraId="7F347575" w14:textId="77777777" w:rsidR="00820448" w:rsidRPr="00820448" w:rsidRDefault="00820448" w:rsidP="00FB21D5">
      <w:pPr>
        <w:numPr>
          <w:ilvl w:val="0"/>
          <w:numId w:val="24"/>
        </w:numPr>
        <w:spacing w:after="0"/>
        <w:jc w:val="both"/>
        <w:rPr>
          <w:rFonts w:cstheme="minorHAnsi"/>
          <w:lang w:val="en-US"/>
        </w:rPr>
      </w:pPr>
      <w:r w:rsidRPr="00820448">
        <w:rPr>
          <w:rFonts w:cstheme="minorHAnsi"/>
          <w:lang w:val="en-US"/>
        </w:rPr>
        <w:t xml:space="preserve">integrated geological and structural mapping, including carbonate formations, fault systems and </w:t>
      </w:r>
      <w:proofErr w:type="spellStart"/>
      <w:r w:rsidRPr="00820448">
        <w:rPr>
          <w:rFonts w:cstheme="minorHAnsi"/>
          <w:lang w:val="en-US"/>
        </w:rPr>
        <w:t>karstified</w:t>
      </w:r>
      <w:proofErr w:type="spellEnd"/>
      <w:r w:rsidRPr="00820448">
        <w:rPr>
          <w:rFonts w:cstheme="minorHAnsi"/>
          <w:lang w:val="en-US"/>
        </w:rPr>
        <w:t xml:space="preserve"> zones; </w:t>
      </w:r>
    </w:p>
    <w:p w14:paraId="1A8AFBEC" w14:textId="77777777" w:rsidR="00820448" w:rsidRPr="00820448" w:rsidRDefault="00820448" w:rsidP="00FB21D5">
      <w:pPr>
        <w:numPr>
          <w:ilvl w:val="0"/>
          <w:numId w:val="24"/>
        </w:numPr>
        <w:spacing w:after="0"/>
        <w:jc w:val="both"/>
        <w:rPr>
          <w:rFonts w:cstheme="minorHAnsi"/>
          <w:lang w:val="en-US"/>
        </w:rPr>
      </w:pPr>
      <w:r w:rsidRPr="00820448">
        <w:rPr>
          <w:rFonts w:cstheme="minorHAnsi"/>
          <w:lang w:val="en-US"/>
        </w:rPr>
        <w:t xml:space="preserve">tracer tests to confirm flow directions, travel times and cross-border connections; </w:t>
      </w:r>
    </w:p>
    <w:p w14:paraId="60EF4E4C" w14:textId="77777777" w:rsidR="00820448" w:rsidRPr="00820448" w:rsidRDefault="00820448" w:rsidP="00FB21D5">
      <w:pPr>
        <w:numPr>
          <w:ilvl w:val="0"/>
          <w:numId w:val="24"/>
        </w:numPr>
        <w:spacing w:after="0"/>
        <w:jc w:val="both"/>
        <w:rPr>
          <w:rFonts w:cstheme="minorHAnsi"/>
          <w:lang w:val="en-US"/>
        </w:rPr>
      </w:pPr>
      <w:r w:rsidRPr="00820448">
        <w:rPr>
          <w:rFonts w:cstheme="minorHAnsi"/>
          <w:lang w:val="en-US"/>
        </w:rPr>
        <w:t xml:space="preserve">isotope analyses to support identification of recharge sources and seasonal dynamics; </w:t>
      </w:r>
    </w:p>
    <w:p w14:paraId="579B90FA" w14:textId="77777777" w:rsidR="00820448" w:rsidRPr="00820448" w:rsidRDefault="00820448" w:rsidP="00FB21D5">
      <w:pPr>
        <w:numPr>
          <w:ilvl w:val="0"/>
          <w:numId w:val="24"/>
        </w:numPr>
        <w:spacing w:after="0"/>
        <w:jc w:val="both"/>
        <w:rPr>
          <w:rFonts w:cstheme="minorHAnsi"/>
          <w:lang w:val="en-US"/>
        </w:rPr>
      </w:pPr>
      <w:r w:rsidRPr="00820448">
        <w:rPr>
          <w:rFonts w:cstheme="minorHAnsi"/>
          <w:lang w:val="en-US"/>
        </w:rPr>
        <w:t xml:space="preserve">simultaneous multi-spring survey campaigns to capture system </w:t>
      </w:r>
      <w:proofErr w:type="spellStart"/>
      <w:r w:rsidRPr="00820448">
        <w:rPr>
          <w:rFonts w:cstheme="minorHAnsi"/>
          <w:lang w:val="en-US"/>
        </w:rPr>
        <w:t>behaviour</w:t>
      </w:r>
      <w:proofErr w:type="spellEnd"/>
      <w:r w:rsidRPr="00820448">
        <w:rPr>
          <w:rFonts w:cstheme="minorHAnsi"/>
          <w:lang w:val="en-US"/>
        </w:rPr>
        <w:t xml:space="preserve"> under comparable conditions; </w:t>
      </w:r>
    </w:p>
    <w:p w14:paraId="061598B9" w14:textId="77777777" w:rsidR="00820448" w:rsidRPr="00820448" w:rsidRDefault="00820448" w:rsidP="00FB21D5">
      <w:pPr>
        <w:numPr>
          <w:ilvl w:val="0"/>
          <w:numId w:val="24"/>
        </w:numPr>
        <w:spacing w:after="0"/>
        <w:jc w:val="both"/>
        <w:rPr>
          <w:rFonts w:cstheme="minorHAnsi"/>
          <w:lang w:val="en-US"/>
        </w:rPr>
      </w:pPr>
      <w:r w:rsidRPr="00820448">
        <w:rPr>
          <w:rFonts w:cstheme="minorHAnsi"/>
          <w:lang w:val="en-US"/>
        </w:rPr>
        <w:t xml:space="preserve">long-term monitoring of selected springs to track variability and detect event-driven contamination. </w:t>
      </w:r>
    </w:p>
    <w:p w14:paraId="059092C7" w14:textId="77777777" w:rsidR="00820448" w:rsidRPr="00820448" w:rsidRDefault="00820448" w:rsidP="00820448">
      <w:pPr>
        <w:jc w:val="both"/>
        <w:rPr>
          <w:rFonts w:cstheme="minorHAnsi"/>
          <w:lang w:val="en-US"/>
        </w:rPr>
      </w:pPr>
      <w:r w:rsidRPr="00820448">
        <w:rPr>
          <w:rFonts w:cstheme="minorHAnsi"/>
          <w:lang w:val="en-US"/>
        </w:rPr>
        <w:t>These elements support the development of consistent conceptual models of the aquifer system on both sides of the border, which is particularly important in settings where groundwater responses to precipitation can occur within very short timeframes.</w:t>
      </w:r>
    </w:p>
    <w:p w14:paraId="029CC45F" w14:textId="647E769D" w:rsidR="00F251C6" w:rsidRPr="00F251C6" w:rsidRDefault="00F251C6" w:rsidP="00F251C6">
      <w:pPr>
        <w:jc w:val="both"/>
        <w:rPr>
          <w:rFonts w:cstheme="minorHAnsi"/>
          <w:lang w:val="en-GB"/>
        </w:rPr>
      </w:pPr>
    </w:p>
    <w:p w14:paraId="53261800" w14:textId="6EA440B4" w:rsidR="00F251C6" w:rsidRPr="006C3CFF" w:rsidRDefault="006C3CFF" w:rsidP="006C3CFF">
      <w:pPr>
        <w:pStyle w:val="Heading3"/>
        <w:rPr>
          <w:lang w:val="en-GB"/>
        </w:rPr>
      </w:pPr>
      <w:bookmarkStart w:id="22" w:name="_Toc225418432"/>
      <w:r w:rsidRPr="006C3CFF">
        <w:rPr>
          <w:lang w:val="en-GB"/>
        </w:rPr>
        <w:t xml:space="preserve">7.1.1 </w:t>
      </w:r>
      <w:r w:rsidR="00F251C6" w:rsidRPr="006C3CFF">
        <w:rPr>
          <w:lang w:val="en-GB"/>
        </w:rPr>
        <w:t>Groundwater vulnerability mapping</w:t>
      </w:r>
      <w:bookmarkEnd w:id="22"/>
      <w:r w:rsidR="00F251C6" w:rsidRPr="006C3CFF">
        <w:rPr>
          <w:lang w:val="en-GB"/>
        </w:rPr>
        <w:t xml:space="preserve"> </w:t>
      </w:r>
    </w:p>
    <w:p w14:paraId="74A3B490" w14:textId="77777777" w:rsidR="00820448" w:rsidRPr="00820448" w:rsidRDefault="00820448" w:rsidP="00820448">
      <w:pPr>
        <w:jc w:val="both"/>
        <w:rPr>
          <w:rFonts w:cstheme="minorHAnsi"/>
          <w:lang w:val="en-US"/>
        </w:rPr>
      </w:pPr>
      <w:r w:rsidRPr="00820448">
        <w:rPr>
          <w:rFonts w:cstheme="minorHAnsi"/>
          <w:lang w:val="en-US"/>
        </w:rPr>
        <w:t>Groundwater vulnerability assessment provides a structured and scientifically grounded basis for identifying sensitive and high-risk areas within sanitary protection zone (SPZ) systems. In karst aquifers, where infiltration is rapid, natural protective layers may be thin or bypassed and flow paths often concentrate into conduits, vulnerability mapping becomes an essential instrument for anticipating where contaminants can reach drinking-water sources most quickly and with limited attenuation.</w:t>
      </w:r>
    </w:p>
    <w:p w14:paraId="4752F332" w14:textId="77777777" w:rsidR="00820448" w:rsidRPr="00820448" w:rsidRDefault="00820448" w:rsidP="00820448">
      <w:pPr>
        <w:jc w:val="both"/>
        <w:rPr>
          <w:rFonts w:cstheme="minorHAnsi"/>
          <w:lang w:val="en-US"/>
        </w:rPr>
      </w:pPr>
      <w:r w:rsidRPr="00820448">
        <w:rPr>
          <w:rFonts w:cstheme="minorHAnsi"/>
          <w:lang w:val="en-US"/>
        </w:rPr>
        <w:t>The conceptual foundation for such mapping is commonly built around an origin–pathway–target framework. Under this approach, vulnerability is determined by the properties that influence (</w:t>
      </w:r>
      <w:proofErr w:type="spellStart"/>
      <w:r w:rsidRPr="00820448">
        <w:rPr>
          <w:rFonts w:cstheme="minorHAnsi"/>
          <w:lang w:val="en-US"/>
        </w:rPr>
        <w:t>i</w:t>
      </w:r>
      <w:proofErr w:type="spellEnd"/>
      <w:r w:rsidRPr="00820448">
        <w:rPr>
          <w:rFonts w:cstheme="minorHAnsi"/>
          <w:lang w:val="en-US"/>
        </w:rPr>
        <w:t>) how fast contaminants travel from the land surface to a spring or well, (ii) the degree of natural attenuation they experience along the way, and (iii) the fraction of contaminants that can effectively enter the groundwater system. Four groups of factors typically guide this evaluation (Zwahlen, 2004):</w:t>
      </w:r>
    </w:p>
    <w:p w14:paraId="54489ACE" w14:textId="77777777" w:rsidR="00820448" w:rsidRPr="00820448" w:rsidRDefault="00820448" w:rsidP="00FB21D5">
      <w:pPr>
        <w:numPr>
          <w:ilvl w:val="0"/>
          <w:numId w:val="25"/>
        </w:numPr>
        <w:spacing w:after="0"/>
        <w:jc w:val="both"/>
        <w:rPr>
          <w:rFonts w:cstheme="minorHAnsi"/>
          <w:lang w:val="en-US"/>
        </w:rPr>
      </w:pPr>
      <w:r w:rsidRPr="00820448">
        <w:rPr>
          <w:rFonts w:cstheme="minorHAnsi"/>
          <w:b/>
          <w:bCs/>
          <w:lang w:val="en-US"/>
        </w:rPr>
        <w:t>Overlying layers (O)</w:t>
      </w:r>
      <w:r w:rsidRPr="00820448">
        <w:rPr>
          <w:rFonts w:cstheme="minorHAnsi"/>
          <w:lang w:val="en-US"/>
        </w:rPr>
        <w:t xml:space="preserve">: thickness and protective function of soils, subsoils and unsaturated bedrock; </w:t>
      </w:r>
    </w:p>
    <w:p w14:paraId="0067C248" w14:textId="77777777" w:rsidR="00820448" w:rsidRPr="00820448" w:rsidRDefault="00820448" w:rsidP="00FB21D5">
      <w:pPr>
        <w:numPr>
          <w:ilvl w:val="0"/>
          <w:numId w:val="25"/>
        </w:numPr>
        <w:spacing w:after="0"/>
        <w:jc w:val="both"/>
        <w:rPr>
          <w:rFonts w:cstheme="minorHAnsi"/>
          <w:lang w:val="en-US"/>
        </w:rPr>
      </w:pPr>
      <w:r w:rsidRPr="00820448">
        <w:rPr>
          <w:rFonts w:cstheme="minorHAnsi"/>
          <w:b/>
          <w:bCs/>
          <w:lang w:val="en-US"/>
        </w:rPr>
        <w:t>Concentration of flow (C)</w:t>
      </w:r>
      <w:r w:rsidRPr="00820448">
        <w:rPr>
          <w:rFonts w:cstheme="minorHAnsi"/>
          <w:lang w:val="en-US"/>
        </w:rPr>
        <w:t xml:space="preserve">: tendency of infiltration to bypass protective layers through swallow holes, sinking streams or other focused recharge features; </w:t>
      </w:r>
    </w:p>
    <w:p w14:paraId="2794F7C9" w14:textId="77777777" w:rsidR="00820448" w:rsidRPr="00820448" w:rsidRDefault="00820448" w:rsidP="00FB21D5">
      <w:pPr>
        <w:numPr>
          <w:ilvl w:val="0"/>
          <w:numId w:val="25"/>
        </w:numPr>
        <w:spacing w:after="0"/>
        <w:jc w:val="both"/>
        <w:rPr>
          <w:rFonts w:cstheme="minorHAnsi"/>
          <w:lang w:val="en-US"/>
        </w:rPr>
      </w:pPr>
      <w:r w:rsidRPr="00820448">
        <w:rPr>
          <w:rFonts w:cstheme="minorHAnsi"/>
          <w:b/>
          <w:bCs/>
          <w:lang w:val="en-US"/>
        </w:rPr>
        <w:t>Precipitation regime (P)</w:t>
      </w:r>
      <w:r w:rsidRPr="00820448">
        <w:rPr>
          <w:rFonts w:cstheme="minorHAnsi"/>
          <w:lang w:val="en-US"/>
        </w:rPr>
        <w:t xml:space="preserve">: intensity and temporal distribution of rainfall events that drive recharge and contaminant </w:t>
      </w:r>
      <w:proofErr w:type="spellStart"/>
      <w:r w:rsidRPr="00820448">
        <w:rPr>
          <w:rFonts w:cstheme="minorHAnsi"/>
          <w:lang w:val="en-US"/>
        </w:rPr>
        <w:t>mobilisation</w:t>
      </w:r>
      <w:proofErr w:type="spellEnd"/>
      <w:r w:rsidRPr="00820448">
        <w:rPr>
          <w:rFonts w:cstheme="minorHAnsi"/>
          <w:lang w:val="en-US"/>
        </w:rPr>
        <w:t xml:space="preserve">; </w:t>
      </w:r>
    </w:p>
    <w:p w14:paraId="18F29345" w14:textId="77777777" w:rsidR="00820448" w:rsidRPr="00820448" w:rsidRDefault="00820448" w:rsidP="00FB21D5">
      <w:pPr>
        <w:numPr>
          <w:ilvl w:val="0"/>
          <w:numId w:val="25"/>
        </w:numPr>
        <w:spacing w:after="0"/>
        <w:jc w:val="both"/>
        <w:rPr>
          <w:rFonts w:cstheme="minorHAnsi"/>
          <w:lang w:val="en-US"/>
        </w:rPr>
      </w:pPr>
      <w:r w:rsidRPr="00820448">
        <w:rPr>
          <w:rFonts w:cstheme="minorHAnsi"/>
          <w:b/>
          <w:bCs/>
          <w:lang w:val="en-US"/>
        </w:rPr>
        <w:t>Karst network development (K)</w:t>
      </w:r>
      <w:r w:rsidRPr="00820448">
        <w:rPr>
          <w:rFonts w:cstheme="minorHAnsi"/>
          <w:lang w:val="en-US"/>
        </w:rPr>
        <w:t xml:space="preserve">: extent of conduits, fractures and drainage pathways that accelerate groundwater transport. </w:t>
      </w:r>
    </w:p>
    <w:p w14:paraId="2D08773D" w14:textId="73620313" w:rsidR="00820448" w:rsidRDefault="00820448" w:rsidP="00820448">
      <w:pPr>
        <w:jc w:val="both"/>
        <w:rPr>
          <w:rFonts w:cstheme="minorHAnsi"/>
          <w:lang w:val="en-US"/>
        </w:rPr>
      </w:pPr>
      <w:r w:rsidRPr="00820448">
        <w:rPr>
          <w:rFonts w:cstheme="minorHAnsi"/>
          <w:lang w:val="en-US"/>
        </w:rPr>
        <w:t>These factors collectively underpin intrinsic vulnerability assessments that help determine where strict SPZ management measures are most needed, where enhanced monitoring should be concentrated and where land</w:t>
      </w:r>
      <w:r w:rsidRPr="00820448">
        <w:rPr>
          <w:rFonts w:ascii="Cambria Math" w:hAnsi="Cambria Math" w:cs="Cambria Math"/>
          <w:lang w:val="en-US"/>
        </w:rPr>
        <w:t>‑</w:t>
      </w:r>
      <w:r w:rsidRPr="00820448">
        <w:rPr>
          <w:rFonts w:cstheme="minorHAnsi"/>
          <w:lang w:val="en-US"/>
        </w:rPr>
        <w:t xml:space="preserve">use constraints should be </w:t>
      </w:r>
      <w:proofErr w:type="spellStart"/>
      <w:r w:rsidRPr="00820448">
        <w:rPr>
          <w:rFonts w:cstheme="minorHAnsi"/>
          <w:lang w:val="en-US"/>
        </w:rPr>
        <w:t>prioritised</w:t>
      </w:r>
      <w:proofErr w:type="spellEnd"/>
      <w:r w:rsidRPr="00820448">
        <w:rPr>
          <w:rFonts w:cstheme="minorHAnsi"/>
          <w:lang w:val="en-US"/>
        </w:rPr>
        <w:t xml:space="preserve">. Vulnerability mapping is inherently flexible, and various methods can be used depending on data availability, but the </w:t>
      </w:r>
      <w:r w:rsidRPr="00820448">
        <w:rPr>
          <w:rFonts w:cstheme="minorHAnsi"/>
          <w:lang w:val="en-US"/>
        </w:rPr>
        <w:lastRenderedPageBreak/>
        <w:t>conceptual coherence and understanding of the common approach ensures comparability across different territories.</w:t>
      </w:r>
    </w:p>
    <w:p w14:paraId="121CEC23" w14:textId="77777777" w:rsidR="00FB21D5" w:rsidRPr="00820448" w:rsidRDefault="00FB21D5" w:rsidP="00820448">
      <w:pPr>
        <w:jc w:val="both"/>
        <w:rPr>
          <w:rFonts w:cstheme="minorHAnsi"/>
          <w:lang w:val="en-US"/>
        </w:rPr>
      </w:pPr>
    </w:p>
    <w:p w14:paraId="1238825C" w14:textId="3E86E894" w:rsidR="009827C4" w:rsidRDefault="009827C4" w:rsidP="009827C4">
      <w:pPr>
        <w:pStyle w:val="Heading3"/>
        <w:rPr>
          <w:lang w:val="en-GB"/>
        </w:rPr>
      </w:pPr>
      <w:bookmarkStart w:id="23" w:name="_Toc225418433"/>
      <w:r w:rsidRPr="00B26173">
        <w:rPr>
          <w:lang w:val="en-GB"/>
        </w:rPr>
        <w:t>7.1.2 Guidance for using vulnerability mapping as a harmonising tool between countries</w:t>
      </w:r>
      <w:bookmarkEnd w:id="23"/>
      <w:r w:rsidRPr="00B26173">
        <w:rPr>
          <w:lang w:val="en-GB"/>
        </w:rPr>
        <w:t xml:space="preserve"> </w:t>
      </w:r>
    </w:p>
    <w:p w14:paraId="58955167" w14:textId="1C3F7043" w:rsidR="00820448" w:rsidRPr="00820448" w:rsidRDefault="00820448" w:rsidP="00820448">
      <w:pPr>
        <w:jc w:val="both"/>
        <w:rPr>
          <w:lang w:val="en-GB"/>
        </w:rPr>
      </w:pPr>
      <w:r w:rsidRPr="00820448">
        <w:t>Groundwater vulnerability mapping can serve as a practical tool for supporting alignment of operational approaches between Montenegro and Albania in the management of sanitary protection zones (SPZs). While both countries retain their national legal frameworks, the use of a shared conceptual understanding of vulnerability allows for more consistent interpretation of hydrogeological conditions across the transboundary aquifer.</w:t>
      </w:r>
    </w:p>
    <w:p w14:paraId="1CEDC37D" w14:textId="7D2A629E" w:rsidR="009827C4" w:rsidRPr="00B26173" w:rsidRDefault="009827C4" w:rsidP="009827C4">
      <w:pPr>
        <w:pStyle w:val="Heading4"/>
        <w:rPr>
          <w:lang w:val="en-GB"/>
        </w:rPr>
      </w:pPr>
      <w:r w:rsidRPr="00B26173">
        <w:rPr>
          <w:lang w:val="en-GB"/>
        </w:rPr>
        <w:t>7.1.2.1 Adopting a shared conceptual framework for SPZ sensitivity analysis</w:t>
      </w:r>
    </w:p>
    <w:p w14:paraId="1679B4C7" w14:textId="7160509A" w:rsidR="00820448" w:rsidRPr="009827C4" w:rsidRDefault="00820448" w:rsidP="009827C4">
      <w:pPr>
        <w:jc w:val="both"/>
        <w:rPr>
          <w:rFonts w:cstheme="minorHAnsi"/>
          <w:lang w:val="en-GB"/>
        </w:rPr>
      </w:pPr>
      <w:r w:rsidRPr="00820448">
        <w:rPr>
          <w:rFonts w:cstheme="minorHAnsi"/>
        </w:rPr>
        <w:t>Both countries can work within a common vulnerability concept based on the same hydrogeological factors (O, C, P, K), even if different technical methods are applied. This ensures that sensitive recharge areas, infiltration hotspots and conduit-dominated sectors are identified in a comparable way.</w:t>
      </w:r>
    </w:p>
    <w:p w14:paraId="5E507317" w14:textId="37FC10F6" w:rsidR="009827C4" w:rsidRPr="00B26173" w:rsidRDefault="009827C4" w:rsidP="009827C4">
      <w:pPr>
        <w:pStyle w:val="Heading4"/>
        <w:rPr>
          <w:lang w:val="en-GB"/>
        </w:rPr>
      </w:pPr>
      <w:r w:rsidRPr="00B26173">
        <w:rPr>
          <w:lang w:val="en-GB"/>
        </w:rPr>
        <w:t>7.1.2.2 Defining consistent categories of sensitive and high</w:t>
      </w:r>
      <w:r w:rsidRPr="00B26173">
        <w:rPr>
          <w:rFonts w:ascii="Cambria Math" w:hAnsi="Cambria Math" w:cs="Cambria Math"/>
          <w:lang w:val="en-GB"/>
        </w:rPr>
        <w:t>‑</w:t>
      </w:r>
      <w:r w:rsidRPr="00B26173">
        <w:rPr>
          <w:lang w:val="en-GB"/>
        </w:rPr>
        <w:t>risk zones</w:t>
      </w:r>
    </w:p>
    <w:p w14:paraId="4F5C2028" w14:textId="04F8D2E4" w:rsidR="009827C4" w:rsidRDefault="009827C4" w:rsidP="009827C4">
      <w:pPr>
        <w:jc w:val="both"/>
        <w:rPr>
          <w:rFonts w:cstheme="minorHAnsi"/>
          <w:lang w:val="en-GB"/>
        </w:rPr>
      </w:pPr>
      <w:r w:rsidRPr="009827C4">
        <w:rPr>
          <w:rFonts w:cstheme="minorHAnsi"/>
          <w:lang w:val="en-GB"/>
        </w:rPr>
        <w:t xml:space="preserve">Using vulnerability mapping, </w:t>
      </w:r>
      <w:r w:rsidR="00735AE8">
        <w:rPr>
          <w:rFonts w:cstheme="minorHAnsi"/>
          <w:lang w:val="en-GB"/>
        </w:rPr>
        <w:t>both</w:t>
      </w:r>
      <w:r w:rsidRPr="009827C4">
        <w:rPr>
          <w:rFonts w:cstheme="minorHAnsi"/>
          <w:lang w:val="en-GB"/>
        </w:rPr>
        <w:t xml:space="preserve"> countries can develop jointly recognised sensitivity classes</w:t>
      </w:r>
      <w:r w:rsidR="00735AE8">
        <w:rPr>
          <w:rFonts w:cstheme="minorHAnsi"/>
          <w:lang w:val="en-GB"/>
        </w:rPr>
        <w:t xml:space="preserve">, </w:t>
      </w:r>
      <w:r w:rsidRPr="009827C4">
        <w:rPr>
          <w:rFonts w:cstheme="minorHAnsi"/>
          <w:lang w:val="en-GB"/>
        </w:rPr>
        <w:t>such as “highly vulnerable,” “rapid</w:t>
      </w:r>
      <w:r w:rsidRPr="009827C4">
        <w:rPr>
          <w:rFonts w:ascii="Cambria Math" w:hAnsi="Cambria Math" w:cs="Cambria Math"/>
          <w:lang w:val="en-GB"/>
        </w:rPr>
        <w:t>‑</w:t>
      </w:r>
      <w:r w:rsidRPr="009827C4">
        <w:rPr>
          <w:rFonts w:cstheme="minorHAnsi"/>
          <w:lang w:val="en-GB"/>
        </w:rPr>
        <w:t>transport,</w:t>
      </w:r>
      <w:r w:rsidRPr="009827C4">
        <w:rPr>
          <w:rFonts w:ascii="Calibri" w:hAnsi="Calibri" w:cs="Calibri"/>
          <w:lang w:val="en-GB"/>
        </w:rPr>
        <w:t>”</w:t>
      </w:r>
      <w:r w:rsidRPr="009827C4">
        <w:rPr>
          <w:rFonts w:cstheme="minorHAnsi"/>
          <w:lang w:val="en-GB"/>
        </w:rPr>
        <w:t xml:space="preserve"> or </w:t>
      </w:r>
      <w:r w:rsidRPr="009827C4">
        <w:rPr>
          <w:rFonts w:ascii="Calibri" w:hAnsi="Calibri" w:cs="Calibri"/>
          <w:lang w:val="en-GB"/>
        </w:rPr>
        <w:t>“</w:t>
      </w:r>
      <w:r w:rsidRPr="009827C4">
        <w:rPr>
          <w:rFonts w:cstheme="minorHAnsi"/>
          <w:lang w:val="en-GB"/>
        </w:rPr>
        <w:t>protective</w:t>
      </w:r>
      <w:r w:rsidRPr="009827C4">
        <w:rPr>
          <w:rFonts w:ascii="Cambria Math" w:hAnsi="Cambria Math" w:cs="Cambria Math"/>
          <w:lang w:val="en-GB"/>
        </w:rPr>
        <w:t>‑</w:t>
      </w:r>
      <w:r w:rsidRPr="009827C4">
        <w:rPr>
          <w:rFonts w:cstheme="minorHAnsi"/>
          <w:lang w:val="en-GB"/>
        </w:rPr>
        <w:t>cover</w:t>
      </w:r>
      <w:r w:rsidRPr="009827C4">
        <w:rPr>
          <w:rFonts w:ascii="Cambria Math" w:hAnsi="Cambria Math" w:cs="Cambria Math"/>
          <w:lang w:val="en-GB"/>
        </w:rPr>
        <w:t>‑</w:t>
      </w:r>
      <w:r w:rsidRPr="009827C4">
        <w:rPr>
          <w:rFonts w:cstheme="minorHAnsi"/>
          <w:lang w:val="en-GB"/>
        </w:rPr>
        <w:t>dominant</w:t>
      </w:r>
      <w:r w:rsidRPr="009827C4">
        <w:rPr>
          <w:rFonts w:ascii="Calibri" w:hAnsi="Calibri" w:cs="Calibri"/>
          <w:lang w:val="en-GB"/>
        </w:rPr>
        <w:t>”</w:t>
      </w:r>
      <w:r w:rsidRPr="009827C4">
        <w:rPr>
          <w:rFonts w:cstheme="minorHAnsi"/>
          <w:lang w:val="en-GB"/>
        </w:rPr>
        <w:t xml:space="preserve"> zones. These categories would support coordinated operational practices while allowing each country to retain its legally defined</w:t>
      </w:r>
      <w:r w:rsidR="00735AE8">
        <w:rPr>
          <w:rFonts w:cstheme="minorHAnsi"/>
          <w:lang w:val="en-GB"/>
        </w:rPr>
        <w:t xml:space="preserve"> </w:t>
      </w:r>
      <w:r w:rsidRPr="009827C4">
        <w:rPr>
          <w:rFonts w:cstheme="minorHAnsi"/>
          <w:lang w:val="en-GB"/>
        </w:rPr>
        <w:t>SPZ zoning system.</w:t>
      </w:r>
    </w:p>
    <w:p w14:paraId="1C4A8077" w14:textId="5E6DC757" w:rsidR="009827C4" w:rsidRPr="00B26173" w:rsidRDefault="009827C4" w:rsidP="009827C4">
      <w:pPr>
        <w:pStyle w:val="Heading4"/>
        <w:rPr>
          <w:lang w:val="en-GB"/>
        </w:rPr>
      </w:pPr>
      <w:r w:rsidRPr="00B26173">
        <w:rPr>
          <w:lang w:val="en-GB"/>
        </w:rPr>
        <w:t>7.1.2.3 Prioritising monitoring and inspections based on shared vulnerability indicators</w:t>
      </w:r>
    </w:p>
    <w:p w14:paraId="712F1837" w14:textId="1F310938" w:rsidR="009827C4" w:rsidRDefault="009827C4" w:rsidP="009827C4">
      <w:pPr>
        <w:jc w:val="both"/>
        <w:rPr>
          <w:rFonts w:cstheme="minorHAnsi"/>
          <w:lang w:val="en-GB"/>
        </w:rPr>
      </w:pPr>
      <w:r w:rsidRPr="009827C4">
        <w:rPr>
          <w:rFonts w:cstheme="minorHAnsi"/>
          <w:lang w:val="en-GB"/>
        </w:rPr>
        <w:t>Vulnerability maps help identify where intensified monitoring (both regular and event</w:t>
      </w:r>
      <w:r w:rsidRPr="009827C4">
        <w:rPr>
          <w:rFonts w:ascii="Cambria Math" w:hAnsi="Cambria Math" w:cs="Cambria Math"/>
          <w:lang w:val="en-GB"/>
        </w:rPr>
        <w:t>‑</w:t>
      </w:r>
      <w:r w:rsidRPr="009827C4">
        <w:rPr>
          <w:rFonts w:cstheme="minorHAnsi"/>
          <w:lang w:val="en-GB"/>
        </w:rPr>
        <w:t>based) is most warranted. They can guide the placement of joint observation points in recharge areas, ponors</w:t>
      </w:r>
      <w:r w:rsidR="003D773D">
        <w:rPr>
          <w:rFonts w:cstheme="minorHAnsi"/>
          <w:lang w:val="en-GB"/>
        </w:rPr>
        <w:t xml:space="preserve"> (sinkholes)</w:t>
      </w:r>
      <w:r w:rsidRPr="009827C4">
        <w:rPr>
          <w:rFonts w:cstheme="minorHAnsi"/>
          <w:lang w:val="en-GB"/>
        </w:rPr>
        <w:t xml:space="preserve"> and major springs, and help synchronise inspection schedules for activities located in high</w:t>
      </w:r>
      <w:r w:rsidRPr="009827C4">
        <w:rPr>
          <w:rFonts w:ascii="Cambria Math" w:hAnsi="Cambria Math" w:cs="Cambria Math"/>
          <w:lang w:val="en-GB"/>
        </w:rPr>
        <w:t>‑</w:t>
      </w:r>
      <w:r w:rsidRPr="009827C4">
        <w:rPr>
          <w:rFonts w:cstheme="minorHAnsi"/>
          <w:lang w:val="en-GB"/>
        </w:rPr>
        <w:t xml:space="preserve">risk sectors. This enables each side to focus effort on areas presenting the greatest hydrogeological </w:t>
      </w:r>
      <w:r w:rsidR="00735AE8">
        <w:rPr>
          <w:rFonts w:cstheme="minorHAnsi"/>
          <w:lang w:val="en-GB"/>
        </w:rPr>
        <w:t>vulnerability</w:t>
      </w:r>
      <w:r w:rsidRPr="009827C4">
        <w:rPr>
          <w:rFonts w:cstheme="minorHAnsi"/>
          <w:lang w:val="en-GB"/>
        </w:rPr>
        <w:t>.</w:t>
      </w:r>
    </w:p>
    <w:p w14:paraId="36C0DEA8" w14:textId="0E49C7DD" w:rsidR="009827C4" w:rsidRPr="00B26173" w:rsidRDefault="009827C4" w:rsidP="009827C4">
      <w:pPr>
        <w:pStyle w:val="Heading4"/>
        <w:rPr>
          <w:lang w:val="en-GB"/>
        </w:rPr>
      </w:pPr>
      <w:r w:rsidRPr="00B26173">
        <w:rPr>
          <w:lang w:val="en-GB"/>
        </w:rPr>
        <w:t>7.1.2.4 Establishing a harmonised spatial vocabulary for SPZ operations</w:t>
      </w:r>
    </w:p>
    <w:p w14:paraId="202AA36E" w14:textId="77777777" w:rsidR="009827C4" w:rsidRPr="009827C4" w:rsidRDefault="009827C4" w:rsidP="009827C4">
      <w:pPr>
        <w:jc w:val="both"/>
        <w:rPr>
          <w:rFonts w:cstheme="minorHAnsi"/>
          <w:lang w:val="en-GB"/>
        </w:rPr>
      </w:pPr>
      <w:r w:rsidRPr="009827C4">
        <w:rPr>
          <w:rFonts w:cstheme="minorHAnsi"/>
          <w:lang w:val="en-GB"/>
        </w:rPr>
        <w:t>Instead of aligning legal zone definitions, countries can harmonise the technical terminology used in operational practice. Terms such as “rapid</w:t>
      </w:r>
      <w:r w:rsidRPr="009827C4">
        <w:rPr>
          <w:rFonts w:ascii="Cambria Math" w:hAnsi="Cambria Math" w:cs="Cambria Math"/>
          <w:lang w:val="en-GB"/>
        </w:rPr>
        <w:t>‑</w:t>
      </w:r>
      <w:r w:rsidRPr="009827C4">
        <w:rPr>
          <w:rFonts w:cstheme="minorHAnsi"/>
          <w:lang w:val="en-GB"/>
        </w:rPr>
        <w:t>response zone,</w:t>
      </w:r>
      <w:r w:rsidRPr="009827C4">
        <w:rPr>
          <w:rFonts w:ascii="Calibri" w:hAnsi="Calibri" w:cs="Calibri"/>
          <w:lang w:val="en-GB"/>
        </w:rPr>
        <w:t>”</w:t>
      </w:r>
      <w:r w:rsidRPr="009827C4">
        <w:rPr>
          <w:rFonts w:cstheme="minorHAnsi"/>
          <w:lang w:val="en-GB"/>
        </w:rPr>
        <w:t xml:space="preserve"> </w:t>
      </w:r>
      <w:r w:rsidRPr="009827C4">
        <w:rPr>
          <w:rFonts w:ascii="Calibri" w:hAnsi="Calibri" w:cs="Calibri"/>
          <w:lang w:val="en-GB"/>
        </w:rPr>
        <w:t>“</w:t>
      </w:r>
      <w:r w:rsidRPr="009827C4">
        <w:rPr>
          <w:rFonts w:cstheme="minorHAnsi"/>
          <w:lang w:val="en-GB"/>
        </w:rPr>
        <w:t>focused</w:t>
      </w:r>
      <w:r w:rsidRPr="009827C4">
        <w:rPr>
          <w:rFonts w:ascii="Cambria Math" w:hAnsi="Cambria Math" w:cs="Cambria Math"/>
          <w:lang w:val="en-GB"/>
        </w:rPr>
        <w:t>‑</w:t>
      </w:r>
      <w:r w:rsidRPr="009827C4">
        <w:rPr>
          <w:rFonts w:cstheme="minorHAnsi"/>
          <w:lang w:val="en-GB"/>
        </w:rPr>
        <w:t>infiltration sector,</w:t>
      </w:r>
      <w:r w:rsidRPr="009827C4">
        <w:rPr>
          <w:rFonts w:ascii="Calibri" w:hAnsi="Calibri" w:cs="Calibri"/>
          <w:lang w:val="en-GB"/>
        </w:rPr>
        <w:t>”</w:t>
      </w:r>
      <w:r w:rsidRPr="009827C4">
        <w:rPr>
          <w:rFonts w:cstheme="minorHAnsi"/>
          <w:lang w:val="en-GB"/>
        </w:rPr>
        <w:t xml:space="preserve"> or </w:t>
      </w:r>
      <w:r w:rsidRPr="009827C4">
        <w:rPr>
          <w:rFonts w:ascii="Calibri" w:hAnsi="Calibri" w:cs="Calibri"/>
          <w:lang w:val="en-GB"/>
        </w:rPr>
        <w:t>“</w:t>
      </w:r>
      <w:r w:rsidRPr="009827C4">
        <w:rPr>
          <w:rFonts w:cstheme="minorHAnsi"/>
          <w:lang w:val="en-GB"/>
        </w:rPr>
        <w:t>protective</w:t>
      </w:r>
      <w:r w:rsidRPr="009827C4">
        <w:rPr>
          <w:rFonts w:ascii="Cambria Math" w:hAnsi="Cambria Math" w:cs="Cambria Math"/>
          <w:lang w:val="en-GB"/>
        </w:rPr>
        <w:t>‑</w:t>
      </w:r>
      <w:r w:rsidRPr="009827C4">
        <w:rPr>
          <w:rFonts w:cstheme="minorHAnsi"/>
          <w:lang w:val="en-GB"/>
        </w:rPr>
        <w:t>cover corridor</w:t>
      </w:r>
      <w:r w:rsidRPr="009827C4">
        <w:rPr>
          <w:rFonts w:ascii="Calibri" w:hAnsi="Calibri" w:cs="Calibri"/>
          <w:lang w:val="en-GB"/>
        </w:rPr>
        <w:t>”</w:t>
      </w:r>
      <w:r w:rsidRPr="009827C4">
        <w:rPr>
          <w:rFonts w:cstheme="minorHAnsi"/>
          <w:lang w:val="en-GB"/>
        </w:rPr>
        <w:t xml:space="preserve"> allow technical teams to assess and communicate risks consistently, regardless of differing national regulations.</w:t>
      </w:r>
    </w:p>
    <w:p w14:paraId="1ECC88FB" w14:textId="52E284BD" w:rsidR="009827C4" w:rsidRPr="00B26173" w:rsidRDefault="009827C4" w:rsidP="009827C4">
      <w:pPr>
        <w:pStyle w:val="Heading4"/>
        <w:rPr>
          <w:lang w:val="en-GB"/>
        </w:rPr>
      </w:pPr>
      <w:r w:rsidRPr="00B26173">
        <w:rPr>
          <w:lang w:val="en-GB"/>
        </w:rPr>
        <w:t>7.1.2.5 Supporting joint risk</w:t>
      </w:r>
      <w:r w:rsidRPr="00B26173">
        <w:rPr>
          <w:rFonts w:ascii="Cambria Math" w:hAnsi="Cambria Math" w:cs="Cambria Math"/>
          <w:lang w:val="en-GB"/>
        </w:rPr>
        <w:t>‑</w:t>
      </w:r>
      <w:r w:rsidRPr="00B26173">
        <w:rPr>
          <w:lang w:val="en-GB"/>
        </w:rPr>
        <w:t>screening for land use and infrastructure projects</w:t>
      </w:r>
    </w:p>
    <w:p w14:paraId="27AFCCBE" w14:textId="7A89CDF9" w:rsidR="009827C4" w:rsidRPr="009827C4" w:rsidRDefault="00735AE8" w:rsidP="009827C4">
      <w:pPr>
        <w:jc w:val="both"/>
        <w:rPr>
          <w:rFonts w:cstheme="minorHAnsi"/>
          <w:lang w:val="en-GB"/>
        </w:rPr>
      </w:pPr>
      <w:r w:rsidRPr="00735AE8">
        <w:rPr>
          <w:rFonts w:cstheme="minorHAnsi"/>
          <w:lang w:val="en-GB"/>
        </w:rPr>
        <w:t>A shared vulnerability map can serve as a common reference when assessing new projects or land</w:t>
      </w:r>
      <w:r w:rsidRPr="00735AE8">
        <w:rPr>
          <w:rFonts w:ascii="Cambria Math" w:hAnsi="Cambria Math" w:cs="Cambria Math"/>
          <w:lang w:val="en-GB"/>
        </w:rPr>
        <w:t>‑</w:t>
      </w:r>
      <w:r w:rsidRPr="00735AE8">
        <w:rPr>
          <w:rFonts w:cstheme="minorHAnsi"/>
          <w:lang w:val="en-GB"/>
        </w:rPr>
        <w:t>use changes. If an area is shown as highly vulnerable, both countries would automatically apply stricter technical checks or require extra protective measures. This ensures that cross</w:t>
      </w:r>
      <w:r w:rsidRPr="00735AE8">
        <w:rPr>
          <w:rFonts w:ascii="Cambria Math" w:hAnsi="Cambria Math" w:cs="Cambria Math"/>
          <w:lang w:val="en-GB"/>
        </w:rPr>
        <w:t>‑</w:t>
      </w:r>
      <w:r w:rsidRPr="00735AE8">
        <w:rPr>
          <w:rFonts w:cstheme="minorHAnsi"/>
          <w:lang w:val="en-GB"/>
        </w:rPr>
        <w:t>border risks are managed in a consistent, transparent and predictable way</w:t>
      </w:r>
      <w:r>
        <w:rPr>
          <w:rFonts w:cstheme="minorHAnsi"/>
          <w:lang w:val="en-GB"/>
        </w:rPr>
        <w:t>.</w:t>
      </w:r>
    </w:p>
    <w:p w14:paraId="1E4E5A69" w14:textId="53754C1D" w:rsidR="009827C4" w:rsidRPr="00B26173" w:rsidRDefault="009827C4" w:rsidP="009827C4">
      <w:pPr>
        <w:pStyle w:val="Heading4"/>
        <w:rPr>
          <w:lang w:val="en-GB"/>
        </w:rPr>
      </w:pPr>
      <w:r w:rsidRPr="00B26173">
        <w:rPr>
          <w:lang w:val="en-GB"/>
        </w:rPr>
        <w:t>7.1.2.6 Ensuring coordinated communication with local authorities and utilities</w:t>
      </w:r>
    </w:p>
    <w:p w14:paraId="3EEF2943" w14:textId="33844A4E" w:rsidR="009827C4" w:rsidRPr="009827C4" w:rsidRDefault="00735AE8" w:rsidP="009827C4">
      <w:pPr>
        <w:jc w:val="both"/>
        <w:rPr>
          <w:rFonts w:cstheme="minorHAnsi"/>
          <w:lang w:val="en-GB"/>
        </w:rPr>
      </w:pPr>
      <w:r w:rsidRPr="00735AE8">
        <w:rPr>
          <w:rFonts w:cstheme="minorHAnsi"/>
          <w:lang w:val="en-GB"/>
        </w:rPr>
        <w:t>Operational guidance can use shared vulnerability categories when explaining SPZ procedures to municipalities, water utilities, inspectorates and protected</w:t>
      </w:r>
      <w:r w:rsidRPr="00735AE8">
        <w:rPr>
          <w:rFonts w:ascii="Cambria Math" w:hAnsi="Cambria Math" w:cs="Cambria Math"/>
          <w:lang w:val="en-GB"/>
        </w:rPr>
        <w:t>‑</w:t>
      </w:r>
      <w:r w:rsidRPr="00735AE8">
        <w:rPr>
          <w:rFonts w:cstheme="minorHAnsi"/>
          <w:lang w:val="en-GB"/>
        </w:rPr>
        <w:t>area authorities. This ensures that everyone receives clear and consistent instructions on issues such as septic</w:t>
      </w:r>
      <w:r w:rsidRPr="00735AE8">
        <w:rPr>
          <w:rFonts w:ascii="Cambria Math" w:hAnsi="Cambria Math" w:cs="Cambria Math"/>
          <w:lang w:val="en-GB"/>
        </w:rPr>
        <w:t>‑</w:t>
      </w:r>
      <w:r w:rsidRPr="00735AE8">
        <w:rPr>
          <w:rFonts w:cstheme="minorHAnsi"/>
          <w:lang w:val="en-GB"/>
        </w:rPr>
        <w:t xml:space="preserve">system requirements, agricultural practices or tourism management in </w:t>
      </w:r>
      <w:r>
        <w:rPr>
          <w:rFonts w:cstheme="minorHAnsi"/>
          <w:lang w:val="en-GB"/>
        </w:rPr>
        <w:t>vulnerable</w:t>
      </w:r>
      <w:r w:rsidRPr="00735AE8">
        <w:rPr>
          <w:rFonts w:cstheme="minorHAnsi"/>
          <w:lang w:val="en-GB"/>
        </w:rPr>
        <w:t xml:space="preserve"> recharge areas</w:t>
      </w:r>
      <w:r w:rsidR="009827C4" w:rsidRPr="009827C4">
        <w:rPr>
          <w:rFonts w:cstheme="minorHAnsi"/>
          <w:lang w:val="en-GB"/>
        </w:rPr>
        <w:t>.</w:t>
      </w:r>
    </w:p>
    <w:p w14:paraId="780ED53D" w14:textId="3B1448C1" w:rsidR="009827C4" w:rsidRPr="00B26173" w:rsidRDefault="009827C4" w:rsidP="009827C4">
      <w:pPr>
        <w:pStyle w:val="Heading4"/>
        <w:rPr>
          <w:lang w:val="en-GB"/>
        </w:rPr>
      </w:pPr>
      <w:r w:rsidRPr="00B26173">
        <w:rPr>
          <w:lang w:val="en-GB"/>
        </w:rPr>
        <w:lastRenderedPageBreak/>
        <w:t>7.1.2.7 Providing a stable foundation for long</w:t>
      </w:r>
      <w:r w:rsidRPr="00B26173">
        <w:rPr>
          <w:rFonts w:ascii="Cambria Math" w:hAnsi="Cambria Math" w:cs="Cambria Math"/>
          <w:lang w:val="en-GB"/>
        </w:rPr>
        <w:t>‑</w:t>
      </w:r>
      <w:r w:rsidRPr="00B26173">
        <w:rPr>
          <w:lang w:val="en-GB"/>
        </w:rPr>
        <w:t>term bilateral planning</w:t>
      </w:r>
    </w:p>
    <w:p w14:paraId="6627B289" w14:textId="62286DEA" w:rsidR="00F251C6" w:rsidRDefault="009827C4" w:rsidP="009827C4">
      <w:pPr>
        <w:jc w:val="both"/>
        <w:rPr>
          <w:rFonts w:cstheme="minorHAnsi"/>
          <w:lang w:val="en-GB"/>
        </w:rPr>
      </w:pPr>
      <w:r w:rsidRPr="009827C4">
        <w:rPr>
          <w:rFonts w:cstheme="minorHAnsi"/>
          <w:lang w:val="en-GB"/>
        </w:rPr>
        <w:t>Because vulnerability mapping is conceptual rather than regulatory, it can support long</w:t>
      </w:r>
      <w:r w:rsidRPr="009827C4">
        <w:rPr>
          <w:rFonts w:ascii="Cambria Math" w:hAnsi="Cambria Math" w:cs="Cambria Math"/>
          <w:lang w:val="en-GB"/>
        </w:rPr>
        <w:t>‑</w:t>
      </w:r>
      <w:r w:rsidRPr="009827C4">
        <w:rPr>
          <w:rFonts w:cstheme="minorHAnsi"/>
          <w:lang w:val="en-GB"/>
        </w:rPr>
        <w:t>term cooperation without requiring legislative change. Regular updates of vulnerability layers can feed into coordinated SPZ revisions, joint monitoring strategies, assessments of climate</w:t>
      </w:r>
      <w:r w:rsidRPr="009827C4">
        <w:rPr>
          <w:rFonts w:ascii="Cambria Math" w:hAnsi="Cambria Math" w:cs="Cambria Math"/>
          <w:lang w:val="en-GB"/>
        </w:rPr>
        <w:t>‑</w:t>
      </w:r>
      <w:r w:rsidRPr="009827C4">
        <w:rPr>
          <w:rFonts w:cstheme="minorHAnsi"/>
          <w:lang w:val="en-GB"/>
        </w:rPr>
        <w:t>driven recharge changes and future groundwater protection planning.</w:t>
      </w:r>
    </w:p>
    <w:p w14:paraId="440D995A" w14:textId="77777777" w:rsidR="003D773D" w:rsidRPr="00F251C6" w:rsidRDefault="003D773D" w:rsidP="009827C4">
      <w:pPr>
        <w:jc w:val="both"/>
        <w:rPr>
          <w:rFonts w:cstheme="minorHAnsi"/>
          <w:lang w:val="en-GB"/>
        </w:rPr>
      </w:pPr>
    </w:p>
    <w:p w14:paraId="1BF927A2" w14:textId="722A3146" w:rsidR="00F251C6" w:rsidRPr="00B26173" w:rsidRDefault="00735AE8" w:rsidP="00735AE8">
      <w:pPr>
        <w:pStyle w:val="Heading3"/>
        <w:rPr>
          <w:lang w:val="en-GB"/>
        </w:rPr>
      </w:pPr>
      <w:bookmarkStart w:id="24" w:name="_Toc225418434"/>
      <w:r w:rsidRPr="00B26173">
        <w:rPr>
          <w:lang w:val="en-GB"/>
        </w:rPr>
        <w:t xml:space="preserve">7.1.3 </w:t>
      </w:r>
      <w:r w:rsidR="00F251C6" w:rsidRPr="00B26173">
        <w:rPr>
          <w:lang w:val="en-GB"/>
        </w:rPr>
        <w:t>Event</w:t>
      </w:r>
      <w:r w:rsidR="00F251C6" w:rsidRPr="00B26173">
        <w:rPr>
          <w:rFonts w:ascii="Cambria Math" w:hAnsi="Cambria Math" w:cs="Cambria Math"/>
          <w:lang w:val="en-GB"/>
        </w:rPr>
        <w:t>‑</w:t>
      </w:r>
      <w:r w:rsidR="00F251C6" w:rsidRPr="00B26173">
        <w:rPr>
          <w:lang w:val="en-GB"/>
        </w:rPr>
        <w:t>driven dynamics and implications for shared methodologies</w:t>
      </w:r>
      <w:bookmarkEnd w:id="24"/>
    </w:p>
    <w:p w14:paraId="49D0B354" w14:textId="7519F3BF" w:rsidR="00715515" w:rsidRPr="00715515" w:rsidRDefault="00715515" w:rsidP="00715515">
      <w:pPr>
        <w:jc w:val="both"/>
        <w:rPr>
          <w:rFonts w:cstheme="minorHAnsi"/>
          <w:lang w:val="en-GB"/>
        </w:rPr>
      </w:pPr>
      <w:r w:rsidRPr="00715515">
        <w:rPr>
          <w:rFonts w:cstheme="minorHAnsi"/>
          <w:lang w:val="en-GB"/>
        </w:rPr>
        <w:t>Karst aquifers respond very quickly to hydrological events such as heavy rainfall or sudden recharge pulses. Because flow often concentrates in conduits and bypasses protective layers, contaminants can reach major springs within hours, leading to short</w:t>
      </w:r>
      <w:r w:rsidRPr="00715515">
        <w:rPr>
          <w:rFonts w:ascii="Cambria Math" w:hAnsi="Cambria Math" w:cs="Cambria Math"/>
          <w:lang w:val="en-GB"/>
        </w:rPr>
        <w:t>‑</w:t>
      </w:r>
      <w:r w:rsidRPr="00715515">
        <w:rPr>
          <w:rFonts w:cstheme="minorHAnsi"/>
          <w:lang w:val="en-GB"/>
        </w:rPr>
        <w:t>term spikes in turbidity, electrical conductivity and microbiological indicators. Such peaks are routinely observed during high</w:t>
      </w:r>
      <w:r w:rsidRPr="00715515">
        <w:rPr>
          <w:rFonts w:ascii="Cambria Math" w:hAnsi="Cambria Math" w:cs="Cambria Math"/>
          <w:lang w:val="en-GB"/>
        </w:rPr>
        <w:t>‑</w:t>
      </w:r>
      <w:r w:rsidRPr="00715515">
        <w:rPr>
          <w:rFonts w:cstheme="minorHAnsi"/>
          <w:lang w:val="en-GB"/>
        </w:rPr>
        <w:t>flow periods and represent the moments of greatest risk for drinking</w:t>
      </w:r>
      <w:r w:rsidRPr="00715515">
        <w:rPr>
          <w:rFonts w:ascii="Cambria Math" w:hAnsi="Cambria Math" w:cs="Cambria Math"/>
          <w:lang w:val="en-GB"/>
        </w:rPr>
        <w:t>‑</w:t>
      </w:r>
      <w:r w:rsidRPr="00715515">
        <w:rPr>
          <w:rFonts w:cstheme="minorHAnsi"/>
          <w:lang w:val="en-GB"/>
        </w:rPr>
        <w:t xml:space="preserve">water sources. </w:t>
      </w:r>
    </w:p>
    <w:p w14:paraId="667C8178" w14:textId="77777777" w:rsidR="00715515" w:rsidRPr="00715515" w:rsidRDefault="00715515" w:rsidP="00715515">
      <w:pPr>
        <w:jc w:val="both"/>
        <w:rPr>
          <w:rFonts w:cstheme="minorHAnsi"/>
          <w:lang w:val="en-GB"/>
        </w:rPr>
      </w:pPr>
      <w:r w:rsidRPr="00715515">
        <w:rPr>
          <w:rFonts w:cstheme="minorHAnsi"/>
          <w:lang w:val="en-GB"/>
        </w:rPr>
        <w:t>For this reason, methodologies used in sanitary protection zone (SPZ) management must explicitly incorporate event</w:t>
      </w:r>
      <w:r w:rsidRPr="00715515">
        <w:rPr>
          <w:rFonts w:ascii="Cambria Math" w:hAnsi="Cambria Math" w:cs="Cambria Math"/>
          <w:lang w:val="en-GB"/>
        </w:rPr>
        <w:t>‑</w:t>
      </w:r>
      <w:r w:rsidRPr="00715515">
        <w:rPr>
          <w:rFonts w:cstheme="minorHAnsi"/>
          <w:lang w:val="en-GB"/>
        </w:rPr>
        <w:t>based monitoring. Routine sampling alone cannot capture the rapid changes that occur during storm events. A shared approach should therefore include short</w:t>
      </w:r>
      <w:r w:rsidRPr="00715515">
        <w:rPr>
          <w:rFonts w:ascii="Cambria Math" w:hAnsi="Cambria Math" w:cs="Cambria Math"/>
          <w:lang w:val="en-GB"/>
        </w:rPr>
        <w:t>‑</w:t>
      </w:r>
      <w:r w:rsidRPr="00715515">
        <w:rPr>
          <w:rFonts w:cstheme="minorHAnsi"/>
          <w:lang w:val="en-GB"/>
        </w:rPr>
        <w:t>interval measurements triggered by rainfall thresholds or sudden increases in spring discharge. This helps reveal real transport velocities, identifies vulnerable recharge sectors and supports more accurate interpretation of groundwater behaviour.</w:t>
      </w:r>
    </w:p>
    <w:p w14:paraId="517FBE45" w14:textId="0162773C" w:rsidR="00715515" w:rsidRPr="00715515" w:rsidRDefault="00715515" w:rsidP="00715515">
      <w:pPr>
        <w:jc w:val="both"/>
        <w:rPr>
          <w:rFonts w:cstheme="minorHAnsi"/>
          <w:lang w:val="en-GB"/>
        </w:rPr>
      </w:pPr>
      <w:r w:rsidRPr="00715515">
        <w:rPr>
          <w:rFonts w:cstheme="minorHAnsi"/>
          <w:lang w:val="en-GB"/>
        </w:rPr>
        <w:t>Event dynamics also highlight the need for coordinated early</w:t>
      </w:r>
      <w:r w:rsidRPr="00715515">
        <w:rPr>
          <w:rFonts w:ascii="Cambria Math" w:hAnsi="Cambria Math" w:cs="Cambria Math"/>
          <w:lang w:val="en-GB"/>
        </w:rPr>
        <w:t>‑</w:t>
      </w:r>
      <w:r w:rsidRPr="00715515">
        <w:rPr>
          <w:rFonts w:cstheme="minorHAnsi"/>
          <w:lang w:val="en-GB"/>
        </w:rPr>
        <w:t>warning indicators. Parameters such as turbidity or conductivity often rise before microbiological contamination appears. Establishing harmonised, non</w:t>
      </w:r>
      <w:r w:rsidRPr="00715515">
        <w:rPr>
          <w:rFonts w:ascii="Cambria Math" w:hAnsi="Cambria Math" w:cs="Cambria Math"/>
          <w:lang w:val="en-GB"/>
        </w:rPr>
        <w:t>‑</w:t>
      </w:r>
      <w:r w:rsidRPr="00715515">
        <w:rPr>
          <w:rFonts w:cstheme="minorHAnsi"/>
          <w:lang w:val="en-GB"/>
        </w:rPr>
        <w:t>binding alert values allows both countries to react promptly</w:t>
      </w:r>
      <w:r>
        <w:rPr>
          <w:rFonts w:ascii="Calibri" w:hAnsi="Calibri" w:cs="Calibri"/>
          <w:lang w:val="en-GB"/>
        </w:rPr>
        <w:t xml:space="preserve">, </w:t>
      </w:r>
      <w:r w:rsidRPr="00715515">
        <w:rPr>
          <w:rFonts w:cstheme="minorHAnsi"/>
          <w:lang w:val="en-GB"/>
        </w:rPr>
        <w:t>for example through intensified sampling, temporary operational adjustments or communication with utilities</w:t>
      </w:r>
      <w:r>
        <w:rPr>
          <w:rFonts w:ascii="Calibri" w:hAnsi="Calibri" w:cs="Calibri"/>
          <w:lang w:val="en-GB"/>
        </w:rPr>
        <w:t xml:space="preserve">, </w:t>
      </w:r>
      <w:r w:rsidRPr="00715515">
        <w:rPr>
          <w:rFonts w:cstheme="minorHAnsi"/>
          <w:lang w:val="en-GB"/>
        </w:rPr>
        <w:t>while remaining fully aligned with their existing national frameworks.</w:t>
      </w:r>
    </w:p>
    <w:p w14:paraId="62E7FAA1" w14:textId="7D5A179C" w:rsidR="00F251C6" w:rsidRPr="00F251C6" w:rsidRDefault="00715515" w:rsidP="00715515">
      <w:pPr>
        <w:jc w:val="both"/>
        <w:rPr>
          <w:rFonts w:cstheme="minorHAnsi"/>
          <w:lang w:val="en-GB"/>
        </w:rPr>
      </w:pPr>
      <w:r>
        <w:rPr>
          <w:rFonts w:cstheme="minorHAnsi"/>
          <w:lang w:val="en-GB"/>
        </w:rPr>
        <w:t>I</w:t>
      </w:r>
      <w:r w:rsidRPr="00715515">
        <w:rPr>
          <w:rFonts w:cstheme="minorHAnsi"/>
          <w:lang w:val="en-GB"/>
        </w:rPr>
        <w:t>ncorporating event</w:t>
      </w:r>
      <w:r w:rsidRPr="00715515">
        <w:rPr>
          <w:rFonts w:ascii="Cambria Math" w:hAnsi="Cambria Math" w:cs="Cambria Math"/>
          <w:lang w:val="en-GB"/>
        </w:rPr>
        <w:t>‑</w:t>
      </w:r>
      <w:r w:rsidRPr="00715515">
        <w:rPr>
          <w:rFonts w:cstheme="minorHAnsi"/>
          <w:lang w:val="en-GB"/>
        </w:rPr>
        <w:t xml:space="preserve">driven information into shared methodologies improves the relevance of vulnerability mapping and SPZ operational practices. It ensures that areas where fast responses occur, including ponors, sinking streams and highly </w:t>
      </w:r>
      <w:proofErr w:type="spellStart"/>
      <w:r w:rsidRPr="00715515">
        <w:rPr>
          <w:rFonts w:cstheme="minorHAnsi"/>
          <w:lang w:val="en-GB"/>
        </w:rPr>
        <w:t>karstified</w:t>
      </w:r>
      <w:proofErr w:type="spellEnd"/>
      <w:r w:rsidRPr="00715515">
        <w:rPr>
          <w:rFonts w:cstheme="minorHAnsi"/>
          <w:lang w:val="en-GB"/>
        </w:rPr>
        <w:t xml:space="preserve"> recharge zones, are recognised as priority sectors for monitoring, inspection and land</w:t>
      </w:r>
      <w:r w:rsidRPr="00715515">
        <w:rPr>
          <w:rFonts w:ascii="Cambria Math" w:hAnsi="Cambria Math" w:cs="Cambria Math"/>
          <w:lang w:val="en-GB"/>
        </w:rPr>
        <w:t>‑</w:t>
      </w:r>
      <w:r w:rsidRPr="00715515">
        <w:rPr>
          <w:rFonts w:cstheme="minorHAnsi"/>
          <w:lang w:val="en-GB"/>
        </w:rPr>
        <w:t>use control</w:t>
      </w:r>
      <w:r>
        <w:rPr>
          <w:rFonts w:cstheme="minorHAnsi"/>
          <w:lang w:val="en-GB"/>
        </w:rPr>
        <w:t>.</w:t>
      </w:r>
    </w:p>
    <w:p w14:paraId="28818D40" w14:textId="77777777" w:rsidR="00715515" w:rsidRDefault="00715515" w:rsidP="00715515">
      <w:pPr>
        <w:pStyle w:val="Heading2"/>
      </w:pPr>
    </w:p>
    <w:p w14:paraId="7886D2C5" w14:textId="3DD4D1CD" w:rsidR="00F251C6" w:rsidRPr="00715515" w:rsidRDefault="00F251C6" w:rsidP="00B26173">
      <w:pPr>
        <w:pStyle w:val="Heading2"/>
        <w:jc w:val="both"/>
        <w:rPr>
          <w:lang w:val="en-GB"/>
        </w:rPr>
      </w:pPr>
      <w:bookmarkStart w:id="25" w:name="_Toc225418435"/>
      <w:r w:rsidRPr="00715515">
        <w:rPr>
          <w:lang w:val="en-GB"/>
        </w:rPr>
        <w:t xml:space="preserve">7.2 Harmonised </w:t>
      </w:r>
      <w:r w:rsidR="00715515" w:rsidRPr="00715515">
        <w:rPr>
          <w:lang w:val="en-GB"/>
        </w:rPr>
        <w:t>n</w:t>
      </w:r>
      <w:r w:rsidRPr="00715515">
        <w:rPr>
          <w:lang w:val="en-GB"/>
        </w:rPr>
        <w:t>on</w:t>
      </w:r>
      <w:r w:rsidRPr="00715515">
        <w:rPr>
          <w:rFonts w:ascii="Cambria Math" w:hAnsi="Cambria Math" w:cs="Cambria Math"/>
          <w:lang w:val="en-GB"/>
        </w:rPr>
        <w:t>‑</w:t>
      </w:r>
      <w:r w:rsidR="00715515" w:rsidRPr="00715515">
        <w:rPr>
          <w:lang w:val="en-GB"/>
        </w:rPr>
        <w:t>b</w:t>
      </w:r>
      <w:r w:rsidRPr="00715515">
        <w:rPr>
          <w:lang w:val="en-GB"/>
        </w:rPr>
        <w:t xml:space="preserve">inding </w:t>
      </w:r>
      <w:r w:rsidR="00715515" w:rsidRPr="00715515">
        <w:rPr>
          <w:lang w:val="en-GB"/>
        </w:rPr>
        <w:t>c</w:t>
      </w:r>
      <w:r w:rsidRPr="00715515">
        <w:rPr>
          <w:lang w:val="en-GB"/>
        </w:rPr>
        <w:t xml:space="preserve">riteria for </w:t>
      </w:r>
      <w:r w:rsidR="00715515" w:rsidRPr="00715515">
        <w:rPr>
          <w:lang w:val="en-GB"/>
        </w:rPr>
        <w:t>o</w:t>
      </w:r>
      <w:r w:rsidRPr="00715515">
        <w:rPr>
          <w:lang w:val="en-GB"/>
        </w:rPr>
        <w:t xml:space="preserve">perational </w:t>
      </w:r>
      <w:r w:rsidR="00715515" w:rsidRPr="00715515">
        <w:rPr>
          <w:lang w:val="en-GB"/>
        </w:rPr>
        <w:t>m</w:t>
      </w:r>
      <w:r w:rsidRPr="00715515">
        <w:rPr>
          <w:lang w:val="en-GB"/>
        </w:rPr>
        <w:t xml:space="preserve">anagement of </w:t>
      </w:r>
      <w:r w:rsidR="00715515" w:rsidRPr="00715515">
        <w:rPr>
          <w:lang w:val="en-GB"/>
        </w:rPr>
        <w:t>sanitary protection zones</w:t>
      </w:r>
      <w:bookmarkEnd w:id="25"/>
    </w:p>
    <w:p w14:paraId="288109CD" w14:textId="77777777" w:rsidR="003D773D" w:rsidRPr="003D773D" w:rsidRDefault="003D773D" w:rsidP="003D773D">
      <w:pPr>
        <w:jc w:val="both"/>
        <w:rPr>
          <w:rFonts w:cstheme="minorHAnsi"/>
          <w:lang w:val="en-US"/>
        </w:rPr>
      </w:pPr>
      <w:r w:rsidRPr="003D773D">
        <w:rPr>
          <w:rFonts w:cstheme="minorHAnsi"/>
          <w:lang w:val="en-US"/>
        </w:rPr>
        <w:t xml:space="preserve">In transboundary karst aquifers such as the </w:t>
      </w:r>
      <w:proofErr w:type="spellStart"/>
      <w:r w:rsidRPr="003D773D">
        <w:rPr>
          <w:rFonts w:cstheme="minorHAnsi"/>
          <w:lang w:val="en-US"/>
        </w:rPr>
        <w:t>Cemi</w:t>
      </w:r>
      <w:proofErr w:type="spellEnd"/>
      <w:r w:rsidRPr="003D773D">
        <w:rPr>
          <w:rFonts w:cstheme="minorHAnsi"/>
          <w:lang w:val="en-US"/>
        </w:rPr>
        <w:t>/</w:t>
      </w:r>
      <w:proofErr w:type="spellStart"/>
      <w:r w:rsidRPr="003D773D">
        <w:rPr>
          <w:rFonts w:cstheme="minorHAnsi"/>
          <w:lang w:val="en-US"/>
        </w:rPr>
        <w:t>Cijevna</w:t>
      </w:r>
      <w:proofErr w:type="spellEnd"/>
      <w:r w:rsidRPr="003D773D">
        <w:rPr>
          <w:rFonts w:cstheme="minorHAnsi"/>
          <w:lang w:val="en-US"/>
        </w:rPr>
        <w:t xml:space="preserve"> system, Montenegro and Albania can benefit from adopting a set of future-oriented, non-binding operational criteria to guide the management of sanitary protection zones (SPZs). These criteria do not alter national regulations; rather, they provide a shared technical foundation that can support gradual alignment of SPZ practices in later phases of the DIKTAS II project.</w:t>
      </w:r>
    </w:p>
    <w:p w14:paraId="7961CE9E" w14:textId="4922ED5E" w:rsidR="003D773D" w:rsidRPr="003D773D" w:rsidRDefault="003D773D" w:rsidP="003D773D">
      <w:pPr>
        <w:jc w:val="both"/>
        <w:rPr>
          <w:rFonts w:cstheme="minorHAnsi"/>
          <w:lang w:val="en-US"/>
        </w:rPr>
      </w:pPr>
      <w:r w:rsidRPr="003D773D">
        <w:rPr>
          <w:rFonts w:cstheme="minorHAnsi"/>
          <w:lang w:val="en-US"/>
        </w:rPr>
        <w:t>By building on common hydrogeological principles and operational needs, such criteria help establish a coherent approach that both countries can progressively refine as cooperation develops. Their relevance is particularly evident in transboundary karst settings, where similar pressures</w:t>
      </w:r>
      <w:r>
        <w:rPr>
          <w:rFonts w:cstheme="minorHAnsi"/>
          <w:lang w:val="en-US"/>
        </w:rPr>
        <w:t>-</w:t>
      </w:r>
      <w:r w:rsidRPr="003D773D">
        <w:rPr>
          <w:rFonts w:cstheme="minorHAnsi"/>
          <w:lang w:val="en-US"/>
        </w:rPr>
        <w:t>diffuse pollution, seasonal tourism, unsewered settlements and high intrinsic vulnerability</w:t>
      </w:r>
      <w:r>
        <w:rPr>
          <w:rFonts w:cstheme="minorHAnsi"/>
          <w:lang w:val="en-US"/>
        </w:rPr>
        <w:t>-</w:t>
      </w:r>
      <w:r w:rsidRPr="003D773D">
        <w:rPr>
          <w:rFonts w:cstheme="minorHAnsi"/>
          <w:lang w:val="en-US"/>
        </w:rPr>
        <w:t>are present on both sides of the border. At the same time, differences in institutional capacity and enforcement mechanisms make a shared operational logic important for achieving comparable levels of groundwater protection.</w:t>
      </w:r>
    </w:p>
    <w:p w14:paraId="7E9DC68F" w14:textId="4C7D21C3" w:rsidR="00BF3D20" w:rsidRPr="002E12FB" w:rsidRDefault="00BF3D20" w:rsidP="00BF3D20">
      <w:pPr>
        <w:pStyle w:val="Heading3"/>
        <w:rPr>
          <w:lang w:val="en-GB"/>
        </w:rPr>
      </w:pPr>
      <w:bookmarkStart w:id="26" w:name="_Toc225418436"/>
      <w:r w:rsidRPr="002E12FB">
        <w:rPr>
          <w:lang w:val="en-GB"/>
        </w:rPr>
        <w:lastRenderedPageBreak/>
        <w:t>7.2.1 Prioritising high</w:t>
      </w:r>
      <w:r w:rsidRPr="002E12FB">
        <w:rPr>
          <w:rFonts w:ascii="Cambria Math" w:hAnsi="Cambria Math" w:cs="Cambria Math"/>
          <w:lang w:val="en-GB"/>
        </w:rPr>
        <w:t>‑</w:t>
      </w:r>
      <w:r w:rsidRPr="002E12FB">
        <w:rPr>
          <w:lang w:val="en-GB"/>
        </w:rPr>
        <w:t>risk recharge and infiltration areas</w:t>
      </w:r>
      <w:bookmarkEnd w:id="26"/>
    </w:p>
    <w:p w14:paraId="05D74AD9" w14:textId="678E6B1B" w:rsidR="00BF3D20" w:rsidRPr="00BF3D20" w:rsidRDefault="00BF3D20" w:rsidP="00BF3D20">
      <w:pPr>
        <w:jc w:val="both"/>
        <w:rPr>
          <w:rFonts w:cstheme="minorHAnsi"/>
          <w:lang w:val="en-GB"/>
        </w:rPr>
      </w:pPr>
      <w:r w:rsidRPr="00BF3D20">
        <w:rPr>
          <w:rFonts w:cstheme="minorHAnsi"/>
          <w:lang w:val="en-GB"/>
        </w:rPr>
        <w:t xml:space="preserve">A core future-oriented principle is for both countries to use shared hydrogeological criteria when determining which parts of SPZs require the highest level of operational attention. </w:t>
      </w:r>
      <w:r>
        <w:rPr>
          <w:rFonts w:cstheme="minorHAnsi"/>
          <w:lang w:val="en-GB"/>
        </w:rPr>
        <w:t>Recharge areas</w:t>
      </w:r>
      <w:r w:rsidRPr="00BF3D20">
        <w:rPr>
          <w:rFonts w:cstheme="minorHAnsi"/>
          <w:lang w:val="en-GB"/>
        </w:rPr>
        <w:t>, thin protective cover, losing streams, ponors</w:t>
      </w:r>
      <w:r w:rsidR="00292104">
        <w:rPr>
          <w:rFonts w:cstheme="minorHAnsi"/>
          <w:lang w:val="en-GB"/>
        </w:rPr>
        <w:t xml:space="preserve"> (sinkholes)</w:t>
      </w:r>
      <w:r w:rsidRPr="00BF3D20">
        <w:rPr>
          <w:rFonts w:cstheme="minorHAnsi"/>
          <w:lang w:val="en-GB"/>
        </w:rPr>
        <w:t xml:space="preserve"> and highly </w:t>
      </w:r>
      <w:proofErr w:type="spellStart"/>
      <w:r w:rsidRPr="00BF3D20">
        <w:rPr>
          <w:rFonts w:cstheme="minorHAnsi"/>
          <w:lang w:val="en-GB"/>
        </w:rPr>
        <w:t>karstified</w:t>
      </w:r>
      <w:proofErr w:type="spellEnd"/>
      <w:r w:rsidRPr="00BF3D20">
        <w:rPr>
          <w:rFonts w:cstheme="minorHAnsi"/>
          <w:lang w:val="en-GB"/>
        </w:rPr>
        <w:t xml:space="preserve"> structures should be recognised as priority sectors for preventive measures and field inspections. This shared prioritisation framework </w:t>
      </w:r>
      <w:r>
        <w:rPr>
          <w:rFonts w:cstheme="minorHAnsi"/>
          <w:lang w:val="en-GB"/>
        </w:rPr>
        <w:t xml:space="preserve">would </w:t>
      </w:r>
      <w:r w:rsidRPr="00BF3D20">
        <w:rPr>
          <w:rFonts w:cstheme="minorHAnsi"/>
          <w:lang w:val="en-GB"/>
        </w:rPr>
        <w:t>allow each country to maintain its own SPZ legal zoning, while enabling coordinated decisions on where stricter practices are needed most.</w:t>
      </w:r>
    </w:p>
    <w:p w14:paraId="2F5F13B7" w14:textId="18D27A31" w:rsidR="00BF3D20" w:rsidRPr="00B26173" w:rsidRDefault="00BF3D20" w:rsidP="00BF3D20">
      <w:pPr>
        <w:pStyle w:val="Heading3"/>
        <w:rPr>
          <w:lang w:val="en-GB"/>
        </w:rPr>
      </w:pPr>
      <w:bookmarkStart w:id="27" w:name="_Toc225418437"/>
      <w:r w:rsidRPr="00B26173">
        <w:rPr>
          <w:lang w:val="en-GB"/>
        </w:rPr>
        <w:t>7.2.2 Aligning expectations for routine and event</w:t>
      </w:r>
      <w:r w:rsidRPr="00B26173">
        <w:rPr>
          <w:rFonts w:ascii="Cambria Math" w:hAnsi="Cambria Math" w:cs="Cambria Math"/>
          <w:lang w:val="en-GB"/>
        </w:rPr>
        <w:t>‑</w:t>
      </w:r>
      <w:r w:rsidRPr="00B26173">
        <w:rPr>
          <w:lang w:val="en-GB"/>
        </w:rPr>
        <w:t>based monitoring</w:t>
      </w:r>
      <w:bookmarkEnd w:id="27"/>
    </w:p>
    <w:p w14:paraId="6D8425C0" w14:textId="77777777" w:rsidR="00BF3D20" w:rsidRPr="00BF3D20" w:rsidRDefault="00BF3D20" w:rsidP="00BF3D20">
      <w:pPr>
        <w:jc w:val="both"/>
        <w:rPr>
          <w:rFonts w:cstheme="minorHAnsi"/>
          <w:lang w:val="en-GB"/>
        </w:rPr>
      </w:pPr>
      <w:r w:rsidRPr="00BF3D20">
        <w:rPr>
          <w:rFonts w:cstheme="minorHAnsi"/>
          <w:lang w:val="en-GB"/>
        </w:rPr>
        <w:t>Given that the most significant contamination pulses in karst occur during high</w:t>
      </w:r>
      <w:r w:rsidRPr="00BF3D20">
        <w:rPr>
          <w:rFonts w:ascii="Cambria Math" w:hAnsi="Cambria Math" w:cs="Cambria Math"/>
          <w:lang w:val="en-GB"/>
        </w:rPr>
        <w:t>‑</w:t>
      </w:r>
      <w:r w:rsidRPr="00BF3D20">
        <w:rPr>
          <w:rFonts w:cstheme="minorHAnsi"/>
          <w:lang w:val="en-GB"/>
        </w:rPr>
        <w:t>flow or rainfall events, future SPZ alignment requires compatible expectations for how routine and event</w:t>
      </w:r>
      <w:r w:rsidRPr="00BF3D20">
        <w:rPr>
          <w:rFonts w:ascii="Cambria Math" w:hAnsi="Cambria Math" w:cs="Cambria Math"/>
          <w:lang w:val="en-GB"/>
        </w:rPr>
        <w:t>‑</w:t>
      </w:r>
      <w:r w:rsidRPr="00BF3D20">
        <w:rPr>
          <w:rFonts w:cstheme="minorHAnsi"/>
          <w:lang w:val="en-GB"/>
        </w:rPr>
        <w:t>based monitoring is conducted. Both countries can adopt similar triggers (e.g., rainfall intensity, abrupt changes in discharge) to activate intensified sampling or operational precautions. This supports a coherent system of early detection and ensures that operators and inspectorates act on comparable interpretations of risk, facilitating later harmonisation of official SPZ protocols.</w:t>
      </w:r>
    </w:p>
    <w:p w14:paraId="01A92187" w14:textId="4DAB7E9C" w:rsidR="00BF3D20" w:rsidRPr="00B26173" w:rsidRDefault="00BF3D20" w:rsidP="00BF3D20">
      <w:pPr>
        <w:pStyle w:val="Heading3"/>
        <w:rPr>
          <w:lang w:val="en-GB"/>
        </w:rPr>
      </w:pPr>
      <w:bookmarkStart w:id="28" w:name="_Toc225418438"/>
      <w:r w:rsidRPr="00B26173">
        <w:rPr>
          <w:lang w:val="en-GB"/>
        </w:rPr>
        <w:t>7.2.3 Structuring inspection planning around shared risk indicators</w:t>
      </w:r>
      <w:bookmarkEnd w:id="28"/>
    </w:p>
    <w:p w14:paraId="5077E560" w14:textId="257FDCE2" w:rsidR="00BF3D20" w:rsidRPr="00BF3D20" w:rsidRDefault="00BF3D20" w:rsidP="00BF3D20">
      <w:pPr>
        <w:jc w:val="both"/>
        <w:rPr>
          <w:rFonts w:cstheme="minorHAnsi"/>
          <w:lang w:val="en-GB"/>
        </w:rPr>
      </w:pPr>
      <w:r w:rsidRPr="00BF3D20">
        <w:rPr>
          <w:rFonts w:cstheme="minorHAnsi"/>
          <w:lang w:val="en-GB"/>
        </w:rPr>
        <w:t>For long</w:t>
      </w:r>
      <w:r w:rsidRPr="00BF3D20">
        <w:rPr>
          <w:rFonts w:ascii="Cambria Math" w:hAnsi="Cambria Math" w:cs="Cambria Math"/>
          <w:lang w:val="en-GB"/>
        </w:rPr>
        <w:t>‑</w:t>
      </w:r>
      <w:r w:rsidRPr="00BF3D20">
        <w:rPr>
          <w:rFonts w:cstheme="minorHAnsi"/>
          <w:lang w:val="en-GB"/>
        </w:rPr>
        <w:t>term alignment, both countries can benefit from using common operational indicators to prioritise inspections and compliance checks. These may include the proximity of activities to infiltration zones, the density of septic systems, seasonal pressures from tourism, the intensity of agricultural inputs or the presence of unregulated waste sites. By applying these shared criteria, inspectorates can target high</w:t>
      </w:r>
      <w:r w:rsidRPr="00BF3D20">
        <w:rPr>
          <w:rFonts w:ascii="Cambria Math" w:hAnsi="Cambria Math" w:cs="Cambria Math"/>
          <w:lang w:val="en-GB"/>
        </w:rPr>
        <w:t>‑</w:t>
      </w:r>
      <w:r w:rsidRPr="00BF3D20">
        <w:rPr>
          <w:rFonts w:cstheme="minorHAnsi"/>
          <w:lang w:val="en-GB"/>
        </w:rPr>
        <w:t>risk areas more consistently, creating a practical bridge toward harmonising enforcement practices in the later stages of the project.</w:t>
      </w:r>
    </w:p>
    <w:p w14:paraId="22A76999" w14:textId="0BA61648" w:rsidR="00BF3D20" w:rsidRPr="00BF3D20" w:rsidRDefault="00BF3D20" w:rsidP="00BF3D20">
      <w:pPr>
        <w:pStyle w:val="Heading3"/>
        <w:rPr>
          <w:lang w:val="en-GB"/>
        </w:rPr>
      </w:pPr>
      <w:bookmarkStart w:id="29" w:name="_Toc225418439"/>
      <w:r w:rsidRPr="00BF3D20">
        <w:rPr>
          <w:lang w:val="en-GB"/>
        </w:rPr>
        <w:t xml:space="preserve">7.2.4 Establishing compatible operational responses during </w:t>
      </w:r>
      <w:r w:rsidR="00624A65" w:rsidRPr="00624A65">
        <w:rPr>
          <w:lang w:val="sr-Latn-RS"/>
        </w:rPr>
        <w:t>high-risk</w:t>
      </w:r>
      <w:r w:rsidRPr="00BF3D20">
        <w:rPr>
          <w:lang w:val="en-GB"/>
        </w:rPr>
        <w:t xml:space="preserve"> periods</w:t>
      </w:r>
      <w:bookmarkEnd w:id="29"/>
    </w:p>
    <w:p w14:paraId="0B8AC9BC" w14:textId="77777777" w:rsidR="00BF3D20" w:rsidRPr="00BF3D20" w:rsidRDefault="00BF3D20" w:rsidP="00BF3D20">
      <w:pPr>
        <w:jc w:val="both"/>
        <w:rPr>
          <w:rFonts w:cstheme="minorHAnsi"/>
          <w:lang w:val="en-GB"/>
        </w:rPr>
      </w:pPr>
      <w:r w:rsidRPr="00BF3D20">
        <w:rPr>
          <w:rFonts w:cstheme="minorHAnsi"/>
          <w:lang w:val="en-GB"/>
        </w:rPr>
        <w:t>During wet seasons, tourism peaks or times of increased abstraction demand, karst systems become more vulnerable to contamination. Future SPZ harmonisation therefore requires the two countries to use comparable operational responses during such periods. This includes temporary increases in sampling frequency, enhanced surveillance of critical sites, targeted communication with utilities or short</w:t>
      </w:r>
      <w:r w:rsidRPr="00BF3D20">
        <w:rPr>
          <w:rFonts w:ascii="Cambria Math" w:hAnsi="Cambria Math" w:cs="Cambria Math"/>
          <w:lang w:val="en-GB"/>
        </w:rPr>
        <w:t>‑</w:t>
      </w:r>
      <w:r w:rsidRPr="00BF3D20">
        <w:rPr>
          <w:rFonts w:cstheme="minorHAnsi"/>
          <w:lang w:val="en-GB"/>
        </w:rPr>
        <w:t>term restrictions on high</w:t>
      </w:r>
      <w:r w:rsidRPr="00BF3D20">
        <w:rPr>
          <w:rFonts w:ascii="Cambria Math" w:hAnsi="Cambria Math" w:cs="Cambria Math"/>
          <w:lang w:val="en-GB"/>
        </w:rPr>
        <w:t>‑</w:t>
      </w:r>
      <w:r w:rsidRPr="00BF3D20">
        <w:rPr>
          <w:rFonts w:cstheme="minorHAnsi"/>
          <w:lang w:val="en-GB"/>
        </w:rPr>
        <w:t>risk activities. Establishing non</w:t>
      </w:r>
      <w:r w:rsidRPr="00BF3D20">
        <w:rPr>
          <w:rFonts w:ascii="Cambria Math" w:hAnsi="Cambria Math" w:cs="Cambria Math"/>
          <w:lang w:val="en-GB"/>
        </w:rPr>
        <w:t>‑</w:t>
      </w:r>
      <w:r w:rsidRPr="00BF3D20">
        <w:rPr>
          <w:rFonts w:cstheme="minorHAnsi"/>
          <w:lang w:val="en-GB"/>
        </w:rPr>
        <w:t>binding but common response patterns now will make it significantly easier to align formal procedures during the project’s subsequent phases.</w:t>
      </w:r>
    </w:p>
    <w:p w14:paraId="6669D8C8" w14:textId="4C7143B0" w:rsidR="00BF3D20" w:rsidRPr="00B26173" w:rsidRDefault="00BF3D20" w:rsidP="00BF3D20">
      <w:pPr>
        <w:pStyle w:val="Heading3"/>
        <w:rPr>
          <w:lang w:val="en-GB"/>
        </w:rPr>
      </w:pPr>
      <w:bookmarkStart w:id="30" w:name="_Toc225418440"/>
      <w:r w:rsidRPr="00B26173">
        <w:rPr>
          <w:lang w:val="en-GB"/>
        </w:rPr>
        <w:t>7.2.5 Introducing a shared technical vocabulary for SPZ operations</w:t>
      </w:r>
      <w:bookmarkEnd w:id="30"/>
    </w:p>
    <w:p w14:paraId="05AE664C" w14:textId="0DE32D7B" w:rsidR="00BF3D20" w:rsidRPr="00BF3D20" w:rsidRDefault="00BF3D20" w:rsidP="00BF3D20">
      <w:pPr>
        <w:jc w:val="both"/>
        <w:rPr>
          <w:rFonts w:cstheme="minorHAnsi"/>
          <w:lang w:val="en-GB"/>
        </w:rPr>
      </w:pPr>
      <w:r w:rsidRPr="00BF3D20">
        <w:rPr>
          <w:rFonts w:cstheme="minorHAnsi"/>
          <w:lang w:val="en-GB"/>
        </w:rPr>
        <w:t>A major practical step toward future alignment is the gradual adoption of a shared technical vocabulary focused on operational realities rather than legal terminology. Terms such as rapid</w:t>
      </w:r>
      <w:r w:rsidRPr="00BF3D20">
        <w:rPr>
          <w:rFonts w:ascii="Cambria Math" w:hAnsi="Cambria Math" w:cs="Cambria Math"/>
          <w:lang w:val="en-GB"/>
        </w:rPr>
        <w:t>‑</w:t>
      </w:r>
      <w:r w:rsidRPr="00BF3D20">
        <w:rPr>
          <w:rFonts w:cstheme="minorHAnsi"/>
          <w:lang w:val="en-GB"/>
        </w:rPr>
        <w:t xml:space="preserve">transport sector, </w:t>
      </w:r>
      <w:r>
        <w:rPr>
          <w:rFonts w:cstheme="minorHAnsi"/>
          <w:lang w:val="en-GB"/>
        </w:rPr>
        <w:t>vulnerable</w:t>
      </w:r>
      <w:r w:rsidRPr="00BF3D20">
        <w:rPr>
          <w:rFonts w:cstheme="minorHAnsi"/>
          <w:lang w:val="en-GB"/>
        </w:rPr>
        <w:t xml:space="preserve"> recharge area, focused</w:t>
      </w:r>
      <w:r w:rsidRPr="00BF3D20">
        <w:rPr>
          <w:rFonts w:ascii="Cambria Math" w:hAnsi="Cambria Math" w:cs="Cambria Math"/>
          <w:lang w:val="en-GB"/>
        </w:rPr>
        <w:t>‑</w:t>
      </w:r>
      <w:r w:rsidRPr="00BF3D20">
        <w:rPr>
          <w:rFonts w:cstheme="minorHAnsi"/>
          <w:lang w:val="en-GB"/>
        </w:rPr>
        <w:t xml:space="preserve">infiltration corridor, or priority zone </w:t>
      </w:r>
      <w:r>
        <w:rPr>
          <w:rFonts w:cstheme="minorHAnsi"/>
          <w:lang w:val="en-GB"/>
        </w:rPr>
        <w:t xml:space="preserve">would </w:t>
      </w:r>
      <w:r w:rsidRPr="00BF3D20">
        <w:rPr>
          <w:rFonts w:cstheme="minorHAnsi"/>
          <w:lang w:val="en-GB"/>
        </w:rPr>
        <w:t xml:space="preserve">help create a common understanding of hydrogeological risks. </w:t>
      </w:r>
      <w:r w:rsidR="00D87862" w:rsidRPr="00D87862">
        <w:rPr>
          <w:rFonts w:cstheme="minorHAnsi"/>
        </w:rPr>
        <w:t>This enables national experts in both countries to collaborate effectively while retaining their national legal frameworks until a later stage of the DIKTAS II project.</w:t>
      </w:r>
    </w:p>
    <w:p w14:paraId="0E972BD5" w14:textId="5B29C490" w:rsidR="00BF3D20" w:rsidRPr="00B26173" w:rsidRDefault="00BF3D20" w:rsidP="00BF3D20">
      <w:pPr>
        <w:pStyle w:val="Heading3"/>
        <w:rPr>
          <w:lang w:val="en-GB"/>
        </w:rPr>
      </w:pPr>
      <w:bookmarkStart w:id="31" w:name="_Toc225418441"/>
      <w:r w:rsidRPr="00B26173">
        <w:rPr>
          <w:lang w:val="en-GB"/>
        </w:rPr>
        <w:t>7.2.6 Using harmonised criteria to support coordinated communication with local actors</w:t>
      </w:r>
      <w:bookmarkEnd w:id="31"/>
    </w:p>
    <w:p w14:paraId="58794306" w14:textId="718D468D" w:rsidR="00BF3D20" w:rsidRPr="00BF3D20" w:rsidRDefault="00BF3D20" w:rsidP="00BF3D20">
      <w:pPr>
        <w:jc w:val="both"/>
        <w:rPr>
          <w:rFonts w:cstheme="minorHAnsi"/>
          <w:lang w:val="en-GB"/>
        </w:rPr>
      </w:pPr>
      <w:r w:rsidRPr="00BF3D20">
        <w:rPr>
          <w:rFonts w:cstheme="minorHAnsi"/>
          <w:lang w:val="en-GB"/>
        </w:rPr>
        <w:t>Operational harmonisation also requires clear and consistent messages toward municipalities, utilities, inspectorates and protected</w:t>
      </w:r>
      <w:r w:rsidRPr="00BF3D20">
        <w:rPr>
          <w:rFonts w:ascii="Cambria Math" w:hAnsi="Cambria Math" w:cs="Cambria Math"/>
          <w:lang w:val="en-GB"/>
        </w:rPr>
        <w:t>‑</w:t>
      </w:r>
      <w:r w:rsidRPr="00BF3D20">
        <w:rPr>
          <w:rFonts w:cstheme="minorHAnsi"/>
          <w:lang w:val="en-GB"/>
        </w:rPr>
        <w:t>area authorities. By basing future guidance on shared vulnerability concepts and risk indicators, both countries can ensure that local stakeholders receive comparable instructions on sanitation management, agricultural practices or land</w:t>
      </w:r>
      <w:r w:rsidRPr="00BF3D20">
        <w:rPr>
          <w:rFonts w:ascii="Cambria Math" w:hAnsi="Cambria Math" w:cs="Cambria Math"/>
          <w:lang w:val="en-GB"/>
        </w:rPr>
        <w:t>‑</w:t>
      </w:r>
      <w:r w:rsidRPr="00BF3D20">
        <w:rPr>
          <w:rFonts w:cstheme="minorHAnsi"/>
          <w:lang w:val="en-GB"/>
        </w:rPr>
        <w:t xml:space="preserve">use decisions in </w:t>
      </w:r>
      <w:r>
        <w:rPr>
          <w:rFonts w:cstheme="minorHAnsi"/>
          <w:lang w:val="en-GB"/>
        </w:rPr>
        <w:t>vulnerable</w:t>
      </w:r>
      <w:r w:rsidRPr="00BF3D20">
        <w:rPr>
          <w:rFonts w:cstheme="minorHAnsi"/>
          <w:lang w:val="en-GB"/>
        </w:rPr>
        <w:t xml:space="preserve"> areas. This consistency will be essential when preparing the final phase of SPZ alignment within the project.</w:t>
      </w:r>
    </w:p>
    <w:p w14:paraId="3F0D234F" w14:textId="033D1F07" w:rsidR="00BF3D20" w:rsidRPr="00B26173" w:rsidRDefault="00BF3D20" w:rsidP="00BF3D20">
      <w:pPr>
        <w:pStyle w:val="Heading3"/>
        <w:rPr>
          <w:lang w:val="en-GB"/>
        </w:rPr>
      </w:pPr>
      <w:bookmarkStart w:id="32" w:name="_Toc225418442"/>
      <w:r w:rsidRPr="00B26173">
        <w:rPr>
          <w:lang w:val="en-GB"/>
        </w:rPr>
        <w:lastRenderedPageBreak/>
        <w:t>7.2.7 Creating an iterative framework for progressive alignment of SPZ management</w:t>
      </w:r>
      <w:bookmarkEnd w:id="32"/>
    </w:p>
    <w:p w14:paraId="6F7CCE37" w14:textId="1F5BD930" w:rsidR="00F251C6" w:rsidRPr="00F251C6" w:rsidRDefault="00BF3D20" w:rsidP="00BF3D20">
      <w:pPr>
        <w:jc w:val="both"/>
        <w:rPr>
          <w:rFonts w:cstheme="minorHAnsi"/>
          <w:lang w:val="en-GB"/>
        </w:rPr>
      </w:pPr>
      <w:r w:rsidRPr="00BF3D20">
        <w:rPr>
          <w:rFonts w:cstheme="minorHAnsi"/>
          <w:lang w:val="en-GB"/>
        </w:rPr>
        <w:t>These non</w:t>
      </w:r>
      <w:r w:rsidRPr="00BF3D20">
        <w:rPr>
          <w:rFonts w:ascii="Cambria Math" w:hAnsi="Cambria Math" w:cs="Cambria Math"/>
          <w:lang w:val="en-GB"/>
        </w:rPr>
        <w:t>‑</w:t>
      </w:r>
      <w:r w:rsidRPr="00BF3D20">
        <w:rPr>
          <w:rFonts w:cstheme="minorHAnsi"/>
          <w:lang w:val="en-GB"/>
        </w:rPr>
        <w:t xml:space="preserve">binding criteria are intended not as final rules, but as a structured starting point for building a fully harmonised SPZ management system over the course of the </w:t>
      </w:r>
      <w:r>
        <w:rPr>
          <w:rFonts w:cstheme="minorHAnsi"/>
          <w:lang w:val="en-GB"/>
        </w:rPr>
        <w:t xml:space="preserve">DIKTAS II </w:t>
      </w:r>
      <w:r w:rsidRPr="00BF3D20">
        <w:rPr>
          <w:rFonts w:cstheme="minorHAnsi"/>
          <w:lang w:val="en-GB"/>
        </w:rPr>
        <w:t>project. By applying common operational principles early</w:t>
      </w:r>
      <w:r>
        <w:rPr>
          <w:rFonts w:ascii="Calibri" w:hAnsi="Calibri" w:cs="Calibri"/>
          <w:lang w:val="en-GB"/>
        </w:rPr>
        <w:t xml:space="preserve">, </w:t>
      </w:r>
      <w:r w:rsidRPr="00BF3D20">
        <w:rPr>
          <w:rFonts w:cstheme="minorHAnsi"/>
          <w:lang w:val="en-GB"/>
        </w:rPr>
        <w:t xml:space="preserve">especially in </w:t>
      </w:r>
      <w:r>
        <w:rPr>
          <w:rFonts w:cstheme="minorHAnsi"/>
          <w:lang w:val="en-GB"/>
        </w:rPr>
        <w:t xml:space="preserve">possible </w:t>
      </w:r>
      <w:r w:rsidRPr="00BF3D20">
        <w:rPr>
          <w:rFonts w:cstheme="minorHAnsi"/>
          <w:lang w:val="en-GB"/>
        </w:rPr>
        <w:t>pilot areas</w:t>
      </w:r>
      <w:r>
        <w:rPr>
          <w:rFonts w:ascii="Calibri" w:hAnsi="Calibri" w:cs="Calibri"/>
          <w:lang w:val="en-GB"/>
        </w:rPr>
        <w:t xml:space="preserve">, </w:t>
      </w:r>
      <w:r w:rsidRPr="00BF3D20">
        <w:rPr>
          <w:rFonts w:cstheme="minorHAnsi"/>
          <w:lang w:val="en-GB"/>
        </w:rPr>
        <w:t xml:space="preserve">both countries </w:t>
      </w:r>
      <w:r w:rsidR="00011CA4">
        <w:rPr>
          <w:rFonts w:cstheme="minorHAnsi"/>
          <w:lang w:val="en-GB"/>
        </w:rPr>
        <w:t>would</w:t>
      </w:r>
      <w:r w:rsidRPr="00BF3D20">
        <w:rPr>
          <w:rFonts w:cstheme="minorHAnsi"/>
          <w:lang w:val="en-GB"/>
        </w:rPr>
        <w:t xml:space="preserve"> generate shared experience, comparable datasets and a mutual understanding of practical challenges. This iterative process </w:t>
      </w:r>
      <w:r w:rsidR="00011CA4">
        <w:rPr>
          <w:rFonts w:cstheme="minorHAnsi"/>
          <w:lang w:val="en-GB"/>
        </w:rPr>
        <w:t>would</w:t>
      </w:r>
      <w:r w:rsidRPr="00BF3D20">
        <w:rPr>
          <w:rFonts w:cstheme="minorHAnsi"/>
          <w:lang w:val="en-GB"/>
        </w:rPr>
        <w:t xml:space="preserve"> ultimately support the development of aligned SPZ methodologies and joint decision</w:t>
      </w:r>
      <w:r w:rsidRPr="00BF3D20">
        <w:rPr>
          <w:rFonts w:ascii="Cambria Math" w:hAnsi="Cambria Math" w:cs="Cambria Math"/>
          <w:lang w:val="en-GB"/>
        </w:rPr>
        <w:t>‑</w:t>
      </w:r>
      <w:r w:rsidRPr="00BF3D20">
        <w:rPr>
          <w:rFonts w:cstheme="minorHAnsi"/>
          <w:lang w:val="en-GB"/>
        </w:rPr>
        <w:t>support tools in the later implementation stages.</w:t>
      </w:r>
    </w:p>
    <w:p w14:paraId="5A16D38D" w14:textId="77777777" w:rsidR="00F251C6" w:rsidRPr="00F251C6" w:rsidRDefault="00F251C6" w:rsidP="00F251C6">
      <w:pPr>
        <w:jc w:val="both"/>
        <w:rPr>
          <w:rFonts w:cstheme="minorHAnsi"/>
          <w:lang w:val="en-GB"/>
        </w:rPr>
      </w:pPr>
    </w:p>
    <w:p w14:paraId="38BEA5CF" w14:textId="6E237C9C" w:rsidR="00F251C6" w:rsidRPr="00033722" w:rsidRDefault="00F251C6" w:rsidP="00033722">
      <w:pPr>
        <w:pStyle w:val="Heading2"/>
        <w:rPr>
          <w:lang w:val="en-GB"/>
        </w:rPr>
      </w:pPr>
      <w:bookmarkStart w:id="33" w:name="_Toc225418443"/>
      <w:r w:rsidRPr="00033722">
        <w:rPr>
          <w:lang w:val="en-GB"/>
        </w:rPr>
        <w:t>7.</w:t>
      </w:r>
      <w:r w:rsidR="00033722" w:rsidRPr="00033722">
        <w:rPr>
          <w:lang w:val="en-GB"/>
        </w:rPr>
        <w:t>3</w:t>
      </w:r>
      <w:r w:rsidRPr="00033722">
        <w:rPr>
          <w:lang w:val="en-GB"/>
        </w:rPr>
        <w:t xml:space="preserve"> Shared </w:t>
      </w:r>
      <w:r w:rsidR="001F4170" w:rsidRPr="00033722">
        <w:rPr>
          <w:lang w:val="en-GB"/>
        </w:rPr>
        <w:t>t</w:t>
      </w:r>
      <w:r w:rsidRPr="00033722">
        <w:rPr>
          <w:lang w:val="en-GB"/>
        </w:rPr>
        <w:t xml:space="preserve">ools </w:t>
      </w:r>
      <w:r w:rsidR="001F4170" w:rsidRPr="00033722">
        <w:rPr>
          <w:lang w:val="en-GB"/>
        </w:rPr>
        <w:t>s</w:t>
      </w:r>
      <w:r w:rsidRPr="00033722">
        <w:rPr>
          <w:lang w:val="en-GB"/>
        </w:rPr>
        <w:t xml:space="preserve">upporting </w:t>
      </w:r>
      <w:r w:rsidR="001F4170" w:rsidRPr="00033722">
        <w:rPr>
          <w:lang w:val="en-GB"/>
        </w:rPr>
        <w:t>s</w:t>
      </w:r>
      <w:r w:rsidRPr="00033722">
        <w:rPr>
          <w:lang w:val="en-GB"/>
        </w:rPr>
        <w:t xml:space="preserve">anitary </w:t>
      </w:r>
      <w:r w:rsidR="001F4170" w:rsidRPr="00033722">
        <w:rPr>
          <w:lang w:val="en-GB"/>
        </w:rPr>
        <w:t>p</w:t>
      </w:r>
      <w:r w:rsidRPr="00033722">
        <w:rPr>
          <w:lang w:val="en-GB"/>
        </w:rPr>
        <w:t xml:space="preserve">rotection </w:t>
      </w:r>
      <w:r w:rsidR="001F4170" w:rsidRPr="00033722">
        <w:rPr>
          <w:lang w:val="en-GB"/>
        </w:rPr>
        <w:t>z</w:t>
      </w:r>
      <w:r w:rsidRPr="00033722">
        <w:rPr>
          <w:lang w:val="en-GB"/>
        </w:rPr>
        <w:t xml:space="preserve">one </w:t>
      </w:r>
      <w:r w:rsidR="001F4170" w:rsidRPr="00033722">
        <w:rPr>
          <w:lang w:val="en-GB"/>
        </w:rPr>
        <w:t>m</w:t>
      </w:r>
      <w:r w:rsidRPr="00033722">
        <w:rPr>
          <w:lang w:val="en-GB"/>
        </w:rPr>
        <w:t>anagement</w:t>
      </w:r>
      <w:bookmarkEnd w:id="33"/>
    </w:p>
    <w:p w14:paraId="2C3025DE" w14:textId="77777777" w:rsidR="001F4170" w:rsidRPr="001F4170" w:rsidRDefault="001F4170" w:rsidP="001F4170">
      <w:pPr>
        <w:jc w:val="both"/>
        <w:rPr>
          <w:rFonts w:cstheme="minorHAnsi"/>
          <w:lang w:val="en-GB"/>
        </w:rPr>
      </w:pPr>
      <w:r w:rsidRPr="001F4170">
        <w:rPr>
          <w:rFonts w:cstheme="minorHAnsi"/>
          <w:lang w:val="en-GB"/>
        </w:rPr>
        <w:t>Future efforts to improve the operational management of sanitary protection zones (SPZs) in shared karst aquifers may benefit from the gradual introduction of shared, non</w:t>
      </w:r>
      <w:r w:rsidRPr="001F4170">
        <w:rPr>
          <w:rFonts w:ascii="Cambria Math" w:hAnsi="Cambria Math" w:cs="Cambria Math"/>
          <w:lang w:val="en-GB"/>
        </w:rPr>
        <w:t>‑</w:t>
      </w:r>
      <w:r w:rsidRPr="001F4170">
        <w:rPr>
          <w:rFonts w:cstheme="minorHAnsi"/>
          <w:lang w:val="en-GB"/>
        </w:rPr>
        <w:t>binding technical tools. These tools are not intended to replace national procedures or prescribe uniform methods. Instead, they offer a common technical reference that both countries can draw upon when seeking to enhance comparability, strengthen coordination, or inform joint planning during later phases of the project.</w:t>
      </w:r>
    </w:p>
    <w:p w14:paraId="3FB4CF24" w14:textId="08306CB9" w:rsidR="00F251C6" w:rsidRPr="00F251C6" w:rsidRDefault="001F4170" w:rsidP="00F251C6">
      <w:pPr>
        <w:jc w:val="both"/>
        <w:rPr>
          <w:rFonts w:cstheme="minorHAnsi"/>
          <w:lang w:val="en-GB"/>
        </w:rPr>
      </w:pPr>
      <w:r w:rsidRPr="001F4170">
        <w:rPr>
          <w:rFonts w:cstheme="minorHAnsi"/>
          <w:lang w:val="en-GB"/>
        </w:rPr>
        <w:t>Because karst aquifers often exhibit rapid infiltration, complex subsurface pathways and strong responses to recharge events, SPZ</w:t>
      </w:r>
      <w:r w:rsidRPr="001F4170">
        <w:rPr>
          <w:rFonts w:ascii="Cambria Math" w:hAnsi="Cambria Math" w:cs="Cambria Math"/>
          <w:lang w:val="en-GB"/>
        </w:rPr>
        <w:t>‑</w:t>
      </w:r>
      <w:r w:rsidRPr="001F4170">
        <w:rPr>
          <w:rFonts w:cstheme="minorHAnsi"/>
          <w:lang w:val="en-GB"/>
        </w:rPr>
        <w:t xml:space="preserve">related decisions can be more effective when supported by analytical tools that capture these dynamics realistically. </w:t>
      </w:r>
      <w:r w:rsidR="00033722" w:rsidRPr="00033722">
        <w:rPr>
          <w:rFonts w:cstheme="minorHAnsi"/>
          <w:lang w:val="en-GB"/>
        </w:rPr>
        <w:t>Using compatible technical tools</w:t>
      </w:r>
      <w:r w:rsidR="00033722">
        <w:rPr>
          <w:rFonts w:cstheme="minorHAnsi"/>
          <w:lang w:val="en-GB"/>
        </w:rPr>
        <w:t>,</w:t>
      </w:r>
      <w:r w:rsidR="00033722" w:rsidRPr="00033722">
        <w:rPr>
          <w:rFonts w:cstheme="minorHAnsi"/>
          <w:lang w:val="en-GB"/>
        </w:rPr>
        <w:t xml:space="preserve"> with each country applying them in ways that fit its own systems</w:t>
      </w:r>
      <w:r w:rsidR="00033722">
        <w:rPr>
          <w:rFonts w:cstheme="minorHAnsi"/>
          <w:lang w:val="en-GB"/>
        </w:rPr>
        <w:t>,</w:t>
      </w:r>
      <w:r w:rsidR="00033722" w:rsidRPr="00033722">
        <w:rPr>
          <w:rFonts w:cstheme="minorHAnsi"/>
          <w:lang w:val="en-GB"/>
        </w:rPr>
        <w:t xml:space="preserve"> can help create a solid basis for future alignment, if both sides later decide to pursue it</w:t>
      </w:r>
      <w:r w:rsidR="00033722">
        <w:rPr>
          <w:rFonts w:cstheme="minorHAnsi"/>
          <w:lang w:val="en-GB"/>
        </w:rPr>
        <w:t>.</w:t>
      </w:r>
    </w:p>
    <w:p w14:paraId="5F87A728" w14:textId="48C6D660" w:rsidR="00033722" w:rsidRPr="00B26173" w:rsidRDefault="00033722" w:rsidP="00033722">
      <w:pPr>
        <w:pStyle w:val="Heading3"/>
        <w:rPr>
          <w:lang w:val="en-GB"/>
        </w:rPr>
      </w:pPr>
      <w:bookmarkStart w:id="34" w:name="_Toc225418444"/>
      <w:r w:rsidRPr="00B26173">
        <w:rPr>
          <w:lang w:val="en-GB"/>
        </w:rPr>
        <w:t>7.3.1 Joint approaches for investigating recharge areas and flow connectivity</w:t>
      </w:r>
      <w:bookmarkEnd w:id="34"/>
    </w:p>
    <w:p w14:paraId="2EAB57EE" w14:textId="5B30AAF5" w:rsidR="00033722" w:rsidRPr="00033722" w:rsidRDefault="00033722" w:rsidP="00033722">
      <w:pPr>
        <w:jc w:val="both"/>
        <w:rPr>
          <w:rFonts w:cstheme="minorHAnsi"/>
          <w:lang w:val="en-GB"/>
        </w:rPr>
      </w:pPr>
      <w:r w:rsidRPr="00033722">
        <w:rPr>
          <w:rFonts w:cstheme="minorHAnsi"/>
          <w:lang w:val="en-GB"/>
        </w:rPr>
        <w:t>A priority for future alignment is the use of shared methods for identifying recharge zones and clarifying dominant flow. Techniques such as tracer tests, simultaneous spring measurements, structural mapping and targeted field reconnaissance may be applied independently by each country but interpreted through a shared framework. This ensures that recharge zones influencing downstream drinking</w:t>
      </w:r>
      <w:r w:rsidRPr="00033722">
        <w:rPr>
          <w:rFonts w:ascii="Cambria Math" w:hAnsi="Cambria Math" w:cs="Cambria Math"/>
          <w:lang w:val="en-GB"/>
        </w:rPr>
        <w:t>‑</w:t>
      </w:r>
      <w:r w:rsidRPr="00033722">
        <w:rPr>
          <w:rFonts w:cstheme="minorHAnsi"/>
          <w:lang w:val="en-GB"/>
        </w:rPr>
        <w:t>water supplies are consistently recognised and managed, regardless of administrative boundaries.</w:t>
      </w:r>
      <w:r>
        <w:rPr>
          <w:rFonts w:cstheme="minorHAnsi"/>
          <w:lang w:val="en-GB"/>
        </w:rPr>
        <w:t xml:space="preserve"> </w:t>
      </w:r>
      <w:r w:rsidRPr="00033722">
        <w:rPr>
          <w:rFonts w:cstheme="minorHAnsi"/>
          <w:lang w:val="en-GB"/>
        </w:rPr>
        <w:t>Common approaches to recharge analysis will also support the refinement of SPZ operational measures, especially in sectors with rapid transport and high vulnerability</w:t>
      </w:r>
      <w:r>
        <w:rPr>
          <w:rFonts w:cstheme="minorHAnsi"/>
          <w:lang w:val="en-GB"/>
        </w:rPr>
        <w:t xml:space="preserve"> (</w:t>
      </w:r>
      <w:r w:rsidRPr="00011CA4">
        <w:rPr>
          <w:rFonts w:cstheme="minorHAnsi"/>
          <w:lang w:val="en-GB"/>
        </w:rPr>
        <w:t>Zwahlen</w:t>
      </w:r>
      <w:r>
        <w:rPr>
          <w:rFonts w:cstheme="minorHAnsi"/>
          <w:lang w:val="en-GB"/>
        </w:rPr>
        <w:t>, 2004)</w:t>
      </w:r>
      <w:r w:rsidRPr="00033722">
        <w:rPr>
          <w:rFonts w:cstheme="minorHAnsi"/>
          <w:lang w:val="en-GB"/>
        </w:rPr>
        <w:t xml:space="preserve">. </w:t>
      </w:r>
    </w:p>
    <w:p w14:paraId="7E590ED0" w14:textId="3ECB159C" w:rsidR="00033722" w:rsidRPr="00B26173" w:rsidRDefault="00033722" w:rsidP="00033722">
      <w:pPr>
        <w:pStyle w:val="Heading3"/>
        <w:rPr>
          <w:lang w:val="en-GB"/>
        </w:rPr>
      </w:pPr>
      <w:bookmarkStart w:id="35" w:name="_Toc225418445"/>
      <w:r w:rsidRPr="00B26173">
        <w:rPr>
          <w:lang w:val="en-GB"/>
        </w:rPr>
        <w:t>7.3.2 Harmonised use of vulnerability</w:t>
      </w:r>
      <w:r w:rsidRPr="00B26173">
        <w:rPr>
          <w:rFonts w:ascii="Cambria Math" w:hAnsi="Cambria Math" w:cs="Cambria Math"/>
          <w:lang w:val="en-GB"/>
        </w:rPr>
        <w:t>‑</w:t>
      </w:r>
      <w:r w:rsidRPr="00B26173">
        <w:rPr>
          <w:lang w:val="en-GB"/>
        </w:rPr>
        <w:t>based assessment tools</w:t>
      </w:r>
      <w:bookmarkEnd w:id="35"/>
    </w:p>
    <w:p w14:paraId="0146D33E" w14:textId="4F6164FF" w:rsidR="00033722" w:rsidRPr="00033722" w:rsidRDefault="00033722" w:rsidP="00033722">
      <w:pPr>
        <w:jc w:val="both"/>
        <w:rPr>
          <w:rFonts w:cstheme="minorHAnsi"/>
          <w:lang w:val="en-GB"/>
        </w:rPr>
      </w:pPr>
      <w:r>
        <w:rPr>
          <w:rFonts w:cstheme="minorHAnsi"/>
          <w:lang w:val="en-GB"/>
        </w:rPr>
        <w:t>B</w:t>
      </w:r>
      <w:r w:rsidRPr="00033722">
        <w:rPr>
          <w:rFonts w:cstheme="minorHAnsi"/>
          <w:lang w:val="en-GB"/>
        </w:rPr>
        <w:t>oth countries can apply a consistent set of vulnerability</w:t>
      </w:r>
      <w:r w:rsidRPr="00033722">
        <w:rPr>
          <w:rFonts w:ascii="Cambria Math" w:hAnsi="Cambria Math" w:cs="Cambria Math"/>
          <w:lang w:val="en-GB"/>
        </w:rPr>
        <w:t>‑</w:t>
      </w:r>
      <w:r w:rsidRPr="00033722">
        <w:rPr>
          <w:rFonts w:cstheme="minorHAnsi"/>
          <w:lang w:val="en-GB"/>
        </w:rPr>
        <w:t>oriented tools to support SPZ operations. These may include GIS</w:t>
      </w:r>
      <w:r w:rsidRPr="00033722">
        <w:rPr>
          <w:rFonts w:ascii="Cambria Math" w:hAnsi="Cambria Math" w:cs="Cambria Math"/>
          <w:lang w:val="en-GB"/>
        </w:rPr>
        <w:t>‑</w:t>
      </w:r>
      <w:r w:rsidRPr="00033722">
        <w:rPr>
          <w:rFonts w:cstheme="minorHAnsi"/>
          <w:lang w:val="en-GB"/>
        </w:rPr>
        <w:t>based overlays of overlying layers, infiltration features, precipitation patterns and karst network indicators</w:t>
      </w:r>
      <w:r w:rsidR="00F26451">
        <w:rPr>
          <w:rFonts w:cstheme="minorHAnsi"/>
          <w:lang w:val="en-GB"/>
        </w:rPr>
        <w:t xml:space="preserve"> (</w:t>
      </w:r>
      <w:r w:rsidR="00F26451" w:rsidRPr="00011CA4">
        <w:rPr>
          <w:rFonts w:cstheme="minorHAnsi"/>
          <w:lang w:val="en-GB"/>
        </w:rPr>
        <w:t>Zwahlen</w:t>
      </w:r>
      <w:r w:rsidR="00F26451">
        <w:rPr>
          <w:rFonts w:cstheme="minorHAnsi"/>
          <w:lang w:val="en-GB"/>
        </w:rPr>
        <w:t>, 2004)</w:t>
      </w:r>
      <w:r w:rsidRPr="00033722">
        <w:rPr>
          <w:rFonts w:cstheme="minorHAnsi"/>
          <w:lang w:val="en-GB"/>
        </w:rPr>
        <w:t xml:space="preserve">. Tools of this type help identify </w:t>
      </w:r>
      <w:r w:rsidR="00F26451">
        <w:rPr>
          <w:rFonts w:cstheme="minorHAnsi"/>
          <w:lang w:val="en-GB"/>
        </w:rPr>
        <w:t>vulnerable</w:t>
      </w:r>
      <w:r w:rsidRPr="00033722">
        <w:rPr>
          <w:rFonts w:cstheme="minorHAnsi"/>
          <w:lang w:val="en-GB"/>
        </w:rPr>
        <w:t xml:space="preserve"> sectors requiring enhanced inspection, stricter land</w:t>
      </w:r>
      <w:r w:rsidRPr="00033722">
        <w:rPr>
          <w:rFonts w:ascii="Cambria Math" w:hAnsi="Cambria Math" w:cs="Cambria Math"/>
          <w:lang w:val="en-GB"/>
        </w:rPr>
        <w:t>‑</w:t>
      </w:r>
      <w:r w:rsidRPr="00033722">
        <w:rPr>
          <w:rFonts w:cstheme="minorHAnsi"/>
          <w:lang w:val="en-GB"/>
        </w:rPr>
        <w:t>use guidance or targeted monitoring.</w:t>
      </w:r>
      <w:r>
        <w:rPr>
          <w:rFonts w:cstheme="minorHAnsi"/>
          <w:lang w:val="en-GB"/>
        </w:rPr>
        <w:t xml:space="preserve"> </w:t>
      </w:r>
      <w:r w:rsidRPr="00033722">
        <w:rPr>
          <w:rFonts w:cstheme="minorHAnsi"/>
          <w:lang w:val="en-GB"/>
        </w:rPr>
        <w:t xml:space="preserve">Shared vulnerability tools will be essential in the next phases of the project, where harmonisation efforts will rely on a transparent and consistent assessment of the protection level provided by natural hydrogeological conditions. </w:t>
      </w:r>
    </w:p>
    <w:p w14:paraId="15229651" w14:textId="15DFFFAA" w:rsidR="00033722" w:rsidRPr="00B26173" w:rsidRDefault="00295DC1" w:rsidP="00295DC1">
      <w:pPr>
        <w:pStyle w:val="Heading3"/>
        <w:rPr>
          <w:lang w:val="en-GB"/>
        </w:rPr>
      </w:pPr>
      <w:bookmarkStart w:id="36" w:name="_Toc225418446"/>
      <w:r w:rsidRPr="00B26173">
        <w:rPr>
          <w:lang w:val="en-GB"/>
        </w:rPr>
        <w:t>7.3.</w:t>
      </w:r>
      <w:r w:rsidR="00033722" w:rsidRPr="00B26173">
        <w:rPr>
          <w:lang w:val="en-GB"/>
        </w:rPr>
        <w:t>3 Event</w:t>
      </w:r>
      <w:r w:rsidR="00033722" w:rsidRPr="00B26173">
        <w:rPr>
          <w:rFonts w:ascii="Cambria Math" w:hAnsi="Cambria Math" w:cs="Cambria Math"/>
          <w:lang w:val="en-GB"/>
        </w:rPr>
        <w:t>‑</w:t>
      </w:r>
      <w:r w:rsidR="00033722" w:rsidRPr="00B26173">
        <w:rPr>
          <w:lang w:val="en-GB"/>
        </w:rPr>
        <w:t>responsive tools for early detection and operational decision</w:t>
      </w:r>
      <w:r w:rsidR="00033722" w:rsidRPr="00B26173">
        <w:rPr>
          <w:rFonts w:ascii="Cambria Math" w:hAnsi="Cambria Math" w:cs="Cambria Math"/>
          <w:lang w:val="en-GB"/>
        </w:rPr>
        <w:t>‑</w:t>
      </w:r>
      <w:r w:rsidR="00033722" w:rsidRPr="00B26173">
        <w:rPr>
          <w:lang w:val="en-GB"/>
        </w:rPr>
        <w:t>making</w:t>
      </w:r>
      <w:bookmarkEnd w:id="36"/>
    </w:p>
    <w:p w14:paraId="4B0E491E" w14:textId="0075E693" w:rsidR="00033722" w:rsidRPr="00033722" w:rsidRDefault="00033722" w:rsidP="00033722">
      <w:pPr>
        <w:jc w:val="both"/>
        <w:rPr>
          <w:rFonts w:cstheme="minorHAnsi"/>
          <w:lang w:val="en-GB"/>
        </w:rPr>
      </w:pPr>
      <w:r w:rsidRPr="00033722">
        <w:rPr>
          <w:rFonts w:cstheme="minorHAnsi"/>
          <w:lang w:val="en-GB"/>
        </w:rPr>
        <w:t>Given the strong event</w:t>
      </w:r>
      <w:r w:rsidRPr="00033722">
        <w:rPr>
          <w:rFonts w:ascii="Cambria Math" w:hAnsi="Cambria Math" w:cs="Cambria Math"/>
          <w:lang w:val="en-GB"/>
        </w:rPr>
        <w:t>‑</w:t>
      </w:r>
      <w:r w:rsidRPr="00033722">
        <w:rPr>
          <w:rFonts w:cstheme="minorHAnsi"/>
          <w:lang w:val="en-GB"/>
        </w:rPr>
        <w:t>driven behaviour of karst aquifers, joint SPZ management will rely on event</w:t>
      </w:r>
      <w:r w:rsidRPr="00033722">
        <w:rPr>
          <w:rFonts w:ascii="Cambria Math" w:hAnsi="Cambria Math" w:cs="Cambria Math"/>
          <w:lang w:val="en-GB"/>
        </w:rPr>
        <w:t>‑</w:t>
      </w:r>
      <w:r w:rsidRPr="00033722">
        <w:rPr>
          <w:rFonts w:cstheme="minorHAnsi"/>
          <w:lang w:val="en-GB"/>
        </w:rPr>
        <w:t>responsive tools such as turbidity</w:t>
      </w:r>
      <w:r w:rsidRPr="00033722">
        <w:rPr>
          <w:rFonts w:ascii="Cambria Math" w:hAnsi="Cambria Math" w:cs="Cambria Math"/>
          <w:lang w:val="en-GB"/>
        </w:rPr>
        <w:t>‑</w:t>
      </w:r>
      <w:r w:rsidRPr="00033722">
        <w:rPr>
          <w:rFonts w:cstheme="minorHAnsi"/>
          <w:lang w:val="en-GB"/>
        </w:rPr>
        <w:t>trigger thresholds, rainfall</w:t>
      </w:r>
      <w:r w:rsidRPr="00033722">
        <w:rPr>
          <w:rFonts w:ascii="Cambria Math" w:hAnsi="Cambria Math" w:cs="Cambria Math"/>
          <w:lang w:val="en-GB"/>
        </w:rPr>
        <w:t>‑</w:t>
      </w:r>
      <w:r w:rsidRPr="00033722">
        <w:rPr>
          <w:rFonts w:cstheme="minorHAnsi"/>
          <w:lang w:val="en-GB"/>
        </w:rPr>
        <w:t>intensity indices, rapid conductivity shifts, or early</w:t>
      </w:r>
      <w:r w:rsidRPr="00033722">
        <w:rPr>
          <w:rFonts w:ascii="Cambria Math" w:hAnsi="Cambria Math" w:cs="Cambria Math"/>
          <w:lang w:val="en-GB"/>
        </w:rPr>
        <w:t>‑</w:t>
      </w:r>
      <w:r w:rsidRPr="00033722">
        <w:rPr>
          <w:rFonts w:cstheme="minorHAnsi"/>
          <w:lang w:val="en-GB"/>
        </w:rPr>
        <w:t>warning</w:t>
      </w:r>
      <w:r w:rsidR="00295DC1">
        <w:rPr>
          <w:rFonts w:cstheme="minorHAnsi"/>
          <w:lang w:val="en-GB"/>
        </w:rPr>
        <w:t xml:space="preserve">s </w:t>
      </w:r>
      <w:r w:rsidRPr="00033722">
        <w:rPr>
          <w:rFonts w:cstheme="minorHAnsi"/>
          <w:lang w:val="en-GB"/>
        </w:rPr>
        <w:t>based on spring hydrographs. These tools</w:t>
      </w:r>
      <w:r w:rsidR="00295DC1">
        <w:rPr>
          <w:rFonts w:cstheme="minorHAnsi"/>
          <w:lang w:val="en-GB"/>
        </w:rPr>
        <w:t xml:space="preserve"> would</w:t>
      </w:r>
      <w:r w:rsidRPr="00033722">
        <w:rPr>
          <w:rFonts w:cstheme="minorHAnsi"/>
          <w:lang w:val="en-GB"/>
        </w:rPr>
        <w:t xml:space="preserve"> help identify contamination risks at the earliest possible stage and can be applied simultaneously on both sides of </w:t>
      </w:r>
      <w:r w:rsidRPr="00033722">
        <w:rPr>
          <w:rFonts w:cstheme="minorHAnsi"/>
          <w:lang w:val="en-GB"/>
        </w:rPr>
        <w:lastRenderedPageBreak/>
        <w:t>the border.</w:t>
      </w:r>
      <w:r w:rsidR="00295DC1">
        <w:rPr>
          <w:rFonts w:cstheme="minorHAnsi"/>
          <w:lang w:val="en-GB"/>
        </w:rPr>
        <w:t xml:space="preserve"> </w:t>
      </w:r>
      <w:r w:rsidRPr="00033722">
        <w:rPr>
          <w:rFonts w:cstheme="minorHAnsi"/>
          <w:lang w:val="en-GB"/>
        </w:rPr>
        <w:t>The coordinated use of event</w:t>
      </w:r>
      <w:r w:rsidRPr="00033722">
        <w:rPr>
          <w:rFonts w:ascii="Cambria Math" w:hAnsi="Cambria Math" w:cs="Cambria Math"/>
          <w:lang w:val="en-GB"/>
        </w:rPr>
        <w:t>‑</w:t>
      </w:r>
      <w:r w:rsidRPr="00033722">
        <w:rPr>
          <w:rFonts w:cstheme="minorHAnsi"/>
          <w:lang w:val="en-GB"/>
        </w:rPr>
        <w:t xml:space="preserve">based triggers strengthens operational readiness and supports quicker, more aligned responses during periods of heightened vulnerability. </w:t>
      </w:r>
    </w:p>
    <w:p w14:paraId="7E17ED65" w14:textId="7399CBF0" w:rsidR="00033722" w:rsidRPr="00B26173" w:rsidRDefault="00295DC1" w:rsidP="00295DC1">
      <w:pPr>
        <w:pStyle w:val="Heading3"/>
        <w:rPr>
          <w:lang w:val="en-GB"/>
        </w:rPr>
      </w:pPr>
      <w:bookmarkStart w:id="37" w:name="_Toc225418447"/>
      <w:r w:rsidRPr="00B26173">
        <w:rPr>
          <w:lang w:val="en-GB"/>
        </w:rPr>
        <w:t>7.3.</w:t>
      </w:r>
      <w:r w:rsidR="00033722" w:rsidRPr="00B26173">
        <w:rPr>
          <w:lang w:val="en-GB"/>
        </w:rPr>
        <w:t>4 Spatial tools for identifying hotspots and prioritising interventions</w:t>
      </w:r>
      <w:bookmarkEnd w:id="37"/>
    </w:p>
    <w:p w14:paraId="41F7929E" w14:textId="461B3BD7" w:rsidR="00033722" w:rsidRPr="00033722" w:rsidRDefault="00033722" w:rsidP="00033722">
      <w:pPr>
        <w:jc w:val="both"/>
        <w:rPr>
          <w:rFonts w:cstheme="minorHAnsi"/>
          <w:lang w:val="en-GB"/>
        </w:rPr>
      </w:pPr>
      <w:r w:rsidRPr="00033722">
        <w:rPr>
          <w:rFonts w:cstheme="minorHAnsi"/>
          <w:lang w:val="en-GB"/>
        </w:rPr>
        <w:t>Shared GIS</w:t>
      </w:r>
      <w:r w:rsidRPr="00033722">
        <w:rPr>
          <w:rFonts w:ascii="Cambria Math" w:hAnsi="Cambria Math" w:cs="Cambria Math"/>
          <w:lang w:val="en-GB"/>
        </w:rPr>
        <w:t>‑</w:t>
      </w:r>
      <w:r w:rsidRPr="00033722">
        <w:rPr>
          <w:rFonts w:cstheme="minorHAnsi"/>
          <w:lang w:val="en-GB"/>
        </w:rPr>
        <w:t>based tools can help identify pollution hotspots by combining land</w:t>
      </w:r>
      <w:r w:rsidRPr="00033722">
        <w:rPr>
          <w:rFonts w:ascii="Cambria Math" w:hAnsi="Cambria Math" w:cs="Cambria Math"/>
          <w:lang w:val="en-GB"/>
        </w:rPr>
        <w:t>‑</w:t>
      </w:r>
      <w:r w:rsidRPr="00033722">
        <w:rPr>
          <w:rFonts w:cstheme="minorHAnsi"/>
          <w:lang w:val="en-GB"/>
        </w:rPr>
        <w:t xml:space="preserve">use information, infiltration features, known contaminant sources and monitoring results. Such tools </w:t>
      </w:r>
      <w:r w:rsidR="00295DC1">
        <w:rPr>
          <w:rFonts w:cstheme="minorHAnsi"/>
          <w:lang w:val="en-GB"/>
        </w:rPr>
        <w:t xml:space="preserve">would </w:t>
      </w:r>
      <w:r w:rsidRPr="00033722">
        <w:rPr>
          <w:rFonts w:cstheme="minorHAnsi"/>
          <w:lang w:val="en-GB"/>
        </w:rPr>
        <w:t>enable both countries to prioritise inspections, target sanitation improvements, design tourism</w:t>
      </w:r>
      <w:r w:rsidRPr="00033722">
        <w:rPr>
          <w:rFonts w:ascii="Cambria Math" w:hAnsi="Cambria Math" w:cs="Cambria Math"/>
          <w:lang w:val="en-GB"/>
        </w:rPr>
        <w:t>‑</w:t>
      </w:r>
      <w:r w:rsidRPr="00033722">
        <w:rPr>
          <w:rFonts w:cstheme="minorHAnsi"/>
          <w:lang w:val="en-GB"/>
        </w:rPr>
        <w:t>management measures, or plan agricultural outreach in high</w:t>
      </w:r>
      <w:r w:rsidRPr="00033722">
        <w:rPr>
          <w:rFonts w:ascii="Cambria Math" w:hAnsi="Cambria Math" w:cs="Cambria Math"/>
          <w:lang w:val="en-GB"/>
        </w:rPr>
        <w:t>‑</w:t>
      </w:r>
      <w:r w:rsidRPr="00033722">
        <w:rPr>
          <w:rFonts w:cstheme="minorHAnsi"/>
          <w:lang w:val="en-GB"/>
        </w:rPr>
        <w:t>risk areas.</w:t>
      </w:r>
      <w:r w:rsidR="00295DC1">
        <w:rPr>
          <w:rFonts w:cstheme="minorHAnsi"/>
          <w:lang w:val="en-GB"/>
        </w:rPr>
        <w:t xml:space="preserve"> </w:t>
      </w:r>
      <w:r w:rsidRPr="00033722">
        <w:rPr>
          <w:rFonts w:cstheme="minorHAnsi"/>
          <w:lang w:val="en-GB"/>
        </w:rPr>
        <w:t>Developing a common spatial logic for identifying hotspots will support future SPZ alignment by ensuring that interventions are guided by a comparable understanding of risk factors.</w:t>
      </w:r>
    </w:p>
    <w:p w14:paraId="51C07EE1" w14:textId="3FA10AEE" w:rsidR="00033722" w:rsidRPr="00B26173" w:rsidRDefault="00295DC1" w:rsidP="00295DC1">
      <w:pPr>
        <w:pStyle w:val="Heading3"/>
        <w:rPr>
          <w:lang w:val="en-GB"/>
        </w:rPr>
      </w:pPr>
      <w:bookmarkStart w:id="38" w:name="_Toc225418448"/>
      <w:r w:rsidRPr="00B26173">
        <w:rPr>
          <w:lang w:val="en-GB"/>
        </w:rPr>
        <w:t>7.3.</w:t>
      </w:r>
      <w:r w:rsidR="00033722" w:rsidRPr="00B26173">
        <w:rPr>
          <w:lang w:val="en-GB"/>
        </w:rPr>
        <w:t>5 Joint operational checklists and SPZ compliance tools</w:t>
      </w:r>
      <w:bookmarkEnd w:id="38"/>
    </w:p>
    <w:p w14:paraId="49A5F81D" w14:textId="49E22218" w:rsidR="00033722" w:rsidRPr="00033722" w:rsidRDefault="00033722" w:rsidP="00033722">
      <w:pPr>
        <w:jc w:val="both"/>
        <w:rPr>
          <w:rFonts w:cstheme="minorHAnsi"/>
          <w:lang w:val="en-GB"/>
        </w:rPr>
      </w:pPr>
      <w:r w:rsidRPr="00033722">
        <w:rPr>
          <w:rFonts w:cstheme="minorHAnsi"/>
          <w:lang w:val="en-GB"/>
        </w:rPr>
        <w:t>Standardised checklists, SPZ</w:t>
      </w:r>
      <w:r w:rsidRPr="00033722">
        <w:rPr>
          <w:rFonts w:ascii="Cambria Math" w:hAnsi="Cambria Math" w:cs="Cambria Math"/>
          <w:lang w:val="en-GB"/>
        </w:rPr>
        <w:t>‑</w:t>
      </w:r>
      <w:r w:rsidRPr="00033722">
        <w:rPr>
          <w:rFonts w:cstheme="minorHAnsi"/>
          <w:lang w:val="en-GB"/>
        </w:rPr>
        <w:t>operations logs and common reporting formats can help inspectorates and water</w:t>
      </w:r>
      <w:r w:rsidRPr="00033722">
        <w:rPr>
          <w:rFonts w:ascii="Cambria Math" w:hAnsi="Cambria Math" w:cs="Cambria Math"/>
          <w:lang w:val="en-GB"/>
        </w:rPr>
        <w:t>‑</w:t>
      </w:r>
      <w:r w:rsidRPr="00033722">
        <w:rPr>
          <w:rFonts w:cstheme="minorHAnsi"/>
          <w:lang w:val="en-GB"/>
        </w:rPr>
        <w:t xml:space="preserve">supply operators apply comparable procedures across borders. These tools </w:t>
      </w:r>
      <w:r w:rsidR="00295DC1">
        <w:rPr>
          <w:rFonts w:cstheme="minorHAnsi"/>
          <w:lang w:val="en-GB"/>
        </w:rPr>
        <w:t xml:space="preserve">would </w:t>
      </w:r>
      <w:r w:rsidRPr="00033722">
        <w:rPr>
          <w:rFonts w:cstheme="minorHAnsi"/>
          <w:lang w:val="en-GB"/>
        </w:rPr>
        <w:t>provide practical guidance for routine operations such as inspection scheduling, documentation of field findings, follow</w:t>
      </w:r>
      <w:r w:rsidRPr="00033722">
        <w:rPr>
          <w:rFonts w:ascii="Cambria Math" w:hAnsi="Cambria Math" w:cs="Cambria Math"/>
          <w:lang w:val="en-GB"/>
        </w:rPr>
        <w:t>‑</w:t>
      </w:r>
      <w:r w:rsidRPr="00033722">
        <w:rPr>
          <w:rFonts w:cstheme="minorHAnsi"/>
          <w:lang w:val="en-GB"/>
        </w:rPr>
        <w:t>up actions, or the handling of event</w:t>
      </w:r>
      <w:r w:rsidRPr="00033722">
        <w:rPr>
          <w:rFonts w:ascii="Cambria Math" w:hAnsi="Cambria Math" w:cs="Cambria Math"/>
          <w:lang w:val="en-GB"/>
        </w:rPr>
        <w:t>‑</w:t>
      </w:r>
      <w:r w:rsidRPr="00033722">
        <w:rPr>
          <w:rFonts w:cstheme="minorHAnsi"/>
          <w:lang w:val="en-GB"/>
        </w:rPr>
        <w:t>driven anomalies.</w:t>
      </w:r>
      <w:r w:rsidR="00295DC1">
        <w:rPr>
          <w:rFonts w:cstheme="minorHAnsi"/>
          <w:lang w:val="en-GB"/>
        </w:rPr>
        <w:t xml:space="preserve"> </w:t>
      </w:r>
      <w:r w:rsidRPr="00033722">
        <w:rPr>
          <w:rFonts w:cstheme="minorHAnsi"/>
          <w:lang w:val="en-GB"/>
        </w:rPr>
        <w:t xml:space="preserve">Such shared operational tools are simple yet powerful mechanisms for building consistency and </w:t>
      </w:r>
      <w:r w:rsidR="00295DC1">
        <w:rPr>
          <w:rFonts w:cstheme="minorHAnsi"/>
          <w:lang w:val="en-GB"/>
        </w:rPr>
        <w:t>would</w:t>
      </w:r>
      <w:r w:rsidRPr="00033722">
        <w:rPr>
          <w:rFonts w:cstheme="minorHAnsi"/>
          <w:lang w:val="en-GB"/>
        </w:rPr>
        <w:t xml:space="preserve"> serve as </w:t>
      </w:r>
      <w:r w:rsidR="00295DC1">
        <w:rPr>
          <w:rFonts w:cstheme="minorHAnsi"/>
          <w:lang w:val="en-GB"/>
        </w:rPr>
        <w:t>a step ahead</w:t>
      </w:r>
      <w:r w:rsidRPr="00033722">
        <w:rPr>
          <w:rFonts w:cstheme="minorHAnsi"/>
          <w:lang w:val="en-GB"/>
        </w:rPr>
        <w:t xml:space="preserve"> toward formal harmonisation of SPZ operational guidelines in later phases</w:t>
      </w:r>
      <w:r w:rsidR="00295DC1">
        <w:rPr>
          <w:rFonts w:cstheme="minorHAnsi"/>
          <w:lang w:val="en-GB"/>
        </w:rPr>
        <w:t xml:space="preserve"> of the DIKTAS II project</w:t>
      </w:r>
      <w:r w:rsidRPr="00033722">
        <w:rPr>
          <w:rFonts w:cstheme="minorHAnsi"/>
          <w:lang w:val="en-GB"/>
        </w:rPr>
        <w:t>.</w:t>
      </w:r>
    </w:p>
    <w:p w14:paraId="7F2C4F17" w14:textId="773D60B2" w:rsidR="00033722" w:rsidRPr="00B26173" w:rsidRDefault="00295DC1" w:rsidP="00295DC1">
      <w:pPr>
        <w:pStyle w:val="Heading3"/>
        <w:rPr>
          <w:lang w:val="en-GB"/>
        </w:rPr>
      </w:pPr>
      <w:bookmarkStart w:id="39" w:name="_Toc225418449"/>
      <w:r w:rsidRPr="00B26173">
        <w:rPr>
          <w:lang w:val="en-GB"/>
        </w:rPr>
        <w:t>7.3.</w:t>
      </w:r>
      <w:r w:rsidR="00033722" w:rsidRPr="00B26173">
        <w:rPr>
          <w:lang w:val="en-GB"/>
        </w:rPr>
        <w:t>6 Harmonised data</w:t>
      </w:r>
      <w:r w:rsidR="00033722" w:rsidRPr="00B26173">
        <w:rPr>
          <w:rFonts w:ascii="Cambria Math" w:hAnsi="Cambria Math" w:cs="Cambria Math"/>
          <w:lang w:val="en-GB"/>
        </w:rPr>
        <w:t>‑</w:t>
      </w:r>
      <w:r w:rsidR="00033722" w:rsidRPr="00B26173">
        <w:rPr>
          <w:lang w:val="en-GB"/>
        </w:rPr>
        <w:t>processing and visualisation tools</w:t>
      </w:r>
      <w:bookmarkEnd w:id="39"/>
    </w:p>
    <w:p w14:paraId="09104C20" w14:textId="4C4C316B" w:rsidR="00033722" w:rsidRPr="00033722" w:rsidRDefault="00033722" w:rsidP="00033722">
      <w:pPr>
        <w:jc w:val="both"/>
        <w:rPr>
          <w:rFonts w:cstheme="minorHAnsi"/>
          <w:lang w:val="en-GB"/>
        </w:rPr>
      </w:pPr>
      <w:r w:rsidRPr="00033722">
        <w:rPr>
          <w:rFonts w:cstheme="minorHAnsi"/>
          <w:lang w:val="en-GB"/>
        </w:rPr>
        <w:t>A future</w:t>
      </w:r>
      <w:r w:rsidRPr="00033722">
        <w:rPr>
          <w:rFonts w:ascii="Cambria Math" w:hAnsi="Cambria Math" w:cs="Cambria Math"/>
          <w:lang w:val="en-GB"/>
        </w:rPr>
        <w:t>‑</w:t>
      </w:r>
      <w:r w:rsidRPr="00033722">
        <w:rPr>
          <w:rFonts w:cstheme="minorHAnsi"/>
          <w:lang w:val="en-GB"/>
        </w:rPr>
        <w:t xml:space="preserve">oriented SPZ management system </w:t>
      </w:r>
      <w:r w:rsidR="00295DC1">
        <w:rPr>
          <w:rFonts w:cstheme="minorHAnsi"/>
          <w:lang w:val="en-GB"/>
        </w:rPr>
        <w:t>would</w:t>
      </w:r>
      <w:r w:rsidRPr="00033722">
        <w:rPr>
          <w:rFonts w:cstheme="minorHAnsi"/>
          <w:lang w:val="en-GB"/>
        </w:rPr>
        <w:t xml:space="preserve"> benefit from tools that ensure consistent processing of monitoring results and their integration into spatial and temporal analyses. These tools may include standardised templates for time</w:t>
      </w:r>
      <w:r w:rsidRPr="00033722">
        <w:rPr>
          <w:rFonts w:ascii="Cambria Math" w:hAnsi="Cambria Math" w:cs="Cambria Math"/>
          <w:lang w:val="en-GB"/>
        </w:rPr>
        <w:t>‑</w:t>
      </w:r>
      <w:r w:rsidRPr="00033722">
        <w:rPr>
          <w:rFonts w:cstheme="minorHAnsi"/>
          <w:lang w:val="en-GB"/>
        </w:rPr>
        <w:t>series analysis, shared GIS symbology, common metadata structures, and compatible approaches to summarising monitoring trends.</w:t>
      </w:r>
      <w:r w:rsidR="00295DC1">
        <w:rPr>
          <w:rFonts w:cstheme="minorHAnsi"/>
          <w:lang w:val="en-GB"/>
        </w:rPr>
        <w:t xml:space="preserve"> </w:t>
      </w:r>
      <w:r w:rsidRPr="00033722">
        <w:rPr>
          <w:rFonts w:cstheme="minorHAnsi"/>
          <w:lang w:val="en-GB"/>
        </w:rPr>
        <w:t xml:space="preserve">Consistent data processing methods </w:t>
      </w:r>
      <w:r w:rsidR="00295DC1">
        <w:rPr>
          <w:rFonts w:cstheme="minorHAnsi"/>
          <w:lang w:val="en-GB"/>
        </w:rPr>
        <w:t>would</w:t>
      </w:r>
      <w:r w:rsidRPr="00033722">
        <w:rPr>
          <w:rFonts w:cstheme="minorHAnsi"/>
          <w:lang w:val="en-GB"/>
        </w:rPr>
        <w:t xml:space="preserve"> later underpin the development of joint early</w:t>
      </w:r>
      <w:r w:rsidRPr="00033722">
        <w:rPr>
          <w:rFonts w:ascii="Cambria Math" w:hAnsi="Cambria Math" w:cs="Cambria Math"/>
          <w:lang w:val="en-GB"/>
        </w:rPr>
        <w:t>‑</w:t>
      </w:r>
      <w:r w:rsidRPr="00033722">
        <w:rPr>
          <w:rFonts w:cstheme="minorHAnsi"/>
          <w:lang w:val="en-GB"/>
        </w:rPr>
        <w:t>warning systems, shared risk maps and unified SPZ performance assessments.</w:t>
      </w:r>
    </w:p>
    <w:p w14:paraId="51451136" w14:textId="16022BE8" w:rsidR="00033722" w:rsidRPr="00103C70" w:rsidRDefault="00295DC1" w:rsidP="00295DC1">
      <w:pPr>
        <w:pStyle w:val="Heading3"/>
        <w:rPr>
          <w:lang w:val="en-GB"/>
        </w:rPr>
      </w:pPr>
      <w:bookmarkStart w:id="40" w:name="_Toc225418450"/>
      <w:r w:rsidRPr="00103C70">
        <w:rPr>
          <w:lang w:val="en-GB"/>
        </w:rPr>
        <w:t>7.3.</w:t>
      </w:r>
      <w:r w:rsidR="00033722" w:rsidRPr="00103C70">
        <w:rPr>
          <w:lang w:val="en-GB"/>
        </w:rPr>
        <w:t xml:space="preserve">7 </w:t>
      </w:r>
      <w:r w:rsidR="00521410" w:rsidRPr="00103C70">
        <w:rPr>
          <w:lang w:val="en-GB"/>
        </w:rPr>
        <w:t>T</w:t>
      </w:r>
      <w:r w:rsidR="00033722" w:rsidRPr="00103C70">
        <w:rPr>
          <w:lang w:val="en-GB"/>
        </w:rPr>
        <w:t>ools for supporting joint risk assessment</w:t>
      </w:r>
      <w:bookmarkEnd w:id="40"/>
    </w:p>
    <w:p w14:paraId="5F7BC357" w14:textId="181F20D1" w:rsidR="00CD78CD" w:rsidRDefault="00033722" w:rsidP="00CD78CD">
      <w:pPr>
        <w:jc w:val="both"/>
        <w:rPr>
          <w:rFonts w:cstheme="minorHAnsi"/>
          <w:lang w:val="en-GB"/>
        </w:rPr>
      </w:pPr>
      <w:r w:rsidRPr="00033722">
        <w:rPr>
          <w:rFonts w:cstheme="minorHAnsi"/>
          <w:lang w:val="en-GB"/>
        </w:rPr>
        <w:t>Shared risk</w:t>
      </w:r>
      <w:r w:rsidRPr="00033722">
        <w:rPr>
          <w:rFonts w:ascii="Cambria Math" w:hAnsi="Cambria Math" w:cs="Cambria Math"/>
          <w:lang w:val="en-GB"/>
        </w:rPr>
        <w:t>‑</w:t>
      </w:r>
      <w:r w:rsidRPr="00033722">
        <w:rPr>
          <w:rFonts w:cstheme="minorHAnsi"/>
          <w:lang w:val="en-GB"/>
        </w:rPr>
        <w:t>assessment tools can help both countries evaluate the combined influence of hazards, vulnerability and monitoring results. These may include multi</w:t>
      </w:r>
      <w:r w:rsidRPr="00033722">
        <w:rPr>
          <w:rFonts w:ascii="Cambria Math" w:hAnsi="Cambria Math" w:cs="Cambria Math"/>
          <w:lang w:val="en-GB"/>
        </w:rPr>
        <w:t>‑</w:t>
      </w:r>
      <w:r w:rsidRPr="00033722">
        <w:rPr>
          <w:rFonts w:cstheme="minorHAnsi"/>
          <w:lang w:val="en-GB"/>
        </w:rPr>
        <w:t>criteria risk matrices, event</w:t>
      </w:r>
      <w:r w:rsidRPr="00033722">
        <w:rPr>
          <w:rFonts w:ascii="Cambria Math" w:hAnsi="Cambria Math" w:cs="Cambria Math"/>
          <w:lang w:val="en-GB"/>
        </w:rPr>
        <w:t>‑</w:t>
      </w:r>
      <w:r w:rsidRPr="00033722">
        <w:rPr>
          <w:rFonts w:cstheme="minorHAnsi"/>
          <w:lang w:val="en-GB"/>
        </w:rPr>
        <w:t xml:space="preserve">trend correlation analyses, and overlay maps that integrate contamination pressures with recharge </w:t>
      </w:r>
      <w:r w:rsidR="00295DC1">
        <w:rPr>
          <w:rFonts w:cstheme="minorHAnsi"/>
          <w:lang w:val="en-GB"/>
        </w:rPr>
        <w:t>vulnerability</w:t>
      </w:r>
      <w:r w:rsidR="00521410">
        <w:rPr>
          <w:rFonts w:cstheme="minorHAnsi"/>
          <w:lang w:val="en-GB"/>
        </w:rPr>
        <w:t xml:space="preserve"> (Table 4)</w:t>
      </w:r>
      <w:r w:rsidRPr="00033722">
        <w:rPr>
          <w:rFonts w:cstheme="minorHAnsi"/>
          <w:lang w:val="en-GB"/>
        </w:rPr>
        <w:t>. As risk assessments become more aligned, both countries will be better equipped to prepare harmonised operational responses and prioritise preventive actions in cross</w:t>
      </w:r>
      <w:r w:rsidRPr="00033722">
        <w:rPr>
          <w:rFonts w:ascii="Cambria Math" w:hAnsi="Cambria Math" w:cs="Cambria Math"/>
          <w:lang w:val="en-GB"/>
        </w:rPr>
        <w:t>‑</w:t>
      </w:r>
      <w:r w:rsidRPr="00033722">
        <w:rPr>
          <w:rFonts w:cstheme="minorHAnsi"/>
          <w:lang w:val="en-GB"/>
        </w:rPr>
        <w:t>border sectors.</w:t>
      </w:r>
    </w:p>
    <w:p w14:paraId="7D3AACD1" w14:textId="4F04C549" w:rsidR="00C627AF" w:rsidRDefault="00C627AF" w:rsidP="00CD78CD">
      <w:pPr>
        <w:jc w:val="both"/>
        <w:rPr>
          <w:rFonts w:cstheme="minorHAnsi"/>
          <w:lang w:val="en-GB"/>
        </w:rPr>
      </w:pPr>
    </w:p>
    <w:p w14:paraId="05116900" w14:textId="7A9BB47B" w:rsidR="00C627AF" w:rsidRDefault="00C627AF" w:rsidP="00CD78CD">
      <w:pPr>
        <w:jc w:val="both"/>
        <w:rPr>
          <w:rFonts w:cstheme="minorHAnsi"/>
          <w:lang w:val="en-GB"/>
        </w:rPr>
      </w:pPr>
    </w:p>
    <w:p w14:paraId="4267D49C" w14:textId="5C76BA7A" w:rsidR="00FB21D5" w:rsidRDefault="00FB21D5" w:rsidP="00CD78CD">
      <w:pPr>
        <w:jc w:val="both"/>
        <w:rPr>
          <w:rFonts w:cstheme="minorHAnsi"/>
          <w:lang w:val="en-GB"/>
        </w:rPr>
      </w:pPr>
    </w:p>
    <w:p w14:paraId="51DCC8EA" w14:textId="1E1496BF" w:rsidR="00FB21D5" w:rsidRDefault="00FB21D5" w:rsidP="00CD78CD">
      <w:pPr>
        <w:jc w:val="both"/>
        <w:rPr>
          <w:rFonts w:cstheme="minorHAnsi"/>
          <w:lang w:val="en-GB"/>
        </w:rPr>
      </w:pPr>
    </w:p>
    <w:p w14:paraId="16E7D9C8" w14:textId="579A9091" w:rsidR="00FB21D5" w:rsidRDefault="00FB21D5" w:rsidP="00CD78CD">
      <w:pPr>
        <w:jc w:val="both"/>
        <w:rPr>
          <w:rFonts w:cstheme="minorHAnsi"/>
          <w:lang w:val="en-GB"/>
        </w:rPr>
      </w:pPr>
    </w:p>
    <w:p w14:paraId="5FA8EC61" w14:textId="6E81400B" w:rsidR="00FB21D5" w:rsidRDefault="00FB21D5" w:rsidP="00CD78CD">
      <w:pPr>
        <w:jc w:val="both"/>
        <w:rPr>
          <w:rFonts w:cstheme="minorHAnsi"/>
          <w:lang w:val="en-GB"/>
        </w:rPr>
      </w:pPr>
    </w:p>
    <w:p w14:paraId="6F82DB08" w14:textId="77777777" w:rsidR="00FB21D5" w:rsidRDefault="00FB21D5" w:rsidP="00CD78CD">
      <w:pPr>
        <w:jc w:val="both"/>
        <w:rPr>
          <w:rFonts w:cstheme="minorHAnsi"/>
          <w:lang w:val="en-GB"/>
        </w:rPr>
      </w:pPr>
    </w:p>
    <w:p w14:paraId="2F1B061E" w14:textId="5B920A41" w:rsidR="00C627AF" w:rsidRDefault="00C627AF" w:rsidP="00CD78CD">
      <w:pPr>
        <w:jc w:val="both"/>
        <w:rPr>
          <w:rFonts w:cstheme="minorHAnsi"/>
          <w:lang w:val="en-GB"/>
        </w:rPr>
      </w:pPr>
    </w:p>
    <w:p w14:paraId="7BCFEB2D" w14:textId="77777777" w:rsidR="00C627AF" w:rsidRDefault="00C627AF" w:rsidP="00336FA1">
      <w:pPr>
        <w:pStyle w:val="Caption"/>
        <w:rPr>
          <w:b/>
          <w:bCs/>
          <w:i w:val="0"/>
          <w:iCs w:val="0"/>
          <w:lang w:val="en-GB"/>
        </w:rPr>
      </w:pPr>
      <w:bookmarkStart w:id="41" w:name="_Toc225418887"/>
    </w:p>
    <w:p w14:paraId="675D640C" w14:textId="33C0858B" w:rsidR="00521410" w:rsidRPr="00292104" w:rsidRDefault="00336FA1" w:rsidP="00336FA1">
      <w:pPr>
        <w:pStyle w:val="Caption"/>
        <w:rPr>
          <w:rFonts w:ascii="Calibri" w:hAnsi="Calibri" w:cs="Calibri"/>
          <w:i w:val="0"/>
          <w:iCs w:val="0"/>
          <w:szCs w:val="20"/>
          <w:lang w:val="en-GB"/>
        </w:rPr>
      </w:pPr>
      <w:r w:rsidRPr="00292104">
        <w:rPr>
          <w:b/>
          <w:bCs/>
          <w:i w:val="0"/>
          <w:iCs w:val="0"/>
          <w:lang w:val="en-GB"/>
        </w:rPr>
        <w:lastRenderedPageBreak/>
        <w:t xml:space="preserve">Table </w:t>
      </w:r>
      <w:r w:rsidRPr="00292104">
        <w:rPr>
          <w:b/>
          <w:bCs/>
          <w:i w:val="0"/>
          <w:iCs w:val="0"/>
          <w:lang w:val="en-GB"/>
        </w:rPr>
        <w:fldChar w:fldCharType="begin"/>
      </w:r>
      <w:r w:rsidRPr="00292104">
        <w:rPr>
          <w:b/>
          <w:bCs/>
          <w:i w:val="0"/>
          <w:iCs w:val="0"/>
          <w:lang w:val="en-GB"/>
        </w:rPr>
        <w:instrText xml:space="preserve"> SEQ Table \* ARABIC </w:instrText>
      </w:r>
      <w:r w:rsidRPr="00292104">
        <w:rPr>
          <w:b/>
          <w:bCs/>
          <w:i w:val="0"/>
          <w:iCs w:val="0"/>
          <w:lang w:val="en-GB"/>
        </w:rPr>
        <w:fldChar w:fldCharType="separate"/>
      </w:r>
      <w:r w:rsidRPr="00292104">
        <w:rPr>
          <w:b/>
          <w:bCs/>
          <w:i w:val="0"/>
          <w:iCs w:val="0"/>
          <w:noProof/>
          <w:lang w:val="en-GB"/>
        </w:rPr>
        <w:t>4</w:t>
      </w:r>
      <w:r w:rsidRPr="00292104">
        <w:rPr>
          <w:b/>
          <w:bCs/>
          <w:i w:val="0"/>
          <w:iCs w:val="0"/>
          <w:lang w:val="en-GB"/>
        </w:rPr>
        <w:fldChar w:fldCharType="end"/>
      </w:r>
      <w:r w:rsidR="00292104" w:rsidRPr="00292104">
        <w:rPr>
          <w:b/>
          <w:bCs/>
          <w:i w:val="0"/>
          <w:iCs w:val="0"/>
          <w:lang w:val="en-GB"/>
        </w:rPr>
        <w:t>.</w:t>
      </w:r>
      <w:r w:rsidRPr="00292104">
        <w:rPr>
          <w:i w:val="0"/>
          <w:iCs w:val="0"/>
          <w:lang w:val="en-GB"/>
        </w:rPr>
        <w:t xml:space="preserve"> Proposed shared tools for assessing and managing SPZ</w:t>
      </w:r>
      <w:bookmarkEnd w:id="41"/>
    </w:p>
    <w:tbl>
      <w:tblPr>
        <w:tblStyle w:val="Reetkatablice1"/>
        <w:tblW w:w="9071" w:type="dxa"/>
        <w:tblInd w:w="-23" w:type="dxa"/>
        <w:tblLook w:val="04A0" w:firstRow="1" w:lastRow="0" w:firstColumn="1" w:lastColumn="0" w:noHBand="0" w:noVBand="1"/>
      </w:tblPr>
      <w:tblGrid>
        <w:gridCol w:w="1864"/>
        <w:gridCol w:w="1295"/>
        <w:gridCol w:w="1281"/>
        <w:gridCol w:w="1262"/>
        <w:gridCol w:w="1101"/>
        <w:gridCol w:w="1129"/>
        <w:gridCol w:w="1261"/>
      </w:tblGrid>
      <w:tr w:rsidR="0069585C" w:rsidRPr="00521410" w14:paraId="3CDE9DB9" w14:textId="77777777" w:rsidTr="0069585C">
        <w:trPr>
          <w:tblHeader/>
        </w:trPr>
        <w:tc>
          <w:tcPr>
            <w:tcW w:w="1890" w:type="dxa"/>
            <w:shd w:val="clear" w:color="auto" w:fill="D9E2F3" w:themeFill="accent1" w:themeFillTint="33"/>
            <w:vAlign w:val="center"/>
          </w:tcPr>
          <w:p w14:paraId="04D4096A" w14:textId="07295DA3"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Tool / Criterion</w:t>
            </w:r>
          </w:p>
        </w:tc>
        <w:tc>
          <w:tcPr>
            <w:tcW w:w="1268" w:type="dxa"/>
            <w:shd w:val="clear" w:color="auto" w:fill="D9E2F3" w:themeFill="accent1" w:themeFillTint="33"/>
            <w:vAlign w:val="center"/>
          </w:tcPr>
          <w:p w14:paraId="68519F85" w14:textId="7BD24544"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 xml:space="preserve">Purpose </w:t>
            </w:r>
          </w:p>
        </w:tc>
        <w:tc>
          <w:tcPr>
            <w:tcW w:w="1257" w:type="dxa"/>
            <w:shd w:val="clear" w:color="auto" w:fill="D9E2F3" w:themeFill="accent1" w:themeFillTint="33"/>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92104" w:rsidRPr="00292104" w14:paraId="04DCB4FA" w14:textId="77777777" w:rsidTr="00292104">
              <w:trPr>
                <w:tblCellSpacing w:w="15" w:type="dxa"/>
              </w:trPr>
              <w:tc>
                <w:tcPr>
                  <w:tcW w:w="0" w:type="auto"/>
                  <w:vAlign w:val="center"/>
                  <w:hideMark/>
                </w:tcPr>
                <w:p w14:paraId="67F38907" w14:textId="77777777" w:rsidR="00292104" w:rsidRPr="00292104" w:rsidRDefault="00292104" w:rsidP="00292104">
                  <w:pPr>
                    <w:spacing w:after="0" w:line="240" w:lineRule="auto"/>
                    <w:jc w:val="center"/>
                    <w:rPr>
                      <w:rFonts w:ascii="Calibri" w:eastAsia="Times New Roman" w:hAnsi="Calibri" w:cs="Calibri"/>
                      <w:b/>
                      <w:bCs/>
                      <w:sz w:val="16"/>
                      <w:szCs w:val="16"/>
                      <w:lang w:val="en-US"/>
                    </w:rPr>
                  </w:pPr>
                </w:p>
              </w:tc>
            </w:tr>
          </w:tbl>
          <w:p w14:paraId="22178FB9" w14:textId="77777777" w:rsidR="00292104" w:rsidRPr="00292104" w:rsidRDefault="00292104" w:rsidP="00292104">
            <w:pPr>
              <w:jc w:val="center"/>
              <w:rPr>
                <w:rFonts w:ascii="Calibri" w:hAnsi="Calibri" w:cs="Calibri"/>
                <w:b/>
                <w:bCs/>
                <w:vanish/>
                <w:sz w:val="16"/>
                <w:szCs w:val="16"/>
              </w:rPr>
            </w:pPr>
          </w:p>
          <w:tbl>
            <w:tblPr>
              <w:tblW w:w="1065" w:type="dxa"/>
              <w:tblCellSpacing w:w="15" w:type="dxa"/>
              <w:tblCellMar>
                <w:top w:w="15" w:type="dxa"/>
                <w:left w:w="15" w:type="dxa"/>
                <w:bottom w:w="15" w:type="dxa"/>
                <w:right w:w="15" w:type="dxa"/>
              </w:tblCellMar>
              <w:tblLook w:val="04A0" w:firstRow="1" w:lastRow="0" w:firstColumn="1" w:lastColumn="0" w:noHBand="0" w:noVBand="1"/>
            </w:tblPr>
            <w:tblGrid>
              <w:gridCol w:w="1065"/>
            </w:tblGrid>
            <w:tr w:rsidR="00292104" w:rsidRPr="00292104" w14:paraId="544F3E78" w14:textId="77777777" w:rsidTr="00292104">
              <w:trPr>
                <w:tblCellSpacing w:w="15" w:type="dxa"/>
              </w:trPr>
              <w:tc>
                <w:tcPr>
                  <w:tcW w:w="1005" w:type="dxa"/>
                  <w:vAlign w:val="center"/>
                  <w:hideMark/>
                </w:tcPr>
                <w:p w14:paraId="7CF168D2" w14:textId="39F84D2B" w:rsidR="00292104" w:rsidRPr="00292104" w:rsidRDefault="00292104" w:rsidP="00292104">
                  <w:pPr>
                    <w:spacing w:after="0" w:line="240" w:lineRule="auto"/>
                    <w:jc w:val="center"/>
                    <w:rPr>
                      <w:rFonts w:ascii="Calibri" w:eastAsia="Times New Roman" w:hAnsi="Calibri" w:cs="Calibri"/>
                      <w:b/>
                      <w:bCs/>
                      <w:sz w:val="16"/>
                      <w:szCs w:val="16"/>
                      <w:lang w:val="en-US"/>
                    </w:rPr>
                  </w:pPr>
                  <w:r w:rsidRPr="00292104">
                    <w:rPr>
                      <w:rFonts w:ascii="Calibri" w:eastAsia="Times New Roman" w:hAnsi="Calibri" w:cs="Calibri"/>
                      <w:b/>
                      <w:bCs/>
                      <w:sz w:val="16"/>
                      <w:szCs w:val="16"/>
                      <w:lang w:val="en-US"/>
                    </w:rPr>
                    <w:t>Ap</w:t>
                  </w:r>
                  <w:r>
                    <w:rPr>
                      <w:rFonts w:ascii="Calibri" w:eastAsia="Times New Roman" w:hAnsi="Calibri" w:cs="Calibri"/>
                      <w:b/>
                      <w:bCs/>
                      <w:sz w:val="16"/>
                      <w:szCs w:val="16"/>
                      <w:lang w:val="en-US"/>
                    </w:rPr>
                    <w:t>p</w:t>
                  </w:r>
                  <w:r w:rsidRPr="00292104">
                    <w:rPr>
                      <w:rFonts w:ascii="Calibri" w:eastAsia="Times New Roman" w:hAnsi="Calibri" w:cs="Calibri"/>
                      <w:b/>
                      <w:bCs/>
                      <w:sz w:val="16"/>
                      <w:szCs w:val="16"/>
                      <w:lang w:val="en-US"/>
                    </w:rPr>
                    <w:t>lication in Montenegro</w:t>
                  </w:r>
                </w:p>
              </w:tc>
            </w:tr>
          </w:tbl>
          <w:p w14:paraId="4FD0A35E" w14:textId="5506262E" w:rsidR="00521410" w:rsidRPr="00521410" w:rsidRDefault="00521410" w:rsidP="00521410">
            <w:pPr>
              <w:jc w:val="center"/>
              <w:rPr>
                <w:rFonts w:ascii="Calibri" w:hAnsi="Calibri" w:cs="Calibri"/>
                <w:b/>
                <w:bCs/>
                <w:sz w:val="16"/>
                <w:szCs w:val="16"/>
                <w:lang w:val="en-GB" w:eastAsia="en-GB"/>
              </w:rPr>
            </w:pPr>
          </w:p>
        </w:tc>
        <w:tc>
          <w:tcPr>
            <w:tcW w:w="1236" w:type="dxa"/>
            <w:shd w:val="clear" w:color="auto" w:fill="D9E2F3" w:themeFill="accent1" w:themeFillTint="33"/>
            <w:vAlign w:val="center"/>
          </w:tcPr>
          <w:p w14:paraId="6B68CB0D" w14:textId="7E696731"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 xml:space="preserve">Application in </w:t>
            </w:r>
            <w:r w:rsidR="00292104">
              <w:rPr>
                <w:rFonts w:ascii="Calibri" w:hAnsi="Calibri" w:cs="Calibri"/>
                <w:b/>
                <w:bCs/>
                <w:sz w:val="16"/>
                <w:szCs w:val="16"/>
              </w:rPr>
              <w:t>Albania</w:t>
            </w:r>
          </w:p>
        </w:tc>
        <w:tc>
          <w:tcPr>
            <w:tcW w:w="1079" w:type="dxa"/>
            <w:shd w:val="clear" w:color="auto" w:fill="D9E2F3" w:themeFill="accent1" w:themeFillTint="33"/>
            <w:vAlign w:val="center"/>
          </w:tcPr>
          <w:p w14:paraId="2AFCF54C" w14:textId="5C3D268C"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Data inputs (min)</w:t>
            </w:r>
          </w:p>
        </w:tc>
        <w:tc>
          <w:tcPr>
            <w:tcW w:w="1106" w:type="dxa"/>
            <w:shd w:val="clear" w:color="auto" w:fill="D9E2F3" w:themeFill="accent1" w:themeFillTint="33"/>
            <w:vAlign w:val="center"/>
          </w:tcPr>
          <w:p w14:paraId="054FC337" w14:textId="0BF5B365"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Output / Indicator</w:t>
            </w:r>
          </w:p>
        </w:tc>
        <w:tc>
          <w:tcPr>
            <w:tcW w:w="1235" w:type="dxa"/>
            <w:shd w:val="clear" w:color="auto" w:fill="D9E2F3" w:themeFill="accent1" w:themeFillTint="33"/>
            <w:vAlign w:val="center"/>
          </w:tcPr>
          <w:p w14:paraId="5579CDF2" w14:textId="00F6F682" w:rsidR="00521410" w:rsidRPr="00521410" w:rsidRDefault="00521410" w:rsidP="00521410">
            <w:pPr>
              <w:jc w:val="center"/>
              <w:rPr>
                <w:rFonts w:ascii="Calibri" w:hAnsi="Calibri" w:cs="Calibri"/>
                <w:b/>
                <w:bCs/>
                <w:sz w:val="16"/>
                <w:szCs w:val="16"/>
                <w:lang w:val="en-GB" w:eastAsia="en-GB"/>
              </w:rPr>
            </w:pPr>
            <w:r w:rsidRPr="00521410">
              <w:rPr>
                <w:rFonts w:ascii="Calibri" w:hAnsi="Calibri" w:cs="Calibri"/>
                <w:b/>
                <w:bCs/>
                <w:sz w:val="16"/>
                <w:szCs w:val="16"/>
              </w:rPr>
              <w:t>Use in SPZ management</w:t>
            </w:r>
          </w:p>
        </w:tc>
      </w:tr>
      <w:tr w:rsidR="0069585C" w:rsidRPr="00521410" w14:paraId="6C191839" w14:textId="77777777" w:rsidTr="0069585C">
        <w:tc>
          <w:tcPr>
            <w:tcW w:w="1890" w:type="dxa"/>
            <w:vAlign w:val="center"/>
          </w:tcPr>
          <w:p w14:paraId="43558FC2" w14:textId="16F0E1B7" w:rsidR="00521410" w:rsidRPr="00521410" w:rsidRDefault="00521410" w:rsidP="00521410">
            <w:pPr>
              <w:rPr>
                <w:rFonts w:ascii="Calibri" w:hAnsi="Calibri" w:cs="Calibri"/>
                <w:sz w:val="16"/>
                <w:szCs w:val="16"/>
              </w:rPr>
            </w:pPr>
            <w:r w:rsidRPr="00521410">
              <w:rPr>
                <w:rFonts w:ascii="Calibri" w:hAnsi="Calibri" w:cs="Calibri"/>
                <w:sz w:val="16"/>
                <w:szCs w:val="16"/>
              </w:rPr>
              <w:t>Recharge area tracing (dye tests)</w:t>
            </w:r>
          </w:p>
        </w:tc>
        <w:tc>
          <w:tcPr>
            <w:tcW w:w="1268" w:type="dxa"/>
            <w:vAlign w:val="center"/>
          </w:tcPr>
          <w:p w14:paraId="2099FE65" w14:textId="6A5D8D67" w:rsidR="00521410" w:rsidRPr="00521410" w:rsidRDefault="000176CD" w:rsidP="00521410">
            <w:pPr>
              <w:rPr>
                <w:rFonts w:ascii="Calibri" w:hAnsi="Calibri" w:cs="Calibri"/>
                <w:sz w:val="16"/>
                <w:szCs w:val="16"/>
              </w:rPr>
            </w:pPr>
            <w:r>
              <w:rPr>
                <w:rFonts w:ascii="Calibri" w:hAnsi="Calibri" w:cs="Calibri"/>
                <w:sz w:val="16"/>
                <w:szCs w:val="16"/>
              </w:rPr>
              <w:t>To i</w:t>
            </w:r>
            <w:r w:rsidR="00521410" w:rsidRPr="00521410">
              <w:rPr>
                <w:rFonts w:ascii="Calibri" w:hAnsi="Calibri" w:cs="Calibri"/>
                <w:sz w:val="16"/>
                <w:szCs w:val="16"/>
              </w:rPr>
              <w:t>dentify recharge connections and travel times</w:t>
            </w:r>
          </w:p>
        </w:tc>
        <w:tc>
          <w:tcPr>
            <w:tcW w:w="1257" w:type="dxa"/>
            <w:vAlign w:val="center"/>
          </w:tcPr>
          <w:p w14:paraId="41CDBE67" w14:textId="3D90FDB2" w:rsidR="00521410" w:rsidRPr="00521410" w:rsidRDefault="0069585C" w:rsidP="00521410">
            <w:pPr>
              <w:rPr>
                <w:rFonts w:ascii="Calibri" w:hAnsi="Calibri" w:cs="Calibri"/>
                <w:sz w:val="16"/>
                <w:szCs w:val="16"/>
              </w:rPr>
            </w:pPr>
            <w:r w:rsidRPr="0069585C">
              <w:rPr>
                <w:rFonts w:ascii="Calibri" w:hAnsi="Calibri" w:cs="Calibri"/>
                <w:sz w:val="16"/>
                <w:szCs w:val="16"/>
                <w:lang w:val="sr-Latn-RS"/>
              </w:rPr>
              <w:t>To support refinement of recharge areas and inform SPZ-related priorities within existing practices</w:t>
            </w:r>
          </w:p>
        </w:tc>
        <w:tc>
          <w:tcPr>
            <w:tcW w:w="1236" w:type="dxa"/>
            <w:vAlign w:val="center"/>
          </w:tcPr>
          <w:p w14:paraId="4AD9BA82" w14:textId="2B4E51C6" w:rsidR="00521410" w:rsidRPr="00521410" w:rsidRDefault="0069585C" w:rsidP="00521410">
            <w:pPr>
              <w:rPr>
                <w:rFonts w:ascii="Calibri" w:hAnsi="Calibri" w:cs="Calibri"/>
                <w:sz w:val="16"/>
                <w:szCs w:val="16"/>
              </w:rPr>
            </w:pPr>
            <w:r w:rsidRPr="0069585C">
              <w:rPr>
                <w:rFonts w:ascii="Calibri" w:hAnsi="Calibri" w:cs="Calibri"/>
                <w:sz w:val="16"/>
                <w:szCs w:val="16"/>
                <w:lang w:val="sr-Latn-RS"/>
              </w:rPr>
              <w:t>To support targeted investigations and improve understanding of recharge zones within current frameworks</w:t>
            </w:r>
          </w:p>
        </w:tc>
        <w:tc>
          <w:tcPr>
            <w:tcW w:w="1079" w:type="dxa"/>
            <w:vAlign w:val="center"/>
          </w:tcPr>
          <w:p w14:paraId="561BEE9B" w14:textId="239ACB56" w:rsidR="00521410" w:rsidRPr="00521410" w:rsidRDefault="000176CD" w:rsidP="00521410">
            <w:pPr>
              <w:rPr>
                <w:rFonts w:ascii="Calibri" w:hAnsi="Calibri" w:cs="Calibri"/>
                <w:sz w:val="16"/>
                <w:szCs w:val="16"/>
              </w:rPr>
            </w:pPr>
            <w:r>
              <w:rPr>
                <w:rFonts w:ascii="Calibri" w:hAnsi="Calibri" w:cs="Calibri"/>
                <w:sz w:val="16"/>
                <w:szCs w:val="16"/>
              </w:rPr>
              <w:t>T</w:t>
            </w:r>
            <w:r w:rsidR="00521410" w:rsidRPr="00521410">
              <w:rPr>
                <w:rFonts w:ascii="Calibri" w:hAnsi="Calibri" w:cs="Calibri"/>
                <w:sz w:val="16"/>
                <w:szCs w:val="16"/>
              </w:rPr>
              <w:t xml:space="preserve">racer mass, detection logs, </w:t>
            </w:r>
            <w:r w:rsidR="0069585C">
              <w:rPr>
                <w:rFonts w:ascii="Calibri" w:hAnsi="Calibri" w:cs="Calibri"/>
                <w:sz w:val="16"/>
                <w:szCs w:val="16"/>
              </w:rPr>
              <w:t xml:space="preserve">ponors (sinkholes) </w:t>
            </w:r>
            <w:r w:rsidR="00521410" w:rsidRPr="00521410">
              <w:rPr>
                <w:rFonts w:ascii="Calibri" w:hAnsi="Calibri" w:cs="Calibri"/>
                <w:sz w:val="16"/>
                <w:szCs w:val="16"/>
              </w:rPr>
              <w:t>/spring points (WGS84)</w:t>
            </w:r>
          </w:p>
        </w:tc>
        <w:tc>
          <w:tcPr>
            <w:tcW w:w="1106" w:type="dxa"/>
            <w:vAlign w:val="center"/>
          </w:tcPr>
          <w:p w14:paraId="1BD182C1" w14:textId="4BD0D869" w:rsidR="00521410" w:rsidRPr="00521410" w:rsidRDefault="000176CD" w:rsidP="00521410">
            <w:pPr>
              <w:rPr>
                <w:rFonts w:ascii="Calibri" w:hAnsi="Calibri" w:cs="Calibri"/>
                <w:sz w:val="16"/>
                <w:szCs w:val="16"/>
              </w:rPr>
            </w:pPr>
            <w:r>
              <w:rPr>
                <w:rFonts w:ascii="Calibri" w:hAnsi="Calibri" w:cs="Calibri"/>
                <w:sz w:val="16"/>
                <w:szCs w:val="16"/>
              </w:rPr>
              <w:t>T</w:t>
            </w:r>
            <w:r w:rsidR="00521410" w:rsidRPr="00521410">
              <w:rPr>
                <w:rFonts w:ascii="Calibri" w:hAnsi="Calibri" w:cs="Calibri"/>
                <w:sz w:val="16"/>
                <w:szCs w:val="16"/>
              </w:rPr>
              <w:t>ravel</w:t>
            </w:r>
            <w:r w:rsidR="00521410" w:rsidRPr="00521410">
              <w:rPr>
                <w:rFonts w:ascii="Calibri" w:hAnsi="Calibri" w:cs="Calibri"/>
                <w:sz w:val="16"/>
                <w:szCs w:val="16"/>
              </w:rPr>
              <w:noBreakHyphen/>
              <w:t>time class (hours–days)</w:t>
            </w:r>
          </w:p>
        </w:tc>
        <w:tc>
          <w:tcPr>
            <w:tcW w:w="1235" w:type="dxa"/>
            <w:vAlign w:val="center"/>
          </w:tcPr>
          <w:p w14:paraId="4478DF3E" w14:textId="0DE3FECC" w:rsidR="00521410" w:rsidRPr="00521410" w:rsidRDefault="00521410" w:rsidP="00521410">
            <w:pPr>
              <w:rPr>
                <w:rFonts w:ascii="Calibri" w:hAnsi="Calibri" w:cs="Calibri"/>
                <w:sz w:val="16"/>
                <w:szCs w:val="16"/>
              </w:rPr>
            </w:pPr>
            <w:r w:rsidRPr="00521410">
              <w:rPr>
                <w:rFonts w:ascii="Calibri" w:hAnsi="Calibri" w:cs="Calibri"/>
                <w:sz w:val="16"/>
                <w:szCs w:val="16"/>
              </w:rPr>
              <w:t>Adjust sampling frequency in Zones I–II; focus inspections after events</w:t>
            </w:r>
          </w:p>
        </w:tc>
      </w:tr>
      <w:tr w:rsidR="0069585C" w:rsidRPr="00521410" w14:paraId="4CDB5F75" w14:textId="77777777" w:rsidTr="0069585C">
        <w:tc>
          <w:tcPr>
            <w:tcW w:w="1890" w:type="dxa"/>
            <w:vAlign w:val="center"/>
          </w:tcPr>
          <w:p w14:paraId="19C34695" w14:textId="13D90904" w:rsidR="00521410" w:rsidRPr="00521410" w:rsidRDefault="00521410" w:rsidP="00521410">
            <w:pPr>
              <w:rPr>
                <w:rFonts w:ascii="Calibri" w:hAnsi="Calibri" w:cs="Calibri"/>
                <w:sz w:val="16"/>
                <w:szCs w:val="16"/>
              </w:rPr>
            </w:pPr>
            <w:r w:rsidRPr="00521410">
              <w:rPr>
                <w:rFonts w:ascii="Calibri" w:hAnsi="Calibri" w:cs="Calibri"/>
                <w:sz w:val="16"/>
                <w:szCs w:val="16"/>
              </w:rPr>
              <w:t>Karst vulnerability mapping (e.g. COP/EPIK/SINTACS</w:t>
            </w:r>
            <w:r w:rsidRPr="00521410">
              <w:rPr>
                <w:rFonts w:ascii="Calibri" w:hAnsi="Calibri" w:cs="Calibri"/>
                <w:sz w:val="16"/>
                <w:szCs w:val="16"/>
              </w:rPr>
              <w:noBreakHyphen/>
              <w:t>karst)</w:t>
            </w:r>
          </w:p>
        </w:tc>
        <w:tc>
          <w:tcPr>
            <w:tcW w:w="1268" w:type="dxa"/>
            <w:vAlign w:val="center"/>
          </w:tcPr>
          <w:p w14:paraId="6184EDBD" w14:textId="575F38FB" w:rsidR="00521410" w:rsidRPr="00521410" w:rsidRDefault="000176CD" w:rsidP="00521410">
            <w:pPr>
              <w:rPr>
                <w:rFonts w:ascii="Calibri" w:hAnsi="Calibri" w:cs="Calibri"/>
                <w:sz w:val="16"/>
                <w:szCs w:val="16"/>
              </w:rPr>
            </w:pPr>
            <w:r>
              <w:rPr>
                <w:rFonts w:ascii="Calibri" w:hAnsi="Calibri" w:cs="Calibri"/>
                <w:sz w:val="16"/>
                <w:szCs w:val="16"/>
              </w:rPr>
              <w:t>To c</w:t>
            </w:r>
            <w:r w:rsidR="00521410" w:rsidRPr="00521410">
              <w:rPr>
                <w:rFonts w:ascii="Calibri" w:hAnsi="Calibri" w:cs="Calibri"/>
                <w:sz w:val="16"/>
                <w:szCs w:val="16"/>
              </w:rPr>
              <w:t>lassify intrinsic vulnerability of recharge sectors</w:t>
            </w:r>
          </w:p>
        </w:tc>
        <w:tc>
          <w:tcPr>
            <w:tcW w:w="1257" w:type="dxa"/>
            <w:vAlign w:val="center"/>
          </w:tcPr>
          <w:p w14:paraId="7AA435E5" w14:textId="703F1882" w:rsidR="00521410" w:rsidRPr="00521410" w:rsidRDefault="0069585C" w:rsidP="00521410">
            <w:pPr>
              <w:rPr>
                <w:rFonts w:ascii="Calibri" w:hAnsi="Calibri" w:cs="Calibri"/>
                <w:sz w:val="16"/>
                <w:szCs w:val="16"/>
              </w:rPr>
            </w:pPr>
            <w:r w:rsidRPr="0069585C">
              <w:rPr>
                <w:rFonts w:ascii="Calibri" w:hAnsi="Calibri" w:cs="Calibri"/>
                <w:sz w:val="16"/>
                <w:szCs w:val="16"/>
                <w:lang w:val="sr-Latn-RS"/>
              </w:rPr>
              <w:t>To support identification of vulnerable zones and inform SPZ operational priorities within existing practice</w:t>
            </w:r>
          </w:p>
        </w:tc>
        <w:tc>
          <w:tcPr>
            <w:tcW w:w="1236" w:type="dxa"/>
            <w:vAlign w:val="center"/>
          </w:tcPr>
          <w:p w14:paraId="0D57D5D7" w14:textId="59AA24EF" w:rsidR="00521410" w:rsidRPr="00521410" w:rsidRDefault="0069585C" w:rsidP="00521410">
            <w:pPr>
              <w:rPr>
                <w:rFonts w:ascii="Calibri" w:hAnsi="Calibri" w:cs="Calibri"/>
                <w:sz w:val="16"/>
                <w:szCs w:val="16"/>
              </w:rPr>
            </w:pPr>
            <w:r w:rsidRPr="0069585C">
              <w:rPr>
                <w:rFonts w:ascii="Calibri" w:hAnsi="Calibri" w:cs="Calibri"/>
                <w:sz w:val="16"/>
                <w:szCs w:val="16"/>
                <w:lang w:val="sr-Latn-RS"/>
              </w:rPr>
              <w:t>To support identification of high-risk areas and guide SPZ-related decision-making within current frameworks</w:t>
            </w:r>
          </w:p>
        </w:tc>
        <w:tc>
          <w:tcPr>
            <w:tcW w:w="1079" w:type="dxa"/>
            <w:vAlign w:val="center"/>
          </w:tcPr>
          <w:p w14:paraId="21EE8144" w14:textId="109494B0" w:rsidR="00521410" w:rsidRPr="00521410" w:rsidRDefault="000176CD" w:rsidP="00521410">
            <w:pPr>
              <w:rPr>
                <w:rFonts w:ascii="Calibri" w:hAnsi="Calibri" w:cs="Calibri"/>
                <w:sz w:val="16"/>
                <w:szCs w:val="16"/>
              </w:rPr>
            </w:pPr>
            <w:r>
              <w:rPr>
                <w:rFonts w:ascii="Calibri" w:hAnsi="Calibri" w:cs="Calibri"/>
                <w:sz w:val="16"/>
                <w:szCs w:val="16"/>
              </w:rPr>
              <w:t>L</w:t>
            </w:r>
            <w:r w:rsidR="00521410" w:rsidRPr="00521410">
              <w:rPr>
                <w:rFonts w:ascii="Calibri" w:hAnsi="Calibri" w:cs="Calibri"/>
                <w:sz w:val="16"/>
                <w:szCs w:val="16"/>
              </w:rPr>
              <w:t>ithology raster (10–30 m), karst features, slope, precipitation</w:t>
            </w:r>
            <w:r w:rsidR="00461DB0">
              <w:rPr>
                <w:rFonts w:ascii="Calibri" w:hAnsi="Calibri" w:cs="Calibri"/>
                <w:sz w:val="16"/>
                <w:szCs w:val="16"/>
              </w:rPr>
              <w:t xml:space="preserve"> etc.</w:t>
            </w:r>
          </w:p>
        </w:tc>
        <w:tc>
          <w:tcPr>
            <w:tcW w:w="1106" w:type="dxa"/>
            <w:vAlign w:val="center"/>
          </w:tcPr>
          <w:p w14:paraId="28ABAF29" w14:textId="691DB762" w:rsidR="00521410" w:rsidRPr="00521410" w:rsidRDefault="000176CD" w:rsidP="00521410">
            <w:pPr>
              <w:rPr>
                <w:rFonts w:ascii="Calibri" w:hAnsi="Calibri" w:cs="Calibri"/>
                <w:sz w:val="16"/>
                <w:szCs w:val="16"/>
              </w:rPr>
            </w:pPr>
            <w:r>
              <w:rPr>
                <w:rFonts w:ascii="Calibri" w:hAnsi="Calibri" w:cs="Calibri"/>
                <w:sz w:val="16"/>
                <w:szCs w:val="16"/>
              </w:rPr>
              <w:t>V</w:t>
            </w:r>
            <w:r w:rsidR="00521410" w:rsidRPr="00521410">
              <w:rPr>
                <w:rFonts w:ascii="Calibri" w:hAnsi="Calibri" w:cs="Calibri"/>
                <w:sz w:val="16"/>
                <w:szCs w:val="16"/>
              </w:rPr>
              <w:t>ulnerability class (low–very high)</w:t>
            </w:r>
          </w:p>
        </w:tc>
        <w:tc>
          <w:tcPr>
            <w:tcW w:w="1235" w:type="dxa"/>
            <w:vAlign w:val="center"/>
          </w:tcPr>
          <w:p w14:paraId="73778FFA" w14:textId="64F71D34" w:rsidR="00521410" w:rsidRPr="00521410" w:rsidRDefault="00461DB0" w:rsidP="00521410">
            <w:pPr>
              <w:rPr>
                <w:rFonts w:ascii="Calibri" w:hAnsi="Calibri" w:cs="Calibri"/>
                <w:sz w:val="16"/>
                <w:szCs w:val="16"/>
              </w:rPr>
            </w:pPr>
            <w:r>
              <w:rPr>
                <w:rFonts w:ascii="Calibri" w:hAnsi="Calibri" w:cs="Calibri"/>
                <w:sz w:val="16"/>
                <w:szCs w:val="16"/>
              </w:rPr>
              <w:t>P</w:t>
            </w:r>
            <w:r w:rsidRPr="00461DB0">
              <w:rPr>
                <w:rFonts w:ascii="Calibri" w:hAnsi="Calibri" w:cs="Calibri"/>
                <w:sz w:val="16"/>
                <w:szCs w:val="16"/>
              </w:rPr>
              <w:t>rioritize inspections in sensitive areas and direct outreach to high</w:t>
            </w:r>
            <w:r w:rsidRPr="00461DB0">
              <w:rPr>
                <w:rFonts w:ascii="Cambria Math" w:hAnsi="Cambria Math" w:cs="Cambria Math"/>
                <w:sz w:val="16"/>
                <w:szCs w:val="16"/>
              </w:rPr>
              <w:t>‑</w:t>
            </w:r>
            <w:r w:rsidRPr="00461DB0">
              <w:rPr>
                <w:rFonts w:ascii="Calibri" w:hAnsi="Calibri" w:cs="Calibri"/>
                <w:sz w:val="16"/>
                <w:szCs w:val="16"/>
              </w:rPr>
              <w:t>risk sectors</w:t>
            </w:r>
          </w:p>
        </w:tc>
      </w:tr>
      <w:tr w:rsidR="0069585C" w:rsidRPr="00521410" w14:paraId="77C1A4E8" w14:textId="77777777" w:rsidTr="0069585C">
        <w:tc>
          <w:tcPr>
            <w:tcW w:w="1890" w:type="dxa"/>
            <w:vAlign w:val="center"/>
          </w:tcPr>
          <w:p w14:paraId="16E9EC3D" w14:textId="6832C0A1" w:rsidR="00521410" w:rsidRPr="00521410" w:rsidRDefault="00521410" w:rsidP="00521410">
            <w:pPr>
              <w:rPr>
                <w:rFonts w:ascii="Calibri" w:hAnsi="Calibri" w:cs="Calibri"/>
                <w:sz w:val="16"/>
                <w:szCs w:val="16"/>
              </w:rPr>
            </w:pPr>
            <w:r w:rsidRPr="00521410">
              <w:rPr>
                <w:rFonts w:ascii="Calibri" w:hAnsi="Calibri" w:cs="Calibri"/>
                <w:sz w:val="16"/>
                <w:szCs w:val="16"/>
              </w:rPr>
              <w:t>Event</w:t>
            </w:r>
            <w:r w:rsidRPr="00521410">
              <w:rPr>
                <w:rFonts w:ascii="Calibri" w:hAnsi="Calibri" w:cs="Calibri"/>
                <w:sz w:val="16"/>
                <w:szCs w:val="16"/>
              </w:rPr>
              <w:noBreakHyphen/>
              <w:t>based spring monitoring</w:t>
            </w:r>
          </w:p>
        </w:tc>
        <w:tc>
          <w:tcPr>
            <w:tcW w:w="1268" w:type="dxa"/>
            <w:vAlign w:val="center"/>
          </w:tcPr>
          <w:p w14:paraId="20F922E0" w14:textId="4D424E04" w:rsidR="00521410" w:rsidRPr="00521410" w:rsidRDefault="000176CD" w:rsidP="00521410">
            <w:pPr>
              <w:rPr>
                <w:rFonts w:ascii="Calibri" w:hAnsi="Calibri" w:cs="Calibri"/>
                <w:sz w:val="16"/>
                <w:szCs w:val="16"/>
              </w:rPr>
            </w:pPr>
            <w:r>
              <w:rPr>
                <w:rFonts w:ascii="Calibri" w:hAnsi="Calibri" w:cs="Calibri"/>
                <w:sz w:val="16"/>
                <w:szCs w:val="16"/>
              </w:rPr>
              <w:t>To c</w:t>
            </w:r>
            <w:r w:rsidR="00521410" w:rsidRPr="00521410">
              <w:rPr>
                <w:rFonts w:ascii="Calibri" w:hAnsi="Calibri" w:cs="Calibri"/>
                <w:sz w:val="16"/>
                <w:szCs w:val="16"/>
              </w:rPr>
              <w:t>apture contamination peaks during hydrological events</w:t>
            </w:r>
          </w:p>
        </w:tc>
        <w:tc>
          <w:tcPr>
            <w:tcW w:w="1257" w:type="dxa"/>
            <w:vAlign w:val="center"/>
          </w:tcPr>
          <w:p w14:paraId="0EFFC572" w14:textId="3DCB02E3" w:rsidR="00521410" w:rsidRPr="00521410" w:rsidRDefault="000176CD" w:rsidP="00521410">
            <w:pPr>
              <w:rPr>
                <w:rFonts w:ascii="Calibri" w:hAnsi="Calibri" w:cs="Calibri"/>
                <w:sz w:val="16"/>
                <w:szCs w:val="16"/>
              </w:rPr>
            </w:pPr>
            <w:r>
              <w:rPr>
                <w:rFonts w:ascii="Calibri" w:hAnsi="Calibri" w:cs="Calibri"/>
                <w:sz w:val="16"/>
                <w:szCs w:val="16"/>
              </w:rPr>
              <w:t>To t</w:t>
            </w:r>
            <w:r w:rsidR="00521410" w:rsidRPr="00521410">
              <w:rPr>
                <w:rFonts w:ascii="Calibri" w:hAnsi="Calibri" w:cs="Calibri"/>
                <w:sz w:val="16"/>
                <w:szCs w:val="16"/>
              </w:rPr>
              <w:t>rigger intensified sampling within existing SPZ obligations</w:t>
            </w:r>
          </w:p>
        </w:tc>
        <w:tc>
          <w:tcPr>
            <w:tcW w:w="1236" w:type="dxa"/>
            <w:vAlign w:val="center"/>
          </w:tcPr>
          <w:p w14:paraId="63B014BD" w14:textId="3D35D0A6" w:rsidR="00521410" w:rsidRPr="00521410" w:rsidRDefault="000176CD" w:rsidP="00521410">
            <w:pPr>
              <w:rPr>
                <w:rFonts w:ascii="Calibri" w:hAnsi="Calibri" w:cs="Calibri"/>
                <w:sz w:val="16"/>
                <w:szCs w:val="16"/>
              </w:rPr>
            </w:pPr>
            <w:r>
              <w:rPr>
                <w:rFonts w:ascii="Calibri" w:hAnsi="Calibri" w:cs="Calibri"/>
                <w:sz w:val="16"/>
                <w:szCs w:val="16"/>
              </w:rPr>
              <w:t>To apply</w:t>
            </w:r>
            <w:r w:rsidR="00521410" w:rsidRPr="00521410">
              <w:rPr>
                <w:rFonts w:ascii="Calibri" w:hAnsi="Calibri" w:cs="Calibri"/>
                <w:sz w:val="16"/>
                <w:szCs w:val="16"/>
              </w:rPr>
              <w:t xml:space="preserve"> through utility/agency protocols</w:t>
            </w:r>
          </w:p>
        </w:tc>
        <w:tc>
          <w:tcPr>
            <w:tcW w:w="1079" w:type="dxa"/>
            <w:vAlign w:val="center"/>
          </w:tcPr>
          <w:p w14:paraId="55F8571E" w14:textId="0C66D147" w:rsidR="00521410" w:rsidRPr="00521410" w:rsidRDefault="000176CD" w:rsidP="00521410">
            <w:pPr>
              <w:rPr>
                <w:rFonts w:ascii="Calibri" w:hAnsi="Calibri" w:cs="Calibri"/>
                <w:sz w:val="16"/>
                <w:szCs w:val="16"/>
              </w:rPr>
            </w:pPr>
            <w:r>
              <w:rPr>
                <w:rFonts w:ascii="Calibri" w:hAnsi="Calibri" w:cs="Calibri"/>
                <w:sz w:val="16"/>
                <w:szCs w:val="16"/>
              </w:rPr>
              <w:t>T</w:t>
            </w:r>
            <w:r w:rsidR="00521410" w:rsidRPr="00521410">
              <w:rPr>
                <w:rFonts w:ascii="Calibri" w:hAnsi="Calibri" w:cs="Calibri"/>
                <w:sz w:val="16"/>
                <w:szCs w:val="16"/>
              </w:rPr>
              <w:t>urbidity (NTU), EC (mS/cm), microbiology (</w:t>
            </w:r>
            <w:proofErr w:type="spellStart"/>
            <w:r w:rsidR="00521410" w:rsidRPr="00521410">
              <w:rPr>
                <w:rFonts w:ascii="Calibri" w:hAnsi="Calibri" w:cs="Calibri"/>
                <w:sz w:val="16"/>
                <w:szCs w:val="16"/>
              </w:rPr>
              <w:t>cfu</w:t>
            </w:r>
            <w:proofErr w:type="spellEnd"/>
            <w:r w:rsidR="00521410" w:rsidRPr="00521410">
              <w:rPr>
                <w:rFonts w:ascii="Calibri" w:hAnsi="Calibri" w:cs="Calibri"/>
                <w:sz w:val="16"/>
                <w:szCs w:val="16"/>
              </w:rPr>
              <w:t>/100 mL), 15</w:t>
            </w:r>
            <w:r w:rsidR="00521410" w:rsidRPr="00521410">
              <w:rPr>
                <w:rFonts w:ascii="Calibri" w:hAnsi="Calibri" w:cs="Calibri"/>
                <w:sz w:val="16"/>
                <w:szCs w:val="16"/>
              </w:rPr>
              <w:noBreakHyphen/>
              <w:t>min/1</w:t>
            </w:r>
            <w:r w:rsidR="00521410" w:rsidRPr="00521410">
              <w:rPr>
                <w:rFonts w:ascii="Calibri" w:hAnsi="Calibri" w:cs="Calibri"/>
                <w:sz w:val="16"/>
                <w:szCs w:val="16"/>
              </w:rPr>
              <w:noBreakHyphen/>
              <w:t>h timeseries</w:t>
            </w:r>
          </w:p>
        </w:tc>
        <w:tc>
          <w:tcPr>
            <w:tcW w:w="1106" w:type="dxa"/>
            <w:vAlign w:val="center"/>
          </w:tcPr>
          <w:p w14:paraId="7EE2F795" w14:textId="005A1C06" w:rsidR="00521410" w:rsidRPr="00521410" w:rsidRDefault="000176CD" w:rsidP="00521410">
            <w:pPr>
              <w:rPr>
                <w:rFonts w:ascii="Calibri" w:hAnsi="Calibri" w:cs="Calibri"/>
                <w:sz w:val="16"/>
                <w:szCs w:val="16"/>
              </w:rPr>
            </w:pPr>
            <w:r>
              <w:rPr>
                <w:rFonts w:ascii="Calibri" w:hAnsi="Calibri" w:cs="Calibri"/>
                <w:sz w:val="16"/>
                <w:szCs w:val="16"/>
              </w:rPr>
              <w:t>E</w:t>
            </w:r>
            <w:r w:rsidR="00521410" w:rsidRPr="00521410">
              <w:rPr>
                <w:rFonts w:ascii="Calibri" w:hAnsi="Calibri" w:cs="Calibri"/>
                <w:sz w:val="16"/>
                <w:szCs w:val="16"/>
              </w:rPr>
              <w:t>xceedance of operational thresholds</w:t>
            </w:r>
          </w:p>
        </w:tc>
        <w:tc>
          <w:tcPr>
            <w:tcW w:w="1235" w:type="dxa"/>
            <w:vAlign w:val="center"/>
          </w:tcPr>
          <w:p w14:paraId="2718A6BF" w14:textId="3BF8C44C" w:rsidR="00521410" w:rsidRPr="00521410" w:rsidRDefault="00521410" w:rsidP="00521410">
            <w:pPr>
              <w:rPr>
                <w:rFonts w:ascii="Calibri" w:hAnsi="Calibri" w:cs="Calibri"/>
                <w:sz w:val="16"/>
                <w:szCs w:val="16"/>
              </w:rPr>
            </w:pPr>
            <w:r w:rsidRPr="00521410">
              <w:rPr>
                <w:rFonts w:ascii="Calibri" w:hAnsi="Calibri" w:cs="Calibri"/>
                <w:sz w:val="16"/>
                <w:szCs w:val="16"/>
              </w:rPr>
              <w:t>Initiate alert responses; increase temporary restrictions within SPZ</w:t>
            </w:r>
          </w:p>
        </w:tc>
      </w:tr>
      <w:tr w:rsidR="0069585C" w:rsidRPr="00521410" w14:paraId="16E1F2DE" w14:textId="77777777" w:rsidTr="0069585C">
        <w:tc>
          <w:tcPr>
            <w:tcW w:w="1890" w:type="dxa"/>
            <w:vAlign w:val="center"/>
          </w:tcPr>
          <w:p w14:paraId="5AE048F9" w14:textId="2C8DAE70" w:rsidR="00521410" w:rsidRPr="00521410" w:rsidRDefault="00521410" w:rsidP="00521410">
            <w:pPr>
              <w:rPr>
                <w:rFonts w:ascii="Calibri" w:hAnsi="Calibri" w:cs="Calibri"/>
                <w:sz w:val="16"/>
                <w:szCs w:val="16"/>
              </w:rPr>
            </w:pPr>
            <w:r w:rsidRPr="00521410">
              <w:rPr>
                <w:rFonts w:ascii="Calibri" w:hAnsi="Calibri" w:cs="Calibri"/>
                <w:sz w:val="16"/>
                <w:szCs w:val="16"/>
              </w:rPr>
              <w:t>Nitrate &amp; pesticide screening</w:t>
            </w:r>
          </w:p>
        </w:tc>
        <w:tc>
          <w:tcPr>
            <w:tcW w:w="1268" w:type="dxa"/>
            <w:vAlign w:val="center"/>
          </w:tcPr>
          <w:p w14:paraId="0BD7BFB2" w14:textId="321B1512" w:rsidR="00521410" w:rsidRPr="00521410" w:rsidRDefault="000176CD" w:rsidP="00521410">
            <w:pPr>
              <w:rPr>
                <w:rFonts w:ascii="Calibri" w:hAnsi="Calibri" w:cs="Calibri"/>
                <w:sz w:val="16"/>
                <w:szCs w:val="16"/>
              </w:rPr>
            </w:pPr>
            <w:r>
              <w:rPr>
                <w:rFonts w:ascii="Calibri" w:hAnsi="Calibri" w:cs="Calibri"/>
                <w:sz w:val="16"/>
                <w:szCs w:val="16"/>
              </w:rPr>
              <w:t>To i</w:t>
            </w:r>
            <w:r w:rsidR="00521410" w:rsidRPr="00521410">
              <w:rPr>
                <w:rFonts w:ascii="Calibri" w:hAnsi="Calibri" w:cs="Calibri"/>
                <w:sz w:val="16"/>
                <w:szCs w:val="16"/>
              </w:rPr>
              <w:t>dentify diffuse</w:t>
            </w:r>
            <w:r w:rsidR="00521410" w:rsidRPr="00521410">
              <w:rPr>
                <w:rFonts w:ascii="Calibri" w:hAnsi="Calibri" w:cs="Calibri"/>
                <w:sz w:val="16"/>
                <w:szCs w:val="16"/>
              </w:rPr>
              <w:noBreakHyphen/>
              <w:t>pollution risk areas</w:t>
            </w:r>
          </w:p>
        </w:tc>
        <w:tc>
          <w:tcPr>
            <w:tcW w:w="1257" w:type="dxa"/>
            <w:vAlign w:val="center"/>
          </w:tcPr>
          <w:p w14:paraId="75248652" w14:textId="38C608DD" w:rsidR="00521410" w:rsidRPr="00521410" w:rsidRDefault="0069585C" w:rsidP="00521410">
            <w:pPr>
              <w:rPr>
                <w:rFonts w:ascii="Calibri" w:hAnsi="Calibri" w:cs="Calibri"/>
                <w:sz w:val="16"/>
                <w:szCs w:val="16"/>
              </w:rPr>
            </w:pPr>
            <w:r w:rsidRPr="0069585C">
              <w:rPr>
                <w:rFonts w:ascii="Calibri" w:hAnsi="Calibri" w:cs="Calibri"/>
                <w:sz w:val="16"/>
                <w:szCs w:val="16"/>
                <w:lang w:val="sr-Latn-RS"/>
              </w:rPr>
              <w:t>To support identification of agricultural pressure zones and inform monitoring priorities</w:t>
            </w:r>
          </w:p>
        </w:tc>
        <w:tc>
          <w:tcPr>
            <w:tcW w:w="1236" w:type="dxa"/>
            <w:vAlign w:val="center"/>
          </w:tcPr>
          <w:p w14:paraId="466FA6DC" w14:textId="104462CE" w:rsidR="00521410" w:rsidRPr="00521410" w:rsidRDefault="0069585C" w:rsidP="00521410">
            <w:pPr>
              <w:rPr>
                <w:rFonts w:ascii="Calibri" w:hAnsi="Calibri" w:cs="Calibri"/>
                <w:sz w:val="16"/>
                <w:szCs w:val="16"/>
              </w:rPr>
            </w:pPr>
            <w:r w:rsidRPr="0069585C">
              <w:rPr>
                <w:rFonts w:ascii="Calibri" w:hAnsi="Calibri" w:cs="Calibri"/>
                <w:sz w:val="16"/>
                <w:szCs w:val="16"/>
                <w:lang w:val="sr-Latn-RS"/>
              </w:rPr>
              <w:t>To support identification of rural risk areas and guide targeted field investigations</w:t>
            </w:r>
          </w:p>
        </w:tc>
        <w:tc>
          <w:tcPr>
            <w:tcW w:w="1079" w:type="dxa"/>
            <w:vAlign w:val="center"/>
          </w:tcPr>
          <w:p w14:paraId="4455EFFD" w14:textId="20E68A47" w:rsidR="00521410" w:rsidRPr="00521410" w:rsidRDefault="000176CD" w:rsidP="00521410">
            <w:pPr>
              <w:rPr>
                <w:rFonts w:ascii="Calibri" w:hAnsi="Calibri" w:cs="Calibri"/>
                <w:sz w:val="16"/>
                <w:szCs w:val="16"/>
              </w:rPr>
            </w:pPr>
            <w:r>
              <w:rPr>
                <w:rFonts w:ascii="Calibri" w:hAnsi="Calibri" w:cs="Calibri"/>
                <w:sz w:val="16"/>
                <w:szCs w:val="16"/>
              </w:rPr>
              <w:t>W</w:t>
            </w:r>
            <w:r w:rsidR="00521410" w:rsidRPr="00521410">
              <w:rPr>
                <w:rFonts w:ascii="Calibri" w:hAnsi="Calibri" w:cs="Calibri"/>
                <w:sz w:val="16"/>
                <w:szCs w:val="16"/>
              </w:rPr>
              <w:t>ater samples (mg/L, µg/L), land</w:t>
            </w:r>
            <w:r w:rsidR="00521410" w:rsidRPr="00521410">
              <w:rPr>
                <w:rFonts w:ascii="Calibri" w:hAnsi="Calibri" w:cs="Calibri"/>
                <w:sz w:val="16"/>
                <w:szCs w:val="16"/>
              </w:rPr>
              <w:noBreakHyphen/>
              <w:t>use GIS</w:t>
            </w:r>
          </w:p>
        </w:tc>
        <w:tc>
          <w:tcPr>
            <w:tcW w:w="1106" w:type="dxa"/>
            <w:vAlign w:val="center"/>
          </w:tcPr>
          <w:p w14:paraId="2F3DDE52" w14:textId="6D62240E" w:rsidR="00521410" w:rsidRPr="00521410" w:rsidRDefault="000176CD" w:rsidP="00521410">
            <w:pPr>
              <w:rPr>
                <w:rFonts w:ascii="Calibri" w:hAnsi="Calibri" w:cs="Calibri"/>
                <w:sz w:val="16"/>
                <w:szCs w:val="16"/>
              </w:rPr>
            </w:pPr>
            <w:r>
              <w:rPr>
                <w:rFonts w:ascii="Calibri" w:hAnsi="Calibri" w:cs="Calibri"/>
                <w:sz w:val="16"/>
                <w:szCs w:val="16"/>
              </w:rPr>
              <w:t>H</w:t>
            </w:r>
            <w:r w:rsidR="00521410" w:rsidRPr="00521410">
              <w:rPr>
                <w:rFonts w:ascii="Calibri" w:hAnsi="Calibri" w:cs="Calibri"/>
                <w:sz w:val="16"/>
                <w:szCs w:val="16"/>
              </w:rPr>
              <w:t>otspot ID, concentration trend</w:t>
            </w:r>
          </w:p>
        </w:tc>
        <w:tc>
          <w:tcPr>
            <w:tcW w:w="1235" w:type="dxa"/>
            <w:vAlign w:val="center"/>
          </w:tcPr>
          <w:p w14:paraId="695C597D" w14:textId="5A6318D4" w:rsidR="00521410" w:rsidRPr="00521410" w:rsidRDefault="0069585C" w:rsidP="00521410">
            <w:pPr>
              <w:rPr>
                <w:rFonts w:ascii="Calibri" w:hAnsi="Calibri" w:cs="Calibri"/>
                <w:sz w:val="16"/>
                <w:szCs w:val="16"/>
              </w:rPr>
            </w:pPr>
            <w:r w:rsidRPr="0069585C">
              <w:rPr>
                <w:rFonts w:ascii="Calibri" w:hAnsi="Calibri" w:cs="Calibri"/>
                <w:sz w:val="16"/>
                <w:szCs w:val="16"/>
                <w:lang w:val="sr-Latn-RS"/>
              </w:rPr>
              <w:t>Prioritise inspections; support agricultural advisory measures</w:t>
            </w:r>
          </w:p>
        </w:tc>
      </w:tr>
      <w:tr w:rsidR="0069585C" w:rsidRPr="00521410" w14:paraId="55A0D62B" w14:textId="77777777" w:rsidTr="0069585C">
        <w:tc>
          <w:tcPr>
            <w:tcW w:w="1890" w:type="dxa"/>
            <w:vAlign w:val="center"/>
          </w:tcPr>
          <w:p w14:paraId="752EFC0C" w14:textId="7E5FB90A"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Spatial overlay: losing streams; land use; sources</w:t>
            </w:r>
          </w:p>
        </w:tc>
        <w:tc>
          <w:tcPr>
            <w:tcW w:w="1268" w:type="dxa"/>
            <w:vAlign w:val="center"/>
          </w:tcPr>
          <w:p w14:paraId="64B4DD02" w14:textId="63CE0513" w:rsidR="00521410" w:rsidRPr="00521410" w:rsidRDefault="000176CD" w:rsidP="00521410">
            <w:pPr>
              <w:rPr>
                <w:rFonts w:ascii="Calibri" w:hAnsi="Calibri" w:cs="Calibri"/>
                <w:sz w:val="16"/>
                <w:szCs w:val="16"/>
                <w:lang w:val="en-GB" w:eastAsia="en-GB"/>
              </w:rPr>
            </w:pPr>
            <w:r>
              <w:rPr>
                <w:rFonts w:ascii="Calibri" w:hAnsi="Calibri" w:cs="Calibri"/>
                <w:sz w:val="16"/>
                <w:szCs w:val="16"/>
              </w:rPr>
              <w:t>To r</w:t>
            </w:r>
            <w:r w:rsidR="00521410" w:rsidRPr="00521410">
              <w:rPr>
                <w:rFonts w:ascii="Calibri" w:hAnsi="Calibri" w:cs="Calibri"/>
                <w:sz w:val="16"/>
                <w:szCs w:val="16"/>
              </w:rPr>
              <w:t>eveal high</w:t>
            </w:r>
            <w:r w:rsidR="00521410" w:rsidRPr="00521410">
              <w:rPr>
                <w:rFonts w:ascii="Calibri" w:hAnsi="Calibri" w:cs="Calibri"/>
                <w:sz w:val="16"/>
                <w:szCs w:val="16"/>
              </w:rPr>
              <w:noBreakHyphen/>
              <w:t>risk infiltration spots</w:t>
            </w:r>
          </w:p>
        </w:tc>
        <w:tc>
          <w:tcPr>
            <w:tcW w:w="1257" w:type="dxa"/>
            <w:vAlign w:val="center"/>
          </w:tcPr>
          <w:p w14:paraId="1AB4AC69" w14:textId="2F2A6903" w:rsidR="00521410" w:rsidRPr="00521410" w:rsidRDefault="00DF478D" w:rsidP="00521410">
            <w:pPr>
              <w:rPr>
                <w:rFonts w:ascii="Calibri" w:hAnsi="Calibri" w:cs="Calibri"/>
                <w:sz w:val="16"/>
                <w:szCs w:val="16"/>
                <w:lang w:val="en-GB" w:eastAsia="en-GB"/>
              </w:rPr>
            </w:pPr>
            <w:r w:rsidRPr="00DF478D">
              <w:rPr>
                <w:rFonts w:ascii="Calibri" w:hAnsi="Calibri" w:cs="Calibri"/>
                <w:sz w:val="16"/>
                <w:szCs w:val="16"/>
                <w:lang w:val="sr-Latn-RS"/>
              </w:rPr>
              <w:t>To support spatial-planning consultation and identification of sensitive recharge zones</w:t>
            </w:r>
          </w:p>
        </w:tc>
        <w:tc>
          <w:tcPr>
            <w:tcW w:w="1236" w:type="dxa"/>
            <w:vAlign w:val="center"/>
          </w:tcPr>
          <w:p w14:paraId="5E87BC70" w14:textId="7E3B763E" w:rsidR="00521410" w:rsidRPr="00521410" w:rsidRDefault="00DF478D" w:rsidP="00521410">
            <w:pPr>
              <w:rPr>
                <w:rFonts w:ascii="Calibri" w:hAnsi="Calibri" w:cs="Calibri"/>
                <w:sz w:val="16"/>
                <w:szCs w:val="16"/>
                <w:lang w:val="en-GB" w:eastAsia="en-GB"/>
              </w:rPr>
            </w:pPr>
            <w:r w:rsidRPr="00DF478D">
              <w:rPr>
                <w:rFonts w:ascii="Calibri" w:hAnsi="Calibri" w:cs="Calibri"/>
                <w:sz w:val="16"/>
                <w:szCs w:val="16"/>
                <w:lang w:val="sr-Latn-RS"/>
              </w:rPr>
              <w:t>To support integration of groundwater considerations into municipal planning</w:t>
            </w:r>
          </w:p>
        </w:tc>
        <w:tc>
          <w:tcPr>
            <w:tcW w:w="1079" w:type="dxa"/>
            <w:vAlign w:val="center"/>
          </w:tcPr>
          <w:p w14:paraId="6EA35EFD" w14:textId="3DD42FD1" w:rsidR="00521410" w:rsidRPr="00521410" w:rsidRDefault="000176CD" w:rsidP="00521410">
            <w:pPr>
              <w:rPr>
                <w:rFonts w:ascii="Calibri" w:hAnsi="Calibri" w:cs="Calibri"/>
                <w:sz w:val="16"/>
                <w:szCs w:val="16"/>
                <w:lang w:val="en-GB" w:eastAsia="en-GB"/>
              </w:rPr>
            </w:pPr>
            <w:r>
              <w:rPr>
                <w:rFonts w:ascii="Calibri" w:hAnsi="Calibri" w:cs="Calibri"/>
                <w:sz w:val="16"/>
                <w:szCs w:val="16"/>
              </w:rPr>
              <w:t>L</w:t>
            </w:r>
            <w:r w:rsidR="00521410" w:rsidRPr="00521410">
              <w:rPr>
                <w:rFonts w:ascii="Calibri" w:hAnsi="Calibri" w:cs="Calibri"/>
                <w:sz w:val="16"/>
                <w:szCs w:val="16"/>
              </w:rPr>
              <w:t>and</w:t>
            </w:r>
            <w:r w:rsidR="00521410" w:rsidRPr="00521410">
              <w:rPr>
                <w:rFonts w:ascii="Calibri" w:hAnsi="Calibri" w:cs="Calibri"/>
                <w:sz w:val="16"/>
                <w:szCs w:val="16"/>
              </w:rPr>
              <w:noBreakHyphen/>
              <w:t>use raster, losing</w:t>
            </w:r>
            <w:r w:rsidR="00521410" w:rsidRPr="00521410">
              <w:rPr>
                <w:rFonts w:ascii="Calibri" w:hAnsi="Calibri" w:cs="Calibri"/>
                <w:sz w:val="16"/>
                <w:szCs w:val="16"/>
              </w:rPr>
              <w:noBreakHyphen/>
              <w:t>stream linework, point sources</w:t>
            </w:r>
          </w:p>
        </w:tc>
        <w:tc>
          <w:tcPr>
            <w:tcW w:w="1106" w:type="dxa"/>
            <w:vAlign w:val="center"/>
          </w:tcPr>
          <w:p w14:paraId="10EFC555" w14:textId="4D50C673" w:rsidR="00521410" w:rsidRPr="00521410" w:rsidRDefault="000176CD" w:rsidP="00521410">
            <w:pPr>
              <w:rPr>
                <w:rFonts w:ascii="Calibri" w:hAnsi="Calibri" w:cs="Calibri"/>
                <w:sz w:val="16"/>
                <w:szCs w:val="16"/>
                <w:lang w:val="en-GB" w:eastAsia="en-GB"/>
              </w:rPr>
            </w:pPr>
            <w:r>
              <w:rPr>
                <w:rFonts w:ascii="Calibri" w:hAnsi="Calibri" w:cs="Calibri"/>
                <w:sz w:val="16"/>
                <w:szCs w:val="16"/>
              </w:rPr>
              <w:t>R</w:t>
            </w:r>
            <w:r w:rsidR="00521410" w:rsidRPr="00521410">
              <w:rPr>
                <w:rFonts w:ascii="Calibri" w:hAnsi="Calibri" w:cs="Calibri"/>
                <w:sz w:val="16"/>
                <w:szCs w:val="16"/>
              </w:rPr>
              <w:t>isk overlay (H/M/L)</w:t>
            </w:r>
          </w:p>
        </w:tc>
        <w:tc>
          <w:tcPr>
            <w:tcW w:w="1235" w:type="dxa"/>
            <w:vAlign w:val="center"/>
          </w:tcPr>
          <w:p w14:paraId="26884A8D" w14:textId="72D6B430"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Focus inspections; recommend mitigation at critical recharge points</w:t>
            </w:r>
          </w:p>
        </w:tc>
      </w:tr>
      <w:tr w:rsidR="0069585C" w:rsidRPr="00521410" w14:paraId="73C93A41" w14:textId="77777777" w:rsidTr="0069585C">
        <w:tc>
          <w:tcPr>
            <w:tcW w:w="1890" w:type="dxa"/>
            <w:vAlign w:val="center"/>
          </w:tcPr>
          <w:p w14:paraId="16450C63" w14:textId="10127025"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Early</w:t>
            </w:r>
            <w:r w:rsidRPr="00521410">
              <w:rPr>
                <w:rFonts w:ascii="Calibri" w:hAnsi="Calibri" w:cs="Calibri"/>
                <w:sz w:val="16"/>
                <w:szCs w:val="16"/>
              </w:rPr>
              <w:noBreakHyphen/>
              <w:t>warning thresholds at springs</w:t>
            </w:r>
          </w:p>
        </w:tc>
        <w:tc>
          <w:tcPr>
            <w:tcW w:w="1268" w:type="dxa"/>
            <w:vAlign w:val="center"/>
          </w:tcPr>
          <w:p w14:paraId="62893360" w14:textId="3FC07CBE" w:rsidR="00521410" w:rsidRPr="00521410" w:rsidRDefault="000176CD" w:rsidP="00521410">
            <w:pPr>
              <w:rPr>
                <w:rFonts w:ascii="Calibri" w:hAnsi="Calibri" w:cs="Calibri"/>
                <w:sz w:val="16"/>
                <w:szCs w:val="16"/>
                <w:lang w:val="en-GB" w:eastAsia="en-GB"/>
              </w:rPr>
            </w:pPr>
            <w:r>
              <w:rPr>
                <w:rFonts w:ascii="Calibri" w:hAnsi="Calibri" w:cs="Calibri"/>
                <w:sz w:val="16"/>
                <w:szCs w:val="16"/>
              </w:rPr>
              <w:t>To d</w:t>
            </w:r>
            <w:r w:rsidR="00521410" w:rsidRPr="00521410">
              <w:rPr>
                <w:rFonts w:ascii="Calibri" w:hAnsi="Calibri" w:cs="Calibri"/>
                <w:sz w:val="16"/>
                <w:szCs w:val="16"/>
              </w:rPr>
              <w:t>etect rapid deterioration in water quality</w:t>
            </w:r>
          </w:p>
        </w:tc>
        <w:tc>
          <w:tcPr>
            <w:tcW w:w="1257" w:type="dxa"/>
            <w:vAlign w:val="center"/>
          </w:tcPr>
          <w:p w14:paraId="5E288925" w14:textId="4DD5F39E" w:rsidR="00521410" w:rsidRPr="00521410" w:rsidRDefault="00DF478D" w:rsidP="00521410">
            <w:pPr>
              <w:rPr>
                <w:rFonts w:ascii="Calibri" w:hAnsi="Calibri" w:cs="Calibri"/>
                <w:sz w:val="16"/>
                <w:szCs w:val="16"/>
                <w:lang w:val="en-GB" w:eastAsia="en-GB"/>
              </w:rPr>
            </w:pPr>
            <w:r w:rsidRPr="00DF478D">
              <w:rPr>
                <w:rFonts w:ascii="Calibri" w:hAnsi="Calibri" w:cs="Calibri"/>
                <w:sz w:val="16"/>
                <w:szCs w:val="16"/>
                <w:lang w:val="sr-Latn-RS"/>
              </w:rPr>
              <w:t>To support development of operational early-warning practices at key abstraction points</w:t>
            </w:r>
          </w:p>
        </w:tc>
        <w:tc>
          <w:tcPr>
            <w:tcW w:w="1236" w:type="dxa"/>
            <w:vAlign w:val="center"/>
          </w:tcPr>
          <w:p w14:paraId="11F58D2D" w14:textId="77735363" w:rsidR="00521410" w:rsidRPr="00521410" w:rsidRDefault="00DF478D" w:rsidP="00521410">
            <w:pPr>
              <w:rPr>
                <w:rFonts w:ascii="Calibri" w:hAnsi="Calibri" w:cs="Calibri"/>
                <w:sz w:val="16"/>
                <w:szCs w:val="16"/>
                <w:lang w:val="en-GB" w:eastAsia="en-GB"/>
              </w:rPr>
            </w:pPr>
            <w:r w:rsidRPr="00DF478D">
              <w:rPr>
                <w:rFonts w:ascii="Calibri" w:hAnsi="Calibri" w:cs="Calibri"/>
                <w:sz w:val="16"/>
                <w:szCs w:val="16"/>
                <w:lang w:val="sr-Latn-RS"/>
              </w:rPr>
              <w:t>To support development of early-warning approaches through utilities and public health monitoring</w:t>
            </w:r>
          </w:p>
        </w:tc>
        <w:tc>
          <w:tcPr>
            <w:tcW w:w="1079" w:type="dxa"/>
            <w:vAlign w:val="center"/>
          </w:tcPr>
          <w:p w14:paraId="279AFE6C" w14:textId="040A700A" w:rsidR="00521410" w:rsidRPr="00521410" w:rsidRDefault="000176CD" w:rsidP="00521410">
            <w:pPr>
              <w:rPr>
                <w:rFonts w:ascii="Calibri" w:hAnsi="Calibri" w:cs="Calibri"/>
                <w:sz w:val="16"/>
                <w:szCs w:val="16"/>
                <w:lang w:val="en-GB" w:eastAsia="en-GB"/>
              </w:rPr>
            </w:pPr>
            <w:r>
              <w:rPr>
                <w:rFonts w:ascii="Calibri" w:hAnsi="Calibri" w:cs="Calibri"/>
                <w:sz w:val="16"/>
                <w:szCs w:val="16"/>
              </w:rPr>
              <w:t>T</w:t>
            </w:r>
            <w:r w:rsidR="00521410" w:rsidRPr="00521410">
              <w:rPr>
                <w:rFonts w:ascii="Calibri" w:hAnsi="Calibri" w:cs="Calibri"/>
                <w:sz w:val="16"/>
                <w:szCs w:val="16"/>
              </w:rPr>
              <w:t>urbidity, EC, E. coli, rainfall intensity</w:t>
            </w:r>
          </w:p>
        </w:tc>
        <w:tc>
          <w:tcPr>
            <w:tcW w:w="1106" w:type="dxa"/>
            <w:vAlign w:val="center"/>
          </w:tcPr>
          <w:p w14:paraId="079EFB3B" w14:textId="61EACBDF" w:rsidR="00521410" w:rsidRPr="00521410" w:rsidRDefault="00DF478D" w:rsidP="00521410">
            <w:pPr>
              <w:rPr>
                <w:rFonts w:ascii="Calibri" w:hAnsi="Calibri" w:cs="Calibri"/>
                <w:sz w:val="16"/>
                <w:szCs w:val="16"/>
                <w:lang w:val="en-GB" w:eastAsia="en-GB"/>
              </w:rPr>
            </w:pPr>
            <w:r w:rsidRPr="00DF478D">
              <w:rPr>
                <w:rFonts w:ascii="Calibri" w:hAnsi="Calibri" w:cs="Calibri"/>
                <w:sz w:val="16"/>
                <w:szCs w:val="16"/>
                <w:lang w:val="sr-Latn-RS"/>
              </w:rPr>
              <w:t>Threshold exceedance / anomaly detection</w:t>
            </w:r>
          </w:p>
        </w:tc>
        <w:tc>
          <w:tcPr>
            <w:tcW w:w="1235" w:type="dxa"/>
            <w:vAlign w:val="center"/>
          </w:tcPr>
          <w:p w14:paraId="71F8E07E" w14:textId="578C1341"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Trigger event</w:t>
            </w:r>
            <w:r w:rsidRPr="00521410">
              <w:rPr>
                <w:rFonts w:ascii="Calibri" w:hAnsi="Calibri" w:cs="Calibri"/>
                <w:sz w:val="16"/>
                <w:szCs w:val="16"/>
              </w:rPr>
              <w:noBreakHyphen/>
              <w:t>sampling; activate communication with inspectorates</w:t>
            </w:r>
          </w:p>
        </w:tc>
      </w:tr>
      <w:tr w:rsidR="0069585C" w:rsidRPr="00521410" w14:paraId="35DF5670" w14:textId="77777777" w:rsidTr="0069585C">
        <w:tc>
          <w:tcPr>
            <w:tcW w:w="1890" w:type="dxa"/>
            <w:vAlign w:val="center"/>
          </w:tcPr>
          <w:p w14:paraId="71F03279" w14:textId="6DD52EED"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Risk</w:t>
            </w:r>
            <w:r w:rsidRPr="00521410">
              <w:rPr>
                <w:rFonts w:ascii="Calibri" w:hAnsi="Calibri" w:cs="Calibri"/>
                <w:sz w:val="16"/>
                <w:szCs w:val="16"/>
              </w:rPr>
              <w:noBreakHyphen/>
              <w:t xml:space="preserve">based inspection </w:t>
            </w:r>
          </w:p>
        </w:tc>
        <w:tc>
          <w:tcPr>
            <w:tcW w:w="1268" w:type="dxa"/>
            <w:vAlign w:val="center"/>
          </w:tcPr>
          <w:p w14:paraId="26CD33F6" w14:textId="51BB41DB" w:rsidR="00521410" w:rsidRPr="00521410" w:rsidRDefault="000176CD" w:rsidP="00521410">
            <w:pPr>
              <w:rPr>
                <w:rFonts w:ascii="Calibri" w:hAnsi="Calibri" w:cs="Calibri"/>
                <w:sz w:val="16"/>
                <w:szCs w:val="16"/>
                <w:lang w:val="en-GB" w:eastAsia="en-GB"/>
              </w:rPr>
            </w:pPr>
            <w:r>
              <w:rPr>
                <w:rFonts w:ascii="Calibri" w:hAnsi="Calibri" w:cs="Calibri"/>
                <w:sz w:val="16"/>
                <w:szCs w:val="16"/>
              </w:rPr>
              <w:t>To f</w:t>
            </w:r>
            <w:r w:rsidR="00521410" w:rsidRPr="00521410">
              <w:rPr>
                <w:rFonts w:ascii="Calibri" w:hAnsi="Calibri" w:cs="Calibri"/>
                <w:sz w:val="16"/>
                <w:szCs w:val="16"/>
              </w:rPr>
              <w:t>ocus inspections on high</w:t>
            </w:r>
            <w:r w:rsidR="00521410" w:rsidRPr="00521410">
              <w:rPr>
                <w:rFonts w:ascii="Calibri" w:hAnsi="Calibri" w:cs="Calibri"/>
                <w:sz w:val="16"/>
                <w:szCs w:val="16"/>
              </w:rPr>
              <w:noBreakHyphen/>
              <w:t>risk SPZ areas</w:t>
            </w:r>
          </w:p>
        </w:tc>
        <w:tc>
          <w:tcPr>
            <w:tcW w:w="1257" w:type="dxa"/>
            <w:vAlign w:val="center"/>
          </w:tcPr>
          <w:p w14:paraId="294F1C57" w14:textId="6F01428A" w:rsidR="00521410" w:rsidRPr="00521410" w:rsidRDefault="00DF478D" w:rsidP="00521410">
            <w:pPr>
              <w:rPr>
                <w:rFonts w:ascii="Calibri" w:hAnsi="Calibri" w:cs="Calibri"/>
                <w:sz w:val="16"/>
                <w:szCs w:val="16"/>
                <w:lang w:val="en-GB" w:eastAsia="en-GB"/>
              </w:rPr>
            </w:pPr>
            <w:r w:rsidRPr="00DF478D">
              <w:rPr>
                <w:rFonts w:ascii="Calibri" w:hAnsi="Calibri" w:cs="Calibri"/>
                <w:sz w:val="16"/>
                <w:szCs w:val="16"/>
                <w:lang w:val="sr-Latn-RS"/>
              </w:rPr>
              <w:t>To support prioritisation of inspections by national and local inspectorates based on vulnerability and pressures</w:t>
            </w:r>
          </w:p>
        </w:tc>
        <w:tc>
          <w:tcPr>
            <w:tcW w:w="1236" w:type="dxa"/>
            <w:vAlign w:val="center"/>
          </w:tcPr>
          <w:p w14:paraId="5AFF0361" w14:textId="15B3DBC9" w:rsidR="00521410" w:rsidRPr="00521410" w:rsidRDefault="00DF478D" w:rsidP="00521410">
            <w:pPr>
              <w:rPr>
                <w:rFonts w:ascii="Calibri" w:hAnsi="Calibri" w:cs="Calibri"/>
                <w:sz w:val="16"/>
                <w:szCs w:val="16"/>
                <w:lang w:val="en-GB" w:eastAsia="en-GB"/>
              </w:rPr>
            </w:pPr>
            <w:r w:rsidRPr="00DF478D">
              <w:rPr>
                <w:rFonts w:ascii="Calibri" w:hAnsi="Calibri" w:cs="Calibri"/>
                <w:sz w:val="16"/>
                <w:szCs w:val="16"/>
                <w:lang w:val="sr-Latn-RS"/>
              </w:rPr>
              <w:t>To support targeted inspection planning using available risk indicators and monitoring data</w:t>
            </w:r>
          </w:p>
        </w:tc>
        <w:tc>
          <w:tcPr>
            <w:tcW w:w="1079" w:type="dxa"/>
            <w:vAlign w:val="center"/>
          </w:tcPr>
          <w:p w14:paraId="04318EE9" w14:textId="3976A2DE" w:rsidR="00521410" w:rsidRPr="00521410" w:rsidRDefault="000176CD" w:rsidP="00521410">
            <w:pPr>
              <w:rPr>
                <w:rFonts w:ascii="Calibri" w:hAnsi="Calibri" w:cs="Calibri"/>
                <w:sz w:val="16"/>
                <w:szCs w:val="16"/>
                <w:lang w:val="en-GB" w:eastAsia="en-GB"/>
              </w:rPr>
            </w:pPr>
            <w:r>
              <w:rPr>
                <w:rFonts w:ascii="Calibri" w:hAnsi="Calibri" w:cs="Calibri"/>
                <w:sz w:val="16"/>
                <w:szCs w:val="16"/>
              </w:rPr>
              <w:t>R</w:t>
            </w:r>
            <w:r w:rsidR="00521410" w:rsidRPr="00521410">
              <w:rPr>
                <w:rFonts w:ascii="Calibri" w:hAnsi="Calibri" w:cs="Calibri"/>
                <w:sz w:val="16"/>
                <w:szCs w:val="16"/>
              </w:rPr>
              <w:t>isk map, vulnerability classes, pollution inventory</w:t>
            </w:r>
          </w:p>
        </w:tc>
        <w:tc>
          <w:tcPr>
            <w:tcW w:w="1106" w:type="dxa"/>
            <w:vAlign w:val="center"/>
          </w:tcPr>
          <w:p w14:paraId="7C443EFB" w14:textId="00EB1686" w:rsidR="00521410" w:rsidRPr="00521410" w:rsidRDefault="000176CD" w:rsidP="00521410">
            <w:pPr>
              <w:rPr>
                <w:rFonts w:ascii="Calibri" w:hAnsi="Calibri" w:cs="Calibri"/>
                <w:sz w:val="16"/>
                <w:szCs w:val="16"/>
                <w:lang w:val="en-GB" w:eastAsia="en-GB"/>
              </w:rPr>
            </w:pPr>
            <w:r w:rsidRPr="000176CD">
              <w:rPr>
                <w:rFonts w:ascii="Calibri" w:hAnsi="Calibri" w:cs="Calibri"/>
                <w:sz w:val="16"/>
                <w:szCs w:val="16"/>
              </w:rPr>
              <w:t>Assign high / medium / low inspection priority</w:t>
            </w:r>
          </w:p>
        </w:tc>
        <w:tc>
          <w:tcPr>
            <w:tcW w:w="1235" w:type="dxa"/>
            <w:vAlign w:val="center"/>
          </w:tcPr>
          <w:p w14:paraId="6131282E" w14:textId="2B775BA1" w:rsidR="00521410" w:rsidRPr="00521410" w:rsidRDefault="00C14848" w:rsidP="00521410">
            <w:pPr>
              <w:rPr>
                <w:rFonts w:ascii="Calibri" w:hAnsi="Calibri" w:cs="Calibri"/>
                <w:sz w:val="16"/>
                <w:szCs w:val="16"/>
                <w:lang w:val="en-GB" w:eastAsia="en-GB"/>
              </w:rPr>
            </w:pPr>
            <w:r w:rsidRPr="00C14848">
              <w:rPr>
                <w:rFonts w:ascii="Calibri" w:hAnsi="Calibri" w:cs="Calibri"/>
                <w:sz w:val="16"/>
                <w:szCs w:val="16"/>
                <w:lang w:val="sr-Latn-RS"/>
              </w:rPr>
              <w:t>Allocate inspection efforts to high-risk recharge sectors</w:t>
            </w:r>
          </w:p>
        </w:tc>
      </w:tr>
      <w:tr w:rsidR="0069585C" w:rsidRPr="00521410" w14:paraId="3B7141A3" w14:textId="77777777" w:rsidTr="0069585C">
        <w:tc>
          <w:tcPr>
            <w:tcW w:w="1890" w:type="dxa"/>
            <w:vAlign w:val="center"/>
          </w:tcPr>
          <w:p w14:paraId="79F0683D" w14:textId="176286E8"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SPZ operations log &amp; compliance checklist</w:t>
            </w:r>
          </w:p>
        </w:tc>
        <w:tc>
          <w:tcPr>
            <w:tcW w:w="1268" w:type="dxa"/>
            <w:vAlign w:val="center"/>
          </w:tcPr>
          <w:p w14:paraId="16DBD450" w14:textId="23C13610" w:rsidR="00521410" w:rsidRPr="00521410" w:rsidRDefault="000176CD" w:rsidP="00521410">
            <w:pPr>
              <w:rPr>
                <w:rFonts w:ascii="Calibri" w:hAnsi="Calibri" w:cs="Calibri"/>
                <w:sz w:val="16"/>
                <w:szCs w:val="16"/>
                <w:lang w:val="en-GB" w:eastAsia="en-GB"/>
              </w:rPr>
            </w:pPr>
            <w:r>
              <w:rPr>
                <w:rFonts w:ascii="Calibri" w:hAnsi="Calibri" w:cs="Calibri"/>
                <w:sz w:val="16"/>
                <w:szCs w:val="16"/>
              </w:rPr>
              <w:t>To v</w:t>
            </w:r>
            <w:r w:rsidR="00521410" w:rsidRPr="00521410">
              <w:rPr>
                <w:rFonts w:ascii="Calibri" w:hAnsi="Calibri" w:cs="Calibri"/>
                <w:sz w:val="16"/>
                <w:szCs w:val="16"/>
              </w:rPr>
              <w:t>erify alignment of practices with protection measures</w:t>
            </w:r>
          </w:p>
        </w:tc>
        <w:tc>
          <w:tcPr>
            <w:tcW w:w="1257" w:type="dxa"/>
            <w:vAlign w:val="center"/>
          </w:tcPr>
          <w:p w14:paraId="0A6CC720" w14:textId="426EC0EF" w:rsidR="00521410" w:rsidRPr="00521410" w:rsidRDefault="00C14848" w:rsidP="00521410">
            <w:pPr>
              <w:rPr>
                <w:rFonts w:ascii="Calibri" w:hAnsi="Calibri" w:cs="Calibri"/>
                <w:sz w:val="16"/>
                <w:szCs w:val="16"/>
                <w:lang w:val="en-GB" w:eastAsia="en-GB"/>
              </w:rPr>
            </w:pPr>
            <w:r w:rsidRPr="00C14848">
              <w:rPr>
                <w:rFonts w:ascii="Calibri" w:hAnsi="Calibri" w:cs="Calibri"/>
                <w:sz w:val="16"/>
                <w:szCs w:val="16"/>
                <w:lang w:val="sr-Latn-RS"/>
              </w:rPr>
              <w:t>To support operational oversight and documentation of SPZ-related activities</w:t>
            </w:r>
          </w:p>
        </w:tc>
        <w:tc>
          <w:tcPr>
            <w:tcW w:w="1236" w:type="dxa"/>
            <w:vAlign w:val="center"/>
          </w:tcPr>
          <w:p w14:paraId="0A1FC3BC" w14:textId="02FB9896" w:rsidR="00521410" w:rsidRPr="00521410" w:rsidRDefault="00C14848" w:rsidP="00521410">
            <w:pPr>
              <w:rPr>
                <w:rFonts w:ascii="Calibri" w:hAnsi="Calibri" w:cs="Calibri"/>
                <w:sz w:val="16"/>
                <w:szCs w:val="16"/>
                <w:lang w:val="en-GB" w:eastAsia="en-GB"/>
              </w:rPr>
            </w:pPr>
            <w:r w:rsidRPr="00C14848">
              <w:rPr>
                <w:rFonts w:ascii="Calibri" w:hAnsi="Calibri" w:cs="Calibri"/>
                <w:sz w:val="16"/>
                <w:szCs w:val="16"/>
                <w:lang w:val="sr-Latn-RS"/>
              </w:rPr>
              <w:t>To support implementation and tracking of SPZ measures within existing programmes</w:t>
            </w:r>
          </w:p>
        </w:tc>
        <w:tc>
          <w:tcPr>
            <w:tcW w:w="1079" w:type="dxa"/>
            <w:vAlign w:val="center"/>
          </w:tcPr>
          <w:p w14:paraId="7FA4C41B" w14:textId="0CF78B97" w:rsidR="00521410" w:rsidRPr="00521410" w:rsidRDefault="000176CD" w:rsidP="00521410">
            <w:pPr>
              <w:rPr>
                <w:rFonts w:ascii="Calibri" w:hAnsi="Calibri" w:cs="Calibri"/>
                <w:sz w:val="16"/>
                <w:szCs w:val="16"/>
                <w:lang w:val="en-GB" w:eastAsia="en-GB"/>
              </w:rPr>
            </w:pPr>
            <w:r>
              <w:rPr>
                <w:rFonts w:ascii="Calibri" w:hAnsi="Calibri" w:cs="Calibri"/>
                <w:sz w:val="16"/>
                <w:szCs w:val="16"/>
              </w:rPr>
              <w:t>A</w:t>
            </w:r>
            <w:r w:rsidR="00521410" w:rsidRPr="00521410">
              <w:rPr>
                <w:rFonts w:ascii="Calibri" w:hAnsi="Calibri" w:cs="Calibri"/>
                <w:sz w:val="16"/>
                <w:szCs w:val="16"/>
              </w:rPr>
              <w:t>ctivity logs, inspection results</w:t>
            </w:r>
          </w:p>
        </w:tc>
        <w:tc>
          <w:tcPr>
            <w:tcW w:w="1106" w:type="dxa"/>
            <w:vAlign w:val="center"/>
          </w:tcPr>
          <w:p w14:paraId="6F044494" w14:textId="1B2A44D9" w:rsidR="00521410" w:rsidRPr="00521410" w:rsidRDefault="000176CD" w:rsidP="00521410">
            <w:pPr>
              <w:rPr>
                <w:rFonts w:ascii="Calibri" w:hAnsi="Calibri" w:cs="Calibri"/>
                <w:sz w:val="16"/>
                <w:szCs w:val="16"/>
                <w:lang w:val="en-GB" w:eastAsia="en-GB"/>
              </w:rPr>
            </w:pPr>
            <w:r w:rsidRPr="000176CD">
              <w:rPr>
                <w:rFonts w:ascii="Calibri" w:hAnsi="Calibri" w:cs="Calibri"/>
                <w:sz w:val="16"/>
                <w:szCs w:val="16"/>
              </w:rPr>
              <w:t>Summary rating of compliance with SPZ requirements</w:t>
            </w:r>
          </w:p>
        </w:tc>
        <w:tc>
          <w:tcPr>
            <w:tcW w:w="1235" w:type="dxa"/>
            <w:vAlign w:val="center"/>
          </w:tcPr>
          <w:p w14:paraId="11C7DCE0" w14:textId="2D40E7A7" w:rsidR="00521410" w:rsidRPr="00521410" w:rsidRDefault="00521410" w:rsidP="00521410">
            <w:pPr>
              <w:rPr>
                <w:rFonts w:ascii="Calibri" w:hAnsi="Calibri" w:cs="Calibri"/>
                <w:sz w:val="16"/>
                <w:szCs w:val="16"/>
                <w:lang w:val="en-GB" w:eastAsia="en-GB"/>
              </w:rPr>
            </w:pPr>
            <w:r w:rsidRPr="00521410">
              <w:rPr>
                <w:rFonts w:ascii="Calibri" w:hAnsi="Calibri" w:cs="Calibri"/>
                <w:sz w:val="16"/>
                <w:szCs w:val="16"/>
              </w:rPr>
              <w:t>Guide corrective actions within existing frameworks</w:t>
            </w:r>
          </w:p>
        </w:tc>
      </w:tr>
    </w:tbl>
    <w:p w14:paraId="48786D42" w14:textId="62E197B1" w:rsidR="00103C70" w:rsidRPr="00103C70" w:rsidRDefault="00103C70" w:rsidP="00103C70">
      <w:pPr>
        <w:pStyle w:val="Heading1"/>
        <w:rPr>
          <w:lang w:val="en-GB"/>
        </w:rPr>
      </w:pPr>
      <w:bookmarkStart w:id="42" w:name="_Toc225418451"/>
      <w:r w:rsidRPr="00103C70">
        <w:rPr>
          <w:lang w:val="en-GB"/>
        </w:rPr>
        <w:lastRenderedPageBreak/>
        <w:t xml:space="preserve">8 </w:t>
      </w:r>
      <w:bookmarkEnd w:id="42"/>
      <w:r w:rsidR="00C63E2F" w:rsidRPr="00C63E2F">
        <w:rPr>
          <w:lang w:val="sr-Latn-RS"/>
        </w:rPr>
        <w:t>Guidelines for updating the 2018 Montenegro</w:t>
      </w:r>
      <w:r w:rsidR="00C63E2F">
        <w:rPr>
          <w:lang w:val="sr-Latn-RS"/>
        </w:rPr>
        <w:t>-</w:t>
      </w:r>
      <w:r w:rsidR="00C63E2F" w:rsidRPr="00C63E2F">
        <w:rPr>
          <w:lang w:val="sr-Latn-RS"/>
        </w:rPr>
        <w:t>Albania Water Management Agreement</w:t>
      </w:r>
    </w:p>
    <w:p w14:paraId="08B736DA" w14:textId="77777777" w:rsidR="00C14848" w:rsidRPr="00C14848" w:rsidRDefault="00C14848" w:rsidP="00C14848">
      <w:pPr>
        <w:jc w:val="both"/>
        <w:rPr>
          <w:rFonts w:cstheme="minorHAnsi"/>
          <w:lang w:val="en-US"/>
        </w:rPr>
      </w:pPr>
      <w:r w:rsidRPr="00C14848">
        <w:rPr>
          <w:rFonts w:cstheme="minorHAnsi"/>
          <w:lang w:val="en-US"/>
        </w:rPr>
        <w:t xml:space="preserve">The Framework Agreement between Montenegro and Albania (2018) establishes a solid basis for cooperation on transboundary waters, including provisions on monitoring, data exchange, prevention of impacts and institutional coordination. However, as shown in the </w:t>
      </w:r>
      <w:proofErr w:type="spellStart"/>
      <w:r w:rsidRPr="00C14848">
        <w:rPr>
          <w:rFonts w:cstheme="minorHAnsi"/>
          <w:lang w:val="en-US"/>
        </w:rPr>
        <w:t>Cemi</w:t>
      </w:r>
      <w:proofErr w:type="spellEnd"/>
      <w:r w:rsidRPr="00C14848">
        <w:rPr>
          <w:rFonts w:cstheme="minorHAnsi"/>
          <w:lang w:val="en-US"/>
        </w:rPr>
        <w:t>/</w:t>
      </w:r>
      <w:proofErr w:type="spellStart"/>
      <w:r w:rsidRPr="00C14848">
        <w:rPr>
          <w:rFonts w:cstheme="minorHAnsi"/>
          <w:lang w:val="en-US"/>
        </w:rPr>
        <w:t>Cijevna</w:t>
      </w:r>
      <w:proofErr w:type="spellEnd"/>
      <w:r w:rsidRPr="00C14848">
        <w:rPr>
          <w:rFonts w:cstheme="minorHAnsi"/>
          <w:lang w:val="en-US"/>
        </w:rPr>
        <w:t xml:space="preserve"> diagnostic work and DIKTAS II analyses, the Agreement remains primarily focused on surface waters and does not sufficiently address the specific characteristics and management needs of transboundary groundwater systems.</w:t>
      </w:r>
    </w:p>
    <w:p w14:paraId="77C00FF6" w14:textId="77777777" w:rsidR="00C14848" w:rsidRPr="00C14848" w:rsidRDefault="00C14848" w:rsidP="00C14848">
      <w:pPr>
        <w:jc w:val="both"/>
        <w:rPr>
          <w:rFonts w:cstheme="minorHAnsi"/>
          <w:lang w:val="en-US"/>
        </w:rPr>
      </w:pPr>
      <w:r w:rsidRPr="00C14848">
        <w:rPr>
          <w:rFonts w:cstheme="minorHAnsi"/>
          <w:lang w:val="en-US"/>
        </w:rPr>
        <w:t xml:space="preserve">In karst environments such as the </w:t>
      </w:r>
      <w:proofErr w:type="spellStart"/>
      <w:r w:rsidRPr="00C14848">
        <w:rPr>
          <w:rFonts w:cstheme="minorHAnsi"/>
          <w:lang w:val="en-US"/>
        </w:rPr>
        <w:t>Cemi</w:t>
      </w:r>
      <w:proofErr w:type="spellEnd"/>
      <w:r w:rsidRPr="00C14848">
        <w:rPr>
          <w:rFonts w:cstheme="minorHAnsi"/>
          <w:lang w:val="en-US"/>
        </w:rPr>
        <w:t>/</w:t>
      </w:r>
      <w:proofErr w:type="spellStart"/>
      <w:r w:rsidRPr="00C14848">
        <w:rPr>
          <w:rFonts w:cstheme="minorHAnsi"/>
          <w:lang w:val="en-US"/>
        </w:rPr>
        <w:t>Cijevna</w:t>
      </w:r>
      <w:proofErr w:type="spellEnd"/>
      <w:r w:rsidRPr="00C14848">
        <w:rPr>
          <w:rFonts w:cstheme="minorHAnsi"/>
          <w:lang w:val="en-US"/>
        </w:rPr>
        <w:t xml:space="preserve"> basin, groundwater moves rapidly, recharge areas often extend across borders, and natural filtration is limited. Under such conditions, pressures originating in one country can affect water quality in the other within short timeframes. This creates a need for more explicit and operationally defined cooperation, particularly in relation to monitoring, sanitary protection zones (SPZs) and risk management. Updating the Agreement through a focused addendum or protocol would help address these aspects, without affecting national legislation or existing institutional responsibilities.</w:t>
      </w:r>
    </w:p>
    <w:p w14:paraId="1E3152DB" w14:textId="77777777" w:rsidR="00C14848" w:rsidRPr="00C14848" w:rsidRDefault="00C14848" w:rsidP="00C14848">
      <w:pPr>
        <w:jc w:val="both"/>
        <w:rPr>
          <w:rFonts w:cstheme="minorHAnsi"/>
          <w:lang w:val="en-US"/>
        </w:rPr>
      </w:pPr>
      <w:r w:rsidRPr="00C14848">
        <w:rPr>
          <w:rFonts w:cstheme="minorHAnsi"/>
          <w:lang w:val="en-US"/>
        </w:rPr>
        <w:t>One of the key areas for improvement is the clearer recognition of transboundary groundwater systems. While groundwater is covered in general terms, the Agreement does not provide a practical framework for identifying shared aquifers, recharge zones or groundwater-dependent ecosystems. Introducing basic working definitions and acknowledging the functional connectivity of karst systems would provide a more consistent basis for cooperation, especially in relation to drinking-water sources influenced by cross-border recharge.</w:t>
      </w:r>
    </w:p>
    <w:p w14:paraId="65446ECD" w14:textId="77777777" w:rsidR="00C14848" w:rsidRPr="00C14848" w:rsidRDefault="00C14848" w:rsidP="00C14848">
      <w:pPr>
        <w:jc w:val="both"/>
        <w:rPr>
          <w:rFonts w:cstheme="minorHAnsi"/>
          <w:lang w:val="en-US"/>
        </w:rPr>
      </w:pPr>
      <w:r w:rsidRPr="00C14848">
        <w:rPr>
          <w:rFonts w:cstheme="minorHAnsi"/>
          <w:lang w:val="en-US"/>
        </w:rPr>
        <w:t>Monitoring and data exchange also require further clarification. Current provisions do not define groundwater-specific parameters, monitoring frequency or approaches suited to karst conditions. In practice, monitoring systems differ, and event-based sampling is not consistently applied. The Agreement could therefore outline general principles for more compatible monitoring, including the use of parameters relevant for karst systems, and encourage more structured data exchange, particularly during hydrological events.</w:t>
      </w:r>
    </w:p>
    <w:p w14:paraId="0D5BA71C" w14:textId="77777777" w:rsidR="00C14848" w:rsidRPr="00C14848" w:rsidRDefault="00C14848" w:rsidP="00C14848">
      <w:pPr>
        <w:jc w:val="both"/>
        <w:rPr>
          <w:rFonts w:cstheme="minorHAnsi"/>
          <w:lang w:val="en-US"/>
        </w:rPr>
      </w:pPr>
      <w:r w:rsidRPr="00C14848">
        <w:rPr>
          <w:rFonts w:cstheme="minorHAnsi"/>
          <w:lang w:val="en-US"/>
        </w:rPr>
        <w:t>Improving early-warning and notification practices is equally important. Existing provisions address harmful impacts in general terms but do not reflect the rapid dynamics of groundwater contamination in karst aquifers. Introducing basic guidance for early-warning indicators, communication between authorities and coordinated response measures would improve preparedness and reduce delays in reacting to incidents affecting water quality.</w:t>
      </w:r>
    </w:p>
    <w:p w14:paraId="1026A196" w14:textId="77777777" w:rsidR="00C14848" w:rsidRPr="00C14848" w:rsidRDefault="00C14848" w:rsidP="00C14848">
      <w:pPr>
        <w:jc w:val="both"/>
        <w:rPr>
          <w:rFonts w:cstheme="minorHAnsi"/>
          <w:lang w:val="en-US"/>
        </w:rPr>
      </w:pPr>
      <w:r w:rsidRPr="00C14848">
        <w:rPr>
          <w:rFonts w:cstheme="minorHAnsi"/>
          <w:lang w:val="en-US"/>
        </w:rPr>
        <w:t xml:space="preserve">The coordination of sanitary protection zones represents another area where the Agreement could be strengthened. SPZs are defined within national systems, but their transboundary relevance is not addressed. In the </w:t>
      </w:r>
      <w:proofErr w:type="spellStart"/>
      <w:r w:rsidRPr="00C14848">
        <w:rPr>
          <w:rFonts w:cstheme="minorHAnsi"/>
          <w:lang w:val="en-US"/>
        </w:rPr>
        <w:t>Cemi</w:t>
      </w:r>
      <w:proofErr w:type="spellEnd"/>
      <w:r w:rsidRPr="00C14848">
        <w:rPr>
          <w:rFonts w:cstheme="minorHAnsi"/>
          <w:lang w:val="en-US"/>
        </w:rPr>
        <w:t>/</w:t>
      </w:r>
      <w:proofErr w:type="spellStart"/>
      <w:r w:rsidRPr="00C14848">
        <w:rPr>
          <w:rFonts w:cstheme="minorHAnsi"/>
          <w:lang w:val="en-US"/>
        </w:rPr>
        <w:t>Cijevna</w:t>
      </w:r>
      <w:proofErr w:type="spellEnd"/>
      <w:r w:rsidRPr="00C14848">
        <w:rPr>
          <w:rFonts w:cstheme="minorHAnsi"/>
          <w:lang w:val="en-US"/>
        </w:rPr>
        <w:t xml:space="preserve"> system, recharge areas located in one country may directly influence protected zones in the other. Without introducing legal </w:t>
      </w:r>
      <w:proofErr w:type="spellStart"/>
      <w:r w:rsidRPr="00C14848">
        <w:rPr>
          <w:rFonts w:cstheme="minorHAnsi"/>
          <w:lang w:val="en-US"/>
        </w:rPr>
        <w:t>harmonisation</w:t>
      </w:r>
      <w:proofErr w:type="spellEnd"/>
      <w:r w:rsidRPr="00C14848">
        <w:rPr>
          <w:rFonts w:cstheme="minorHAnsi"/>
          <w:lang w:val="en-US"/>
        </w:rPr>
        <w:t>, the Agreement could encourage the use of comparable hydrogeological criteria, promote exchange of SPZ-related data and support better awareness of protection measures applied across the border.</w:t>
      </w:r>
    </w:p>
    <w:p w14:paraId="3511A4C0" w14:textId="77777777" w:rsidR="00C14848" w:rsidRPr="00C14848" w:rsidRDefault="00C14848" w:rsidP="00C14848">
      <w:pPr>
        <w:jc w:val="both"/>
        <w:rPr>
          <w:rFonts w:cstheme="minorHAnsi"/>
          <w:lang w:val="en-US"/>
        </w:rPr>
      </w:pPr>
      <w:r w:rsidRPr="00C14848">
        <w:rPr>
          <w:rFonts w:cstheme="minorHAnsi"/>
          <w:lang w:val="en-US"/>
        </w:rPr>
        <w:t>There is also scope to improve the integration of groundwater considerations into planning processes. At present, land-use decisions are made largely within national frameworks, without systematic reference to transboundary groundwater connectivity. Encouraging the use of vulnerability information in planning and promoting cross-border consultation for potentially impactful activities would support more consistent protection of recharge areas.</w:t>
      </w:r>
    </w:p>
    <w:p w14:paraId="00EA2881" w14:textId="77777777" w:rsidR="00C14848" w:rsidRPr="00C14848" w:rsidRDefault="00C14848" w:rsidP="00C14848">
      <w:pPr>
        <w:jc w:val="both"/>
        <w:rPr>
          <w:rFonts w:cstheme="minorHAnsi"/>
          <w:lang w:val="en-US"/>
        </w:rPr>
      </w:pPr>
      <w:r w:rsidRPr="00C14848">
        <w:rPr>
          <w:rFonts w:cstheme="minorHAnsi"/>
          <w:lang w:val="en-US"/>
        </w:rPr>
        <w:lastRenderedPageBreak/>
        <w:t>From an institutional perspective, the Joint Commission already provides a mechanism for cooperation, but groundwater-specific issues are not addressed in a structured way. Establishing a technical subgroup on groundwater would allow for more focused coordination, particularly in relation to monitoring, data exchange and SPZ practices.</w:t>
      </w:r>
    </w:p>
    <w:p w14:paraId="32208CAB" w14:textId="77777777" w:rsidR="00C14848" w:rsidRPr="00C14848" w:rsidRDefault="00C14848" w:rsidP="00C14848">
      <w:pPr>
        <w:jc w:val="both"/>
        <w:rPr>
          <w:rFonts w:cstheme="minorHAnsi"/>
          <w:lang w:val="en-US"/>
        </w:rPr>
      </w:pPr>
      <w:r w:rsidRPr="00C14848">
        <w:rPr>
          <w:rFonts w:cstheme="minorHAnsi"/>
          <w:lang w:val="en-US"/>
        </w:rPr>
        <w:t>Finally, introducing periodic bilateral reviews would help improve transparency and continuity. Regular exchange of information on groundwater conditions, pressures and protection measures would support adaptive management and allow both countries to respond more effectively to emerging risks.</w:t>
      </w:r>
    </w:p>
    <w:p w14:paraId="25C1519E" w14:textId="3512FBC3" w:rsidR="00C14848" w:rsidRPr="00C14848" w:rsidRDefault="00E90C40" w:rsidP="00C14848">
      <w:pPr>
        <w:jc w:val="both"/>
        <w:rPr>
          <w:rFonts w:cstheme="minorHAnsi"/>
          <w:lang w:val="en-US"/>
        </w:rPr>
      </w:pPr>
      <w:r w:rsidRPr="00E90C40">
        <w:rPr>
          <w:rFonts w:cstheme="minorHAnsi"/>
        </w:rPr>
        <w:t>These elements could be introduced through a targeted addendum or protocol to the existing Agreement.</w:t>
      </w:r>
      <w:r>
        <w:rPr>
          <w:rFonts w:cstheme="minorHAnsi"/>
        </w:rPr>
        <w:t xml:space="preserve"> </w:t>
      </w:r>
      <w:r w:rsidR="00C14848" w:rsidRPr="00C14848">
        <w:rPr>
          <w:rFonts w:cstheme="minorHAnsi"/>
          <w:lang w:val="en-US"/>
        </w:rPr>
        <w:t xml:space="preserve">Framed as practical, non-binding guidance, they would strengthen cooperation in areas where current arrangements are less developed, while remaining fully compatible with national frameworks. This would provide a more consistent and predictable basis for protecting the shared groundwater resources of the </w:t>
      </w:r>
      <w:proofErr w:type="spellStart"/>
      <w:r w:rsidR="00C14848" w:rsidRPr="00C14848">
        <w:rPr>
          <w:rFonts w:cstheme="minorHAnsi"/>
          <w:lang w:val="en-US"/>
        </w:rPr>
        <w:t>Cemi</w:t>
      </w:r>
      <w:proofErr w:type="spellEnd"/>
      <w:r w:rsidR="00C14848" w:rsidRPr="00C14848">
        <w:rPr>
          <w:rFonts w:cstheme="minorHAnsi"/>
          <w:lang w:val="en-US"/>
        </w:rPr>
        <w:t>/</w:t>
      </w:r>
      <w:proofErr w:type="spellStart"/>
      <w:r w:rsidR="00C14848" w:rsidRPr="00C14848">
        <w:rPr>
          <w:rFonts w:cstheme="minorHAnsi"/>
          <w:lang w:val="en-US"/>
        </w:rPr>
        <w:t>Cijevna</w:t>
      </w:r>
      <w:proofErr w:type="spellEnd"/>
      <w:r w:rsidR="00C14848" w:rsidRPr="00C14848">
        <w:rPr>
          <w:rFonts w:cstheme="minorHAnsi"/>
          <w:lang w:val="en-US"/>
        </w:rPr>
        <w:t xml:space="preserve"> system.</w:t>
      </w:r>
    </w:p>
    <w:p w14:paraId="35617CDA" w14:textId="502A075E" w:rsidR="00CD78CD" w:rsidRDefault="00CD78CD" w:rsidP="00103C70">
      <w:pPr>
        <w:jc w:val="both"/>
        <w:rPr>
          <w:rFonts w:cstheme="minorHAnsi"/>
        </w:rPr>
      </w:pPr>
    </w:p>
    <w:p w14:paraId="22FFE148" w14:textId="77777777" w:rsidR="00CD78CD" w:rsidRDefault="00CD78CD" w:rsidP="00CD78CD">
      <w:pPr>
        <w:jc w:val="both"/>
        <w:rPr>
          <w:rFonts w:cstheme="minorHAnsi"/>
        </w:rPr>
      </w:pPr>
    </w:p>
    <w:p w14:paraId="26B3DEF6" w14:textId="530BD956" w:rsidR="00F247F3" w:rsidRPr="00103C70" w:rsidRDefault="00F247F3" w:rsidP="00F247F3">
      <w:pPr>
        <w:pStyle w:val="Heading1"/>
        <w:rPr>
          <w:lang w:val="en-GB"/>
        </w:rPr>
      </w:pPr>
      <w:bookmarkStart w:id="43" w:name="_Toc225418452"/>
      <w:r>
        <w:rPr>
          <w:lang w:val="en-GB"/>
        </w:rPr>
        <w:t>9</w:t>
      </w:r>
      <w:r w:rsidRPr="00103C70">
        <w:rPr>
          <w:lang w:val="en-GB"/>
        </w:rPr>
        <w:t xml:space="preserve"> </w:t>
      </w:r>
      <w:r w:rsidRPr="00F247F3">
        <w:rPr>
          <w:lang w:val="en-GB"/>
        </w:rPr>
        <w:t xml:space="preserve">Phased implementation </w:t>
      </w:r>
      <w:proofErr w:type="gramStart"/>
      <w:r w:rsidRPr="00F247F3">
        <w:rPr>
          <w:lang w:val="en-GB"/>
        </w:rPr>
        <w:t>roadmap</w:t>
      </w:r>
      <w:proofErr w:type="gramEnd"/>
      <w:r w:rsidRPr="00F247F3">
        <w:rPr>
          <w:lang w:val="en-GB"/>
        </w:rPr>
        <w:t xml:space="preserve"> of</w:t>
      </w:r>
      <w:r>
        <w:rPr>
          <w:lang w:val="en-GB"/>
        </w:rPr>
        <w:t xml:space="preserve"> the</w:t>
      </w:r>
      <w:r w:rsidRPr="00F247F3">
        <w:rPr>
          <w:lang w:val="en-GB"/>
        </w:rPr>
        <w:t xml:space="preserve"> </w:t>
      </w:r>
      <w:r>
        <w:rPr>
          <w:lang w:val="en-GB"/>
        </w:rPr>
        <w:t>J</w:t>
      </w:r>
      <w:r w:rsidRPr="00F247F3">
        <w:rPr>
          <w:lang w:val="en-GB"/>
        </w:rPr>
        <w:t>oint Framework document</w:t>
      </w:r>
      <w:bookmarkEnd w:id="43"/>
    </w:p>
    <w:p w14:paraId="32E5DFE3" w14:textId="77777777" w:rsidR="001A517D" w:rsidRPr="001A517D" w:rsidRDefault="001A517D" w:rsidP="001A517D">
      <w:pPr>
        <w:jc w:val="both"/>
        <w:rPr>
          <w:rFonts w:cstheme="minorHAnsi"/>
          <w:lang w:val="en-US"/>
        </w:rPr>
      </w:pPr>
      <w:r w:rsidRPr="001A517D">
        <w:rPr>
          <w:rFonts w:cstheme="minorHAnsi"/>
          <w:lang w:val="en-US"/>
        </w:rPr>
        <w:t xml:space="preserve">A pragmatic and capacity-realistic roadmap is proposed for the </w:t>
      </w:r>
      <w:proofErr w:type="spellStart"/>
      <w:r w:rsidRPr="001A517D">
        <w:rPr>
          <w:rFonts w:cstheme="minorHAnsi"/>
          <w:lang w:val="en-US"/>
        </w:rPr>
        <w:t>operationalisation</w:t>
      </w:r>
      <w:proofErr w:type="spellEnd"/>
      <w:r w:rsidRPr="001A517D">
        <w:rPr>
          <w:rFonts w:cstheme="minorHAnsi"/>
          <w:lang w:val="en-US"/>
        </w:rPr>
        <w:t xml:space="preserve"> of the Joint Framework through a three-phase sequence of actions. The focus is on strengthening cooperation on sanitary protection zones (SPZs) in the transboundary </w:t>
      </w:r>
      <w:proofErr w:type="spellStart"/>
      <w:r w:rsidRPr="001A517D">
        <w:rPr>
          <w:rFonts w:cstheme="minorHAnsi"/>
          <w:lang w:val="en-US"/>
        </w:rPr>
        <w:t>Cemi</w:t>
      </w:r>
      <w:proofErr w:type="spellEnd"/>
      <w:r w:rsidRPr="001A517D">
        <w:rPr>
          <w:rFonts w:cstheme="minorHAnsi"/>
          <w:lang w:val="en-US"/>
        </w:rPr>
        <w:t>/</w:t>
      </w:r>
      <w:proofErr w:type="spellStart"/>
      <w:r w:rsidRPr="001A517D">
        <w:rPr>
          <w:rFonts w:cstheme="minorHAnsi"/>
          <w:lang w:val="en-US"/>
        </w:rPr>
        <w:t>Cijevna</w:t>
      </w:r>
      <w:proofErr w:type="spellEnd"/>
      <w:r w:rsidRPr="001A517D">
        <w:rPr>
          <w:rFonts w:cstheme="minorHAnsi"/>
          <w:lang w:val="en-US"/>
        </w:rPr>
        <w:t xml:space="preserve"> karst aquifer and preparing targeted updates to the existing bilateral agreement, while fully respecting national legislation and without altering legally prescribed SPZ delineation rules.</w:t>
      </w:r>
    </w:p>
    <w:p w14:paraId="37CAE5A7" w14:textId="5E088B22" w:rsidR="001A517D" w:rsidRPr="001A517D" w:rsidRDefault="001A517D" w:rsidP="001A517D">
      <w:pPr>
        <w:jc w:val="both"/>
        <w:rPr>
          <w:rFonts w:cstheme="minorHAnsi"/>
          <w:lang w:val="en-US"/>
        </w:rPr>
      </w:pPr>
      <w:r w:rsidRPr="001A517D">
        <w:rPr>
          <w:rFonts w:cstheme="minorHAnsi"/>
          <w:lang w:val="en-US"/>
        </w:rPr>
        <w:t xml:space="preserve">The sequence is designed to enable gradual alignment of operational practices, joint monitoring and data exchange, building on existing institutional mandates and relatively simple coordination arrangements. </w:t>
      </w:r>
      <w:r w:rsidR="009B4CCD" w:rsidRPr="009B4CCD">
        <w:rPr>
          <w:rFonts w:cstheme="minorHAnsi"/>
        </w:rPr>
        <w:t>The approach remains practical, relying on concise, non-binding guidance, operational tools for SPZ management and improved coordination routines rather than regulatory change.</w:t>
      </w:r>
    </w:p>
    <w:p w14:paraId="7DD8F781" w14:textId="77777777" w:rsidR="001A517D" w:rsidRPr="001A517D" w:rsidRDefault="001A517D" w:rsidP="001A517D">
      <w:pPr>
        <w:jc w:val="both"/>
        <w:rPr>
          <w:rFonts w:cstheme="minorHAnsi"/>
          <w:lang w:val="en-US"/>
        </w:rPr>
      </w:pPr>
      <w:r w:rsidRPr="001A517D">
        <w:rPr>
          <w:rFonts w:cstheme="minorHAnsi"/>
          <w:lang w:val="en-US"/>
        </w:rPr>
        <w:t>Implementation will depend on available data, institutional capacity and ongoing project support. Each phase therefore identifies expected outputs, responsible actors and basic milestones, while remaining flexible enough to adapt to real conditions in both countries.</w:t>
      </w:r>
    </w:p>
    <w:p w14:paraId="079C06C7" w14:textId="77777777" w:rsidR="001A517D" w:rsidRPr="001A517D" w:rsidRDefault="001A517D" w:rsidP="001A517D">
      <w:pPr>
        <w:jc w:val="both"/>
        <w:rPr>
          <w:rFonts w:cstheme="minorHAnsi"/>
          <w:lang w:val="en-US"/>
        </w:rPr>
      </w:pPr>
      <w:r w:rsidRPr="001A517D">
        <w:rPr>
          <w:rFonts w:cstheme="minorHAnsi"/>
          <w:lang w:val="en-US"/>
        </w:rPr>
        <w:t xml:space="preserve">The </w:t>
      </w:r>
      <w:proofErr w:type="spellStart"/>
      <w:r w:rsidRPr="001A517D">
        <w:rPr>
          <w:rFonts w:cstheme="minorHAnsi"/>
          <w:lang w:val="en-US"/>
        </w:rPr>
        <w:t>Cemi</w:t>
      </w:r>
      <w:proofErr w:type="spellEnd"/>
      <w:r w:rsidRPr="001A517D">
        <w:rPr>
          <w:rFonts w:cstheme="minorHAnsi"/>
          <w:lang w:val="en-US"/>
        </w:rPr>
        <w:t>/</w:t>
      </w:r>
      <w:proofErr w:type="spellStart"/>
      <w:r w:rsidRPr="001A517D">
        <w:rPr>
          <w:rFonts w:cstheme="minorHAnsi"/>
          <w:lang w:val="en-US"/>
        </w:rPr>
        <w:t>Cijevna</w:t>
      </w:r>
      <w:proofErr w:type="spellEnd"/>
      <w:r w:rsidRPr="001A517D">
        <w:rPr>
          <w:rFonts w:cstheme="minorHAnsi"/>
          <w:lang w:val="en-US"/>
        </w:rPr>
        <w:t xml:space="preserve"> transboundary aquifer is proposed as a pilot area for testing the operational elements of the Joint Framework. It represents a typical Dinaric karst system, with upstream recharge areas in Albania and downstream abstraction zones in Montenegro, as well as pressures commonly associated with SPZ management. Pilot activities will be carried out within the DIKTAS II project, ensuring that testing of joint approaches is closely linked to its technical and monitoring components.</w:t>
      </w:r>
    </w:p>
    <w:p w14:paraId="07BCBDF6" w14:textId="77777777" w:rsidR="001A517D" w:rsidRPr="001A517D" w:rsidRDefault="001A517D" w:rsidP="001A517D">
      <w:pPr>
        <w:jc w:val="both"/>
        <w:rPr>
          <w:rFonts w:cstheme="minorHAnsi"/>
          <w:lang w:val="en-US"/>
        </w:rPr>
      </w:pPr>
      <w:r w:rsidRPr="001A517D">
        <w:rPr>
          <w:rFonts w:cstheme="minorHAnsi"/>
          <w:lang w:val="en-US"/>
        </w:rPr>
        <w:t>At the same time, the pilot provides an opportunity to test improvements in monitoring practices, including approaches that combine groundwater observations with broader environmental information. This allows SPZ-related tools to be linked with ongoing monitoring developments. Experience gained in this setting can later inform similar work in other areas, where relevant.</w:t>
      </w:r>
    </w:p>
    <w:p w14:paraId="26C4EF8B" w14:textId="73560D6B" w:rsidR="00F247F3" w:rsidRPr="00F247F3" w:rsidRDefault="00F247F3" w:rsidP="00F247F3">
      <w:pPr>
        <w:pStyle w:val="Heading2"/>
        <w:rPr>
          <w:lang w:val="en-GB"/>
        </w:rPr>
      </w:pPr>
      <w:bookmarkStart w:id="44" w:name="_Toc225418453"/>
      <w:r w:rsidRPr="00F247F3">
        <w:rPr>
          <w:lang w:val="en-GB"/>
        </w:rPr>
        <w:lastRenderedPageBreak/>
        <w:t>9.1 Phase 1 (Months 0–12): Establishing foundation and pilot launch</w:t>
      </w:r>
      <w:bookmarkEnd w:id="44"/>
    </w:p>
    <w:p w14:paraId="4646A364" w14:textId="466DA643" w:rsidR="00131CC4" w:rsidRPr="00131CC4" w:rsidRDefault="001A517D" w:rsidP="00131CC4">
      <w:pPr>
        <w:jc w:val="both"/>
        <w:rPr>
          <w:rFonts w:cstheme="minorHAnsi"/>
          <w:lang w:val="en-US"/>
        </w:rPr>
      </w:pPr>
      <w:r w:rsidRPr="001A517D">
        <w:rPr>
          <w:rFonts w:cstheme="minorHAnsi"/>
        </w:rPr>
        <w:t>Phase 1 focuses on activities that can be initiated within the existing institutional framework. The main objective is to establish a functional Montenegro</w:t>
      </w:r>
      <w:r>
        <w:rPr>
          <w:rFonts w:cstheme="minorHAnsi"/>
        </w:rPr>
        <w:t>-</w:t>
      </w:r>
      <w:r w:rsidRPr="001A517D">
        <w:rPr>
          <w:rFonts w:cstheme="minorHAnsi"/>
        </w:rPr>
        <w:t>Albania technical working arrangement, agree on a concise joint workplan and initiate pilot activities in the Cemi/Cijevna area.</w:t>
      </w:r>
    </w:p>
    <w:p w14:paraId="1EF71DCE" w14:textId="77777777" w:rsidR="00131CC4" w:rsidRPr="00131CC4" w:rsidRDefault="00131CC4" w:rsidP="00131CC4">
      <w:pPr>
        <w:jc w:val="both"/>
        <w:rPr>
          <w:rFonts w:cstheme="minorHAnsi"/>
          <w:lang w:val="en-US"/>
        </w:rPr>
      </w:pPr>
      <w:r w:rsidRPr="00131CC4">
        <w:rPr>
          <w:rFonts w:cstheme="minorHAnsi"/>
          <w:lang w:val="en-US"/>
        </w:rPr>
        <w:t>Key actions include:</w:t>
      </w:r>
    </w:p>
    <w:p w14:paraId="35E3390D" w14:textId="77777777" w:rsidR="001A517D" w:rsidRPr="001A517D" w:rsidRDefault="001A517D" w:rsidP="001A517D">
      <w:pPr>
        <w:numPr>
          <w:ilvl w:val="0"/>
          <w:numId w:val="26"/>
        </w:numPr>
        <w:spacing w:after="0"/>
        <w:jc w:val="both"/>
        <w:rPr>
          <w:rFonts w:cstheme="minorHAnsi"/>
          <w:lang w:val="en-US"/>
        </w:rPr>
      </w:pPr>
      <w:r w:rsidRPr="001A517D">
        <w:rPr>
          <w:rFonts w:cstheme="minorHAnsi"/>
          <w:lang w:val="en-US"/>
        </w:rPr>
        <w:t>agreeing on a short, non-binding workplan covering priority SPZ operational actions, indicative joint monitoring parameters and a compatible data-exchange format, to be applied during the DIKTAS II timeline;</w:t>
      </w:r>
    </w:p>
    <w:p w14:paraId="6910695C" w14:textId="77777777" w:rsidR="001A517D" w:rsidRPr="001A517D" w:rsidRDefault="001A517D" w:rsidP="001A517D">
      <w:pPr>
        <w:numPr>
          <w:ilvl w:val="0"/>
          <w:numId w:val="26"/>
        </w:numPr>
        <w:spacing w:after="0"/>
        <w:jc w:val="both"/>
        <w:rPr>
          <w:rFonts w:cstheme="minorHAnsi"/>
          <w:lang w:val="en-US"/>
        </w:rPr>
      </w:pPr>
      <w:r w:rsidRPr="001A517D">
        <w:rPr>
          <w:rFonts w:cstheme="minorHAnsi"/>
          <w:lang w:val="en-US"/>
        </w:rPr>
        <w:t xml:space="preserve">using the </w:t>
      </w:r>
      <w:proofErr w:type="spellStart"/>
      <w:r w:rsidRPr="001A517D">
        <w:rPr>
          <w:rFonts w:cstheme="minorHAnsi"/>
          <w:lang w:val="en-US"/>
        </w:rPr>
        <w:t>Cemi</w:t>
      </w:r>
      <w:proofErr w:type="spellEnd"/>
      <w:r w:rsidRPr="001A517D">
        <w:rPr>
          <w:rFonts w:cstheme="minorHAnsi"/>
          <w:lang w:val="en-US"/>
        </w:rPr>
        <w:t>/</w:t>
      </w:r>
      <w:proofErr w:type="spellStart"/>
      <w:r w:rsidRPr="001A517D">
        <w:rPr>
          <w:rFonts w:cstheme="minorHAnsi"/>
          <w:lang w:val="en-US"/>
        </w:rPr>
        <w:t>Cijevna</w:t>
      </w:r>
      <w:proofErr w:type="spellEnd"/>
      <w:r w:rsidRPr="001A517D">
        <w:rPr>
          <w:rFonts w:cstheme="minorHAnsi"/>
          <w:lang w:val="en-US"/>
        </w:rPr>
        <w:t xml:space="preserve"> pilot to test recharge-area investigations, vulnerability-mapping approaches, event-based sampling and hotspot screening within existing SPZ frameworks;</w:t>
      </w:r>
    </w:p>
    <w:p w14:paraId="35D41096" w14:textId="35A6CCC2" w:rsidR="001A517D" w:rsidRDefault="001A517D" w:rsidP="001A517D">
      <w:pPr>
        <w:numPr>
          <w:ilvl w:val="0"/>
          <w:numId w:val="26"/>
        </w:numPr>
        <w:spacing w:after="0"/>
        <w:jc w:val="both"/>
        <w:rPr>
          <w:rFonts w:cstheme="minorHAnsi"/>
          <w:lang w:val="en-US"/>
        </w:rPr>
      </w:pPr>
      <w:r w:rsidRPr="001A517D">
        <w:rPr>
          <w:rFonts w:cstheme="minorHAnsi"/>
          <w:lang w:val="en-US"/>
        </w:rPr>
        <w:t>identifying initial technical elements that could form part of a future addendum or protocol (definitions, monitoring principles, SPZ coordination practices and incident/early-warning communication), based on work carried out during DIKTAS II.</w:t>
      </w:r>
    </w:p>
    <w:p w14:paraId="56CC854A" w14:textId="77777777" w:rsidR="004341DB" w:rsidRPr="00131CC4" w:rsidRDefault="004341DB" w:rsidP="004341DB">
      <w:pPr>
        <w:spacing w:after="0"/>
        <w:ind w:left="720"/>
        <w:jc w:val="both"/>
        <w:rPr>
          <w:rFonts w:cstheme="minorHAnsi"/>
          <w:lang w:val="en-US"/>
        </w:rPr>
      </w:pPr>
    </w:p>
    <w:p w14:paraId="50AD1FB8" w14:textId="77777777" w:rsidR="00131CC4" w:rsidRPr="00131CC4" w:rsidRDefault="00131CC4" w:rsidP="00131CC4">
      <w:pPr>
        <w:jc w:val="both"/>
        <w:rPr>
          <w:rFonts w:cstheme="minorHAnsi"/>
          <w:lang w:val="en-US"/>
        </w:rPr>
      </w:pPr>
      <w:r w:rsidRPr="00131CC4">
        <w:rPr>
          <w:rFonts w:cstheme="minorHAnsi"/>
          <w:lang w:val="en-US"/>
        </w:rPr>
        <w:t>Expected outputs include:</w:t>
      </w:r>
    </w:p>
    <w:p w14:paraId="4A867AE0" w14:textId="77777777" w:rsidR="001A517D" w:rsidRPr="001A517D" w:rsidRDefault="001A517D" w:rsidP="001A517D">
      <w:pPr>
        <w:numPr>
          <w:ilvl w:val="0"/>
          <w:numId w:val="27"/>
        </w:numPr>
        <w:spacing w:after="100" w:afterAutospacing="1"/>
        <w:jc w:val="both"/>
        <w:rPr>
          <w:rFonts w:cstheme="minorHAnsi"/>
          <w:lang w:val="en-US"/>
        </w:rPr>
      </w:pPr>
      <w:r w:rsidRPr="001A517D">
        <w:rPr>
          <w:rFonts w:cstheme="minorHAnsi"/>
          <w:lang w:val="en-US"/>
        </w:rPr>
        <w:t>a jointly agreed workplan for SPZ-related operational cooperation;</w:t>
      </w:r>
    </w:p>
    <w:p w14:paraId="2424C250" w14:textId="77777777" w:rsidR="001A517D" w:rsidRPr="001A517D" w:rsidRDefault="001A517D" w:rsidP="001A517D">
      <w:pPr>
        <w:numPr>
          <w:ilvl w:val="0"/>
          <w:numId w:val="27"/>
        </w:numPr>
        <w:spacing w:after="100" w:afterAutospacing="1"/>
        <w:jc w:val="both"/>
        <w:rPr>
          <w:rFonts w:cstheme="minorHAnsi"/>
          <w:lang w:val="en-US"/>
        </w:rPr>
      </w:pPr>
      <w:r w:rsidRPr="001A517D">
        <w:rPr>
          <w:rFonts w:cstheme="minorHAnsi"/>
          <w:lang w:val="en-US"/>
        </w:rPr>
        <w:t>a minimum set of shared monitoring parameters and indicative event-based triggers;</w:t>
      </w:r>
    </w:p>
    <w:p w14:paraId="313F2FDC" w14:textId="77777777" w:rsidR="001A517D" w:rsidRPr="001A517D" w:rsidRDefault="001A517D" w:rsidP="001A517D">
      <w:pPr>
        <w:numPr>
          <w:ilvl w:val="0"/>
          <w:numId w:val="27"/>
        </w:numPr>
        <w:spacing w:after="100" w:afterAutospacing="1"/>
        <w:jc w:val="both"/>
        <w:rPr>
          <w:rFonts w:cstheme="minorHAnsi"/>
          <w:lang w:val="en-US"/>
        </w:rPr>
      </w:pPr>
      <w:r w:rsidRPr="001A517D">
        <w:rPr>
          <w:rFonts w:cstheme="minorHAnsi"/>
          <w:lang w:val="en-US"/>
        </w:rPr>
        <w:t xml:space="preserve">a pilot methodology and a short implementation note for the </w:t>
      </w:r>
      <w:proofErr w:type="spellStart"/>
      <w:r w:rsidRPr="001A517D">
        <w:rPr>
          <w:rFonts w:cstheme="minorHAnsi"/>
          <w:lang w:val="en-US"/>
        </w:rPr>
        <w:t>Cemi</w:t>
      </w:r>
      <w:proofErr w:type="spellEnd"/>
      <w:r w:rsidRPr="001A517D">
        <w:rPr>
          <w:rFonts w:cstheme="minorHAnsi"/>
          <w:lang w:val="en-US"/>
        </w:rPr>
        <w:t>/</w:t>
      </w:r>
      <w:proofErr w:type="spellStart"/>
      <w:r w:rsidRPr="001A517D">
        <w:rPr>
          <w:rFonts w:cstheme="minorHAnsi"/>
          <w:lang w:val="en-US"/>
        </w:rPr>
        <w:t>Cijevna</w:t>
      </w:r>
      <w:proofErr w:type="spellEnd"/>
      <w:r w:rsidRPr="001A517D">
        <w:rPr>
          <w:rFonts w:cstheme="minorHAnsi"/>
          <w:lang w:val="en-US"/>
        </w:rPr>
        <w:t xml:space="preserve"> area;</w:t>
      </w:r>
    </w:p>
    <w:p w14:paraId="291F11EC" w14:textId="601BD89F" w:rsidR="001A517D" w:rsidRDefault="001A517D" w:rsidP="001A517D">
      <w:pPr>
        <w:numPr>
          <w:ilvl w:val="0"/>
          <w:numId w:val="27"/>
        </w:numPr>
        <w:spacing w:after="100" w:afterAutospacing="1"/>
        <w:jc w:val="both"/>
        <w:rPr>
          <w:rFonts w:cstheme="minorHAnsi"/>
          <w:lang w:val="en-US"/>
        </w:rPr>
      </w:pPr>
      <w:r w:rsidRPr="001A517D">
        <w:rPr>
          <w:rFonts w:cstheme="minorHAnsi"/>
          <w:lang w:val="en-US"/>
        </w:rPr>
        <w:t>a preliminary outline of addendum or protocol components.</w:t>
      </w:r>
    </w:p>
    <w:p w14:paraId="1389A7D1" w14:textId="6A76BDF4" w:rsidR="009537AA" w:rsidRPr="009537AA" w:rsidRDefault="009537AA" w:rsidP="009537AA">
      <w:pPr>
        <w:pStyle w:val="Heading2"/>
        <w:rPr>
          <w:rFonts w:eastAsia="Times New Roman"/>
          <w:lang w:val="en-GB" w:eastAsia="hr-HR"/>
        </w:rPr>
      </w:pPr>
      <w:bookmarkStart w:id="45" w:name="_Toc225418454"/>
      <w:r w:rsidRPr="009537AA">
        <w:rPr>
          <w:rFonts w:eastAsia="Times New Roman"/>
          <w:lang w:val="en-GB" w:eastAsia="hr-HR"/>
        </w:rPr>
        <w:t>9.2 Phase 2 (Months 12–24): Systematization and operational integration</w:t>
      </w:r>
      <w:bookmarkEnd w:id="45"/>
    </w:p>
    <w:p w14:paraId="72A80A47" w14:textId="29156563" w:rsidR="00131CC4" w:rsidRPr="00131CC4" w:rsidRDefault="001A517D" w:rsidP="00131CC4">
      <w:pPr>
        <w:jc w:val="both"/>
        <w:rPr>
          <w:rFonts w:cstheme="minorHAnsi"/>
          <w:lang w:val="en-US"/>
        </w:rPr>
      </w:pPr>
      <w:r w:rsidRPr="001A517D">
        <w:rPr>
          <w:rFonts w:cstheme="minorHAnsi"/>
        </w:rPr>
        <w:t>Phase 2 builds on the results of the pilot and moves toward more structured application in practice. The focus is on organising the approaches tested in Phase 1, improving data interoperability and supporting joint interpretation of monitoring results. At this stage, the technical basis for a possible addendum or protocol becomes more clearly defined.</w:t>
      </w:r>
    </w:p>
    <w:p w14:paraId="339F3942" w14:textId="77777777" w:rsidR="00131CC4" w:rsidRPr="00131CC4" w:rsidRDefault="00131CC4" w:rsidP="00131CC4">
      <w:pPr>
        <w:jc w:val="both"/>
        <w:rPr>
          <w:rFonts w:cstheme="minorHAnsi"/>
          <w:lang w:val="en-US"/>
        </w:rPr>
      </w:pPr>
      <w:r w:rsidRPr="00131CC4">
        <w:rPr>
          <w:rFonts w:cstheme="minorHAnsi"/>
          <w:lang w:val="en-US"/>
        </w:rPr>
        <w:t>Key actions include:</w:t>
      </w:r>
    </w:p>
    <w:p w14:paraId="12A3FF75" w14:textId="77777777" w:rsidR="001A517D" w:rsidRPr="001A517D" w:rsidRDefault="001A517D" w:rsidP="001A517D">
      <w:pPr>
        <w:numPr>
          <w:ilvl w:val="0"/>
          <w:numId w:val="28"/>
        </w:numPr>
        <w:spacing w:after="0"/>
        <w:jc w:val="both"/>
        <w:rPr>
          <w:rFonts w:cstheme="minorHAnsi"/>
          <w:lang w:val="en-US"/>
        </w:rPr>
      </w:pPr>
      <w:r w:rsidRPr="001A517D">
        <w:rPr>
          <w:rFonts w:cstheme="minorHAnsi"/>
          <w:lang w:val="en-US"/>
        </w:rPr>
        <w:t>establishing a shared, user-friendly GIS-based workflow for data exchange, using common metadata rules and basic quality-control checks within the DIKTAS II project;</w:t>
      </w:r>
    </w:p>
    <w:p w14:paraId="388BE4FA" w14:textId="77777777" w:rsidR="001A517D" w:rsidRPr="001A517D" w:rsidRDefault="001A517D" w:rsidP="001A517D">
      <w:pPr>
        <w:numPr>
          <w:ilvl w:val="0"/>
          <w:numId w:val="28"/>
        </w:numPr>
        <w:spacing w:after="0"/>
        <w:jc w:val="both"/>
        <w:rPr>
          <w:rFonts w:cstheme="minorHAnsi"/>
          <w:lang w:val="en-US"/>
        </w:rPr>
      </w:pPr>
      <w:r w:rsidRPr="001A517D">
        <w:rPr>
          <w:rFonts w:cstheme="minorHAnsi"/>
          <w:lang w:val="en-US"/>
        </w:rPr>
        <w:t>preparing concise summaries of SPZ-related findings from the pilot, including observations on nitrates, pesticides, turbidity or microbiology under different hydrological conditions;</w:t>
      </w:r>
    </w:p>
    <w:p w14:paraId="69DC0A82" w14:textId="77777777" w:rsidR="001A517D" w:rsidRPr="001A517D" w:rsidRDefault="001A517D" w:rsidP="001A517D">
      <w:pPr>
        <w:numPr>
          <w:ilvl w:val="0"/>
          <w:numId w:val="28"/>
        </w:numPr>
        <w:spacing w:after="0"/>
        <w:jc w:val="both"/>
        <w:rPr>
          <w:rFonts w:cstheme="minorHAnsi"/>
          <w:lang w:val="en-US"/>
        </w:rPr>
      </w:pPr>
      <w:r w:rsidRPr="001A517D">
        <w:rPr>
          <w:rFonts w:cstheme="minorHAnsi"/>
          <w:lang w:val="en-US"/>
        </w:rPr>
        <w:t>introducing practical arrangements for sharing SPZ-related maps and data, and for coordinating routine operational actions, without modifying national SPZ rules;</w:t>
      </w:r>
    </w:p>
    <w:p w14:paraId="398C0634" w14:textId="77777777" w:rsidR="001A517D" w:rsidRPr="001A517D" w:rsidRDefault="001A517D" w:rsidP="001A517D">
      <w:pPr>
        <w:numPr>
          <w:ilvl w:val="0"/>
          <w:numId w:val="28"/>
        </w:numPr>
        <w:spacing w:after="0"/>
        <w:jc w:val="both"/>
        <w:rPr>
          <w:rFonts w:cstheme="minorHAnsi"/>
          <w:lang w:val="en-US"/>
        </w:rPr>
      </w:pPr>
      <w:r w:rsidRPr="001A517D">
        <w:rPr>
          <w:rFonts w:cstheme="minorHAnsi"/>
          <w:lang w:val="en-US"/>
        </w:rPr>
        <w:t>preparing a legal-technical brief together with structured technical annexes that could support a future addendum or protocol;</w:t>
      </w:r>
    </w:p>
    <w:p w14:paraId="58289FE4" w14:textId="77777777" w:rsidR="001A517D" w:rsidRDefault="001A517D" w:rsidP="001A517D">
      <w:pPr>
        <w:numPr>
          <w:ilvl w:val="0"/>
          <w:numId w:val="28"/>
        </w:numPr>
        <w:spacing w:after="0"/>
        <w:jc w:val="both"/>
        <w:rPr>
          <w:rFonts w:cstheme="minorHAnsi"/>
          <w:lang w:val="en-US"/>
        </w:rPr>
      </w:pPr>
      <w:r w:rsidRPr="001A517D">
        <w:rPr>
          <w:rFonts w:cstheme="minorHAnsi"/>
          <w:lang w:val="en-US"/>
        </w:rPr>
        <w:t>strengthening capacity at local and cross-border level through targeted DIKTAS II training for utilities, inspectorates, local authorities and technical services.</w:t>
      </w:r>
    </w:p>
    <w:p w14:paraId="2C533AF3" w14:textId="77777777" w:rsidR="004341DB" w:rsidRPr="00131CC4" w:rsidRDefault="004341DB" w:rsidP="004341DB">
      <w:pPr>
        <w:spacing w:after="0"/>
        <w:ind w:left="720"/>
        <w:jc w:val="both"/>
        <w:rPr>
          <w:rFonts w:cstheme="minorHAnsi"/>
          <w:lang w:val="en-US"/>
        </w:rPr>
      </w:pPr>
    </w:p>
    <w:p w14:paraId="2BA020B0" w14:textId="77777777" w:rsidR="00131CC4" w:rsidRPr="00131CC4" w:rsidRDefault="00131CC4" w:rsidP="00131CC4">
      <w:pPr>
        <w:jc w:val="both"/>
        <w:rPr>
          <w:rFonts w:cstheme="minorHAnsi"/>
          <w:lang w:val="en-US"/>
        </w:rPr>
      </w:pPr>
      <w:r w:rsidRPr="00131CC4">
        <w:rPr>
          <w:rFonts w:cstheme="minorHAnsi"/>
          <w:lang w:val="en-US"/>
        </w:rPr>
        <w:t>Expected outputs include:</w:t>
      </w:r>
    </w:p>
    <w:p w14:paraId="3912D7C1" w14:textId="77777777" w:rsidR="00131CC4" w:rsidRPr="00131CC4" w:rsidRDefault="00131CC4" w:rsidP="004341DB">
      <w:pPr>
        <w:numPr>
          <w:ilvl w:val="0"/>
          <w:numId w:val="29"/>
        </w:numPr>
        <w:spacing w:after="0"/>
        <w:jc w:val="both"/>
        <w:rPr>
          <w:rFonts w:cstheme="minorHAnsi"/>
          <w:lang w:val="en-US"/>
        </w:rPr>
      </w:pPr>
      <w:r w:rsidRPr="00131CC4">
        <w:rPr>
          <w:rFonts w:cstheme="minorHAnsi"/>
          <w:lang w:val="en-US"/>
        </w:rPr>
        <w:t xml:space="preserve">a functioning workflow for data exchange; </w:t>
      </w:r>
    </w:p>
    <w:p w14:paraId="22EBDC75" w14:textId="77777777" w:rsidR="00131CC4" w:rsidRPr="00131CC4" w:rsidRDefault="00131CC4" w:rsidP="004341DB">
      <w:pPr>
        <w:numPr>
          <w:ilvl w:val="0"/>
          <w:numId w:val="29"/>
        </w:numPr>
        <w:spacing w:after="0"/>
        <w:jc w:val="both"/>
        <w:rPr>
          <w:rFonts w:cstheme="minorHAnsi"/>
          <w:lang w:val="en-US"/>
        </w:rPr>
      </w:pPr>
      <w:r w:rsidRPr="00131CC4">
        <w:rPr>
          <w:rFonts w:cstheme="minorHAnsi"/>
          <w:lang w:val="en-US"/>
        </w:rPr>
        <w:t xml:space="preserve">an initial joint technical note on SPZ operations based on pilot results; </w:t>
      </w:r>
    </w:p>
    <w:p w14:paraId="4D754A12" w14:textId="77777777" w:rsidR="00131CC4" w:rsidRPr="00131CC4" w:rsidRDefault="00131CC4" w:rsidP="004341DB">
      <w:pPr>
        <w:numPr>
          <w:ilvl w:val="0"/>
          <w:numId w:val="29"/>
        </w:numPr>
        <w:spacing w:after="0"/>
        <w:jc w:val="both"/>
        <w:rPr>
          <w:rFonts w:cstheme="minorHAnsi"/>
          <w:lang w:val="en-US"/>
        </w:rPr>
      </w:pPr>
      <w:r w:rsidRPr="00131CC4">
        <w:rPr>
          <w:rFonts w:cstheme="minorHAnsi"/>
          <w:lang w:val="en-US"/>
        </w:rPr>
        <w:t xml:space="preserve">a legal-technical brief with draft annex structures; </w:t>
      </w:r>
    </w:p>
    <w:p w14:paraId="40A8F259" w14:textId="77777777" w:rsidR="001A517D" w:rsidRDefault="00131CC4" w:rsidP="004341DB">
      <w:pPr>
        <w:numPr>
          <w:ilvl w:val="0"/>
          <w:numId w:val="29"/>
        </w:numPr>
        <w:spacing w:after="0"/>
        <w:jc w:val="both"/>
        <w:rPr>
          <w:rFonts w:cstheme="minorHAnsi"/>
          <w:lang w:val="en-US"/>
        </w:rPr>
      </w:pPr>
      <w:r w:rsidRPr="00131CC4">
        <w:rPr>
          <w:rFonts w:cstheme="minorHAnsi"/>
          <w:lang w:val="en-US"/>
        </w:rPr>
        <w:t>updated guidance materials supporting implementation of agreed SPZ-related practices.</w:t>
      </w:r>
    </w:p>
    <w:p w14:paraId="1FC7E70E" w14:textId="5F792D2A" w:rsidR="00131CC4" w:rsidRDefault="00131CC4" w:rsidP="001A517D">
      <w:pPr>
        <w:spacing w:after="0"/>
        <w:ind w:left="720"/>
        <w:jc w:val="both"/>
        <w:rPr>
          <w:rFonts w:cstheme="minorHAnsi"/>
          <w:lang w:val="en-GB"/>
        </w:rPr>
      </w:pPr>
    </w:p>
    <w:p w14:paraId="515A485D" w14:textId="2EAF4448" w:rsidR="009537AA" w:rsidRPr="009537AA" w:rsidRDefault="009537AA" w:rsidP="009537AA">
      <w:pPr>
        <w:pStyle w:val="Heading2"/>
        <w:rPr>
          <w:rFonts w:eastAsia="Times New Roman"/>
          <w:lang w:val="en-GB" w:eastAsia="hr-HR"/>
        </w:rPr>
      </w:pPr>
      <w:bookmarkStart w:id="46" w:name="_Toc225418455"/>
      <w:r w:rsidRPr="009537AA">
        <w:rPr>
          <w:rFonts w:eastAsia="Times New Roman"/>
          <w:lang w:val="en-GB" w:eastAsia="hr-HR"/>
        </w:rPr>
        <w:lastRenderedPageBreak/>
        <w:t>9.3 Phase 3 (Months 24–36): Consolidation, scaling and reporting</w:t>
      </w:r>
      <w:bookmarkEnd w:id="46"/>
    </w:p>
    <w:p w14:paraId="2EAAAD42" w14:textId="4AA6B28B" w:rsidR="00B23F40" w:rsidRPr="00B23F40" w:rsidRDefault="001A517D" w:rsidP="00B23F40">
      <w:pPr>
        <w:jc w:val="both"/>
        <w:rPr>
          <w:rFonts w:ascii="Calibri" w:hAnsi="Calibri" w:cs="Calibri"/>
          <w:lang w:val="en-US"/>
        </w:rPr>
      </w:pPr>
      <w:r w:rsidRPr="001A517D">
        <w:rPr>
          <w:rFonts w:ascii="Calibri" w:hAnsi="Calibri" w:cs="Calibri"/>
        </w:rPr>
        <w:t>Phase 3 focuses on consolidating and gradually extending the approaches tested during the pilot. The objective is to establish a basis for continued cooperation beyond the DIKTAS II project, while keeping the approach proportionate to available capacities.</w:t>
      </w:r>
    </w:p>
    <w:p w14:paraId="64C598E9" w14:textId="77777777" w:rsidR="00B23F40" w:rsidRPr="00B23F40" w:rsidRDefault="00B23F40" w:rsidP="00B23F40">
      <w:pPr>
        <w:jc w:val="both"/>
        <w:rPr>
          <w:rFonts w:ascii="Calibri" w:hAnsi="Calibri" w:cs="Calibri"/>
          <w:lang w:val="en-US"/>
        </w:rPr>
      </w:pPr>
      <w:r w:rsidRPr="00B23F40">
        <w:rPr>
          <w:rFonts w:ascii="Calibri" w:hAnsi="Calibri" w:cs="Calibri"/>
          <w:lang w:val="en-US"/>
        </w:rPr>
        <w:t>Key actions include:</w:t>
      </w:r>
    </w:p>
    <w:p w14:paraId="75D82D59" w14:textId="77777777" w:rsidR="001A517D" w:rsidRPr="001A517D" w:rsidRDefault="001A517D" w:rsidP="001A517D">
      <w:pPr>
        <w:numPr>
          <w:ilvl w:val="0"/>
          <w:numId w:val="30"/>
        </w:numPr>
        <w:spacing w:after="0"/>
        <w:jc w:val="both"/>
        <w:rPr>
          <w:rFonts w:ascii="Calibri" w:hAnsi="Calibri" w:cs="Calibri"/>
          <w:lang w:val="en-US"/>
        </w:rPr>
      </w:pPr>
      <w:r w:rsidRPr="001A517D">
        <w:rPr>
          <w:rFonts w:ascii="Calibri" w:hAnsi="Calibri" w:cs="Calibri"/>
          <w:lang w:val="en-US"/>
        </w:rPr>
        <w:t>extending tested tools and approaches (such as vulnerability-based inspection priorities, event-based monitoring routines and shared data workflows) to other relevant groundwater areas, where conditions allow;</w:t>
      </w:r>
    </w:p>
    <w:p w14:paraId="01509CF5" w14:textId="77777777" w:rsidR="001A517D" w:rsidRPr="001A517D" w:rsidRDefault="001A517D" w:rsidP="001A517D">
      <w:pPr>
        <w:numPr>
          <w:ilvl w:val="0"/>
          <w:numId w:val="30"/>
        </w:numPr>
        <w:spacing w:after="0"/>
        <w:jc w:val="both"/>
        <w:rPr>
          <w:rFonts w:ascii="Calibri" w:hAnsi="Calibri" w:cs="Calibri"/>
          <w:lang w:val="en-US"/>
        </w:rPr>
      </w:pPr>
      <w:r w:rsidRPr="001A517D">
        <w:rPr>
          <w:rFonts w:ascii="Calibri" w:hAnsi="Calibri" w:cs="Calibri"/>
          <w:lang w:val="en-US"/>
        </w:rPr>
        <w:t>aligning selected operational templates, inspection practices and monitoring routines where feasible, based on experience gained during DIKTAS II;</w:t>
      </w:r>
    </w:p>
    <w:p w14:paraId="0CA20C98" w14:textId="77777777" w:rsidR="001A517D" w:rsidRPr="001A517D" w:rsidRDefault="001A517D" w:rsidP="001A517D">
      <w:pPr>
        <w:numPr>
          <w:ilvl w:val="0"/>
          <w:numId w:val="30"/>
        </w:numPr>
        <w:spacing w:after="0"/>
        <w:jc w:val="both"/>
        <w:rPr>
          <w:rFonts w:ascii="Calibri" w:hAnsi="Calibri" w:cs="Calibri"/>
          <w:lang w:val="en-US"/>
        </w:rPr>
      </w:pPr>
      <w:r w:rsidRPr="001A517D">
        <w:rPr>
          <w:rFonts w:ascii="Calibri" w:hAnsi="Calibri" w:cs="Calibri"/>
          <w:lang w:val="en-US"/>
        </w:rPr>
        <w:t>preparing and, where appropriate, submitting the addendum or protocol package for inter-institutional or governmental consideration;</w:t>
      </w:r>
    </w:p>
    <w:p w14:paraId="73DCFCBF" w14:textId="50A8A56C" w:rsidR="001A517D" w:rsidRDefault="001A517D" w:rsidP="001A517D">
      <w:pPr>
        <w:numPr>
          <w:ilvl w:val="0"/>
          <w:numId w:val="30"/>
        </w:numPr>
        <w:spacing w:after="0"/>
        <w:jc w:val="both"/>
        <w:rPr>
          <w:rFonts w:ascii="Calibri" w:hAnsi="Calibri" w:cs="Calibri"/>
          <w:lang w:val="en-US"/>
        </w:rPr>
      </w:pPr>
      <w:r w:rsidRPr="001A517D">
        <w:rPr>
          <w:rFonts w:ascii="Calibri" w:hAnsi="Calibri" w:cs="Calibri"/>
          <w:lang w:val="en-US"/>
        </w:rPr>
        <w:t>preparing a forward-looking plan outlining role, resources and the format of future bilateral coordination, including periodic review.</w:t>
      </w:r>
    </w:p>
    <w:p w14:paraId="142B64CE" w14:textId="77777777" w:rsidR="004341DB" w:rsidRPr="00B23F40" w:rsidRDefault="004341DB" w:rsidP="004341DB">
      <w:pPr>
        <w:spacing w:after="0"/>
        <w:ind w:left="720"/>
        <w:jc w:val="both"/>
        <w:rPr>
          <w:rFonts w:ascii="Calibri" w:hAnsi="Calibri" w:cs="Calibri"/>
          <w:lang w:val="en-US"/>
        </w:rPr>
      </w:pPr>
    </w:p>
    <w:p w14:paraId="414761E0" w14:textId="77777777" w:rsidR="00B23F40" w:rsidRPr="00B23F40" w:rsidRDefault="00B23F40" w:rsidP="00B23F40">
      <w:pPr>
        <w:jc w:val="both"/>
        <w:rPr>
          <w:rFonts w:ascii="Calibri" w:hAnsi="Calibri" w:cs="Calibri"/>
          <w:lang w:val="en-US"/>
        </w:rPr>
      </w:pPr>
      <w:r w:rsidRPr="00B23F40">
        <w:rPr>
          <w:rFonts w:ascii="Calibri" w:hAnsi="Calibri" w:cs="Calibri"/>
          <w:lang w:val="en-US"/>
        </w:rPr>
        <w:t>Expected outputs include:</w:t>
      </w:r>
    </w:p>
    <w:p w14:paraId="6A829721" w14:textId="77777777" w:rsidR="00B23F40" w:rsidRPr="00B23F40" w:rsidRDefault="00B23F40" w:rsidP="004341DB">
      <w:pPr>
        <w:numPr>
          <w:ilvl w:val="0"/>
          <w:numId w:val="31"/>
        </w:numPr>
        <w:spacing w:after="0"/>
        <w:jc w:val="both"/>
        <w:rPr>
          <w:rFonts w:ascii="Calibri" w:hAnsi="Calibri" w:cs="Calibri"/>
          <w:lang w:val="en-US"/>
        </w:rPr>
      </w:pPr>
      <w:r w:rsidRPr="00B23F40">
        <w:rPr>
          <w:rFonts w:ascii="Calibri" w:hAnsi="Calibri" w:cs="Calibri"/>
          <w:lang w:val="en-US"/>
        </w:rPr>
        <w:t xml:space="preserve">a plan for extending tested methods to additional areas; </w:t>
      </w:r>
    </w:p>
    <w:p w14:paraId="2EECB524" w14:textId="77777777" w:rsidR="00B23F40" w:rsidRPr="00B23F40" w:rsidRDefault="00B23F40" w:rsidP="004341DB">
      <w:pPr>
        <w:numPr>
          <w:ilvl w:val="0"/>
          <w:numId w:val="31"/>
        </w:numPr>
        <w:spacing w:after="0"/>
        <w:jc w:val="both"/>
        <w:rPr>
          <w:rFonts w:ascii="Calibri" w:hAnsi="Calibri" w:cs="Calibri"/>
          <w:lang w:val="en-US"/>
        </w:rPr>
      </w:pPr>
      <w:r w:rsidRPr="00B23F40">
        <w:rPr>
          <w:rFonts w:ascii="Calibri" w:hAnsi="Calibri" w:cs="Calibri"/>
          <w:lang w:val="en-US"/>
        </w:rPr>
        <w:t xml:space="preserve">a joint implementation report based on DIKTAS II results and experience; </w:t>
      </w:r>
    </w:p>
    <w:p w14:paraId="49EDEBFC" w14:textId="77777777" w:rsidR="00B23F40" w:rsidRPr="00B23F40" w:rsidRDefault="00B23F40" w:rsidP="004341DB">
      <w:pPr>
        <w:numPr>
          <w:ilvl w:val="0"/>
          <w:numId w:val="31"/>
        </w:numPr>
        <w:spacing w:after="0"/>
        <w:jc w:val="both"/>
        <w:rPr>
          <w:rFonts w:ascii="Calibri" w:hAnsi="Calibri" w:cs="Calibri"/>
          <w:lang w:val="en-US"/>
        </w:rPr>
      </w:pPr>
      <w:r w:rsidRPr="00B23F40">
        <w:rPr>
          <w:rFonts w:ascii="Calibri" w:hAnsi="Calibri" w:cs="Calibri"/>
          <w:lang w:val="en-US"/>
        </w:rPr>
        <w:t xml:space="preserve">a technical package supporting potential adoption of an addendum or protocol; </w:t>
      </w:r>
    </w:p>
    <w:p w14:paraId="47830E72" w14:textId="77777777" w:rsidR="00B23F40" w:rsidRPr="00B23F40" w:rsidRDefault="00B23F40" w:rsidP="004341DB">
      <w:pPr>
        <w:numPr>
          <w:ilvl w:val="0"/>
          <w:numId w:val="31"/>
        </w:numPr>
        <w:spacing w:after="0"/>
        <w:jc w:val="both"/>
        <w:rPr>
          <w:rFonts w:ascii="Calibri" w:hAnsi="Calibri" w:cs="Calibri"/>
          <w:lang w:val="en-US"/>
        </w:rPr>
      </w:pPr>
      <w:r w:rsidRPr="00B23F40">
        <w:rPr>
          <w:rFonts w:ascii="Calibri" w:hAnsi="Calibri" w:cs="Calibri"/>
          <w:lang w:val="en-US"/>
        </w:rPr>
        <w:t>a basic framework for continuation of cooperation beyond the DIKTAS II project.</w:t>
      </w:r>
    </w:p>
    <w:p w14:paraId="014FA484" w14:textId="77777777" w:rsidR="00266B84" w:rsidRDefault="00266B84" w:rsidP="00963906">
      <w:pPr>
        <w:rPr>
          <w:lang w:val="hr-HR"/>
        </w:rPr>
      </w:pPr>
    </w:p>
    <w:p w14:paraId="0C052F3A" w14:textId="695183D6" w:rsidR="00A87291" w:rsidRPr="00103C70" w:rsidRDefault="00A87291" w:rsidP="00A87291">
      <w:pPr>
        <w:pStyle w:val="Heading1"/>
        <w:rPr>
          <w:lang w:val="en-GB"/>
        </w:rPr>
      </w:pPr>
      <w:bookmarkStart w:id="47" w:name="_Toc225418456"/>
      <w:r>
        <w:rPr>
          <w:lang w:val="en-GB"/>
        </w:rPr>
        <w:t>10</w:t>
      </w:r>
      <w:r w:rsidRPr="00103C70">
        <w:rPr>
          <w:lang w:val="en-GB"/>
        </w:rPr>
        <w:t xml:space="preserve"> </w:t>
      </w:r>
      <w:r w:rsidRPr="00A87291">
        <w:rPr>
          <w:lang w:val="en-GB"/>
        </w:rPr>
        <w:t>Performance tracking for output 2.2: indicators and verification</w:t>
      </w:r>
      <w:bookmarkEnd w:id="47"/>
    </w:p>
    <w:p w14:paraId="6E611218" w14:textId="77777777" w:rsidR="003C137D" w:rsidRPr="003C137D" w:rsidRDefault="003C137D" w:rsidP="003C137D">
      <w:pPr>
        <w:jc w:val="both"/>
        <w:rPr>
          <w:rFonts w:cstheme="minorHAnsi"/>
          <w:lang w:val="en-US"/>
        </w:rPr>
      </w:pPr>
      <w:r w:rsidRPr="003C137D">
        <w:rPr>
          <w:rFonts w:cstheme="minorHAnsi"/>
          <w:lang w:val="en-US"/>
        </w:rPr>
        <w:t>A simple, project-focused system for tracking progress on Output 2.2 during the DIKTAS II project is envisaged. The indicators are designed to reflect how work is actually carried out in practice and to monitor three main areas: (</w:t>
      </w:r>
      <w:proofErr w:type="spellStart"/>
      <w:r w:rsidRPr="003C137D">
        <w:rPr>
          <w:rFonts w:cstheme="minorHAnsi"/>
          <w:lang w:val="en-US"/>
        </w:rPr>
        <w:t>i</w:t>
      </w:r>
      <w:proofErr w:type="spellEnd"/>
      <w:r w:rsidRPr="003C137D">
        <w:rPr>
          <w:rFonts w:cstheme="minorHAnsi"/>
          <w:lang w:val="en-US"/>
        </w:rPr>
        <w:t>) implementation of the Joint Framework, including work products, pilot activities and coordination routines; (ii) application of SPZ-related practices in monitoring, data exchange and coordinated field actions; and (iii) progress toward a possible light-touch bilateral addendum or protocol, without affecting national SPZ delineation rules.</w:t>
      </w:r>
    </w:p>
    <w:p w14:paraId="1D0025B2" w14:textId="77777777" w:rsidR="003C137D" w:rsidRPr="003C137D" w:rsidRDefault="003C137D" w:rsidP="003C137D">
      <w:pPr>
        <w:jc w:val="both"/>
        <w:rPr>
          <w:rFonts w:cstheme="minorHAnsi"/>
          <w:lang w:val="en-US"/>
        </w:rPr>
      </w:pPr>
      <w:r w:rsidRPr="003C137D">
        <w:rPr>
          <w:rFonts w:cstheme="minorHAnsi"/>
          <w:lang w:val="en-US"/>
        </w:rPr>
        <w:t>Indicators are grouped into three practical categories: institutional coordination, technical implementation, and planning and reporting. Each indicator is linked to a clear and simple verification point, so that monitoring remains manageable within existing administrative capacities. Checks can be carried out periodically during the project, with one annual summary aligned with the DIKTAS II reporting cycle.</w:t>
      </w:r>
    </w:p>
    <w:p w14:paraId="29B2E49F" w14:textId="36A6AC3F" w:rsidR="003C137D" w:rsidRPr="003C137D" w:rsidRDefault="003C137D" w:rsidP="003C137D">
      <w:pPr>
        <w:jc w:val="both"/>
        <w:rPr>
          <w:rFonts w:cstheme="minorHAnsi"/>
          <w:lang w:val="en-US"/>
        </w:rPr>
      </w:pPr>
      <w:r w:rsidRPr="003C137D">
        <w:rPr>
          <w:rFonts w:cstheme="minorHAnsi"/>
          <w:lang w:val="en-US"/>
        </w:rPr>
        <w:t xml:space="preserve">The system is kept compact. It relies on a limited number of measurable indicators, allowing the project team to focus on the most relevant aspects of implementation. As activities progress, including pilot work in the </w:t>
      </w:r>
      <w:proofErr w:type="spellStart"/>
      <w:r w:rsidRPr="003C137D">
        <w:rPr>
          <w:rFonts w:cstheme="minorHAnsi"/>
          <w:lang w:val="en-US"/>
        </w:rPr>
        <w:t>Cemi</w:t>
      </w:r>
      <w:proofErr w:type="spellEnd"/>
      <w:r w:rsidRPr="003C137D">
        <w:rPr>
          <w:rFonts w:cstheme="minorHAnsi"/>
          <w:lang w:val="en-US"/>
        </w:rPr>
        <w:t>/</w:t>
      </w:r>
      <w:proofErr w:type="spellStart"/>
      <w:r w:rsidRPr="003C137D">
        <w:rPr>
          <w:rFonts w:cstheme="minorHAnsi"/>
          <w:lang w:val="en-US"/>
        </w:rPr>
        <w:t>Cijevna</w:t>
      </w:r>
      <w:proofErr w:type="spellEnd"/>
      <w:r w:rsidRPr="003C137D">
        <w:rPr>
          <w:rFonts w:cstheme="minorHAnsi"/>
          <w:lang w:val="en-US"/>
        </w:rPr>
        <w:t xml:space="preserve"> transboundary area, they will generate the information needed to verify each indicator.</w:t>
      </w:r>
    </w:p>
    <w:p w14:paraId="31EBFEA8" w14:textId="447CD418" w:rsidR="00E74B48" w:rsidRDefault="00E74B48" w:rsidP="008A783B">
      <w:pPr>
        <w:jc w:val="both"/>
        <w:rPr>
          <w:rFonts w:cstheme="minorHAnsi"/>
          <w:lang w:val="en-GB"/>
        </w:rPr>
      </w:pPr>
    </w:p>
    <w:p w14:paraId="03E16D45" w14:textId="77777777" w:rsidR="00EF49DF" w:rsidRPr="008A783B" w:rsidRDefault="00EF49DF" w:rsidP="008A783B">
      <w:pPr>
        <w:jc w:val="both"/>
        <w:rPr>
          <w:rFonts w:cstheme="minorHAnsi"/>
          <w:lang w:val="en-GB"/>
        </w:rPr>
      </w:pPr>
    </w:p>
    <w:p w14:paraId="24B86B48" w14:textId="77777777" w:rsidR="00E74B48" w:rsidRPr="00B26173" w:rsidRDefault="00E74B48" w:rsidP="00E74B48">
      <w:pPr>
        <w:pStyle w:val="Heading2"/>
        <w:rPr>
          <w:rFonts w:eastAsia="Times New Roman"/>
          <w:lang w:val="en-GB" w:eastAsia="hr-HR"/>
        </w:rPr>
      </w:pPr>
      <w:bookmarkStart w:id="48" w:name="_Toc225418457"/>
      <w:r w:rsidRPr="00B26173">
        <w:rPr>
          <w:rFonts w:eastAsia="Times New Roman"/>
          <w:lang w:val="en-GB" w:eastAsia="hr-HR"/>
        </w:rPr>
        <w:lastRenderedPageBreak/>
        <w:t>10.1 Indicator structure and purpose</w:t>
      </w:r>
      <w:bookmarkEnd w:id="48"/>
    </w:p>
    <w:p w14:paraId="6DA0959F" w14:textId="77777777" w:rsidR="006003FC" w:rsidRPr="006003FC" w:rsidRDefault="006003FC" w:rsidP="006003FC">
      <w:pPr>
        <w:jc w:val="both"/>
        <w:rPr>
          <w:rFonts w:eastAsia="Times New Roman" w:cstheme="minorHAnsi"/>
          <w:lang w:val="en-US" w:eastAsia="hr-HR"/>
        </w:rPr>
      </w:pPr>
      <w:r w:rsidRPr="006003FC">
        <w:rPr>
          <w:rFonts w:eastAsia="Times New Roman" w:cstheme="minorHAnsi"/>
          <w:lang w:val="en-US" w:eastAsia="hr-HR"/>
        </w:rPr>
        <w:t>The proposed indicator structure serves several complementary functions.</w:t>
      </w:r>
    </w:p>
    <w:p w14:paraId="4498DDE3" w14:textId="77777777" w:rsidR="006003FC" w:rsidRPr="006003FC" w:rsidRDefault="006003FC" w:rsidP="006003FC">
      <w:pPr>
        <w:jc w:val="both"/>
        <w:rPr>
          <w:rFonts w:eastAsia="Times New Roman" w:cstheme="minorHAnsi"/>
          <w:lang w:val="en-US" w:eastAsia="hr-HR"/>
        </w:rPr>
      </w:pPr>
      <w:r w:rsidRPr="006003FC">
        <w:rPr>
          <w:rFonts w:eastAsia="Times New Roman" w:cstheme="minorHAnsi"/>
          <w:lang w:val="en-US" w:eastAsia="hr-HR"/>
        </w:rPr>
        <w:t xml:space="preserve">First, it supports tracking the </w:t>
      </w:r>
      <w:proofErr w:type="spellStart"/>
      <w:r w:rsidRPr="006003FC">
        <w:rPr>
          <w:rFonts w:eastAsia="Times New Roman" w:cstheme="minorHAnsi"/>
          <w:lang w:val="en-US" w:eastAsia="hr-HR"/>
        </w:rPr>
        <w:t>operationalisation</w:t>
      </w:r>
      <w:proofErr w:type="spellEnd"/>
      <w:r w:rsidRPr="006003FC">
        <w:rPr>
          <w:rFonts w:eastAsia="Times New Roman" w:cstheme="minorHAnsi"/>
          <w:lang w:val="en-US" w:eastAsia="hr-HR"/>
        </w:rPr>
        <w:t xml:space="preserve"> of the Joint Framework. This includes monitoring whether planned work products are delivered, coordination mechanisms are activated, guidance materials are prepared and pilot methodologies are applied in the field. In this sense, the indicators provide a practical check on whether planned activities are being implemented during the DIKTAS II project period.</w:t>
      </w:r>
    </w:p>
    <w:p w14:paraId="3785214F" w14:textId="77777777" w:rsidR="006003FC" w:rsidRPr="006003FC" w:rsidRDefault="006003FC" w:rsidP="006003FC">
      <w:pPr>
        <w:jc w:val="both"/>
        <w:rPr>
          <w:rFonts w:eastAsia="Times New Roman" w:cstheme="minorHAnsi"/>
          <w:lang w:val="en-US" w:eastAsia="hr-HR"/>
        </w:rPr>
      </w:pPr>
      <w:r w:rsidRPr="006003FC">
        <w:rPr>
          <w:rFonts w:eastAsia="Times New Roman" w:cstheme="minorHAnsi"/>
          <w:lang w:val="en-US" w:eastAsia="hr-HR"/>
        </w:rPr>
        <w:t>Second, the indicators reflect the practical uptake of SPZ-related actions. The focus is on actual application, such as event-based sampling, timeliness of data exchange, joint interpretation of monitoring results and initial steps toward more aligned operational procedures. All of this remains within existing national legal frameworks.</w:t>
      </w:r>
    </w:p>
    <w:p w14:paraId="095BB75C" w14:textId="77777777" w:rsidR="006003FC" w:rsidRPr="006003FC" w:rsidRDefault="006003FC" w:rsidP="006003FC">
      <w:pPr>
        <w:jc w:val="both"/>
        <w:rPr>
          <w:rFonts w:eastAsia="Times New Roman" w:cstheme="minorHAnsi"/>
          <w:lang w:val="en-US" w:eastAsia="hr-HR"/>
        </w:rPr>
      </w:pPr>
      <w:r w:rsidRPr="006003FC">
        <w:rPr>
          <w:rFonts w:eastAsia="Times New Roman" w:cstheme="minorHAnsi"/>
          <w:lang w:val="en-US" w:eastAsia="hr-HR"/>
        </w:rPr>
        <w:t>Third, the indicators allow for tracking progress toward a possible bilateral addendum or protocol. They capture the preparation of legal-technical materials, the level of institutional engagement and the degree of readiness to consider further steps, without implying formal commitments.</w:t>
      </w:r>
    </w:p>
    <w:p w14:paraId="1E95E7DE" w14:textId="28D847FB" w:rsidR="006003FC" w:rsidRPr="006003FC" w:rsidRDefault="00D87862" w:rsidP="006003FC">
      <w:pPr>
        <w:jc w:val="both"/>
        <w:rPr>
          <w:rFonts w:eastAsia="Times New Roman" w:cstheme="minorHAnsi"/>
          <w:lang w:val="en-US" w:eastAsia="hr-HR"/>
        </w:rPr>
      </w:pPr>
      <w:r w:rsidRPr="00D87862">
        <w:rPr>
          <w:rFonts w:eastAsia="Times New Roman" w:cstheme="minorHAnsi"/>
          <w:lang w:eastAsia="hr-HR"/>
        </w:rPr>
        <w:t>Together, these dimensions provide a clear picture of progress.</w:t>
      </w:r>
      <w:r w:rsidR="006003FC" w:rsidRPr="006003FC">
        <w:rPr>
          <w:rFonts w:eastAsia="Times New Roman" w:cstheme="minorHAnsi"/>
          <w:lang w:val="en-US" w:eastAsia="hr-HR"/>
        </w:rPr>
        <w:t>They help ensure that both technical and institutional aspects are followed, while keeping the overall approach focused on practical results and day-to-day cooperation.</w:t>
      </w:r>
    </w:p>
    <w:p w14:paraId="090AB1AA" w14:textId="77777777" w:rsidR="00E74B48" w:rsidRDefault="00E74B48" w:rsidP="00E74B48">
      <w:pPr>
        <w:jc w:val="both"/>
        <w:outlineLvl w:val="2"/>
        <w:rPr>
          <w:rFonts w:eastAsia="Times New Roman" w:cstheme="minorHAnsi"/>
          <w:lang w:val="en-GB" w:eastAsia="hr-HR"/>
        </w:rPr>
      </w:pPr>
    </w:p>
    <w:p w14:paraId="7D8682DB" w14:textId="070940E1" w:rsidR="00E74B48" w:rsidRPr="00B26173" w:rsidRDefault="00E74B48" w:rsidP="00E74B48">
      <w:pPr>
        <w:pStyle w:val="Heading2"/>
        <w:rPr>
          <w:rFonts w:eastAsia="Times New Roman"/>
          <w:lang w:val="en-GB" w:eastAsia="hr-HR"/>
        </w:rPr>
      </w:pPr>
      <w:bookmarkStart w:id="49" w:name="_Toc225418458"/>
      <w:r w:rsidRPr="00B26173">
        <w:rPr>
          <w:rFonts w:eastAsia="Times New Roman"/>
          <w:lang w:val="en-GB" w:eastAsia="hr-HR"/>
        </w:rPr>
        <w:t>10.2 Verification approach</w:t>
      </w:r>
      <w:bookmarkEnd w:id="49"/>
    </w:p>
    <w:p w14:paraId="171137C0" w14:textId="77777777" w:rsidR="006003FC" w:rsidRPr="006003FC" w:rsidRDefault="006003FC" w:rsidP="006003FC">
      <w:pPr>
        <w:jc w:val="both"/>
        <w:rPr>
          <w:rFonts w:eastAsia="Times New Roman" w:cstheme="minorHAnsi"/>
          <w:lang w:val="en-US" w:eastAsia="hr-HR"/>
        </w:rPr>
      </w:pPr>
      <w:r w:rsidRPr="006003FC">
        <w:rPr>
          <w:rFonts w:eastAsia="Times New Roman" w:cstheme="minorHAnsi"/>
          <w:lang w:val="en-US" w:eastAsia="hr-HR"/>
        </w:rPr>
        <w:t>Verification relies on a limited number of sources that are already part of normal project work. These include:</w:t>
      </w:r>
    </w:p>
    <w:p w14:paraId="0A948DDB" w14:textId="77777777" w:rsidR="006003FC" w:rsidRPr="006003FC" w:rsidRDefault="006003FC" w:rsidP="004341DB">
      <w:pPr>
        <w:numPr>
          <w:ilvl w:val="0"/>
          <w:numId w:val="32"/>
        </w:numPr>
        <w:spacing w:after="0"/>
        <w:jc w:val="both"/>
        <w:rPr>
          <w:rFonts w:eastAsia="Times New Roman" w:cstheme="minorHAnsi"/>
          <w:lang w:val="en-US" w:eastAsia="hr-HR"/>
        </w:rPr>
      </w:pPr>
      <w:r w:rsidRPr="006003FC">
        <w:rPr>
          <w:rFonts w:eastAsia="Times New Roman" w:cstheme="minorHAnsi"/>
          <w:lang w:val="en-US" w:eastAsia="hr-HR"/>
        </w:rPr>
        <w:t xml:space="preserve">completed and approved documents; </w:t>
      </w:r>
    </w:p>
    <w:p w14:paraId="0012BA84" w14:textId="77777777" w:rsidR="006003FC" w:rsidRPr="006003FC" w:rsidRDefault="006003FC" w:rsidP="004341DB">
      <w:pPr>
        <w:numPr>
          <w:ilvl w:val="0"/>
          <w:numId w:val="32"/>
        </w:numPr>
        <w:spacing w:after="0"/>
        <w:jc w:val="both"/>
        <w:rPr>
          <w:rFonts w:eastAsia="Times New Roman" w:cstheme="minorHAnsi"/>
          <w:lang w:val="en-US" w:eastAsia="hr-HR"/>
        </w:rPr>
      </w:pPr>
      <w:r w:rsidRPr="006003FC">
        <w:rPr>
          <w:rFonts w:eastAsia="Times New Roman" w:cstheme="minorHAnsi"/>
          <w:lang w:val="en-US" w:eastAsia="hr-HR"/>
        </w:rPr>
        <w:t xml:space="preserve">records of pilot activities and joint fieldwork; </w:t>
      </w:r>
    </w:p>
    <w:p w14:paraId="698A1704" w14:textId="77777777" w:rsidR="006003FC" w:rsidRPr="006003FC" w:rsidRDefault="006003FC" w:rsidP="004341DB">
      <w:pPr>
        <w:numPr>
          <w:ilvl w:val="0"/>
          <w:numId w:val="32"/>
        </w:numPr>
        <w:spacing w:after="0"/>
        <w:jc w:val="both"/>
        <w:rPr>
          <w:rFonts w:eastAsia="Times New Roman" w:cstheme="minorHAnsi"/>
          <w:lang w:val="en-US" w:eastAsia="hr-HR"/>
        </w:rPr>
      </w:pPr>
      <w:r w:rsidRPr="006003FC">
        <w:rPr>
          <w:rFonts w:eastAsia="Times New Roman" w:cstheme="minorHAnsi"/>
          <w:lang w:val="en-US" w:eastAsia="hr-HR"/>
        </w:rPr>
        <w:t xml:space="preserve">data exchange logs and monitoring outputs; </w:t>
      </w:r>
    </w:p>
    <w:p w14:paraId="71A1F614" w14:textId="77777777" w:rsidR="006003FC" w:rsidRPr="006003FC" w:rsidRDefault="006003FC" w:rsidP="004341DB">
      <w:pPr>
        <w:numPr>
          <w:ilvl w:val="0"/>
          <w:numId w:val="32"/>
        </w:numPr>
        <w:spacing w:after="0"/>
        <w:jc w:val="both"/>
        <w:rPr>
          <w:rFonts w:eastAsia="Times New Roman" w:cstheme="minorHAnsi"/>
          <w:lang w:val="en-US" w:eastAsia="hr-HR"/>
        </w:rPr>
      </w:pPr>
      <w:r w:rsidRPr="006003FC">
        <w:rPr>
          <w:rFonts w:eastAsia="Times New Roman" w:cstheme="minorHAnsi"/>
          <w:lang w:val="en-US" w:eastAsia="hr-HR"/>
        </w:rPr>
        <w:t xml:space="preserve">meeting notes, communication records and jointly prepared summaries; </w:t>
      </w:r>
    </w:p>
    <w:p w14:paraId="6D6A4DE1" w14:textId="77777777" w:rsidR="006003FC" w:rsidRPr="006003FC" w:rsidRDefault="006003FC" w:rsidP="004341DB">
      <w:pPr>
        <w:numPr>
          <w:ilvl w:val="0"/>
          <w:numId w:val="32"/>
        </w:numPr>
        <w:spacing w:after="0"/>
        <w:jc w:val="both"/>
        <w:rPr>
          <w:rFonts w:eastAsia="Times New Roman" w:cstheme="minorHAnsi"/>
          <w:lang w:val="en-US" w:eastAsia="hr-HR"/>
        </w:rPr>
      </w:pPr>
      <w:r w:rsidRPr="006003FC">
        <w:rPr>
          <w:rFonts w:eastAsia="Times New Roman" w:cstheme="minorHAnsi"/>
          <w:lang w:val="en-US" w:eastAsia="hr-HR"/>
        </w:rPr>
        <w:t xml:space="preserve">internal DIKTAS II documentation and annual progress reports. </w:t>
      </w:r>
    </w:p>
    <w:p w14:paraId="3B8BB0EE" w14:textId="77777777" w:rsidR="004341DB" w:rsidRDefault="004341DB" w:rsidP="006003FC">
      <w:pPr>
        <w:jc w:val="both"/>
        <w:rPr>
          <w:rFonts w:eastAsia="Times New Roman" w:cstheme="minorHAnsi"/>
          <w:lang w:val="en-US" w:eastAsia="hr-HR"/>
        </w:rPr>
      </w:pPr>
    </w:p>
    <w:p w14:paraId="223AB13E" w14:textId="75EEFF55" w:rsidR="006003FC" w:rsidRPr="006003FC" w:rsidRDefault="006003FC" w:rsidP="006003FC">
      <w:pPr>
        <w:jc w:val="both"/>
        <w:rPr>
          <w:rFonts w:eastAsia="Times New Roman" w:cstheme="minorHAnsi"/>
          <w:lang w:val="en-US" w:eastAsia="hr-HR"/>
        </w:rPr>
      </w:pPr>
      <w:r w:rsidRPr="006003FC">
        <w:rPr>
          <w:rFonts w:eastAsia="Times New Roman" w:cstheme="minorHAnsi"/>
          <w:lang w:val="en-US" w:eastAsia="hr-HR"/>
        </w:rPr>
        <w:t>Verification checks are straightforward. Typical examples include “dataset shared within agreed timeframe”, “guidance note prepared” or “joint technical note issued”. This keeps the system easy to apply and avoids introducing additional administrative burden (Table 5).</w:t>
      </w:r>
    </w:p>
    <w:p w14:paraId="40AE5EC8" w14:textId="77777777" w:rsidR="006003FC" w:rsidRPr="006003FC" w:rsidRDefault="006003FC" w:rsidP="006003FC">
      <w:pPr>
        <w:jc w:val="both"/>
        <w:rPr>
          <w:rFonts w:eastAsia="Times New Roman" w:cstheme="minorHAnsi"/>
          <w:lang w:val="en-US" w:eastAsia="hr-HR"/>
        </w:rPr>
      </w:pPr>
      <w:r w:rsidRPr="006003FC">
        <w:rPr>
          <w:rFonts w:eastAsia="Times New Roman" w:cstheme="minorHAnsi"/>
          <w:lang w:val="en-US" w:eastAsia="hr-HR"/>
        </w:rPr>
        <w:t>Annual reviews consolidate indicator performance and provide an opportunity to adjust implementation steps where needed. This helps ensure that Output 2.2 remains on track throughout the DIKTAS II project.</w:t>
      </w:r>
    </w:p>
    <w:p w14:paraId="68982443" w14:textId="790F68E8" w:rsidR="006003FC" w:rsidRDefault="006003FC" w:rsidP="00E74B48">
      <w:pPr>
        <w:jc w:val="both"/>
        <w:rPr>
          <w:rFonts w:eastAsia="Times New Roman" w:cstheme="minorHAnsi"/>
          <w:lang w:val="en-GB" w:eastAsia="hr-HR"/>
        </w:rPr>
      </w:pPr>
    </w:p>
    <w:p w14:paraId="5F38934D" w14:textId="1877D71A" w:rsidR="004341DB" w:rsidRDefault="004341DB" w:rsidP="00E74B48">
      <w:pPr>
        <w:jc w:val="both"/>
        <w:rPr>
          <w:rFonts w:eastAsia="Times New Roman" w:cstheme="minorHAnsi"/>
          <w:lang w:val="en-GB" w:eastAsia="hr-HR"/>
        </w:rPr>
      </w:pPr>
    </w:p>
    <w:p w14:paraId="4883CA06" w14:textId="4DC48B07" w:rsidR="004341DB" w:rsidRDefault="004341DB" w:rsidP="00E74B48">
      <w:pPr>
        <w:jc w:val="both"/>
        <w:rPr>
          <w:rFonts w:eastAsia="Times New Roman" w:cstheme="minorHAnsi"/>
          <w:lang w:val="en-GB" w:eastAsia="hr-HR"/>
        </w:rPr>
      </w:pPr>
    </w:p>
    <w:p w14:paraId="08166B3B" w14:textId="26D83655" w:rsidR="004341DB" w:rsidRDefault="004341DB" w:rsidP="00E74B48">
      <w:pPr>
        <w:jc w:val="both"/>
        <w:rPr>
          <w:rFonts w:eastAsia="Times New Roman" w:cstheme="minorHAnsi"/>
          <w:lang w:val="en-GB" w:eastAsia="hr-HR"/>
        </w:rPr>
      </w:pPr>
    </w:p>
    <w:p w14:paraId="4FA9207D" w14:textId="77777777" w:rsidR="004341DB" w:rsidRDefault="004341DB" w:rsidP="00E74B48">
      <w:pPr>
        <w:jc w:val="both"/>
        <w:rPr>
          <w:rFonts w:eastAsia="Times New Roman" w:cstheme="minorHAnsi"/>
          <w:lang w:val="en-GB" w:eastAsia="hr-HR"/>
        </w:rPr>
      </w:pPr>
    </w:p>
    <w:p w14:paraId="03C7F216" w14:textId="565E96F8" w:rsidR="005A4488" w:rsidRPr="006003FC" w:rsidRDefault="00336FA1" w:rsidP="00336FA1">
      <w:pPr>
        <w:pStyle w:val="Caption"/>
        <w:rPr>
          <w:rFonts w:ascii="Calibri" w:hAnsi="Calibri" w:cs="Calibri"/>
          <w:i w:val="0"/>
          <w:iCs w:val="0"/>
          <w:szCs w:val="20"/>
          <w:lang w:val="en-GB"/>
        </w:rPr>
      </w:pPr>
      <w:bookmarkStart w:id="50" w:name="_Toc225418888"/>
      <w:r w:rsidRPr="006003FC">
        <w:rPr>
          <w:b/>
          <w:bCs/>
          <w:i w:val="0"/>
          <w:iCs w:val="0"/>
          <w:lang w:val="en-GB"/>
        </w:rPr>
        <w:lastRenderedPageBreak/>
        <w:t xml:space="preserve">Table </w:t>
      </w:r>
      <w:r w:rsidRPr="006003FC">
        <w:rPr>
          <w:b/>
          <w:bCs/>
          <w:i w:val="0"/>
          <w:iCs w:val="0"/>
          <w:lang w:val="en-GB"/>
        </w:rPr>
        <w:fldChar w:fldCharType="begin"/>
      </w:r>
      <w:r w:rsidRPr="006003FC">
        <w:rPr>
          <w:b/>
          <w:bCs/>
          <w:i w:val="0"/>
          <w:iCs w:val="0"/>
          <w:lang w:val="en-GB"/>
        </w:rPr>
        <w:instrText xml:space="preserve"> SEQ Table \* ARABIC </w:instrText>
      </w:r>
      <w:r w:rsidRPr="006003FC">
        <w:rPr>
          <w:b/>
          <w:bCs/>
          <w:i w:val="0"/>
          <w:iCs w:val="0"/>
          <w:lang w:val="en-GB"/>
        </w:rPr>
        <w:fldChar w:fldCharType="separate"/>
      </w:r>
      <w:r w:rsidRPr="006003FC">
        <w:rPr>
          <w:b/>
          <w:bCs/>
          <w:i w:val="0"/>
          <w:iCs w:val="0"/>
          <w:noProof/>
          <w:lang w:val="en-GB"/>
        </w:rPr>
        <w:t>5</w:t>
      </w:r>
      <w:r w:rsidRPr="006003FC">
        <w:rPr>
          <w:b/>
          <w:bCs/>
          <w:i w:val="0"/>
          <w:iCs w:val="0"/>
          <w:lang w:val="en-GB"/>
        </w:rPr>
        <w:fldChar w:fldCharType="end"/>
      </w:r>
      <w:r w:rsidR="006003FC">
        <w:rPr>
          <w:i w:val="0"/>
          <w:iCs w:val="0"/>
          <w:lang w:val="en-GB"/>
        </w:rPr>
        <w:t>.</w:t>
      </w:r>
      <w:r w:rsidRPr="006003FC">
        <w:rPr>
          <w:i w:val="0"/>
          <w:iCs w:val="0"/>
          <w:lang w:val="en-GB"/>
        </w:rPr>
        <w:t xml:space="preserve"> Output 2.2 indicator plan: activities, targets and checks</w:t>
      </w:r>
      <w:bookmarkEnd w:id="50"/>
    </w:p>
    <w:tbl>
      <w:tblPr>
        <w:tblStyle w:val="Reetkatablice1"/>
        <w:tblW w:w="9072" w:type="dxa"/>
        <w:tblInd w:w="-23" w:type="dxa"/>
        <w:tblLayout w:type="fixed"/>
        <w:tblLook w:val="04A0" w:firstRow="1" w:lastRow="0" w:firstColumn="1" w:lastColumn="0" w:noHBand="0" w:noVBand="1"/>
      </w:tblPr>
      <w:tblGrid>
        <w:gridCol w:w="2268"/>
        <w:gridCol w:w="2268"/>
        <w:gridCol w:w="2268"/>
        <w:gridCol w:w="2268"/>
      </w:tblGrid>
      <w:tr w:rsidR="0019774C" w:rsidRPr="00521410" w14:paraId="32615802" w14:textId="77777777" w:rsidTr="0019774C">
        <w:trPr>
          <w:tblHeader/>
        </w:trPr>
        <w:tc>
          <w:tcPr>
            <w:tcW w:w="2268" w:type="dxa"/>
            <w:shd w:val="clear" w:color="auto" w:fill="D9E2F3" w:themeFill="accent1" w:themeFillTint="33"/>
            <w:vAlign w:val="center"/>
          </w:tcPr>
          <w:p w14:paraId="289EF8D4" w14:textId="7F636323" w:rsidR="0019774C" w:rsidRPr="005A4488" w:rsidRDefault="0019774C" w:rsidP="005A4488">
            <w:pPr>
              <w:jc w:val="center"/>
              <w:rPr>
                <w:rFonts w:ascii="Calibri" w:hAnsi="Calibri" w:cs="Calibri"/>
                <w:b/>
                <w:bCs/>
                <w:sz w:val="16"/>
                <w:szCs w:val="16"/>
                <w:lang w:val="en-GB" w:eastAsia="en-GB"/>
              </w:rPr>
            </w:pPr>
            <w:r w:rsidRPr="005A4488">
              <w:rPr>
                <w:rStyle w:val="Strong"/>
                <w:sz w:val="16"/>
                <w:szCs w:val="16"/>
              </w:rPr>
              <w:t xml:space="preserve">Indicator </w:t>
            </w:r>
          </w:p>
        </w:tc>
        <w:tc>
          <w:tcPr>
            <w:tcW w:w="2268" w:type="dxa"/>
            <w:shd w:val="clear" w:color="auto" w:fill="D9E2F3" w:themeFill="accent1" w:themeFillTint="33"/>
            <w:vAlign w:val="center"/>
          </w:tcPr>
          <w:p w14:paraId="75BCB7C0" w14:textId="2B02DE6D" w:rsidR="0019774C" w:rsidRPr="005A4488" w:rsidRDefault="0019774C" w:rsidP="005A4488">
            <w:pPr>
              <w:jc w:val="center"/>
              <w:rPr>
                <w:rFonts w:ascii="Calibri" w:hAnsi="Calibri" w:cs="Calibri"/>
                <w:b/>
                <w:bCs/>
                <w:sz w:val="16"/>
                <w:szCs w:val="16"/>
                <w:lang w:val="en-GB" w:eastAsia="en-GB"/>
              </w:rPr>
            </w:pPr>
            <w:r w:rsidRPr="005A4488">
              <w:rPr>
                <w:rStyle w:val="Strong"/>
                <w:sz w:val="16"/>
                <w:szCs w:val="16"/>
              </w:rPr>
              <w:t>Relevance to Output 2.2</w:t>
            </w:r>
          </w:p>
        </w:tc>
        <w:tc>
          <w:tcPr>
            <w:tcW w:w="2268" w:type="dxa"/>
            <w:shd w:val="clear" w:color="auto" w:fill="D9E2F3" w:themeFill="accent1" w:themeFillTint="33"/>
            <w:vAlign w:val="center"/>
          </w:tcPr>
          <w:p w14:paraId="63E23FAD" w14:textId="4CAD3452" w:rsidR="0019774C" w:rsidRPr="005A4488" w:rsidRDefault="0019774C" w:rsidP="005A4488">
            <w:pPr>
              <w:jc w:val="center"/>
              <w:rPr>
                <w:rFonts w:ascii="Calibri" w:hAnsi="Calibri" w:cs="Calibri"/>
                <w:b/>
                <w:bCs/>
                <w:sz w:val="16"/>
                <w:szCs w:val="16"/>
                <w:lang w:val="en-GB" w:eastAsia="en-GB"/>
              </w:rPr>
            </w:pPr>
            <w:r w:rsidRPr="005A4488">
              <w:rPr>
                <w:rStyle w:val="Strong"/>
                <w:sz w:val="16"/>
                <w:szCs w:val="16"/>
              </w:rPr>
              <w:t>Baseline / Target (per project year)</w:t>
            </w:r>
          </w:p>
        </w:tc>
        <w:tc>
          <w:tcPr>
            <w:tcW w:w="2268" w:type="dxa"/>
            <w:shd w:val="clear" w:color="auto" w:fill="D9E2F3" w:themeFill="accent1" w:themeFillTint="33"/>
            <w:vAlign w:val="center"/>
          </w:tcPr>
          <w:p w14:paraId="79B1C4A8" w14:textId="0C3F6FA8" w:rsidR="0019774C" w:rsidRPr="005A4488" w:rsidRDefault="0019774C" w:rsidP="005A4488">
            <w:pPr>
              <w:jc w:val="center"/>
              <w:rPr>
                <w:rFonts w:ascii="Calibri" w:hAnsi="Calibri" w:cs="Calibri"/>
                <w:b/>
                <w:bCs/>
                <w:sz w:val="16"/>
                <w:szCs w:val="16"/>
                <w:lang w:val="en-GB" w:eastAsia="en-GB"/>
              </w:rPr>
            </w:pPr>
            <w:r w:rsidRPr="005A4488">
              <w:rPr>
                <w:rStyle w:val="Strong"/>
                <w:sz w:val="16"/>
                <w:szCs w:val="16"/>
              </w:rPr>
              <w:t>Verification check</w:t>
            </w:r>
          </w:p>
        </w:tc>
      </w:tr>
      <w:tr w:rsidR="0019774C" w:rsidRPr="00521410" w14:paraId="56299DA5" w14:textId="77777777" w:rsidTr="0019774C">
        <w:tc>
          <w:tcPr>
            <w:tcW w:w="2268" w:type="dxa"/>
            <w:vAlign w:val="center"/>
          </w:tcPr>
          <w:p w14:paraId="5B7A03AA" w14:textId="145F66E1" w:rsidR="0019774C" w:rsidRPr="0019774C" w:rsidRDefault="0019774C" w:rsidP="0019774C">
            <w:pPr>
              <w:rPr>
                <w:rFonts w:ascii="Calibri" w:hAnsi="Calibri" w:cs="Calibri"/>
                <w:sz w:val="16"/>
                <w:szCs w:val="16"/>
              </w:rPr>
            </w:pPr>
            <w:r w:rsidRPr="0019774C">
              <w:rPr>
                <w:sz w:val="16"/>
                <w:szCs w:val="16"/>
              </w:rPr>
              <w:t xml:space="preserve">Number of joint </w:t>
            </w:r>
            <w:r>
              <w:rPr>
                <w:sz w:val="16"/>
                <w:szCs w:val="16"/>
              </w:rPr>
              <w:t xml:space="preserve">(on-line or on-site) </w:t>
            </w:r>
            <w:r w:rsidRPr="0019774C">
              <w:rPr>
                <w:sz w:val="16"/>
                <w:szCs w:val="16"/>
              </w:rPr>
              <w:t>technical sessions held annually</w:t>
            </w:r>
          </w:p>
        </w:tc>
        <w:tc>
          <w:tcPr>
            <w:tcW w:w="2268" w:type="dxa"/>
            <w:vAlign w:val="center"/>
          </w:tcPr>
          <w:p w14:paraId="72EB80C6" w14:textId="1F087539" w:rsidR="0019774C" w:rsidRPr="0019774C" w:rsidRDefault="0019774C" w:rsidP="0019774C">
            <w:pPr>
              <w:rPr>
                <w:rFonts w:ascii="Calibri" w:hAnsi="Calibri" w:cs="Calibri"/>
                <w:sz w:val="16"/>
                <w:szCs w:val="16"/>
              </w:rPr>
            </w:pPr>
            <w:r w:rsidRPr="0019774C">
              <w:rPr>
                <w:sz w:val="16"/>
                <w:szCs w:val="16"/>
              </w:rPr>
              <w:t>Supports implementation of the Joint Framework and operational coordination</w:t>
            </w:r>
          </w:p>
        </w:tc>
        <w:tc>
          <w:tcPr>
            <w:tcW w:w="2268" w:type="dxa"/>
            <w:vAlign w:val="center"/>
          </w:tcPr>
          <w:p w14:paraId="4FB81AF9" w14:textId="16E463B9" w:rsidR="0019774C" w:rsidRPr="0019774C" w:rsidRDefault="0019774C" w:rsidP="0019774C">
            <w:pPr>
              <w:rPr>
                <w:rFonts w:ascii="Calibri" w:hAnsi="Calibri" w:cs="Calibri"/>
                <w:sz w:val="16"/>
                <w:szCs w:val="16"/>
              </w:rPr>
            </w:pPr>
            <w:r w:rsidRPr="0019774C">
              <w:rPr>
                <w:sz w:val="16"/>
                <w:szCs w:val="16"/>
              </w:rPr>
              <w:t xml:space="preserve">Baseline: none; </w:t>
            </w:r>
            <w:r>
              <w:rPr>
                <w:sz w:val="16"/>
                <w:szCs w:val="16"/>
              </w:rPr>
              <w:t>t</w:t>
            </w:r>
            <w:r w:rsidRPr="0019774C">
              <w:rPr>
                <w:sz w:val="16"/>
                <w:szCs w:val="16"/>
              </w:rPr>
              <w:t>arget: 2</w:t>
            </w:r>
            <w:r>
              <w:rPr>
                <w:sz w:val="16"/>
                <w:szCs w:val="16"/>
              </w:rPr>
              <w:t>-</w:t>
            </w:r>
            <w:r w:rsidRPr="0019774C">
              <w:rPr>
                <w:sz w:val="16"/>
                <w:szCs w:val="16"/>
              </w:rPr>
              <w:t>3 per year</w:t>
            </w:r>
          </w:p>
        </w:tc>
        <w:tc>
          <w:tcPr>
            <w:tcW w:w="2268" w:type="dxa"/>
            <w:vAlign w:val="center"/>
          </w:tcPr>
          <w:p w14:paraId="64EFA3C9" w14:textId="571BCBD5" w:rsidR="0019774C" w:rsidRPr="0019774C" w:rsidRDefault="0019774C" w:rsidP="0019774C">
            <w:pPr>
              <w:rPr>
                <w:rFonts w:ascii="Calibri" w:hAnsi="Calibri" w:cs="Calibri"/>
                <w:sz w:val="16"/>
                <w:szCs w:val="16"/>
              </w:rPr>
            </w:pPr>
            <w:r w:rsidRPr="0019774C">
              <w:rPr>
                <w:sz w:val="16"/>
                <w:szCs w:val="16"/>
              </w:rPr>
              <w:t>Meeting notes</w:t>
            </w:r>
          </w:p>
        </w:tc>
      </w:tr>
      <w:tr w:rsidR="0019774C" w:rsidRPr="00521410" w14:paraId="20FFC3A9" w14:textId="77777777" w:rsidTr="0019774C">
        <w:tc>
          <w:tcPr>
            <w:tcW w:w="2268" w:type="dxa"/>
            <w:vAlign w:val="center"/>
          </w:tcPr>
          <w:p w14:paraId="15919A03" w14:textId="28E9CE1C" w:rsidR="0019774C" w:rsidRPr="0019774C" w:rsidRDefault="0019774C" w:rsidP="0019774C">
            <w:pPr>
              <w:rPr>
                <w:rFonts w:ascii="Calibri" w:hAnsi="Calibri" w:cs="Calibri"/>
                <w:sz w:val="16"/>
                <w:szCs w:val="16"/>
              </w:rPr>
            </w:pPr>
            <w:r w:rsidRPr="0019774C">
              <w:rPr>
                <w:sz w:val="16"/>
                <w:szCs w:val="16"/>
              </w:rPr>
              <w:t>Approval of joint workplan and guidance notes</w:t>
            </w:r>
          </w:p>
        </w:tc>
        <w:tc>
          <w:tcPr>
            <w:tcW w:w="2268" w:type="dxa"/>
            <w:vAlign w:val="center"/>
          </w:tcPr>
          <w:p w14:paraId="0DCE1B1E" w14:textId="2C94BFC5" w:rsidR="0019774C" w:rsidRPr="0019774C" w:rsidRDefault="0019774C" w:rsidP="0019774C">
            <w:pPr>
              <w:rPr>
                <w:rFonts w:ascii="Calibri" w:hAnsi="Calibri" w:cs="Calibri"/>
                <w:sz w:val="16"/>
                <w:szCs w:val="16"/>
              </w:rPr>
            </w:pPr>
            <w:r w:rsidRPr="0019774C">
              <w:rPr>
                <w:sz w:val="16"/>
                <w:szCs w:val="16"/>
              </w:rPr>
              <w:t>Confirms activation of coordination mechanisms and operational alignment</w:t>
            </w:r>
          </w:p>
        </w:tc>
        <w:tc>
          <w:tcPr>
            <w:tcW w:w="2268" w:type="dxa"/>
            <w:vAlign w:val="center"/>
          </w:tcPr>
          <w:p w14:paraId="36F2FFF4" w14:textId="5B2C71C3" w:rsidR="0019774C" w:rsidRPr="0019774C" w:rsidRDefault="0019774C" w:rsidP="0019774C">
            <w:pPr>
              <w:rPr>
                <w:rFonts w:ascii="Calibri" w:hAnsi="Calibri" w:cs="Calibri"/>
                <w:sz w:val="16"/>
                <w:szCs w:val="16"/>
              </w:rPr>
            </w:pPr>
            <w:r w:rsidRPr="0019774C">
              <w:rPr>
                <w:sz w:val="16"/>
                <w:szCs w:val="16"/>
              </w:rPr>
              <w:t xml:space="preserve">Baseline: none; </w:t>
            </w:r>
            <w:r>
              <w:rPr>
                <w:sz w:val="16"/>
                <w:szCs w:val="16"/>
              </w:rPr>
              <w:t>t</w:t>
            </w:r>
            <w:r w:rsidRPr="0019774C">
              <w:rPr>
                <w:sz w:val="16"/>
                <w:szCs w:val="16"/>
              </w:rPr>
              <w:t>arget: documents approved in Year 1</w:t>
            </w:r>
          </w:p>
        </w:tc>
        <w:tc>
          <w:tcPr>
            <w:tcW w:w="2268" w:type="dxa"/>
            <w:vAlign w:val="center"/>
          </w:tcPr>
          <w:p w14:paraId="2351F402" w14:textId="15203033" w:rsidR="0019774C" w:rsidRPr="0019774C" w:rsidRDefault="0019774C" w:rsidP="0019774C">
            <w:pPr>
              <w:rPr>
                <w:rFonts w:ascii="Calibri" w:hAnsi="Calibri" w:cs="Calibri"/>
                <w:sz w:val="16"/>
                <w:szCs w:val="16"/>
              </w:rPr>
            </w:pPr>
            <w:r w:rsidRPr="0019774C">
              <w:rPr>
                <w:sz w:val="16"/>
                <w:szCs w:val="16"/>
              </w:rPr>
              <w:t>Published workplan/guidance</w:t>
            </w:r>
          </w:p>
        </w:tc>
      </w:tr>
      <w:tr w:rsidR="00C53AA5" w:rsidRPr="00521410" w14:paraId="3814AEA0" w14:textId="77777777" w:rsidTr="0019774C">
        <w:tc>
          <w:tcPr>
            <w:tcW w:w="2268" w:type="dxa"/>
            <w:vAlign w:val="center"/>
          </w:tcPr>
          <w:p w14:paraId="0F01E7B0" w14:textId="7763F296" w:rsidR="00C53AA5" w:rsidRPr="00C53AA5" w:rsidRDefault="00C53AA5" w:rsidP="00C53AA5">
            <w:pPr>
              <w:rPr>
                <w:rFonts w:ascii="Calibri" w:hAnsi="Calibri" w:cs="Calibri"/>
                <w:sz w:val="16"/>
                <w:szCs w:val="16"/>
              </w:rPr>
            </w:pPr>
            <w:r w:rsidRPr="00C53AA5">
              <w:rPr>
                <w:sz w:val="16"/>
                <w:szCs w:val="16"/>
              </w:rPr>
              <w:t>Timeliness of data exchange (SPZ</w:t>
            </w:r>
            <w:r w:rsidRPr="00C53AA5">
              <w:rPr>
                <w:sz w:val="16"/>
                <w:szCs w:val="16"/>
              </w:rPr>
              <w:noBreakHyphen/>
              <w:t>related monitoring)</w:t>
            </w:r>
          </w:p>
        </w:tc>
        <w:tc>
          <w:tcPr>
            <w:tcW w:w="2268" w:type="dxa"/>
            <w:vAlign w:val="center"/>
          </w:tcPr>
          <w:p w14:paraId="572214BE" w14:textId="6F35A722" w:rsidR="00C53AA5" w:rsidRPr="00C53AA5" w:rsidRDefault="00C53AA5" w:rsidP="00C53AA5">
            <w:pPr>
              <w:rPr>
                <w:rFonts w:ascii="Calibri" w:hAnsi="Calibri" w:cs="Calibri"/>
                <w:sz w:val="16"/>
                <w:szCs w:val="16"/>
              </w:rPr>
            </w:pPr>
            <w:r w:rsidRPr="00C53AA5">
              <w:rPr>
                <w:sz w:val="16"/>
                <w:szCs w:val="16"/>
              </w:rPr>
              <w:t>Reflects practical implementation of joint monitoring/</w:t>
            </w:r>
            <w:r>
              <w:rPr>
                <w:sz w:val="16"/>
                <w:szCs w:val="16"/>
              </w:rPr>
              <w:t>d</w:t>
            </w:r>
            <w:r w:rsidRPr="00C53AA5">
              <w:rPr>
                <w:sz w:val="16"/>
                <w:szCs w:val="16"/>
              </w:rPr>
              <w:t>ata sharing</w:t>
            </w:r>
          </w:p>
        </w:tc>
        <w:tc>
          <w:tcPr>
            <w:tcW w:w="2268" w:type="dxa"/>
            <w:vAlign w:val="center"/>
          </w:tcPr>
          <w:p w14:paraId="518293A4" w14:textId="2628D657" w:rsidR="00C53AA5" w:rsidRPr="00C53AA5" w:rsidRDefault="00C53AA5" w:rsidP="00C53AA5">
            <w:pPr>
              <w:rPr>
                <w:rFonts w:ascii="Calibri" w:hAnsi="Calibri" w:cs="Calibri"/>
                <w:sz w:val="16"/>
                <w:szCs w:val="16"/>
              </w:rPr>
            </w:pPr>
            <w:r w:rsidRPr="00C53AA5">
              <w:rPr>
                <w:sz w:val="16"/>
                <w:szCs w:val="16"/>
              </w:rPr>
              <w:t xml:space="preserve">Baseline: ad hoc; </w:t>
            </w:r>
            <w:r>
              <w:rPr>
                <w:sz w:val="16"/>
                <w:szCs w:val="16"/>
              </w:rPr>
              <w:t>t</w:t>
            </w:r>
            <w:r w:rsidRPr="00C53AA5">
              <w:rPr>
                <w:sz w:val="16"/>
                <w:szCs w:val="16"/>
              </w:rPr>
              <w:t>arget: datasets shared within agreed timeframe</w:t>
            </w:r>
          </w:p>
        </w:tc>
        <w:tc>
          <w:tcPr>
            <w:tcW w:w="2268" w:type="dxa"/>
            <w:vAlign w:val="center"/>
          </w:tcPr>
          <w:p w14:paraId="1966D385" w14:textId="6F9789AD" w:rsidR="00C53AA5" w:rsidRPr="00C53AA5" w:rsidRDefault="00C53AA5" w:rsidP="00C53AA5">
            <w:pPr>
              <w:rPr>
                <w:rFonts w:ascii="Calibri" w:hAnsi="Calibri" w:cs="Calibri"/>
                <w:sz w:val="16"/>
                <w:szCs w:val="16"/>
              </w:rPr>
            </w:pPr>
            <w:r>
              <w:rPr>
                <w:sz w:val="16"/>
                <w:szCs w:val="16"/>
              </w:rPr>
              <w:t>R</w:t>
            </w:r>
            <w:r w:rsidRPr="00C53AA5">
              <w:rPr>
                <w:sz w:val="16"/>
                <w:szCs w:val="16"/>
              </w:rPr>
              <w:t>ecord of when data were shared</w:t>
            </w:r>
          </w:p>
        </w:tc>
      </w:tr>
      <w:tr w:rsidR="00C53AA5" w:rsidRPr="00521410" w14:paraId="509E9390" w14:textId="77777777" w:rsidTr="0019774C">
        <w:tc>
          <w:tcPr>
            <w:tcW w:w="2268" w:type="dxa"/>
            <w:vAlign w:val="center"/>
          </w:tcPr>
          <w:p w14:paraId="0C7C0D30" w14:textId="204F9098" w:rsidR="00C53AA5" w:rsidRPr="00C53AA5" w:rsidRDefault="00CE5FA7" w:rsidP="00C53AA5">
            <w:pPr>
              <w:rPr>
                <w:rFonts w:ascii="Calibri" w:hAnsi="Calibri" w:cs="Calibri"/>
                <w:sz w:val="16"/>
                <w:szCs w:val="16"/>
              </w:rPr>
            </w:pPr>
            <w:r w:rsidRPr="00CE5FA7">
              <w:rPr>
                <w:sz w:val="16"/>
                <w:szCs w:val="16"/>
                <w:lang w:val="sr-Latn-RS"/>
              </w:rPr>
              <w:t>Coverage of event-based sampling at Cemi/Cijevna</w:t>
            </w:r>
            <w:r>
              <w:rPr>
                <w:sz w:val="16"/>
                <w:szCs w:val="16"/>
                <w:lang w:val="sr-Latn-RS"/>
              </w:rPr>
              <w:t xml:space="preserve"> TBA</w:t>
            </w:r>
          </w:p>
        </w:tc>
        <w:tc>
          <w:tcPr>
            <w:tcW w:w="2268" w:type="dxa"/>
            <w:vAlign w:val="center"/>
          </w:tcPr>
          <w:p w14:paraId="0E12B4D8" w14:textId="7F0EA0A0" w:rsidR="00C53AA5" w:rsidRPr="00C53AA5" w:rsidRDefault="00C53AA5" w:rsidP="00C53AA5">
            <w:pPr>
              <w:rPr>
                <w:rFonts w:ascii="Calibri" w:hAnsi="Calibri" w:cs="Calibri"/>
                <w:sz w:val="16"/>
                <w:szCs w:val="16"/>
              </w:rPr>
            </w:pPr>
            <w:r w:rsidRPr="00C53AA5">
              <w:rPr>
                <w:sz w:val="16"/>
                <w:szCs w:val="16"/>
              </w:rPr>
              <w:t>Shows progress of technical work</w:t>
            </w:r>
          </w:p>
        </w:tc>
        <w:tc>
          <w:tcPr>
            <w:tcW w:w="2268" w:type="dxa"/>
            <w:vAlign w:val="center"/>
          </w:tcPr>
          <w:p w14:paraId="7EB0841A" w14:textId="6148D0D1" w:rsidR="00C53AA5" w:rsidRPr="00C53AA5" w:rsidRDefault="00C53AA5" w:rsidP="00C53AA5">
            <w:pPr>
              <w:rPr>
                <w:rFonts w:ascii="Calibri" w:hAnsi="Calibri" w:cs="Calibri"/>
                <w:sz w:val="16"/>
                <w:szCs w:val="16"/>
              </w:rPr>
            </w:pPr>
            <w:r w:rsidRPr="00C53AA5">
              <w:rPr>
                <w:sz w:val="16"/>
                <w:szCs w:val="16"/>
              </w:rPr>
              <w:t xml:space="preserve">Baseline: limited; </w:t>
            </w:r>
            <w:r>
              <w:rPr>
                <w:sz w:val="16"/>
                <w:szCs w:val="16"/>
              </w:rPr>
              <w:t>t</w:t>
            </w:r>
            <w:r w:rsidRPr="00C53AA5">
              <w:rPr>
                <w:sz w:val="16"/>
                <w:szCs w:val="16"/>
              </w:rPr>
              <w:t>arget: event</w:t>
            </w:r>
            <w:r w:rsidRPr="00C53AA5">
              <w:rPr>
                <w:sz w:val="16"/>
                <w:szCs w:val="16"/>
              </w:rPr>
              <w:noBreakHyphen/>
              <w:t>based sampling active at priority springs by Year 2</w:t>
            </w:r>
          </w:p>
        </w:tc>
        <w:tc>
          <w:tcPr>
            <w:tcW w:w="2268" w:type="dxa"/>
            <w:vAlign w:val="center"/>
          </w:tcPr>
          <w:p w14:paraId="54C8DE24" w14:textId="5B7CE33A" w:rsidR="00C53AA5" w:rsidRPr="00C53AA5" w:rsidRDefault="00C53AA5" w:rsidP="00C53AA5">
            <w:pPr>
              <w:rPr>
                <w:rFonts w:ascii="Calibri" w:hAnsi="Calibri" w:cs="Calibri"/>
                <w:sz w:val="16"/>
                <w:szCs w:val="16"/>
              </w:rPr>
            </w:pPr>
            <w:r w:rsidRPr="00C53AA5">
              <w:rPr>
                <w:sz w:val="16"/>
                <w:szCs w:val="16"/>
              </w:rPr>
              <w:t>Joint monitoring summary</w:t>
            </w:r>
          </w:p>
        </w:tc>
      </w:tr>
      <w:tr w:rsidR="00C53AA5" w:rsidRPr="00521410" w14:paraId="362169B3" w14:textId="77777777" w:rsidTr="0019774C">
        <w:tc>
          <w:tcPr>
            <w:tcW w:w="2268" w:type="dxa"/>
            <w:vAlign w:val="center"/>
          </w:tcPr>
          <w:p w14:paraId="6E8FE170" w14:textId="377A70E3" w:rsidR="00C53AA5" w:rsidRPr="00C53AA5" w:rsidRDefault="00C53AA5" w:rsidP="00C53AA5">
            <w:pPr>
              <w:rPr>
                <w:rFonts w:ascii="Calibri" w:hAnsi="Calibri" w:cs="Calibri"/>
                <w:sz w:val="16"/>
                <w:szCs w:val="16"/>
                <w:lang w:val="en-GB" w:eastAsia="en-GB"/>
              </w:rPr>
            </w:pPr>
            <w:r w:rsidRPr="00C53AA5">
              <w:rPr>
                <w:sz w:val="16"/>
                <w:szCs w:val="16"/>
              </w:rPr>
              <w:t>Joint SPZ operations report issued</w:t>
            </w:r>
          </w:p>
        </w:tc>
        <w:tc>
          <w:tcPr>
            <w:tcW w:w="2268" w:type="dxa"/>
            <w:vAlign w:val="center"/>
          </w:tcPr>
          <w:p w14:paraId="20C875A2" w14:textId="157B4D14" w:rsidR="00C53AA5" w:rsidRPr="00C53AA5" w:rsidRDefault="00C53AA5" w:rsidP="00C53AA5">
            <w:pPr>
              <w:rPr>
                <w:rFonts w:ascii="Calibri" w:hAnsi="Calibri" w:cs="Calibri"/>
                <w:sz w:val="16"/>
                <w:szCs w:val="16"/>
                <w:lang w:val="en-GB" w:eastAsia="en-GB"/>
              </w:rPr>
            </w:pPr>
            <w:r w:rsidRPr="00C53AA5">
              <w:rPr>
                <w:sz w:val="16"/>
                <w:szCs w:val="16"/>
              </w:rPr>
              <w:t>Shows jointly interpreted SPZ</w:t>
            </w:r>
            <w:r w:rsidRPr="00C53AA5">
              <w:rPr>
                <w:rFonts w:ascii="Cambria Math" w:hAnsi="Cambria Math" w:cs="Cambria Math"/>
                <w:sz w:val="16"/>
                <w:szCs w:val="16"/>
              </w:rPr>
              <w:t>‑</w:t>
            </w:r>
            <w:r w:rsidRPr="00C53AA5">
              <w:rPr>
                <w:sz w:val="16"/>
                <w:szCs w:val="16"/>
              </w:rPr>
              <w:t>related results</w:t>
            </w:r>
          </w:p>
        </w:tc>
        <w:tc>
          <w:tcPr>
            <w:tcW w:w="2268" w:type="dxa"/>
            <w:vAlign w:val="center"/>
          </w:tcPr>
          <w:p w14:paraId="455589B7" w14:textId="0E31AA74" w:rsidR="00C53AA5" w:rsidRPr="00C53AA5" w:rsidRDefault="00C53AA5" w:rsidP="00C53AA5">
            <w:pPr>
              <w:rPr>
                <w:rFonts w:ascii="Calibri" w:hAnsi="Calibri" w:cs="Calibri"/>
                <w:sz w:val="16"/>
                <w:szCs w:val="16"/>
                <w:lang w:val="en-GB" w:eastAsia="en-GB"/>
              </w:rPr>
            </w:pPr>
            <w:r w:rsidRPr="00C53AA5">
              <w:rPr>
                <w:sz w:val="16"/>
                <w:szCs w:val="16"/>
              </w:rPr>
              <w:t xml:space="preserve">Baseline: none; </w:t>
            </w:r>
            <w:r>
              <w:rPr>
                <w:sz w:val="16"/>
                <w:szCs w:val="16"/>
              </w:rPr>
              <w:t>t</w:t>
            </w:r>
            <w:r w:rsidRPr="00C53AA5">
              <w:rPr>
                <w:sz w:val="16"/>
                <w:szCs w:val="16"/>
              </w:rPr>
              <w:t>arget: one report in Year 2</w:t>
            </w:r>
          </w:p>
        </w:tc>
        <w:tc>
          <w:tcPr>
            <w:tcW w:w="2268" w:type="dxa"/>
            <w:vAlign w:val="center"/>
          </w:tcPr>
          <w:p w14:paraId="7D90FE5A" w14:textId="372ABCE4" w:rsidR="00C53AA5" w:rsidRPr="00C53AA5" w:rsidRDefault="00C53AA5" w:rsidP="00C53AA5">
            <w:pPr>
              <w:rPr>
                <w:rFonts w:ascii="Calibri" w:hAnsi="Calibri" w:cs="Calibri"/>
                <w:sz w:val="16"/>
                <w:szCs w:val="16"/>
                <w:lang w:val="en-GB" w:eastAsia="en-GB"/>
              </w:rPr>
            </w:pPr>
            <w:r w:rsidRPr="00C53AA5">
              <w:rPr>
                <w:sz w:val="16"/>
                <w:szCs w:val="16"/>
              </w:rPr>
              <w:t>Published joint note</w:t>
            </w:r>
          </w:p>
        </w:tc>
      </w:tr>
      <w:tr w:rsidR="00C53AA5" w:rsidRPr="00521410" w14:paraId="3F9C9E9C" w14:textId="77777777" w:rsidTr="0019774C">
        <w:tc>
          <w:tcPr>
            <w:tcW w:w="2268" w:type="dxa"/>
            <w:vAlign w:val="center"/>
          </w:tcPr>
          <w:p w14:paraId="3AE0C14F" w14:textId="114F844F" w:rsidR="00C53AA5" w:rsidRPr="00C53AA5" w:rsidRDefault="00C53AA5" w:rsidP="00C53AA5">
            <w:pPr>
              <w:rPr>
                <w:rFonts w:ascii="Calibri" w:hAnsi="Calibri" w:cs="Calibri"/>
                <w:sz w:val="16"/>
                <w:szCs w:val="16"/>
                <w:lang w:val="en-GB" w:eastAsia="en-GB"/>
              </w:rPr>
            </w:pPr>
            <w:r w:rsidRPr="00C53AA5">
              <w:rPr>
                <w:sz w:val="16"/>
                <w:szCs w:val="16"/>
              </w:rPr>
              <w:t>Operational use of shared GIS layers (SPZ</w:t>
            </w:r>
            <w:r w:rsidRPr="00C53AA5">
              <w:rPr>
                <w:sz w:val="16"/>
                <w:szCs w:val="16"/>
              </w:rPr>
              <w:noBreakHyphen/>
              <w:t>related)</w:t>
            </w:r>
          </w:p>
        </w:tc>
        <w:tc>
          <w:tcPr>
            <w:tcW w:w="2268" w:type="dxa"/>
            <w:vAlign w:val="center"/>
          </w:tcPr>
          <w:p w14:paraId="5B64BFE6" w14:textId="32937DE0" w:rsidR="00C53AA5" w:rsidRPr="00C53AA5" w:rsidRDefault="00C53AA5" w:rsidP="00C53AA5">
            <w:pPr>
              <w:rPr>
                <w:rFonts w:ascii="Calibri" w:hAnsi="Calibri" w:cs="Calibri"/>
                <w:sz w:val="16"/>
                <w:szCs w:val="16"/>
                <w:lang w:val="en-GB" w:eastAsia="en-GB"/>
              </w:rPr>
            </w:pPr>
            <w:r w:rsidRPr="00C53AA5">
              <w:rPr>
                <w:sz w:val="16"/>
                <w:szCs w:val="16"/>
              </w:rPr>
              <w:t>Tracks practical uptake of shared spatial tools</w:t>
            </w:r>
          </w:p>
        </w:tc>
        <w:tc>
          <w:tcPr>
            <w:tcW w:w="2268" w:type="dxa"/>
            <w:vAlign w:val="center"/>
          </w:tcPr>
          <w:p w14:paraId="4322D058" w14:textId="7E350CA7" w:rsidR="00C53AA5" w:rsidRPr="00C53AA5" w:rsidRDefault="00CE5FA7" w:rsidP="00C53AA5">
            <w:pPr>
              <w:rPr>
                <w:rFonts w:ascii="Calibri" w:hAnsi="Calibri" w:cs="Calibri"/>
                <w:sz w:val="16"/>
                <w:szCs w:val="16"/>
                <w:lang w:val="en-GB" w:eastAsia="en-GB"/>
              </w:rPr>
            </w:pPr>
            <w:r w:rsidRPr="00CE5FA7">
              <w:rPr>
                <w:sz w:val="16"/>
                <w:szCs w:val="16"/>
                <w:lang w:val="sr-Latn-RS"/>
              </w:rPr>
              <w:t>Baseline: fragmented; target: shared layers used in Cemi/Cijevna pilot by Year 2</w:t>
            </w:r>
          </w:p>
        </w:tc>
        <w:tc>
          <w:tcPr>
            <w:tcW w:w="2268" w:type="dxa"/>
            <w:vAlign w:val="center"/>
          </w:tcPr>
          <w:p w14:paraId="299F8820" w14:textId="3B432FA5" w:rsidR="00C53AA5" w:rsidRPr="00C53AA5" w:rsidRDefault="00C53AA5" w:rsidP="00C53AA5">
            <w:pPr>
              <w:rPr>
                <w:rFonts w:ascii="Calibri" w:hAnsi="Calibri" w:cs="Calibri"/>
                <w:sz w:val="16"/>
                <w:szCs w:val="16"/>
                <w:lang w:val="en-GB" w:eastAsia="en-GB"/>
              </w:rPr>
            </w:pPr>
            <w:r w:rsidRPr="00C53AA5">
              <w:rPr>
                <w:sz w:val="16"/>
                <w:szCs w:val="16"/>
              </w:rPr>
              <w:t>Shared GIS workspace log</w:t>
            </w:r>
          </w:p>
        </w:tc>
      </w:tr>
      <w:tr w:rsidR="00C53AA5" w:rsidRPr="00521410" w14:paraId="611B2772" w14:textId="77777777" w:rsidTr="0019774C">
        <w:tc>
          <w:tcPr>
            <w:tcW w:w="2268" w:type="dxa"/>
            <w:vAlign w:val="center"/>
          </w:tcPr>
          <w:p w14:paraId="767DAFB8" w14:textId="7417F550" w:rsidR="00C53AA5" w:rsidRPr="00C53AA5" w:rsidRDefault="00C53AA5" w:rsidP="00C53AA5">
            <w:pPr>
              <w:rPr>
                <w:rFonts w:ascii="Calibri" w:hAnsi="Calibri" w:cs="Calibri"/>
                <w:sz w:val="16"/>
                <w:szCs w:val="16"/>
                <w:lang w:val="en-GB" w:eastAsia="en-GB"/>
              </w:rPr>
            </w:pPr>
            <w:r w:rsidRPr="00C53AA5">
              <w:rPr>
                <w:sz w:val="16"/>
                <w:szCs w:val="16"/>
              </w:rPr>
              <w:t>Completion of legal</w:t>
            </w:r>
            <w:r w:rsidRPr="00C53AA5">
              <w:rPr>
                <w:sz w:val="16"/>
                <w:szCs w:val="16"/>
              </w:rPr>
              <w:noBreakHyphen/>
              <w:t>technical brief and annex outlines</w:t>
            </w:r>
          </w:p>
        </w:tc>
        <w:tc>
          <w:tcPr>
            <w:tcW w:w="2268" w:type="dxa"/>
            <w:vAlign w:val="center"/>
          </w:tcPr>
          <w:p w14:paraId="4ECB1902" w14:textId="562B0289" w:rsidR="00C53AA5" w:rsidRPr="00C53AA5" w:rsidRDefault="00C53AA5" w:rsidP="00C53AA5">
            <w:pPr>
              <w:rPr>
                <w:rFonts w:ascii="Calibri" w:hAnsi="Calibri" w:cs="Calibri"/>
                <w:sz w:val="16"/>
                <w:szCs w:val="16"/>
                <w:lang w:val="en-GB" w:eastAsia="en-GB"/>
              </w:rPr>
            </w:pPr>
            <w:r w:rsidRPr="00C53AA5">
              <w:rPr>
                <w:sz w:val="16"/>
                <w:szCs w:val="16"/>
              </w:rPr>
              <w:t>Supports preparation for potential addendum/protocol</w:t>
            </w:r>
          </w:p>
        </w:tc>
        <w:tc>
          <w:tcPr>
            <w:tcW w:w="2268" w:type="dxa"/>
            <w:vAlign w:val="center"/>
          </w:tcPr>
          <w:p w14:paraId="608B429B" w14:textId="3E3BBD77" w:rsidR="00C53AA5" w:rsidRPr="00C53AA5" w:rsidRDefault="00C53AA5" w:rsidP="00C53AA5">
            <w:pPr>
              <w:rPr>
                <w:rFonts w:ascii="Calibri" w:hAnsi="Calibri" w:cs="Calibri"/>
                <w:sz w:val="16"/>
                <w:szCs w:val="16"/>
                <w:lang w:val="en-GB" w:eastAsia="en-GB"/>
              </w:rPr>
            </w:pPr>
            <w:r w:rsidRPr="00C53AA5">
              <w:rPr>
                <w:sz w:val="16"/>
                <w:szCs w:val="16"/>
              </w:rPr>
              <w:t xml:space="preserve">Baseline: none; </w:t>
            </w:r>
            <w:r>
              <w:rPr>
                <w:sz w:val="16"/>
                <w:szCs w:val="16"/>
              </w:rPr>
              <w:t>t</w:t>
            </w:r>
            <w:r w:rsidRPr="00C53AA5">
              <w:rPr>
                <w:sz w:val="16"/>
                <w:szCs w:val="16"/>
              </w:rPr>
              <w:t>arget: completed by Year 2</w:t>
            </w:r>
          </w:p>
        </w:tc>
        <w:tc>
          <w:tcPr>
            <w:tcW w:w="2268" w:type="dxa"/>
            <w:vAlign w:val="center"/>
          </w:tcPr>
          <w:p w14:paraId="59872F31" w14:textId="51B7F808" w:rsidR="00C53AA5" w:rsidRPr="00C53AA5" w:rsidRDefault="00C53AA5" w:rsidP="00C53AA5">
            <w:pPr>
              <w:rPr>
                <w:rFonts w:ascii="Calibri" w:hAnsi="Calibri" w:cs="Calibri"/>
                <w:sz w:val="16"/>
                <w:szCs w:val="16"/>
                <w:lang w:val="en-GB" w:eastAsia="en-GB"/>
              </w:rPr>
            </w:pPr>
            <w:r w:rsidRPr="00C53AA5">
              <w:rPr>
                <w:sz w:val="16"/>
                <w:szCs w:val="16"/>
              </w:rPr>
              <w:t>Finalized briefing documents</w:t>
            </w:r>
          </w:p>
        </w:tc>
      </w:tr>
      <w:tr w:rsidR="00C53AA5" w:rsidRPr="00521410" w14:paraId="7FF4E149" w14:textId="77777777" w:rsidTr="0019774C">
        <w:tc>
          <w:tcPr>
            <w:tcW w:w="2268" w:type="dxa"/>
            <w:vAlign w:val="center"/>
          </w:tcPr>
          <w:p w14:paraId="69C537EC" w14:textId="1406D6F3" w:rsidR="00C53AA5" w:rsidRPr="00C53AA5" w:rsidRDefault="00C53AA5" w:rsidP="00C53AA5">
            <w:pPr>
              <w:rPr>
                <w:rFonts w:ascii="Calibri" w:hAnsi="Calibri" w:cs="Calibri"/>
                <w:sz w:val="16"/>
                <w:szCs w:val="16"/>
                <w:lang w:val="en-GB" w:eastAsia="en-GB"/>
              </w:rPr>
            </w:pPr>
            <w:r w:rsidRPr="00C53AA5">
              <w:rPr>
                <w:sz w:val="16"/>
                <w:szCs w:val="16"/>
              </w:rPr>
              <w:t>Drafting of documents for addendum/protocol submission (if agreed)</w:t>
            </w:r>
          </w:p>
        </w:tc>
        <w:tc>
          <w:tcPr>
            <w:tcW w:w="2268" w:type="dxa"/>
            <w:vAlign w:val="center"/>
          </w:tcPr>
          <w:p w14:paraId="4DFF4E12" w14:textId="6570E0EC" w:rsidR="00C53AA5" w:rsidRPr="00C53AA5" w:rsidRDefault="00C53AA5" w:rsidP="00C53AA5">
            <w:pPr>
              <w:rPr>
                <w:rFonts w:ascii="Calibri" w:hAnsi="Calibri" w:cs="Calibri"/>
                <w:sz w:val="16"/>
                <w:szCs w:val="16"/>
                <w:lang w:val="en-GB" w:eastAsia="en-GB"/>
              </w:rPr>
            </w:pPr>
            <w:r w:rsidRPr="00C53AA5">
              <w:rPr>
                <w:sz w:val="16"/>
                <w:szCs w:val="16"/>
              </w:rPr>
              <w:t>Tracks progress on the bilateral pathway</w:t>
            </w:r>
          </w:p>
        </w:tc>
        <w:tc>
          <w:tcPr>
            <w:tcW w:w="2268" w:type="dxa"/>
            <w:vAlign w:val="center"/>
          </w:tcPr>
          <w:p w14:paraId="5662F39C" w14:textId="735698A9" w:rsidR="00C53AA5" w:rsidRPr="00C53AA5" w:rsidRDefault="00C53AA5" w:rsidP="00C53AA5">
            <w:pPr>
              <w:rPr>
                <w:rFonts w:ascii="Calibri" w:hAnsi="Calibri" w:cs="Calibri"/>
                <w:sz w:val="16"/>
                <w:szCs w:val="16"/>
                <w:lang w:val="en-GB" w:eastAsia="en-GB"/>
              </w:rPr>
            </w:pPr>
            <w:r w:rsidRPr="00C53AA5">
              <w:rPr>
                <w:sz w:val="16"/>
                <w:szCs w:val="16"/>
              </w:rPr>
              <w:t xml:space="preserve">Baseline: none; </w:t>
            </w:r>
            <w:r>
              <w:rPr>
                <w:sz w:val="16"/>
                <w:szCs w:val="16"/>
              </w:rPr>
              <w:t>t</w:t>
            </w:r>
            <w:r w:rsidRPr="00C53AA5">
              <w:rPr>
                <w:sz w:val="16"/>
                <w:szCs w:val="16"/>
              </w:rPr>
              <w:t>arget: draft materials ready by Year 3</w:t>
            </w:r>
          </w:p>
        </w:tc>
        <w:tc>
          <w:tcPr>
            <w:tcW w:w="2268" w:type="dxa"/>
            <w:vAlign w:val="center"/>
          </w:tcPr>
          <w:p w14:paraId="2D28972B" w14:textId="40A81EDD" w:rsidR="00C53AA5" w:rsidRPr="00C53AA5" w:rsidRDefault="00C53AA5" w:rsidP="00C53AA5">
            <w:pPr>
              <w:rPr>
                <w:rFonts w:ascii="Calibri" w:hAnsi="Calibri" w:cs="Calibri"/>
                <w:sz w:val="16"/>
                <w:szCs w:val="16"/>
                <w:lang w:val="en-GB" w:eastAsia="en-GB"/>
              </w:rPr>
            </w:pPr>
            <w:r w:rsidRPr="00C53AA5">
              <w:rPr>
                <w:sz w:val="16"/>
                <w:szCs w:val="16"/>
              </w:rPr>
              <w:t>Completed draft</w:t>
            </w:r>
          </w:p>
        </w:tc>
      </w:tr>
      <w:tr w:rsidR="00C53AA5" w:rsidRPr="00521410" w14:paraId="3C0ADC64" w14:textId="77777777" w:rsidTr="0019774C">
        <w:tc>
          <w:tcPr>
            <w:tcW w:w="2268" w:type="dxa"/>
            <w:vAlign w:val="center"/>
          </w:tcPr>
          <w:p w14:paraId="33966891" w14:textId="728ECE6E" w:rsidR="00C53AA5" w:rsidRPr="00C53AA5" w:rsidRDefault="00C53AA5" w:rsidP="00C53AA5">
            <w:pPr>
              <w:rPr>
                <w:sz w:val="16"/>
                <w:szCs w:val="16"/>
              </w:rPr>
            </w:pPr>
            <w:r w:rsidRPr="00C53AA5">
              <w:rPr>
                <w:sz w:val="16"/>
                <w:szCs w:val="16"/>
              </w:rPr>
              <w:t xml:space="preserve">Plan for continued </w:t>
            </w:r>
            <w:r>
              <w:rPr>
                <w:sz w:val="16"/>
                <w:szCs w:val="16"/>
              </w:rPr>
              <w:t>work</w:t>
            </w:r>
            <w:r w:rsidRPr="00C53AA5">
              <w:rPr>
                <w:sz w:val="16"/>
                <w:szCs w:val="16"/>
              </w:rPr>
              <w:t xml:space="preserve"> after DIKTAS II</w:t>
            </w:r>
            <w:r>
              <w:rPr>
                <w:sz w:val="16"/>
                <w:szCs w:val="16"/>
              </w:rPr>
              <w:t xml:space="preserve"> project</w:t>
            </w:r>
          </w:p>
        </w:tc>
        <w:tc>
          <w:tcPr>
            <w:tcW w:w="2268" w:type="dxa"/>
            <w:vAlign w:val="center"/>
          </w:tcPr>
          <w:p w14:paraId="2C36576C" w14:textId="09F0C706" w:rsidR="00C53AA5" w:rsidRPr="00C53AA5" w:rsidRDefault="00C53AA5" w:rsidP="00C53AA5">
            <w:pPr>
              <w:rPr>
                <w:sz w:val="16"/>
                <w:szCs w:val="16"/>
              </w:rPr>
            </w:pPr>
            <w:r w:rsidRPr="00C53AA5">
              <w:rPr>
                <w:sz w:val="16"/>
                <w:szCs w:val="16"/>
              </w:rPr>
              <w:t>Supports transition toward longer</w:t>
            </w:r>
            <w:r w:rsidRPr="00C53AA5">
              <w:rPr>
                <w:sz w:val="16"/>
                <w:szCs w:val="16"/>
              </w:rPr>
              <w:noBreakHyphen/>
              <w:t>term collaboration</w:t>
            </w:r>
          </w:p>
        </w:tc>
        <w:tc>
          <w:tcPr>
            <w:tcW w:w="2268" w:type="dxa"/>
            <w:vAlign w:val="center"/>
          </w:tcPr>
          <w:p w14:paraId="3BC48E6B" w14:textId="6727A9D9" w:rsidR="00C53AA5" w:rsidRPr="00C53AA5" w:rsidRDefault="00C53AA5" w:rsidP="00C53AA5">
            <w:pPr>
              <w:rPr>
                <w:sz w:val="16"/>
                <w:szCs w:val="16"/>
              </w:rPr>
            </w:pPr>
            <w:r w:rsidRPr="00C53AA5">
              <w:rPr>
                <w:sz w:val="16"/>
                <w:szCs w:val="16"/>
              </w:rPr>
              <w:t xml:space="preserve">Baseline: none; </w:t>
            </w:r>
            <w:r>
              <w:rPr>
                <w:sz w:val="16"/>
                <w:szCs w:val="16"/>
              </w:rPr>
              <w:t>t</w:t>
            </w:r>
            <w:r w:rsidRPr="00C53AA5">
              <w:rPr>
                <w:sz w:val="16"/>
                <w:szCs w:val="16"/>
              </w:rPr>
              <w:t>arget: plan prepared in Year 3</w:t>
            </w:r>
          </w:p>
        </w:tc>
        <w:tc>
          <w:tcPr>
            <w:tcW w:w="2268" w:type="dxa"/>
            <w:vAlign w:val="center"/>
          </w:tcPr>
          <w:p w14:paraId="7E9883F2" w14:textId="004D757B" w:rsidR="00C53AA5" w:rsidRPr="00C53AA5" w:rsidRDefault="00C53AA5" w:rsidP="00C53AA5">
            <w:pPr>
              <w:rPr>
                <w:sz w:val="16"/>
                <w:szCs w:val="16"/>
              </w:rPr>
            </w:pPr>
            <w:r w:rsidRPr="00C53AA5">
              <w:rPr>
                <w:sz w:val="16"/>
                <w:szCs w:val="16"/>
              </w:rPr>
              <w:t>Final plan</w:t>
            </w:r>
          </w:p>
        </w:tc>
      </w:tr>
    </w:tbl>
    <w:p w14:paraId="0807E1B7" w14:textId="77777777" w:rsidR="005A4488" w:rsidRDefault="005A4488" w:rsidP="00E74B48">
      <w:pPr>
        <w:jc w:val="both"/>
        <w:outlineLvl w:val="2"/>
        <w:rPr>
          <w:rFonts w:eastAsia="Times New Roman" w:cstheme="minorHAnsi"/>
          <w:lang w:val="en-GB" w:eastAsia="hr-HR"/>
        </w:rPr>
      </w:pPr>
    </w:p>
    <w:p w14:paraId="187CFDD4" w14:textId="16920BB9" w:rsidR="00E74B48" w:rsidRPr="00B26173" w:rsidRDefault="00E74B48" w:rsidP="00C53AA5">
      <w:pPr>
        <w:pStyle w:val="Heading2"/>
        <w:rPr>
          <w:rFonts w:eastAsia="Times New Roman"/>
          <w:lang w:val="en-GB" w:eastAsia="hr-HR"/>
        </w:rPr>
      </w:pPr>
      <w:bookmarkStart w:id="51" w:name="_Toc225418459"/>
      <w:r w:rsidRPr="00B26173">
        <w:rPr>
          <w:rFonts w:eastAsia="Times New Roman"/>
          <w:lang w:val="en-GB" w:eastAsia="hr-HR"/>
        </w:rPr>
        <w:t>10.</w:t>
      </w:r>
      <w:r w:rsidR="00C53AA5" w:rsidRPr="00B26173">
        <w:rPr>
          <w:rFonts w:eastAsia="Times New Roman"/>
          <w:lang w:val="en-GB" w:eastAsia="hr-HR"/>
        </w:rPr>
        <w:t>3</w:t>
      </w:r>
      <w:r w:rsidRPr="00B26173">
        <w:rPr>
          <w:rFonts w:eastAsia="Times New Roman"/>
          <w:lang w:val="en-GB" w:eastAsia="hr-HR"/>
        </w:rPr>
        <w:t xml:space="preserve"> Use of indicators in project management</w:t>
      </w:r>
      <w:bookmarkEnd w:id="51"/>
    </w:p>
    <w:p w14:paraId="737B3601" w14:textId="77777777" w:rsidR="006751F4" w:rsidRPr="006751F4" w:rsidRDefault="006751F4" w:rsidP="006751F4">
      <w:pPr>
        <w:jc w:val="both"/>
        <w:rPr>
          <w:rFonts w:eastAsia="Times New Roman" w:cstheme="minorHAnsi"/>
          <w:lang w:val="en-US" w:eastAsia="hr-HR"/>
        </w:rPr>
      </w:pPr>
      <w:r w:rsidRPr="006751F4">
        <w:rPr>
          <w:rFonts w:eastAsia="Times New Roman" w:cstheme="minorHAnsi"/>
          <w:lang w:val="en-US" w:eastAsia="hr-HR"/>
        </w:rPr>
        <w:t>The indicator set is intended to support practical decision-making throughout the project. It can help identify where coordination needs to be strengthened, where technical work is progressing as expected, and where additional effort may be required, particularly in relation to legal-technical preparation.</w:t>
      </w:r>
    </w:p>
    <w:p w14:paraId="58D3B415" w14:textId="77777777" w:rsidR="006751F4" w:rsidRPr="006751F4" w:rsidRDefault="006751F4" w:rsidP="006751F4">
      <w:pPr>
        <w:jc w:val="both"/>
        <w:rPr>
          <w:rFonts w:eastAsia="Times New Roman" w:cstheme="minorHAnsi"/>
          <w:lang w:val="en-US" w:eastAsia="hr-HR"/>
        </w:rPr>
      </w:pPr>
      <w:r w:rsidRPr="006751F4">
        <w:rPr>
          <w:rFonts w:eastAsia="Times New Roman" w:cstheme="minorHAnsi"/>
          <w:lang w:val="en-US" w:eastAsia="hr-HR"/>
        </w:rPr>
        <w:t>The indicators also contribute to transparency. They allow both Montenegro and Albania to follow how agreed project activities are translated into concrete outputs, field work and operational practices. This is particularly relevant in a transboundary setting, where shared understanding of progress is important.</w:t>
      </w:r>
    </w:p>
    <w:p w14:paraId="4CB05CE0" w14:textId="77777777" w:rsidR="006751F4" w:rsidRPr="006751F4" w:rsidRDefault="006751F4" w:rsidP="006751F4">
      <w:pPr>
        <w:jc w:val="both"/>
        <w:rPr>
          <w:rFonts w:eastAsia="Times New Roman" w:cstheme="minorHAnsi"/>
          <w:lang w:val="en-US" w:eastAsia="hr-HR"/>
        </w:rPr>
      </w:pPr>
      <w:r w:rsidRPr="006751F4">
        <w:rPr>
          <w:rFonts w:eastAsia="Times New Roman" w:cstheme="minorHAnsi"/>
          <w:lang w:val="en-US" w:eastAsia="hr-HR"/>
        </w:rPr>
        <w:t xml:space="preserve">Because the indicators are closely linked to pilot activities in the </w:t>
      </w:r>
      <w:proofErr w:type="spellStart"/>
      <w:r w:rsidRPr="006751F4">
        <w:rPr>
          <w:rFonts w:eastAsia="Times New Roman" w:cstheme="minorHAnsi"/>
          <w:lang w:val="en-US" w:eastAsia="hr-HR"/>
        </w:rPr>
        <w:t>Cemi</w:t>
      </w:r>
      <w:proofErr w:type="spellEnd"/>
      <w:r w:rsidRPr="006751F4">
        <w:rPr>
          <w:rFonts w:eastAsia="Times New Roman" w:cstheme="minorHAnsi"/>
          <w:lang w:val="en-US" w:eastAsia="hr-HR"/>
        </w:rPr>
        <w:t>/</w:t>
      </w:r>
      <w:proofErr w:type="spellStart"/>
      <w:r w:rsidRPr="006751F4">
        <w:rPr>
          <w:rFonts w:eastAsia="Times New Roman" w:cstheme="minorHAnsi"/>
          <w:lang w:val="en-US" w:eastAsia="hr-HR"/>
        </w:rPr>
        <w:t>Cijevna</w:t>
      </w:r>
      <w:proofErr w:type="spellEnd"/>
      <w:r w:rsidRPr="006751F4">
        <w:rPr>
          <w:rFonts w:eastAsia="Times New Roman" w:cstheme="minorHAnsi"/>
          <w:lang w:val="en-US" w:eastAsia="hr-HR"/>
        </w:rPr>
        <w:t xml:space="preserve"> area, they also provide a basis for assessing whether joint approaches can be applied more broadly. Experience gained during the DIKTAS II project can inform future adjustments of the indicator set, including possible expansion or refinement, depending on how cooperation develops beyond the project period.</w:t>
      </w:r>
    </w:p>
    <w:p w14:paraId="0D96D52D" w14:textId="0AAC4968" w:rsidR="00115718" w:rsidRPr="00F54E67" w:rsidRDefault="00F54E67" w:rsidP="00F54E67">
      <w:pPr>
        <w:pStyle w:val="Heading1"/>
        <w:rPr>
          <w:lang w:val="en-GB"/>
        </w:rPr>
      </w:pPr>
      <w:bookmarkStart w:id="52" w:name="_Toc225418460"/>
      <w:r w:rsidRPr="00F54E67">
        <w:rPr>
          <w:lang w:val="en-GB"/>
        </w:rPr>
        <w:t>11</w:t>
      </w:r>
      <w:r w:rsidR="00115718" w:rsidRPr="00F54E67">
        <w:rPr>
          <w:lang w:val="en-GB"/>
        </w:rPr>
        <w:t xml:space="preserve"> </w:t>
      </w:r>
      <w:bookmarkStart w:id="53" w:name="_Hlk218683887"/>
      <w:r w:rsidR="00115718" w:rsidRPr="00F54E67">
        <w:rPr>
          <w:lang w:val="en-GB"/>
        </w:rPr>
        <w:t>References</w:t>
      </w:r>
      <w:bookmarkEnd w:id="9"/>
      <w:bookmarkEnd w:id="52"/>
      <w:r w:rsidR="00115718" w:rsidRPr="00F54E67">
        <w:rPr>
          <w:lang w:val="en-GB"/>
        </w:rPr>
        <w:t xml:space="preserve"> </w:t>
      </w:r>
      <w:bookmarkEnd w:id="53"/>
    </w:p>
    <w:p w14:paraId="70FD323D" w14:textId="12DA33E9" w:rsidR="002E11BE" w:rsidRPr="00EC3F16" w:rsidRDefault="00F54E67" w:rsidP="00F54E67">
      <w:pPr>
        <w:pStyle w:val="Heading2"/>
        <w:rPr>
          <w:rFonts w:eastAsia="Calibri"/>
          <w:lang w:val="en-GB"/>
        </w:rPr>
      </w:pPr>
      <w:bookmarkStart w:id="54" w:name="_Toc225418461"/>
      <w:bookmarkStart w:id="55" w:name="_Hlk218509080"/>
      <w:r w:rsidRPr="00EC3F16">
        <w:rPr>
          <w:rFonts w:eastAsia="Calibri"/>
          <w:lang w:val="en-GB"/>
        </w:rPr>
        <w:t>11.1</w:t>
      </w:r>
      <w:r w:rsidR="002E11BE" w:rsidRPr="00EC3F16">
        <w:rPr>
          <w:rFonts w:eastAsia="Calibri"/>
          <w:lang w:val="en-GB"/>
        </w:rPr>
        <w:t xml:space="preserve"> Policy, </w:t>
      </w:r>
      <w:r w:rsidR="009A49C6" w:rsidRPr="00EC3F16">
        <w:rPr>
          <w:rFonts w:eastAsia="Calibri"/>
          <w:lang w:val="en-GB"/>
        </w:rPr>
        <w:t>l</w:t>
      </w:r>
      <w:r w:rsidR="002E11BE" w:rsidRPr="00EC3F16">
        <w:rPr>
          <w:rFonts w:eastAsia="Calibri"/>
          <w:lang w:val="en-GB"/>
        </w:rPr>
        <w:t xml:space="preserve">egal and </w:t>
      </w:r>
      <w:r w:rsidR="009A49C6" w:rsidRPr="00EC3F16">
        <w:rPr>
          <w:rFonts w:eastAsia="Calibri"/>
          <w:lang w:val="en-GB"/>
        </w:rPr>
        <w:t>r</w:t>
      </w:r>
      <w:r w:rsidR="002E11BE" w:rsidRPr="00EC3F16">
        <w:rPr>
          <w:rFonts w:eastAsia="Calibri"/>
          <w:lang w:val="en-GB"/>
        </w:rPr>
        <w:t xml:space="preserve">egulatory </w:t>
      </w:r>
      <w:r w:rsidR="009A49C6" w:rsidRPr="00EC3F16">
        <w:rPr>
          <w:rFonts w:eastAsia="Calibri"/>
          <w:lang w:val="en-GB"/>
        </w:rPr>
        <w:t>f</w:t>
      </w:r>
      <w:r w:rsidR="002E11BE" w:rsidRPr="00EC3F16">
        <w:rPr>
          <w:rFonts w:eastAsia="Calibri"/>
          <w:lang w:val="en-GB"/>
        </w:rPr>
        <w:t xml:space="preserve">ramework in </w:t>
      </w:r>
      <w:bookmarkEnd w:id="54"/>
      <w:r w:rsidR="007E6B42">
        <w:rPr>
          <w:rFonts w:eastAsia="Calibri"/>
          <w:lang w:val="en-GB"/>
        </w:rPr>
        <w:t>Montenegro</w:t>
      </w:r>
    </w:p>
    <w:bookmarkEnd w:id="55"/>
    <w:p w14:paraId="5BF6DCEA"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Water Law, Official Gazette of the Republic of Montenegro No. 27/07; Official Gazette of Montenegro Nos. 73/10, 32/11, 47/11, 48/15, 52/16, 55/16, 2/17, 80/17, 84/18, 84/24.</w:t>
      </w:r>
    </w:p>
    <w:p w14:paraId="2885DB92"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Law on Geological Research, Official Gazette of the Republic of Montenegro Nos. 28/93, 27/94, 42/94, 26/07; Official Gazette of Montenegro Nos. 73/10, 28/11.</w:t>
      </w:r>
    </w:p>
    <w:p w14:paraId="32452C5C"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Environmental Protection Law, Official Gazette of Montenegro Nos. 52/16, 59/18, 10/23.</w:t>
      </w:r>
    </w:p>
    <w:p w14:paraId="22C3815E"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Nature Protection Law, Official Gazette of Montenegro Nos. 54/16, 18/19, 84/24.</w:t>
      </w:r>
    </w:p>
    <w:p w14:paraId="4146B29D"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lastRenderedPageBreak/>
        <w:t>Law on Financing Water Management, Official Gazette of Montenegro Nos. 65/08, 74/10, 40/11, 82/20.</w:t>
      </w:r>
    </w:p>
    <w:p w14:paraId="503F051B"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Law on Environmental Liability, Official Gazette of Montenegro Nos. 27/14, 55/16.</w:t>
      </w:r>
    </w:p>
    <w:p w14:paraId="1CB3AF02"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Law on Agricultural Land, Official Gazette of the Republic of Montenegro Nos. 15/92, 59/92; Official Gazette of Montenegro No. 32/11.</w:t>
      </w:r>
    </w:p>
    <w:p w14:paraId="344D9D2B"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Law on Spatial Planning, Official Gazette of Montenegro No. 19/25.</w:t>
      </w:r>
    </w:p>
    <w:p w14:paraId="2093525D"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Law on Construction, Official Gazette of Montenegro No. 19/25.</w:t>
      </w:r>
    </w:p>
    <w:p w14:paraId="4ECB8829"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Rulebook on the Determination and Maintenance of Sanitary Protection Zones and Belts of Water Supply Sources and Restrictions within These Zones, Official Gazette of Montenegro Nos. 66/09, 13/24.</w:t>
      </w:r>
    </w:p>
    <w:p w14:paraId="71336695"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Rulebook on Method and Deadlines for Groundwater Status Determination, Official Gazette of Montenegro No. 52/19.</w:t>
      </w:r>
    </w:p>
    <w:p w14:paraId="5BF34C3A"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Rulebook on Method and Deadlines for Determining Surface Water Status, Official Gazette of Montenegro No. 25/19.</w:t>
      </w:r>
    </w:p>
    <w:p w14:paraId="1FC02EB4"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Rulebook on Water Quality Monitoring, Official Gazette of Montenegro Nos. 64/18, 101/21.</w:t>
      </w:r>
    </w:p>
    <w:p w14:paraId="2ACC7CDE"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Rulebook on the Quality and Sanitary-Technical Conditions for Wastewater Discharge, the Method and Procedure for Testing Wastewater Quality, and the Content of Reports on Determined Wastewater Quality, Official Gazette of Montenegro No. 56/19.</w:t>
      </w:r>
    </w:p>
    <w:p w14:paraId="01DF2373"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Rulebook on Permissible Quantities of Hazardous and Harmful Substances in Soil and Methods for Their Testing, Official Gazette of the Republic of Montenegro No. 18/97.</w:t>
      </w:r>
    </w:p>
    <w:p w14:paraId="685F9B3D"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Water Management Strategy of Montenegro, Podgorica, 2017.</w:t>
      </w:r>
    </w:p>
    <w:p w14:paraId="36D3504D"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Water Management Plan for the Adriatic River Basin District, Government of Montenegro, 2021.</w:t>
      </w:r>
    </w:p>
    <w:p w14:paraId="63BC5BFC"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Water Management Plan for the Danube River Basin District, Government of Montenegro, 2021.</w:t>
      </w:r>
    </w:p>
    <w:p w14:paraId="4C21AD5C"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Flood Risk Management Plan for the Adriatic River Basin, 2025.</w:t>
      </w:r>
    </w:p>
    <w:p w14:paraId="430481F5"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Flood Risk Management Plan for the Danube River Basin, 2025.</w:t>
      </w:r>
    </w:p>
    <w:p w14:paraId="1EFA5E2F"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National Wastewater Management Plan of Montenegro (2020–2035), Podgorica, 2020.</w:t>
      </w:r>
    </w:p>
    <w:p w14:paraId="05FC042C"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National Waste Management Plan 2024–2028, Podgorica, 2024.</w:t>
      </w:r>
    </w:p>
    <w:p w14:paraId="3038D052" w14:textId="77777777" w:rsidR="007E6B42" w:rsidRP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Municipality of Tuzi, Local Environmental Action Plan 2024–2027, Tuzi, 2023.</w:t>
      </w:r>
    </w:p>
    <w:p w14:paraId="6F11E73D" w14:textId="268D0646" w:rsidR="007E6B42" w:rsidRDefault="007E6B42" w:rsidP="007E6B42">
      <w:pPr>
        <w:pStyle w:val="ListParagraph"/>
        <w:numPr>
          <w:ilvl w:val="0"/>
          <w:numId w:val="14"/>
        </w:numPr>
        <w:jc w:val="both"/>
        <w:rPr>
          <w:rFonts w:ascii="Calibri" w:eastAsia="Times New Roman" w:hAnsi="Calibri" w:cs="Calibri"/>
          <w:lang w:val="en-GB" w:eastAsia="hr-HR"/>
        </w:rPr>
      </w:pPr>
      <w:r w:rsidRPr="007E6B42">
        <w:rPr>
          <w:rFonts w:ascii="Calibri" w:eastAsia="Times New Roman" w:hAnsi="Calibri" w:cs="Calibri"/>
          <w:lang w:val="en-GB" w:eastAsia="hr-HR"/>
        </w:rPr>
        <w:t>Municipality of Zeta, Local Environmental Protection Plan 2024–2028, Official Gazette of Montenegro – Municipal Regulations 28/2025.</w:t>
      </w:r>
    </w:p>
    <w:p w14:paraId="21A347A3" w14:textId="77777777" w:rsidR="002E11BE" w:rsidRPr="002E11BE" w:rsidRDefault="002E11BE" w:rsidP="002E11BE">
      <w:pPr>
        <w:spacing w:line="256" w:lineRule="auto"/>
        <w:rPr>
          <w:rFonts w:ascii="Calibri" w:eastAsia="Calibri" w:hAnsi="Calibri" w:cs="Calibri"/>
          <w:b/>
          <w:bCs/>
          <w:color w:val="0070C0"/>
          <w:sz w:val="24"/>
          <w:szCs w:val="24"/>
          <w:lang w:val="en-GB"/>
        </w:rPr>
      </w:pPr>
    </w:p>
    <w:p w14:paraId="0FFFF80F" w14:textId="431335D2" w:rsidR="002E11BE" w:rsidRDefault="00F54E67" w:rsidP="00F54E67">
      <w:pPr>
        <w:pStyle w:val="Heading2"/>
        <w:rPr>
          <w:rFonts w:eastAsia="Calibri"/>
          <w:lang w:val="en-GB"/>
        </w:rPr>
      </w:pPr>
      <w:bookmarkStart w:id="56" w:name="_Toc225418462"/>
      <w:bookmarkStart w:id="57" w:name="_Hlk218509722"/>
      <w:r w:rsidRPr="00EC3F16">
        <w:rPr>
          <w:rFonts w:eastAsia="Calibri"/>
          <w:lang w:val="en-GB"/>
        </w:rPr>
        <w:t>11.2</w:t>
      </w:r>
      <w:r w:rsidR="002E11BE" w:rsidRPr="00EC3F16">
        <w:rPr>
          <w:rFonts w:eastAsia="Calibri"/>
          <w:lang w:val="en-GB"/>
        </w:rPr>
        <w:t xml:space="preserve"> Policy, </w:t>
      </w:r>
      <w:r w:rsidR="009A49C6" w:rsidRPr="00EC3F16">
        <w:rPr>
          <w:rFonts w:eastAsia="Calibri"/>
          <w:lang w:val="en-GB"/>
        </w:rPr>
        <w:t>l</w:t>
      </w:r>
      <w:r w:rsidR="002E11BE" w:rsidRPr="00EC3F16">
        <w:rPr>
          <w:rFonts w:eastAsia="Calibri"/>
          <w:lang w:val="en-GB"/>
        </w:rPr>
        <w:t xml:space="preserve">egal and </w:t>
      </w:r>
      <w:r w:rsidR="009A49C6" w:rsidRPr="00EC3F16">
        <w:rPr>
          <w:rFonts w:eastAsia="Calibri"/>
          <w:lang w:val="en-GB"/>
        </w:rPr>
        <w:t>r</w:t>
      </w:r>
      <w:r w:rsidR="002E11BE" w:rsidRPr="00EC3F16">
        <w:rPr>
          <w:rFonts w:eastAsia="Calibri"/>
          <w:lang w:val="en-GB"/>
        </w:rPr>
        <w:t xml:space="preserve">egulatory </w:t>
      </w:r>
      <w:r w:rsidR="009A49C6" w:rsidRPr="00EC3F16">
        <w:rPr>
          <w:rFonts w:eastAsia="Calibri"/>
          <w:lang w:val="en-GB"/>
        </w:rPr>
        <w:t>f</w:t>
      </w:r>
      <w:r w:rsidR="002E11BE" w:rsidRPr="00EC3F16">
        <w:rPr>
          <w:rFonts w:eastAsia="Calibri"/>
          <w:lang w:val="en-GB"/>
        </w:rPr>
        <w:t xml:space="preserve">ramework in </w:t>
      </w:r>
      <w:bookmarkEnd w:id="56"/>
      <w:r w:rsidR="007E6B42">
        <w:rPr>
          <w:rFonts w:eastAsia="Calibri"/>
          <w:lang w:val="en-GB"/>
        </w:rPr>
        <w:t>Albania</w:t>
      </w:r>
    </w:p>
    <w:p w14:paraId="00836D42" w14:textId="77777777" w:rsidR="007E6B42" w:rsidRPr="007E6B42" w:rsidRDefault="007E6B42" w:rsidP="007E6B42">
      <w:pPr>
        <w:pStyle w:val="ListParagraph"/>
        <w:numPr>
          <w:ilvl w:val="0"/>
          <w:numId w:val="15"/>
        </w:numPr>
        <w:rPr>
          <w:lang w:val="en-GB"/>
        </w:rPr>
      </w:pPr>
      <w:r w:rsidRPr="007E6B42">
        <w:rPr>
          <w:lang w:val="en-GB"/>
        </w:rPr>
        <w:t>Law No. 29/2024 “On Water Resources”.</w:t>
      </w:r>
    </w:p>
    <w:p w14:paraId="4D033433" w14:textId="77777777" w:rsidR="007E6B42" w:rsidRPr="007E6B42" w:rsidRDefault="007E6B42" w:rsidP="007E6B42">
      <w:pPr>
        <w:pStyle w:val="ListParagraph"/>
        <w:numPr>
          <w:ilvl w:val="0"/>
          <w:numId w:val="15"/>
        </w:numPr>
        <w:rPr>
          <w:lang w:val="en-GB"/>
        </w:rPr>
      </w:pPr>
      <w:r w:rsidRPr="007E6B42">
        <w:rPr>
          <w:lang w:val="en-GB"/>
        </w:rPr>
        <w:t>Law No. 10431/2011 “On Environmental Protection”.</w:t>
      </w:r>
    </w:p>
    <w:p w14:paraId="0EF65D5A" w14:textId="77777777" w:rsidR="007E6B42" w:rsidRPr="007E6B42" w:rsidRDefault="007E6B42" w:rsidP="007E6B42">
      <w:pPr>
        <w:pStyle w:val="ListParagraph"/>
        <w:numPr>
          <w:ilvl w:val="0"/>
          <w:numId w:val="15"/>
        </w:numPr>
        <w:rPr>
          <w:lang w:val="en-GB"/>
        </w:rPr>
      </w:pPr>
      <w:r w:rsidRPr="007E6B42">
        <w:rPr>
          <w:lang w:val="en-GB"/>
        </w:rPr>
        <w:t>Law No. 9115/2003 “On the Environmental Treatment of Polluted Waters”.</w:t>
      </w:r>
    </w:p>
    <w:p w14:paraId="1C67F5F4" w14:textId="77777777" w:rsidR="007E6B42" w:rsidRPr="007E6B42" w:rsidRDefault="007E6B42" w:rsidP="007E6B42">
      <w:pPr>
        <w:pStyle w:val="ListParagraph"/>
        <w:numPr>
          <w:ilvl w:val="0"/>
          <w:numId w:val="15"/>
        </w:numPr>
        <w:rPr>
          <w:lang w:val="en-GB"/>
        </w:rPr>
      </w:pPr>
      <w:r w:rsidRPr="007E6B42">
        <w:rPr>
          <w:lang w:val="en-GB"/>
        </w:rPr>
        <w:t>Law No. 9244/2004 “On Agricultural Land Protection”.</w:t>
      </w:r>
    </w:p>
    <w:p w14:paraId="5B534437" w14:textId="77777777" w:rsidR="007E6B42" w:rsidRPr="007E6B42" w:rsidRDefault="007E6B42" w:rsidP="007E6B42">
      <w:pPr>
        <w:pStyle w:val="ListParagraph"/>
        <w:numPr>
          <w:ilvl w:val="0"/>
          <w:numId w:val="15"/>
        </w:numPr>
        <w:rPr>
          <w:lang w:val="en-GB"/>
        </w:rPr>
      </w:pPr>
      <w:r w:rsidRPr="007E6B42">
        <w:rPr>
          <w:lang w:val="en-GB"/>
        </w:rPr>
        <w:t>Decision of the Council of Ministers No. 379/2016 on Drinking Water Quality.</w:t>
      </w:r>
    </w:p>
    <w:p w14:paraId="246CE320" w14:textId="77777777" w:rsidR="007E6B42" w:rsidRPr="007E6B42" w:rsidRDefault="007E6B42" w:rsidP="007E6B42">
      <w:pPr>
        <w:pStyle w:val="ListParagraph"/>
        <w:numPr>
          <w:ilvl w:val="0"/>
          <w:numId w:val="15"/>
        </w:numPr>
        <w:rPr>
          <w:lang w:val="en-GB"/>
        </w:rPr>
      </w:pPr>
      <w:r w:rsidRPr="007E6B42">
        <w:rPr>
          <w:lang w:val="en-GB"/>
        </w:rPr>
        <w:t>Regulation No. 177 on the Discharge of Liquid Wastes and Criteria for Zoning Water Environments.</w:t>
      </w:r>
    </w:p>
    <w:p w14:paraId="005200BF" w14:textId="77777777" w:rsidR="007E6B42" w:rsidRPr="007E6B42" w:rsidRDefault="007E6B42" w:rsidP="007E6B42">
      <w:pPr>
        <w:pStyle w:val="ListParagraph"/>
        <w:numPr>
          <w:ilvl w:val="0"/>
          <w:numId w:val="15"/>
        </w:numPr>
        <w:rPr>
          <w:lang w:val="en-GB"/>
        </w:rPr>
      </w:pPr>
      <w:r w:rsidRPr="007E6B42">
        <w:rPr>
          <w:lang w:val="en-GB"/>
        </w:rPr>
        <w:t>Decision of the Council of Ministers No. 1015/2020 on national water strategies and river basin planning.</w:t>
      </w:r>
    </w:p>
    <w:p w14:paraId="64F342C0" w14:textId="77777777" w:rsidR="007E6B42" w:rsidRPr="007E6B42" w:rsidRDefault="007E6B42" w:rsidP="007E6B42">
      <w:pPr>
        <w:pStyle w:val="ListParagraph"/>
        <w:numPr>
          <w:ilvl w:val="0"/>
          <w:numId w:val="15"/>
        </w:numPr>
        <w:rPr>
          <w:lang w:val="en-GB"/>
        </w:rPr>
      </w:pPr>
      <w:r w:rsidRPr="007E6B42">
        <w:rPr>
          <w:lang w:val="en-GB"/>
        </w:rPr>
        <w:t>Decision of the Council of Ministers No. 319/2025 on procedures and permits for water resource use.</w:t>
      </w:r>
    </w:p>
    <w:p w14:paraId="6354B5C3" w14:textId="77777777" w:rsidR="007E6B42" w:rsidRPr="007E6B42" w:rsidRDefault="007E6B42" w:rsidP="007E6B42">
      <w:pPr>
        <w:pStyle w:val="ListParagraph"/>
        <w:numPr>
          <w:ilvl w:val="0"/>
          <w:numId w:val="15"/>
        </w:numPr>
        <w:rPr>
          <w:lang w:val="en-GB"/>
        </w:rPr>
      </w:pPr>
      <w:r w:rsidRPr="007E6B42">
        <w:rPr>
          <w:lang w:val="en-GB"/>
        </w:rPr>
        <w:lastRenderedPageBreak/>
        <w:t>Other relevant Decisions of the Council of Ministers (including Nos. 635/2001, 490/2011, 102/2015, 568/2019).</w:t>
      </w:r>
    </w:p>
    <w:p w14:paraId="43CDE549" w14:textId="77777777" w:rsidR="007E6B42" w:rsidRPr="007E6B42" w:rsidRDefault="007E6B42" w:rsidP="007E6B42">
      <w:pPr>
        <w:pStyle w:val="ListParagraph"/>
        <w:numPr>
          <w:ilvl w:val="0"/>
          <w:numId w:val="15"/>
        </w:numPr>
        <w:rPr>
          <w:lang w:val="en-GB"/>
        </w:rPr>
      </w:pPr>
      <w:r w:rsidRPr="007E6B42">
        <w:rPr>
          <w:lang w:val="en-GB"/>
        </w:rPr>
        <w:t>Water Resources Management Plan, Albania, Tirana, 2022.</w:t>
      </w:r>
    </w:p>
    <w:p w14:paraId="4CE20D7E" w14:textId="77777777" w:rsidR="007E6B42" w:rsidRPr="007E6B42" w:rsidRDefault="007E6B42" w:rsidP="007E6B42">
      <w:pPr>
        <w:pStyle w:val="ListParagraph"/>
        <w:numPr>
          <w:ilvl w:val="0"/>
          <w:numId w:val="15"/>
        </w:numPr>
        <w:rPr>
          <w:lang w:val="en-GB"/>
        </w:rPr>
      </w:pPr>
      <w:r w:rsidRPr="007E6B42">
        <w:rPr>
          <w:lang w:val="en-GB"/>
        </w:rPr>
        <w:t>Ministry of Tourism and Environment, Annual Report on Environmental Protection, Tirana, 2021.</w:t>
      </w:r>
    </w:p>
    <w:p w14:paraId="172C6ACD" w14:textId="77777777" w:rsidR="007E6B42" w:rsidRPr="007E6B42" w:rsidRDefault="007E6B42" w:rsidP="007E6B42">
      <w:pPr>
        <w:pStyle w:val="ListParagraph"/>
        <w:numPr>
          <w:ilvl w:val="0"/>
          <w:numId w:val="15"/>
        </w:numPr>
        <w:rPr>
          <w:lang w:val="en-GB"/>
        </w:rPr>
      </w:pPr>
      <w:r w:rsidRPr="007E6B42">
        <w:rPr>
          <w:lang w:val="en-GB"/>
        </w:rPr>
        <w:t>Ministry of Agriculture and Rural Development, Agricultural Water Use and Irrigation in Northern Albania, Tirana, 2023.</w:t>
      </w:r>
    </w:p>
    <w:p w14:paraId="1E09EDA7" w14:textId="77777777" w:rsidR="007E6B42" w:rsidRPr="007E6B42" w:rsidRDefault="007E6B42" w:rsidP="007E6B42">
      <w:pPr>
        <w:pStyle w:val="ListParagraph"/>
        <w:numPr>
          <w:ilvl w:val="0"/>
          <w:numId w:val="15"/>
        </w:numPr>
        <w:rPr>
          <w:lang w:val="en-GB"/>
        </w:rPr>
      </w:pPr>
      <w:r w:rsidRPr="007E6B42">
        <w:rPr>
          <w:lang w:val="en-GB"/>
        </w:rPr>
        <w:t>INSTAT, Environmental Statistics of Albania, Tirana, 2023.</w:t>
      </w:r>
    </w:p>
    <w:p w14:paraId="29454D3D" w14:textId="7DEED577" w:rsidR="007E6B42" w:rsidRDefault="007E6B42" w:rsidP="007E6B42">
      <w:pPr>
        <w:pStyle w:val="ListParagraph"/>
        <w:numPr>
          <w:ilvl w:val="0"/>
          <w:numId w:val="15"/>
        </w:numPr>
        <w:rPr>
          <w:lang w:val="en-GB"/>
        </w:rPr>
      </w:pPr>
      <w:r w:rsidRPr="007E6B42">
        <w:rPr>
          <w:lang w:val="en-GB"/>
        </w:rPr>
        <w:t>INSTAT, Sustainable Development Goals Indicator 6.3.1 – Wastewater Treatment, Tirana, 2023.</w:t>
      </w:r>
    </w:p>
    <w:p w14:paraId="66C2BD2D" w14:textId="4FAB8A3C" w:rsidR="002E11BE" w:rsidRDefault="009A49C6" w:rsidP="009A49C6">
      <w:pPr>
        <w:pStyle w:val="Heading2"/>
        <w:rPr>
          <w:rFonts w:eastAsia="Calibri"/>
          <w:lang w:val="en-GB"/>
        </w:rPr>
      </w:pPr>
      <w:bookmarkStart w:id="58" w:name="_Toc225418465"/>
      <w:bookmarkEnd w:id="57"/>
      <w:r w:rsidRPr="009A49C6">
        <w:rPr>
          <w:rFonts w:eastAsia="Calibri"/>
          <w:lang w:val="en-GB"/>
        </w:rPr>
        <w:t>11.3</w:t>
      </w:r>
      <w:r w:rsidR="002E11BE" w:rsidRPr="009A49C6">
        <w:rPr>
          <w:rFonts w:eastAsia="Calibri"/>
          <w:lang w:val="en-GB"/>
        </w:rPr>
        <w:t xml:space="preserve">. International </w:t>
      </w:r>
      <w:r w:rsidRPr="009A49C6">
        <w:rPr>
          <w:rFonts w:eastAsia="Calibri"/>
          <w:lang w:val="en-GB"/>
        </w:rPr>
        <w:t>l</w:t>
      </w:r>
      <w:r w:rsidR="002E11BE" w:rsidRPr="009A49C6">
        <w:rPr>
          <w:rFonts w:eastAsia="Calibri"/>
          <w:lang w:val="en-GB"/>
        </w:rPr>
        <w:t xml:space="preserve">aws, </w:t>
      </w:r>
      <w:r w:rsidRPr="009A49C6">
        <w:rPr>
          <w:rFonts w:eastAsia="Calibri"/>
          <w:lang w:val="en-GB"/>
        </w:rPr>
        <w:t>c</w:t>
      </w:r>
      <w:r w:rsidR="002E11BE" w:rsidRPr="009A49C6">
        <w:rPr>
          <w:rFonts w:eastAsia="Calibri"/>
          <w:lang w:val="en-GB"/>
        </w:rPr>
        <w:t xml:space="preserve">ontracts and </w:t>
      </w:r>
      <w:r w:rsidRPr="009A49C6">
        <w:rPr>
          <w:rFonts w:eastAsia="Calibri"/>
          <w:lang w:val="en-GB"/>
        </w:rPr>
        <w:t>a</w:t>
      </w:r>
      <w:r w:rsidR="002E11BE" w:rsidRPr="009A49C6">
        <w:rPr>
          <w:rFonts w:eastAsia="Calibri"/>
          <w:lang w:val="en-GB"/>
        </w:rPr>
        <w:t>greements, EU directives</w:t>
      </w:r>
      <w:r w:rsidR="00011CA4" w:rsidRPr="009A49C6">
        <w:rPr>
          <w:rFonts w:eastAsia="Calibri"/>
          <w:lang w:val="en-GB"/>
        </w:rPr>
        <w:t xml:space="preserve">, </w:t>
      </w:r>
      <w:r w:rsidR="00EC3F16">
        <w:rPr>
          <w:rFonts w:eastAsia="Calibri"/>
          <w:lang w:val="en-GB"/>
        </w:rPr>
        <w:t>technical sources</w:t>
      </w:r>
      <w:bookmarkEnd w:id="58"/>
    </w:p>
    <w:p w14:paraId="73FD1FDF" w14:textId="554D814B" w:rsidR="00EC3F16" w:rsidRDefault="00EC3F16" w:rsidP="00EC3F16">
      <w:pPr>
        <w:pStyle w:val="Heading3"/>
      </w:pPr>
      <w:bookmarkStart w:id="59" w:name="_Toc225418466"/>
      <w:r>
        <w:t xml:space="preserve">11.3.1 </w:t>
      </w:r>
      <w:r w:rsidRPr="00EC3F16">
        <w:t>EU Directives</w:t>
      </w:r>
      <w:bookmarkEnd w:id="59"/>
    </w:p>
    <w:p w14:paraId="4461A9EA" w14:textId="77777777" w:rsidR="00EC3F16" w:rsidRPr="00EC3F16" w:rsidRDefault="00EC3F16" w:rsidP="00303E25">
      <w:pPr>
        <w:pStyle w:val="ListParagraph"/>
        <w:numPr>
          <w:ilvl w:val="0"/>
          <w:numId w:val="17"/>
        </w:numPr>
        <w:rPr>
          <w:lang w:val="en-GB"/>
        </w:rPr>
      </w:pPr>
      <w:r w:rsidRPr="00EC3F16">
        <w:rPr>
          <w:lang w:val="en-GB"/>
        </w:rPr>
        <w:t>Drinking Water Directive (EU) 2020/2184.</w:t>
      </w:r>
    </w:p>
    <w:p w14:paraId="71C048BA" w14:textId="77777777" w:rsidR="00EC3F16" w:rsidRPr="00EC3F16" w:rsidRDefault="00EC3F16" w:rsidP="00303E25">
      <w:pPr>
        <w:pStyle w:val="ListParagraph"/>
        <w:numPr>
          <w:ilvl w:val="0"/>
          <w:numId w:val="17"/>
        </w:numPr>
        <w:rPr>
          <w:lang w:val="en-GB"/>
        </w:rPr>
      </w:pPr>
      <w:r w:rsidRPr="00EC3F16">
        <w:rPr>
          <w:lang w:val="en-GB"/>
        </w:rPr>
        <w:t>Groundwater Directive (2006/118/EC, amended by 2014/80/EU).</w:t>
      </w:r>
    </w:p>
    <w:p w14:paraId="78B2F5C9" w14:textId="77777777" w:rsidR="00EC3F16" w:rsidRPr="00EC3F16" w:rsidRDefault="00EC3F16" w:rsidP="00303E25">
      <w:pPr>
        <w:pStyle w:val="ListParagraph"/>
        <w:numPr>
          <w:ilvl w:val="0"/>
          <w:numId w:val="17"/>
        </w:numPr>
        <w:rPr>
          <w:lang w:val="en-GB"/>
        </w:rPr>
      </w:pPr>
      <w:r w:rsidRPr="00EC3F16">
        <w:rPr>
          <w:lang w:val="en-GB"/>
        </w:rPr>
        <w:t>Habitats Directive (92/43/EEC).</w:t>
      </w:r>
    </w:p>
    <w:p w14:paraId="048C27B8" w14:textId="77777777" w:rsidR="00EC3F16" w:rsidRPr="00EC3F16" w:rsidRDefault="00EC3F16" w:rsidP="00303E25">
      <w:pPr>
        <w:pStyle w:val="ListParagraph"/>
        <w:numPr>
          <w:ilvl w:val="0"/>
          <w:numId w:val="17"/>
        </w:numPr>
        <w:rPr>
          <w:lang w:val="en-GB"/>
        </w:rPr>
      </w:pPr>
      <w:r w:rsidRPr="00EC3F16">
        <w:rPr>
          <w:lang w:val="en-GB"/>
        </w:rPr>
        <w:t>Nitrates Directive (91/676/EEC).</w:t>
      </w:r>
    </w:p>
    <w:p w14:paraId="0FDC6F86" w14:textId="77777777" w:rsidR="00EC3F16" w:rsidRPr="00EC3F16" w:rsidRDefault="00EC3F16" w:rsidP="00303E25">
      <w:pPr>
        <w:pStyle w:val="ListParagraph"/>
        <w:numPr>
          <w:ilvl w:val="0"/>
          <w:numId w:val="17"/>
        </w:numPr>
        <w:rPr>
          <w:lang w:val="en-GB"/>
        </w:rPr>
      </w:pPr>
      <w:r w:rsidRPr="00EC3F16">
        <w:rPr>
          <w:lang w:val="en-GB"/>
        </w:rPr>
        <w:t>Urban Wastewater Treatment Directive (91/271/EEC).</w:t>
      </w:r>
    </w:p>
    <w:p w14:paraId="77F87A29" w14:textId="16AF2B91" w:rsidR="00EC3F16" w:rsidRPr="00EC3F16" w:rsidRDefault="00EC3F16" w:rsidP="00303E25">
      <w:pPr>
        <w:pStyle w:val="ListParagraph"/>
        <w:numPr>
          <w:ilvl w:val="0"/>
          <w:numId w:val="17"/>
        </w:numPr>
        <w:rPr>
          <w:lang w:val="en-GB"/>
        </w:rPr>
      </w:pPr>
      <w:r w:rsidRPr="00EC3F16">
        <w:rPr>
          <w:lang w:val="en-GB"/>
        </w:rPr>
        <w:t>Water Framework Directive (2000/60/EC).</w:t>
      </w:r>
    </w:p>
    <w:p w14:paraId="71485BDD" w14:textId="630E913A" w:rsidR="00EC3F16" w:rsidRDefault="00EC3F16" w:rsidP="00EC3F16">
      <w:pPr>
        <w:pStyle w:val="Heading3"/>
      </w:pPr>
      <w:bookmarkStart w:id="60" w:name="_Toc225418467"/>
      <w:r>
        <w:t xml:space="preserve">11.3.2 </w:t>
      </w:r>
      <w:r w:rsidRPr="00EC3F16">
        <w:t>International conventions and agreements</w:t>
      </w:r>
      <w:bookmarkEnd w:id="60"/>
    </w:p>
    <w:p w14:paraId="3D54A71B" w14:textId="77777777" w:rsidR="007E6B42" w:rsidRPr="007E6B42" w:rsidRDefault="007E6B42" w:rsidP="007E6B42">
      <w:pPr>
        <w:pStyle w:val="ListParagraph"/>
        <w:numPr>
          <w:ilvl w:val="0"/>
          <w:numId w:val="18"/>
        </w:numPr>
        <w:jc w:val="both"/>
        <w:rPr>
          <w:lang w:val="en-GB"/>
        </w:rPr>
      </w:pPr>
      <w:r w:rsidRPr="007E6B42">
        <w:rPr>
          <w:lang w:val="en-GB"/>
        </w:rPr>
        <w:t>Convention on the Protection and Use of Transboundary Watercourses and International Lakes (Helsinki, 1992).</w:t>
      </w:r>
    </w:p>
    <w:p w14:paraId="739B7F1D" w14:textId="77777777" w:rsidR="007E6B42" w:rsidRPr="007E6B42" w:rsidRDefault="007E6B42" w:rsidP="007E6B42">
      <w:pPr>
        <w:pStyle w:val="ListParagraph"/>
        <w:numPr>
          <w:ilvl w:val="0"/>
          <w:numId w:val="18"/>
        </w:numPr>
        <w:jc w:val="both"/>
        <w:rPr>
          <w:lang w:val="en-GB"/>
        </w:rPr>
      </w:pPr>
      <w:r w:rsidRPr="007E6B42">
        <w:rPr>
          <w:lang w:val="en-GB"/>
        </w:rPr>
        <w:t>Convention on the Law of the Non-Navigational Uses of International Watercourses (1997).</w:t>
      </w:r>
    </w:p>
    <w:p w14:paraId="2F68603D" w14:textId="77777777" w:rsidR="007E6B42" w:rsidRPr="007E6B42" w:rsidRDefault="007E6B42" w:rsidP="007E6B42">
      <w:pPr>
        <w:pStyle w:val="ListParagraph"/>
        <w:numPr>
          <w:ilvl w:val="0"/>
          <w:numId w:val="18"/>
        </w:numPr>
        <w:jc w:val="both"/>
        <w:rPr>
          <w:lang w:val="en-GB"/>
        </w:rPr>
      </w:pPr>
      <w:r w:rsidRPr="007E6B42">
        <w:rPr>
          <w:lang w:val="en-GB"/>
        </w:rPr>
        <w:t>Convention on Environmental Impact Assessment in a Transboundary Context (Espoo Convention, 1991).</w:t>
      </w:r>
    </w:p>
    <w:p w14:paraId="5240E2CB" w14:textId="77777777" w:rsidR="007E6B42" w:rsidRPr="007E6B42" w:rsidRDefault="007E6B42" w:rsidP="007E6B42">
      <w:pPr>
        <w:pStyle w:val="ListParagraph"/>
        <w:numPr>
          <w:ilvl w:val="0"/>
          <w:numId w:val="18"/>
        </w:numPr>
        <w:jc w:val="both"/>
        <w:rPr>
          <w:lang w:val="en-GB"/>
        </w:rPr>
      </w:pPr>
      <w:r w:rsidRPr="007E6B42">
        <w:rPr>
          <w:lang w:val="en-GB"/>
        </w:rPr>
        <w:t>Convention for the Protection of the Marine Environment and the Coastal Region of the Mediterranean (Barcelona Convention, 1976; revised 1995).</w:t>
      </w:r>
    </w:p>
    <w:p w14:paraId="1E496F66" w14:textId="77777777" w:rsidR="007E6B42" w:rsidRPr="007E6B42" w:rsidRDefault="007E6B42" w:rsidP="007E6B42">
      <w:pPr>
        <w:pStyle w:val="ListParagraph"/>
        <w:numPr>
          <w:ilvl w:val="0"/>
          <w:numId w:val="18"/>
        </w:numPr>
        <w:jc w:val="both"/>
        <w:rPr>
          <w:lang w:val="en-GB"/>
        </w:rPr>
      </w:pPr>
      <w:r w:rsidRPr="007E6B42">
        <w:rPr>
          <w:lang w:val="en-GB"/>
        </w:rPr>
        <w:t>Framework Agreement between Montenegro and the Republic of Albania on Transboundary Water Management (2018).</w:t>
      </w:r>
    </w:p>
    <w:p w14:paraId="024353E1" w14:textId="77777777" w:rsidR="007E6B42" w:rsidRPr="007E6B42" w:rsidRDefault="007E6B42" w:rsidP="007E6B42">
      <w:pPr>
        <w:pStyle w:val="ListParagraph"/>
        <w:numPr>
          <w:ilvl w:val="0"/>
          <w:numId w:val="18"/>
        </w:numPr>
        <w:jc w:val="both"/>
        <w:rPr>
          <w:lang w:val="en-GB"/>
        </w:rPr>
      </w:pPr>
      <w:r w:rsidRPr="007E6B42">
        <w:rPr>
          <w:lang w:val="en-GB"/>
        </w:rPr>
        <w:t>Drin Memorandum of Understanding, 2011.</w:t>
      </w:r>
    </w:p>
    <w:p w14:paraId="245C789D" w14:textId="6BF59E93" w:rsidR="007E6B42" w:rsidRDefault="007E6B42" w:rsidP="007E6B42">
      <w:pPr>
        <w:pStyle w:val="ListParagraph"/>
        <w:numPr>
          <w:ilvl w:val="0"/>
          <w:numId w:val="18"/>
        </w:numPr>
        <w:jc w:val="both"/>
        <w:rPr>
          <w:lang w:val="en-GB"/>
        </w:rPr>
      </w:pPr>
      <w:r w:rsidRPr="007E6B42">
        <w:rPr>
          <w:lang w:val="en-GB"/>
        </w:rPr>
        <w:t>UN General Assembly Resolution A/RES/63/124: The Law of Transboundary Aquifers (2008).</w:t>
      </w:r>
    </w:p>
    <w:p w14:paraId="4EED44E3" w14:textId="43A17D5F" w:rsidR="00EC3F16" w:rsidRDefault="00EC3F16" w:rsidP="00EC3F16">
      <w:pPr>
        <w:pStyle w:val="Heading3"/>
      </w:pPr>
      <w:bookmarkStart w:id="61" w:name="_Toc225418468"/>
      <w:r>
        <w:t xml:space="preserve">11.3.3 </w:t>
      </w:r>
      <w:r w:rsidRPr="00EC3F16">
        <w:t>Technical and scientific sources</w:t>
      </w:r>
      <w:bookmarkEnd w:id="61"/>
    </w:p>
    <w:p w14:paraId="2CD854C6" w14:textId="34E3C4A9" w:rsidR="00316B06" w:rsidRPr="00316B06" w:rsidRDefault="00316B06" w:rsidP="00316B06">
      <w:pPr>
        <w:pStyle w:val="ListParagraph"/>
        <w:numPr>
          <w:ilvl w:val="0"/>
          <w:numId w:val="19"/>
        </w:numPr>
        <w:jc w:val="both"/>
        <w:rPr>
          <w:lang w:val="en-GB"/>
        </w:rPr>
      </w:pPr>
      <w:r w:rsidRPr="00316B06">
        <w:rPr>
          <w:lang w:val="en-GB"/>
        </w:rPr>
        <w:t xml:space="preserve">DIKTAS II Project Team (2026): Bilateral Groundwater Governance Diagnostic Analysis (BGGDA) </w:t>
      </w:r>
      <w:r w:rsidR="0037155E">
        <w:rPr>
          <w:lang w:val="en-GB"/>
        </w:rPr>
        <w:t>-</w:t>
      </w:r>
      <w:r w:rsidRPr="00316B06">
        <w:rPr>
          <w:lang w:val="en-GB"/>
        </w:rPr>
        <w:t xml:space="preserve"> </w:t>
      </w:r>
      <w:proofErr w:type="spellStart"/>
      <w:r w:rsidRPr="00316B06">
        <w:rPr>
          <w:lang w:val="en-GB"/>
        </w:rPr>
        <w:t>Cemi</w:t>
      </w:r>
      <w:proofErr w:type="spellEnd"/>
      <w:r w:rsidRPr="00316B06">
        <w:rPr>
          <w:lang w:val="en-GB"/>
        </w:rPr>
        <w:t>/</w:t>
      </w:r>
      <w:proofErr w:type="spellStart"/>
      <w:r w:rsidRPr="00316B06">
        <w:rPr>
          <w:lang w:val="en-GB"/>
        </w:rPr>
        <w:t>Cijevna</w:t>
      </w:r>
      <w:proofErr w:type="spellEnd"/>
      <w:r w:rsidRPr="00316B06">
        <w:rPr>
          <w:lang w:val="en-GB"/>
        </w:rPr>
        <w:t xml:space="preserve"> TBA.</w:t>
      </w:r>
    </w:p>
    <w:p w14:paraId="02390700" w14:textId="6BC6C5D7" w:rsidR="00316B06" w:rsidRPr="00316B06" w:rsidRDefault="00316B06" w:rsidP="00316B06">
      <w:pPr>
        <w:pStyle w:val="ListParagraph"/>
        <w:numPr>
          <w:ilvl w:val="0"/>
          <w:numId w:val="19"/>
        </w:numPr>
        <w:jc w:val="both"/>
        <w:rPr>
          <w:lang w:val="en-GB"/>
        </w:rPr>
      </w:pPr>
      <w:r w:rsidRPr="00316B06">
        <w:rPr>
          <w:lang w:val="en-GB"/>
        </w:rPr>
        <w:t xml:space="preserve">DIKTAS II Project Team (2026): Joint Action Programme (JAP) </w:t>
      </w:r>
      <w:proofErr w:type="spellStart"/>
      <w:r w:rsidRPr="00316B06">
        <w:rPr>
          <w:lang w:val="en-GB"/>
        </w:rPr>
        <w:t>Cemi</w:t>
      </w:r>
      <w:proofErr w:type="spellEnd"/>
      <w:r w:rsidRPr="00316B06">
        <w:rPr>
          <w:lang w:val="en-GB"/>
        </w:rPr>
        <w:t>/</w:t>
      </w:r>
      <w:proofErr w:type="spellStart"/>
      <w:r w:rsidRPr="00316B06">
        <w:rPr>
          <w:lang w:val="en-GB"/>
        </w:rPr>
        <w:t>Cijevna</w:t>
      </w:r>
      <w:proofErr w:type="spellEnd"/>
      <w:r w:rsidRPr="00316B06">
        <w:rPr>
          <w:lang w:val="en-GB"/>
        </w:rPr>
        <w:t xml:space="preserve"> TBA.</w:t>
      </w:r>
    </w:p>
    <w:p w14:paraId="60CE4106" w14:textId="65B58189" w:rsidR="00316B06" w:rsidRPr="00316B06" w:rsidRDefault="00316B06" w:rsidP="00316B06">
      <w:pPr>
        <w:pStyle w:val="ListParagraph"/>
        <w:numPr>
          <w:ilvl w:val="0"/>
          <w:numId w:val="19"/>
        </w:numPr>
        <w:jc w:val="both"/>
        <w:rPr>
          <w:lang w:val="en-GB"/>
        </w:rPr>
      </w:pPr>
      <w:r w:rsidRPr="00316B06">
        <w:rPr>
          <w:lang w:val="en-GB"/>
        </w:rPr>
        <w:t>DIKTAS II Project Team (2026): Proposed Amendments to Montenegro</w:t>
      </w:r>
      <w:r w:rsidR="007F47EB">
        <w:rPr>
          <w:lang w:val="en-GB"/>
        </w:rPr>
        <w:t>-</w:t>
      </w:r>
      <w:r w:rsidRPr="00316B06">
        <w:rPr>
          <w:lang w:val="en-GB"/>
        </w:rPr>
        <w:t>Albania Agreement for Groundwater Management.</w:t>
      </w:r>
    </w:p>
    <w:p w14:paraId="4043D3F3" w14:textId="77777777" w:rsidR="00316B06" w:rsidRPr="00316B06" w:rsidRDefault="00316B06" w:rsidP="00316B06">
      <w:pPr>
        <w:pStyle w:val="ListParagraph"/>
        <w:numPr>
          <w:ilvl w:val="0"/>
          <w:numId w:val="19"/>
        </w:numPr>
        <w:jc w:val="both"/>
        <w:rPr>
          <w:lang w:val="en-GB"/>
        </w:rPr>
      </w:pPr>
      <w:r w:rsidRPr="00316B06">
        <w:rPr>
          <w:lang w:val="en-GB"/>
        </w:rPr>
        <w:t>DIKTAS II Inception Workshop Report, 2024.</w:t>
      </w:r>
    </w:p>
    <w:p w14:paraId="46BB75B9" w14:textId="77777777" w:rsidR="00DB4FED" w:rsidRDefault="00DB4FED" w:rsidP="00316B06">
      <w:pPr>
        <w:pStyle w:val="ListParagraph"/>
        <w:numPr>
          <w:ilvl w:val="0"/>
          <w:numId w:val="19"/>
        </w:numPr>
        <w:jc w:val="both"/>
        <w:rPr>
          <w:lang w:val="en-GB"/>
        </w:rPr>
      </w:pPr>
      <w:r w:rsidRPr="00DB4FED">
        <w:rPr>
          <w:lang w:val="en-GB"/>
        </w:rPr>
        <w:t xml:space="preserve">Dević, N. (2025). Study on the Status, Protection and </w:t>
      </w:r>
      <w:proofErr w:type="spellStart"/>
      <w:r w:rsidRPr="00DB4FED">
        <w:rPr>
          <w:lang w:val="en-GB"/>
        </w:rPr>
        <w:t>Valorization</w:t>
      </w:r>
      <w:proofErr w:type="spellEnd"/>
      <w:r w:rsidRPr="00DB4FED">
        <w:rPr>
          <w:lang w:val="en-GB"/>
        </w:rPr>
        <w:t xml:space="preserve"> of Groundwater Resources of the Zeta Plain. Geological Survey of Montenegro, Podgorica, Montenegro.</w:t>
      </w:r>
    </w:p>
    <w:p w14:paraId="3FE5FD47" w14:textId="1023C14E" w:rsidR="00316B06" w:rsidRPr="00316B06" w:rsidRDefault="00316B06" w:rsidP="00316B06">
      <w:pPr>
        <w:pStyle w:val="ListParagraph"/>
        <w:numPr>
          <w:ilvl w:val="0"/>
          <w:numId w:val="19"/>
        </w:numPr>
        <w:jc w:val="both"/>
        <w:rPr>
          <w:lang w:val="en-GB"/>
        </w:rPr>
      </w:pPr>
      <w:r w:rsidRPr="00316B06">
        <w:rPr>
          <w:lang w:val="en-GB"/>
        </w:rPr>
        <w:t>EPTISA Southeast Europe (2025): Flood Risk Management Plans (Adriatic and Danube basins).</w:t>
      </w:r>
    </w:p>
    <w:p w14:paraId="4033A196" w14:textId="77777777" w:rsidR="00316B06" w:rsidRPr="00316B06" w:rsidRDefault="00316B06" w:rsidP="00316B06">
      <w:pPr>
        <w:pStyle w:val="ListParagraph"/>
        <w:numPr>
          <w:ilvl w:val="0"/>
          <w:numId w:val="19"/>
        </w:numPr>
        <w:jc w:val="both"/>
        <w:rPr>
          <w:lang w:val="en-GB"/>
        </w:rPr>
      </w:pPr>
      <w:r w:rsidRPr="00316B06">
        <w:rPr>
          <w:lang w:val="en-GB"/>
        </w:rPr>
        <w:t>World Bank (2022): Albania Climate Risk Assessment.</w:t>
      </w:r>
    </w:p>
    <w:p w14:paraId="17CAD66E" w14:textId="0AAFC90E" w:rsidR="00316B06" w:rsidRPr="00316B06" w:rsidRDefault="00316B06" w:rsidP="00316B06">
      <w:pPr>
        <w:pStyle w:val="ListParagraph"/>
        <w:numPr>
          <w:ilvl w:val="0"/>
          <w:numId w:val="19"/>
        </w:numPr>
        <w:jc w:val="both"/>
        <w:rPr>
          <w:lang w:val="en-GB"/>
        </w:rPr>
      </w:pPr>
      <w:r w:rsidRPr="00316B06">
        <w:rPr>
          <w:lang w:val="en-GB"/>
        </w:rPr>
        <w:t xml:space="preserve">World Bank (2022): Water Supply and Sanitation Sector Review </w:t>
      </w:r>
      <w:r w:rsidR="0037155E">
        <w:rPr>
          <w:lang w:val="en-GB"/>
        </w:rPr>
        <w:t>-</w:t>
      </w:r>
      <w:r w:rsidRPr="00316B06">
        <w:rPr>
          <w:lang w:val="en-GB"/>
        </w:rPr>
        <w:t xml:space="preserve"> Albania.</w:t>
      </w:r>
    </w:p>
    <w:p w14:paraId="44812C84" w14:textId="5B90F2C1" w:rsidR="00316B06" w:rsidRDefault="00316B06" w:rsidP="00316B06">
      <w:pPr>
        <w:pStyle w:val="ListParagraph"/>
        <w:numPr>
          <w:ilvl w:val="0"/>
          <w:numId w:val="19"/>
        </w:numPr>
        <w:jc w:val="both"/>
        <w:rPr>
          <w:lang w:val="en-GB"/>
        </w:rPr>
      </w:pPr>
      <w:r w:rsidRPr="00316B06">
        <w:rPr>
          <w:lang w:val="en-GB"/>
        </w:rPr>
        <w:t>Zwahlen, F. (Ed.) (2004): Vulnerability and Risk Mapping for Karst Aquifers (COST 620).</w:t>
      </w:r>
    </w:p>
    <w:sectPr w:rsidR="00316B06" w:rsidSect="00336FA1">
      <w:footerReference w:type="default" r:id="rId16"/>
      <w:pgSz w:w="11906" w:h="16838"/>
      <w:pgMar w:top="1701" w:right="1440" w:bottom="1440" w:left="1440"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ED304" w14:textId="77777777" w:rsidR="005B128E" w:rsidRDefault="005B128E" w:rsidP="005833C2">
      <w:pPr>
        <w:spacing w:after="0" w:line="240" w:lineRule="auto"/>
      </w:pPr>
      <w:r>
        <w:separator/>
      </w:r>
    </w:p>
  </w:endnote>
  <w:endnote w:type="continuationSeparator" w:id="0">
    <w:p w14:paraId="7B928E6C" w14:textId="77777777" w:rsidR="005B128E" w:rsidRDefault="005B128E" w:rsidP="0058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0681364"/>
      <w:docPartObj>
        <w:docPartGallery w:val="Page Numbers (Bottom of Page)"/>
        <w:docPartUnique/>
      </w:docPartObj>
    </w:sdtPr>
    <w:sdtEndPr>
      <w:rPr>
        <w:i/>
        <w:iCs/>
        <w:sz w:val="20"/>
        <w:szCs w:val="20"/>
      </w:rPr>
    </w:sdtEndPr>
    <w:sdtContent>
      <w:p w14:paraId="72D7C25D" w14:textId="655C35BD" w:rsidR="00044875" w:rsidRPr="00044875" w:rsidRDefault="00044875">
        <w:pPr>
          <w:pStyle w:val="Footer"/>
          <w:jc w:val="right"/>
          <w:rPr>
            <w:i/>
            <w:iCs/>
            <w:sz w:val="20"/>
            <w:szCs w:val="20"/>
          </w:rPr>
        </w:pPr>
        <w:r w:rsidRPr="00044875">
          <w:rPr>
            <w:i/>
            <w:iCs/>
            <w:sz w:val="20"/>
            <w:szCs w:val="20"/>
          </w:rPr>
          <w:fldChar w:fldCharType="begin"/>
        </w:r>
        <w:r w:rsidRPr="00044875">
          <w:rPr>
            <w:i/>
            <w:iCs/>
            <w:sz w:val="20"/>
            <w:szCs w:val="20"/>
          </w:rPr>
          <w:instrText>PAGE   \* MERGEFORMAT</w:instrText>
        </w:r>
        <w:r w:rsidRPr="00044875">
          <w:rPr>
            <w:i/>
            <w:iCs/>
            <w:sz w:val="20"/>
            <w:szCs w:val="20"/>
          </w:rPr>
          <w:fldChar w:fldCharType="separate"/>
        </w:r>
        <w:r w:rsidRPr="00044875">
          <w:rPr>
            <w:i/>
            <w:iCs/>
            <w:sz w:val="20"/>
            <w:szCs w:val="20"/>
            <w:lang w:val="en-GB"/>
          </w:rPr>
          <w:t>2</w:t>
        </w:r>
        <w:r w:rsidRPr="00044875">
          <w:rPr>
            <w:i/>
            <w:iCs/>
            <w:sz w:val="20"/>
            <w:szCs w:val="20"/>
          </w:rPr>
          <w:fldChar w:fldCharType="end"/>
        </w:r>
      </w:p>
    </w:sdtContent>
  </w:sdt>
  <w:p w14:paraId="4BBE15F0" w14:textId="77777777" w:rsidR="00AB60DA" w:rsidRDefault="00AB6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8FC8" w14:textId="247615EA" w:rsidR="0017209D" w:rsidRDefault="0017209D">
    <w:pPr>
      <w:pStyle w:val="Footer"/>
      <w:jc w:val="right"/>
    </w:pPr>
  </w:p>
  <w:p w14:paraId="031442E4" w14:textId="77777777" w:rsidR="001D2F82" w:rsidRDefault="001D2F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4936906"/>
      <w:docPartObj>
        <w:docPartGallery w:val="Page Numbers (Bottom of Page)"/>
        <w:docPartUnique/>
      </w:docPartObj>
    </w:sdtPr>
    <w:sdtContent>
      <w:p w14:paraId="7D05B4D8" w14:textId="100C2AEB" w:rsidR="00336FA1" w:rsidRDefault="00336FA1">
        <w:pPr>
          <w:pStyle w:val="Footer"/>
          <w:jc w:val="right"/>
        </w:pPr>
        <w:r>
          <w:fldChar w:fldCharType="begin"/>
        </w:r>
        <w:r>
          <w:instrText>PAGE   \* MERGEFORMAT</w:instrText>
        </w:r>
        <w:r>
          <w:fldChar w:fldCharType="separate"/>
        </w:r>
        <w:r>
          <w:rPr>
            <w:lang w:val="hr-HR"/>
          </w:rPr>
          <w:t>2</w:t>
        </w:r>
        <w:r>
          <w:fldChar w:fldCharType="end"/>
        </w:r>
      </w:p>
    </w:sdtContent>
  </w:sdt>
  <w:p w14:paraId="1E576174" w14:textId="77777777" w:rsidR="00E01435" w:rsidRDefault="00E01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02394" w14:textId="77777777" w:rsidR="005B128E" w:rsidRDefault="005B128E" w:rsidP="005833C2">
      <w:pPr>
        <w:spacing w:after="0" w:line="240" w:lineRule="auto"/>
      </w:pPr>
      <w:r>
        <w:separator/>
      </w:r>
    </w:p>
  </w:footnote>
  <w:footnote w:type="continuationSeparator" w:id="0">
    <w:p w14:paraId="173F02A7" w14:textId="77777777" w:rsidR="005B128E" w:rsidRDefault="005B128E" w:rsidP="00583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5349" w14:textId="77777777" w:rsidR="00AB60DA" w:rsidRDefault="00AB60DA">
    <w:pPr>
      <w:pStyle w:val="Header"/>
    </w:pPr>
    <w:r>
      <w:rPr>
        <w:noProof/>
        <w:lang w:val="en-US"/>
      </w:rPr>
      <mc:AlternateContent>
        <mc:Choice Requires="wps">
          <w:drawing>
            <wp:anchor distT="0" distB="0" distL="114300" distR="114300" simplePos="0" relativeHeight="251663360" behindDoc="0" locked="0" layoutInCell="1" allowOverlap="1" wp14:anchorId="71012B0D" wp14:editId="54DD961F">
              <wp:simplePos x="0" y="0"/>
              <wp:positionH relativeFrom="column">
                <wp:posOffset>1076325</wp:posOffset>
              </wp:positionH>
              <wp:positionV relativeFrom="paragraph">
                <wp:posOffset>345440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315478"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4.75pt,27.2pt" to="498.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" strokecolor="#4472c4 [3204]" strokeweight=".5pt">
              <v:stroke joinstyle="miter"/>
            </v:line>
          </w:pict>
        </mc:Fallback>
      </mc:AlternateContent>
    </w:r>
    <w:r w:rsidRPr="00E36ECF">
      <w:rPr>
        <w:noProof/>
        <w:lang w:val="en-US"/>
      </w:rPr>
      <w:drawing>
        <wp:anchor distT="0" distB="0" distL="114300" distR="114300" simplePos="0" relativeHeight="251656192" behindDoc="0" locked="0" layoutInCell="1" allowOverlap="1" wp14:anchorId="53D4FB9A" wp14:editId="2CC522B5">
          <wp:simplePos x="0" y="0"/>
          <wp:positionH relativeFrom="column">
            <wp:posOffset>-57150</wp:posOffset>
          </wp:positionH>
          <wp:positionV relativeFrom="paragraph">
            <wp:posOffset>-254635</wp:posOffset>
          </wp:positionV>
          <wp:extent cx="1099997" cy="6191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2B1"/>
    <w:multiLevelType w:val="multilevel"/>
    <w:tmpl w:val="FCF4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86C2E"/>
    <w:multiLevelType w:val="hybridMultilevel"/>
    <w:tmpl w:val="E548BECE"/>
    <w:lvl w:ilvl="0" w:tplc="DAB8506C">
      <w:start w:val="4"/>
      <w:numFmt w:val="bullet"/>
      <w:lvlText w:val="-"/>
      <w:lvlJc w:val="left"/>
      <w:pPr>
        <w:ind w:left="36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6D4365B"/>
    <w:multiLevelType w:val="multilevel"/>
    <w:tmpl w:val="DF02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747B4"/>
    <w:multiLevelType w:val="hybridMultilevel"/>
    <w:tmpl w:val="F9F4871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8C93083"/>
    <w:multiLevelType w:val="multilevel"/>
    <w:tmpl w:val="BE50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64F25"/>
    <w:multiLevelType w:val="hybridMultilevel"/>
    <w:tmpl w:val="EE62BD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DA90C0B"/>
    <w:multiLevelType w:val="multilevel"/>
    <w:tmpl w:val="5486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CD7F30"/>
    <w:multiLevelType w:val="multilevel"/>
    <w:tmpl w:val="6852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A75396"/>
    <w:multiLevelType w:val="hybridMultilevel"/>
    <w:tmpl w:val="E9CE181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8362B99"/>
    <w:multiLevelType w:val="multilevel"/>
    <w:tmpl w:val="9CCCB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BC3260"/>
    <w:multiLevelType w:val="multilevel"/>
    <w:tmpl w:val="A9A8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9D061B"/>
    <w:multiLevelType w:val="hybridMultilevel"/>
    <w:tmpl w:val="B194F4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C07141A"/>
    <w:multiLevelType w:val="hybridMultilevel"/>
    <w:tmpl w:val="B54818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103497A"/>
    <w:multiLevelType w:val="multilevel"/>
    <w:tmpl w:val="0CAA1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155B87"/>
    <w:multiLevelType w:val="hybridMultilevel"/>
    <w:tmpl w:val="0B40E9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953286F"/>
    <w:multiLevelType w:val="hybridMultilevel"/>
    <w:tmpl w:val="E30E3B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C4F26CA"/>
    <w:multiLevelType w:val="hybridMultilevel"/>
    <w:tmpl w:val="BFD0251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3AA5E1D"/>
    <w:multiLevelType w:val="hybridMultilevel"/>
    <w:tmpl w:val="94921CC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77F779A"/>
    <w:multiLevelType w:val="hybridMultilevel"/>
    <w:tmpl w:val="34A2B7F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7B16B3F"/>
    <w:multiLevelType w:val="hybridMultilevel"/>
    <w:tmpl w:val="422AD9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9A27490"/>
    <w:multiLevelType w:val="hybridMultilevel"/>
    <w:tmpl w:val="F1EECA6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C92287B"/>
    <w:multiLevelType w:val="hybridMultilevel"/>
    <w:tmpl w:val="6B4A874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1677DDE"/>
    <w:multiLevelType w:val="multilevel"/>
    <w:tmpl w:val="0B58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736703"/>
    <w:multiLevelType w:val="hybridMultilevel"/>
    <w:tmpl w:val="6B3A2E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4EF6333"/>
    <w:multiLevelType w:val="multilevel"/>
    <w:tmpl w:val="B888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8F60FE"/>
    <w:multiLevelType w:val="multilevel"/>
    <w:tmpl w:val="5AEEB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9A3A9A"/>
    <w:multiLevelType w:val="hybridMultilevel"/>
    <w:tmpl w:val="B930049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73AE186B"/>
    <w:multiLevelType w:val="multilevel"/>
    <w:tmpl w:val="E1FA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EA5068"/>
    <w:multiLevelType w:val="hybridMultilevel"/>
    <w:tmpl w:val="E0BC1D5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A543980"/>
    <w:multiLevelType w:val="hybridMultilevel"/>
    <w:tmpl w:val="5B3A3D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7C286749"/>
    <w:multiLevelType w:val="multilevel"/>
    <w:tmpl w:val="46AA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0C3E7F"/>
    <w:multiLevelType w:val="hybridMultilevel"/>
    <w:tmpl w:val="A790B0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891237140">
    <w:abstractNumId w:val="16"/>
  </w:num>
  <w:num w:numId="2" w16cid:durableId="189952565">
    <w:abstractNumId w:val="12"/>
  </w:num>
  <w:num w:numId="3" w16cid:durableId="275598005">
    <w:abstractNumId w:val="21"/>
  </w:num>
  <w:num w:numId="4" w16cid:durableId="1767380989">
    <w:abstractNumId w:val="15"/>
  </w:num>
  <w:num w:numId="5" w16cid:durableId="408621147">
    <w:abstractNumId w:val="14"/>
  </w:num>
  <w:num w:numId="6" w16cid:durableId="885994751">
    <w:abstractNumId w:val="20"/>
  </w:num>
  <w:num w:numId="7" w16cid:durableId="244344686">
    <w:abstractNumId w:val="31"/>
  </w:num>
  <w:num w:numId="8" w16cid:durableId="618071258">
    <w:abstractNumId w:val="29"/>
  </w:num>
  <w:num w:numId="9" w16cid:durableId="2011710352">
    <w:abstractNumId w:val="19"/>
  </w:num>
  <w:num w:numId="10" w16cid:durableId="805197553">
    <w:abstractNumId w:val="23"/>
  </w:num>
  <w:num w:numId="11" w16cid:durableId="2109419952">
    <w:abstractNumId w:val="11"/>
  </w:num>
  <w:num w:numId="12" w16cid:durableId="239409109">
    <w:abstractNumId w:val="1"/>
  </w:num>
  <w:num w:numId="13" w16cid:durableId="2000884009">
    <w:abstractNumId w:val="8"/>
  </w:num>
  <w:num w:numId="14" w16cid:durableId="885066216">
    <w:abstractNumId w:val="17"/>
  </w:num>
  <w:num w:numId="15" w16cid:durableId="1566069680">
    <w:abstractNumId w:val="3"/>
  </w:num>
  <w:num w:numId="16" w16cid:durableId="1760328164">
    <w:abstractNumId w:val="28"/>
  </w:num>
  <w:num w:numId="17" w16cid:durableId="1707558044">
    <w:abstractNumId w:val="26"/>
  </w:num>
  <w:num w:numId="18" w16cid:durableId="808016892">
    <w:abstractNumId w:val="18"/>
  </w:num>
  <w:num w:numId="19" w16cid:durableId="2112898371">
    <w:abstractNumId w:val="5"/>
  </w:num>
  <w:num w:numId="20" w16cid:durableId="782116317">
    <w:abstractNumId w:val="4"/>
  </w:num>
  <w:num w:numId="21" w16cid:durableId="241918050">
    <w:abstractNumId w:val="13"/>
  </w:num>
  <w:num w:numId="22" w16cid:durableId="234706104">
    <w:abstractNumId w:val="7"/>
  </w:num>
  <w:num w:numId="23" w16cid:durableId="1345858258">
    <w:abstractNumId w:val="6"/>
  </w:num>
  <w:num w:numId="24" w16cid:durableId="304360242">
    <w:abstractNumId w:val="9"/>
  </w:num>
  <w:num w:numId="25" w16cid:durableId="687563536">
    <w:abstractNumId w:val="10"/>
  </w:num>
  <w:num w:numId="26" w16cid:durableId="1563443307">
    <w:abstractNumId w:val="0"/>
  </w:num>
  <w:num w:numId="27" w16cid:durableId="76482570">
    <w:abstractNumId w:val="24"/>
  </w:num>
  <w:num w:numId="28" w16cid:durableId="880820311">
    <w:abstractNumId w:val="30"/>
  </w:num>
  <w:num w:numId="29" w16cid:durableId="1840270412">
    <w:abstractNumId w:val="25"/>
  </w:num>
  <w:num w:numId="30" w16cid:durableId="656960753">
    <w:abstractNumId w:val="2"/>
  </w:num>
  <w:num w:numId="31" w16cid:durableId="7369010">
    <w:abstractNumId w:val="22"/>
  </w:num>
  <w:num w:numId="32" w16cid:durableId="1163012019">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C2"/>
    <w:rsid w:val="0000243E"/>
    <w:rsid w:val="0000320F"/>
    <w:rsid w:val="00007643"/>
    <w:rsid w:val="00011924"/>
    <w:rsid w:val="00011CA4"/>
    <w:rsid w:val="0001208C"/>
    <w:rsid w:val="0001221F"/>
    <w:rsid w:val="00014D3C"/>
    <w:rsid w:val="00014E2F"/>
    <w:rsid w:val="00015CDD"/>
    <w:rsid w:val="000176CD"/>
    <w:rsid w:val="0001796C"/>
    <w:rsid w:val="00017DE5"/>
    <w:rsid w:val="00020389"/>
    <w:rsid w:val="0002039F"/>
    <w:rsid w:val="00021EC4"/>
    <w:rsid w:val="00021F64"/>
    <w:rsid w:val="000226F4"/>
    <w:rsid w:val="00023730"/>
    <w:rsid w:val="000251CF"/>
    <w:rsid w:val="00027BDA"/>
    <w:rsid w:val="00031F63"/>
    <w:rsid w:val="00032B25"/>
    <w:rsid w:val="00033083"/>
    <w:rsid w:val="00033722"/>
    <w:rsid w:val="00033AA0"/>
    <w:rsid w:val="00040FE7"/>
    <w:rsid w:val="00041157"/>
    <w:rsid w:val="00044875"/>
    <w:rsid w:val="0004719F"/>
    <w:rsid w:val="00047440"/>
    <w:rsid w:val="00047DD0"/>
    <w:rsid w:val="00054B5E"/>
    <w:rsid w:val="00057249"/>
    <w:rsid w:val="000573B2"/>
    <w:rsid w:val="00063F8C"/>
    <w:rsid w:val="00064AE8"/>
    <w:rsid w:val="00065619"/>
    <w:rsid w:val="00065CA0"/>
    <w:rsid w:val="000704D0"/>
    <w:rsid w:val="00071736"/>
    <w:rsid w:val="00074638"/>
    <w:rsid w:val="00074A8B"/>
    <w:rsid w:val="000778C1"/>
    <w:rsid w:val="00080D0C"/>
    <w:rsid w:val="000817F4"/>
    <w:rsid w:val="00082477"/>
    <w:rsid w:val="00083305"/>
    <w:rsid w:val="0008396B"/>
    <w:rsid w:val="00084AAD"/>
    <w:rsid w:val="00090D61"/>
    <w:rsid w:val="00092830"/>
    <w:rsid w:val="00093F3B"/>
    <w:rsid w:val="00094843"/>
    <w:rsid w:val="00096623"/>
    <w:rsid w:val="000971C3"/>
    <w:rsid w:val="000A3AA7"/>
    <w:rsid w:val="000A4582"/>
    <w:rsid w:val="000A4AAC"/>
    <w:rsid w:val="000A59AD"/>
    <w:rsid w:val="000B00B4"/>
    <w:rsid w:val="000B0D77"/>
    <w:rsid w:val="000B4994"/>
    <w:rsid w:val="000B5AE9"/>
    <w:rsid w:val="000C2FA2"/>
    <w:rsid w:val="000C4ABB"/>
    <w:rsid w:val="000C54AB"/>
    <w:rsid w:val="000C6ACE"/>
    <w:rsid w:val="000D198E"/>
    <w:rsid w:val="000D2CAD"/>
    <w:rsid w:val="000D665C"/>
    <w:rsid w:val="000D7EAC"/>
    <w:rsid w:val="000E2C3F"/>
    <w:rsid w:val="000E469F"/>
    <w:rsid w:val="000E54EA"/>
    <w:rsid w:val="000E6867"/>
    <w:rsid w:val="000F2928"/>
    <w:rsid w:val="000F34E4"/>
    <w:rsid w:val="000F3914"/>
    <w:rsid w:val="000F3F68"/>
    <w:rsid w:val="000F53A6"/>
    <w:rsid w:val="000F5575"/>
    <w:rsid w:val="000F6109"/>
    <w:rsid w:val="000F725F"/>
    <w:rsid w:val="00100D7C"/>
    <w:rsid w:val="00103163"/>
    <w:rsid w:val="00103C70"/>
    <w:rsid w:val="00103CF4"/>
    <w:rsid w:val="00104294"/>
    <w:rsid w:val="001048ED"/>
    <w:rsid w:val="00106AE3"/>
    <w:rsid w:val="00106F33"/>
    <w:rsid w:val="001078A8"/>
    <w:rsid w:val="00111F79"/>
    <w:rsid w:val="00115064"/>
    <w:rsid w:val="00115694"/>
    <w:rsid w:val="00115718"/>
    <w:rsid w:val="00116DCE"/>
    <w:rsid w:val="0012270F"/>
    <w:rsid w:val="00122EF0"/>
    <w:rsid w:val="00124FEF"/>
    <w:rsid w:val="001253A7"/>
    <w:rsid w:val="00126199"/>
    <w:rsid w:val="001310D1"/>
    <w:rsid w:val="00131424"/>
    <w:rsid w:val="00131A26"/>
    <w:rsid w:val="00131CC4"/>
    <w:rsid w:val="00134460"/>
    <w:rsid w:val="00134724"/>
    <w:rsid w:val="001356C3"/>
    <w:rsid w:val="00140C88"/>
    <w:rsid w:val="00142B89"/>
    <w:rsid w:val="001430FF"/>
    <w:rsid w:val="001439B4"/>
    <w:rsid w:val="00146195"/>
    <w:rsid w:val="001505C0"/>
    <w:rsid w:val="00155013"/>
    <w:rsid w:val="001555DC"/>
    <w:rsid w:val="001566BC"/>
    <w:rsid w:val="001616B5"/>
    <w:rsid w:val="0016414D"/>
    <w:rsid w:val="00166BA8"/>
    <w:rsid w:val="001708FB"/>
    <w:rsid w:val="001709F5"/>
    <w:rsid w:val="00171CA3"/>
    <w:rsid w:val="0017209D"/>
    <w:rsid w:val="00172145"/>
    <w:rsid w:val="00176877"/>
    <w:rsid w:val="00180E65"/>
    <w:rsid w:val="00182509"/>
    <w:rsid w:val="0018265A"/>
    <w:rsid w:val="001827BF"/>
    <w:rsid w:val="00184125"/>
    <w:rsid w:val="00185914"/>
    <w:rsid w:val="001860BF"/>
    <w:rsid w:val="001913A1"/>
    <w:rsid w:val="00193323"/>
    <w:rsid w:val="001958A8"/>
    <w:rsid w:val="00195D24"/>
    <w:rsid w:val="0019774C"/>
    <w:rsid w:val="00197FDF"/>
    <w:rsid w:val="001A0C84"/>
    <w:rsid w:val="001A232C"/>
    <w:rsid w:val="001A244B"/>
    <w:rsid w:val="001A32A3"/>
    <w:rsid w:val="001A4AA2"/>
    <w:rsid w:val="001A4B13"/>
    <w:rsid w:val="001A517D"/>
    <w:rsid w:val="001A66E6"/>
    <w:rsid w:val="001A71F4"/>
    <w:rsid w:val="001A7317"/>
    <w:rsid w:val="001A75EB"/>
    <w:rsid w:val="001A7B1B"/>
    <w:rsid w:val="001B2A3F"/>
    <w:rsid w:val="001B2EDF"/>
    <w:rsid w:val="001B3435"/>
    <w:rsid w:val="001B3D48"/>
    <w:rsid w:val="001B526E"/>
    <w:rsid w:val="001B5628"/>
    <w:rsid w:val="001C15FD"/>
    <w:rsid w:val="001C290D"/>
    <w:rsid w:val="001C2F52"/>
    <w:rsid w:val="001C369C"/>
    <w:rsid w:val="001C441F"/>
    <w:rsid w:val="001C4529"/>
    <w:rsid w:val="001C5E7E"/>
    <w:rsid w:val="001C682F"/>
    <w:rsid w:val="001D1555"/>
    <w:rsid w:val="001D1D2D"/>
    <w:rsid w:val="001D2F82"/>
    <w:rsid w:val="001D3793"/>
    <w:rsid w:val="001D3E0B"/>
    <w:rsid w:val="001D48E7"/>
    <w:rsid w:val="001D4C10"/>
    <w:rsid w:val="001D4E24"/>
    <w:rsid w:val="001D545E"/>
    <w:rsid w:val="001D61AB"/>
    <w:rsid w:val="001E2B04"/>
    <w:rsid w:val="001E2B6A"/>
    <w:rsid w:val="001E4561"/>
    <w:rsid w:val="001E6348"/>
    <w:rsid w:val="001E69EC"/>
    <w:rsid w:val="001F15EE"/>
    <w:rsid w:val="001F36BB"/>
    <w:rsid w:val="001F4170"/>
    <w:rsid w:val="001F4F9E"/>
    <w:rsid w:val="001F71AD"/>
    <w:rsid w:val="001F7D8C"/>
    <w:rsid w:val="002016D4"/>
    <w:rsid w:val="00204599"/>
    <w:rsid w:val="00205147"/>
    <w:rsid w:val="00206CC6"/>
    <w:rsid w:val="00211892"/>
    <w:rsid w:val="00211895"/>
    <w:rsid w:val="00214336"/>
    <w:rsid w:val="002166E1"/>
    <w:rsid w:val="0021723B"/>
    <w:rsid w:val="00217729"/>
    <w:rsid w:val="00220156"/>
    <w:rsid w:val="00221243"/>
    <w:rsid w:val="002219AD"/>
    <w:rsid w:val="002228B0"/>
    <w:rsid w:val="0022421A"/>
    <w:rsid w:val="00225612"/>
    <w:rsid w:val="002314EA"/>
    <w:rsid w:val="00233352"/>
    <w:rsid w:val="0023501E"/>
    <w:rsid w:val="0024178E"/>
    <w:rsid w:val="0024361E"/>
    <w:rsid w:val="00243D6E"/>
    <w:rsid w:val="002440C2"/>
    <w:rsid w:val="0024600B"/>
    <w:rsid w:val="002465E9"/>
    <w:rsid w:val="00251474"/>
    <w:rsid w:val="0025343D"/>
    <w:rsid w:val="0025410D"/>
    <w:rsid w:val="00254298"/>
    <w:rsid w:val="002544CE"/>
    <w:rsid w:val="00254730"/>
    <w:rsid w:val="00256556"/>
    <w:rsid w:val="0025799E"/>
    <w:rsid w:val="00260CC2"/>
    <w:rsid w:val="00266B84"/>
    <w:rsid w:val="002701E9"/>
    <w:rsid w:val="00272299"/>
    <w:rsid w:val="00274660"/>
    <w:rsid w:val="002751D9"/>
    <w:rsid w:val="00276CA5"/>
    <w:rsid w:val="002771AC"/>
    <w:rsid w:val="002801A4"/>
    <w:rsid w:val="00281499"/>
    <w:rsid w:val="00282D29"/>
    <w:rsid w:val="00291758"/>
    <w:rsid w:val="00292104"/>
    <w:rsid w:val="00293943"/>
    <w:rsid w:val="0029484B"/>
    <w:rsid w:val="00294FCF"/>
    <w:rsid w:val="002954BB"/>
    <w:rsid w:val="00295DC1"/>
    <w:rsid w:val="00296E7C"/>
    <w:rsid w:val="002B08E1"/>
    <w:rsid w:val="002B3F38"/>
    <w:rsid w:val="002B4026"/>
    <w:rsid w:val="002B45C3"/>
    <w:rsid w:val="002B4FEE"/>
    <w:rsid w:val="002B761E"/>
    <w:rsid w:val="002B7F8A"/>
    <w:rsid w:val="002C08BB"/>
    <w:rsid w:val="002C128B"/>
    <w:rsid w:val="002C2D40"/>
    <w:rsid w:val="002C3A16"/>
    <w:rsid w:val="002C47D8"/>
    <w:rsid w:val="002C7B7A"/>
    <w:rsid w:val="002D0EB7"/>
    <w:rsid w:val="002D2925"/>
    <w:rsid w:val="002D5537"/>
    <w:rsid w:val="002D62CE"/>
    <w:rsid w:val="002D7BF5"/>
    <w:rsid w:val="002E0DB2"/>
    <w:rsid w:val="002E11BE"/>
    <w:rsid w:val="002E12FB"/>
    <w:rsid w:val="002E2E1F"/>
    <w:rsid w:val="002E2F73"/>
    <w:rsid w:val="002E38CE"/>
    <w:rsid w:val="002E4C6D"/>
    <w:rsid w:val="002E6A3D"/>
    <w:rsid w:val="002E7653"/>
    <w:rsid w:val="002F153D"/>
    <w:rsid w:val="0030016A"/>
    <w:rsid w:val="00300344"/>
    <w:rsid w:val="0030271B"/>
    <w:rsid w:val="00302BD2"/>
    <w:rsid w:val="00303E25"/>
    <w:rsid w:val="00305E63"/>
    <w:rsid w:val="003110A8"/>
    <w:rsid w:val="003119E3"/>
    <w:rsid w:val="00313122"/>
    <w:rsid w:val="0031441D"/>
    <w:rsid w:val="00315357"/>
    <w:rsid w:val="00316B06"/>
    <w:rsid w:val="00317474"/>
    <w:rsid w:val="00322AFF"/>
    <w:rsid w:val="00324257"/>
    <w:rsid w:val="00326127"/>
    <w:rsid w:val="003262FE"/>
    <w:rsid w:val="003279BC"/>
    <w:rsid w:val="0033141E"/>
    <w:rsid w:val="003319A5"/>
    <w:rsid w:val="00332E09"/>
    <w:rsid w:val="00333A5F"/>
    <w:rsid w:val="00336FA1"/>
    <w:rsid w:val="00337AAF"/>
    <w:rsid w:val="00340087"/>
    <w:rsid w:val="00342ABC"/>
    <w:rsid w:val="0034338A"/>
    <w:rsid w:val="00343A92"/>
    <w:rsid w:val="003443F7"/>
    <w:rsid w:val="003459F0"/>
    <w:rsid w:val="00350AC3"/>
    <w:rsid w:val="003523D7"/>
    <w:rsid w:val="0035658C"/>
    <w:rsid w:val="0035726D"/>
    <w:rsid w:val="0036025D"/>
    <w:rsid w:val="00361067"/>
    <w:rsid w:val="003611FD"/>
    <w:rsid w:val="00362F74"/>
    <w:rsid w:val="00364B01"/>
    <w:rsid w:val="00367D34"/>
    <w:rsid w:val="003711BC"/>
    <w:rsid w:val="0037132C"/>
    <w:rsid w:val="0037155E"/>
    <w:rsid w:val="00372859"/>
    <w:rsid w:val="003735E1"/>
    <w:rsid w:val="00373CF4"/>
    <w:rsid w:val="00375603"/>
    <w:rsid w:val="00375B79"/>
    <w:rsid w:val="00376158"/>
    <w:rsid w:val="00376267"/>
    <w:rsid w:val="00377496"/>
    <w:rsid w:val="00377606"/>
    <w:rsid w:val="00377941"/>
    <w:rsid w:val="003826A0"/>
    <w:rsid w:val="00390720"/>
    <w:rsid w:val="00390D6A"/>
    <w:rsid w:val="0039191C"/>
    <w:rsid w:val="0039498B"/>
    <w:rsid w:val="00396D19"/>
    <w:rsid w:val="00397EAB"/>
    <w:rsid w:val="003A4641"/>
    <w:rsid w:val="003A4A1A"/>
    <w:rsid w:val="003A52A9"/>
    <w:rsid w:val="003A6810"/>
    <w:rsid w:val="003B035A"/>
    <w:rsid w:val="003B1D46"/>
    <w:rsid w:val="003C137D"/>
    <w:rsid w:val="003C22B7"/>
    <w:rsid w:val="003C3DE0"/>
    <w:rsid w:val="003C3E54"/>
    <w:rsid w:val="003C68DA"/>
    <w:rsid w:val="003D08F2"/>
    <w:rsid w:val="003D3418"/>
    <w:rsid w:val="003D773D"/>
    <w:rsid w:val="003D7C2C"/>
    <w:rsid w:val="003D7F86"/>
    <w:rsid w:val="003E0522"/>
    <w:rsid w:val="003E055D"/>
    <w:rsid w:val="003E3017"/>
    <w:rsid w:val="003E3F27"/>
    <w:rsid w:val="003F0113"/>
    <w:rsid w:val="003F0363"/>
    <w:rsid w:val="003F04B7"/>
    <w:rsid w:val="003F4A02"/>
    <w:rsid w:val="003F4F2B"/>
    <w:rsid w:val="003F52A3"/>
    <w:rsid w:val="004021E8"/>
    <w:rsid w:val="00403045"/>
    <w:rsid w:val="0040434E"/>
    <w:rsid w:val="00404487"/>
    <w:rsid w:val="00404B02"/>
    <w:rsid w:val="0041348C"/>
    <w:rsid w:val="0041441C"/>
    <w:rsid w:val="00414E3A"/>
    <w:rsid w:val="0042086D"/>
    <w:rsid w:val="00420A95"/>
    <w:rsid w:val="00422844"/>
    <w:rsid w:val="004274AC"/>
    <w:rsid w:val="0043078F"/>
    <w:rsid w:val="00432237"/>
    <w:rsid w:val="004337B3"/>
    <w:rsid w:val="00433ABA"/>
    <w:rsid w:val="004341DB"/>
    <w:rsid w:val="00442620"/>
    <w:rsid w:val="00444926"/>
    <w:rsid w:val="00445ADE"/>
    <w:rsid w:val="004462A0"/>
    <w:rsid w:val="00446DC3"/>
    <w:rsid w:val="00447DE9"/>
    <w:rsid w:val="00450500"/>
    <w:rsid w:val="00450E18"/>
    <w:rsid w:val="004534C9"/>
    <w:rsid w:val="0045447B"/>
    <w:rsid w:val="00461A8D"/>
    <w:rsid w:val="00461DB0"/>
    <w:rsid w:val="004633B1"/>
    <w:rsid w:val="00463A12"/>
    <w:rsid w:val="00464C1F"/>
    <w:rsid w:val="00470CA6"/>
    <w:rsid w:val="004726F3"/>
    <w:rsid w:val="00472707"/>
    <w:rsid w:val="004727D7"/>
    <w:rsid w:val="004739DE"/>
    <w:rsid w:val="00475AE0"/>
    <w:rsid w:val="00476548"/>
    <w:rsid w:val="00480CEA"/>
    <w:rsid w:val="00481C73"/>
    <w:rsid w:val="00486741"/>
    <w:rsid w:val="004879EA"/>
    <w:rsid w:val="00487CDA"/>
    <w:rsid w:val="004909F9"/>
    <w:rsid w:val="00490A65"/>
    <w:rsid w:val="00492427"/>
    <w:rsid w:val="00492DAC"/>
    <w:rsid w:val="0049331A"/>
    <w:rsid w:val="004A0D87"/>
    <w:rsid w:val="004A113D"/>
    <w:rsid w:val="004A162F"/>
    <w:rsid w:val="004A185F"/>
    <w:rsid w:val="004A2730"/>
    <w:rsid w:val="004A3198"/>
    <w:rsid w:val="004A38CA"/>
    <w:rsid w:val="004A4240"/>
    <w:rsid w:val="004A4F8E"/>
    <w:rsid w:val="004B0275"/>
    <w:rsid w:val="004B1BF4"/>
    <w:rsid w:val="004B1DD4"/>
    <w:rsid w:val="004B2ADB"/>
    <w:rsid w:val="004B3877"/>
    <w:rsid w:val="004C1027"/>
    <w:rsid w:val="004C3130"/>
    <w:rsid w:val="004C3604"/>
    <w:rsid w:val="004C4070"/>
    <w:rsid w:val="004C4D6E"/>
    <w:rsid w:val="004C5C6D"/>
    <w:rsid w:val="004D0F87"/>
    <w:rsid w:val="004D1A18"/>
    <w:rsid w:val="004D33AB"/>
    <w:rsid w:val="004D53CA"/>
    <w:rsid w:val="004D597A"/>
    <w:rsid w:val="004D65FE"/>
    <w:rsid w:val="004D78C8"/>
    <w:rsid w:val="004E2187"/>
    <w:rsid w:val="004F13BA"/>
    <w:rsid w:val="004F18E7"/>
    <w:rsid w:val="004F1B07"/>
    <w:rsid w:val="004F2A8F"/>
    <w:rsid w:val="004F315A"/>
    <w:rsid w:val="004F3217"/>
    <w:rsid w:val="004F41C2"/>
    <w:rsid w:val="004F4AAC"/>
    <w:rsid w:val="004F5DFC"/>
    <w:rsid w:val="00501468"/>
    <w:rsid w:val="005022D3"/>
    <w:rsid w:val="005032B5"/>
    <w:rsid w:val="005052BF"/>
    <w:rsid w:val="005054AD"/>
    <w:rsid w:val="005065E9"/>
    <w:rsid w:val="00510574"/>
    <w:rsid w:val="00510740"/>
    <w:rsid w:val="00512A02"/>
    <w:rsid w:val="00517A6E"/>
    <w:rsid w:val="00521410"/>
    <w:rsid w:val="00523A77"/>
    <w:rsid w:val="00524113"/>
    <w:rsid w:val="0052440B"/>
    <w:rsid w:val="0053269A"/>
    <w:rsid w:val="00532E08"/>
    <w:rsid w:val="0053397F"/>
    <w:rsid w:val="00534B85"/>
    <w:rsid w:val="005375C8"/>
    <w:rsid w:val="00540869"/>
    <w:rsid w:val="00541778"/>
    <w:rsid w:val="0054209A"/>
    <w:rsid w:val="005437BF"/>
    <w:rsid w:val="00544C78"/>
    <w:rsid w:val="00547CA1"/>
    <w:rsid w:val="00550961"/>
    <w:rsid w:val="00554516"/>
    <w:rsid w:val="00555896"/>
    <w:rsid w:val="00555B7D"/>
    <w:rsid w:val="00557CBD"/>
    <w:rsid w:val="00560059"/>
    <w:rsid w:val="0056080D"/>
    <w:rsid w:val="00560CCD"/>
    <w:rsid w:val="0056275A"/>
    <w:rsid w:val="0056476D"/>
    <w:rsid w:val="00565046"/>
    <w:rsid w:val="00571869"/>
    <w:rsid w:val="0057349E"/>
    <w:rsid w:val="0057544A"/>
    <w:rsid w:val="00577973"/>
    <w:rsid w:val="00581AAD"/>
    <w:rsid w:val="00581FCB"/>
    <w:rsid w:val="005833C2"/>
    <w:rsid w:val="0058488A"/>
    <w:rsid w:val="005857A2"/>
    <w:rsid w:val="0059050A"/>
    <w:rsid w:val="00593D57"/>
    <w:rsid w:val="00595204"/>
    <w:rsid w:val="005952EE"/>
    <w:rsid w:val="00596F9D"/>
    <w:rsid w:val="005A1CFF"/>
    <w:rsid w:val="005A2045"/>
    <w:rsid w:val="005A24C3"/>
    <w:rsid w:val="005A4488"/>
    <w:rsid w:val="005A4652"/>
    <w:rsid w:val="005A640E"/>
    <w:rsid w:val="005A78B7"/>
    <w:rsid w:val="005B128E"/>
    <w:rsid w:val="005B4DC0"/>
    <w:rsid w:val="005B5209"/>
    <w:rsid w:val="005B7143"/>
    <w:rsid w:val="005B7927"/>
    <w:rsid w:val="005C3827"/>
    <w:rsid w:val="005C6FE8"/>
    <w:rsid w:val="005D0FED"/>
    <w:rsid w:val="005D1300"/>
    <w:rsid w:val="005D1A45"/>
    <w:rsid w:val="005D4349"/>
    <w:rsid w:val="005D4E78"/>
    <w:rsid w:val="005D6BFC"/>
    <w:rsid w:val="005D710C"/>
    <w:rsid w:val="005D7559"/>
    <w:rsid w:val="005D7BC7"/>
    <w:rsid w:val="005D7EAC"/>
    <w:rsid w:val="005E0003"/>
    <w:rsid w:val="005E0A02"/>
    <w:rsid w:val="005E1CCA"/>
    <w:rsid w:val="005F4A54"/>
    <w:rsid w:val="005F4A5E"/>
    <w:rsid w:val="005F50FD"/>
    <w:rsid w:val="006003FC"/>
    <w:rsid w:val="00600F1E"/>
    <w:rsid w:val="00602654"/>
    <w:rsid w:val="00603DCA"/>
    <w:rsid w:val="00607790"/>
    <w:rsid w:val="006100D3"/>
    <w:rsid w:val="00613747"/>
    <w:rsid w:val="00613D1B"/>
    <w:rsid w:val="006151A2"/>
    <w:rsid w:val="006169DB"/>
    <w:rsid w:val="00620E49"/>
    <w:rsid w:val="00621839"/>
    <w:rsid w:val="00622EEE"/>
    <w:rsid w:val="00624097"/>
    <w:rsid w:val="006246DD"/>
    <w:rsid w:val="00624A65"/>
    <w:rsid w:val="00624C0D"/>
    <w:rsid w:val="00625965"/>
    <w:rsid w:val="0062722C"/>
    <w:rsid w:val="006302B0"/>
    <w:rsid w:val="006302FE"/>
    <w:rsid w:val="0063249E"/>
    <w:rsid w:val="00632FEE"/>
    <w:rsid w:val="006334DF"/>
    <w:rsid w:val="00634499"/>
    <w:rsid w:val="006358AF"/>
    <w:rsid w:val="00635B6D"/>
    <w:rsid w:val="006361F3"/>
    <w:rsid w:val="0064132F"/>
    <w:rsid w:val="0064158D"/>
    <w:rsid w:val="00641B1A"/>
    <w:rsid w:val="006429FD"/>
    <w:rsid w:val="00643638"/>
    <w:rsid w:val="00645F4C"/>
    <w:rsid w:val="00650293"/>
    <w:rsid w:val="00651476"/>
    <w:rsid w:val="00652E10"/>
    <w:rsid w:val="00655122"/>
    <w:rsid w:val="0065518B"/>
    <w:rsid w:val="006576E1"/>
    <w:rsid w:val="0066148B"/>
    <w:rsid w:val="006656CF"/>
    <w:rsid w:val="00665BA9"/>
    <w:rsid w:val="0067066A"/>
    <w:rsid w:val="00670D23"/>
    <w:rsid w:val="00670E7D"/>
    <w:rsid w:val="0067103B"/>
    <w:rsid w:val="00674C0D"/>
    <w:rsid w:val="006751F4"/>
    <w:rsid w:val="00676F33"/>
    <w:rsid w:val="0068075B"/>
    <w:rsid w:val="00682E18"/>
    <w:rsid w:val="00683D66"/>
    <w:rsid w:val="00684AA0"/>
    <w:rsid w:val="00686325"/>
    <w:rsid w:val="00687E22"/>
    <w:rsid w:val="00690688"/>
    <w:rsid w:val="00691DC2"/>
    <w:rsid w:val="0069248F"/>
    <w:rsid w:val="00692DE1"/>
    <w:rsid w:val="0069585C"/>
    <w:rsid w:val="006959AD"/>
    <w:rsid w:val="006959C6"/>
    <w:rsid w:val="00696044"/>
    <w:rsid w:val="006968B5"/>
    <w:rsid w:val="006A10CD"/>
    <w:rsid w:val="006A19B6"/>
    <w:rsid w:val="006A4E57"/>
    <w:rsid w:val="006A59F9"/>
    <w:rsid w:val="006A5C6D"/>
    <w:rsid w:val="006A67B1"/>
    <w:rsid w:val="006B0582"/>
    <w:rsid w:val="006B228E"/>
    <w:rsid w:val="006B3877"/>
    <w:rsid w:val="006B42BB"/>
    <w:rsid w:val="006B48C7"/>
    <w:rsid w:val="006B5B13"/>
    <w:rsid w:val="006C31FE"/>
    <w:rsid w:val="006C3C35"/>
    <w:rsid w:val="006C3CFF"/>
    <w:rsid w:val="006C5729"/>
    <w:rsid w:val="006C61CE"/>
    <w:rsid w:val="006D12E7"/>
    <w:rsid w:val="006D15AC"/>
    <w:rsid w:val="006D2B58"/>
    <w:rsid w:val="006D2ED0"/>
    <w:rsid w:val="006D3FEE"/>
    <w:rsid w:val="006D46DA"/>
    <w:rsid w:val="006D4EE8"/>
    <w:rsid w:val="006D52D7"/>
    <w:rsid w:val="006D6347"/>
    <w:rsid w:val="006E08B3"/>
    <w:rsid w:val="006E0F2D"/>
    <w:rsid w:val="006E1F59"/>
    <w:rsid w:val="006E2584"/>
    <w:rsid w:val="006E268E"/>
    <w:rsid w:val="006E3490"/>
    <w:rsid w:val="006E3BE2"/>
    <w:rsid w:val="006E5E90"/>
    <w:rsid w:val="006F0F15"/>
    <w:rsid w:val="006F2571"/>
    <w:rsid w:val="006F28AE"/>
    <w:rsid w:val="006F366F"/>
    <w:rsid w:val="006F41E9"/>
    <w:rsid w:val="006F51B9"/>
    <w:rsid w:val="006F699F"/>
    <w:rsid w:val="006F7182"/>
    <w:rsid w:val="00704123"/>
    <w:rsid w:val="00705625"/>
    <w:rsid w:val="00707B7A"/>
    <w:rsid w:val="00710B2E"/>
    <w:rsid w:val="00710D1F"/>
    <w:rsid w:val="0071143C"/>
    <w:rsid w:val="00714873"/>
    <w:rsid w:val="00714C56"/>
    <w:rsid w:val="00715515"/>
    <w:rsid w:val="007160A6"/>
    <w:rsid w:val="007207B4"/>
    <w:rsid w:val="00721020"/>
    <w:rsid w:val="007223CC"/>
    <w:rsid w:val="00722AEC"/>
    <w:rsid w:val="00722BBE"/>
    <w:rsid w:val="0072308F"/>
    <w:rsid w:val="007263FA"/>
    <w:rsid w:val="00730E2E"/>
    <w:rsid w:val="007340BC"/>
    <w:rsid w:val="00735AE8"/>
    <w:rsid w:val="007369FF"/>
    <w:rsid w:val="00736C17"/>
    <w:rsid w:val="00741688"/>
    <w:rsid w:val="0074216F"/>
    <w:rsid w:val="00742BB8"/>
    <w:rsid w:val="00742D9F"/>
    <w:rsid w:val="00745448"/>
    <w:rsid w:val="00745F36"/>
    <w:rsid w:val="0074680E"/>
    <w:rsid w:val="00746C38"/>
    <w:rsid w:val="00747715"/>
    <w:rsid w:val="00753D8E"/>
    <w:rsid w:val="00754E63"/>
    <w:rsid w:val="007555C0"/>
    <w:rsid w:val="00762D91"/>
    <w:rsid w:val="007637D9"/>
    <w:rsid w:val="00764ED2"/>
    <w:rsid w:val="007653D4"/>
    <w:rsid w:val="00770A27"/>
    <w:rsid w:val="00770B84"/>
    <w:rsid w:val="00773B18"/>
    <w:rsid w:val="00774E8D"/>
    <w:rsid w:val="00776676"/>
    <w:rsid w:val="0077686E"/>
    <w:rsid w:val="007771D5"/>
    <w:rsid w:val="007771F4"/>
    <w:rsid w:val="007778E0"/>
    <w:rsid w:val="00777BA6"/>
    <w:rsid w:val="00780216"/>
    <w:rsid w:val="00780474"/>
    <w:rsid w:val="0078136A"/>
    <w:rsid w:val="00781C59"/>
    <w:rsid w:val="00782495"/>
    <w:rsid w:val="007826CC"/>
    <w:rsid w:val="00783493"/>
    <w:rsid w:val="0078613C"/>
    <w:rsid w:val="00786758"/>
    <w:rsid w:val="00786E85"/>
    <w:rsid w:val="00790DDA"/>
    <w:rsid w:val="00792D2D"/>
    <w:rsid w:val="00794245"/>
    <w:rsid w:val="00796B77"/>
    <w:rsid w:val="007971C4"/>
    <w:rsid w:val="007A04BB"/>
    <w:rsid w:val="007A0E35"/>
    <w:rsid w:val="007A33DA"/>
    <w:rsid w:val="007A3A3E"/>
    <w:rsid w:val="007A3B9A"/>
    <w:rsid w:val="007A4C14"/>
    <w:rsid w:val="007A62FE"/>
    <w:rsid w:val="007A7096"/>
    <w:rsid w:val="007B05A6"/>
    <w:rsid w:val="007B180E"/>
    <w:rsid w:val="007B304A"/>
    <w:rsid w:val="007B5361"/>
    <w:rsid w:val="007B6A64"/>
    <w:rsid w:val="007B7690"/>
    <w:rsid w:val="007C02B8"/>
    <w:rsid w:val="007C37A3"/>
    <w:rsid w:val="007C37B7"/>
    <w:rsid w:val="007C40DF"/>
    <w:rsid w:val="007C48BA"/>
    <w:rsid w:val="007C60E5"/>
    <w:rsid w:val="007D0862"/>
    <w:rsid w:val="007D0BA4"/>
    <w:rsid w:val="007D291E"/>
    <w:rsid w:val="007D3DC8"/>
    <w:rsid w:val="007D560B"/>
    <w:rsid w:val="007D6720"/>
    <w:rsid w:val="007D7F9E"/>
    <w:rsid w:val="007E05A8"/>
    <w:rsid w:val="007E2065"/>
    <w:rsid w:val="007E226E"/>
    <w:rsid w:val="007E6B42"/>
    <w:rsid w:val="007F0094"/>
    <w:rsid w:val="007F0BFE"/>
    <w:rsid w:val="007F19F1"/>
    <w:rsid w:val="007F24EA"/>
    <w:rsid w:val="007F47EB"/>
    <w:rsid w:val="007F48F3"/>
    <w:rsid w:val="007F5CDE"/>
    <w:rsid w:val="007F6BD8"/>
    <w:rsid w:val="008055D8"/>
    <w:rsid w:val="00805748"/>
    <w:rsid w:val="00806465"/>
    <w:rsid w:val="008114CE"/>
    <w:rsid w:val="008140D4"/>
    <w:rsid w:val="00815E0F"/>
    <w:rsid w:val="008167F5"/>
    <w:rsid w:val="00817548"/>
    <w:rsid w:val="0081773C"/>
    <w:rsid w:val="00817BE0"/>
    <w:rsid w:val="00820448"/>
    <w:rsid w:val="00820795"/>
    <w:rsid w:val="00820C2C"/>
    <w:rsid w:val="00821309"/>
    <w:rsid w:val="00823A19"/>
    <w:rsid w:val="0082580E"/>
    <w:rsid w:val="008269C7"/>
    <w:rsid w:val="00832DCE"/>
    <w:rsid w:val="00833A39"/>
    <w:rsid w:val="00835DE0"/>
    <w:rsid w:val="00836E52"/>
    <w:rsid w:val="00842DE1"/>
    <w:rsid w:val="00847AD4"/>
    <w:rsid w:val="00851619"/>
    <w:rsid w:val="00852081"/>
    <w:rsid w:val="0085386D"/>
    <w:rsid w:val="00855024"/>
    <w:rsid w:val="008560B1"/>
    <w:rsid w:val="008660E5"/>
    <w:rsid w:val="0086635F"/>
    <w:rsid w:val="00876CF3"/>
    <w:rsid w:val="00876DE8"/>
    <w:rsid w:val="00880AB1"/>
    <w:rsid w:val="008811E1"/>
    <w:rsid w:val="00881D3F"/>
    <w:rsid w:val="00884CB9"/>
    <w:rsid w:val="00885185"/>
    <w:rsid w:val="008910F1"/>
    <w:rsid w:val="0089133C"/>
    <w:rsid w:val="00894628"/>
    <w:rsid w:val="008976A8"/>
    <w:rsid w:val="008A3EF4"/>
    <w:rsid w:val="008A584B"/>
    <w:rsid w:val="008A783B"/>
    <w:rsid w:val="008B20AE"/>
    <w:rsid w:val="008B29A2"/>
    <w:rsid w:val="008B4B1B"/>
    <w:rsid w:val="008B4EBA"/>
    <w:rsid w:val="008B640B"/>
    <w:rsid w:val="008B6F89"/>
    <w:rsid w:val="008B70EE"/>
    <w:rsid w:val="008C05E5"/>
    <w:rsid w:val="008C24CB"/>
    <w:rsid w:val="008C2C82"/>
    <w:rsid w:val="008C2DA3"/>
    <w:rsid w:val="008C4BCC"/>
    <w:rsid w:val="008C4CE6"/>
    <w:rsid w:val="008C6645"/>
    <w:rsid w:val="008C6C9D"/>
    <w:rsid w:val="008D1F20"/>
    <w:rsid w:val="008D21E8"/>
    <w:rsid w:val="008D4ED0"/>
    <w:rsid w:val="008D68FC"/>
    <w:rsid w:val="008E36D4"/>
    <w:rsid w:val="008E37FB"/>
    <w:rsid w:val="008E58EA"/>
    <w:rsid w:val="008E63AD"/>
    <w:rsid w:val="008F0365"/>
    <w:rsid w:val="008F15E8"/>
    <w:rsid w:val="008F21C7"/>
    <w:rsid w:val="008F3B63"/>
    <w:rsid w:val="008F429E"/>
    <w:rsid w:val="008F60E8"/>
    <w:rsid w:val="008F7206"/>
    <w:rsid w:val="008F7DF6"/>
    <w:rsid w:val="00900F25"/>
    <w:rsid w:val="009013B2"/>
    <w:rsid w:val="00901B7D"/>
    <w:rsid w:val="00903EAC"/>
    <w:rsid w:val="009058A7"/>
    <w:rsid w:val="00905AB6"/>
    <w:rsid w:val="0090697C"/>
    <w:rsid w:val="00907B85"/>
    <w:rsid w:val="00915372"/>
    <w:rsid w:val="00916A03"/>
    <w:rsid w:val="00917C44"/>
    <w:rsid w:val="0092125D"/>
    <w:rsid w:val="00921FB0"/>
    <w:rsid w:val="009223B1"/>
    <w:rsid w:val="00925948"/>
    <w:rsid w:val="00930F26"/>
    <w:rsid w:val="00935930"/>
    <w:rsid w:val="00936AEF"/>
    <w:rsid w:val="00937691"/>
    <w:rsid w:val="009404F7"/>
    <w:rsid w:val="00940C73"/>
    <w:rsid w:val="00940EC5"/>
    <w:rsid w:val="00942FCC"/>
    <w:rsid w:val="009434CF"/>
    <w:rsid w:val="00945FDD"/>
    <w:rsid w:val="009506E4"/>
    <w:rsid w:val="00951048"/>
    <w:rsid w:val="009515BB"/>
    <w:rsid w:val="00951872"/>
    <w:rsid w:val="00952366"/>
    <w:rsid w:val="009523C1"/>
    <w:rsid w:val="009537AA"/>
    <w:rsid w:val="00953C39"/>
    <w:rsid w:val="00954B19"/>
    <w:rsid w:val="00955014"/>
    <w:rsid w:val="009575BC"/>
    <w:rsid w:val="00960D20"/>
    <w:rsid w:val="009611CA"/>
    <w:rsid w:val="0096358A"/>
    <w:rsid w:val="00963906"/>
    <w:rsid w:val="00964122"/>
    <w:rsid w:val="009665DF"/>
    <w:rsid w:val="00966F81"/>
    <w:rsid w:val="00970ABA"/>
    <w:rsid w:val="00972C05"/>
    <w:rsid w:val="00972CB7"/>
    <w:rsid w:val="00973CAB"/>
    <w:rsid w:val="009750E7"/>
    <w:rsid w:val="0097739B"/>
    <w:rsid w:val="00980941"/>
    <w:rsid w:val="00981C91"/>
    <w:rsid w:val="009827C4"/>
    <w:rsid w:val="00985AA5"/>
    <w:rsid w:val="009901E8"/>
    <w:rsid w:val="00990B44"/>
    <w:rsid w:val="00994FB0"/>
    <w:rsid w:val="00995976"/>
    <w:rsid w:val="00996F1C"/>
    <w:rsid w:val="009A0BFD"/>
    <w:rsid w:val="009A1084"/>
    <w:rsid w:val="009A1642"/>
    <w:rsid w:val="009A2471"/>
    <w:rsid w:val="009A24B3"/>
    <w:rsid w:val="009A2F41"/>
    <w:rsid w:val="009A3683"/>
    <w:rsid w:val="009A46F7"/>
    <w:rsid w:val="009A49C6"/>
    <w:rsid w:val="009A559B"/>
    <w:rsid w:val="009A5B7B"/>
    <w:rsid w:val="009A5C31"/>
    <w:rsid w:val="009B07C8"/>
    <w:rsid w:val="009B2133"/>
    <w:rsid w:val="009B22AB"/>
    <w:rsid w:val="009B23F1"/>
    <w:rsid w:val="009B4CCD"/>
    <w:rsid w:val="009B535D"/>
    <w:rsid w:val="009B6CEA"/>
    <w:rsid w:val="009B6FF2"/>
    <w:rsid w:val="009B74C3"/>
    <w:rsid w:val="009C10B9"/>
    <w:rsid w:val="009C25F8"/>
    <w:rsid w:val="009C34B1"/>
    <w:rsid w:val="009C6848"/>
    <w:rsid w:val="009D022F"/>
    <w:rsid w:val="009D0756"/>
    <w:rsid w:val="009D0763"/>
    <w:rsid w:val="009D3854"/>
    <w:rsid w:val="009D3C75"/>
    <w:rsid w:val="009D57E1"/>
    <w:rsid w:val="009D586F"/>
    <w:rsid w:val="009D655B"/>
    <w:rsid w:val="009D716D"/>
    <w:rsid w:val="009E2CFF"/>
    <w:rsid w:val="009E61EF"/>
    <w:rsid w:val="009F0861"/>
    <w:rsid w:val="009F090A"/>
    <w:rsid w:val="009F13A8"/>
    <w:rsid w:val="009F1C5F"/>
    <w:rsid w:val="009F1D27"/>
    <w:rsid w:val="009F2D97"/>
    <w:rsid w:val="009F2E9A"/>
    <w:rsid w:val="009F3025"/>
    <w:rsid w:val="009F515D"/>
    <w:rsid w:val="009F5F38"/>
    <w:rsid w:val="009F6CE1"/>
    <w:rsid w:val="009F6E39"/>
    <w:rsid w:val="009F7E7A"/>
    <w:rsid w:val="00A00F2B"/>
    <w:rsid w:val="00A01A00"/>
    <w:rsid w:val="00A04651"/>
    <w:rsid w:val="00A06245"/>
    <w:rsid w:val="00A06CC3"/>
    <w:rsid w:val="00A11504"/>
    <w:rsid w:val="00A1237E"/>
    <w:rsid w:val="00A12D92"/>
    <w:rsid w:val="00A153C6"/>
    <w:rsid w:val="00A16AD7"/>
    <w:rsid w:val="00A17154"/>
    <w:rsid w:val="00A221A9"/>
    <w:rsid w:val="00A23D89"/>
    <w:rsid w:val="00A24ED6"/>
    <w:rsid w:val="00A25CBC"/>
    <w:rsid w:val="00A304BE"/>
    <w:rsid w:val="00A3102E"/>
    <w:rsid w:val="00A310AC"/>
    <w:rsid w:val="00A31CD4"/>
    <w:rsid w:val="00A33FB3"/>
    <w:rsid w:val="00A351C4"/>
    <w:rsid w:val="00A362BF"/>
    <w:rsid w:val="00A37699"/>
    <w:rsid w:val="00A37BB4"/>
    <w:rsid w:val="00A4272E"/>
    <w:rsid w:val="00A42A49"/>
    <w:rsid w:val="00A430A1"/>
    <w:rsid w:val="00A438C3"/>
    <w:rsid w:val="00A4659B"/>
    <w:rsid w:val="00A468BF"/>
    <w:rsid w:val="00A52142"/>
    <w:rsid w:val="00A54467"/>
    <w:rsid w:val="00A54D36"/>
    <w:rsid w:val="00A5561F"/>
    <w:rsid w:val="00A56060"/>
    <w:rsid w:val="00A56104"/>
    <w:rsid w:val="00A5671E"/>
    <w:rsid w:val="00A57E78"/>
    <w:rsid w:val="00A613EE"/>
    <w:rsid w:val="00A6173C"/>
    <w:rsid w:val="00A61AE9"/>
    <w:rsid w:val="00A62712"/>
    <w:rsid w:val="00A64713"/>
    <w:rsid w:val="00A67FF5"/>
    <w:rsid w:val="00A70244"/>
    <w:rsid w:val="00A702B9"/>
    <w:rsid w:val="00A703B4"/>
    <w:rsid w:val="00A71C1E"/>
    <w:rsid w:val="00A72775"/>
    <w:rsid w:val="00A74A87"/>
    <w:rsid w:val="00A75139"/>
    <w:rsid w:val="00A7624C"/>
    <w:rsid w:val="00A76424"/>
    <w:rsid w:val="00A82F4B"/>
    <w:rsid w:val="00A836BD"/>
    <w:rsid w:val="00A83CE6"/>
    <w:rsid w:val="00A84FC3"/>
    <w:rsid w:val="00A86072"/>
    <w:rsid w:val="00A87291"/>
    <w:rsid w:val="00A907B4"/>
    <w:rsid w:val="00A954BB"/>
    <w:rsid w:val="00A95CBD"/>
    <w:rsid w:val="00AA0074"/>
    <w:rsid w:val="00AA0D49"/>
    <w:rsid w:val="00AA6F2F"/>
    <w:rsid w:val="00AA78E3"/>
    <w:rsid w:val="00AB47BE"/>
    <w:rsid w:val="00AB4B38"/>
    <w:rsid w:val="00AB60DA"/>
    <w:rsid w:val="00AC502C"/>
    <w:rsid w:val="00AC6FAB"/>
    <w:rsid w:val="00AC710F"/>
    <w:rsid w:val="00AC7655"/>
    <w:rsid w:val="00AD6039"/>
    <w:rsid w:val="00AE13AE"/>
    <w:rsid w:val="00AE24B8"/>
    <w:rsid w:val="00AE2D20"/>
    <w:rsid w:val="00AE323E"/>
    <w:rsid w:val="00AE5B5E"/>
    <w:rsid w:val="00AE61B7"/>
    <w:rsid w:val="00AF0243"/>
    <w:rsid w:val="00AF1FDE"/>
    <w:rsid w:val="00AF1FF7"/>
    <w:rsid w:val="00AF2501"/>
    <w:rsid w:val="00AF427E"/>
    <w:rsid w:val="00B005A6"/>
    <w:rsid w:val="00B01A34"/>
    <w:rsid w:val="00B03161"/>
    <w:rsid w:val="00B05DF7"/>
    <w:rsid w:val="00B07E8B"/>
    <w:rsid w:val="00B1391B"/>
    <w:rsid w:val="00B14176"/>
    <w:rsid w:val="00B177D3"/>
    <w:rsid w:val="00B17E37"/>
    <w:rsid w:val="00B20015"/>
    <w:rsid w:val="00B21E35"/>
    <w:rsid w:val="00B2307C"/>
    <w:rsid w:val="00B23F40"/>
    <w:rsid w:val="00B26173"/>
    <w:rsid w:val="00B273E5"/>
    <w:rsid w:val="00B27BB9"/>
    <w:rsid w:val="00B27F89"/>
    <w:rsid w:val="00B3161F"/>
    <w:rsid w:val="00B3341C"/>
    <w:rsid w:val="00B334A5"/>
    <w:rsid w:val="00B341E4"/>
    <w:rsid w:val="00B34D4E"/>
    <w:rsid w:val="00B3506F"/>
    <w:rsid w:val="00B3632F"/>
    <w:rsid w:val="00B40D19"/>
    <w:rsid w:val="00B447AB"/>
    <w:rsid w:val="00B45A7E"/>
    <w:rsid w:val="00B4612E"/>
    <w:rsid w:val="00B46A55"/>
    <w:rsid w:val="00B47082"/>
    <w:rsid w:val="00B50E20"/>
    <w:rsid w:val="00B510D7"/>
    <w:rsid w:val="00B61259"/>
    <w:rsid w:val="00B61839"/>
    <w:rsid w:val="00B62C36"/>
    <w:rsid w:val="00B633F9"/>
    <w:rsid w:val="00B63501"/>
    <w:rsid w:val="00B64A97"/>
    <w:rsid w:val="00B656F3"/>
    <w:rsid w:val="00B65B95"/>
    <w:rsid w:val="00B66E25"/>
    <w:rsid w:val="00B675BE"/>
    <w:rsid w:val="00B70116"/>
    <w:rsid w:val="00B7034E"/>
    <w:rsid w:val="00B70D22"/>
    <w:rsid w:val="00B71CFC"/>
    <w:rsid w:val="00B720B3"/>
    <w:rsid w:val="00B722EA"/>
    <w:rsid w:val="00B72C28"/>
    <w:rsid w:val="00B765DE"/>
    <w:rsid w:val="00B77397"/>
    <w:rsid w:val="00B82FCF"/>
    <w:rsid w:val="00B84128"/>
    <w:rsid w:val="00B84211"/>
    <w:rsid w:val="00B860C1"/>
    <w:rsid w:val="00B86677"/>
    <w:rsid w:val="00B9027E"/>
    <w:rsid w:val="00B90831"/>
    <w:rsid w:val="00B92230"/>
    <w:rsid w:val="00B92E6D"/>
    <w:rsid w:val="00B94F87"/>
    <w:rsid w:val="00B9637F"/>
    <w:rsid w:val="00B97860"/>
    <w:rsid w:val="00BA0579"/>
    <w:rsid w:val="00BA0ADC"/>
    <w:rsid w:val="00BA1E62"/>
    <w:rsid w:val="00BA4D0A"/>
    <w:rsid w:val="00BA7BB5"/>
    <w:rsid w:val="00BB3FBB"/>
    <w:rsid w:val="00BB47C9"/>
    <w:rsid w:val="00BB52C2"/>
    <w:rsid w:val="00BB6CAE"/>
    <w:rsid w:val="00BB7082"/>
    <w:rsid w:val="00BC0E00"/>
    <w:rsid w:val="00BC1658"/>
    <w:rsid w:val="00BC16F0"/>
    <w:rsid w:val="00BC23BE"/>
    <w:rsid w:val="00BC2CA9"/>
    <w:rsid w:val="00BC4D96"/>
    <w:rsid w:val="00BC5848"/>
    <w:rsid w:val="00BC603F"/>
    <w:rsid w:val="00BC6187"/>
    <w:rsid w:val="00BD07FE"/>
    <w:rsid w:val="00BD22B3"/>
    <w:rsid w:val="00BD28B7"/>
    <w:rsid w:val="00BD3225"/>
    <w:rsid w:val="00BD412F"/>
    <w:rsid w:val="00BD45B6"/>
    <w:rsid w:val="00BD6187"/>
    <w:rsid w:val="00BD6344"/>
    <w:rsid w:val="00BD6FD6"/>
    <w:rsid w:val="00BD75C1"/>
    <w:rsid w:val="00BE2877"/>
    <w:rsid w:val="00BE2E23"/>
    <w:rsid w:val="00BE6A3F"/>
    <w:rsid w:val="00BE72B8"/>
    <w:rsid w:val="00BF0F26"/>
    <w:rsid w:val="00BF3D20"/>
    <w:rsid w:val="00BF3EA5"/>
    <w:rsid w:val="00BF6250"/>
    <w:rsid w:val="00C0330F"/>
    <w:rsid w:val="00C04A06"/>
    <w:rsid w:val="00C04AE4"/>
    <w:rsid w:val="00C06221"/>
    <w:rsid w:val="00C0709B"/>
    <w:rsid w:val="00C10445"/>
    <w:rsid w:val="00C105AC"/>
    <w:rsid w:val="00C117BE"/>
    <w:rsid w:val="00C122DB"/>
    <w:rsid w:val="00C14848"/>
    <w:rsid w:val="00C154C5"/>
    <w:rsid w:val="00C159BB"/>
    <w:rsid w:val="00C16398"/>
    <w:rsid w:val="00C16778"/>
    <w:rsid w:val="00C20491"/>
    <w:rsid w:val="00C21343"/>
    <w:rsid w:val="00C21E89"/>
    <w:rsid w:val="00C22276"/>
    <w:rsid w:val="00C23EC5"/>
    <w:rsid w:val="00C24CCA"/>
    <w:rsid w:val="00C24EA0"/>
    <w:rsid w:val="00C25085"/>
    <w:rsid w:val="00C25D96"/>
    <w:rsid w:val="00C26B89"/>
    <w:rsid w:val="00C26F41"/>
    <w:rsid w:val="00C32602"/>
    <w:rsid w:val="00C327B7"/>
    <w:rsid w:val="00C35F7B"/>
    <w:rsid w:val="00C3616C"/>
    <w:rsid w:val="00C36E85"/>
    <w:rsid w:val="00C41057"/>
    <w:rsid w:val="00C4189F"/>
    <w:rsid w:val="00C42EBC"/>
    <w:rsid w:val="00C44737"/>
    <w:rsid w:val="00C501BE"/>
    <w:rsid w:val="00C50938"/>
    <w:rsid w:val="00C527E9"/>
    <w:rsid w:val="00C53AA5"/>
    <w:rsid w:val="00C5496A"/>
    <w:rsid w:val="00C56909"/>
    <w:rsid w:val="00C627AF"/>
    <w:rsid w:val="00C62C27"/>
    <w:rsid w:val="00C63E2F"/>
    <w:rsid w:val="00C6433F"/>
    <w:rsid w:val="00C643C7"/>
    <w:rsid w:val="00C6609F"/>
    <w:rsid w:val="00C75153"/>
    <w:rsid w:val="00C772F9"/>
    <w:rsid w:val="00C81692"/>
    <w:rsid w:val="00C838AF"/>
    <w:rsid w:val="00C859F6"/>
    <w:rsid w:val="00C85EB3"/>
    <w:rsid w:val="00C87F96"/>
    <w:rsid w:val="00C90395"/>
    <w:rsid w:val="00C92E57"/>
    <w:rsid w:val="00C9330E"/>
    <w:rsid w:val="00C94859"/>
    <w:rsid w:val="00C95A23"/>
    <w:rsid w:val="00CA1D02"/>
    <w:rsid w:val="00CA1E68"/>
    <w:rsid w:val="00CA2BE9"/>
    <w:rsid w:val="00CA2EC1"/>
    <w:rsid w:val="00CA4855"/>
    <w:rsid w:val="00CA6862"/>
    <w:rsid w:val="00CA6CD9"/>
    <w:rsid w:val="00CA7D6D"/>
    <w:rsid w:val="00CB071A"/>
    <w:rsid w:val="00CB07C1"/>
    <w:rsid w:val="00CB55B0"/>
    <w:rsid w:val="00CB6DD9"/>
    <w:rsid w:val="00CB7A3F"/>
    <w:rsid w:val="00CB7B68"/>
    <w:rsid w:val="00CC126D"/>
    <w:rsid w:val="00CC1A37"/>
    <w:rsid w:val="00CC3D99"/>
    <w:rsid w:val="00CC5A8A"/>
    <w:rsid w:val="00CC639A"/>
    <w:rsid w:val="00CC66AB"/>
    <w:rsid w:val="00CD55EE"/>
    <w:rsid w:val="00CD6C1B"/>
    <w:rsid w:val="00CD6E7A"/>
    <w:rsid w:val="00CD78CD"/>
    <w:rsid w:val="00CE0453"/>
    <w:rsid w:val="00CE304C"/>
    <w:rsid w:val="00CE5D88"/>
    <w:rsid w:val="00CE5FA7"/>
    <w:rsid w:val="00CF07C2"/>
    <w:rsid w:val="00CF0ED7"/>
    <w:rsid w:val="00CF21AE"/>
    <w:rsid w:val="00CF37A2"/>
    <w:rsid w:val="00CF3B13"/>
    <w:rsid w:val="00CF3B72"/>
    <w:rsid w:val="00CF3E90"/>
    <w:rsid w:val="00CF68B5"/>
    <w:rsid w:val="00D02BC6"/>
    <w:rsid w:val="00D03578"/>
    <w:rsid w:val="00D03D73"/>
    <w:rsid w:val="00D06DDC"/>
    <w:rsid w:val="00D07DB0"/>
    <w:rsid w:val="00D14628"/>
    <w:rsid w:val="00D15B77"/>
    <w:rsid w:val="00D1763B"/>
    <w:rsid w:val="00D17A2F"/>
    <w:rsid w:val="00D20462"/>
    <w:rsid w:val="00D20521"/>
    <w:rsid w:val="00D2062B"/>
    <w:rsid w:val="00D21452"/>
    <w:rsid w:val="00D21C66"/>
    <w:rsid w:val="00D24574"/>
    <w:rsid w:val="00D24BCE"/>
    <w:rsid w:val="00D2594D"/>
    <w:rsid w:val="00D264C7"/>
    <w:rsid w:val="00D31A67"/>
    <w:rsid w:val="00D33867"/>
    <w:rsid w:val="00D34508"/>
    <w:rsid w:val="00D34513"/>
    <w:rsid w:val="00D3734D"/>
    <w:rsid w:val="00D41CC0"/>
    <w:rsid w:val="00D423EA"/>
    <w:rsid w:val="00D43A04"/>
    <w:rsid w:val="00D455B9"/>
    <w:rsid w:val="00D45A1E"/>
    <w:rsid w:val="00D45B06"/>
    <w:rsid w:val="00D463FE"/>
    <w:rsid w:val="00D50584"/>
    <w:rsid w:val="00D5105C"/>
    <w:rsid w:val="00D511D6"/>
    <w:rsid w:val="00D52A64"/>
    <w:rsid w:val="00D52DB5"/>
    <w:rsid w:val="00D53E33"/>
    <w:rsid w:val="00D5414C"/>
    <w:rsid w:val="00D55624"/>
    <w:rsid w:val="00D579FB"/>
    <w:rsid w:val="00D6134D"/>
    <w:rsid w:val="00D64FAD"/>
    <w:rsid w:val="00D65697"/>
    <w:rsid w:val="00D65D69"/>
    <w:rsid w:val="00D67A17"/>
    <w:rsid w:val="00D725A8"/>
    <w:rsid w:val="00D72A9E"/>
    <w:rsid w:val="00D72B45"/>
    <w:rsid w:val="00D73FF4"/>
    <w:rsid w:val="00D742CD"/>
    <w:rsid w:val="00D7440C"/>
    <w:rsid w:val="00D754E9"/>
    <w:rsid w:val="00D767C7"/>
    <w:rsid w:val="00D76924"/>
    <w:rsid w:val="00D76F04"/>
    <w:rsid w:val="00D80532"/>
    <w:rsid w:val="00D827CF"/>
    <w:rsid w:val="00D82D34"/>
    <w:rsid w:val="00D82FBD"/>
    <w:rsid w:val="00D85828"/>
    <w:rsid w:val="00D87862"/>
    <w:rsid w:val="00D92A18"/>
    <w:rsid w:val="00D94030"/>
    <w:rsid w:val="00D9452C"/>
    <w:rsid w:val="00D947FC"/>
    <w:rsid w:val="00D951F5"/>
    <w:rsid w:val="00D95FCC"/>
    <w:rsid w:val="00D960F3"/>
    <w:rsid w:val="00D96AF1"/>
    <w:rsid w:val="00DA0C0A"/>
    <w:rsid w:val="00DA75AB"/>
    <w:rsid w:val="00DB1A8D"/>
    <w:rsid w:val="00DB2E48"/>
    <w:rsid w:val="00DB2F00"/>
    <w:rsid w:val="00DB3360"/>
    <w:rsid w:val="00DB4FED"/>
    <w:rsid w:val="00DB6053"/>
    <w:rsid w:val="00DC0762"/>
    <w:rsid w:val="00DC0EAC"/>
    <w:rsid w:val="00DC355E"/>
    <w:rsid w:val="00DC4316"/>
    <w:rsid w:val="00DC4484"/>
    <w:rsid w:val="00DC4BE4"/>
    <w:rsid w:val="00DC6A33"/>
    <w:rsid w:val="00DC7FA4"/>
    <w:rsid w:val="00DD07B2"/>
    <w:rsid w:val="00DD16C5"/>
    <w:rsid w:val="00DD75FC"/>
    <w:rsid w:val="00DD7EAE"/>
    <w:rsid w:val="00DE3143"/>
    <w:rsid w:val="00DE4C08"/>
    <w:rsid w:val="00DE50EB"/>
    <w:rsid w:val="00DE598B"/>
    <w:rsid w:val="00DE6134"/>
    <w:rsid w:val="00DE71C1"/>
    <w:rsid w:val="00DE71FC"/>
    <w:rsid w:val="00DE7638"/>
    <w:rsid w:val="00DF1AAD"/>
    <w:rsid w:val="00DF1CFA"/>
    <w:rsid w:val="00DF1F3A"/>
    <w:rsid w:val="00DF3808"/>
    <w:rsid w:val="00DF478D"/>
    <w:rsid w:val="00DF5898"/>
    <w:rsid w:val="00E0064B"/>
    <w:rsid w:val="00E00E40"/>
    <w:rsid w:val="00E010D3"/>
    <w:rsid w:val="00E01435"/>
    <w:rsid w:val="00E06B9F"/>
    <w:rsid w:val="00E10A5F"/>
    <w:rsid w:val="00E12B00"/>
    <w:rsid w:val="00E157A8"/>
    <w:rsid w:val="00E15D97"/>
    <w:rsid w:val="00E162FB"/>
    <w:rsid w:val="00E16B03"/>
    <w:rsid w:val="00E17157"/>
    <w:rsid w:val="00E20247"/>
    <w:rsid w:val="00E20575"/>
    <w:rsid w:val="00E21F95"/>
    <w:rsid w:val="00E234E3"/>
    <w:rsid w:val="00E241F5"/>
    <w:rsid w:val="00E247C1"/>
    <w:rsid w:val="00E24F84"/>
    <w:rsid w:val="00E26F0D"/>
    <w:rsid w:val="00E309AD"/>
    <w:rsid w:val="00E30F9F"/>
    <w:rsid w:val="00E356C1"/>
    <w:rsid w:val="00E3641D"/>
    <w:rsid w:val="00E409AE"/>
    <w:rsid w:val="00E40B90"/>
    <w:rsid w:val="00E4117D"/>
    <w:rsid w:val="00E41D32"/>
    <w:rsid w:val="00E422B7"/>
    <w:rsid w:val="00E449DF"/>
    <w:rsid w:val="00E45249"/>
    <w:rsid w:val="00E45D27"/>
    <w:rsid w:val="00E509CB"/>
    <w:rsid w:val="00E51260"/>
    <w:rsid w:val="00E51465"/>
    <w:rsid w:val="00E51D79"/>
    <w:rsid w:val="00E52301"/>
    <w:rsid w:val="00E52C58"/>
    <w:rsid w:val="00E535E9"/>
    <w:rsid w:val="00E53D58"/>
    <w:rsid w:val="00E5435F"/>
    <w:rsid w:val="00E55750"/>
    <w:rsid w:val="00E56192"/>
    <w:rsid w:val="00E57485"/>
    <w:rsid w:val="00E6243A"/>
    <w:rsid w:val="00E66108"/>
    <w:rsid w:val="00E70E8D"/>
    <w:rsid w:val="00E71971"/>
    <w:rsid w:val="00E74B48"/>
    <w:rsid w:val="00E80F3F"/>
    <w:rsid w:val="00E81B23"/>
    <w:rsid w:val="00E83944"/>
    <w:rsid w:val="00E839A8"/>
    <w:rsid w:val="00E83BD5"/>
    <w:rsid w:val="00E86BF6"/>
    <w:rsid w:val="00E875EF"/>
    <w:rsid w:val="00E87B71"/>
    <w:rsid w:val="00E90A98"/>
    <w:rsid w:val="00E90BAC"/>
    <w:rsid w:val="00E90C40"/>
    <w:rsid w:val="00E95B49"/>
    <w:rsid w:val="00E95E5F"/>
    <w:rsid w:val="00E97800"/>
    <w:rsid w:val="00EA00BC"/>
    <w:rsid w:val="00EA30F2"/>
    <w:rsid w:val="00EA451C"/>
    <w:rsid w:val="00EA7409"/>
    <w:rsid w:val="00EB1AF5"/>
    <w:rsid w:val="00EB5F97"/>
    <w:rsid w:val="00EB647E"/>
    <w:rsid w:val="00EB6B85"/>
    <w:rsid w:val="00EC02AB"/>
    <w:rsid w:val="00EC198D"/>
    <w:rsid w:val="00EC1D4F"/>
    <w:rsid w:val="00EC311B"/>
    <w:rsid w:val="00EC3F16"/>
    <w:rsid w:val="00EC4045"/>
    <w:rsid w:val="00EC573C"/>
    <w:rsid w:val="00EC5EF1"/>
    <w:rsid w:val="00EC6C0D"/>
    <w:rsid w:val="00ED039F"/>
    <w:rsid w:val="00ED139C"/>
    <w:rsid w:val="00ED3707"/>
    <w:rsid w:val="00ED5CA4"/>
    <w:rsid w:val="00EE017C"/>
    <w:rsid w:val="00EE0A80"/>
    <w:rsid w:val="00EE6691"/>
    <w:rsid w:val="00EF043A"/>
    <w:rsid w:val="00EF2FD9"/>
    <w:rsid w:val="00EF376D"/>
    <w:rsid w:val="00EF3C6B"/>
    <w:rsid w:val="00EF3DDE"/>
    <w:rsid w:val="00EF49DF"/>
    <w:rsid w:val="00EF7604"/>
    <w:rsid w:val="00EF7886"/>
    <w:rsid w:val="00F00818"/>
    <w:rsid w:val="00F01FAD"/>
    <w:rsid w:val="00F045E4"/>
    <w:rsid w:val="00F04AD3"/>
    <w:rsid w:val="00F06A86"/>
    <w:rsid w:val="00F11712"/>
    <w:rsid w:val="00F11E7E"/>
    <w:rsid w:val="00F1485B"/>
    <w:rsid w:val="00F15A3B"/>
    <w:rsid w:val="00F17482"/>
    <w:rsid w:val="00F17605"/>
    <w:rsid w:val="00F17E38"/>
    <w:rsid w:val="00F21ACC"/>
    <w:rsid w:val="00F224CE"/>
    <w:rsid w:val="00F238F7"/>
    <w:rsid w:val="00F247F3"/>
    <w:rsid w:val="00F251C6"/>
    <w:rsid w:val="00F259BC"/>
    <w:rsid w:val="00F26451"/>
    <w:rsid w:val="00F26510"/>
    <w:rsid w:val="00F3106E"/>
    <w:rsid w:val="00F32B1B"/>
    <w:rsid w:val="00F34184"/>
    <w:rsid w:val="00F346E7"/>
    <w:rsid w:val="00F36260"/>
    <w:rsid w:val="00F37E62"/>
    <w:rsid w:val="00F400EC"/>
    <w:rsid w:val="00F43CD1"/>
    <w:rsid w:val="00F45650"/>
    <w:rsid w:val="00F45C82"/>
    <w:rsid w:val="00F46BF4"/>
    <w:rsid w:val="00F4721E"/>
    <w:rsid w:val="00F50EE2"/>
    <w:rsid w:val="00F54E67"/>
    <w:rsid w:val="00F552BC"/>
    <w:rsid w:val="00F55BD5"/>
    <w:rsid w:val="00F576E1"/>
    <w:rsid w:val="00F60CB1"/>
    <w:rsid w:val="00F61E6A"/>
    <w:rsid w:val="00F627CB"/>
    <w:rsid w:val="00F643D6"/>
    <w:rsid w:val="00F659B6"/>
    <w:rsid w:val="00F72F26"/>
    <w:rsid w:val="00F754FB"/>
    <w:rsid w:val="00F80E21"/>
    <w:rsid w:val="00F814DB"/>
    <w:rsid w:val="00F81DFC"/>
    <w:rsid w:val="00F855D8"/>
    <w:rsid w:val="00F85A91"/>
    <w:rsid w:val="00F864BC"/>
    <w:rsid w:val="00F923F3"/>
    <w:rsid w:val="00F9289F"/>
    <w:rsid w:val="00F928F2"/>
    <w:rsid w:val="00F92B19"/>
    <w:rsid w:val="00F931CC"/>
    <w:rsid w:val="00F93889"/>
    <w:rsid w:val="00F971D2"/>
    <w:rsid w:val="00F97AC6"/>
    <w:rsid w:val="00FA1ACD"/>
    <w:rsid w:val="00FA267C"/>
    <w:rsid w:val="00FA3741"/>
    <w:rsid w:val="00FA4930"/>
    <w:rsid w:val="00FA5341"/>
    <w:rsid w:val="00FB003D"/>
    <w:rsid w:val="00FB0298"/>
    <w:rsid w:val="00FB1506"/>
    <w:rsid w:val="00FB21D5"/>
    <w:rsid w:val="00FB3D65"/>
    <w:rsid w:val="00FB5DBD"/>
    <w:rsid w:val="00FB792A"/>
    <w:rsid w:val="00FC00CE"/>
    <w:rsid w:val="00FC1028"/>
    <w:rsid w:val="00FC159C"/>
    <w:rsid w:val="00FC2596"/>
    <w:rsid w:val="00FC2604"/>
    <w:rsid w:val="00FC2869"/>
    <w:rsid w:val="00FC2BC4"/>
    <w:rsid w:val="00FC4718"/>
    <w:rsid w:val="00FC4996"/>
    <w:rsid w:val="00FC54B3"/>
    <w:rsid w:val="00FC5EC4"/>
    <w:rsid w:val="00FD117E"/>
    <w:rsid w:val="00FD31CB"/>
    <w:rsid w:val="00FD43D9"/>
    <w:rsid w:val="00FD4C21"/>
    <w:rsid w:val="00FD7E3E"/>
    <w:rsid w:val="00FE0C93"/>
    <w:rsid w:val="00FE2297"/>
    <w:rsid w:val="00FE4AFD"/>
    <w:rsid w:val="00FF4C7F"/>
    <w:rsid w:val="00FF5CD5"/>
    <w:rsid w:val="00FF68B1"/>
    <w:rsid w:val="00FF777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A390D"/>
  <w15:chartTrackingRefBased/>
  <w15:docId w15:val="{1B04131F-A368-448A-B3B7-A716C928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E6D"/>
  </w:style>
  <w:style w:type="paragraph" w:styleId="Heading1">
    <w:name w:val="heading 1"/>
    <w:basedOn w:val="Normal"/>
    <w:next w:val="Normal"/>
    <w:link w:val="Heading1Char"/>
    <w:uiPriority w:val="9"/>
    <w:qFormat/>
    <w:rsid w:val="00960D20"/>
    <w:pPr>
      <w:keepNext/>
      <w:keepLines/>
      <w:spacing w:before="360" w:after="80"/>
      <w:outlineLvl w:val="0"/>
    </w:pPr>
    <w:rPr>
      <w:rFonts w:asciiTheme="majorHAnsi" w:eastAsiaTheme="majorEastAsia" w:hAnsiTheme="majorHAnsi" w:cstheme="majorBidi"/>
      <w:b/>
      <w:color w:val="2F5496" w:themeColor="accent1" w:themeShade="BF"/>
      <w:kern w:val="2"/>
      <w:sz w:val="28"/>
      <w:szCs w:val="40"/>
      <w:lang w:val="hr-HR"/>
      <w14:ligatures w14:val="standardContextual"/>
    </w:rPr>
  </w:style>
  <w:style w:type="paragraph" w:styleId="Heading2">
    <w:name w:val="heading 2"/>
    <w:basedOn w:val="Normal"/>
    <w:next w:val="Normal"/>
    <w:link w:val="Heading2Char"/>
    <w:uiPriority w:val="9"/>
    <w:unhideWhenUsed/>
    <w:qFormat/>
    <w:rsid w:val="00011924"/>
    <w:pPr>
      <w:keepNext/>
      <w:keepLines/>
      <w:spacing w:before="160" w:after="80"/>
      <w:outlineLvl w:val="1"/>
    </w:pPr>
    <w:rPr>
      <w:rFonts w:asciiTheme="majorHAnsi" w:eastAsiaTheme="majorEastAsia" w:hAnsiTheme="majorHAnsi" w:cstheme="majorBidi"/>
      <w:b/>
      <w:color w:val="2F5496" w:themeColor="accent1" w:themeShade="BF"/>
      <w:kern w:val="2"/>
      <w:sz w:val="24"/>
      <w:szCs w:val="32"/>
      <w:lang w:val="hr-HR"/>
      <w14:ligatures w14:val="standardContextual"/>
    </w:rPr>
  </w:style>
  <w:style w:type="paragraph" w:styleId="Heading3">
    <w:name w:val="heading 3"/>
    <w:basedOn w:val="Normal"/>
    <w:next w:val="Normal"/>
    <w:link w:val="Heading3Char"/>
    <w:uiPriority w:val="9"/>
    <w:unhideWhenUsed/>
    <w:qFormat/>
    <w:rsid w:val="006C3CFF"/>
    <w:pPr>
      <w:keepNext/>
      <w:keepLines/>
      <w:spacing w:before="160" w:after="80"/>
      <w:outlineLvl w:val="2"/>
    </w:pPr>
    <w:rPr>
      <w:rFonts w:ascii="Calibri Light" w:eastAsiaTheme="majorEastAsia" w:hAnsi="Calibri Light" w:cstheme="majorBidi"/>
      <w:b/>
      <w:color w:val="2F5496" w:themeColor="accent1" w:themeShade="BF"/>
      <w:kern w:val="2"/>
      <w:szCs w:val="28"/>
      <w:lang w:val="hr-HR"/>
      <w14:ligatures w14:val="standardContextual"/>
    </w:rPr>
  </w:style>
  <w:style w:type="paragraph" w:styleId="Heading4">
    <w:name w:val="heading 4"/>
    <w:basedOn w:val="Normal"/>
    <w:next w:val="Normal"/>
    <w:link w:val="Heading4Char"/>
    <w:uiPriority w:val="9"/>
    <w:unhideWhenUsed/>
    <w:qFormat/>
    <w:rsid w:val="00115718"/>
    <w:pPr>
      <w:keepNext/>
      <w:keepLines/>
      <w:spacing w:before="80" w:after="40"/>
      <w:outlineLvl w:val="3"/>
    </w:pPr>
    <w:rPr>
      <w:rFonts w:eastAsiaTheme="majorEastAsia" w:cstheme="majorBidi"/>
      <w:i/>
      <w:iCs/>
      <w:color w:val="2F5496" w:themeColor="accent1" w:themeShade="BF"/>
      <w:kern w:val="2"/>
      <w:lang w:val="hr-HR"/>
      <w14:ligatures w14:val="standardContextual"/>
    </w:rPr>
  </w:style>
  <w:style w:type="paragraph" w:styleId="Heading5">
    <w:name w:val="heading 5"/>
    <w:basedOn w:val="Normal"/>
    <w:next w:val="Normal"/>
    <w:link w:val="Heading5Char"/>
    <w:uiPriority w:val="9"/>
    <w:semiHidden/>
    <w:unhideWhenUsed/>
    <w:qFormat/>
    <w:rsid w:val="00115718"/>
    <w:pPr>
      <w:keepNext/>
      <w:keepLines/>
      <w:spacing w:before="80" w:after="40"/>
      <w:outlineLvl w:val="4"/>
    </w:pPr>
    <w:rPr>
      <w:rFonts w:eastAsiaTheme="majorEastAsia" w:cstheme="majorBidi"/>
      <w:color w:val="2F5496" w:themeColor="accent1" w:themeShade="BF"/>
      <w:kern w:val="2"/>
      <w:lang w:val="hr-HR"/>
      <w14:ligatures w14:val="standardContextual"/>
    </w:rPr>
  </w:style>
  <w:style w:type="paragraph" w:styleId="Heading6">
    <w:name w:val="heading 6"/>
    <w:basedOn w:val="Normal"/>
    <w:next w:val="Normal"/>
    <w:link w:val="Heading6Char"/>
    <w:uiPriority w:val="9"/>
    <w:semiHidden/>
    <w:unhideWhenUsed/>
    <w:qFormat/>
    <w:rsid w:val="00115718"/>
    <w:pPr>
      <w:keepNext/>
      <w:keepLines/>
      <w:spacing w:before="40" w:after="0"/>
      <w:outlineLvl w:val="5"/>
    </w:pPr>
    <w:rPr>
      <w:rFonts w:eastAsiaTheme="majorEastAsia" w:cstheme="majorBidi"/>
      <w:i/>
      <w:iCs/>
      <w:color w:val="595959" w:themeColor="text1" w:themeTint="A6"/>
      <w:kern w:val="2"/>
      <w:lang w:val="hr-HR"/>
      <w14:ligatures w14:val="standardContextual"/>
    </w:rPr>
  </w:style>
  <w:style w:type="paragraph" w:styleId="Heading7">
    <w:name w:val="heading 7"/>
    <w:basedOn w:val="Normal"/>
    <w:next w:val="Normal"/>
    <w:link w:val="Heading7Char"/>
    <w:uiPriority w:val="9"/>
    <w:semiHidden/>
    <w:unhideWhenUsed/>
    <w:qFormat/>
    <w:rsid w:val="00115718"/>
    <w:pPr>
      <w:keepNext/>
      <w:keepLines/>
      <w:spacing w:before="40" w:after="0"/>
      <w:outlineLvl w:val="6"/>
    </w:pPr>
    <w:rPr>
      <w:rFonts w:eastAsiaTheme="majorEastAsia" w:cstheme="majorBidi"/>
      <w:color w:val="595959" w:themeColor="text1" w:themeTint="A6"/>
      <w:kern w:val="2"/>
      <w:lang w:val="hr-HR"/>
      <w14:ligatures w14:val="standardContextual"/>
    </w:rPr>
  </w:style>
  <w:style w:type="paragraph" w:styleId="Heading8">
    <w:name w:val="heading 8"/>
    <w:basedOn w:val="Normal"/>
    <w:next w:val="Normal"/>
    <w:link w:val="Heading8Char"/>
    <w:uiPriority w:val="9"/>
    <w:semiHidden/>
    <w:unhideWhenUsed/>
    <w:qFormat/>
    <w:rsid w:val="00115718"/>
    <w:pPr>
      <w:keepNext/>
      <w:keepLines/>
      <w:spacing w:after="0"/>
      <w:outlineLvl w:val="7"/>
    </w:pPr>
    <w:rPr>
      <w:rFonts w:eastAsiaTheme="majorEastAsia" w:cstheme="majorBidi"/>
      <w:i/>
      <w:iCs/>
      <w:color w:val="272727" w:themeColor="text1" w:themeTint="D8"/>
      <w:kern w:val="2"/>
      <w:lang w:val="hr-HR"/>
      <w14:ligatures w14:val="standardContextual"/>
    </w:rPr>
  </w:style>
  <w:style w:type="paragraph" w:styleId="Heading9">
    <w:name w:val="heading 9"/>
    <w:basedOn w:val="Normal"/>
    <w:next w:val="Normal"/>
    <w:link w:val="Heading9Char"/>
    <w:uiPriority w:val="9"/>
    <w:semiHidden/>
    <w:unhideWhenUsed/>
    <w:qFormat/>
    <w:rsid w:val="00115718"/>
    <w:pPr>
      <w:keepNext/>
      <w:keepLines/>
      <w:spacing w:after="0"/>
      <w:outlineLvl w:val="8"/>
    </w:pPr>
    <w:rPr>
      <w:rFonts w:eastAsiaTheme="majorEastAsia" w:cstheme="majorBidi"/>
      <w:color w:val="272727" w:themeColor="text1" w:themeTint="D8"/>
      <w:kern w:val="2"/>
      <w:lang w:val="hr-HR"/>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33C2"/>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583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3C2"/>
  </w:style>
  <w:style w:type="paragraph" w:styleId="Footer">
    <w:name w:val="footer"/>
    <w:basedOn w:val="Normal"/>
    <w:link w:val="FooterChar"/>
    <w:uiPriority w:val="99"/>
    <w:unhideWhenUsed/>
    <w:rsid w:val="00583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3C2"/>
  </w:style>
  <w:style w:type="paragraph" w:styleId="ListParagraph">
    <w:name w:val="List Paragraph"/>
    <w:basedOn w:val="Normal"/>
    <w:uiPriority w:val="34"/>
    <w:qFormat/>
    <w:rsid w:val="00CD55EE"/>
    <w:pPr>
      <w:ind w:left="720"/>
      <w:contextualSpacing/>
    </w:pPr>
  </w:style>
  <w:style w:type="paragraph" w:styleId="NoSpacing">
    <w:name w:val="No Spacing"/>
    <w:uiPriority w:val="1"/>
    <w:qFormat/>
    <w:rsid w:val="0017209D"/>
    <w:pPr>
      <w:spacing w:after="0" w:line="240" w:lineRule="auto"/>
    </w:pPr>
    <w:rPr>
      <w:kern w:val="2"/>
      <w:sz w:val="24"/>
      <w:szCs w:val="24"/>
      <w:lang w:val="hr-HR"/>
      <w14:ligatures w14:val="standardContextual"/>
    </w:rPr>
  </w:style>
  <w:style w:type="character" w:customStyle="1" w:styleId="Heading1Char">
    <w:name w:val="Heading 1 Char"/>
    <w:basedOn w:val="DefaultParagraphFont"/>
    <w:link w:val="Heading1"/>
    <w:uiPriority w:val="9"/>
    <w:rsid w:val="00960D20"/>
    <w:rPr>
      <w:rFonts w:asciiTheme="majorHAnsi" w:eastAsiaTheme="majorEastAsia" w:hAnsiTheme="majorHAnsi" w:cstheme="majorBidi"/>
      <w:b/>
      <w:color w:val="2F5496" w:themeColor="accent1" w:themeShade="BF"/>
      <w:kern w:val="2"/>
      <w:sz w:val="28"/>
      <w:szCs w:val="40"/>
      <w:lang w:val="hr-HR"/>
      <w14:ligatures w14:val="standardContextual"/>
    </w:rPr>
  </w:style>
  <w:style w:type="character" w:customStyle="1" w:styleId="Heading2Char">
    <w:name w:val="Heading 2 Char"/>
    <w:basedOn w:val="DefaultParagraphFont"/>
    <w:link w:val="Heading2"/>
    <w:uiPriority w:val="9"/>
    <w:rsid w:val="00011924"/>
    <w:rPr>
      <w:rFonts w:asciiTheme="majorHAnsi" w:eastAsiaTheme="majorEastAsia" w:hAnsiTheme="majorHAnsi" w:cstheme="majorBidi"/>
      <w:b/>
      <w:color w:val="2F5496" w:themeColor="accent1" w:themeShade="BF"/>
      <w:kern w:val="2"/>
      <w:sz w:val="24"/>
      <w:szCs w:val="32"/>
      <w:lang w:val="hr-HR"/>
      <w14:ligatures w14:val="standardContextual"/>
    </w:rPr>
  </w:style>
  <w:style w:type="character" w:customStyle="1" w:styleId="Heading3Char">
    <w:name w:val="Heading 3 Char"/>
    <w:basedOn w:val="DefaultParagraphFont"/>
    <w:link w:val="Heading3"/>
    <w:uiPriority w:val="9"/>
    <w:rsid w:val="006C3CFF"/>
    <w:rPr>
      <w:rFonts w:ascii="Calibri Light" w:eastAsiaTheme="majorEastAsia" w:hAnsi="Calibri Light" w:cstheme="majorBidi"/>
      <w:b/>
      <w:color w:val="2F5496" w:themeColor="accent1" w:themeShade="BF"/>
      <w:kern w:val="2"/>
      <w:szCs w:val="28"/>
      <w:lang w:val="hr-HR"/>
      <w14:ligatures w14:val="standardContextual"/>
    </w:rPr>
  </w:style>
  <w:style w:type="character" w:customStyle="1" w:styleId="Heading4Char">
    <w:name w:val="Heading 4 Char"/>
    <w:basedOn w:val="DefaultParagraphFont"/>
    <w:link w:val="Heading4"/>
    <w:uiPriority w:val="9"/>
    <w:rsid w:val="00115718"/>
    <w:rPr>
      <w:rFonts w:eastAsiaTheme="majorEastAsia" w:cstheme="majorBidi"/>
      <w:i/>
      <w:iCs/>
      <w:color w:val="2F5496" w:themeColor="accent1" w:themeShade="BF"/>
      <w:kern w:val="2"/>
      <w:lang w:val="hr-HR"/>
      <w14:ligatures w14:val="standardContextual"/>
    </w:rPr>
  </w:style>
  <w:style w:type="character" w:customStyle="1" w:styleId="Heading5Char">
    <w:name w:val="Heading 5 Char"/>
    <w:basedOn w:val="DefaultParagraphFont"/>
    <w:link w:val="Heading5"/>
    <w:uiPriority w:val="9"/>
    <w:semiHidden/>
    <w:rsid w:val="00115718"/>
    <w:rPr>
      <w:rFonts w:eastAsiaTheme="majorEastAsia" w:cstheme="majorBidi"/>
      <w:color w:val="2F5496" w:themeColor="accent1" w:themeShade="BF"/>
      <w:kern w:val="2"/>
      <w:lang w:val="hr-HR"/>
      <w14:ligatures w14:val="standardContextual"/>
    </w:rPr>
  </w:style>
  <w:style w:type="character" w:customStyle="1" w:styleId="Heading6Char">
    <w:name w:val="Heading 6 Char"/>
    <w:basedOn w:val="DefaultParagraphFont"/>
    <w:link w:val="Heading6"/>
    <w:uiPriority w:val="9"/>
    <w:semiHidden/>
    <w:rsid w:val="00115718"/>
    <w:rPr>
      <w:rFonts w:eastAsiaTheme="majorEastAsia" w:cstheme="majorBidi"/>
      <w:i/>
      <w:iCs/>
      <w:color w:val="595959" w:themeColor="text1" w:themeTint="A6"/>
      <w:kern w:val="2"/>
      <w:lang w:val="hr-HR"/>
      <w14:ligatures w14:val="standardContextual"/>
    </w:rPr>
  </w:style>
  <w:style w:type="character" w:customStyle="1" w:styleId="Heading7Char">
    <w:name w:val="Heading 7 Char"/>
    <w:basedOn w:val="DefaultParagraphFont"/>
    <w:link w:val="Heading7"/>
    <w:uiPriority w:val="9"/>
    <w:semiHidden/>
    <w:rsid w:val="00115718"/>
    <w:rPr>
      <w:rFonts w:eastAsiaTheme="majorEastAsia" w:cstheme="majorBidi"/>
      <w:color w:val="595959" w:themeColor="text1" w:themeTint="A6"/>
      <w:kern w:val="2"/>
      <w:lang w:val="hr-HR"/>
      <w14:ligatures w14:val="standardContextual"/>
    </w:rPr>
  </w:style>
  <w:style w:type="character" w:customStyle="1" w:styleId="Heading8Char">
    <w:name w:val="Heading 8 Char"/>
    <w:basedOn w:val="DefaultParagraphFont"/>
    <w:link w:val="Heading8"/>
    <w:uiPriority w:val="9"/>
    <w:semiHidden/>
    <w:rsid w:val="00115718"/>
    <w:rPr>
      <w:rFonts w:eastAsiaTheme="majorEastAsia" w:cstheme="majorBidi"/>
      <w:i/>
      <w:iCs/>
      <w:color w:val="272727" w:themeColor="text1" w:themeTint="D8"/>
      <w:kern w:val="2"/>
      <w:lang w:val="hr-HR"/>
      <w14:ligatures w14:val="standardContextual"/>
    </w:rPr>
  </w:style>
  <w:style w:type="character" w:customStyle="1" w:styleId="Heading9Char">
    <w:name w:val="Heading 9 Char"/>
    <w:basedOn w:val="DefaultParagraphFont"/>
    <w:link w:val="Heading9"/>
    <w:uiPriority w:val="9"/>
    <w:semiHidden/>
    <w:rsid w:val="00115718"/>
    <w:rPr>
      <w:rFonts w:eastAsiaTheme="majorEastAsia" w:cstheme="majorBidi"/>
      <w:color w:val="272727" w:themeColor="text1" w:themeTint="D8"/>
      <w:kern w:val="2"/>
      <w:lang w:val="hr-HR"/>
      <w14:ligatures w14:val="standardContextual"/>
    </w:rPr>
  </w:style>
  <w:style w:type="paragraph" w:styleId="Title">
    <w:name w:val="Title"/>
    <w:basedOn w:val="Normal"/>
    <w:next w:val="Normal"/>
    <w:link w:val="TitleChar"/>
    <w:uiPriority w:val="10"/>
    <w:qFormat/>
    <w:rsid w:val="00115718"/>
    <w:pPr>
      <w:spacing w:after="80" w:line="240" w:lineRule="auto"/>
      <w:contextualSpacing/>
    </w:pPr>
    <w:rPr>
      <w:rFonts w:asciiTheme="majorHAnsi" w:eastAsiaTheme="majorEastAsia" w:hAnsiTheme="majorHAnsi" w:cstheme="majorBidi"/>
      <w:spacing w:val="-10"/>
      <w:kern w:val="28"/>
      <w:sz w:val="56"/>
      <w:szCs w:val="56"/>
      <w:lang w:val="hr-HR"/>
      <w14:ligatures w14:val="standardContextual"/>
    </w:rPr>
  </w:style>
  <w:style w:type="character" w:customStyle="1" w:styleId="TitleChar">
    <w:name w:val="Title Char"/>
    <w:basedOn w:val="DefaultParagraphFont"/>
    <w:link w:val="Title"/>
    <w:uiPriority w:val="10"/>
    <w:rsid w:val="00115718"/>
    <w:rPr>
      <w:rFonts w:asciiTheme="majorHAnsi" w:eastAsiaTheme="majorEastAsia" w:hAnsiTheme="majorHAnsi" w:cstheme="majorBidi"/>
      <w:spacing w:val="-10"/>
      <w:kern w:val="28"/>
      <w:sz w:val="56"/>
      <w:szCs w:val="56"/>
      <w:lang w:val="hr-HR"/>
      <w14:ligatures w14:val="standardContextual"/>
    </w:rPr>
  </w:style>
  <w:style w:type="paragraph" w:styleId="Subtitle">
    <w:name w:val="Subtitle"/>
    <w:basedOn w:val="Normal"/>
    <w:next w:val="Normal"/>
    <w:link w:val="SubtitleChar"/>
    <w:uiPriority w:val="11"/>
    <w:qFormat/>
    <w:rsid w:val="00115718"/>
    <w:pPr>
      <w:numPr>
        <w:ilvl w:val="1"/>
      </w:numPr>
    </w:pPr>
    <w:rPr>
      <w:rFonts w:eastAsiaTheme="majorEastAsia" w:cstheme="majorBidi"/>
      <w:color w:val="595959" w:themeColor="text1" w:themeTint="A6"/>
      <w:spacing w:val="15"/>
      <w:kern w:val="2"/>
      <w:sz w:val="28"/>
      <w:szCs w:val="28"/>
      <w:lang w:val="hr-HR"/>
      <w14:ligatures w14:val="standardContextual"/>
    </w:rPr>
  </w:style>
  <w:style w:type="character" w:customStyle="1" w:styleId="SubtitleChar">
    <w:name w:val="Subtitle Char"/>
    <w:basedOn w:val="DefaultParagraphFont"/>
    <w:link w:val="Subtitle"/>
    <w:uiPriority w:val="11"/>
    <w:rsid w:val="00115718"/>
    <w:rPr>
      <w:rFonts w:eastAsiaTheme="majorEastAsia" w:cstheme="majorBidi"/>
      <w:color w:val="595959" w:themeColor="text1" w:themeTint="A6"/>
      <w:spacing w:val="15"/>
      <w:kern w:val="2"/>
      <w:sz w:val="28"/>
      <w:szCs w:val="28"/>
      <w:lang w:val="hr-HR"/>
      <w14:ligatures w14:val="standardContextual"/>
    </w:rPr>
  </w:style>
  <w:style w:type="paragraph" w:styleId="Quote">
    <w:name w:val="Quote"/>
    <w:basedOn w:val="Normal"/>
    <w:next w:val="Normal"/>
    <w:link w:val="QuoteChar"/>
    <w:uiPriority w:val="29"/>
    <w:qFormat/>
    <w:rsid w:val="00115718"/>
    <w:pPr>
      <w:spacing w:before="160"/>
      <w:jc w:val="center"/>
    </w:pPr>
    <w:rPr>
      <w:i/>
      <w:iCs/>
      <w:color w:val="404040" w:themeColor="text1" w:themeTint="BF"/>
      <w:kern w:val="2"/>
      <w:lang w:val="hr-HR"/>
      <w14:ligatures w14:val="standardContextual"/>
    </w:rPr>
  </w:style>
  <w:style w:type="character" w:customStyle="1" w:styleId="QuoteChar">
    <w:name w:val="Quote Char"/>
    <w:basedOn w:val="DefaultParagraphFont"/>
    <w:link w:val="Quote"/>
    <w:uiPriority w:val="29"/>
    <w:rsid w:val="00115718"/>
    <w:rPr>
      <w:i/>
      <w:iCs/>
      <w:color w:val="404040" w:themeColor="text1" w:themeTint="BF"/>
      <w:kern w:val="2"/>
      <w:lang w:val="hr-HR"/>
      <w14:ligatures w14:val="standardContextual"/>
    </w:rPr>
  </w:style>
  <w:style w:type="character" w:styleId="IntenseEmphasis">
    <w:name w:val="Intense Emphasis"/>
    <w:basedOn w:val="DefaultParagraphFont"/>
    <w:uiPriority w:val="21"/>
    <w:qFormat/>
    <w:rsid w:val="00115718"/>
    <w:rPr>
      <w:i/>
      <w:iCs/>
      <w:color w:val="2F5496" w:themeColor="accent1" w:themeShade="BF"/>
    </w:rPr>
  </w:style>
  <w:style w:type="paragraph" w:styleId="IntenseQuote">
    <w:name w:val="Intense Quote"/>
    <w:basedOn w:val="Normal"/>
    <w:next w:val="Normal"/>
    <w:link w:val="IntenseQuoteChar"/>
    <w:uiPriority w:val="30"/>
    <w:qFormat/>
    <w:rsid w:val="001157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val="hr-HR"/>
      <w14:ligatures w14:val="standardContextual"/>
    </w:rPr>
  </w:style>
  <w:style w:type="character" w:customStyle="1" w:styleId="IntenseQuoteChar">
    <w:name w:val="Intense Quote Char"/>
    <w:basedOn w:val="DefaultParagraphFont"/>
    <w:link w:val="IntenseQuote"/>
    <w:uiPriority w:val="30"/>
    <w:rsid w:val="00115718"/>
    <w:rPr>
      <w:i/>
      <w:iCs/>
      <w:color w:val="2F5496" w:themeColor="accent1" w:themeShade="BF"/>
      <w:kern w:val="2"/>
      <w:lang w:val="hr-HR"/>
      <w14:ligatures w14:val="standardContextual"/>
    </w:rPr>
  </w:style>
  <w:style w:type="character" w:styleId="IntenseReference">
    <w:name w:val="Intense Reference"/>
    <w:basedOn w:val="DefaultParagraphFont"/>
    <w:uiPriority w:val="32"/>
    <w:qFormat/>
    <w:rsid w:val="00115718"/>
    <w:rPr>
      <w:b/>
      <w:bCs/>
      <w:smallCaps/>
      <w:color w:val="2F5496" w:themeColor="accent1" w:themeShade="BF"/>
      <w:spacing w:val="5"/>
    </w:rPr>
  </w:style>
  <w:style w:type="character" w:styleId="CommentReference">
    <w:name w:val="annotation reference"/>
    <w:basedOn w:val="DefaultParagraphFont"/>
    <w:uiPriority w:val="99"/>
    <w:semiHidden/>
    <w:unhideWhenUsed/>
    <w:rsid w:val="00115718"/>
    <w:rPr>
      <w:sz w:val="16"/>
      <w:szCs w:val="16"/>
    </w:rPr>
  </w:style>
  <w:style w:type="paragraph" w:styleId="CommentText">
    <w:name w:val="annotation text"/>
    <w:basedOn w:val="Normal"/>
    <w:link w:val="CommentTextChar"/>
    <w:uiPriority w:val="99"/>
    <w:unhideWhenUsed/>
    <w:rsid w:val="00115718"/>
    <w:pPr>
      <w:spacing w:line="240" w:lineRule="auto"/>
    </w:pPr>
    <w:rPr>
      <w:kern w:val="2"/>
      <w:sz w:val="20"/>
      <w:szCs w:val="20"/>
      <w:lang w:val="hr-HR"/>
      <w14:ligatures w14:val="standardContextual"/>
    </w:rPr>
  </w:style>
  <w:style w:type="character" w:customStyle="1" w:styleId="CommentTextChar">
    <w:name w:val="Comment Text Char"/>
    <w:basedOn w:val="DefaultParagraphFont"/>
    <w:link w:val="CommentText"/>
    <w:uiPriority w:val="99"/>
    <w:rsid w:val="00115718"/>
    <w:rPr>
      <w:kern w:val="2"/>
      <w:sz w:val="20"/>
      <w:szCs w:val="20"/>
      <w:lang w:val="hr-HR"/>
      <w14:ligatures w14:val="standardContextual"/>
    </w:rPr>
  </w:style>
  <w:style w:type="paragraph" w:styleId="CommentSubject">
    <w:name w:val="annotation subject"/>
    <w:basedOn w:val="CommentText"/>
    <w:next w:val="CommentText"/>
    <w:link w:val="CommentSubjectChar"/>
    <w:uiPriority w:val="99"/>
    <w:semiHidden/>
    <w:unhideWhenUsed/>
    <w:rsid w:val="00115718"/>
    <w:rPr>
      <w:b/>
      <w:bCs/>
    </w:rPr>
  </w:style>
  <w:style w:type="character" w:customStyle="1" w:styleId="CommentSubjectChar">
    <w:name w:val="Comment Subject Char"/>
    <w:basedOn w:val="CommentTextChar"/>
    <w:link w:val="CommentSubject"/>
    <w:uiPriority w:val="99"/>
    <w:semiHidden/>
    <w:rsid w:val="00115718"/>
    <w:rPr>
      <w:b/>
      <w:bCs/>
      <w:kern w:val="2"/>
      <w:sz w:val="20"/>
      <w:szCs w:val="20"/>
      <w:lang w:val="hr-HR"/>
      <w14:ligatures w14:val="standardContextual"/>
    </w:rPr>
  </w:style>
  <w:style w:type="paragraph" w:styleId="Revision">
    <w:name w:val="Revision"/>
    <w:hidden/>
    <w:uiPriority w:val="99"/>
    <w:semiHidden/>
    <w:rsid w:val="00115718"/>
    <w:pPr>
      <w:spacing w:after="0" w:line="240" w:lineRule="auto"/>
    </w:pPr>
    <w:rPr>
      <w:kern w:val="2"/>
      <w:lang w:val="hr-HR"/>
      <w14:ligatures w14:val="standardContextual"/>
    </w:rPr>
  </w:style>
  <w:style w:type="paragraph" w:styleId="NormalWeb">
    <w:name w:val="Normal (Web)"/>
    <w:basedOn w:val="Normal"/>
    <w:uiPriority w:val="99"/>
    <w:unhideWhenUsed/>
    <w:rsid w:val="0011571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15718"/>
    <w:rPr>
      <w:b/>
      <w:bCs/>
    </w:rPr>
  </w:style>
  <w:style w:type="table" w:styleId="PlainTable2">
    <w:name w:val="Plain Table 2"/>
    <w:basedOn w:val="TableNormal"/>
    <w:uiPriority w:val="42"/>
    <w:rsid w:val="00115718"/>
    <w:pPr>
      <w:spacing w:after="0" w:line="240" w:lineRule="auto"/>
    </w:pPr>
    <w:rPr>
      <w:kern w:val="2"/>
      <w:lang w:val="hr-HR"/>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115718"/>
    <w:rPr>
      <w:color w:val="0563C1" w:themeColor="hyperlink"/>
      <w:u w:val="single"/>
    </w:rPr>
  </w:style>
  <w:style w:type="character" w:styleId="UnresolvedMention">
    <w:name w:val="Unresolved Mention"/>
    <w:basedOn w:val="DefaultParagraphFont"/>
    <w:uiPriority w:val="99"/>
    <w:semiHidden/>
    <w:unhideWhenUsed/>
    <w:rsid w:val="00115718"/>
    <w:rPr>
      <w:color w:val="605E5C"/>
      <w:shd w:val="clear" w:color="auto" w:fill="E1DFDD"/>
    </w:rPr>
  </w:style>
  <w:style w:type="paragraph" w:styleId="TOCHeading">
    <w:name w:val="TOC Heading"/>
    <w:basedOn w:val="Heading1"/>
    <w:next w:val="Normal"/>
    <w:uiPriority w:val="39"/>
    <w:unhideWhenUsed/>
    <w:qFormat/>
    <w:rsid w:val="00721020"/>
    <w:pPr>
      <w:spacing w:before="240" w:after="0"/>
      <w:outlineLvl w:val="9"/>
    </w:pPr>
    <w:rPr>
      <w:kern w:val="0"/>
      <w:sz w:val="32"/>
      <w:szCs w:val="32"/>
      <w:lang w:val="en-GB" w:eastAsia="en-GB"/>
      <w14:ligatures w14:val="none"/>
    </w:rPr>
  </w:style>
  <w:style w:type="paragraph" w:styleId="TOC1">
    <w:name w:val="toc 1"/>
    <w:basedOn w:val="Normal"/>
    <w:next w:val="Normal"/>
    <w:autoRedefine/>
    <w:uiPriority w:val="39"/>
    <w:unhideWhenUsed/>
    <w:rsid w:val="00622EEE"/>
    <w:pPr>
      <w:tabs>
        <w:tab w:val="right" w:leader="dot" w:pos="9016"/>
      </w:tabs>
      <w:spacing w:before="20" w:after="20"/>
    </w:pPr>
  </w:style>
  <w:style w:type="paragraph" w:styleId="TOC2">
    <w:name w:val="toc 2"/>
    <w:basedOn w:val="Normal"/>
    <w:next w:val="Normal"/>
    <w:autoRedefine/>
    <w:uiPriority w:val="39"/>
    <w:unhideWhenUsed/>
    <w:rsid w:val="00721020"/>
    <w:pPr>
      <w:spacing w:after="100"/>
      <w:ind w:left="220"/>
    </w:pPr>
  </w:style>
  <w:style w:type="paragraph" w:styleId="TOC3">
    <w:name w:val="toc 3"/>
    <w:basedOn w:val="Normal"/>
    <w:next w:val="Normal"/>
    <w:autoRedefine/>
    <w:uiPriority w:val="39"/>
    <w:unhideWhenUsed/>
    <w:rsid w:val="00463A12"/>
    <w:pPr>
      <w:spacing w:after="100"/>
      <w:ind w:left="440"/>
    </w:pPr>
  </w:style>
  <w:style w:type="paragraph" w:styleId="TOC4">
    <w:name w:val="toc 4"/>
    <w:basedOn w:val="Normal"/>
    <w:next w:val="Normal"/>
    <w:autoRedefine/>
    <w:uiPriority w:val="39"/>
    <w:unhideWhenUsed/>
    <w:rsid w:val="00463A12"/>
    <w:pPr>
      <w:spacing w:after="100" w:line="278" w:lineRule="auto"/>
      <w:ind w:left="720"/>
    </w:pPr>
    <w:rPr>
      <w:rFonts w:eastAsiaTheme="minorEastAsia"/>
      <w:kern w:val="2"/>
      <w:sz w:val="24"/>
      <w:szCs w:val="24"/>
      <w:lang w:val="en-GB" w:eastAsia="en-GB"/>
      <w14:ligatures w14:val="standardContextual"/>
    </w:rPr>
  </w:style>
  <w:style w:type="paragraph" w:styleId="TOC5">
    <w:name w:val="toc 5"/>
    <w:basedOn w:val="Normal"/>
    <w:next w:val="Normal"/>
    <w:autoRedefine/>
    <w:uiPriority w:val="39"/>
    <w:unhideWhenUsed/>
    <w:rsid w:val="00463A12"/>
    <w:pPr>
      <w:spacing w:after="100" w:line="278" w:lineRule="auto"/>
      <w:ind w:left="960"/>
    </w:pPr>
    <w:rPr>
      <w:rFonts w:eastAsiaTheme="minorEastAsia"/>
      <w:kern w:val="2"/>
      <w:sz w:val="24"/>
      <w:szCs w:val="24"/>
      <w:lang w:val="en-GB" w:eastAsia="en-GB"/>
      <w14:ligatures w14:val="standardContextual"/>
    </w:rPr>
  </w:style>
  <w:style w:type="paragraph" w:styleId="TOC6">
    <w:name w:val="toc 6"/>
    <w:basedOn w:val="Normal"/>
    <w:next w:val="Normal"/>
    <w:autoRedefine/>
    <w:uiPriority w:val="39"/>
    <w:unhideWhenUsed/>
    <w:rsid w:val="00463A12"/>
    <w:pPr>
      <w:spacing w:after="100" w:line="278" w:lineRule="auto"/>
      <w:ind w:left="1200"/>
    </w:pPr>
    <w:rPr>
      <w:rFonts w:eastAsiaTheme="minorEastAsia"/>
      <w:kern w:val="2"/>
      <w:sz w:val="24"/>
      <w:szCs w:val="24"/>
      <w:lang w:val="en-GB" w:eastAsia="en-GB"/>
      <w14:ligatures w14:val="standardContextual"/>
    </w:rPr>
  </w:style>
  <w:style w:type="paragraph" w:styleId="TOC7">
    <w:name w:val="toc 7"/>
    <w:basedOn w:val="Normal"/>
    <w:next w:val="Normal"/>
    <w:autoRedefine/>
    <w:uiPriority w:val="39"/>
    <w:unhideWhenUsed/>
    <w:rsid w:val="00463A12"/>
    <w:pPr>
      <w:spacing w:after="100" w:line="278" w:lineRule="auto"/>
      <w:ind w:left="1440"/>
    </w:pPr>
    <w:rPr>
      <w:rFonts w:eastAsiaTheme="minorEastAsia"/>
      <w:kern w:val="2"/>
      <w:sz w:val="24"/>
      <w:szCs w:val="24"/>
      <w:lang w:val="en-GB" w:eastAsia="en-GB"/>
      <w14:ligatures w14:val="standardContextual"/>
    </w:rPr>
  </w:style>
  <w:style w:type="paragraph" w:styleId="TOC8">
    <w:name w:val="toc 8"/>
    <w:basedOn w:val="Normal"/>
    <w:next w:val="Normal"/>
    <w:autoRedefine/>
    <w:uiPriority w:val="39"/>
    <w:unhideWhenUsed/>
    <w:rsid w:val="00463A12"/>
    <w:pPr>
      <w:spacing w:after="100" w:line="278" w:lineRule="auto"/>
      <w:ind w:left="1680"/>
    </w:pPr>
    <w:rPr>
      <w:rFonts w:eastAsiaTheme="minorEastAsia"/>
      <w:kern w:val="2"/>
      <w:sz w:val="24"/>
      <w:szCs w:val="24"/>
      <w:lang w:val="en-GB" w:eastAsia="en-GB"/>
      <w14:ligatures w14:val="standardContextual"/>
    </w:rPr>
  </w:style>
  <w:style w:type="paragraph" w:styleId="TOC9">
    <w:name w:val="toc 9"/>
    <w:basedOn w:val="Normal"/>
    <w:next w:val="Normal"/>
    <w:autoRedefine/>
    <w:uiPriority w:val="39"/>
    <w:unhideWhenUsed/>
    <w:rsid w:val="00463A12"/>
    <w:pPr>
      <w:spacing w:after="100" w:line="278" w:lineRule="auto"/>
      <w:ind w:left="1920"/>
    </w:pPr>
    <w:rPr>
      <w:rFonts w:eastAsiaTheme="minorEastAsia"/>
      <w:kern w:val="2"/>
      <w:sz w:val="24"/>
      <w:szCs w:val="24"/>
      <w:lang w:val="en-GB" w:eastAsia="en-GB"/>
      <w14:ligatures w14:val="standardContextual"/>
    </w:rPr>
  </w:style>
  <w:style w:type="paragraph" w:styleId="Caption">
    <w:name w:val="caption"/>
    <w:basedOn w:val="Normal"/>
    <w:next w:val="Normal"/>
    <w:uiPriority w:val="35"/>
    <w:unhideWhenUsed/>
    <w:qFormat/>
    <w:rsid w:val="007C60E5"/>
    <w:pPr>
      <w:spacing w:after="200" w:line="240" w:lineRule="auto"/>
    </w:pPr>
    <w:rPr>
      <w:i/>
      <w:iCs/>
      <w:color w:val="44546A" w:themeColor="text2"/>
      <w:sz w:val="20"/>
      <w:szCs w:val="18"/>
    </w:rPr>
  </w:style>
  <w:style w:type="paragraph" w:styleId="TableofFigures">
    <w:name w:val="table of figures"/>
    <w:basedOn w:val="Normal"/>
    <w:next w:val="Normal"/>
    <w:uiPriority w:val="99"/>
    <w:unhideWhenUsed/>
    <w:rsid w:val="00AC710F"/>
    <w:pPr>
      <w:spacing w:after="0"/>
    </w:pPr>
  </w:style>
  <w:style w:type="table" w:customStyle="1" w:styleId="Reetkatablice1">
    <w:name w:val="Rešetka tablice1"/>
    <w:basedOn w:val="TableNormal"/>
    <w:next w:val="TableGrid"/>
    <w:uiPriority w:val="59"/>
    <w:rsid w:val="00714873"/>
    <w:pPr>
      <w:spacing w:after="0" w:line="240" w:lineRule="auto"/>
    </w:pPr>
    <w:rPr>
      <w:rFonts w:eastAsia="Times New Roman"/>
      <w:lang w:val="en-US"/>
    </w:rPr>
    <w:tblP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Pr>
    <w:tcPr>
      <w:shd w:val="clear" w:color="auto" w:fill="FFFFFF"/>
    </w:tcPr>
  </w:style>
  <w:style w:type="table" w:styleId="TableGrid">
    <w:name w:val="Table Grid"/>
    <w:basedOn w:val="TableNormal"/>
    <w:uiPriority w:val="39"/>
    <w:rsid w:val="007148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148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564">
      <w:bodyDiv w:val="1"/>
      <w:marLeft w:val="0"/>
      <w:marRight w:val="0"/>
      <w:marTop w:val="0"/>
      <w:marBottom w:val="0"/>
      <w:divBdr>
        <w:top w:val="none" w:sz="0" w:space="0" w:color="auto"/>
        <w:left w:val="none" w:sz="0" w:space="0" w:color="auto"/>
        <w:bottom w:val="none" w:sz="0" w:space="0" w:color="auto"/>
        <w:right w:val="none" w:sz="0" w:space="0" w:color="auto"/>
      </w:divBdr>
    </w:div>
    <w:div w:id="31810151">
      <w:bodyDiv w:val="1"/>
      <w:marLeft w:val="0"/>
      <w:marRight w:val="0"/>
      <w:marTop w:val="0"/>
      <w:marBottom w:val="0"/>
      <w:divBdr>
        <w:top w:val="none" w:sz="0" w:space="0" w:color="auto"/>
        <w:left w:val="none" w:sz="0" w:space="0" w:color="auto"/>
        <w:bottom w:val="none" w:sz="0" w:space="0" w:color="auto"/>
        <w:right w:val="none" w:sz="0" w:space="0" w:color="auto"/>
      </w:divBdr>
    </w:div>
    <w:div w:id="158351240">
      <w:bodyDiv w:val="1"/>
      <w:marLeft w:val="0"/>
      <w:marRight w:val="0"/>
      <w:marTop w:val="0"/>
      <w:marBottom w:val="0"/>
      <w:divBdr>
        <w:top w:val="none" w:sz="0" w:space="0" w:color="auto"/>
        <w:left w:val="none" w:sz="0" w:space="0" w:color="auto"/>
        <w:bottom w:val="none" w:sz="0" w:space="0" w:color="auto"/>
        <w:right w:val="none" w:sz="0" w:space="0" w:color="auto"/>
      </w:divBdr>
    </w:div>
    <w:div w:id="161900170">
      <w:bodyDiv w:val="1"/>
      <w:marLeft w:val="0"/>
      <w:marRight w:val="0"/>
      <w:marTop w:val="0"/>
      <w:marBottom w:val="0"/>
      <w:divBdr>
        <w:top w:val="none" w:sz="0" w:space="0" w:color="auto"/>
        <w:left w:val="none" w:sz="0" w:space="0" w:color="auto"/>
        <w:bottom w:val="none" w:sz="0" w:space="0" w:color="auto"/>
        <w:right w:val="none" w:sz="0" w:space="0" w:color="auto"/>
      </w:divBdr>
    </w:div>
    <w:div w:id="232398797">
      <w:bodyDiv w:val="1"/>
      <w:marLeft w:val="0"/>
      <w:marRight w:val="0"/>
      <w:marTop w:val="0"/>
      <w:marBottom w:val="0"/>
      <w:divBdr>
        <w:top w:val="none" w:sz="0" w:space="0" w:color="auto"/>
        <w:left w:val="none" w:sz="0" w:space="0" w:color="auto"/>
        <w:bottom w:val="none" w:sz="0" w:space="0" w:color="auto"/>
        <w:right w:val="none" w:sz="0" w:space="0" w:color="auto"/>
      </w:divBdr>
    </w:div>
    <w:div w:id="248663940">
      <w:bodyDiv w:val="1"/>
      <w:marLeft w:val="0"/>
      <w:marRight w:val="0"/>
      <w:marTop w:val="0"/>
      <w:marBottom w:val="0"/>
      <w:divBdr>
        <w:top w:val="none" w:sz="0" w:space="0" w:color="auto"/>
        <w:left w:val="none" w:sz="0" w:space="0" w:color="auto"/>
        <w:bottom w:val="none" w:sz="0" w:space="0" w:color="auto"/>
        <w:right w:val="none" w:sz="0" w:space="0" w:color="auto"/>
      </w:divBdr>
    </w:div>
    <w:div w:id="420371174">
      <w:bodyDiv w:val="1"/>
      <w:marLeft w:val="0"/>
      <w:marRight w:val="0"/>
      <w:marTop w:val="0"/>
      <w:marBottom w:val="0"/>
      <w:divBdr>
        <w:top w:val="none" w:sz="0" w:space="0" w:color="auto"/>
        <w:left w:val="none" w:sz="0" w:space="0" w:color="auto"/>
        <w:bottom w:val="none" w:sz="0" w:space="0" w:color="auto"/>
        <w:right w:val="none" w:sz="0" w:space="0" w:color="auto"/>
      </w:divBdr>
    </w:div>
    <w:div w:id="505291851">
      <w:bodyDiv w:val="1"/>
      <w:marLeft w:val="0"/>
      <w:marRight w:val="0"/>
      <w:marTop w:val="0"/>
      <w:marBottom w:val="0"/>
      <w:divBdr>
        <w:top w:val="none" w:sz="0" w:space="0" w:color="auto"/>
        <w:left w:val="none" w:sz="0" w:space="0" w:color="auto"/>
        <w:bottom w:val="none" w:sz="0" w:space="0" w:color="auto"/>
        <w:right w:val="none" w:sz="0" w:space="0" w:color="auto"/>
      </w:divBdr>
    </w:div>
    <w:div w:id="587420443">
      <w:bodyDiv w:val="1"/>
      <w:marLeft w:val="0"/>
      <w:marRight w:val="0"/>
      <w:marTop w:val="0"/>
      <w:marBottom w:val="0"/>
      <w:divBdr>
        <w:top w:val="none" w:sz="0" w:space="0" w:color="auto"/>
        <w:left w:val="none" w:sz="0" w:space="0" w:color="auto"/>
        <w:bottom w:val="none" w:sz="0" w:space="0" w:color="auto"/>
        <w:right w:val="none" w:sz="0" w:space="0" w:color="auto"/>
      </w:divBdr>
    </w:div>
    <w:div w:id="629168221">
      <w:bodyDiv w:val="1"/>
      <w:marLeft w:val="0"/>
      <w:marRight w:val="0"/>
      <w:marTop w:val="0"/>
      <w:marBottom w:val="0"/>
      <w:divBdr>
        <w:top w:val="none" w:sz="0" w:space="0" w:color="auto"/>
        <w:left w:val="none" w:sz="0" w:space="0" w:color="auto"/>
        <w:bottom w:val="none" w:sz="0" w:space="0" w:color="auto"/>
        <w:right w:val="none" w:sz="0" w:space="0" w:color="auto"/>
      </w:divBdr>
    </w:div>
    <w:div w:id="713653482">
      <w:bodyDiv w:val="1"/>
      <w:marLeft w:val="0"/>
      <w:marRight w:val="0"/>
      <w:marTop w:val="0"/>
      <w:marBottom w:val="0"/>
      <w:divBdr>
        <w:top w:val="none" w:sz="0" w:space="0" w:color="auto"/>
        <w:left w:val="none" w:sz="0" w:space="0" w:color="auto"/>
        <w:bottom w:val="none" w:sz="0" w:space="0" w:color="auto"/>
        <w:right w:val="none" w:sz="0" w:space="0" w:color="auto"/>
      </w:divBdr>
    </w:div>
    <w:div w:id="736394041">
      <w:bodyDiv w:val="1"/>
      <w:marLeft w:val="0"/>
      <w:marRight w:val="0"/>
      <w:marTop w:val="0"/>
      <w:marBottom w:val="0"/>
      <w:divBdr>
        <w:top w:val="none" w:sz="0" w:space="0" w:color="auto"/>
        <w:left w:val="none" w:sz="0" w:space="0" w:color="auto"/>
        <w:bottom w:val="none" w:sz="0" w:space="0" w:color="auto"/>
        <w:right w:val="none" w:sz="0" w:space="0" w:color="auto"/>
      </w:divBdr>
    </w:div>
    <w:div w:id="1057704663">
      <w:bodyDiv w:val="1"/>
      <w:marLeft w:val="0"/>
      <w:marRight w:val="0"/>
      <w:marTop w:val="0"/>
      <w:marBottom w:val="0"/>
      <w:divBdr>
        <w:top w:val="none" w:sz="0" w:space="0" w:color="auto"/>
        <w:left w:val="none" w:sz="0" w:space="0" w:color="auto"/>
        <w:bottom w:val="none" w:sz="0" w:space="0" w:color="auto"/>
        <w:right w:val="none" w:sz="0" w:space="0" w:color="auto"/>
      </w:divBdr>
    </w:div>
    <w:div w:id="1067342290">
      <w:bodyDiv w:val="1"/>
      <w:marLeft w:val="0"/>
      <w:marRight w:val="0"/>
      <w:marTop w:val="0"/>
      <w:marBottom w:val="0"/>
      <w:divBdr>
        <w:top w:val="none" w:sz="0" w:space="0" w:color="auto"/>
        <w:left w:val="none" w:sz="0" w:space="0" w:color="auto"/>
        <w:bottom w:val="none" w:sz="0" w:space="0" w:color="auto"/>
        <w:right w:val="none" w:sz="0" w:space="0" w:color="auto"/>
      </w:divBdr>
    </w:div>
    <w:div w:id="1104033718">
      <w:bodyDiv w:val="1"/>
      <w:marLeft w:val="0"/>
      <w:marRight w:val="0"/>
      <w:marTop w:val="0"/>
      <w:marBottom w:val="0"/>
      <w:divBdr>
        <w:top w:val="none" w:sz="0" w:space="0" w:color="auto"/>
        <w:left w:val="none" w:sz="0" w:space="0" w:color="auto"/>
        <w:bottom w:val="none" w:sz="0" w:space="0" w:color="auto"/>
        <w:right w:val="none" w:sz="0" w:space="0" w:color="auto"/>
      </w:divBdr>
    </w:div>
    <w:div w:id="1195923735">
      <w:bodyDiv w:val="1"/>
      <w:marLeft w:val="0"/>
      <w:marRight w:val="0"/>
      <w:marTop w:val="0"/>
      <w:marBottom w:val="0"/>
      <w:divBdr>
        <w:top w:val="none" w:sz="0" w:space="0" w:color="auto"/>
        <w:left w:val="none" w:sz="0" w:space="0" w:color="auto"/>
        <w:bottom w:val="none" w:sz="0" w:space="0" w:color="auto"/>
        <w:right w:val="none" w:sz="0" w:space="0" w:color="auto"/>
      </w:divBdr>
    </w:div>
    <w:div w:id="1210414559">
      <w:bodyDiv w:val="1"/>
      <w:marLeft w:val="0"/>
      <w:marRight w:val="0"/>
      <w:marTop w:val="0"/>
      <w:marBottom w:val="0"/>
      <w:divBdr>
        <w:top w:val="none" w:sz="0" w:space="0" w:color="auto"/>
        <w:left w:val="none" w:sz="0" w:space="0" w:color="auto"/>
        <w:bottom w:val="none" w:sz="0" w:space="0" w:color="auto"/>
        <w:right w:val="none" w:sz="0" w:space="0" w:color="auto"/>
      </w:divBdr>
    </w:div>
    <w:div w:id="1213349843">
      <w:bodyDiv w:val="1"/>
      <w:marLeft w:val="0"/>
      <w:marRight w:val="0"/>
      <w:marTop w:val="0"/>
      <w:marBottom w:val="0"/>
      <w:divBdr>
        <w:top w:val="none" w:sz="0" w:space="0" w:color="auto"/>
        <w:left w:val="none" w:sz="0" w:space="0" w:color="auto"/>
        <w:bottom w:val="none" w:sz="0" w:space="0" w:color="auto"/>
        <w:right w:val="none" w:sz="0" w:space="0" w:color="auto"/>
      </w:divBdr>
    </w:div>
    <w:div w:id="1331368249">
      <w:bodyDiv w:val="1"/>
      <w:marLeft w:val="0"/>
      <w:marRight w:val="0"/>
      <w:marTop w:val="0"/>
      <w:marBottom w:val="0"/>
      <w:divBdr>
        <w:top w:val="none" w:sz="0" w:space="0" w:color="auto"/>
        <w:left w:val="none" w:sz="0" w:space="0" w:color="auto"/>
        <w:bottom w:val="none" w:sz="0" w:space="0" w:color="auto"/>
        <w:right w:val="none" w:sz="0" w:space="0" w:color="auto"/>
      </w:divBdr>
    </w:div>
    <w:div w:id="1341156655">
      <w:bodyDiv w:val="1"/>
      <w:marLeft w:val="0"/>
      <w:marRight w:val="0"/>
      <w:marTop w:val="0"/>
      <w:marBottom w:val="0"/>
      <w:divBdr>
        <w:top w:val="none" w:sz="0" w:space="0" w:color="auto"/>
        <w:left w:val="none" w:sz="0" w:space="0" w:color="auto"/>
        <w:bottom w:val="none" w:sz="0" w:space="0" w:color="auto"/>
        <w:right w:val="none" w:sz="0" w:space="0" w:color="auto"/>
      </w:divBdr>
    </w:div>
    <w:div w:id="1464081046">
      <w:bodyDiv w:val="1"/>
      <w:marLeft w:val="0"/>
      <w:marRight w:val="0"/>
      <w:marTop w:val="0"/>
      <w:marBottom w:val="0"/>
      <w:divBdr>
        <w:top w:val="none" w:sz="0" w:space="0" w:color="auto"/>
        <w:left w:val="none" w:sz="0" w:space="0" w:color="auto"/>
        <w:bottom w:val="none" w:sz="0" w:space="0" w:color="auto"/>
        <w:right w:val="none" w:sz="0" w:space="0" w:color="auto"/>
      </w:divBdr>
    </w:div>
    <w:div w:id="1630436546">
      <w:bodyDiv w:val="1"/>
      <w:marLeft w:val="0"/>
      <w:marRight w:val="0"/>
      <w:marTop w:val="0"/>
      <w:marBottom w:val="0"/>
      <w:divBdr>
        <w:top w:val="none" w:sz="0" w:space="0" w:color="auto"/>
        <w:left w:val="none" w:sz="0" w:space="0" w:color="auto"/>
        <w:bottom w:val="none" w:sz="0" w:space="0" w:color="auto"/>
        <w:right w:val="none" w:sz="0" w:space="0" w:color="auto"/>
      </w:divBdr>
    </w:div>
    <w:div w:id="1805810814">
      <w:bodyDiv w:val="1"/>
      <w:marLeft w:val="0"/>
      <w:marRight w:val="0"/>
      <w:marTop w:val="0"/>
      <w:marBottom w:val="0"/>
      <w:divBdr>
        <w:top w:val="none" w:sz="0" w:space="0" w:color="auto"/>
        <w:left w:val="none" w:sz="0" w:space="0" w:color="auto"/>
        <w:bottom w:val="none" w:sz="0" w:space="0" w:color="auto"/>
        <w:right w:val="none" w:sz="0" w:space="0" w:color="auto"/>
      </w:divBdr>
    </w:div>
    <w:div w:id="209670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6B6E5-E2F3-47E7-B57E-F678BCDC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32</Pages>
  <Words>14789</Words>
  <Characters>84303</Characters>
  <Application>Microsoft Office Word</Application>
  <DocSecurity>0</DocSecurity>
  <Lines>702</Lines>
  <Paragraphs>197</Paragraphs>
  <ScaleCrop>false</ScaleCrop>
  <HeadingPairs>
    <vt:vector size="6" baseType="variant">
      <vt:variant>
        <vt:lpstr>Title</vt:lpstr>
      </vt:variant>
      <vt:variant>
        <vt:i4>1</vt:i4>
      </vt:variant>
      <vt:variant>
        <vt:lpstr>Titre</vt:lpstr>
      </vt:variant>
      <vt:variant>
        <vt:i4>1</vt:i4>
      </vt:variant>
      <vt:variant>
        <vt:lpstr>Naslov</vt:lpstr>
      </vt:variant>
      <vt:variant>
        <vt:i4>1</vt:i4>
      </vt:variant>
    </vt:vector>
  </HeadingPairs>
  <TitlesOfParts>
    <vt:vector size="3" baseType="lpstr">
      <vt:lpstr/>
      <vt:lpstr/>
      <vt:lpstr/>
    </vt:vector>
  </TitlesOfParts>
  <Company>Vlada Republike Srpske</Company>
  <LinksUpToDate>false</LinksUpToDate>
  <CharactersWithSpaces>98895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Neda Devic</cp:lastModifiedBy>
  <cp:revision>104</cp:revision>
  <dcterms:created xsi:type="dcterms:W3CDTF">2026-03-02T12:35:00Z</dcterms:created>
  <dcterms:modified xsi:type="dcterms:W3CDTF">2026-04-10T07:29:00Z</dcterms:modified>
</cp:coreProperties>
</file>