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FE5BF" w14:textId="77777777" w:rsidR="005833C2" w:rsidRPr="00D60A13" w:rsidRDefault="00375603">
      <w:r w:rsidRPr="00D60A13">
        <w:rPr>
          <w:noProof/>
        </w:rPr>
        <w:drawing>
          <wp:anchor distT="0" distB="0" distL="114300" distR="114300" simplePos="0" relativeHeight="251661312" behindDoc="0" locked="0" layoutInCell="1" allowOverlap="1" wp14:anchorId="2198BDEA" wp14:editId="4406C948">
            <wp:simplePos x="0" y="0"/>
            <wp:positionH relativeFrom="margin">
              <wp:posOffset>2537460</wp:posOffset>
            </wp:positionH>
            <wp:positionV relativeFrom="paragraph">
              <wp:posOffset>107950</wp:posOffset>
            </wp:positionV>
            <wp:extent cx="1018540" cy="718820"/>
            <wp:effectExtent l="0" t="0" r="0" b="5080"/>
            <wp:wrapSquare wrapText="bothSides"/>
            <wp:docPr id="115013395"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sidRPr="00D60A13">
        <w:rPr>
          <w:noProof/>
        </w:rPr>
        <w:drawing>
          <wp:anchor distT="0" distB="0" distL="114300" distR="114300" simplePos="0" relativeHeight="251660288" behindDoc="1" locked="0" layoutInCell="1" allowOverlap="1" wp14:anchorId="3BE42A40" wp14:editId="0C3E105F">
            <wp:simplePos x="0" y="0"/>
            <wp:positionH relativeFrom="margin">
              <wp:posOffset>5362575</wp:posOffset>
            </wp:positionH>
            <wp:positionV relativeFrom="margin">
              <wp:align>top</wp:align>
            </wp:positionV>
            <wp:extent cx="441325" cy="1000125"/>
            <wp:effectExtent l="0" t="0" r="0" b="9525"/>
            <wp:wrapTight wrapText="bothSides">
              <wp:wrapPolygon edited="0">
                <wp:start x="0" y="0"/>
                <wp:lineTo x="0" y="21394"/>
                <wp:lineTo x="20512" y="21394"/>
                <wp:lineTo x="20512" y="0"/>
                <wp:lineTo x="0" y="0"/>
              </wp:wrapPolygon>
            </wp:wrapTight>
            <wp:docPr id="4499238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325" cy="1000125"/>
                    </a:xfrm>
                    <a:prstGeom prst="rect">
                      <a:avLst/>
                    </a:prstGeom>
                  </pic:spPr>
                </pic:pic>
              </a:graphicData>
            </a:graphic>
            <wp14:sizeRelH relativeFrom="margin">
              <wp14:pctWidth>0</wp14:pctWidth>
            </wp14:sizeRelH>
            <wp14:sizeRelV relativeFrom="margin">
              <wp14:pctHeight>0</wp14:pctHeight>
            </wp14:sizeRelV>
          </wp:anchor>
        </w:drawing>
      </w:r>
      <w:r w:rsidRPr="00D60A13">
        <w:rPr>
          <w:noProof/>
        </w:rPr>
        <w:drawing>
          <wp:anchor distT="0" distB="0" distL="114300" distR="114300" simplePos="0" relativeHeight="251662336" behindDoc="0" locked="0" layoutInCell="1" allowOverlap="1" wp14:anchorId="170A40AF" wp14:editId="5364A58A">
            <wp:simplePos x="0" y="0"/>
            <wp:positionH relativeFrom="column">
              <wp:posOffset>0</wp:posOffset>
            </wp:positionH>
            <wp:positionV relativeFrom="paragraph">
              <wp:posOffset>222885</wp:posOffset>
            </wp:positionV>
            <wp:extent cx="1024890" cy="619125"/>
            <wp:effectExtent l="0" t="0" r="3810" b="9525"/>
            <wp:wrapSquare wrapText="bothSides"/>
            <wp:docPr id="88398237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p>
    <w:p w14:paraId="3EFD77E0" w14:textId="77777777" w:rsidR="005833C2" w:rsidRPr="00D60A13" w:rsidRDefault="005833C2"/>
    <w:p w14:paraId="1CEC9BA7" w14:textId="77777777" w:rsidR="005833C2" w:rsidRPr="00D60A13" w:rsidRDefault="005833C2"/>
    <w:p w14:paraId="3C1C0FE3" w14:textId="77777777" w:rsidR="005833C2" w:rsidRPr="00D60A13" w:rsidRDefault="005833C2"/>
    <w:p w14:paraId="1B9A567A" w14:textId="77777777" w:rsidR="005833C2" w:rsidRPr="00D60A13" w:rsidRDefault="005833C2"/>
    <w:p w14:paraId="0AF44616" w14:textId="77777777" w:rsidR="005833C2" w:rsidRPr="00D60A13" w:rsidRDefault="00375603" w:rsidP="00375603">
      <w:pPr>
        <w:tabs>
          <w:tab w:val="left" w:pos="5520"/>
        </w:tabs>
      </w:pPr>
      <w:r w:rsidRPr="00D60A13">
        <w:tab/>
      </w:r>
    </w:p>
    <w:p w14:paraId="58318392" w14:textId="77777777" w:rsidR="00CF3B13" w:rsidRPr="00D60A13" w:rsidRDefault="00CF3B13" w:rsidP="00375603">
      <w:pPr>
        <w:tabs>
          <w:tab w:val="left" w:pos="5520"/>
        </w:tabs>
      </w:pPr>
    </w:p>
    <w:p w14:paraId="7E91601C" w14:textId="77777777" w:rsidR="005833C2" w:rsidRPr="00D60A13" w:rsidRDefault="005833C2"/>
    <w:p w14:paraId="2A211DD7" w14:textId="77777777" w:rsidR="005833C2" w:rsidRPr="00D60A13" w:rsidRDefault="00D264C7" w:rsidP="00D264C7">
      <w:pPr>
        <w:tabs>
          <w:tab w:val="left" w:pos="3540"/>
        </w:tabs>
        <w:jc w:val="center"/>
      </w:pPr>
      <w:r w:rsidRPr="00D60A13">
        <w:rPr>
          <w:noProof/>
        </w:rPr>
        <w:drawing>
          <wp:inline distT="0" distB="0" distL="0" distR="0" wp14:anchorId="29F1C346" wp14:editId="3ADD12FF">
            <wp:extent cx="2927547" cy="164774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90778" cy="1683336"/>
                    </a:xfrm>
                    <a:prstGeom prst="rect">
                      <a:avLst/>
                    </a:prstGeom>
                  </pic:spPr>
                </pic:pic>
              </a:graphicData>
            </a:graphic>
          </wp:inline>
        </w:drawing>
      </w:r>
    </w:p>
    <w:p w14:paraId="53828AC2" w14:textId="77777777" w:rsidR="00D67A17" w:rsidRPr="00D60A13" w:rsidRDefault="00D67A17" w:rsidP="00D67A17">
      <w:pPr>
        <w:jc w:val="center"/>
        <w:rPr>
          <w:b/>
          <w:color w:val="2F5496" w:themeColor="accent1" w:themeShade="BF"/>
          <w:sz w:val="28"/>
          <w:szCs w:val="28"/>
        </w:rPr>
      </w:pPr>
      <w:r w:rsidRPr="00D60A13">
        <w:rPr>
          <w:b/>
          <w:color w:val="2F5496" w:themeColor="accent1" w:themeShade="BF"/>
          <w:sz w:val="28"/>
          <w:szCs w:val="28"/>
        </w:rPr>
        <w:t>IMPLEMENTATION OF THE STRATEGIC ACTION PROGRAMME (SAP) OF THE DINARIC KARST AQUIFER SYSTEM: IMPROVING GROUNDWATER GOVERNANCE AND SUSTAINABILITY OF RELATED ECOSYSTEMS</w:t>
      </w:r>
    </w:p>
    <w:p w14:paraId="52122385" w14:textId="77777777" w:rsidR="005833C2" w:rsidRPr="00D60A13" w:rsidRDefault="005833C2"/>
    <w:p w14:paraId="1CE98680" w14:textId="1ABFAFA8" w:rsidR="00CF0ED7" w:rsidRPr="00D60A13" w:rsidRDefault="00CF0ED7" w:rsidP="00CF0ED7">
      <w:pPr>
        <w:pStyle w:val="Default"/>
        <w:jc w:val="center"/>
        <w:rPr>
          <w:rFonts w:asciiTheme="minorHAnsi" w:hAnsiTheme="minorHAnsi" w:cstheme="minorHAnsi"/>
          <w:b/>
          <w:bCs/>
          <w:color w:val="2F5496" w:themeColor="accent1" w:themeShade="BF"/>
          <w:sz w:val="36"/>
          <w:szCs w:val="36"/>
          <w:lang w:val="en-GB"/>
        </w:rPr>
      </w:pPr>
      <w:r w:rsidRPr="00D60A13">
        <w:rPr>
          <w:rFonts w:asciiTheme="minorHAnsi" w:hAnsiTheme="minorHAnsi" w:cstheme="minorHAnsi"/>
          <w:b/>
          <w:bCs/>
          <w:color w:val="2F5496" w:themeColor="accent1" w:themeShade="BF"/>
          <w:sz w:val="36"/>
          <w:szCs w:val="36"/>
          <w:lang w:val="en-GB"/>
        </w:rPr>
        <w:t xml:space="preserve">OUTPUT </w:t>
      </w:r>
      <w:r w:rsidR="00AA091F" w:rsidRPr="00D60A13">
        <w:rPr>
          <w:rFonts w:asciiTheme="minorHAnsi" w:hAnsiTheme="minorHAnsi" w:cstheme="minorHAnsi"/>
          <w:b/>
          <w:bCs/>
          <w:color w:val="2F5496" w:themeColor="accent1" w:themeShade="BF"/>
          <w:sz w:val="36"/>
          <w:szCs w:val="36"/>
          <w:lang w:val="en-GB"/>
        </w:rPr>
        <w:t>5</w:t>
      </w:r>
      <w:r w:rsidRPr="00D60A13">
        <w:rPr>
          <w:rFonts w:asciiTheme="minorHAnsi" w:hAnsiTheme="minorHAnsi" w:cstheme="minorHAnsi"/>
          <w:b/>
          <w:bCs/>
          <w:color w:val="2F5496" w:themeColor="accent1" w:themeShade="BF"/>
          <w:sz w:val="36"/>
          <w:szCs w:val="36"/>
          <w:lang w:val="en-GB"/>
        </w:rPr>
        <w:t>.1.</w:t>
      </w:r>
    </w:p>
    <w:p w14:paraId="45D9A687" w14:textId="77777777" w:rsidR="00CF0ED7" w:rsidRPr="00D60A13" w:rsidRDefault="00CF0ED7" w:rsidP="00CF0ED7">
      <w:pPr>
        <w:pStyle w:val="Default"/>
        <w:jc w:val="center"/>
        <w:rPr>
          <w:rFonts w:asciiTheme="minorHAnsi" w:hAnsiTheme="minorHAnsi" w:cstheme="minorHAnsi"/>
          <w:b/>
          <w:bCs/>
          <w:color w:val="2F5496" w:themeColor="accent1" w:themeShade="BF"/>
          <w:sz w:val="28"/>
          <w:szCs w:val="28"/>
          <w:lang w:val="en-GB"/>
        </w:rPr>
      </w:pPr>
    </w:p>
    <w:p w14:paraId="4342AB41" w14:textId="6445E95D" w:rsidR="00CF0ED7" w:rsidRPr="00D60A13" w:rsidRDefault="00AA091F" w:rsidP="00CF0ED7">
      <w:pPr>
        <w:pStyle w:val="Default"/>
        <w:jc w:val="center"/>
        <w:rPr>
          <w:rFonts w:asciiTheme="minorHAnsi" w:hAnsiTheme="minorHAnsi" w:cstheme="minorHAnsi"/>
          <w:b/>
          <w:bCs/>
          <w:color w:val="2F5496" w:themeColor="accent1" w:themeShade="BF"/>
          <w:sz w:val="36"/>
          <w:szCs w:val="36"/>
          <w:lang w:val="en-GB"/>
        </w:rPr>
      </w:pPr>
      <w:r w:rsidRPr="00D60A13">
        <w:rPr>
          <w:rFonts w:asciiTheme="minorHAnsi" w:hAnsiTheme="minorHAnsi" w:cstheme="minorHAnsi"/>
          <w:b/>
          <w:bCs/>
          <w:color w:val="2F5496" w:themeColor="accent1" w:themeShade="BF"/>
          <w:sz w:val="36"/>
          <w:szCs w:val="36"/>
          <w:lang w:val="en-GB"/>
        </w:rPr>
        <w:t>JOINT ACTION PROGRAMME</w:t>
      </w:r>
    </w:p>
    <w:p w14:paraId="6FB0A883" w14:textId="25765953" w:rsidR="009D3C75" w:rsidRPr="00D60A13" w:rsidRDefault="00850224" w:rsidP="00CF0ED7">
      <w:pPr>
        <w:pStyle w:val="Default"/>
        <w:jc w:val="center"/>
        <w:rPr>
          <w:rFonts w:asciiTheme="minorHAnsi" w:hAnsiTheme="minorHAnsi" w:cstheme="minorHAnsi"/>
          <w:b/>
          <w:bCs/>
          <w:color w:val="2F5496" w:themeColor="accent1" w:themeShade="BF"/>
          <w:sz w:val="36"/>
          <w:szCs w:val="36"/>
          <w:lang w:val="en-GB"/>
        </w:rPr>
      </w:pPr>
      <w:r w:rsidRPr="00D60A13">
        <w:rPr>
          <w:rFonts w:asciiTheme="minorHAnsi" w:hAnsiTheme="minorHAnsi" w:cstheme="minorHAnsi"/>
          <w:b/>
          <w:bCs/>
          <w:color w:val="2F5496" w:themeColor="accent1" w:themeShade="BF"/>
          <w:sz w:val="36"/>
          <w:szCs w:val="36"/>
          <w:lang w:val="en-GB"/>
        </w:rPr>
        <w:t>NERETVA</w:t>
      </w:r>
      <w:r w:rsidR="006E39CE" w:rsidRPr="00D60A13">
        <w:rPr>
          <w:rFonts w:asciiTheme="minorHAnsi" w:hAnsiTheme="minorHAnsi" w:cstheme="minorHAnsi"/>
          <w:b/>
          <w:bCs/>
          <w:color w:val="2F5496" w:themeColor="accent1" w:themeShade="BF"/>
          <w:sz w:val="36"/>
          <w:szCs w:val="36"/>
          <w:lang w:val="en-GB"/>
        </w:rPr>
        <w:t xml:space="preserve"> TBA</w:t>
      </w:r>
    </w:p>
    <w:p w14:paraId="673DA9DD" w14:textId="0D4E047D" w:rsidR="005833C2" w:rsidRPr="00D60A13" w:rsidRDefault="00485C6B" w:rsidP="00485C6B">
      <w:pPr>
        <w:jc w:val="center"/>
      </w:pPr>
      <w:r>
        <w:rPr>
          <w:rFonts w:cstheme="minorHAnsi"/>
          <w:b/>
          <w:bCs/>
          <w:color w:val="2F5496" w:themeColor="accent1" w:themeShade="BF"/>
          <w:sz w:val="36"/>
          <w:szCs w:val="36"/>
        </w:rPr>
        <w:t>(draft)</w:t>
      </w:r>
    </w:p>
    <w:p w14:paraId="43AA824A" w14:textId="77777777" w:rsidR="005833C2" w:rsidRPr="00D60A13" w:rsidRDefault="005833C2"/>
    <w:p w14:paraId="7F552626" w14:textId="77777777" w:rsidR="005833C2" w:rsidRPr="00D60A13" w:rsidRDefault="005833C2"/>
    <w:p w14:paraId="00A574C6" w14:textId="74493059" w:rsidR="005833C2" w:rsidRPr="00D60A13" w:rsidRDefault="00CD0442" w:rsidP="007C40DF">
      <w:pPr>
        <w:jc w:val="center"/>
        <w:rPr>
          <w:color w:val="002060"/>
        </w:rPr>
      </w:pPr>
      <w:r>
        <w:rPr>
          <w:color w:val="002060"/>
        </w:rPr>
        <w:t>MAY</w:t>
      </w:r>
      <w:r w:rsidR="007C40DF" w:rsidRPr="00D60A13">
        <w:rPr>
          <w:color w:val="002060"/>
        </w:rPr>
        <w:t xml:space="preserve"> 202</w:t>
      </w:r>
      <w:r w:rsidR="00115718" w:rsidRPr="00D60A13">
        <w:rPr>
          <w:color w:val="002060"/>
        </w:rPr>
        <w:t>6</w:t>
      </w:r>
    </w:p>
    <w:p w14:paraId="667D71DF" w14:textId="77777777" w:rsidR="005833C2" w:rsidRPr="00D60A13" w:rsidRDefault="005833C2"/>
    <w:p w14:paraId="75865CB7" w14:textId="77777777" w:rsidR="005833C2" w:rsidRPr="00D60A13" w:rsidRDefault="00CF3B13" w:rsidP="00CF3B13">
      <w:pPr>
        <w:jc w:val="center"/>
      </w:pPr>
      <w:r w:rsidRPr="00D60A13">
        <w:rPr>
          <w:noProof/>
        </w:rPr>
        <w:drawing>
          <wp:inline distT="0" distB="0" distL="0" distR="0" wp14:anchorId="4E2E8DD0" wp14:editId="6B0341D9">
            <wp:extent cx="3734435" cy="609600"/>
            <wp:effectExtent l="0" t="0" r="0" b="0"/>
            <wp:docPr id="1814883663"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p w14:paraId="1E2B6FF4" w14:textId="77777777" w:rsidR="00AA091F" w:rsidRPr="00D60A13" w:rsidRDefault="00AA091F" w:rsidP="00C94859">
      <w:pPr>
        <w:rPr>
          <w:rFonts w:cstheme="minorHAnsi"/>
          <w:b/>
          <w:bCs/>
          <w:color w:val="0070C0"/>
          <w:sz w:val="28"/>
          <w:szCs w:val="28"/>
        </w:rPr>
      </w:pPr>
    </w:p>
    <w:sdt>
      <w:sdtPr>
        <w:id w:val="66283275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D6E5F31" w14:textId="2CA36760" w:rsidR="00203D85" w:rsidRDefault="00203D85">
          <w:pPr>
            <w:pStyle w:val="TOCHeading"/>
          </w:pPr>
          <w:r>
            <w:t>Contents</w:t>
          </w:r>
        </w:p>
        <w:p w14:paraId="15C3882D" w14:textId="71E15FA1" w:rsidR="009B25D8" w:rsidRDefault="00203D85">
          <w:pPr>
            <w:pStyle w:val="TOC1"/>
            <w:tabs>
              <w:tab w:val="right" w:leader="dot" w:pos="9016"/>
            </w:tabs>
            <w:rPr>
              <w:rFonts w:eastAsiaTheme="minorEastAsia"/>
              <w:noProof/>
              <w:kern w:val="2"/>
              <w:sz w:val="24"/>
              <w:szCs w:val="24"/>
              <w:lang w:val="hr-HR" w:eastAsia="hr-HR"/>
              <w14:ligatures w14:val="standardContextual"/>
            </w:rPr>
          </w:pPr>
          <w:r>
            <w:fldChar w:fldCharType="begin"/>
          </w:r>
          <w:r>
            <w:instrText xml:space="preserve"> TOC \o "1-3" \h \z \u </w:instrText>
          </w:r>
          <w:r>
            <w:fldChar w:fldCharType="separate"/>
          </w:r>
          <w:hyperlink w:anchor="_Toc229036149" w:history="1">
            <w:r w:rsidR="009B25D8" w:rsidRPr="005A0CE6">
              <w:rPr>
                <w:rStyle w:val="Hyperlink"/>
                <w:noProof/>
              </w:rPr>
              <w:t>1. Introduction</w:t>
            </w:r>
            <w:r w:rsidR="009B25D8">
              <w:rPr>
                <w:noProof/>
                <w:webHidden/>
              </w:rPr>
              <w:tab/>
            </w:r>
            <w:r w:rsidR="009B25D8">
              <w:rPr>
                <w:noProof/>
                <w:webHidden/>
              </w:rPr>
              <w:fldChar w:fldCharType="begin"/>
            </w:r>
            <w:r w:rsidR="009B25D8">
              <w:rPr>
                <w:noProof/>
                <w:webHidden/>
              </w:rPr>
              <w:instrText xml:space="preserve"> PAGEREF _Toc229036149 \h </w:instrText>
            </w:r>
            <w:r w:rsidR="009B25D8">
              <w:rPr>
                <w:noProof/>
                <w:webHidden/>
              </w:rPr>
            </w:r>
            <w:r w:rsidR="009B25D8">
              <w:rPr>
                <w:noProof/>
                <w:webHidden/>
              </w:rPr>
              <w:fldChar w:fldCharType="separate"/>
            </w:r>
            <w:r w:rsidR="006D621C">
              <w:rPr>
                <w:noProof/>
                <w:webHidden/>
              </w:rPr>
              <w:t>1</w:t>
            </w:r>
            <w:r w:rsidR="009B25D8">
              <w:rPr>
                <w:noProof/>
                <w:webHidden/>
              </w:rPr>
              <w:fldChar w:fldCharType="end"/>
            </w:r>
          </w:hyperlink>
        </w:p>
        <w:p w14:paraId="094BF34D" w14:textId="26472866"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50" w:history="1">
            <w:r w:rsidRPr="005A0CE6">
              <w:rPr>
                <w:rStyle w:val="Hyperlink"/>
                <w:noProof/>
              </w:rPr>
              <w:t>1.1 Purpose and scope of the Joint Action Programme for Neretva TBA</w:t>
            </w:r>
            <w:r>
              <w:rPr>
                <w:noProof/>
                <w:webHidden/>
              </w:rPr>
              <w:tab/>
            </w:r>
            <w:r>
              <w:rPr>
                <w:noProof/>
                <w:webHidden/>
              </w:rPr>
              <w:fldChar w:fldCharType="begin"/>
            </w:r>
            <w:r>
              <w:rPr>
                <w:noProof/>
                <w:webHidden/>
              </w:rPr>
              <w:instrText xml:space="preserve"> PAGEREF _Toc229036150 \h </w:instrText>
            </w:r>
            <w:r>
              <w:rPr>
                <w:noProof/>
                <w:webHidden/>
              </w:rPr>
            </w:r>
            <w:r>
              <w:rPr>
                <w:noProof/>
                <w:webHidden/>
              </w:rPr>
              <w:fldChar w:fldCharType="separate"/>
            </w:r>
            <w:r w:rsidR="006D621C">
              <w:rPr>
                <w:noProof/>
                <w:webHidden/>
              </w:rPr>
              <w:t>1</w:t>
            </w:r>
            <w:r>
              <w:rPr>
                <w:noProof/>
                <w:webHidden/>
              </w:rPr>
              <w:fldChar w:fldCharType="end"/>
            </w:r>
          </w:hyperlink>
        </w:p>
        <w:p w14:paraId="41C1995B" w14:textId="0B679814"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51" w:history="1">
            <w:r w:rsidRPr="005A0CE6">
              <w:rPr>
                <w:rStyle w:val="Hyperlink"/>
                <w:noProof/>
              </w:rPr>
              <w:t>1.2 Geographic, geological and hydrogeological overview of the UNA TBA</w:t>
            </w:r>
            <w:r>
              <w:rPr>
                <w:noProof/>
                <w:webHidden/>
              </w:rPr>
              <w:tab/>
            </w:r>
            <w:r>
              <w:rPr>
                <w:noProof/>
                <w:webHidden/>
              </w:rPr>
              <w:fldChar w:fldCharType="begin"/>
            </w:r>
            <w:r>
              <w:rPr>
                <w:noProof/>
                <w:webHidden/>
              </w:rPr>
              <w:instrText xml:space="preserve"> PAGEREF _Toc229036151 \h </w:instrText>
            </w:r>
            <w:r>
              <w:rPr>
                <w:noProof/>
                <w:webHidden/>
              </w:rPr>
            </w:r>
            <w:r>
              <w:rPr>
                <w:noProof/>
                <w:webHidden/>
              </w:rPr>
              <w:fldChar w:fldCharType="separate"/>
            </w:r>
            <w:r w:rsidR="006D621C">
              <w:rPr>
                <w:noProof/>
                <w:webHidden/>
              </w:rPr>
              <w:t>2</w:t>
            </w:r>
            <w:r>
              <w:rPr>
                <w:noProof/>
                <w:webHidden/>
              </w:rPr>
              <w:fldChar w:fldCharType="end"/>
            </w:r>
          </w:hyperlink>
        </w:p>
        <w:p w14:paraId="3B24FD5E" w14:textId="1EDF69C8"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52" w:history="1">
            <w:r w:rsidRPr="005A0CE6">
              <w:rPr>
                <w:rStyle w:val="Hyperlink"/>
                <w:noProof/>
              </w:rPr>
              <w:t>1.2.1 Geological characteristics</w:t>
            </w:r>
            <w:r>
              <w:rPr>
                <w:noProof/>
                <w:webHidden/>
              </w:rPr>
              <w:tab/>
            </w:r>
            <w:r>
              <w:rPr>
                <w:noProof/>
                <w:webHidden/>
              </w:rPr>
              <w:fldChar w:fldCharType="begin"/>
            </w:r>
            <w:r>
              <w:rPr>
                <w:noProof/>
                <w:webHidden/>
              </w:rPr>
              <w:instrText xml:space="preserve"> PAGEREF _Toc229036152 \h </w:instrText>
            </w:r>
            <w:r>
              <w:rPr>
                <w:noProof/>
                <w:webHidden/>
              </w:rPr>
            </w:r>
            <w:r>
              <w:rPr>
                <w:noProof/>
                <w:webHidden/>
              </w:rPr>
              <w:fldChar w:fldCharType="separate"/>
            </w:r>
            <w:r w:rsidR="006D621C">
              <w:rPr>
                <w:noProof/>
                <w:webHidden/>
              </w:rPr>
              <w:t>4</w:t>
            </w:r>
            <w:r>
              <w:rPr>
                <w:noProof/>
                <w:webHidden/>
              </w:rPr>
              <w:fldChar w:fldCharType="end"/>
            </w:r>
          </w:hyperlink>
        </w:p>
        <w:p w14:paraId="1518D9AA" w14:textId="53F1D80F"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53" w:history="1">
            <w:r w:rsidRPr="005A0CE6">
              <w:rPr>
                <w:rStyle w:val="Hyperlink"/>
                <w:noProof/>
              </w:rPr>
              <w:t>1.2.2 Tectonic characteristics</w:t>
            </w:r>
            <w:r>
              <w:rPr>
                <w:noProof/>
                <w:webHidden/>
              </w:rPr>
              <w:tab/>
            </w:r>
            <w:r>
              <w:rPr>
                <w:noProof/>
                <w:webHidden/>
              </w:rPr>
              <w:fldChar w:fldCharType="begin"/>
            </w:r>
            <w:r>
              <w:rPr>
                <w:noProof/>
                <w:webHidden/>
              </w:rPr>
              <w:instrText xml:space="preserve"> PAGEREF _Toc229036153 \h </w:instrText>
            </w:r>
            <w:r>
              <w:rPr>
                <w:noProof/>
                <w:webHidden/>
              </w:rPr>
            </w:r>
            <w:r>
              <w:rPr>
                <w:noProof/>
                <w:webHidden/>
              </w:rPr>
              <w:fldChar w:fldCharType="separate"/>
            </w:r>
            <w:r w:rsidR="006D621C">
              <w:rPr>
                <w:noProof/>
                <w:webHidden/>
              </w:rPr>
              <w:t>6</w:t>
            </w:r>
            <w:r>
              <w:rPr>
                <w:noProof/>
                <w:webHidden/>
              </w:rPr>
              <w:fldChar w:fldCharType="end"/>
            </w:r>
          </w:hyperlink>
        </w:p>
        <w:p w14:paraId="7563126A" w14:textId="49CA1F62"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54" w:history="1">
            <w:r w:rsidRPr="005A0CE6">
              <w:rPr>
                <w:rStyle w:val="Hyperlink"/>
                <w:noProof/>
              </w:rPr>
              <w:t>1.2.3 Hydrogeological characteristics</w:t>
            </w:r>
            <w:r>
              <w:rPr>
                <w:noProof/>
                <w:webHidden/>
              </w:rPr>
              <w:tab/>
            </w:r>
            <w:r>
              <w:rPr>
                <w:noProof/>
                <w:webHidden/>
              </w:rPr>
              <w:fldChar w:fldCharType="begin"/>
            </w:r>
            <w:r>
              <w:rPr>
                <w:noProof/>
                <w:webHidden/>
              </w:rPr>
              <w:instrText xml:space="preserve"> PAGEREF _Toc229036154 \h </w:instrText>
            </w:r>
            <w:r>
              <w:rPr>
                <w:noProof/>
                <w:webHidden/>
              </w:rPr>
            </w:r>
            <w:r>
              <w:rPr>
                <w:noProof/>
                <w:webHidden/>
              </w:rPr>
              <w:fldChar w:fldCharType="separate"/>
            </w:r>
            <w:r w:rsidR="006D621C">
              <w:rPr>
                <w:noProof/>
                <w:webHidden/>
              </w:rPr>
              <w:t>6</w:t>
            </w:r>
            <w:r>
              <w:rPr>
                <w:noProof/>
                <w:webHidden/>
              </w:rPr>
              <w:fldChar w:fldCharType="end"/>
            </w:r>
          </w:hyperlink>
        </w:p>
        <w:p w14:paraId="74C66D88" w14:textId="54EFD260"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55" w:history="1">
            <w:r w:rsidRPr="005A0CE6">
              <w:rPr>
                <w:rStyle w:val="Hyperlink"/>
                <w:noProof/>
              </w:rPr>
              <w:t>1.3 Legal framework – multilateral and bilateral agreements</w:t>
            </w:r>
            <w:r>
              <w:rPr>
                <w:noProof/>
                <w:webHidden/>
              </w:rPr>
              <w:tab/>
            </w:r>
            <w:r>
              <w:rPr>
                <w:noProof/>
                <w:webHidden/>
              </w:rPr>
              <w:fldChar w:fldCharType="begin"/>
            </w:r>
            <w:r>
              <w:rPr>
                <w:noProof/>
                <w:webHidden/>
              </w:rPr>
              <w:instrText xml:space="preserve"> PAGEREF _Toc229036155 \h </w:instrText>
            </w:r>
            <w:r>
              <w:rPr>
                <w:noProof/>
                <w:webHidden/>
              </w:rPr>
            </w:r>
            <w:r>
              <w:rPr>
                <w:noProof/>
                <w:webHidden/>
              </w:rPr>
              <w:fldChar w:fldCharType="separate"/>
            </w:r>
            <w:r w:rsidR="006D621C">
              <w:rPr>
                <w:noProof/>
                <w:webHidden/>
              </w:rPr>
              <w:t>7</w:t>
            </w:r>
            <w:r>
              <w:rPr>
                <w:noProof/>
                <w:webHidden/>
              </w:rPr>
              <w:fldChar w:fldCharType="end"/>
            </w:r>
          </w:hyperlink>
        </w:p>
        <w:p w14:paraId="7B64F283" w14:textId="6D8F9207"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56" w:history="1">
            <w:r w:rsidRPr="005A0CE6">
              <w:rPr>
                <w:rStyle w:val="Hyperlink"/>
                <w:noProof/>
              </w:rPr>
              <w:t>1.4 Institutional and transboundary cooperation</w:t>
            </w:r>
            <w:r>
              <w:rPr>
                <w:noProof/>
                <w:webHidden/>
              </w:rPr>
              <w:tab/>
            </w:r>
            <w:r>
              <w:rPr>
                <w:noProof/>
                <w:webHidden/>
              </w:rPr>
              <w:fldChar w:fldCharType="begin"/>
            </w:r>
            <w:r>
              <w:rPr>
                <w:noProof/>
                <w:webHidden/>
              </w:rPr>
              <w:instrText xml:space="preserve"> PAGEREF _Toc229036156 \h </w:instrText>
            </w:r>
            <w:r>
              <w:rPr>
                <w:noProof/>
                <w:webHidden/>
              </w:rPr>
            </w:r>
            <w:r>
              <w:rPr>
                <w:noProof/>
                <w:webHidden/>
              </w:rPr>
              <w:fldChar w:fldCharType="separate"/>
            </w:r>
            <w:r w:rsidR="006D621C">
              <w:rPr>
                <w:noProof/>
                <w:webHidden/>
              </w:rPr>
              <w:t>9</w:t>
            </w:r>
            <w:r>
              <w:rPr>
                <w:noProof/>
                <w:webHidden/>
              </w:rPr>
              <w:fldChar w:fldCharType="end"/>
            </w:r>
          </w:hyperlink>
        </w:p>
        <w:p w14:paraId="6AB89262" w14:textId="73791E35"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57" w:history="1">
            <w:r w:rsidRPr="005A0CE6">
              <w:rPr>
                <w:rStyle w:val="Hyperlink"/>
                <w:noProof/>
              </w:rPr>
              <w:t>1.5 Alignment of JAP with national RBMPs and the EU WFD</w:t>
            </w:r>
            <w:r>
              <w:rPr>
                <w:noProof/>
                <w:webHidden/>
              </w:rPr>
              <w:tab/>
            </w:r>
            <w:r>
              <w:rPr>
                <w:noProof/>
                <w:webHidden/>
              </w:rPr>
              <w:fldChar w:fldCharType="begin"/>
            </w:r>
            <w:r>
              <w:rPr>
                <w:noProof/>
                <w:webHidden/>
              </w:rPr>
              <w:instrText xml:space="preserve"> PAGEREF _Toc229036157 \h </w:instrText>
            </w:r>
            <w:r>
              <w:rPr>
                <w:noProof/>
                <w:webHidden/>
              </w:rPr>
            </w:r>
            <w:r>
              <w:rPr>
                <w:noProof/>
                <w:webHidden/>
              </w:rPr>
              <w:fldChar w:fldCharType="separate"/>
            </w:r>
            <w:r w:rsidR="006D621C">
              <w:rPr>
                <w:noProof/>
                <w:webHidden/>
              </w:rPr>
              <w:t>11</w:t>
            </w:r>
            <w:r>
              <w:rPr>
                <w:noProof/>
                <w:webHidden/>
              </w:rPr>
              <w:fldChar w:fldCharType="end"/>
            </w:r>
          </w:hyperlink>
        </w:p>
        <w:p w14:paraId="45D4B11D" w14:textId="008E4591"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58" w:history="1">
            <w:r w:rsidRPr="005A0CE6">
              <w:rPr>
                <w:rStyle w:val="Hyperlink"/>
                <w:noProof/>
              </w:rPr>
              <w:t>1.6 Methodology</w:t>
            </w:r>
            <w:r>
              <w:rPr>
                <w:noProof/>
                <w:webHidden/>
              </w:rPr>
              <w:tab/>
            </w:r>
            <w:r>
              <w:rPr>
                <w:noProof/>
                <w:webHidden/>
              </w:rPr>
              <w:fldChar w:fldCharType="begin"/>
            </w:r>
            <w:r>
              <w:rPr>
                <w:noProof/>
                <w:webHidden/>
              </w:rPr>
              <w:instrText xml:space="preserve"> PAGEREF _Toc229036158 \h </w:instrText>
            </w:r>
            <w:r>
              <w:rPr>
                <w:noProof/>
                <w:webHidden/>
              </w:rPr>
            </w:r>
            <w:r>
              <w:rPr>
                <w:noProof/>
                <w:webHidden/>
              </w:rPr>
              <w:fldChar w:fldCharType="separate"/>
            </w:r>
            <w:r w:rsidR="006D621C">
              <w:rPr>
                <w:noProof/>
                <w:webHidden/>
              </w:rPr>
              <w:t>12</w:t>
            </w:r>
            <w:r>
              <w:rPr>
                <w:noProof/>
                <w:webHidden/>
              </w:rPr>
              <w:fldChar w:fldCharType="end"/>
            </w:r>
          </w:hyperlink>
        </w:p>
        <w:p w14:paraId="0B9B7483" w14:textId="08F7D10A" w:rsidR="009B25D8" w:rsidRDefault="009B25D8">
          <w:pPr>
            <w:pStyle w:val="TOC1"/>
            <w:tabs>
              <w:tab w:val="right" w:leader="dot" w:pos="9016"/>
            </w:tabs>
            <w:rPr>
              <w:rFonts w:eastAsiaTheme="minorEastAsia"/>
              <w:noProof/>
              <w:kern w:val="2"/>
              <w:sz w:val="24"/>
              <w:szCs w:val="24"/>
              <w:lang w:val="hr-HR" w:eastAsia="hr-HR"/>
              <w14:ligatures w14:val="standardContextual"/>
            </w:rPr>
          </w:pPr>
          <w:hyperlink w:anchor="_Toc229036159" w:history="1">
            <w:r w:rsidRPr="005A0CE6">
              <w:rPr>
                <w:rStyle w:val="Hyperlink"/>
                <w:noProof/>
              </w:rPr>
              <w:t>2. Identified problems and challenges</w:t>
            </w:r>
            <w:r>
              <w:rPr>
                <w:noProof/>
                <w:webHidden/>
              </w:rPr>
              <w:tab/>
            </w:r>
            <w:r>
              <w:rPr>
                <w:noProof/>
                <w:webHidden/>
              </w:rPr>
              <w:fldChar w:fldCharType="begin"/>
            </w:r>
            <w:r>
              <w:rPr>
                <w:noProof/>
                <w:webHidden/>
              </w:rPr>
              <w:instrText xml:space="preserve"> PAGEREF _Toc229036159 \h </w:instrText>
            </w:r>
            <w:r>
              <w:rPr>
                <w:noProof/>
                <w:webHidden/>
              </w:rPr>
            </w:r>
            <w:r>
              <w:rPr>
                <w:noProof/>
                <w:webHidden/>
              </w:rPr>
              <w:fldChar w:fldCharType="separate"/>
            </w:r>
            <w:r w:rsidR="006D621C">
              <w:rPr>
                <w:noProof/>
                <w:webHidden/>
              </w:rPr>
              <w:t>14</w:t>
            </w:r>
            <w:r>
              <w:rPr>
                <w:noProof/>
                <w:webHidden/>
              </w:rPr>
              <w:fldChar w:fldCharType="end"/>
            </w:r>
          </w:hyperlink>
        </w:p>
        <w:p w14:paraId="65D18A4C" w14:textId="7ACB16E8"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60" w:history="1">
            <w:r w:rsidRPr="005A0CE6">
              <w:rPr>
                <w:rStyle w:val="Hyperlink"/>
                <w:noProof/>
              </w:rPr>
              <w:t>2.1 Diffuse agricultural pollution in Ljubuško polje (nitrates, pesticides, phosphates)</w:t>
            </w:r>
            <w:r>
              <w:rPr>
                <w:noProof/>
                <w:webHidden/>
              </w:rPr>
              <w:tab/>
            </w:r>
            <w:r>
              <w:rPr>
                <w:noProof/>
                <w:webHidden/>
              </w:rPr>
              <w:fldChar w:fldCharType="begin"/>
            </w:r>
            <w:r>
              <w:rPr>
                <w:noProof/>
                <w:webHidden/>
              </w:rPr>
              <w:instrText xml:space="preserve"> PAGEREF _Toc229036160 \h </w:instrText>
            </w:r>
            <w:r>
              <w:rPr>
                <w:noProof/>
                <w:webHidden/>
              </w:rPr>
            </w:r>
            <w:r>
              <w:rPr>
                <w:noProof/>
                <w:webHidden/>
              </w:rPr>
              <w:fldChar w:fldCharType="separate"/>
            </w:r>
            <w:r w:rsidR="006D621C">
              <w:rPr>
                <w:noProof/>
                <w:webHidden/>
              </w:rPr>
              <w:t>14</w:t>
            </w:r>
            <w:r>
              <w:rPr>
                <w:noProof/>
                <w:webHidden/>
              </w:rPr>
              <w:fldChar w:fldCharType="end"/>
            </w:r>
          </w:hyperlink>
        </w:p>
        <w:p w14:paraId="32B3751B" w14:textId="56AE107F"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61" w:history="1">
            <w:r w:rsidRPr="005A0CE6">
              <w:rPr>
                <w:rStyle w:val="Hyperlink"/>
                <w:noProof/>
              </w:rPr>
              <w:t>2.2 Potential contamination of Prud spring due to inadequate wastewater collection and treatment</w:t>
            </w:r>
            <w:r>
              <w:rPr>
                <w:noProof/>
                <w:webHidden/>
              </w:rPr>
              <w:tab/>
            </w:r>
            <w:r>
              <w:rPr>
                <w:noProof/>
                <w:webHidden/>
              </w:rPr>
              <w:fldChar w:fldCharType="begin"/>
            </w:r>
            <w:r>
              <w:rPr>
                <w:noProof/>
                <w:webHidden/>
              </w:rPr>
              <w:instrText xml:space="preserve"> PAGEREF _Toc229036161 \h </w:instrText>
            </w:r>
            <w:r>
              <w:rPr>
                <w:noProof/>
                <w:webHidden/>
              </w:rPr>
            </w:r>
            <w:r>
              <w:rPr>
                <w:noProof/>
                <w:webHidden/>
              </w:rPr>
              <w:fldChar w:fldCharType="separate"/>
            </w:r>
            <w:r w:rsidR="006D621C">
              <w:rPr>
                <w:noProof/>
                <w:webHidden/>
              </w:rPr>
              <w:t>15</w:t>
            </w:r>
            <w:r>
              <w:rPr>
                <w:noProof/>
                <w:webHidden/>
              </w:rPr>
              <w:fldChar w:fldCharType="end"/>
            </w:r>
          </w:hyperlink>
        </w:p>
        <w:p w14:paraId="29A04B13" w14:textId="354DCB76"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62" w:history="1">
            <w:r w:rsidRPr="005A0CE6">
              <w:rPr>
                <w:rStyle w:val="Hyperlink"/>
                <w:noProof/>
              </w:rPr>
              <w:t>2.3 Agricultural pressures and potential contamination of the Neretva Delta</w:t>
            </w:r>
            <w:r>
              <w:rPr>
                <w:noProof/>
                <w:webHidden/>
              </w:rPr>
              <w:tab/>
            </w:r>
            <w:r>
              <w:rPr>
                <w:noProof/>
                <w:webHidden/>
              </w:rPr>
              <w:fldChar w:fldCharType="begin"/>
            </w:r>
            <w:r>
              <w:rPr>
                <w:noProof/>
                <w:webHidden/>
              </w:rPr>
              <w:instrText xml:space="preserve"> PAGEREF _Toc229036162 \h </w:instrText>
            </w:r>
            <w:r>
              <w:rPr>
                <w:noProof/>
                <w:webHidden/>
              </w:rPr>
            </w:r>
            <w:r>
              <w:rPr>
                <w:noProof/>
                <w:webHidden/>
              </w:rPr>
              <w:fldChar w:fldCharType="separate"/>
            </w:r>
            <w:r w:rsidR="006D621C">
              <w:rPr>
                <w:noProof/>
                <w:webHidden/>
              </w:rPr>
              <w:t>16</w:t>
            </w:r>
            <w:r>
              <w:rPr>
                <w:noProof/>
                <w:webHidden/>
              </w:rPr>
              <w:fldChar w:fldCharType="end"/>
            </w:r>
          </w:hyperlink>
        </w:p>
        <w:p w14:paraId="056CEF93" w14:textId="3BD5B741"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63" w:history="1">
            <w:r w:rsidRPr="005A0CE6">
              <w:rPr>
                <w:rStyle w:val="Hyperlink"/>
                <w:noProof/>
              </w:rPr>
              <w:t>2.4 Solid waste and illegal dumping pressures</w:t>
            </w:r>
            <w:r>
              <w:rPr>
                <w:noProof/>
                <w:webHidden/>
              </w:rPr>
              <w:tab/>
            </w:r>
            <w:r>
              <w:rPr>
                <w:noProof/>
                <w:webHidden/>
              </w:rPr>
              <w:fldChar w:fldCharType="begin"/>
            </w:r>
            <w:r>
              <w:rPr>
                <w:noProof/>
                <w:webHidden/>
              </w:rPr>
              <w:instrText xml:space="preserve"> PAGEREF _Toc229036163 \h </w:instrText>
            </w:r>
            <w:r>
              <w:rPr>
                <w:noProof/>
                <w:webHidden/>
              </w:rPr>
            </w:r>
            <w:r>
              <w:rPr>
                <w:noProof/>
                <w:webHidden/>
              </w:rPr>
              <w:fldChar w:fldCharType="separate"/>
            </w:r>
            <w:r w:rsidR="006D621C">
              <w:rPr>
                <w:noProof/>
                <w:webHidden/>
              </w:rPr>
              <w:t>16</w:t>
            </w:r>
            <w:r>
              <w:rPr>
                <w:noProof/>
                <w:webHidden/>
              </w:rPr>
              <w:fldChar w:fldCharType="end"/>
            </w:r>
          </w:hyperlink>
        </w:p>
        <w:p w14:paraId="3F2F7B72" w14:textId="16DE9240"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64" w:history="1">
            <w:r w:rsidRPr="005A0CE6">
              <w:rPr>
                <w:rStyle w:val="Hyperlink"/>
                <w:noProof/>
              </w:rPr>
              <w:t>2.5 Tourism and seasonal pressures on groundwater and GWDE</w:t>
            </w:r>
            <w:r>
              <w:rPr>
                <w:noProof/>
                <w:webHidden/>
              </w:rPr>
              <w:tab/>
            </w:r>
            <w:r>
              <w:rPr>
                <w:noProof/>
                <w:webHidden/>
              </w:rPr>
              <w:fldChar w:fldCharType="begin"/>
            </w:r>
            <w:r>
              <w:rPr>
                <w:noProof/>
                <w:webHidden/>
              </w:rPr>
              <w:instrText xml:space="preserve"> PAGEREF _Toc229036164 \h </w:instrText>
            </w:r>
            <w:r>
              <w:rPr>
                <w:noProof/>
                <w:webHidden/>
              </w:rPr>
            </w:r>
            <w:r>
              <w:rPr>
                <w:noProof/>
                <w:webHidden/>
              </w:rPr>
              <w:fldChar w:fldCharType="separate"/>
            </w:r>
            <w:r w:rsidR="006D621C">
              <w:rPr>
                <w:noProof/>
                <w:webHidden/>
              </w:rPr>
              <w:t>17</w:t>
            </w:r>
            <w:r>
              <w:rPr>
                <w:noProof/>
                <w:webHidden/>
              </w:rPr>
              <w:fldChar w:fldCharType="end"/>
            </w:r>
          </w:hyperlink>
        </w:p>
        <w:p w14:paraId="1B9FA23A" w14:textId="758EB7D3"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65" w:history="1">
            <w:r w:rsidRPr="005A0CE6">
              <w:rPr>
                <w:rStyle w:val="Hyperlink"/>
                <w:noProof/>
              </w:rPr>
              <w:t>2.6 Monitoring gaps and lack of harmonised methodologies (nitrates and pesticides)</w:t>
            </w:r>
            <w:r>
              <w:rPr>
                <w:noProof/>
                <w:webHidden/>
              </w:rPr>
              <w:tab/>
            </w:r>
            <w:r>
              <w:rPr>
                <w:noProof/>
                <w:webHidden/>
              </w:rPr>
              <w:fldChar w:fldCharType="begin"/>
            </w:r>
            <w:r>
              <w:rPr>
                <w:noProof/>
                <w:webHidden/>
              </w:rPr>
              <w:instrText xml:space="preserve"> PAGEREF _Toc229036165 \h </w:instrText>
            </w:r>
            <w:r>
              <w:rPr>
                <w:noProof/>
                <w:webHidden/>
              </w:rPr>
            </w:r>
            <w:r>
              <w:rPr>
                <w:noProof/>
                <w:webHidden/>
              </w:rPr>
              <w:fldChar w:fldCharType="separate"/>
            </w:r>
            <w:r w:rsidR="006D621C">
              <w:rPr>
                <w:noProof/>
                <w:webHidden/>
              </w:rPr>
              <w:t>19</w:t>
            </w:r>
            <w:r>
              <w:rPr>
                <w:noProof/>
                <w:webHidden/>
              </w:rPr>
              <w:fldChar w:fldCharType="end"/>
            </w:r>
          </w:hyperlink>
        </w:p>
        <w:p w14:paraId="561F4E6E" w14:textId="4DCEAEFE" w:rsidR="009B25D8" w:rsidRDefault="009B25D8">
          <w:pPr>
            <w:pStyle w:val="TOC1"/>
            <w:tabs>
              <w:tab w:val="right" w:leader="dot" w:pos="9016"/>
            </w:tabs>
            <w:rPr>
              <w:rFonts w:eastAsiaTheme="minorEastAsia"/>
              <w:noProof/>
              <w:kern w:val="2"/>
              <w:sz w:val="24"/>
              <w:szCs w:val="24"/>
              <w:lang w:val="hr-HR" w:eastAsia="hr-HR"/>
              <w14:ligatures w14:val="standardContextual"/>
            </w:rPr>
          </w:pPr>
          <w:hyperlink w:anchor="_Toc229036166" w:history="1">
            <w:r w:rsidRPr="005A0CE6">
              <w:rPr>
                <w:rStyle w:val="Hyperlink"/>
                <w:rFonts w:eastAsia="Times New Roman"/>
                <w:noProof/>
              </w:rPr>
              <w:t>3. Socio-economic setting and challenges</w:t>
            </w:r>
            <w:r>
              <w:rPr>
                <w:noProof/>
                <w:webHidden/>
              </w:rPr>
              <w:tab/>
            </w:r>
            <w:r>
              <w:rPr>
                <w:noProof/>
                <w:webHidden/>
              </w:rPr>
              <w:fldChar w:fldCharType="begin"/>
            </w:r>
            <w:r>
              <w:rPr>
                <w:noProof/>
                <w:webHidden/>
              </w:rPr>
              <w:instrText xml:space="preserve"> PAGEREF _Toc229036166 \h </w:instrText>
            </w:r>
            <w:r>
              <w:rPr>
                <w:noProof/>
                <w:webHidden/>
              </w:rPr>
            </w:r>
            <w:r>
              <w:rPr>
                <w:noProof/>
                <w:webHidden/>
              </w:rPr>
              <w:fldChar w:fldCharType="separate"/>
            </w:r>
            <w:r w:rsidR="006D621C">
              <w:rPr>
                <w:noProof/>
                <w:webHidden/>
              </w:rPr>
              <w:t>20</w:t>
            </w:r>
            <w:r>
              <w:rPr>
                <w:noProof/>
                <w:webHidden/>
              </w:rPr>
              <w:fldChar w:fldCharType="end"/>
            </w:r>
          </w:hyperlink>
        </w:p>
        <w:p w14:paraId="0A10B71E" w14:textId="0D8CAD3E"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67" w:history="1">
            <w:r w:rsidRPr="005A0CE6">
              <w:rPr>
                <w:rStyle w:val="Hyperlink"/>
                <w:rFonts w:eastAsia="Times New Roman"/>
                <w:noProof/>
              </w:rPr>
              <w:t>3.1 Overall socio-economic characteristics and demographics</w:t>
            </w:r>
            <w:r>
              <w:rPr>
                <w:noProof/>
                <w:webHidden/>
              </w:rPr>
              <w:tab/>
            </w:r>
            <w:r>
              <w:rPr>
                <w:noProof/>
                <w:webHidden/>
              </w:rPr>
              <w:fldChar w:fldCharType="begin"/>
            </w:r>
            <w:r>
              <w:rPr>
                <w:noProof/>
                <w:webHidden/>
              </w:rPr>
              <w:instrText xml:space="preserve"> PAGEREF _Toc229036167 \h </w:instrText>
            </w:r>
            <w:r>
              <w:rPr>
                <w:noProof/>
                <w:webHidden/>
              </w:rPr>
            </w:r>
            <w:r>
              <w:rPr>
                <w:noProof/>
                <w:webHidden/>
              </w:rPr>
              <w:fldChar w:fldCharType="separate"/>
            </w:r>
            <w:r w:rsidR="006D621C">
              <w:rPr>
                <w:noProof/>
                <w:webHidden/>
              </w:rPr>
              <w:t>20</w:t>
            </w:r>
            <w:r>
              <w:rPr>
                <w:noProof/>
                <w:webHidden/>
              </w:rPr>
              <w:fldChar w:fldCharType="end"/>
            </w:r>
          </w:hyperlink>
        </w:p>
        <w:p w14:paraId="3E4DB59E" w14:textId="477DB196"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68" w:history="1">
            <w:r w:rsidRPr="005A0CE6">
              <w:rPr>
                <w:rStyle w:val="Hyperlink"/>
                <w:rFonts w:eastAsia="Calibri"/>
                <w:noProof/>
              </w:rPr>
              <w:t>3.1.1 Croatian part of Neretva TBA</w:t>
            </w:r>
            <w:r>
              <w:rPr>
                <w:noProof/>
                <w:webHidden/>
              </w:rPr>
              <w:tab/>
            </w:r>
            <w:r>
              <w:rPr>
                <w:noProof/>
                <w:webHidden/>
              </w:rPr>
              <w:fldChar w:fldCharType="begin"/>
            </w:r>
            <w:r>
              <w:rPr>
                <w:noProof/>
                <w:webHidden/>
              </w:rPr>
              <w:instrText xml:space="preserve"> PAGEREF _Toc229036168 \h </w:instrText>
            </w:r>
            <w:r>
              <w:rPr>
                <w:noProof/>
                <w:webHidden/>
              </w:rPr>
            </w:r>
            <w:r>
              <w:rPr>
                <w:noProof/>
                <w:webHidden/>
              </w:rPr>
              <w:fldChar w:fldCharType="separate"/>
            </w:r>
            <w:r w:rsidR="006D621C">
              <w:rPr>
                <w:noProof/>
                <w:webHidden/>
              </w:rPr>
              <w:t>20</w:t>
            </w:r>
            <w:r>
              <w:rPr>
                <w:noProof/>
                <w:webHidden/>
              </w:rPr>
              <w:fldChar w:fldCharType="end"/>
            </w:r>
          </w:hyperlink>
        </w:p>
        <w:p w14:paraId="463D3F52" w14:textId="322B86E5"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69" w:history="1">
            <w:r w:rsidRPr="005A0CE6">
              <w:rPr>
                <w:rStyle w:val="Hyperlink"/>
                <w:rFonts w:eastAsia="Calibri"/>
                <w:noProof/>
              </w:rPr>
              <w:t>3.1.2 Bosnia and Herzegovina (BiH) part of the TBA Neretva</w:t>
            </w:r>
            <w:r>
              <w:rPr>
                <w:noProof/>
                <w:webHidden/>
              </w:rPr>
              <w:tab/>
            </w:r>
            <w:r>
              <w:rPr>
                <w:noProof/>
                <w:webHidden/>
              </w:rPr>
              <w:fldChar w:fldCharType="begin"/>
            </w:r>
            <w:r>
              <w:rPr>
                <w:noProof/>
                <w:webHidden/>
              </w:rPr>
              <w:instrText xml:space="preserve"> PAGEREF _Toc229036169 \h </w:instrText>
            </w:r>
            <w:r>
              <w:rPr>
                <w:noProof/>
                <w:webHidden/>
              </w:rPr>
            </w:r>
            <w:r>
              <w:rPr>
                <w:noProof/>
                <w:webHidden/>
              </w:rPr>
              <w:fldChar w:fldCharType="separate"/>
            </w:r>
            <w:r w:rsidR="006D621C">
              <w:rPr>
                <w:noProof/>
                <w:webHidden/>
              </w:rPr>
              <w:t>21</w:t>
            </w:r>
            <w:r>
              <w:rPr>
                <w:noProof/>
                <w:webHidden/>
              </w:rPr>
              <w:fldChar w:fldCharType="end"/>
            </w:r>
          </w:hyperlink>
        </w:p>
        <w:p w14:paraId="36B30D39" w14:textId="7C5F118E"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70" w:history="1">
            <w:r w:rsidRPr="005A0CE6">
              <w:rPr>
                <w:rStyle w:val="Hyperlink"/>
                <w:rFonts w:eastAsia="Calibri"/>
                <w:noProof/>
              </w:rPr>
              <w:t>3.1.3 Transboundary synthesis</w:t>
            </w:r>
            <w:r>
              <w:rPr>
                <w:noProof/>
                <w:webHidden/>
              </w:rPr>
              <w:tab/>
            </w:r>
            <w:r>
              <w:rPr>
                <w:noProof/>
                <w:webHidden/>
              </w:rPr>
              <w:fldChar w:fldCharType="begin"/>
            </w:r>
            <w:r>
              <w:rPr>
                <w:noProof/>
                <w:webHidden/>
              </w:rPr>
              <w:instrText xml:space="preserve"> PAGEREF _Toc229036170 \h </w:instrText>
            </w:r>
            <w:r>
              <w:rPr>
                <w:noProof/>
                <w:webHidden/>
              </w:rPr>
            </w:r>
            <w:r>
              <w:rPr>
                <w:noProof/>
                <w:webHidden/>
              </w:rPr>
              <w:fldChar w:fldCharType="separate"/>
            </w:r>
            <w:r w:rsidR="006D621C">
              <w:rPr>
                <w:noProof/>
                <w:webHidden/>
              </w:rPr>
              <w:t>21</w:t>
            </w:r>
            <w:r>
              <w:rPr>
                <w:noProof/>
                <w:webHidden/>
              </w:rPr>
              <w:fldChar w:fldCharType="end"/>
            </w:r>
          </w:hyperlink>
        </w:p>
        <w:p w14:paraId="0E0F14C8" w14:textId="143D2568"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71" w:history="1">
            <w:r w:rsidRPr="005A0CE6">
              <w:rPr>
                <w:rStyle w:val="Hyperlink"/>
                <w:rFonts w:eastAsia="Calibri"/>
                <w:noProof/>
              </w:rPr>
              <w:t>3.2 Institutional and financial capacities</w:t>
            </w:r>
            <w:r>
              <w:rPr>
                <w:noProof/>
                <w:webHidden/>
              </w:rPr>
              <w:tab/>
            </w:r>
            <w:r>
              <w:rPr>
                <w:noProof/>
                <w:webHidden/>
              </w:rPr>
              <w:fldChar w:fldCharType="begin"/>
            </w:r>
            <w:r>
              <w:rPr>
                <w:noProof/>
                <w:webHidden/>
              </w:rPr>
              <w:instrText xml:space="preserve"> PAGEREF _Toc229036171 \h </w:instrText>
            </w:r>
            <w:r>
              <w:rPr>
                <w:noProof/>
                <w:webHidden/>
              </w:rPr>
            </w:r>
            <w:r>
              <w:rPr>
                <w:noProof/>
                <w:webHidden/>
              </w:rPr>
              <w:fldChar w:fldCharType="separate"/>
            </w:r>
            <w:r w:rsidR="006D621C">
              <w:rPr>
                <w:noProof/>
                <w:webHidden/>
              </w:rPr>
              <w:t>22</w:t>
            </w:r>
            <w:r>
              <w:rPr>
                <w:noProof/>
                <w:webHidden/>
              </w:rPr>
              <w:fldChar w:fldCharType="end"/>
            </w:r>
          </w:hyperlink>
        </w:p>
        <w:p w14:paraId="739D04A9" w14:textId="4B3B5F80"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72" w:history="1">
            <w:r w:rsidRPr="005A0CE6">
              <w:rPr>
                <w:rStyle w:val="Hyperlink"/>
                <w:rFonts w:eastAsia="Calibri"/>
                <w:noProof/>
              </w:rPr>
              <w:t>3.2.1 Croatia</w:t>
            </w:r>
            <w:r>
              <w:rPr>
                <w:noProof/>
                <w:webHidden/>
              </w:rPr>
              <w:tab/>
            </w:r>
            <w:r>
              <w:rPr>
                <w:noProof/>
                <w:webHidden/>
              </w:rPr>
              <w:fldChar w:fldCharType="begin"/>
            </w:r>
            <w:r>
              <w:rPr>
                <w:noProof/>
                <w:webHidden/>
              </w:rPr>
              <w:instrText xml:space="preserve"> PAGEREF _Toc229036172 \h </w:instrText>
            </w:r>
            <w:r>
              <w:rPr>
                <w:noProof/>
                <w:webHidden/>
              </w:rPr>
            </w:r>
            <w:r>
              <w:rPr>
                <w:noProof/>
                <w:webHidden/>
              </w:rPr>
              <w:fldChar w:fldCharType="separate"/>
            </w:r>
            <w:r w:rsidR="006D621C">
              <w:rPr>
                <w:noProof/>
                <w:webHidden/>
              </w:rPr>
              <w:t>22</w:t>
            </w:r>
            <w:r>
              <w:rPr>
                <w:noProof/>
                <w:webHidden/>
              </w:rPr>
              <w:fldChar w:fldCharType="end"/>
            </w:r>
          </w:hyperlink>
        </w:p>
        <w:p w14:paraId="69C8B696" w14:textId="7FF22BA9"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73" w:history="1">
            <w:r w:rsidRPr="005A0CE6">
              <w:rPr>
                <w:rStyle w:val="Hyperlink"/>
                <w:rFonts w:eastAsia="Calibri"/>
                <w:noProof/>
              </w:rPr>
              <w:t>3.2.2 Bosnia and Herzegovina</w:t>
            </w:r>
            <w:r>
              <w:rPr>
                <w:noProof/>
                <w:webHidden/>
              </w:rPr>
              <w:tab/>
            </w:r>
            <w:r>
              <w:rPr>
                <w:noProof/>
                <w:webHidden/>
              </w:rPr>
              <w:fldChar w:fldCharType="begin"/>
            </w:r>
            <w:r>
              <w:rPr>
                <w:noProof/>
                <w:webHidden/>
              </w:rPr>
              <w:instrText xml:space="preserve"> PAGEREF _Toc229036173 \h </w:instrText>
            </w:r>
            <w:r>
              <w:rPr>
                <w:noProof/>
                <w:webHidden/>
              </w:rPr>
            </w:r>
            <w:r>
              <w:rPr>
                <w:noProof/>
                <w:webHidden/>
              </w:rPr>
              <w:fldChar w:fldCharType="separate"/>
            </w:r>
            <w:r w:rsidR="006D621C">
              <w:rPr>
                <w:noProof/>
                <w:webHidden/>
              </w:rPr>
              <w:t>23</w:t>
            </w:r>
            <w:r>
              <w:rPr>
                <w:noProof/>
                <w:webHidden/>
              </w:rPr>
              <w:fldChar w:fldCharType="end"/>
            </w:r>
          </w:hyperlink>
        </w:p>
        <w:p w14:paraId="5411879C" w14:textId="7B67535C"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74" w:history="1">
            <w:r w:rsidRPr="005A0CE6">
              <w:rPr>
                <w:rStyle w:val="Hyperlink"/>
                <w:rFonts w:eastAsia="Calibri"/>
                <w:noProof/>
              </w:rPr>
              <w:t>3.2.3 Financial capacities</w:t>
            </w:r>
            <w:r>
              <w:rPr>
                <w:noProof/>
                <w:webHidden/>
              </w:rPr>
              <w:tab/>
            </w:r>
            <w:r>
              <w:rPr>
                <w:noProof/>
                <w:webHidden/>
              </w:rPr>
              <w:fldChar w:fldCharType="begin"/>
            </w:r>
            <w:r>
              <w:rPr>
                <w:noProof/>
                <w:webHidden/>
              </w:rPr>
              <w:instrText xml:space="preserve"> PAGEREF _Toc229036174 \h </w:instrText>
            </w:r>
            <w:r>
              <w:rPr>
                <w:noProof/>
                <w:webHidden/>
              </w:rPr>
            </w:r>
            <w:r>
              <w:rPr>
                <w:noProof/>
                <w:webHidden/>
              </w:rPr>
              <w:fldChar w:fldCharType="separate"/>
            </w:r>
            <w:r w:rsidR="006D621C">
              <w:rPr>
                <w:noProof/>
                <w:webHidden/>
              </w:rPr>
              <w:t>24</w:t>
            </w:r>
            <w:r>
              <w:rPr>
                <w:noProof/>
                <w:webHidden/>
              </w:rPr>
              <w:fldChar w:fldCharType="end"/>
            </w:r>
          </w:hyperlink>
        </w:p>
        <w:p w14:paraId="3F8C53D3" w14:textId="04F234E9"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75" w:history="1">
            <w:r w:rsidRPr="005A0CE6">
              <w:rPr>
                <w:rStyle w:val="Hyperlink"/>
                <w:rFonts w:eastAsia="Calibri"/>
                <w:noProof/>
              </w:rPr>
              <w:t>3.2.4 Transboundary coordination and capacity gaps</w:t>
            </w:r>
            <w:r>
              <w:rPr>
                <w:noProof/>
                <w:webHidden/>
              </w:rPr>
              <w:tab/>
            </w:r>
            <w:r>
              <w:rPr>
                <w:noProof/>
                <w:webHidden/>
              </w:rPr>
              <w:fldChar w:fldCharType="begin"/>
            </w:r>
            <w:r>
              <w:rPr>
                <w:noProof/>
                <w:webHidden/>
              </w:rPr>
              <w:instrText xml:space="preserve"> PAGEREF _Toc229036175 \h </w:instrText>
            </w:r>
            <w:r>
              <w:rPr>
                <w:noProof/>
                <w:webHidden/>
              </w:rPr>
            </w:r>
            <w:r>
              <w:rPr>
                <w:noProof/>
                <w:webHidden/>
              </w:rPr>
              <w:fldChar w:fldCharType="separate"/>
            </w:r>
            <w:r w:rsidR="006D621C">
              <w:rPr>
                <w:noProof/>
                <w:webHidden/>
              </w:rPr>
              <w:t>24</w:t>
            </w:r>
            <w:r>
              <w:rPr>
                <w:noProof/>
                <w:webHidden/>
              </w:rPr>
              <w:fldChar w:fldCharType="end"/>
            </w:r>
          </w:hyperlink>
        </w:p>
        <w:p w14:paraId="05788B90" w14:textId="0BDC4B60"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76" w:history="1">
            <w:r w:rsidRPr="005A0CE6">
              <w:rPr>
                <w:rStyle w:val="Hyperlink"/>
                <w:rFonts w:eastAsia="Calibri"/>
                <w:noProof/>
              </w:rPr>
              <w:t>3.3 Stakeholder analysis</w:t>
            </w:r>
            <w:r>
              <w:rPr>
                <w:noProof/>
                <w:webHidden/>
              </w:rPr>
              <w:tab/>
            </w:r>
            <w:r>
              <w:rPr>
                <w:noProof/>
                <w:webHidden/>
              </w:rPr>
              <w:fldChar w:fldCharType="begin"/>
            </w:r>
            <w:r>
              <w:rPr>
                <w:noProof/>
                <w:webHidden/>
              </w:rPr>
              <w:instrText xml:space="preserve"> PAGEREF _Toc229036176 \h </w:instrText>
            </w:r>
            <w:r>
              <w:rPr>
                <w:noProof/>
                <w:webHidden/>
              </w:rPr>
            </w:r>
            <w:r>
              <w:rPr>
                <w:noProof/>
                <w:webHidden/>
              </w:rPr>
              <w:fldChar w:fldCharType="separate"/>
            </w:r>
            <w:r w:rsidR="006D621C">
              <w:rPr>
                <w:noProof/>
                <w:webHidden/>
              </w:rPr>
              <w:t>25</w:t>
            </w:r>
            <w:r>
              <w:rPr>
                <w:noProof/>
                <w:webHidden/>
              </w:rPr>
              <w:fldChar w:fldCharType="end"/>
            </w:r>
          </w:hyperlink>
        </w:p>
        <w:p w14:paraId="7C8ED8D8" w14:textId="63AA76EC"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77" w:history="1">
            <w:r w:rsidRPr="005A0CE6">
              <w:rPr>
                <w:rStyle w:val="Hyperlink"/>
                <w:rFonts w:eastAsia="Arial"/>
                <w:noProof/>
                <w:lang w:eastAsia="en-GB"/>
              </w:rPr>
              <w:t>3.3.1 Key stakeholder groups</w:t>
            </w:r>
            <w:r>
              <w:rPr>
                <w:noProof/>
                <w:webHidden/>
              </w:rPr>
              <w:tab/>
            </w:r>
            <w:r>
              <w:rPr>
                <w:noProof/>
                <w:webHidden/>
              </w:rPr>
              <w:fldChar w:fldCharType="begin"/>
            </w:r>
            <w:r>
              <w:rPr>
                <w:noProof/>
                <w:webHidden/>
              </w:rPr>
              <w:instrText xml:space="preserve"> PAGEREF _Toc229036177 \h </w:instrText>
            </w:r>
            <w:r>
              <w:rPr>
                <w:noProof/>
                <w:webHidden/>
              </w:rPr>
            </w:r>
            <w:r>
              <w:rPr>
                <w:noProof/>
                <w:webHidden/>
              </w:rPr>
              <w:fldChar w:fldCharType="separate"/>
            </w:r>
            <w:r w:rsidR="006D621C">
              <w:rPr>
                <w:noProof/>
                <w:webHidden/>
              </w:rPr>
              <w:t>26</w:t>
            </w:r>
            <w:r>
              <w:rPr>
                <w:noProof/>
                <w:webHidden/>
              </w:rPr>
              <w:fldChar w:fldCharType="end"/>
            </w:r>
          </w:hyperlink>
        </w:p>
        <w:p w14:paraId="0F21C5E4" w14:textId="4BB66CAE"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78" w:history="1">
            <w:r w:rsidRPr="005A0CE6">
              <w:rPr>
                <w:rStyle w:val="Hyperlink"/>
                <w:rFonts w:eastAsia="Arial"/>
                <w:noProof/>
                <w:lang w:eastAsia="en-GB"/>
              </w:rPr>
              <w:t>3.3.2 Influence, dependency and engagement gaps</w:t>
            </w:r>
            <w:r>
              <w:rPr>
                <w:noProof/>
                <w:webHidden/>
              </w:rPr>
              <w:tab/>
            </w:r>
            <w:r>
              <w:rPr>
                <w:noProof/>
                <w:webHidden/>
              </w:rPr>
              <w:fldChar w:fldCharType="begin"/>
            </w:r>
            <w:r>
              <w:rPr>
                <w:noProof/>
                <w:webHidden/>
              </w:rPr>
              <w:instrText xml:space="preserve"> PAGEREF _Toc229036178 \h </w:instrText>
            </w:r>
            <w:r>
              <w:rPr>
                <w:noProof/>
                <w:webHidden/>
              </w:rPr>
            </w:r>
            <w:r>
              <w:rPr>
                <w:noProof/>
                <w:webHidden/>
              </w:rPr>
              <w:fldChar w:fldCharType="separate"/>
            </w:r>
            <w:r w:rsidR="006D621C">
              <w:rPr>
                <w:noProof/>
                <w:webHidden/>
              </w:rPr>
              <w:t>27</w:t>
            </w:r>
            <w:r>
              <w:rPr>
                <w:noProof/>
                <w:webHidden/>
              </w:rPr>
              <w:fldChar w:fldCharType="end"/>
            </w:r>
          </w:hyperlink>
        </w:p>
        <w:p w14:paraId="1DB17334" w14:textId="74F876A4"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79" w:history="1">
            <w:r w:rsidRPr="005A0CE6">
              <w:rPr>
                <w:rStyle w:val="Hyperlink"/>
                <w:rFonts w:eastAsia="Arial"/>
                <w:noProof/>
                <w:lang w:eastAsia="en-GB"/>
              </w:rPr>
              <w:t>3.3.3 Transboundary dimension and implications for the Joint Action Programme</w:t>
            </w:r>
            <w:r>
              <w:rPr>
                <w:noProof/>
                <w:webHidden/>
              </w:rPr>
              <w:tab/>
            </w:r>
            <w:r>
              <w:rPr>
                <w:noProof/>
                <w:webHidden/>
              </w:rPr>
              <w:fldChar w:fldCharType="begin"/>
            </w:r>
            <w:r>
              <w:rPr>
                <w:noProof/>
                <w:webHidden/>
              </w:rPr>
              <w:instrText xml:space="preserve"> PAGEREF _Toc229036179 \h </w:instrText>
            </w:r>
            <w:r>
              <w:rPr>
                <w:noProof/>
                <w:webHidden/>
              </w:rPr>
            </w:r>
            <w:r>
              <w:rPr>
                <w:noProof/>
                <w:webHidden/>
              </w:rPr>
              <w:fldChar w:fldCharType="separate"/>
            </w:r>
            <w:r w:rsidR="006D621C">
              <w:rPr>
                <w:noProof/>
                <w:webHidden/>
              </w:rPr>
              <w:t>28</w:t>
            </w:r>
            <w:r>
              <w:rPr>
                <w:noProof/>
                <w:webHidden/>
              </w:rPr>
              <w:fldChar w:fldCharType="end"/>
            </w:r>
          </w:hyperlink>
        </w:p>
        <w:p w14:paraId="3B9D4E49" w14:textId="58749E67"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80" w:history="1">
            <w:r w:rsidRPr="005A0CE6">
              <w:rPr>
                <w:rStyle w:val="Hyperlink"/>
                <w:rFonts w:eastAsia="Calibri"/>
                <w:noProof/>
              </w:rPr>
              <w:t>3.4. Gender analysis</w:t>
            </w:r>
            <w:r>
              <w:rPr>
                <w:noProof/>
                <w:webHidden/>
              </w:rPr>
              <w:tab/>
            </w:r>
            <w:r>
              <w:rPr>
                <w:noProof/>
                <w:webHidden/>
              </w:rPr>
              <w:fldChar w:fldCharType="begin"/>
            </w:r>
            <w:r>
              <w:rPr>
                <w:noProof/>
                <w:webHidden/>
              </w:rPr>
              <w:instrText xml:space="preserve"> PAGEREF _Toc229036180 \h </w:instrText>
            </w:r>
            <w:r>
              <w:rPr>
                <w:noProof/>
                <w:webHidden/>
              </w:rPr>
            </w:r>
            <w:r>
              <w:rPr>
                <w:noProof/>
                <w:webHidden/>
              </w:rPr>
              <w:fldChar w:fldCharType="separate"/>
            </w:r>
            <w:r w:rsidR="006D621C">
              <w:rPr>
                <w:noProof/>
                <w:webHidden/>
              </w:rPr>
              <w:t>28</w:t>
            </w:r>
            <w:r>
              <w:rPr>
                <w:noProof/>
                <w:webHidden/>
              </w:rPr>
              <w:fldChar w:fldCharType="end"/>
            </w:r>
          </w:hyperlink>
        </w:p>
        <w:p w14:paraId="1CD1096F" w14:textId="195D1B21"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81" w:history="1">
            <w:r w:rsidRPr="005A0CE6">
              <w:rPr>
                <w:rStyle w:val="Hyperlink"/>
                <w:rFonts w:eastAsia="Calibri"/>
                <w:noProof/>
              </w:rPr>
              <w:t>3.4.1. Women in households</w:t>
            </w:r>
            <w:r>
              <w:rPr>
                <w:noProof/>
                <w:webHidden/>
              </w:rPr>
              <w:tab/>
            </w:r>
            <w:r>
              <w:rPr>
                <w:noProof/>
                <w:webHidden/>
              </w:rPr>
              <w:fldChar w:fldCharType="begin"/>
            </w:r>
            <w:r>
              <w:rPr>
                <w:noProof/>
                <w:webHidden/>
              </w:rPr>
              <w:instrText xml:space="preserve"> PAGEREF _Toc229036181 \h </w:instrText>
            </w:r>
            <w:r>
              <w:rPr>
                <w:noProof/>
                <w:webHidden/>
              </w:rPr>
            </w:r>
            <w:r>
              <w:rPr>
                <w:noProof/>
                <w:webHidden/>
              </w:rPr>
              <w:fldChar w:fldCharType="separate"/>
            </w:r>
            <w:r w:rsidR="006D621C">
              <w:rPr>
                <w:noProof/>
                <w:webHidden/>
              </w:rPr>
              <w:t>29</w:t>
            </w:r>
            <w:r>
              <w:rPr>
                <w:noProof/>
                <w:webHidden/>
              </w:rPr>
              <w:fldChar w:fldCharType="end"/>
            </w:r>
          </w:hyperlink>
        </w:p>
        <w:p w14:paraId="1A63A2AC" w14:textId="5C117F43"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82" w:history="1">
            <w:r w:rsidRPr="005A0CE6">
              <w:rPr>
                <w:rStyle w:val="Hyperlink"/>
                <w:rFonts w:eastAsia="Calibri"/>
                <w:noProof/>
              </w:rPr>
              <w:t>3.4.2. Women in economic activities</w:t>
            </w:r>
            <w:r>
              <w:rPr>
                <w:noProof/>
                <w:webHidden/>
              </w:rPr>
              <w:tab/>
            </w:r>
            <w:r>
              <w:rPr>
                <w:noProof/>
                <w:webHidden/>
              </w:rPr>
              <w:fldChar w:fldCharType="begin"/>
            </w:r>
            <w:r>
              <w:rPr>
                <w:noProof/>
                <w:webHidden/>
              </w:rPr>
              <w:instrText xml:space="preserve"> PAGEREF _Toc229036182 \h </w:instrText>
            </w:r>
            <w:r>
              <w:rPr>
                <w:noProof/>
                <w:webHidden/>
              </w:rPr>
            </w:r>
            <w:r>
              <w:rPr>
                <w:noProof/>
                <w:webHidden/>
              </w:rPr>
              <w:fldChar w:fldCharType="separate"/>
            </w:r>
            <w:r w:rsidR="006D621C">
              <w:rPr>
                <w:noProof/>
                <w:webHidden/>
              </w:rPr>
              <w:t>29</w:t>
            </w:r>
            <w:r>
              <w:rPr>
                <w:noProof/>
                <w:webHidden/>
              </w:rPr>
              <w:fldChar w:fldCharType="end"/>
            </w:r>
          </w:hyperlink>
        </w:p>
        <w:p w14:paraId="7B644E90" w14:textId="4F93AC2C"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83" w:history="1">
            <w:r w:rsidRPr="005A0CE6">
              <w:rPr>
                <w:rStyle w:val="Hyperlink"/>
                <w:rFonts w:eastAsia="Calibri"/>
                <w:noProof/>
              </w:rPr>
              <w:t>3.4.3. Women, use of water and water management</w:t>
            </w:r>
            <w:r>
              <w:rPr>
                <w:noProof/>
                <w:webHidden/>
              </w:rPr>
              <w:tab/>
            </w:r>
            <w:r>
              <w:rPr>
                <w:noProof/>
                <w:webHidden/>
              </w:rPr>
              <w:fldChar w:fldCharType="begin"/>
            </w:r>
            <w:r>
              <w:rPr>
                <w:noProof/>
                <w:webHidden/>
              </w:rPr>
              <w:instrText xml:space="preserve"> PAGEREF _Toc229036183 \h </w:instrText>
            </w:r>
            <w:r>
              <w:rPr>
                <w:noProof/>
                <w:webHidden/>
              </w:rPr>
            </w:r>
            <w:r>
              <w:rPr>
                <w:noProof/>
                <w:webHidden/>
              </w:rPr>
              <w:fldChar w:fldCharType="separate"/>
            </w:r>
            <w:r w:rsidR="006D621C">
              <w:rPr>
                <w:noProof/>
                <w:webHidden/>
              </w:rPr>
              <w:t>30</w:t>
            </w:r>
            <w:r>
              <w:rPr>
                <w:noProof/>
                <w:webHidden/>
              </w:rPr>
              <w:fldChar w:fldCharType="end"/>
            </w:r>
          </w:hyperlink>
        </w:p>
        <w:p w14:paraId="5226DF5A" w14:textId="2B12B0C1"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84" w:history="1">
            <w:r w:rsidRPr="005A0CE6">
              <w:rPr>
                <w:rStyle w:val="Hyperlink"/>
                <w:rFonts w:eastAsia="Calibri"/>
                <w:noProof/>
              </w:rPr>
              <w:t>3.4.4. Risk exposure and vulnerabilities</w:t>
            </w:r>
            <w:r>
              <w:rPr>
                <w:noProof/>
                <w:webHidden/>
              </w:rPr>
              <w:tab/>
            </w:r>
            <w:r>
              <w:rPr>
                <w:noProof/>
                <w:webHidden/>
              </w:rPr>
              <w:fldChar w:fldCharType="begin"/>
            </w:r>
            <w:r>
              <w:rPr>
                <w:noProof/>
                <w:webHidden/>
              </w:rPr>
              <w:instrText xml:space="preserve"> PAGEREF _Toc229036184 \h </w:instrText>
            </w:r>
            <w:r>
              <w:rPr>
                <w:noProof/>
                <w:webHidden/>
              </w:rPr>
            </w:r>
            <w:r>
              <w:rPr>
                <w:noProof/>
                <w:webHidden/>
              </w:rPr>
              <w:fldChar w:fldCharType="separate"/>
            </w:r>
            <w:r w:rsidR="006D621C">
              <w:rPr>
                <w:noProof/>
                <w:webHidden/>
              </w:rPr>
              <w:t>31</w:t>
            </w:r>
            <w:r>
              <w:rPr>
                <w:noProof/>
                <w:webHidden/>
              </w:rPr>
              <w:fldChar w:fldCharType="end"/>
            </w:r>
          </w:hyperlink>
        </w:p>
        <w:p w14:paraId="38534F0C" w14:textId="17CB3F40"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85" w:history="1">
            <w:r w:rsidRPr="005A0CE6">
              <w:rPr>
                <w:rStyle w:val="Hyperlink"/>
                <w:rFonts w:eastAsia="Calibri"/>
                <w:noProof/>
              </w:rPr>
              <w:t>3.4.5. Adaptive capacities and decision making</w:t>
            </w:r>
            <w:r>
              <w:rPr>
                <w:noProof/>
                <w:webHidden/>
              </w:rPr>
              <w:tab/>
            </w:r>
            <w:r>
              <w:rPr>
                <w:noProof/>
                <w:webHidden/>
              </w:rPr>
              <w:fldChar w:fldCharType="begin"/>
            </w:r>
            <w:r>
              <w:rPr>
                <w:noProof/>
                <w:webHidden/>
              </w:rPr>
              <w:instrText xml:space="preserve"> PAGEREF _Toc229036185 \h </w:instrText>
            </w:r>
            <w:r>
              <w:rPr>
                <w:noProof/>
                <w:webHidden/>
              </w:rPr>
            </w:r>
            <w:r>
              <w:rPr>
                <w:noProof/>
                <w:webHidden/>
              </w:rPr>
              <w:fldChar w:fldCharType="separate"/>
            </w:r>
            <w:r w:rsidR="006D621C">
              <w:rPr>
                <w:noProof/>
                <w:webHidden/>
              </w:rPr>
              <w:t>32</w:t>
            </w:r>
            <w:r>
              <w:rPr>
                <w:noProof/>
                <w:webHidden/>
              </w:rPr>
              <w:fldChar w:fldCharType="end"/>
            </w:r>
          </w:hyperlink>
        </w:p>
        <w:p w14:paraId="6F0C408B" w14:textId="7F6EBD91"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86" w:history="1">
            <w:r w:rsidRPr="005A0CE6">
              <w:rPr>
                <w:rStyle w:val="Hyperlink"/>
                <w:rFonts w:eastAsia="Calibri"/>
                <w:noProof/>
              </w:rPr>
              <w:t>3.5 Role and significance of groundwater and groundwater-dependent ecosystems (GWDE) in Neretva TBA</w:t>
            </w:r>
            <w:r>
              <w:rPr>
                <w:noProof/>
                <w:webHidden/>
              </w:rPr>
              <w:tab/>
            </w:r>
            <w:r>
              <w:rPr>
                <w:noProof/>
                <w:webHidden/>
              </w:rPr>
              <w:fldChar w:fldCharType="begin"/>
            </w:r>
            <w:r>
              <w:rPr>
                <w:noProof/>
                <w:webHidden/>
              </w:rPr>
              <w:instrText xml:space="preserve"> PAGEREF _Toc229036186 \h </w:instrText>
            </w:r>
            <w:r>
              <w:rPr>
                <w:noProof/>
                <w:webHidden/>
              </w:rPr>
            </w:r>
            <w:r>
              <w:rPr>
                <w:noProof/>
                <w:webHidden/>
              </w:rPr>
              <w:fldChar w:fldCharType="separate"/>
            </w:r>
            <w:r w:rsidR="006D621C">
              <w:rPr>
                <w:noProof/>
                <w:webHidden/>
              </w:rPr>
              <w:t>32</w:t>
            </w:r>
            <w:r>
              <w:rPr>
                <w:noProof/>
                <w:webHidden/>
              </w:rPr>
              <w:fldChar w:fldCharType="end"/>
            </w:r>
          </w:hyperlink>
        </w:p>
        <w:p w14:paraId="441515BF" w14:textId="6DCA242D"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87" w:history="1">
            <w:r w:rsidRPr="005A0CE6">
              <w:rPr>
                <w:rStyle w:val="Hyperlink"/>
                <w:rFonts w:eastAsia="Calibri"/>
                <w:noProof/>
              </w:rPr>
              <w:t>3.5.1 Groundwater as a socio-economic resource</w:t>
            </w:r>
            <w:r>
              <w:rPr>
                <w:noProof/>
                <w:webHidden/>
              </w:rPr>
              <w:tab/>
            </w:r>
            <w:r>
              <w:rPr>
                <w:noProof/>
                <w:webHidden/>
              </w:rPr>
              <w:fldChar w:fldCharType="begin"/>
            </w:r>
            <w:r>
              <w:rPr>
                <w:noProof/>
                <w:webHidden/>
              </w:rPr>
              <w:instrText xml:space="preserve"> PAGEREF _Toc229036187 \h </w:instrText>
            </w:r>
            <w:r>
              <w:rPr>
                <w:noProof/>
                <w:webHidden/>
              </w:rPr>
            </w:r>
            <w:r>
              <w:rPr>
                <w:noProof/>
                <w:webHidden/>
              </w:rPr>
              <w:fldChar w:fldCharType="separate"/>
            </w:r>
            <w:r w:rsidR="006D621C">
              <w:rPr>
                <w:noProof/>
                <w:webHidden/>
              </w:rPr>
              <w:t>32</w:t>
            </w:r>
            <w:r>
              <w:rPr>
                <w:noProof/>
                <w:webHidden/>
              </w:rPr>
              <w:fldChar w:fldCharType="end"/>
            </w:r>
          </w:hyperlink>
        </w:p>
        <w:p w14:paraId="77F026F6" w14:textId="2AC0E913"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88" w:history="1">
            <w:r w:rsidRPr="005A0CE6">
              <w:rPr>
                <w:rStyle w:val="Hyperlink"/>
                <w:rFonts w:eastAsia="Calibri"/>
                <w:noProof/>
              </w:rPr>
              <w:t>3.5.2 Sectoral dependence on groundwater</w:t>
            </w:r>
            <w:r>
              <w:rPr>
                <w:noProof/>
                <w:webHidden/>
              </w:rPr>
              <w:tab/>
            </w:r>
            <w:r>
              <w:rPr>
                <w:noProof/>
                <w:webHidden/>
              </w:rPr>
              <w:fldChar w:fldCharType="begin"/>
            </w:r>
            <w:r>
              <w:rPr>
                <w:noProof/>
                <w:webHidden/>
              </w:rPr>
              <w:instrText xml:space="preserve"> PAGEREF _Toc229036188 \h </w:instrText>
            </w:r>
            <w:r>
              <w:rPr>
                <w:noProof/>
                <w:webHidden/>
              </w:rPr>
            </w:r>
            <w:r>
              <w:rPr>
                <w:noProof/>
                <w:webHidden/>
              </w:rPr>
              <w:fldChar w:fldCharType="separate"/>
            </w:r>
            <w:r w:rsidR="006D621C">
              <w:rPr>
                <w:noProof/>
                <w:webHidden/>
              </w:rPr>
              <w:t>33</w:t>
            </w:r>
            <w:r>
              <w:rPr>
                <w:noProof/>
                <w:webHidden/>
              </w:rPr>
              <w:fldChar w:fldCharType="end"/>
            </w:r>
          </w:hyperlink>
        </w:p>
        <w:p w14:paraId="53139EC2" w14:textId="14FF1127"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89" w:history="1">
            <w:r w:rsidRPr="005A0CE6">
              <w:rPr>
                <w:rStyle w:val="Hyperlink"/>
                <w:rFonts w:eastAsia="Calibri"/>
                <w:noProof/>
              </w:rPr>
              <w:t>3.5.3 Groundwater-dependent ecosystems (GWDE)</w:t>
            </w:r>
            <w:r>
              <w:rPr>
                <w:noProof/>
                <w:webHidden/>
              </w:rPr>
              <w:tab/>
            </w:r>
            <w:r>
              <w:rPr>
                <w:noProof/>
                <w:webHidden/>
              </w:rPr>
              <w:fldChar w:fldCharType="begin"/>
            </w:r>
            <w:r>
              <w:rPr>
                <w:noProof/>
                <w:webHidden/>
              </w:rPr>
              <w:instrText xml:space="preserve"> PAGEREF _Toc229036189 \h </w:instrText>
            </w:r>
            <w:r>
              <w:rPr>
                <w:noProof/>
                <w:webHidden/>
              </w:rPr>
            </w:r>
            <w:r>
              <w:rPr>
                <w:noProof/>
                <w:webHidden/>
              </w:rPr>
              <w:fldChar w:fldCharType="separate"/>
            </w:r>
            <w:r w:rsidR="006D621C">
              <w:rPr>
                <w:noProof/>
                <w:webHidden/>
              </w:rPr>
              <w:t>33</w:t>
            </w:r>
            <w:r>
              <w:rPr>
                <w:noProof/>
                <w:webHidden/>
              </w:rPr>
              <w:fldChar w:fldCharType="end"/>
            </w:r>
          </w:hyperlink>
        </w:p>
        <w:p w14:paraId="32BE47D4" w14:textId="2CCE1E2F"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90" w:history="1">
            <w:r w:rsidRPr="005A0CE6">
              <w:rPr>
                <w:rStyle w:val="Hyperlink"/>
                <w:rFonts w:eastAsia="Calibri"/>
                <w:noProof/>
              </w:rPr>
              <w:t>3.5.4 Key pressures and vulnerabilities</w:t>
            </w:r>
            <w:r>
              <w:rPr>
                <w:noProof/>
                <w:webHidden/>
              </w:rPr>
              <w:tab/>
            </w:r>
            <w:r>
              <w:rPr>
                <w:noProof/>
                <w:webHidden/>
              </w:rPr>
              <w:fldChar w:fldCharType="begin"/>
            </w:r>
            <w:r>
              <w:rPr>
                <w:noProof/>
                <w:webHidden/>
              </w:rPr>
              <w:instrText xml:space="preserve"> PAGEREF _Toc229036190 \h </w:instrText>
            </w:r>
            <w:r>
              <w:rPr>
                <w:noProof/>
                <w:webHidden/>
              </w:rPr>
            </w:r>
            <w:r>
              <w:rPr>
                <w:noProof/>
                <w:webHidden/>
              </w:rPr>
              <w:fldChar w:fldCharType="separate"/>
            </w:r>
            <w:r w:rsidR="006D621C">
              <w:rPr>
                <w:noProof/>
                <w:webHidden/>
              </w:rPr>
              <w:t>34</w:t>
            </w:r>
            <w:r>
              <w:rPr>
                <w:noProof/>
                <w:webHidden/>
              </w:rPr>
              <w:fldChar w:fldCharType="end"/>
            </w:r>
          </w:hyperlink>
        </w:p>
        <w:p w14:paraId="48D65134" w14:textId="1E3AE757"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91" w:history="1">
            <w:r w:rsidRPr="005A0CE6">
              <w:rPr>
                <w:rStyle w:val="Hyperlink"/>
                <w:rFonts w:eastAsia="Calibri"/>
                <w:noProof/>
              </w:rPr>
              <w:t>3.6 Water supply and sanitation (Ljubuški, Prud, Neretva Delta)</w:t>
            </w:r>
            <w:r>
              <w:rPr>
                <w:noProof/>
                <w:webHidden/>
              </w:rPr>
              <w:tab/>
            </w:r>
            <w:r>
              <w:rPr>
                <w:noProof/>
                <w:webHidden/>
              </w:rPr>
              <w:fldChar w:fldCharType="begin"/>
            </w:r>
            <w:r>
              <w:rPr>
                <w:noProof/>
                <w:webHidden/>
              </w:rPr>
              <w:instrText xml:space="preserve"> PAGEREF _Toc229036191 \h </w:instrText>
            </w:r>
            <w:r>
              <w:rPr>
                <w:noProof/>
                <w:webHidden/>
              </w:rPr>
            </w:r>
            <w:r>
              <w:rPr>
                <w:noProof/>
                <w:webHidden/>
              </w:rPr>
              <w:fldChar w:fldCharType="separate"/>
            </w:r>
            <w:r w:rsidR="006D621C">
              <w:rPr>
                <w:noProof/>
                <w:webHidden/>
              </w:rPr>
              <w:t>35</w:t>
            </w:r>
            <w:r>
              <w:rPr>
                <w:noProof/>
                <w:webHidden/>
              </w:rPr>
              <w:fldChar w:fldCharType="end"/>
            </w:r>
          </w:hyperlink>
        </w:p>
        <w:p w14:paraId="60F612C7" w14:textId="5BBFCB92"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92" w:history="1">
            <w:r w:rsidRPr="005A0CE6">
              <w:rPr>
                <w:rStyle w:val="Hyperlink"/>
                <w:rFonts w:eastAsia="Calibri"/>
                <w:noProof/>
              </w:rPr>
              <w:t>3.6.1 General overview of water supply systems</w:t>
            </w:r>
            <w:r>
              <w:rPr>
                <w:noProof/>
                <w:webHidden/>
              </w:rPr>
              <w:tab/>
            </w:r>
            <w:r>
              <w:rPr>
                <w:noProof/>
                <w:webHidden/>
              </w:rPr>
              <w:fldChar w:fldCharType="begin"/>
            </w:r>
            <w:r>
              <w:rPr>
                <w:noProof/>
                <w:webHidden/>
              </w:rPr>
              <w:instrText xml:space="preserve"> PAGEREF _Toc229036192 \h </w:instrText>
            </w:r>
            <w:r>
              <w:rPr>
                <w:noProof/>
                <w:webHidden/>
              </w:rPr>
            </w:r>
            <w:r>
              <w:rPr>
                <w:noProof/>
                <w:webHidden/>
              </w:rPr>
              <w:fldChar w:fldCharType="separate"/>
            </w:r>
            <w:r w:rsidR="006D621C">
              <w:rPr>
                <w:noProof/>
                <w:webHidden/>
              </w:rPr>
              <w:t>35</w:t>
            </w:r>
            <w:r>
              <w:rPr>
                <w:noProof/>
                <w:webHidden/>
              </w:rPr>
              <w:fldChar w:fldCharType="end"/>
            </w:r>
          </w:hyperlink>
        </w:p>
        <w:p w14:paraId="5B3B42CB" w14:textId="35FA3D1E"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93" w:history="1">
            <w:r w:rsidRPr="005A0CE6">
              <w:rPr>
                <w:rStyle w:val="Hyperlink"/>
                <w:rFonts w:eastAsia="Calibri"/>
                <w:noProof/>
              </w:rPr>
              <w:t>3.6.2 Ljubuški</w:t>
            </w:r>
            <w:r>
              <w:rPr>
                <w:noProof/>
                <w:webHidden/>
              </w:rPr>
              <w:tab/>
            </w:r>
            <w:r>
              <w:rPr>
                <w:noProof/>
                <w:webHidden/>
              </w:rPr>
              <w:fldChar w:fldCharType="begin"/>
            </w:r>
            <w:r>
              <w:rPr>
                <w:noProof/>
                <w:webHidden/>
              </w:rPr>
              <w:instrText xml:space="preserve"> PAGEREF _Toc229036193 \h </w:instrText>
            </w:r>
            <w:r>
              <w:rPr>
                <w:noProof/>
                <w:webHidden/>
              </w:rPr>
            </w:r>
            <w:r>
              <w:rPr>
                <w:noProof/>
                <w:webHidden/>
              </w:rPr>
              <w:fldChar w:fldCharType="separate"/>
            </w:r>
            <w:r w:rsidR="006D621C">
              <w:rPr>
                <w:noProof/>
                <w:webHidden/>
              </w:rPr>
              <w:t>35</w:t>
            </w:r>
            <w:r>
              <w:rPr>
                <w:noProof/>
                <w:webHidden/>
              </w:rPr>
              <w:fldChar w:fldCharType="end"/>
            </w:r>
          </w:hyperlink>
        </w:p>
        <w:p w14:paraId="0B7E522C" w14:textId="268A8706"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94" w:history="1">
            <w:r w:rsidRPr="005A0CE6">
              <w:rPr>
                <w:rStyle w:val="Hyperlink"/>
                <w:rFonts w:eastAsia="Calibri"/>
                <w:noProof/>
              </w:rPr>
              <w:t>3.6.3 Prud</w:t>
            </w:r>
            <w:r>
              <w:rPr>
                <w:noProof/>
                <w:webHidden/>
              </w:rPr>
              <w:tab/>
            </w:r>
            <w:r>
              <w:rPr>
                <w:noProof/>
                <w:webHidden/>
              </w:rPr>
              <w:fldChar w:fldCharType="begin"/>
            </w:r>
            <w:r>
              <w:rPr>
                <w:noProof/>
                <w:webHidden/>
              </w:rPr>
              <w:instrText xml:space="preserve"> PAGEREF _Toc229036194 \h </w:instrText>
            </w:r>
            <w:r>
              <w:rPr>
                <w:noProof/>
                <w:webHidden/>
              </w:rPr>
            </w:r>
            <w:r>
              <w:rPr>
                <w:noProof/>
                <w:webHidden/>
              </w:rPr>
              <w:fldChar w:fldCharType="separate"/>
            </w:r>
            <w:r w:rsidR="006D621C">
              <w:rPr>
                <w:noProof/>
                <w:webHidden/>
              </w:rPr>
              <w:t>36</w:t>
            </w:r>
            <w:r>
              <w:rPr>
                <w:noProof/>
                <w:webHidden/>
              </w:rPr>
              <w:fldChar w:fldCharType="end"/>
            </w:r>
          </w:hyperlink>
        </w:p>
        <w:p w14:paraId="08230F18" w14:textId="3957A35F"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95" w:history="1">
            <w:r w:rsidRPr="005A0CE6">
              <w:rPr>
                <w:rStyle w:val="Hyperlink"/>
                <w:rFonts w:eastAsia="Calibri"/>
                <w:noProof/>
              </w:rPr>
              <w:t>3.6.4 Neretva Delta</w:t>
            </w:r>
            <w:r>
              <w:rPr>
                <w:noProof/>
                <w:webHidden/>
              </w:rPr>
              <w:tab/>
            </w:r>
            <w:r>
              <w:rPr>
                <w:noProof/>
                <w:webHidden/>
              </w:rPr>
              <w:fldChar w:fldCharType="begin"/>
            </w:r>
            <w:r>
              <w:rPr>
                <w:noProof/>
                <w:webHidden/>
              </w:rPr>
              <w:instrText xml:space="preserve"> PAGEREF _Toc229036195 \h </w:instrText>
            </w:r>
            <w:r>
              <w:rPr>
                <w:noProof/>
                <w:webHidden/>
              </w:rPr>
            </w:r>
            <w:r>
              <w:rPr>
                <w:noProof/>
                <w:webHidden/>
              </w:rPr>
              <w:fldChar w:fldCharType="separate"/>
            </w:r>
            <w:r w:rsidR="006D621C">
              <w:rPr>
                <w:noProof/>
                <w:webHidden/>
              </w:rPr>
              <w:t>37</w:t>
            </w:r>
            <w:r>
              <w:rPr>
                <w:noProof/>
                <w:webHidden/>
              </w:rPr>
              <w:fldChar w:fldCharType="end"/>
            </w:r>
          </w:hyperlink>
        </w:p>
        <w:p w14:paraId="4406CC88" w14:textId="4D785D18"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96" w:history="1">
            <w:r w:rsidRPr="005A0CE6">
              <w:rPr>
                <w:rStyle w:val="Hyperlink"/>
                <w:rFonts w:eastAsia="Calibri"/>
                <w:noProof/>
              </w:rPr>
              <w:t>3.6.5 Sanitation and wastewater</w:t>
            </w:r>
            <w:r>
              <w:rPr>
                <w:noProof/>
                <w:webHidden/>
              </w:rPr>
              <w:tab/>
            </w:r>
            <w:r>
              <w:rPr>
                <w:noProof/>
                <w:webHidden/>
              </w:rPr>
              <w:fldChar w:fldCharType="begin"/>
            </w:r>
            <w:r>
              <w:rPr>
                <w:noProof/>
                <w:webHidden/>
              </w:rPr>
              <w:instrText xml:space="preserve"> PAGEREF _Toc229036196 \h </w:instrText>
            </w:r>
            <w:r>
              <w:rPr>
                <w:noProof/>
                <w:webHidden/>
              </w:rPr>
            </w:r>
            <w:r>
              <w:rPr>
                <w:noProof/>
                <w:webHidden/>
              </w:rPr>
              <w:fldChar w:fldCharType="separate"/>
            </w:r>
            <w:r w:rsidR="006D621C">
              <w:rPr>
                <w:noProof/>
                <w:webHidden/>
              </w:rPr>
              <w:t>37</w:t>
            </w:r>
            <w:r>
              <w:rPr>
                <w:noProof/>
                <w:webHidden/>
              </w:rPr>
              <w:fldChar w:fldCharType="end"/>
            </w:r>
          </w:hyperlink>
        </w:p>
        <w:p w14:paraId="53E15BD1" w14:textId="746B2C08"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97" w:history="1">
            <w:r w:rsidRPr="005A0CE6">
              <w:rPr>
                <w:rStyle w:val="Hyperlink"/>
                <w:rFonts w:eastAsia="Calibri"/>
                <w:noProof/>
              </w:rPr>
              <w:t>3.6.6 Key challenges</w:t>
            </w:r>
            <w:r>
              <w:rPr>
                <w:noProof/>
                <w:webHidden/>
              </w:rPr>
              <w:tab/>
            </w:r>
            <w:r>
              <w:rPr>
                <w:noProof/>
                <w:webHidden/>
              </w:rPr>
              <w:fldChar w:fldCharType="begin"/>
            </w:r>
            <w:r>
              <w:rPr>
                <w:noProof/>
                <w:webHidden/>
              </w:rPr>
              <w:instrText xml:space="preserve"> PAGEREF _Toc229036197 \h </w:instrText>
            </w:r>
            <w:r>
              <w:rPr>
                <w:noProof/>
                <w:webHidden/>
              </w:rPr>
            </w:r>
            <w:r>
              <w:rPr>
                <w:noProof/>
                <w:webHidden/>
              </w:rPr>
              <w:fldChar w:fldCharType="separate"/>
            </w:r>
            <w:r w:rsidR="006D621C">
              <w:rPr>
                <w:noProof/>
                <w:webHidden/>
              </w:rPr>
              <w:t>38</w:t>
            </w:r>
            <w:r>
              <w:rPr>
                <w:noProof/>
                <w:webHidden/>
              </w:rPr>
              <w:fldChar w:fldCharType="end"/>
            </w:r>
          </w:hyperlink>
        </w:p>
        <w:p w14:paraId="078C35AC" w14:textId="65816185"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198" w:history="1">
            <w:r w:rsidRPr="005A0CE6">
              <w:rPr>
                <w:rStyle w:val="Hyperlink"/>
                <w:rFonts w:eastAsia="Calibri"/>
                <w:noProof/>
              </w:rPr>
              <w:t>3.7 Water use by sectors</w:t>
            </w:r>
            <w:r>
              <w:rPr>
                <w:noProof/>
                <w:webHidden/>
              </w:rPr>
              <w:tab/>
            </w:r>
            <w:r>
              <w:rPr>
                <w:noProof/>
                <w:webHidden/>
              </w:rPr>
              <w:fldChar w:fldCharType="begin"/>
            </w:r>
            <w:r>
              <w:rPr>
                <w:noProof/>
                <w:webHidden/>
              </w:rPr>
              <w:instrText xml:space="preserve"> PAGEREF _Toc229036198 \h </w:instrText>
            </w:r>
            <w:r>
              <w:rPr>
                <w:noProof/>
                <w:webHidden/>
              </w:rPr>
            </w:r>
            <w:r>
              <w:rPr>
                <w:noProof/>
                <w:webHidden/>
              </w:rPr>
              <w:fldChar w:fldCharType="separate"/>
            </w:r>
            <w:r w:rsidR="006D621C">
              <w:rPr>
                <w:noProof/>
                <w:webHidden/>
              </w:rPr>
              <w:t>38</w:t>
            </w:r>
            <w:r>
              <w:rPr>
                <w:noProof/>
                <w:webHidden/>
              </w:rPr>
              <w:fldChar w:fldCharType="end"/>
            </w:r>
          </w:hyperlink>
        </w:p>
        <w:p w14:paraId="28F3CBAC" w14:textId="6F7DC069"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199" w:history="1">
            <w:r w:rsidRPr="005A0CE6">
              <w:rPr>
                <w:rStyle w:val="Hyperlink"/>
                <w:rFonts w:eastAsia="Calibri"/>
                <w:noProof/>
              </w:rPr>
              <w:t>3.7.1 Drinking water supply</w:t>
            </w:r>
            <w:r>
              <w:rPr>
                <w:noProof/>
                <w:webHidden/>
              </w:rPr>
              <w:tab/>
            </w:r>
            <w:r>
              <w:rPr>
                <w:noProof/>
                <w:webHidden/>
              </w:rPr>
              <w:fldChar w:fldCharType="begin"/>
            </w:r>
            <w:r>
              <w:rPr>
                <w:noProof/>
                <w:webHidden/>
              </w:rPr>
              <w:instrText xml:space="preserve"> PAGEREF _Toc229036199 \h </w:instrText>
            </w:r>
            <w:r>
              <w:rPr>
                <w:noProof/>
                <w:webHidden/>
              </w:rPr>
            </w:r>
            <w:r>
              <w:rPr>
                <w:noProof/>
                <w:webHidden/>
              </w:rPr>
              <w:fldChar w:fldCharType="separate"/>
            </w:r>
            <w:r w:rsidR="006D621C">
              <w:rPr>
                <w:noProof/>
                <w:webHidden/>
              </w:rPr>
              <w:t>39</w:t>
            </w:r>
            <w:r>
              <w:rPr>
                <w:noProof/>
                <w:webHidden/>
              </w:rPr>
              <w:fldChar w:fldCharType="end"/>
            </w:r>
          </w:hyperlink>
        </w:p>
        <w:p w14:paraId="2BD94433" w14:textId="54288B1E"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00" w:history="1">
            <w:r w:rsidRPr="005A0CE6">
              <w:rPr>
                <w:rStyle w:val="Hyperlink"/>
                <w:rFonts w:eastAsia="Calibri"/>
                <w:noProof/>
              </w:rPr>
              <w:t>3.7.2 Agriculture</w:t>
            </w:r>
            <w:r>
              <w:rPr>
                <w:noProof/>
                <w:webHidden/>
              </w:rPr>
              <w:tab/>
            </w:r>
            <w:r>
              <w:rPr>
                <w:noProof/>
                <w:webHidden/>
              </w:rPr>
              <w:fldChar w:fldCharType="begin"/>
            </w:r>
            <w:r>
              <w:rPr>
                <w:noProof/>
                <w:webHidden/>
              </w:rPr>
              <w:instrText xml:space="preserve"> PAGEREF _Toc229036200 \h </w:instrText>
            </w:r>
            <w:r>
              <w:rPr>
                <w:noProof/>
                <w:webHidden/>
              </w:rPr>
            </w:r>
            <w:r>
              <w:rPr>
                <w:noProof/>
                <w:webHidden/>
              </w:rPr>
              <w:fldChar w:fldCharType="separate"/>
            </w:r>
            <w:r w:rsidR="006D621C">
              <w:rPr>
                <w:noProof/>
                <w:webHidden/>
              </w:rPr>
              <w:t>39</w:t>
            </w:r>
            <w:r>
              <w:rPr>
                <w:noProof/>
                <w:webHidden/>
              </w:rPr>
              <w:fldChar w:fldCharType="end"/>
            </w:r>
          </w:hyperlink>
        </w:p>
        <w:p w14:paraId="491A33A4" w14:textId="3B02DEF2"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01" w:history="1">
            <w:r w:rsidRPr="005A0CE6">
              <w:rPr>
                <w:rStyle w:val="Hyperlink"/>
                <w:rFonts w:eastAsia="Calibri"/>
                <w:noProof/>
              </w:rPr>
              <w:t>3.7.3 Industry</w:t>
            </w:r>
            <w:r>
              <w:rPr>
                <w:noProof/>
                <w:webHidden/>
              </w:rPr>
              <w:tab/>
            </w:r>
            <w:r>
              <w:rPr>
                <w:noProof/>
                <w:webHidden/>
              </w:rPr>
              <w:fldChar w:fldCharType="begin"/>
            </w:r>
            <w:r>
              <w:rPr>
                <w:noProof/>
                <w:webHidden/>
              </w:rPr>
              <w:instrText xml:space="preserve"> PAGEREF _Toc229036201 \h </w:instrText>
            </w:r>
            <w:r>
              <w:rPr>
                <w:noProof/>
                <w:webHidden/>
              </w:rPr>
            </w:r>
            <w:r>
              <w:rPr>
                <w:noProof/>
                <w:webHidden/>
              </w:rPr>
              <w:fldChar w:fldCharType="separate"/>
            </w:r>
            <w:r w:rsidR="006D621C">
              <w:rPr>
                <w:noProof/>
                <w:webHidden/>
              </w:rPr>
              <w:t>39</w:t>
            </w:r>
            <w:r>
              <w:rPr>
                <w:noProof/>
                <w:webHidden/>
              </w:rPr>
              <w:fldChar w:fldCharType="end"/>
            </w:r>
          </w:hyperlink>
        </w:p>
        <w:p w14:paraId="0D3BEFA0" w14:textId="598A0AE6"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02" w:history="1">
            <w:r w:rsidRPr="005A0CE6">
              <w:rPr>
                <w:rStyle w:val="Hyperlink"/>
                <w:rFonts w:eastAsia="Calibri"/>
                <w:noProof/>
              </w:rPr>
              <w:t>3.7.4 Tourism</w:t>
            </w:r>
            <w:r>
              <w:rPr>
                <w:noProof/>
                <w:webHidden/>
              </w:rPr>
              <w:tab/>
            </w:r>
            <w:r>
              <w:rPr>
                <w:noProof/>
                <w:webHidden/>
              </w:rPr>
              <w:fldChar w:fldCharType="begin"/>
            </w:r>
            <w:r>
              <w:rPr>
                <w:noProof/>
                <w:webHidden/>
              </w:rPr>
              <w:instrText xml:space="preserve"> PAGEREF _Toc229036202 \h </w:instrText>
            </w:r>
            <w:r>
              <w:rPr>
                <w:noProof/>
                <w:webHidden/>
              </w:rPr>
            </w:r>
            <w:r>
              <w:rPr>
                <w:noProof/>
                <w:webHidden/>
              </w:rPr>
              <w:fldChar w:fldCharType="separate"/>
            </w:r>
            <w:r w:rsidR="006D621C">
              <w:rPr>
                <w:noProof/>
                <w:webHidden/>
              </w:rPr>
              <w:t>40</w:t>
            </w:r>
            <w:r>
              <w:rPr>
                <w:noProof/>
                <w:webHidden/>
              </w:rPr>
              <w:fldChar w:fldCharType="end"/>
            </w:r>
          </w:hyperlink>
        </w:p>
        <w:p w14:paraId="4F6486D2" w14:textId="30272392"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03" w:history="1">
            <w:r w:rsidRPr="005A0CE6">
              <w:rPr>
                <w:rStyle w:val="Hyperlink"/>
                <w:rFonts w:eastAsia="Calibri"/>
                <w:noProof/>
              </w:rPr>
              <w:t>3.7.5 Sectoral synthesis</w:t>
            </w:r>
            <w:r>
              <w:rPr>
                <w:noProof/>
                <w:webHidden/>
              </w:rPr>
              <w:tab/>
            </w:r>
            <w:r>
              <w:rPr>
                <w:noProof/>
                <w:webHidden/>
              </w:rPr>
              <w:fldChar w:fldCharType="begin"/>
            </w:r>
            <w:r>
              <w:rPr>
                <w:noProof/>
                <w:webHidden/>
              </w:rPr>
              <w:instrText xml:space="preserve"> PAGEREF _Toc229036203 \h </w:instrText>
            </w:r>
            <w:r>
              <w:rPr>
                <w:noProof/>
                <w:webHidden/>
              </w:rPr>
            </w:r>
            <w:r>
              <w:rPr>
                <w:noProof/>
                <w:webHidden/>
              </w:rPr>
              <w:fldChar w:fldCharType="separate"/>
            </w:r>
            <w:r w:rsidR="006D621C">
              <w:rPr>
                <w:noProof/>
                <w:webHidden/>
              </w:rPr>
              <w:t>40</w:t>
            </w:r>
            <w:r>
              <w:rPr>
                <w:noProof/>
                <w:webHidden/>
              </w:rPr>
              <w:fldChar w:fldCharType="end"/>
            </w:r>
          </w:hyperlink>
        </w:p>
        <w:p w14:paraId="5E94FAE2" w14:textId="6A8189E1"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04" w:history="1">
            <w:r w:rsidRPr="005A0CE6">
              <w:rPr>
                <w:rStyle w:val="Hyperlink"/>
                <w:rFonts w:eastAsia="Calibri"/>
                <w:noProof/>
              </w:rPr>
              <w:t>3.8 Future demand projections</w:t>
            </w:r>
            <w:r>
              <w:rPr>
                <w:noProof/>
                <w:webHidden/>
              </w:rPr>
              <w:tab/>
            </w:r>
            <w:r>
              <w:rPr>
                <w:noProof/>
                <w:webHidden/>
              </w:rPr>
              <w:fldChar w:fldCharType="begin"/>
            </w:r>
            <w:r>
              <w:rPr>
                <w:noProof/>
                <w:webHidden/>
              </w:rPr>
              <w:instrText xml:space="preserve"> PAGEREF _Toc229036204 \h </w:instrText>
            </w:r>
            <w:r>
              <w:rPr>
                <w:noProof/>
                <w:webHidden/>
              </w:rPr>
            </w:r>
            <w:r>
              <w:rPr>
                <w:noProof/>
                <w:webHidden/>
              </w:rPr>
              <w:fldChar w:fldCharType="separate"/>
            </w:r>
            <w:r w:rsidR="006D621C">
              <w:rPr>
                <w:noProof/>
                <w:webHidden/>
              </w:rPr>
              <w:t>41</w:t>
            </w:r>
            <w:r>
              <w:rPr>
                <w:noProof/>
                <w:webHidden/>
              </w:rPr>
              <w:fldChar w:fldCharType="end"/>
            </w:r>
          </w:hyperlink>
        </w:p>
        <w:p w14:paraId="14698CB7" w14:textId="61B18C4B"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05" w:history="1">
            <w:r w:rsidRPr="005A0CE6">
              <w:rPr>
                <w:rStyle w:val="Hyperlink"/>
                <w:rFonts w:eastAsia="Calibri"/>
                <w:noProof/>
              </w:rPr>
              <w:t>3.8.1 Demographic trends and implications</w:t>
            </w:r>
            <w:r>
              <w:rPr>
                <w:noProof/>
                <w:webHidden/>
              </w:rPr>
              <w:tab/>
            </w:r>
            <w:r>
              <w:rPr>
                <w:noProof/>
                <w:webHidden/>
              </w:rPr>
              <w:fldChar w:fldCharType="begin"/>
            </w:r>
            <w:r>
              <w:rPr>
                <w:noProof/>
                <w:webHidden/>
              </w:rPr>
              <w:instrText xml:space="preserve"> PAGEREF _Toc229036205 \h </w:instrText>
            </w:r>
            <w:r>
              <w:rPr>
                <w:noProof/>
                <w:webHidden/>
              </w:rPr>
            </w:r>
            <w:r>
              <w:rPr>
                <w:noProof/>
                <w:webHidden/>
              </w:rPr>
              <w:fldChar w:fldCharType="separate"/>
            </w:r>
            <w:r w:rsidR="006D621C">
              <w:rPr>
                <w:noProof/>
                <w:webHidden/>
              </w:rPr>
              <w:t>41</w:t>
            </w:r>
            <w:r>
              <w:rPr>
                <w:noProof/>
                <w:webHidden/>
              </w:rPr>
              <w:fldChar w:fldCharType="end"/>
            </w:r>
          </w:hyperlink>
        </w:p>
        <w:p w14:paraId="30480F70" w14:textId="43F4998B"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06" w:history="1">
            <w:r w:rsidRPr="005A0CE6">
              <w:rPr>
                <w:rStyle w:val="Hyperlink"/>
                <w:rFonts w:eastAsia="Calibri"/>
                <w:noProof/>
              </w:rPr>
              <w:t>3.8.2 Agricultural demand</w:t>
            </w:r>
            <w:r>
              <w:rPr>
                <w:noProof/>
                <w:webHidden/>
              </w:rPr>
              <w:tab/>
            </w:r>
            <w:r>
              <w:rPr>
                <w:noProof/>
                <w:webHidden/>
              </w:rPr>
              <w:fldChar w:fldCharType="begin"/>
            </w:r>
            <w:r>
              <w:rPr>
                <w:noProof/>
                <w:webHidden/>
              </w:rPr>
              <w:instrText xml:space="preserve"> PAGEREF _Toc229036206 \h </w:instrText>
            </w:r>
            <w:r>
              <w:rPr>
                <w:noProof/>
                <w:webHidden/>
              </w:rPr>
            </w:r>
            <w:r>
              <w:rPr>
                <w:noProof/>
                <w:webHidden/>
              </w:rPr>
              <w:fldChar w:fldCharType="separate"/>
            </w:r>
            <w:r w:rsidR="006D621C">
              <w:rPr>
                <w:noProof/>
                <w:webHidden/>
              </w:rPr>
              <w:t>41</w:t>
            </w:r>
            <w:r>
              <w:rPr>
                <w:noProof/>
                <w:webHidden/>
              </w:rPr>
              <w:fldChar w:fldCharType="end"/>
            </w:r>
          </w:hyperlink>
        </w:p>
        <w:p w14:paraId="5785160D" w14:textId="0BBB1C79"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07" w:history="1">
            <w:r w:rsidRPr="005A0CE6">
              <w:rPr>
                <w:rStyle w:val="Hyperlink"/>
                <w:rFonts w:eastAsia="Calibri"/>
                <w:noProof/>
              </w:rPr>
              <w:t>3.8.3 Drinking water demand</w:t>
            </w:r>
            <w:r>
              <w:rPr>
                <w:noProof/>
                <w:webHidden/>
              </w:rPr>
              <w:tab/>
            </w:r>
            <w:r>
              <w:rPr>
                <w:noProof/>
                <w:webHidden/>
              </w:rPr>
              <w:fldChar w:fldCharType="begin"/>
            </w:r>
            <w:r>
              <w:rPr>
                <w:noProof/>
                <w:webHidden/>
              </w:rPr>
              <w:instrText xml:space="preserve"> PAGEREF _Toc229036207 \h </w:instrText>
            </w:r>
            <w:r>
              <w:rPr>
                <w:noProof/>
                <w:webHidden/>
              </w:rPr>
            </w:r>
            <w:r>
              <w:rPr>
                <w:noProof/>
                <w:webHidden/>
              </w:rPr>
              <w:fldChar w:fldCharType="separate"/>
            </w:r>
            <w:r w:rsidR="006D621C">
              <w:rPr>
                <w:noProof/>
                <w:webHidden/>
              </w:rPr>
              <w:t>42</w:t>
            </w:r>
            <w:r>
              <w:rPr>
                <w:noProof/>
                <w:webHidden/>
              </w:rPr>
              <w:fldChar w:fldCharType="end"/>
            </w:r>
          </w:hyperlink>
        </w:p>
        <w:p w14:paraId="27ABCCD0" w14:textId="4502A253"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08" w:history="1">
            <w:r w:rsidRPr="005A0CE6">
              <w:rPr>
                <w:rStyle w:val="Hyperlink"/>
                <w:rFonts w:eastAsia="Calibri"/>
                <w:noProof/>
              </w:rPr>
              <w:t>3.8.4 Tourism and seasonal demand</w:t>
            </w:r>
            <w:r>
              <w:rPr>
                <w:noProof/>
                <w:webHidden/>
              </w:rPr>
              <w:tab/>
            </w:r>
            <w:r>
              <w:rPr>
                <w:noProof/>
                <w:webHidden/>
              </w:rPr>
              <w:fldChar w:fldCharType="begin"/>
            </w:r>
            <w:r>
              <w:rPr>
                <w:noProof/>
                <w:webHidden/>
              </w:rPr>
              <w:instrText xml:space="preserve"> PAGEREF _Toc229036208 \h </w:instrText>
            </w:r>
            <w:r>
              <w:rPr>
                <w:noProof/>
                <w:webHidden/>
              </w:rPr>
            </w:r>
            <w:r>
              <w:rPr>
                <w:noProof/>
                <w:webHidden/>
              </w:rPr>
              <w:fldChar w:fldCharType="separate"/>
            </w:r>
            <w:r w:rsidR="006D621C">
              <w:rPr>
                <w:noProof/>
                <w:webHidden/>
              </w:rPr>
              <w:t>42</w:t>
            </w:r>
            <w:r>
              <w:rPr>
                <w:noProof/>
                <w:webHidden/>
              </w:rPr>
              <w:fldChar w:fldCharType="end"/>
            </w:r>
          </w:hyperlink>
        </w:p>
        <w:p w14:paraId="04DD041C" w14:textId="3516FF99"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09" w:history="1">
            <w:r w:rsidRPr="005A0CE6">
              <w:rPr>
                <w:rStyle w:val="Hyperlink"/>
                <w:rFonts w:eastAsia="Calibri"/>
                <w:noProof/>
              </w:rPr>
              <w:t>3.8.5 Climate variability and system pressures</w:t>
            </w:r>
            <w:r>
              <w:rPr>
                <w:noProof/>
                <w:webHidden/>
              </w:rPr>
              <w:tab/>
            </w:r>
            <w:r>
              <w:rPr>
                <w:noProof/>
                <w:webHidden/>
              </w:rPr>
              <w:fldChar w:fldCharType="begin"/>
            </w:r>
            <w:r>
              <w:rPr>
                <w:noProof/>
                <w:webHidden/>
              </w:rPr>
              <w:instrText xml:space="preserve"> PAGEREF _Toc229036209 \h </w:instrText>
            </w:r>
            <w:r>
              <w:rPr>
                <w:noProof/>
                <w:webHidden/>
              </w:rPr>
            </w:r>
            <w:r>
              <w:rPr>
                <w:noProof/>
                <w:webHidden/>
              </w:rPr>
              <w:fldChar w:fldCharType="separate"/>
            </w:r>
            <w:r w:rsidR="006D621C">
              <w:rPr>
                <w:noProof/>
                <w:webHidden/>
              </w:rPr>
              <w:t>42</w:t>
            </w:r>
            <w:r>
              <w:rPr>
                <w:noProof/>
                <w:webHidden/>
              </w:rPr>
              <w:fldChar w:fldCharType="end"/>
            </w:r>
          </w:hyperlink>
        </w:p>
        <w:p w14:paraId="2DF350A8" w14:textId="3095C74E"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10" w:history="1">
            <w:r w:rsidRPr="005A0CE6">
              <w:rPr>
                <w:rStyle w:val="Hyperlink"/>
                <w:rFonts w:eastAsia="Calibri"/>
                <w:noProof/>
              </w:rPr>
              <w:t>3.8.6 Scenario-based synthesis</w:t>
            </w:r>
            <w:r>
              <w:rPr>
                <w:noProof/>
                <w:webHidden/>
              </w:rPr>
              <w:tab/>
            </w:r>
            <w:r>
              <w:rPr>
                <w:noProof/>
                <w:webHidden/>
              </w:rPr>
              <w:fldChar w:fldCharType="begin"/>
            </w:r>
            <w:r>
              <w:rPr>
                <w:noProof/>
                <w:webHidden/>
              </w:rPr>
              <w:instrText xml:space="preserve"> PAGEREF _Toc229036210 \h </w:instrText>
            </w:r>
            <w:r>
              <w:rPr>
                <w:noProof/>
                <w:webHidden/>
              </w:rPr>
            </w:r>
            <w:r>
              <w:rPr>
                <w:noProof/>
                <w:webHidden/>
              </w:rPr>
              <w:fldChar w:fldCharType="separate"/>
            </w:r>
            <w:r w:rsidR="006D621C">
              <w:rPr>
                <w:noProof/>
                <w:webHidden/>
              </w:rPr>
              <w:t>43</w:t>
            </w:r>
            <w:r>
              <w:rPr>
                <w:noProof/>
                <w:webHidden/>
              </w:rPr>
              <w:fldChar w:fldCharType="end"/>
            </w:r>
          </w:hyperlink>
        </w:p>
        <w:p w14:paraId="6A6A167E" w14:textId="47ED08D1"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11" w:history="1">
            <w:r w:rsidRPr="005A0CE6">
              <w:rPr>
                <w:rStyle w:val="Hyperlink"/>
                <w:rFonts w:eastAsia="Calibri"/>
                <w:noProof/>
              </w:rPr>
              <w:t>3.9 Water balance and sustainability indicators</w:t>
            </w:r>
            <w:r>
              <w:rPr>
                <w:noProof/>
                <w:webHidden/>
              </w:rPr>
              <w:tab/>
            </w:r>
            <w:r>
              <w:rPr>
                <w:noProof/>
                <w:webHidden/>
              </w:rPr>
              <w:fldChar w:fldCharType="begin"/>
            </w:r>
            <w:r>
              <w:rPr>
                <w:noProof/>
                <w:webHidden/>
              </w:rPr>
              <w:instrText xml:space="preserve"> PAGEREF _Toc229036211 \h </w:instrText>
            </w:r>
            <w:r>
              <w:rPr>
                <w:noProof/>
                <w:webHidden/>
              </w:rPr>
            </w:r>
            <w:r>
              <w:rPr>
                <w:noProof/>
                <w:webHidden/>
              </w:rPr>
              <w:fldChar w:fldCharType="separate"/>
            </w:r>
            <w:r w:rsidR="006D621C">
              <w:rPr>
                <w:noProof/>
                <w:webHidden/>
              </w:rPr>
              <w:t>43</w:t>
            </w:r>
            <w:r>
              <w:rPr>
                <w:noProof/>
                <w:webHidden/>
              </w:rPr>
              <w:fldChar w:fldCharType="end"/>
            </w:r>
          </w:hyperlink>
        </w:p>
        <w:p w14:paraId="02EDDB56" w14:textId="7736A7E9" w:rsidR="009B25D8" w:rsidRDefault="009B25D8">
          <w:pPr>
            <w:pStyle w:val="TOC1"/>
            <w:tabs>
              <w:tab w:val="right" w:leader="dot" w:pos="9016"/>
            </w:tabs>
            <w:rPr>
              <w:rFonts w:eastAsiaTheme="minorEastAsia"/>
              <w:noProof/>
              <w:kern w:val="2"/>
              <w:sz w:val="24"/>
              <w:szCs w:val="24"/>
              <w:lang w:val="hr-HR" w:eastAsia="hr-HR"/>
              <w14:ligatures w14:val="standardContextual"/>
            </w:rPr>
          </w:pPr>
          <w:hyperlink w:anchor="_Toc229036212" w:history="1">
            <w:r w:rsidRPr="005A0CE6">
              <w:rPr>
                <w:rStyle w:val="Hyperlink"/>
                <w:noProof/>
              </w:rPr>
              <w:t>4. Hydrogeological and environmental characterization</w:t>
            </w:r>
            <w:r>
              <w:rPr>
                <w:noProof/>
                <w:webHidden/>
              </w:rPr>
              <w:tab/>
            </w:r>
            <w:r>
              <w:rPr>
                <w:noProof/>
                <w:webHidden/>
              </w:rPr>
              <w:fldChar w:fldCharType="begin"/>
            </w:r>
            <w:r>
              <w:rPr>
                <w:noProof/>
                <w:webHidden/>
              </w:rPr>
              <w:instrText xml:space="preserve"> PAGEREF _Toc229036212 \h </w:instrText>
            </w:r>
            <w:r>
              <w:rPr>
                <w:noProof/>
                <w:webHidden/>
              </w:rPr>
            </w:r>
            <w:r>
              <w:rPr>
                <w:noProof/>
                <w:webHidden/>
              </w:rPr>
              <w:fldChar w:fldCharType="separate"/>
            </w:r>
            <w:r w:rsidR="006D621C">
              <w:rPr>
                <w:noProof/>
                <w:webHidden/>
              </w:rPr>
              <w:t>45</w:t>
            </w:r>
            <w:r>
              <w:rPr>
                <w:noProof/>
                <w:webHidden/>
              </w:rPr>
              <w:fldChar w:fldCharType="end"/>
            </w:r>
          </w:hyperlink>
        </w:p>
        <w:p w14:paraId="7A041382" w14:textId="2091A51B"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13" w:history="1">
            <w:r w:rsidRPr="005A0CE6">
              <w:rPr>
                <w:rStyle w:val="Hyperlink"/>
                <w:noProof/>
              </w:rPr>
              <w:t>4.1 Karst aquifer dynamics and vulnerability</w:t>
            </w:r>
            <w:r>
              <w:rPr>
                <w:noProof/>
                <w:webHidden/>
              </w:rPr>
              <w:tab/>
            </w:r>
            <w:r>
              <w:rPr>
                <w:noProof/>
                <w:webHidden/>
              </w:rPr>
              <w:fldChar w:fldCharType="begin"/>
            </w:r>
            <w:r>
              <w:rPr>
                <w:noProof/>
                <w:webHidden/>
              </w:rPr>
              <w:instrText xml:space="preserve"> PAGEREF _Toc229036213 \h </w:instrText>
            </w:r>
            <w:r>
              <w:rPr>
                <w:noProof/>
                <w:webHidden/>
              </w:rPr>
            </w:r>
            <w:r>
              <w:rPr>
                <w:noProof/>
                <w:webHidden/>
              </w:rPr>
              <w:fldChar w:fldCharType="separate"/>
            </w:r>
            <w:r w:rsidR="006D621C">
              <w:rPr>
                <w:noProof/>
                <w:webHidden/>
              </w:rPr>
              <w:t>45</w:t>
            </w:r>
            <w:r>
              <w:rPr>
                <w:noProof/>
                <w:webHidden/>
              </w:rPr>
              <w:fldChar w:fldCharType="end"/>
            </w:r>
          </w:hyperlink>
        </w:p>
        <w:p w14:paraId="096D54F3" w14:textId="2098D35C"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14" w:history="1">
            <w:r w:rsidRPr="005A0CE6">
              <w:rPr>
                <w:rStyle w:val="Hyperlink"/>
                <w:noProof/>
              </w:rPr>
              <w:t>4.2 Recharge/discharge zones and flow patterns toward the Prud spring and the Neretva Delta</w:t>
            </w:r>
            <w:r>
              <w:rPr>
                <w:noProof/>
                <w:webHidden/>
              </w:rPr>
              <w:tab/>
            </w:r>
            <w:r>
              <w:rPr>
                <w:noProof/>
                <w:webHidden/>
              </w:rPr>
              <w:fldChar w:fldCharType="begin"/>
            </w:r>
            <w:r>
              <w:rPr>
                <w:noProof/>
                <w:webHidden/>
              </w:rPr>
              <w:instrText xml:space="preserve"> PAGEREF _Toc229036214 \h </w:instrText>
            </w:r>
            <w:r>
              <w:rPr>
                <w:noProof/>
                <w:webHidden/>
              </w:rPr>
            </w:r>
            <w:r>
              <w:rPr>
                <w:noProof/>
                <w:webHidden/>
              </w:rPr>
              <w:fldChar w:fldCharType="separate"/>
            </w:r>
            <w:r w:rsidR="006D621C">
              <w:rPr>
                <w:noProof/>
                <w:webHidden/>
              </w:rPr>
              <w:t>47</w:t>
            </w:r>
            <w:r>
              <w:rPr>
                <w:noProof/>
                <w:webHidden/>
              </w:rPr>
              <w:fldChar w:fldCharType="end"/>
            </w:r>
          </w:hyperlink>
        </w:p>
        <w:p w14:paraId="426095EA" w14:textId="3AB8E334"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15" w:history="1">
            <w:r w:rsidRPr="005A0CE6">
              <w:rPr>
                <w:rStyle w:val="Hyperlink"/>
                <w:noProof/>
              </w:rPr>
              <w:t>4.3 Groundwater</w:t>
            </w:r>
            <w:r w:rsidRPr="005A0CE6">
              <w:rPr>
                <w:rStyle w:val="Hyperlink"/>
                <w:rFonts w:ascii="Cambria Math" w:hAnsi="Cambria Math" w:cs="Cambria Math"/>
                <w:noProof/>
              </w:rPr>
              <w:t>‑</w:t>
            </w:r>
            <w:r w:rsidRPr="005A0CE6">
              <w:rPr>
                <w:rStyle w:val="Hyperlink"/>
                <w:noProof/>
              </w:rPr>
              <w:t>dependent ecosystems</w:t>
            </w:r>
            <w:r>
              <w:rPr>
                <w:noProof/>
                <w:webHidden/>
              </w:rPr>
              <w:tab/>
            </w:r>
            <w:r>
              <w:rPr>
                <w:noProof/>
                <w:webHidden/>
              </w:rPr>
              <w:fldChar w:fldCharType="begin"/>
            </w:r>
            <w:r>
              <w:rPr>
                <w:noProof/>
                <w:webHidden/>
              </w:rPr>
              <w:instrText xml:space="preserve"> PAGEREF _Toc229036215 \h </w:instrText>
            </w:r>
            <w:r>
              <w:rPr>
                <w:noProof/>
                <w:webHidden/>
              </w:rPr>
            </w:r>
            <w:r>
              <w:rPr>
                <w:noProof/>
                <w:webHidden/>
              </w:rPr>
              <w:fldChar w:fldCharType="separate"/>
            </w:r>
            <w:r w:rsidR="006D621C">
              <w:rPr>
                <w:noProof/>
                <w:webHidden/>
              </w:rPr>
              <w:t>49</w:t>
            </w:r>
            <w:r>
              <w:rPr>
                <w:noProof/>
                <w:webHidden/>
              </w:rPr>
              <w:fldChar w:fldCharType="end"/>
            </w:r>
          </w:hyperlink>
        </w:p>
        <w:p w14:paraId="0E640F39" w14:textId="76A56A6D"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16" w:history="1">
            <w:r w:rsidRPr="005A0CE6">
              <w:rPr>
                <w:rStyle w:val="Hyperlink"/>
                <w:noProof/>
              </w:rPr>
              <w:t>4.3.1 Key habitats within selected groundwater-dependent ecosystems - Croatia</w:t>
            </w:r>
            <w:r>
              <w:rPr>
                <w:noProof/>
                <w:webHidden/>
              </w:rPr>
              <w:tab/>
            </w:r>
            <w:r>
              <w:rPr>
                <w:noProof/>
                <w:webHidden/>
              </w:rPr>
              <w:fldChar w:fldCharType="begin"/>
            </w:r>
            <w:r>
              <w:rPr>
                <w:noProof/>
                <w:webHidden/>
              </w:rPr>
              <w:instrText xml:space="preserve"> PAGEREF _Toc229036216 \h </w:instrText>
            </w:r>
            <w:r>
              <w:rPr>
                <w:noProof/>
                <w:webHidden/>
              </w:rPr>
            </w:r>
            <w:r>
              <w:rPr>
                <w:noProof/>
                <w:webHidden/>
              </w:rPr>
              <w:fldChar w:fldCharType="separate"/>
            </w:r>
            <w:r w:rsidR="006D621C">
              <w:rPr>
                <w:noProof/>
                <w:webHidden/>
              </w:rPr>
              <w:t>50</w:t>
            </w:r>
            <w:r>
              <w:rPr>
                <w:noProof/>
                <w:webHidden/>
              </w:rPr>
              <w:fldChar w:fldCharType="end"/>
            </w:r>
          </w:hyperlink>
        </w:p>
        <w:p w14:paraId="2FA8AFAF" w14:textId="2B1B1616"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17" w:history="1">
            <w:r w:rsidRPr="005A0CE6">
              <w:rPr>
                <w:rStyle w:val="Hyperlink"/>
                <w:noProof/>
              </w:rPr>
              <w:t>4.3.2. Key habitats within selected groundwater-dependent ecosystems</w:t>
            </w:r>
            <w:r>
              <w:rPr>
                <w:noProof/>
                <w:webHidden/>
              </w:rPr>
              <w:tab/>
            </w:r>
            <w:r>
              <w:rPr>
                <w:noProof/>
                <w:webHidden/>
              </w:rPr>
              <w:fldChar w:fldCharType="begin"/>
            </w:r>
            <w:r>
              <w:rPr>
                <w:noProof/>
                <w:webHidden/>
              </w:rPr>
              <w:instrText xml:space="preserve"> PAGEREF _Toc229036217 \h </w:instrText>
            </w:r>
            <w:r>
              <w:rPr>
                <w:noProof/>
                <w:webHidden/>
              </w:rPr>
            </w:r>
            <w:r>
              <w:rPr>
                <w:noProof/>
                <w:webHidden/>
              </w:rPr>
              <w:fldChar w:fldCharType="separate"/>
            </w:r>
            <w:r w:rsidR="006D621C">
              <w:rPr>
                <w:noProof/>
                <w:webHidden/>
              </w:rPr>
              <w:t>57</w:t>
            </w:r>
            <w:r>
              <w:rPr>
                <w:noProof/>
                <w:webHidden/>
              </w:rPr>
              <w:fldChar w:fldCharType="end"/>
            </w:r>
          </w:hyperlink>
        </w:p>
        <w:p w14:paraId="7568AC54" w14:textId="1763900B"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18" w:history="1">
            <w:r w:rsidRPr="005A0CE6">
              <w:rPr>
                <w:rStyle w:val="Hyperlink"/>
                <w:noProof/>
              </w:rPr>
              <w:t>4.4 Water quality indicators (with emphasis on nitrates, pesticides and nutrients)</w:t>
            </w:r>
            <w:r>
              <w:rPr>
                <w:noProof/>
                <w:webHidden/>
              </w:rPr>
              <w:tab/>
            </w:r>
            <w:r>
              <w:rPr>
                <w:noProof/>
                <w:webHidden/>
              </w:rPr>
              <w:fldChar w:fldCharType="begin"/>
            </w:r>
            <w:r>
              <w:rPr>
                <w:noProof/>
                <w:webHidden/>
              </w:rPr>
              <w:instrText xml:space="preserve"> PAGEREF _Toc229036218 \h </w:instrText>
            </w:r>
            <w:r>
              <w:rPr>
                <w:noProof/>
                <w:webHidden/>
              </w:rPr>
            </w:r>
            <w:r>
              <w:rPr>
                <w:noProof/>
                <w:webHidden/>
              </w:rPr>
              <w:fldChar w:fldCharType="separate"/>
            </w:r>
            <w:r w:rsidR="006D621C">
              <w:rPr>
                <w:noProof/>
                <w:webHidden/>
              </w:rPr>
              <w:t>58</w:t>
            </w:r>
            <w:r>
              <w:rPr>
                <w:noProof/>
                <w:webHidden/>
              </w:rPr>
              <w:fldChar w:fldCharType="end"/>
            </w:r>
          </w:hyperlink>
        </w:p>
        <w:p w14:paraId="4BA817F6" w14:textId="62D00D0B"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19" w:history="1">
            <w:r w:rsidRPr="005A0CE6">
              <w:rPr>
                <w:rStyle w:val="Hyperlink"/>
                <w:noProof/>
              </w:rPr>
              <w:t>4.5 Natural hazards (floods, salinity intrusion in the delta, climate change)</w:t>
            </w:r>
            <w:r>
              <w:rPr>
                <w:noProof/>
                <w:webHidden/>
              </w:rPr>
              <w:tab/>
            </w:r>
            <w:r>
              <w:rPr>
                <w:noProof/>
                <w:webHidden/>
              </w:rPr>
              <w:fldChar w:fldCharType="begin"/>
            </w:r>
            <w:r>
              <w:rPr>
                <w:noProof/>
                <w:webHidden/>
              </w:rPr>
              <w:instrText xml:space="preserve"> PAGEREF _Toc229036219 \h </w:instrText>
            </w:r>
            <w:r>
              <w:rPr>
                <w:noProof/>
                <w:webHidden/>
              </w:rPr>
            </w:r>
            <w:r>
              <w:rPr>
                <w:noProof/>
                <w:webHidden/>
              </w:rPr>
              <w:fldChar w:fldCharType="separate"/>
            </w:r>
            <w:r w:rsidR="006D621C">
              <w:rPr>
                <w:noProof/>
                <w:webHidden/>
              </w:rPr>
              <w:t>59</w:t>
            </w:r>
            <w:r>
              <w:rPr>
                <w:noProof/>
                <w:webHidden/>
              </w:rPr>
              <w:fldChar w:fldCharType="end"/>
            </w:r>
          </w:hyperlink>
        </w:p>
        <w:p w14:paraId="0AAC258B" w14:textId="7CC4A74B" w:rsidR="009B25D8" w:rsidRDefault="009B25D8">
          <w:pPr>
            <w:pStyle w:val="TOC1"/>
            <w:tabs>
              <w:tab w:val="right" w:leader="dot" w:pos="9016"/>
            </w:tabs>
            <w:rPr>
              <w:rFonts w:eastAsiaTheme="minorEastAsia"/>
              <w:noProof/>
              <w:kern w:val="2"/>
              <w:sz w:val="24"/>
              <w:szCs w:val="24"/>
              <w:lang w:val="hr-HR" w:eastAsia="hr-HR"/>
              <w14:ligatures w14:val="standardContextual"/>
            </w:rPr>
          </w:pPr>
          <w:hyperlink w:anchor="_Toc229036220" w:history="1">
            <w:r w:rsidRPr="005A0CE6">
              <w:rPr>
                <w:rStyle w:val="Hyperlink"/>
                <w:noProof/>
              </w:rPr>
              <w:t>5. Current monitoring and data management practices</w:t>
            </w:r>
            <w:r>
              <w:rPr>
                <w:noProof/>
                <w:webHidden/>
              </w:rPr>
              <w:tab/>
            </w:r>
            <w:r>
              <w:rPr>
                <w:noProof/>
                <w:webHidden/>
              </w:rPr>
              <w:fldChar w:fldCharType="begin"/>
            </w:r>
            <w:r>
              <w:rPr>
                <w:noProof/>
                <w:webHidden/>
              </w:rPr>
              <w:instrText xml:space="preserve"> PAGEREF _Toc229036220 \h </w:instrText>
            </w:r>
            <w:r>
              <w:rPr>
                <w:noProof/>
                <w:webHidden/>
              </w:rPr>
            </w:r>
            <w:r>
              <w:rPr>
                <w:noProof/>
                <w:webHidden/>
              </w:rPr>
              <w:fldChar w:fldCharType="separate"/>
            </w:r>
            <w:r w:rsidR="006D621C">
              <w:rPr>
                <w:noProof/>
                <w:webHidden/>
              </w:rPr>
              <w:t>60</w:t>
            </w:r>
            <w:r>
              <w:rPr>
                <w:noProof/>
                <w:webHidden/>
              </w:rPr>
              <w:fldChar w:fldCharType="end"/>
            </w:r>
          </w:hyperlink>
        </w:p>
        <w:p w14:paraId="0928EB90" w14:textId="48EEC97F"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21" w:history="1">
            <w:r w:rsidRPr="005A0CE6">
              <w:rPr>
                <w:rStyle w:val="Hyperlink"/>
                <w:noProof/>
              </w:rPr>
              <w:t>5.1 Monitoring network design</w:t>
            </w:r>
            <w:r>
              <w:rPr>
                <w:noProof/>
                <w:webHidden/>
              </w:rPr>
              <w:tab/>
            </w:r>
            <w:r>
              <w:rPr>
                <w:noProof/>
                <w:webHidden/>
              </w:rPr>
              <w:fldChar w:fldCharType="begin"/>
            </w:r>
            <w:r>
              <w:rPr>
                <w:noProof/>
                <w:webHidden/>
              </w:rPr>
              <w:instrText xml:space="preserve"> PAGEREF _Toc229036221 \h </w:instrText>
            </w:r>
            <w:r>
              <w:rPr>
                <w:noProof/>
                <w:webHidden/>
              </w:rPr>
            </w:r>
            <w:r>
              <w:rPr>
                <w:noProof/>
                <w:webHidden/>
              </w:rPr>
              <w:fldChar w:fldCharType="separate"/>
            </w:r>
            <w:r w:rsidR="006D621C">
              <w:rPr>
                <w:noProof/>
                <w:webHidden/>
              </w:rPr>
              <w:t>61</w:t>
            </w:r>
            <w:r>
              <w:rPr>
                <w:noProof/>
                <w:webHidden/>
              </w:rPr>
              <w:fldChar w:fldCharType="end"/>
            </w:r>
          </w:hyperlink>
        </w:p>
        <w:p w14:paraId="01E1B148" w14:textId="33FA0E6B"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22" w:history="1">
            <w:r w:rsidRPr="005A0CE6">
              <w:rPr>
                <w:rStyle w:val="Hyperlink"/>
                <w:noProof/>
              </w:rPr>
              <w:t>5.1.1 Groundwater monitoring</w:t>
            </w:r>
            <w:r>
              <w:rPr>
                <w:noProof/>
                <w:webHidden/>
              </w:rPr>
              <w:tab/>
            </w:r>
            <w:r>
              <w:rPr>
                <w:noProof/>
                <w:webHidden/>
              </w:rPr>
              <w:fldChar w:fldCharType="begin"/>
            </w:r>
            <w:r>
              <w:rPr>
                <w:noProof/>
                <w:webHidden/>
              </w:rPr>
              <w:instrText xml:space="preserve"> PAGEREF _Toc229036222 \h </w:instrText>
            </w:r>
            <w:r>
              <w:rPr>
                <w:noProof/>
                <w:webHidden/>
              </w:rPr>
            </w:r>
            <w:r>
              <w:rPr>
                <w:noProof/>
                <w:webHidden/>
              </w:rPr>
              <w:fldChar w:fldCharType="separate"/>
            </w:r>
            <w:r w:rsidR="006D621C">
              <w:rPr>
                <w:noProof/>
                <w:webHidden/>
              </w:rPr>
              <w:t>61</w:t>
            </w:r>
            <w:r>
              <w:rPr>
                <w:noProof/>
                <w:webHidden/>
              </w:rPr>
              <w:fldChar w:fldCharType="end"/>
            </w:r>
          </w:hyperlink>
        </w:p>
        <w:p w14:paraId="4A5AD2F3" w14:textId="1B1118F9"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23" w:history="1">
            <w:r w:rsidRPr="005A0CE6">
              <w:rPr>
                <w:rStyle w:val="Hyperlink"/>
                <w:noProof/>
              </w:rPr>
              <w:t>5.1.2 Surface water monitoring</w:t>
            </w:r>
            <w:r>
              <w:rPr>
                <w:noProof/>
                <w:webHidden/>
              </w:rPr>
              <w:tab/>
            </w:r>
            <w:r>
              <w:rPr>
                <w:noProof/>
                <w:webHidden/>
              </w:rPr>
              <w:fldChar w:fldCharType="begin"/>
            </w:r>
            <w:r>
              <w:rPr>
                <w:noProof/>
                <w:webHidden/>
              </w:rPr>
              <w:instrText xml:space="preserve"> PAGEREF _Toc229036223 \h </w:instrText>
            </w:r>
            <w:r>
              <w:rPr>
                <w:noProof/>
                <w:webHidden/>
              </w:rPr>
            </w:r>
            <w:r>
              <w:rPr>
                <w:noProof/>
                <w:webHidden/>
              </w:rPr>
              <w:fldChar w:fldCharType="separate"/>
            </w:r>
            <w:r w:rsidR="006D621C">
              <w:rPr>
                <w:noProof/>
                <w:webHidden/>
              </w:rPr>
              <w:t>62</w:t>
            </w:r>
            <w:r>
              <w:rPr>
                <w:noProof/>
                <w:webHidden/>
              </w:rPr>
              <w:fldChar w:fldCharType="end"/>
            </w:r>
          </w:hyperlink>
        </w:p>
        <w:p w14:paraId="195B8C2C" w14:textId="337B08C2"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24" w:history="1">
            <w:r w:rsidRPr="005A0CE6">
              <w:rPr>
                <w:rStyle w:val="Hyperlink"/>
                <w:noProof/>
              </w:rPr>
              <w:t>5.1.3. Hydrometeorological monitoring</w:t>
            </w:r>
            <w:r>
              <w:rPr>
                <w:noProof/>
                <w:webHidden/>
              </w:rPr>
              <w:tab/>
            </w:r>
            <w:r>
              <w:rPr>
                <w:noProof/>
                <w:webHidden/>
              </w:rPr>
              <w:fldChar w:fldCharType="begin"/>
            </w:r>
            <w:r>
              <w:rPr>
                <w:noProof/>
                <w:webHidden/>
              </w:rPr>
              <w:instrText xml:space="preserve"> PAGEREF _Toc229036224 \h </w:instrText>
            </w:r>
            <w:r>
              <w:rPr>
                <w:noProof/>
                <w:webHidden/>
              </w:rPr>
            </w:r>
            <w:r>
              <w:rPr>
                <w:noProof/>
                <w:webHidden/>
              </w:rPr>
              <w:fldChar w:fldCharType="separate"/>
            </w:r>
            <w:r w:rsidR="006D621C">
              <w:rPr>
                <w:noProof/>
                <w:webHidden/>
              </w:rPr>
              <w:t>63</w:t>
            </w:r>
            <w:r>
              <w:rPr>
                <w:noProof/>
                <w:webHidden/>
              </w:rPr>
              <w:fldChar w:fldCharType="end"/>
            </w:r>
          </w:hyperlink>
        </w:p>
        <w:p w14:paraId="681D40EF" w14:textId="6BBD2F02"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25" w:history="1">
            <w:r w:rsidRPr="005A0CE6">
              <w:rPr>
                <w:rStyle w:val="Hyperlink"/>
                <w:noProof/>
              </w:rPr>
              <w:t>5.2 Parameters and frequencies of monitoring</w:t>
            </w:r>
            <w:r>
              <w:rPr>
                <w:noProof/>
                <w:webHidden/>
              </w:rPr>
              <w:tab/>
            </w:r>
            <w:r>
              <w:rPr>
                <w:noProof/>
                <w:webHidden/>
              </w:rPr>
              <w:fldChar w:fldCharType="begin"/>
            </w:r>
            <w:r>
              <w:rPr>
                <w:noProof/>
                <w:webHidden/>
              </w:rPr>
              <w:instrText xml:space="preserve"> PAGEREF _Toc229036225 \h </w:instrText>
            </w:r>
            <w:r>
              <w:rPr>
                <w:noProof/>
                <w:webHidden/>
              </w:rPr>
            </w:r>
            <w:r>
              <w:rPr>
                <w:noProof/>
                <w:webHidden/>
              </w:rPr>
              <w:fldChar w:fldCharType="separate"/>
            </w:r>
            <w:r w:rsidR="006D621C">
              <w:rPr>
                <w:noProof/>
                <w:webHidden/>
              </w:rPr>
              <w:t>64</w:t>
            </w:r>
            <w:r>
              <w:rPr>
                <w:noProof/>
                <w:webHidden/>
              </w:rPr>
              <w:fldChar w:fldCharType="end"/>
            </w:r>
          </w:hyperlink>
        </w:p>
        <w:p w14:paraId="4550FF91" w14:textId="3A4B1913"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26" w:history="1">
            <w:r w:rsidRPr="005A0CE6">
              <w:rPr>
                <w:rStyle w:val="Hyperlink"/>
                <w:noProof/>
              </w:rPr>
              <w:t>5.2.1 Groundwater monitoring</w:t>
            </w:r>
            <w:r>
              <w:rPr>
                <w:noProof/>
                <w:webHidden/>
              </w:rPr>
              <w:tab/>
            </w:r>
            <w:r>
              <w:rPr>
                <w:noProof/>
                <w:webHidden/>
              </w:rPr>
              <w:fldChar w:fldCharType="begin"/>
            </w:r>
            <w:r>
              <w:rPr>
                <w:noProof/>
                <w:webHidden/>
              </w:rPr>
              <w:instrText xml:space="preserve"> PAGEREF _Toc229036226 \h </w:instrText>
            </w:r>
            <w:r>
              <w:rPr>
                <w:noProof/>
                <w:webHidden/>
              </w:rPr>
            </w:r>
            <w:r>
              <w:rPr>
                <w:noProof/>
                <w:webHidden/>
              </w:rPr>
              <w:fldChar w:fldCharType="separate"/>
            </w:r>
            <w:r w:rsidR="006D621C">
              <w:rPr>
                <w:noProof/>
                <w:webHidden/>
              </w:rPr>
              <w:t>64</w:t>
            </w:r>
            <w:r>
              <w:rPr>
                <w:noProof/>
                <w:webHidden/>
              </w:rPr>
              <w:fldChar w:fldCharType="end"/>
            </w:r>
          </w:hyperlink>
        </w:p>
        <w:p w14:paraId="4F694959" w14:textId="1FB7CC97"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27" w:history="1">
            <w:r w:rsidRPr="005A0CE6">
              <w:rPr>
                <w:rStyle w:val="Hyperlink"/>
                <w:noProof/>
              </w:rPr>
              <w:t>5.2.2 Surface water monitoring</w:t>
            </w:r>
            <w:r>
              <w:rPr>
                <w:noProof/>
                <w:webHidden/>
              </w:rPr>
              <w:tab/>
            </w:r>
            <w:r>
              <w:rPr>
                <w:noProof/>
                <w:webHidden/>
              </w:rPr>
              <w:fldChar w:fldCharType="begin"/>
            </w:r>
            <w:r>
              <w:rPr>
                <w:noProof/>
                <w:webHidden/>
              </w:rPr>
              <w:instrText xml:space="preserve"> PAGEREF _Toc229036227 \h </w:instrText>
            </w:r>
            <w:r>
              <w:rPr>
                <w:noProof/>
                <w:webHidden/>
              </w:rPr>
            </w:r>
            <w:r>
              <w:rPr>
                <w:noProof/>
                <w:webHidden/>
              </w:rPr>
              <w:fldChar w:fldCharType="separate"/>
            </w:r>
            <w:r w:rsidR="006D621C">
              <w:rPr>
                <w:noProof/>
                <w:webHidden/>
              </w:rPr>
              <w:t>67</w:t>
            </w:r>
            <w:r>
              <w:rPr>
                <w:noProof/>
                <w:webHidden/>
              </w:rPr>
              <w:fldChar w:fldCharType="end"/>
            </w:r>
          </w:hyperlink>
        </w:p>
        <w:p w14:paraId="152FB5D9" w14:textId="0257FE4C"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28" w:history="1">
            <w:r w:rsidRPr="005A0CE6">
              <w:rPr>
                <w:rStyle w:val="Hyperlink"/>
                <w:noProof/>
              </w:rPr>
              <w:t>5.3 Quality Assurance (QA) / Quality Control (QC) of data</w:t>
            </w:r>
            <w:r>
              <w:rPr>
                <w:noProof/>
                <w:webHidden/>
              </w:rPr>
              <w:tab/>
            </w:r>
            <w:r>
              <w:rPr>
                <w:noProof/>
                <w:webHidden/>
              </w:rPr>
              <w:fldChar w:fldCharType="begin"/>
            </w:r>
            <w:r>
              <w:rPr>
                <w:noProof/>
                <w:webHidden/>
              </w:rPr>
              <w:instrText xml:space="preserve"> PAGEREF _Toc229036228 \h </w:instrText>
            </w:r>
            <w:r>
              <w:rPr>
                <w:noProof/>
                <w:webHidden/>
              </w:rPr>
            </w:r>
            <w:r>
              <w:rPr>
                <w:noProof/>
                <w:webHidden/>
              </w:rPr>
              <w:fldChar w:fldCharType="separate"/>
            </w:r>
            <w:r w:rsidR="006D621C">
              <w:rPr>
                <w:noProof/>
                <w:webHidden/>
              </w:rPr>
              <w:t>67</w:t>
            </w:r>
            <w:r>
              <w:rPr>
                <w:noProof/>
                <w:webHidden/>
              </w:rPr>
              <w:fldChar w:fldCharType="end"/>
            </w:r>
          </w:hyperlink>
        </w:p>
        <w:p w14:paraId="6260097E" w14:textId="548975AB"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29" w:history="1">
            <w:r w:rsidRPr="005A0CE6">
              <w:rPr>
                <w:rStyle w:val="Hyperlink"/>
                <w:noProof/>
              </w:rPr>
              <w:t>5.3.1 Groundwater monitoring</w:t>
            </w:r>
            <w:r>
              <w:rPr>
                <w:noProof/>
                <w:webHidden/>
              </w:rPr>
              <w:tab/>
            </w:r>
            <w:r>
              <w:rPr>
                <w:noProof/>
                <w:webHidden/>
              </w:rPr>
              <w:fldChar w:fldCharType="begin"/>
            </w:r>
            <w:r>
              <w:rPr>
                <w:noProof/>
                <w:webHidden/>
              </w:rPr>
              <w:instrText xml:space="preserve"> PAGEREF _Toc229036229 \h </w:instrText>
            </w:r>
            <w:r>
              <w:rPr>
                <w:noProof/>
                <w:webHidden/>
              </w:rPr>
            </w:r>
            <w:r>
              <w:rPr>
                <w:noProof/>
                <w:webHidden/>
              </w:rPr>
              <w:fldChar w:fldCharType="separate"/>
            </w:r>
            <w:r w:rsidR="006D621C">
              <w:rPr>
                <w:noProof/>
                <w:webHidden/>
              </w:rPr>
              <w:t>68</w:t>
            </w:r>
            <w:r>
              <w:rPr>
                <w:noProof/>
                <w:webHidden/>
              </w:rPr>
              <w:fldChar w:fldCharType="end"/>
            </w:r>
          </w:hyperlink>
        </w:p>
        <w:p w14:paraId="19590170" w14:textId="54B701CB"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30" w:history="1">
            <w:r w:rsidRPr="005A0CE6">
              <w:rPr>
                <w:rStyle w:val="Hyperlink"/>
                <w:noProof/>
              </w:rPr>
              <w:t>5.3.2 Surface water monitoring</w:t>
            </w:r>
            <w:r>
              <w:rPr>
                <w:noProof/>
                <w:webHidden/>
              </w:rPr>
              <w:tab/>
            </w:r>
            <w:r>
              <w:rPr>
                <w:noProof/>
                <w:webHidden/>
              </w:rPr>
              <w:fldChar w:fldCharType="begin"/>
            </w:r>
            <w:r>
              <w:rPr>
                <w:noProof/>
                <w:webHidden/>
              </w:rPr>
              <w:instrText xml:space="preserve"> PAGEREF _Toc229036230 \h </w:instrText>
            </w:r>
            <w:r>
              <w:rPr>
                <w:noProof/>
                <w:webHidden/>
              </w:rPr>
            </w:r>
            <w:r>
              <w:rPr>
                <w:noProof/>
                <w:webHidden/>
              </w:rPr>
              <w:fldChar w:fldCharType="separate"/>
            </w:r>
            <w:r w:rsidR="006D621C">
              <w:rPr>
                <w:noProof/>
                <w:webHidden/>
              </w:rPr>
              <w:t>68</w:t>
            </w:r>
            <w:r>
              <w:rPr>
                <w:noProof/>
                <w:webHidden/>
              </w:rPr>
              <w:fldChar w:fldCharType="end"/>
            </w:r>
          </w:hyperlink>
        </w:p>
        <w:p w14:paraId="0698F74A" w14:textId="45F335BD" w:rsidR="009B25D8" w:rsidRDefault="009B25D8">
          <w:pPr>
            <w:pStyle w:val="TOC1"/>
            <w:tabs>
              <w:tab w:val="right" w:leader="dot" w:pos="9016"/>
            </w:tabs>
            <w:rPr>
              <w:rFonts w:eastAsiaTheme="minorEastAsia"/>
              <w:noProof/>
              <w:kern w:val="2"/>
              <w:sz w:val="24"/>
              <w:szCs w:val="24"/>
              <w:lang w:val="hr-HR" w:eastAsia="hr-HR"/>
              <w14:ligatures w14:val="standardContextual"/>
            </w:rPr>
          </w:pPr>
          <w:hyperlink w:anchor="_Toc229036231" w:history="1">
            <w:r w:rsidRPr="005A0CE6">
              <w:rPr>
                <w:rStyle w:val="Hyperlink"/>
                <w:noProof/>
              </w:rPr>
              <w:t>6. Current approach for groundwater status &amp; risk assessment</w:t>
            </w:r>
            <w:r>
              <w:rPr>
                <w:noProof/>
                <w:webHidden/>
              </w:rPr>
              <w:tab/>
            </w:r>
            <w:r>
              <w:rPr>
                <w:noProof/>
                <w:webHidden/>
              </w:rPr>
              <w:fldChar w:fldCharType="begin"/>
            </w:r>
            <w:r>
              <w:rPr>
                <w:noProof/>
                <w:webHidden/>
              </w:rPr>
              <w:instrText xml:space="preserve"> PAGEREF _Toc229036231 \h </w:instrText>
            </w:r>
            <w:r>
              <w:rPr>
                <w:noProof/>
                <w:webHidden/>
              </w:rPr>
            </w:r>
            <w:r>
              <w:rPr>
                <w:noProof/>
                <w:webHidden/>
              </w:rPr>
              <w:fldChar w:fldCharType="separate"/>
            </w:r>
            <w:r w:rsidR="006D621C">
              <w:rPr>
                <w:noProof/>
                <w:webHidden/>
              </w:rPr>
              <w:t>69</w:t>
            </w:r>
            <w:r>
              <w:rPr>
                <w:noProof/>
                <w:webHidden/>
              </w:rPr>
              <w:fldChar w:fldCharType="end"/>
            </w:r>
          </w:hyperlink>
        </w:p>
        <w:p w14:paraId="35537DF1" w14:textId="1CAF6249"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32" w:history="1">
            <w:r w:rsidRPr="005A0CE6">
              <w:rPr>
                <w:rStyle w:val="Hyperlink"/>
                <w:noProof/>
              </w:rPr>
              <w:t>6.1 Standards, criteria &amp; threshold values</w:t>
            </w:r>
            <w:r>
              <w:rPr>
                <w:noProof/>
                <w:webHidden/>
              </w:rPr>
              <w:tab/>
            </w:r>
            <w:r>
              <w:rPr>
                <w:noProof/>
                <w:webHidden/>
              </w:rPr>
              <w:fldChar w:fldCharType="begin"/>
            </w:r>
            <w:r>
              <w:rPr>
                <w:noProof/>
                <w:webHidden/>
              </w:rPr>
              <w:instrText xml:space="preserve"> PAGEREF _Toc229036232 \h </w:instrText>
            </w:r>
            <w:r>
              <w:rPr>
                <w:noProof/>
                <w:webHidden/>
              </w:rPr>
            </w:r>
            <w:r>
              <w:rPr>
                <w:noProof/>
                <w:webHidden/>
              </w:rPr>
              <w:fldChar w:fldCharType="separate"/>
            </w:r>
            <w:r w:rsidR="006D621C">
              <w:rPr>
                <w:noProof/>
                <w:webHidden/>
              </w:rPr>
              <w:t>69</w:t>
            </w:r>
            <w:r>
              <w:rPr>
                <w:noProof/>
                <w:webHidden/>
              </w:rPr>
              <w:fldChar w:fldCharType="end"/>
            </w:r>
          </w:hyperlink>
        </w:p>
        <w:p w14:paraId="5F1358E5" w14:textId="13E3D2FE"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33" w:history="1">
            <w:r w:rsidRPr="005A0CE6">
              <w:rPr>
                <w:rStyle w:val="Hyperlink"/>
                <w:noProof/>
              </w:rPr>
              <w:t>6.1.3 Determination of Background Levels (BL) and Threshold Values (TV)</w:t>
            </w:r>
            <w:r>
              <w:rPr>
                <w:noProof/>
                <w:webHidden/>
              </w:rPr>
              <w:tab/>
            </w:r>
            <w:r>
              <w:rPr>
                <w:noProof/>
                <w:webHidden/>
              </w:rPr>
              <w:fldChar w:fldCharType="begin"/>
            </w:r>
            <w:r>
              <w:rPr>
                <w:noProof/>
                <w:webHidden/>
              </w:rPr>
              <w:instrText xml:space="preserve"> PAGEREF _Toc229036233 \h </w:instrText>
            </w:r>
            <w:r>
              <w:rPr>
                <w:noProof/>
                <w:webHidden/>
              </w:rPr>
            </w:r>
            <w:r>
              <w:rPr>
                <w:noProof/>
                <w:webHidden/>
              </w:rPr>
              <w:fldChar w:fldCharType="separate"/>
            </w:r>
            <w:r w:rsidR="006D621C">
              <w:rPr>
                <w:noProof/>
                <w:webHidden/>
              </w:rPr>
              <w:t>70</w:t>
            </w:r>
            <w:r>
              <w:rPr>
                <w:noProof/>
                <w:webHidden/>
              </w:rPr>
              <w:fldChar w:fldCharType="end"/>
            </w:r>
          </w:hyperlink>
        </w:p>
        <w:p w14:paraId="04463AF0" w14:textId="05AC96F3"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34" w:history="1">
            <w:r w:rsidRPr="005A0CE6">
              <w:rPr>
                <w:rStyle w:val="Hyperlink"/>
                <w:noProof/>
              </w:rPr>
              <w:t>6.2 Chemical and quantitative status assessment</w:t>
            </w:r>
            <w:r>
              <w:rPr>
                <w:noProof/>
                <w:webHidden/>
              </w:rPr>
              <w:tab/>
            </w:r>
            <w:r>
              <w:rPr>
                <w:noProof/>
                <w:webHidden/>
              </w:rPr>
              <w:fldChar w:fldCharType="begin"/>
            </w:r>
            <w:r>
              <w:rPr>
                <w:noProof/>
                <w:webHidden/>
              </w:rPr>
              <w:instrText xml:space="preserve"> PAGEREF _Toc229036234 \h </w:instrText>
            </w:r>
            <w:r>
              <w:rPr>
                <w:noProof/>
                <w:webHidden/>
              </w:rPr>
            </w:r>
            <w:r>
              <w:rPr>
                <w:noProof/>
                <w:webHidden/>
              </w:rPr>
              <w:fldChar w:fldCharType="separate"/>
            </w:r>
            <w:r w:rsidR="006D621C">
              <w:rPr>
                <w:noProof/>
                <w:webHidden/>
              </w:rPr>
              <w:t>71</w:t>
            </w:r>
            <w:r>
              <w:rPr>
                <w:noProof/>
                <w:webHidden/>
              </w:rPr>
              <w:fldChar w:fldCharType="end"/>
            </w:r>
          </w:hyperlink>
        </w:p>
        <w:p w14:paraId="154FB253" w14:textId="0E8F384C"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35" w:history="1">
            <w:r w:rsidRPr="005A0CE6">
              <w:rPr>
                <w:rStyle w:val="Hyperlink"/>
                <w:noProof/>
              </w:rPr>
              <w:t>6.3 Trend analysis</w:t>
            </w:r>
            <w:r>
              <w:rPr>
                <w:noProof/>
                <w:webHidden/>
              </w:rPr>
              <w:tab/>
            </w:r>
            <w:r>
              <w:rPr>
                <w:noProof/>
                <w:webHidden/>
              </w:rPr>
              <w:fldChar w:fldCharType="begin"/>
            </w:r>
            <w:r>
              <w:rPr>
                <w:noProof/>
                <w:webHidden/>
              </w:rPr>
              <w:instrText xml:space="preserve"> PAGEREF _Toc229036235 \h </w:instrText>
            </w:r>
            <w:r>
              <w:rPr>
                <w:noProof/>
                <w:webHidden/>
              </w:rPr>
            </w:r>
            <w:r>
              <w:rPr>
                <w:noProof/>
                <w:webHidden/>
              </w:rPr>
              <w:fldChar w:fldCharType="separate"/>
            </w:r>
            <w:r w:rsidR="006D621C">
              <w:rPr>
                <w:noProof/>
                <w:webHidden/>
              </w:rPr>
              <w:t>74</w:t>
            </w:r>
            <w:r>
              <w:rPr>
                <w:noProof/>
                <w:webHidden/>
              </w:rPr>
              <w:fldChar w:fldCharType="end"/>
            </w:r>
          </w:hyperlink>
        </w:p>
        <w:p w14:paraId="2D78E947" w14:textId="7C2D2C52"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36" w:history="1">
            <w:r w:rsidRPr="005A0CE6">
              <w:rPr>
                <w:rStyle w:val="Hyperlink"/>
                <w:noProof/>
              </w:rPr>
              <w:t>6.3.1 Trend Analysis by Water Quality Parameters in GGWB Neretva</w:t>
            </w:r>
            <w:r>
              <w:rPr>
                <w:noProof/>
                <w:webHidden/>
              </w:rPr>
              <w:tab/>
            </w:r>
            <w:r>
              <w:rPr>
                <w:noProof/>
                <w:webHidden/>
              </w:rPr>
              <w:fldChar w:fldCharType="begin"/>
            </w:r>
            <w:r>
              <w:rPr>
                <w:noProof/>
                <w:webHidden/>
              </w:rPr>
              <w:instrText xml:space="preserve"> PAGEREF _Toc229036236 \h </w:instrText>
            </w:r>
            <w:r>
              <w:rPr>
                <w:noProof/>
                <w:webHidden/>
              </w:rPr>
            </w:r>
            <w:r>
              <w:rPr>
                <w:noProof/>
                <w:webHidden/>
              </w:rPr>
              <w:fldChar w:fldCharType="separate"/>
            </w:r>
            <w:r w:rsidR="006D621C">
              <w:rPr>
                <w:noProof/>
                <w:webHidden/>
              </w:rPr>
              <w:t>74</w:t>
            </w:r>
            <w:r>
              <w:rPr>
                <w:noProof/>
                <w:webHidden/>
              </w:rPr>
              <w:fldChar w:fldCharType="end"/>
            </w:r>
          </w:hyperlink>
        </w:p>
        <w:p w14:paraId="129A1B71" w14:textId="6009A028"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37" w:history="1">
            <w:r w:rsidRPr="005A0CE6">
              <w:rPr>
                <w:rStyle w:val="Hyperlink"/>
                <w:noProof/>
              </w:rPr>
              <w:t>6.3.2 Trend Analysis of Water Abstraction within GGWB Neretva</w:t>
            </w:r>
            <w:r>
              <w:rPr>
                <w:noProof/>
                <w:webHidden/>
              </w:rPr>
              <w:tab/>
            </w:r>
            <w:r>
              <w:rPr>
                <w:noProof/>
                <w:webHidden/>
              </w:rPr>
              <w:fldChar w:fldCharType="begin"/>
            </w:r>
            <w:r>
              <w:rPr>
                <w:noProof/>
                <w:webHidden/>
              </w:rPr>
              <w:instrText xml:space="preserve"> PAGEREF _Toc229036237 \h </w:instrText>
            </w:r>
            <w:r>
              <w:rPr>
                <w:noProof/>
                <w:webHidden/>
              </w:rPr>
            </w:r>
            <w:r>
              <w:rPr>
                <w:noProof/>
                <w:webHidden/>
              </w:rPr>
              <w:fldChar w:fldCharType="separate"/>
            </w:r>
            <w:r w:rsidR="006D621C">
              <w:rPr>
                <w:noProof/>
                <w:webHidden/>
              </w:rPr>
              <w:t>75</w:t>
            </w:r>
            <w:r>
              <w:rPr>
                <w:noProof/>
                <w:webHidden/>
              </w:rPr>
              <w:fldChar w:fldCharType="end"/>
            </w:r>
          </w:hyperlink>
        </w:p>
        <w:p w14:paraId="3D1B7EF0" w14:textId="20DD18BC"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38" w:history="1">
            <w:r w:rsidRPr="005A0CE6">
              <w:rPr>
                <w:rStyle w:val="Hyperlink"/>
                <w:noProof/>
              </w:rPr>
              <w:t>6.4 Risk assessment</w:t>
            </w:r>
            <w:r>
              <w:rPr>
                <w:noProof/>
                <w:webHidden/>
              </w:rPr>
              <w:tab/>
            </w:r>
            <w:r>
              <w:rPr>
                <w:noProof/>
                <w:webHidden/>
              </w:rPr>
              <w:fldChar w:fldCharType="begin"/>
            </w:r>
            <w:r>
              <w:rPr>
                <w:noProof/>
                <w:webHidden/>
              </w:rPr>
              <w:instrText xml:space="preserve"> PAGEREF _Toc229036238 \h </w:instrText>
            </w:r>
            <w:r>
              <w:rPr>
                <w:noProof/>
                <w:webHidden/>
              </w:rPr>
            </w:r>
            <w:r>
              <w:rPr>
                <w:noProof/>
                <w:webHidden/>
              </w:rPr>
              <w:fldChar w:fldCharType="separate"/>
            </w:r>
            <w:r w:rsidR="006D621C">
              <w:rPr>
                <w:noProof/>
                <w:webHidden/>
              </w:rPr>
              <w:t>75</w:t>
            </w:r>
            <w:r>
              <w:rPr>
                <w:noProof/>
                <w:webHidden/>
              </w:rPr>
              <w:fldChar w:fldCharType="end"/>
            </w:r>
          </w:hyperlink>
        </w:p>
        <w:p w14:paraId="62E1A290" w14:textId="7F24A248"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39" w:history="1">
            <w:r w:rsidRPr="005A0CE6">
              <w:rPr>
                <w:rStyle w:val="Hyperlink"/>
                <w:noProof/>
              </w:rPr>
              <w:t>6.4.1 Risk assessment approach in Croatia to evaluate the likelihood of failing to achieve good status</w:t>
            </w:r>
            <w:r>
              <w:rPr>
                <w:noProof/>
                <w:webHidden/>
              </w:rPr>
              <w:tab/>
            </w:r>
            <w:r>
              <w:rPr>
                <w:noProof/>
                <w:webHidden/>
              </w:rPr>
              <w:fldChar w:fldCharType="begin"/>
            </w:r>
            <w:r>
              <w:rPr>
                <w:noProof/>
                <w:webHidden/>
              </w:rPr>
              <w:instrText xml:space="preserve"> PAGEREF _Toc229036239 \h </w:instrText>
            </w:r>
            <w:r>
              <w:rPr>
                <w:noProof/>
                <w:webHidden/>
              </w:rPr>
            </w:r>
            <w:r>
              <w:rPr>
                <w:noProof/>
                <w:webHidden/>
              </w:rPr>
              <w:fldChar w:fldCharType="separate"/>
            </w:r>
            <w:r w:rsidR="006D621C">
              <w:rPr>
                <w:noProof/>
                <w:webHidden/>
              </w:rPr>
              <w:t>75</w:t>
            </w:r>
            <w:r>
              <w:rPr>
                <w:noProof/>
                <w:webHidden/>
              </w:rPr>
              <w:fldChar w:fldCharType="end"/>
            </w:r>
          </w:hyperlink>
        </w:p>
        <w:p w14:paraId="0526654D" w14:textId="375A77B4" w:rsidR="009B25D8" w:rsidRDefault="009B25D8">
          <w:pPr>
            <w:pStyle w:val="TOC1"/>
            <w:tabs>
              <w:tab w:val="right" w:leader="dot" w:pos="9016"/>
            </w:tabs>
            <w:rPr>
              <w:rFonts w:eastAsiaTheme="minorEastAsia"/>
              <w:noProof/>
              <w:kern w:val="2"/>
              <w:sz w:val="24"/>
              <w:szCs w:val="24"/>
              <w:lang w:val="hr-HR" w:eastAsia="hr-HR"/>
              <w14:ligatures w14:val="standardContextual"/>
            </w:rPr>
          </w:pPr>
          <w:hyperlink w:anchor="_Toc229036240" w:history="1">
            <w:r w:rsidRPr="005A0CE6">
              <w:rPr>
                <w:rStyle w:val="Hyperlink"/>
                <w:noProof/>
              </w:rPr>
              <w:t>7. Institutional and transboundary cooperation measures</w:t>
            </w:r>
            <w:r>
              <w:rPr>
                <w:noProof/>
                <w:webHidden/>
              </w:rPr>
              <w:tab/>
            </w:r>
            <w:r>
              <w:rPr>
                <w:noProof/>
                <w:webHidden/>
              </w:rPr>
              <w:fldChar w:fldCharType="begin"/>
            </w:r>
            <w:r>
              <w:rPr>
                <w:noProof/>
                <w:webHidden/>
              </w:rPr>
              <w:instrText xml:space="preserve"> PAGEREF _Toc229036240 \h </w:instrText>
            </w:r>
            <w:r>
              <w:rPr>
                <w:noProof/>
                <w:webHidden/>
              </w:rPr>
            </w:r>
            <w:r>
              <w:rPr>
                <w:noProof/>
                <w:webHidden/>
              </w:rPr>
              <w:fldChar w:fldCharType="separate"/>
            </w:r>
            <w:r w:rsidR="006D621C">
              <w:rPr>
                <w:noProof/>
                <w:webHidden/>
              </w:rPr>
              <w:t>75</w:t>
            </w:r>
            <w:r>
              <w:rPr>
                <w:noProof/>
                <w:webHidden/>
              </w:rPr>
              <w:fldChar w:fldCharType="end"/>
            </w:r>
          </w:hyperlink>
        </w:p>
        <w:p w14:paraId="2D08FF89" w14:textId="6C400DE7"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41" w:history="1">
            <w:r w:rsidRPr="005A0CE6">
              <w:rPr>
                <w:rStyle w:val="Hyperlink"/>
                <w:noProof/>
              </w:rPr>
              <w:t>7.1 Jurisdiction and operations of the Joint Water Management Commission of the Republic of Croatia and Bosnia and Herzegovina</w:t>
            </w:r>
            <w:r>
              <w:rPr>
                <w:noProof/>
                <w:webHidden/>
              </w:rPr>
              <w:tab/>
            </w:r>
            <w:r>
              <w:rPr>
                <w:noProof/>
                <w:webHidden/>
              </w:rPr>
              <w:fldChar w:fldCharType="begin"/>
            </w:r>
            <w:r>
              <w:rPr>
                <w:noProof/>
                <w:webHidden/>
              </w:rPr>
              <w:instrText xml:space="preserve"> PAGEREF _Toc229036241 \h </w:instrText>
            </w:r>
            <w:r>
              <w:rPr>
                <w:noProof/>
                <w:webHidden/>
              </w:rPr>
            </w:r>
            <w:r>
              <w:rPr>
                <w:noProof/>
                <w:webHidden/>
              </w:rPr>
              <w:fldChar w:fldCharType="separate"/>
            </w:r>
            <w:r w:rsidR="006D621C">
              <w:rPr>
                <w:noProof/>
                <w:webHidden/>
              </w:rPr>
              <w:t>75</w:t>
            </w:r>
            <w:r>
              <w:rPr>
                <w:noProof/>
                <w:webHidden/>
              </w:rPr>
              <w:fldChar w:fldCharType="end"/>
            </w:r>
          </w:hyperlink>
        </w:p>
        <w:p w14:paraId="4D3FE5F6" w14:textId="05FD45E0"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42" w:history="1">
            <w:r w:rsidRPr="005A0CE6">
              <w:rPr>
                <w:rStyle w:val="Hyperlink"/>
                <w:noProof/>
              </w:rPr>
              <w:t>7.2 Joint data sharing mechanism</w:t>
            </w:r>
            <w:r>
              <w:rPr>
                <w:noProof/>
                <w:webHidden/>
              </w:rPr>
              <w:tab/>
            </w:r>
            <w:r>
              <w:rPr>
                <w:noProof/>
                <w:webHidden/>
              </w:rPr>
              <w:fldChar w:fldCharType="begin"/>
            </w:r>
            <w:r>
              <w:rPr>
                <w:noProof/>
                <w:webHidden/>
              </w:rPr>
              <w:instrText xml:space="preserve"> PAGEREF _Toc229036242 \h </w:instrText>
            </w:r>
            <w:r>
              <w:rPr>
                <w:noProof/>
                <w:webHidden/>
              </w:rPr>
            </w:r>
            <w:r>
              <w:rPr>
                <w:noProof/>
                <w:webHidden/>
              </w:rPr>
              <w:fldChar w:fldCharType="separate"/>
            </w:r>
            <w:r w:rsidR="006D621C">
              <w:rPr>
                <w:noProof/>
                <w:webHidden/>
              </w:rPr>
              <w:t>77</w:t>
            </w:r>
            <w:r>
              <w:rPr>
                <w:noProof/>
                <w:webHidden/>
              </w:rPr>
              <w:fldChar w:fldCharType="end"/>
            </w:r>
          </w:hyperlink>
        </w:p>
        <w:p w14:paraId="2765FB3D" w14:textId="02A9EBD7"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43" w:history="1">
            <w:r w:rsidRPr="005A0CE6">
              <w:rPr>
                <w:rStyle w:val="Hyperlink"/>
                <w:noProof/>
              </w:rPr>
              <w:t>7.3 Options for funding through EU and international programmes</w:t>
            </w:r>
            <w:r>
              <w:rPr>
                <w:noProof/>
                <w:webHidden/>
              </w:rPr>
              <w:tab/>
            </w:r>
            <w:r>
              <w:rPr>
                <w:noProof/>
                <w:webHidden/>
              </w:rPr>
              <w:fldChar w:fldCharType="begin"/>
            </w:r>
            <w:r>
              <w:rPr>
                <w:noProof/>
                <w:webHidden/>
              </w:rPr>
              <w:instrText xml:space="preserve"> PAGEREF _Toc229036243 \h </w:instrText>
            </w:r>
            <w:r>
              <w:rPr>
                <w:noProof/>
                <w:webHidden/>
              </w:rPr>
            </w:r>
            <w:r>
              <w:rPr>
                <w:noProof/>
                <w:webHidden/>
              </w:rPr>
              <w:fldChar w:fldCharType="separate"/>
            </w:r>
            <w:r w:rsidR="006D621C">
              <w:rPr>
                <w:noProof/>
                <w:webHidden/>
              </w:rPr>
              <w:t>79</w:t>
            </w:r>
            <w:r>
              <w:rPr>
                <w:noProof/>
                <w:webHidden/>
              </w:rPr>
              <w:fldChar w:fldCharType="end"/>
            </w:r>
          </w:hyperlink>
        </w:p>
        <w:p w14:paraId="0E642A15" w14:textId="01E362F7"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44" w:history="1">
            <w:r w:rsidRPr="005A0CE6">
              <w:rPr>
                <w:rStyle w:val="Hyperlink"/>
                <w:noProof/>
              </w:rPr>
              <w:t>7.3.1 Funding instruments available to Croatia</w:t>
            </w:r>
            <w:r>
              <w:rPr>
                <w:noProof/>
                <w:webHidden/>
              </w:rPr>
              <w:tab/>
            </w:r>
            <w:r>
              <w:rPr>
                <w:noProof/>
                <w:webHidden/>
              </w:rPr>
              <w:fldChar w:fldCharType="begin"/>
            </w:r>
            <w:r>
              <w:rPr>
                <w:noProof/>
                <w:webHidden/>
              </w:rPr>
              <w:instrText xml:space="preserve"> PAGEREF _Toc229036244 \h </w:instrText>
            </w:r>
            <w:r>
              <w:rPr>
                <w:noProof/>
                <w:webHidden/>
              </w:rPr>
            </w:r>
            <w:r>
              <w:rPr>
                <w:noProof/>
                <w:webHidden/>
              </w:rPr>
              <w:fldChar w:fldCharType="separate"/>
            </w:r>
            <w:r w:rsidR="006D621C">
              <w:rPr>
                <w:noProof/>
                <w:webHidden/>
              </w:rPr>
              <w:t>79</w:t>
            </w:r>
            <w:r>
              <w:rPr>
                <w:noProof/>
                <w:webHidden/>
              </w:rPr>
              <w:fldChar w:fldCharType="end"/>
            </w:r>
          </w:hyperlink>
        </w:p>
        <w:p w14:paraId="33AF0FB7" w14:textId="5707C63A"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45" w:history="1">
            <w:r w:rsidRPr="005A0CE6">
              <w:rPr>
                <w:rStyle w:val="Hyperlink"/>
                <w:noProof/>
              </w:rPr>
              <w:t>7.3.2 Funding instruments available to Bosnia and Herzegovina</w:t>
            </w:r>
            <w:r>
              <w:rPr>
                <w:noProof/>
                <w:webHidden/>
              </w:rPr>
              <w:tab/>
            </w:r>
            <w:r>
              <w:rPr>
                <w:noProof/>
                <w:webHidden/>
              </w:rPr>
              <w:fldChar w:fldCharType="begin"/>
            </w:r>
            <w:r>
              <w:rPr>
                <w:noProof/>
                <w:webHidden/>
              </w:rPr>
              <w:instrText xml:space="preserve"> PAGEREF _Toc229036245 \h </w:instrText>
            </w:r>
            <w:r>
              <w:rPr>
                <w:noProof/>
                <w:webHidden/>
              </w:rPr>
            </w:r>
            <w:r>
              <w:rPr>
                <w:noProof/>
                <w:webHidden/>
              </w:rPr>
              <w:fldChar w:fldCharType="separate"/>
            </w:r>
            <w:r w:rsidR="006D621C">
              <w:rPr>
                <w:noProof/>
                <w:webHidden/>
              </w:rPr>
              <w:t>79</w:t>
            </w:r>
            <w:r>
              <w:rPr>
                <w:noProof/>
                <w:webHidden/>
              </w:rPr>
              <w:fldChar w:fldCharType="end"/>
            </w:r>
          </w:hyperlink>
        </w:p>
        <w:p w14:paraId="5DFAC023" w14:textId="73D4D520"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46" w:history="1">
            <w:r w:rsidRPr="005A0CE6">
              <w:rPr>
                <w:rStyle w:val="Hyperlink"/>
                <w:noProof/>
              </w:rPr>
              <w:t>7.3.3 Joint and internationally accessible funding opportunities</w:t>
            </w:r>
            <w:r>
              <w:rPr>
                <w:noProof/>
                <w:webHidden/>
              </w:rPr>
              <w:tab/>
            </w:r>
            <w:r>
              <w:rPr>
                <w:noProof/>
                <w:webHidden/>
              </w:rPr>
              <w:fldChar w:fldCharType="begin"/>
            </w:r>
            <w:r>
              <w:rPr>
                <w:noProof/>
                <w:webHidden/>
              </w:rPr>
              <w:instrText xml:space="preserve"> PAGEREF _Toc229036246 \h </w:instrText>
            </w:r>
            <w:r>
              <w:rPr>
                <w:noProof/>
                <w:webHidden/>
              </w:rPr>
            </w:r>
            <w:r>
              <w:rPr>
                <w:noProof/>
                <w:webHidden/>
              </w:rPr>
              <w:fldChar w:fldCharType="separate"/>
            </w:r>
            <w:r w:rsidR="006D621C">
              <w:rPr>
                <w:noProof/>
                <w:webHidden/>
              </w:rPr>
              <w:t>80</w:t>
            </w:r>
            <w:r>
              <w:rPr>
                <w:noProof/>
                <w:webHidden/>
              </w:rPr>
              <w:fldChar w:fldCharType="end"/>
            </w:r>
          </w:hyperlink>
        </w:p>
        <w:p w14:paraId="77A9E4B0" w14:textId="117DE5A6"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47" w:history="1">
            <w:r w:rsidRPr="005A0CE6">
              <w:rPr>
                <w:rStyle w:val="Hyperlink"/>
                <w:noProof/>
              </w:rPr>
              <w:t>7.3.4 Indicative funding needs for Neretva TBA Joint Action Programme</w:t>
            </w:r>
            <w:r>
              <w:rPr>
                <w:noProof/>
                <w:webHidden/>
              </w:rPr>
              <w:tab/>
            </w:r>
            <w:r>
              <w:rPr>
                <w:noProof/>
                <w:webHidden/>
              </w:rPr>
              <w:fldChar w:fldCharType="begin"/>
            </w:r>
            <w:r>
              <w:rPr>
                <w:noProof/>
                <w:webHidden/>
              </w:rPr>
              <w:instrText xml:space="preserve"> PAGEREF _Toc229036247 \h </w:instrText>
            </w:r>
            <w:r>
              <w:rPr>
                <w:noProof/>
                <w:webHidden/>
              </w:rPr>
            </w:r>
            <w:r>
              <w:rPr>
                <w:noProof/>
                <w:webHidden/>
              </w:rPr>
              <w:fldChar w:fldCharType="separate"/>
            </w:r>
            <w:r w:rsidR="006D621C">
              <w:rPr>
                <w:noProof/>
                <w:webHidden/>
              </w:rPr>
              <w:t>80</w:t>
            </w:r>
            <w:r>
              <w:rPr>
                <w:noProof/>
                <w:webHidden/>
              </w:rPr>
              <w:fldChar w:fldCharType="end"/>
            </w:r>
          </w:hyperlink>
        </w:p>
        <w:p w14:paraId="4BB73C4E" w14:textId="13B56808"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48" w:history="1">
            <w:r w:rsidRPr="005A0CE6">
              <w:rPr>
                <w:rStyle w:val="Hyperlink"/>
                <w:noProof/>
              </w:rPr>
              <w:t>7.4 Strengthening institutional role and capacities</w:t>
            </w:r>
            <w:r>
              <w:rPr>
                <w:noProof/>
                <w:webHidden/>
              </w:rPr>
              <w:tab/>
            </w:r>
            <w:r>
              <w:rPr>
                <w:noProof/>
                <w:webHidden/>
              </w:rPr>
              <w:fldChar w:fldCharType="begin"/>
            </w:r>
            <w:r>
              <w:rPr>
                <w:noProof/>
                <w:webHidden/>
              </w:rPr>
              <w:instrText xml:space="preserve"> PAGEREF _Toc229036248 \h </w:instrText>
            </w:r>
            <w:r>
              <w:rPr>
                <w:noProof/>
                <w:webHidden/>
              </w:rPr>
            </w:r>
            <w:r>
              <w:rPr>
                <w:noProof/>
                <w:webHidden/>
              </w:rPr>
              <w:fldChar w:fldCharType="separate"/>
            </w:r>
            <w:r w:rsidR="006D621C">
              <w:rPr>
                <w:noProof/>
                <w:webHidden/>
              </w:rPr>
              <w:t>81</w:t>
            </w:r>
            <w:r>
              <w:rPr>
                <w:noProof/>
                <w:webHidden/>
              </w:rPr>
              <w:fldChar w:fldCharType="end"/>
            </w:r>
          </w:hyperlink>
        </w:p>
        <w:p w14:paraId="4F916CA7" w14:textId="7EC4D44C"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49" w:history="1">
            <w:r w:rsidRPr="005A0CE6">
              <w:rPr>
                <w:rStyle w:val="Hyperlink"/>
                <w:noProof/>
              </w:rPr>
              <w:t>7.5. Strengthening stakeholder engagement and public awareness</w:t>
            </w:r>
            <w:r>
              <w:rPr>
                <w:noProof/>
                <w:webHidden/>
              </w:rPr>
              <w:tab/>
            </w:r>
            <w:r>
              <w:rPr>
                <w:noProof/>
                <w:webHidden/>
              </w:rPr>
              <w:fldChar w:fldCharType="begin"/>
            </w:r>
            <w:r>
              <w:rPr>
                <w:noProof/>
                <w:webHidden/>
              </w:rPr>
              <w:instrText xml:space="preserve"> PAGEREF _Toc229036249 \h </w:instrText>
            </w:r>
            <w:r>
              <w:rPr>
                <w:noProof/>
                <w:webHidden/>
              </w:rPr>
            </w:r>
            <w:r>
              <w:rPr>
                <w:noProof/>
                <w:webHidden/>
              </w:rPr>
              <w:fldChar w:fldCharType="separate"/>
            </w:r>
            <w:r w:rsidR="006D621C">
              <w:rPr>
                <w:noProof/>
                <w:webHidden/>
              </w:rPr>
              <w:t>84</w:t>
            </w:r>
            <w:r>
              <w:rPr>
                <w:noProof/>
                <w:webHidden/>
              </w:rPr>
              <w:fldChar w:fldCharType="end"/>
            </w:r>
          </w:hyperlink>
        </w:p>
        <w:p w14:paraId="19022739" w14:textId="1402682E"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50" w:history="1">
            <w:r w:rsidRPr="005A0CE6">
              <w:rPr>
                <w:rStyle w:val="Hyperlink"/>
                <w:noProof/>
              </w:rPr>
              <w:t>7.6 Engagement of local and regional authorities</w:t>
            </w:r>
            <w:r>
              <w:rPr>
                <w:noProof/>
                <w:webHidden/>
              </w:rPr>
              <w:tab/>
            </w:r>
            <w:r>
              <w:rPr>
                <w:noProof/>
                <w:webHidden/>
              </w:rPr>
              <w:fldChar w:fldCharType="begin"/>
            </w:r>
            <w:r>
              <w:rPr>
                <w:noProof/>
                <w:webHidden/>
              </w:rPr>
              <w:instrText xml:space="preserve"> PAGEREF _Toc229036250 \h </w:instrText>
            </w:r>
            <w:r>
              <w:rPr>
                <w:noProof/>
                <w:webHidden/>
              </w:rPr>
            </w:r>
            <w:r>
              <w:rPr>
                <w:noProof/>
                <w:webHidden/>
              </w:rPr>
              <w:fldChar w:fldCharType="separate"/>
            </w:r>
            <w:r w:rsidR="006D621C">
              <w:rPr>
                <w:noProof/>
                <w:webHidden/>
              </w:rPr>
              <w:t>86</w:t>
            </w:r>
            <w:r>
              <w:rPr>
                <w:noProof/>
                <w:webHidden/>
              </w:rPr>
              <w:fldChar w:fldCharType="end"/>
            </w:r>
          </w:hyperlink>
        </w:p>
        <w:p w14:paraId="02A78669" w14:textId="716D6094" w:rsidR="009B25D8" w:rsidRDefault="009B25D8">
          <w:pPr>
            <w:pStyle w:val="TOC1"/>
            <w:tabs>
              <w:tab w:val="right" w:leader="dot" w:pos="9016"/>
            </w:tabs>
            <w:rPr>
              <w:rFonts w:eastAsiaTheme="minorEastAsia"/>
              <w:noProof/>
              <w:kern w:val="2"/>
              <w:sz w:val="24"/>
              <w:szCs w:val="24"/>
              <w:lang w:val="hr-HR" w:eastAsia="hr-HR"/>
              <w14:ligatures w14:val="standardContextual"/>
            </w:rPr>
          </w:pPr>
          <w:hyperlink w:anchor="_Toc229036251" w:history="1">
            <w:r w:rsidRPr="005A0CE6">
              <w:rPr>
                <w:rStyle w:val="Hyperlink"/>
                <w:noProof/>
              </w:rPr>
              <w:t>8. Measures for sustainable groundwater management</w:t>
            </w:r>
            <w:r>
              <w:rPr>
                <w:noProof/>
                <w:webHidden/>
              </w:rPr>
              <w:tab/>
            </w:r>
            <w:r>
              <w:rPr>
                <w:noProof/>
                <w:webHidden/>
              </w:rPr>
              <w:fldChar w:fldCharType="begin"/>
            </w:r>
            <w:r>
              <w:rPr>
                <w:noProof/>
                <w:webHidden/>
              </w:rPr>
              <w:instrText xml:space="preserve"> PAGEREF _Toc229036251 \h </w:instrText>
            </w:r>
            <w:r>
              <w:rPr>
                <w:noProof/>
                <w:webHidden/>
              </w:rPr>
            </w:r>
            <w:r>
              <w:rPr>
                <w:noProof/>
                <w:webHidden/>
              </w:rPr>
              <w:fldChar w:fldCharType="separate"/>
            </w:r>
            <w:r w:rsidR="006D621C">
              <w:rPr>
                <w:noProof/>
                <w:webHidden/>
              </w:rPr>
              <w:t>88</w:t>
            </w:r>
            <w:r>
              <w:rPr>
                <w:noProof/>
                <w:webHidden/>
              </w:rPr>
              <w:fldChar w:fldCharType="end"/>
            </w:r>
          </w:hyperlink>
        </w:p>
        <w:p w14:paraId="6FDC0F4E" w14:textId="1A6B42AE"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52" w:history="1">
            <w:r w:rsidRPr="005A0CE6">
              <w:rPr>
                <w:rStyle w:val="Hyperlink"/>
                <w:noProof/>
              </w:rPr>
              <w:t>8.1 Strategic approach to sustainable groundwater management</w:t>
            </w:r>
            <w:r>
              <w:rPr>
                <w:noProof/>
                <w:webHidden/>
              </w:rPr>
              <w:tab/>
            </w:r>
            <w:r>
              <w:rPr>
                <w:noProof/>
                <w:webHidden/>
              </w:rPr>
              <w:fldChar w:fldCharType="begin"/>
            </w:r>
            <w:r>
              <w:rPr>
                <w:noProof/>
                <w:webHidden/>
              </w:rPr>
              <w:instrText xml:space="preserve"> PAGEREF _Toc229036252 \h </w:instrText>
            </w:r>
            <w:r>
              <w:rPr>
                <w:noProof/>
                <w:webHidden/>
              </w:rPr>
            </w:r>
            <w:r>
              <w:rPr>
                <w:noProof/>
                <w:webHidden/>
              </w:rPr>
              <w:fldChar w:fldCharType="separate"/>
            </w:r>
            <w:r w:rsidR="006D621C">
              <w:rPr>
                <w:noProof/>
                <w:webHidden/>
              </w:rPr>
              <w:t>88</w:t>
            </w:r>
            <w:r>
              <w:rPr>
                <w:noProof/>
                <w:webHidden/>
              </w:rPr>
              <w:fldChar w:fldCharType="end"/>
            </w:r>
          </w:hyperlink>
        </w:p>
        <w:p w14:paraId="68442723" w14:textId="66470976"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53" w:history="1">
            <w:r w:rsidRPr="005A0CE6">
              <w:rPr>
                <w:rStyle w:val="Hyperlink"/>
                <w:noProof/>
              </w:rPr>
              <w:t>8.2 Promotion of water</w:t>
            </w:r>
            <w:r w:rsidRPr="005A0CE6">
              <w:rPr>
                <w:rStyle w:val="Hyperlink"/>
                <w:rFonts w:ascii="Cambria Math" w:hAnsi="Cambria Math" w:cs="Cambria Math"/>
                <w:noProof/>
              </w:rPr>
              <w:t>‑</w:t>
            </w:r>
            <w:r w:rsidRPr="005A0CE6">
              <w:rPr>
                <w:rStyle w:val="Hyperlink"/>
                <w:noProof/>
              </w:rPr>
              <w:t>efficient &amp; low</w:t>
            </w:r>
            <w:r w:rsidRPr="005A0CE6">
              <w:rPr>
                <w:rStyle w:val="Hyperlink"/>
                <w:rFonts w:ascii="Cambria Math" w:hAnsi="Cambria Math" w:cs="Cambria Math"/>
                <w:noProof/>
              </w:rPr>
              <w:t>‑</w:t>
            </w:r>
            <w:r w:rsidRPr="005A0CE6">
              <w:rPr>
                <w:rStyle w:val="Hyperlink"/>
                <w:noProof/>
              </w:rPr>
              <w:t>impact agricultural technologies</w:t>
            </w:r>
            <w:r>
              <w:rPr>
                <w:noProof/>
                <w:webHidden/>
              </w:rPr>
              <w:tab/>
            </w:r>
            <w:r>
              <w:rPr>
                <w:noProof/>
                <w:webHidden/>
              </w:rPr>
              <w:fldChar w:fldCharType="begin"/>
            </w:r>
            <w:r>
              <w:rPr>
                <w:noProof/>
                <w:webHidden/>
              </w:rPr>
              <w:instrText xml:space="preserve"> PAGEREF _Toc229036253 \h </w:instrText>
            </w:r>
            <w:r>
              <w:rPr>
                <w:noProof/>
                <w:webHidden/>
              </w:rPr>
            </w:r>
            <w:r>
              <w:rPr>
                <w:noProof/>
                <w:webHidden/>
              </w:rPr>
              <w:fldChar w:fldCharType="separate"/>
            </w:r>
            <w:r w:rsidR="006D621C">
              <w:rPr>
                <w:noProof/>
                <w:webHidden/>
              </w:rPr>
              <w:t>90</w:t>
            </w:r>
            <w:r>
              <w:rPr>
                <w:noProof/>
                <w:webHidden/>
              </w:rPr>
              <w:fldChar w:fldCharType="end"/>
            </w:r>
          </w:hyperlink>
        </w:p>
        <w:p w14:paraId="199E479A" w14:textId="751F3BCF"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54" w:history="1">
            <w:r w:rsidRPr="005A0CE6">
              <w:rPr>
                <w:rStyle w:val="Hyperlink"/>
                <w:noProof/>
              </w:rPr>
              <w:t>8.3 Control and permitting of groundwater abstraction &amp; wastewater discharge</w:t>
            </w:r>
            <w:r>
              <w:rPr>
                <w:noProof/>
                <w:webHidden/>
              </w:rPr>
              <w:tab/>
            </w:r>
            <w:r>
              <w:rPr>
                <w:noProof/>
                <w:webHidden/>
              </w:rPr>
              <w:fldChar w:fldCharType="begin"/>
            </w:r>
            <w:r>
              <w:rPr>
                <w:noProof/>
                <w:webHidden/>
              </w:rPr>
              <w:instrText xml:space="preserve"> PAGEREF _Toc229036254 \h </w:instrText>
            </w:r>
            <w:r>
              <w:rPr>
                <w:noProof/>
                <w:webHidden/>
              </w:rPr>
            </w:r>
            <w:r>
              <w:rPr>
                <w:noProof/>
                <w:webHidden/>
              </w:rPr>
              <w:fldChar w:fldCharType="separate"/>
            </w:r>
            <w:r w:rsidR="006D621C">
              <w:rPr>
                <w:noProof/>
                <w:webHidden/>
              </w:rPr>
              <w:t>90</w:t>
            </w:r>
            <w:r>
              <w:rPr>
                <w:noProof/>
                <w:webHidden/>
              </w:rPr>
              <w:fldChar w:fldCharType="end"/>
            </w:r>
          </w:hyperlink>
        </w:p>
        <w:p w14:paraId="682DA946" w14:textId="0B0F0F34"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55" w:history="1">
            <w:r w:rsidRPr="005A0CE6">
              <w:rPr>
                <w:rStyle w:val="Hyperlink"/>
                <w:noProof/>
              </w:rPr>
              <w:t>8.3.1 Water use</w:t>
            </w:r>
            <w:r>
              <w:rPr>
                <w:noProof/>
                <w:webHidden/>
              </w:rPr>
              <w:tab/>
            </w:r>
            <w:r>
              <w:rPr>
                <w:noProof/>
                <w:webHidden/>
              </w:rPr>
              <w:fldChar w:fldCharType="begin"/>
            </w:r>
            <w:r>
              <w:rPr>
                <w:noProof/>
                <w:webHidden/>
              </w:rPr>
              <w:instrText xml:space="preserve"> PAGEREF _Toc229036255 \h </w:instrText>
            </w:r>
            <w:r>
              <w:rPr>
                <w:noProof/>
                <w:webHidden/>
              </w:rPr>
            </w:r>
            <w:r>
              <w:rPr>
                <w:noProof/>
                <w:webHidden/>
              </w:rPr>
              <w:fldChar w:fldCharType="separate"/>
            </w:r>
            <w:r w:rsidR="006D621C">
              <w:rPr>
                <w:noProof/>
                <w:webHidden/>
              </w:rPr>
              <w:t>91</w:t>
            </w:r>
            <w:r>
              <w:rPr>
                <w:noProof/>
                <w:webHidden/>
              </w:rPr>
              <w:fldChar w:fldCharType="end"/>
            </w:r>
          </w:hyperlink>
        </w:p>
        <w:p w14:paraId="3AC3C376" w14:textId="77FBADC7"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56" w:history="1">
            <w:r w:rsidRPr="005A0CE6">
              <w:rPr>
                <w:rStyle w:val="Hyperlink"/>
                <w:noProof/>
              </w:rPr>
              <w:t>8.3.2. Wastewater discharge</w:t>
            </w:r>
            <w:r>
              <w:rPr>
                <w:noProof/>
                <w:webHidden/>
              </w:rPr>
              <w:tab/>
            </w:r>
            <w:r>
              <w:rPr>
                <w:noProof/>
                <w:webHidden/>
              </w:rPr>
              <w:fldChar w:fldCharType="begin"/>
            </w:r>
            <w:r>
              <w:rPr>
                <w:noProof/>
                <w:webHidden/>
              </w:rPr>
              <w:instrText xml:space="preserve"> PAGEREF _Toc229036256 \h </w:instrText>
            </w:r>
            <w:r>
              <w:rPr>
                <w:noProof/>
                <w:webHidden/>
              </w:rPr>
            </w:r>
            <w:r>
              <w:rPr>
                <w:noProof/>
                <w:webHidden/>
              </w:rPr>
              <w:fldChar w:fldCharType="separate"/>
            </w:r>
            <w:r w:rsidR="006D621C">
              <w:rPr>
                <w:noProof/>
                <w:webHidden/>
              </w:rPr>
              <w:t>92</w:t>
            </w:r>
            <w:r>
              <w:rPr>
                <w:noProof/>
                <w:webHidden/>
              </w:rPr>
              <w:fldChar w:fldCharType="end"/>
            </w:r>
          </w:hyperlink>
        </w:p>
        <w:p w14:paraId="032E6854" w14:textId="6992EB4D"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57" w:history="1">
            <w:r w:rsidRPr="005A0CE6">
              <w:rPr>
                <w:rStyle w:val="Hyperlink"/>
                <w:noProof/>
              </w:rPr>
              <w:t>8.4 Conjunctive use of surface &amp; groundwater (Delta region)</w:t>
            </w:r>
            <w:r>
              <w:rPr>
                <w:noProof/>
                <w:webHidden/>
              </w:rPr>
              <w:tab/>
            </w:r>
            <w:r>
              <w:rPr>
                <w:noProof/>
                <w:webHidden/>
              </w:rPr>
              <w:fldChar w:fldCharType="begin"/>
            </w:r>
            <w:r>
              <w:rPr>
                <w:noProof/>
                <w:webHidden/>
              </w:rPr>
              <w:instrText xml:space="preserve"> PAGEREF _Toc229036257 \h </w:instrText>
            </w:r>
            <w:r>
              <w:rPr>
                <w:noProof/>
                <w:webHidden/>
              </w:rPr>
            </w:r>
            <w:r>
              <w:rPr>
                <w:noProof/>
                <w:webHidden/>
              </w:rPr>
              <w:fldChar w:fldCharType="separate"/>
            </w:r>
            <w:r w:rsidR="006D621C">
              <w:rPr>
                <w:noProof/>
                <w:webHidden/>
              </w:rPr>
              <w:t>93</w:t>
            </w:r>
            <w:r>
              <w:rPr>
                <w:noProof/>
                <w:webHidden/>
              </w:rPr>
              <w:fldChar w:fldCharType="end"/>
            </w:r>
          </w:hyperlink>
        </w:p>
        <w:p w14:paraId="2665058E" w14:textId="44960016"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58" w:history="1">
            <w:r w:rsidRPr="005A0CE6">
              <w:rPr>
                <w:rStyle w:val="Hyperlink"/>
                <w:noProof/>
              </w:rPr>
              <w:t>8.5 Community participation in groundwater governance</w:t>
            </w:r>
            <w:r>
              <w:rPr>
                <w:noProof/>
                <w:webHidden/>
              </w:rPr>
              <w:tab/>
            </w:r>
            <w:r>
              <w:rPr>
                <w:noProof/>
                <w:webHidden/>
              </w:rPr>
              <w:fldChar w:fldCharType="begin"/>
            </w:r>
            <w:r>
              <w:rPr>
                <w:noProof/>
                <w:webHidden/>
              </w:rPr>
              <w:instrText xml:space="preserve"> PAGEREF _Toc229036258 \h </w:instrText>
            </w:r>
            <w:r>
              <w:rPr>
                <w:noProof/>
                <w:webHidden/>
              </w:rPr>
            </w:r>
            <w:r>
              <w:rPr>
                <w:noProof/>
                <w:webHidden/>
              </w:rPr>
              <w:fldChar w:fldCharType="separate"/>
            </w:r>
            <w:r w:rsidR="006D621C">
              <w:rPr>
                <w:noProof/>
                <w:webHidden/>
              </w:rPr>
              <w:t>94</w:t>
            </w:r>
            <w:r>
              <w:rPr>
                <w:noProof/>
                <w:webHidden/>
              </w:rPr>
              <w:fldChar w:fldCharType="end"/>
            </w:r>
          </w:hyperlink>
        </w:p>
        <w:p w14:paraId="0C92E46B" w14:textId="6BEC9DF5"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59" w:history="1">
            <w:r w:rsidRPr="005A0CE6">
              <w:rPr>
                <w:rStyle w:val="Hyperlink"/>
                <w:noProof/>
              </w:rPr>
              <w:t>8.6 Communication strategy</w:t>
            </w:r>
            <w:r>
              <w:rPr>
                <w:noProof/>
                <w:webHidden/>
              </w:rPr>
              <w:tab/>
            </w:r>
            <w:r>
              <w:rPr>
                <w:noProof/>
                <w:webHidden/>
              </w:rPr>
              <w:fldChar w:fldCharType="begin"/>
            </w:r>
            <w:r>
              <w:rPr>
                <w:noProof/>
                <w:webHidden/>
              </w:rPr>
              <w:instrText xml:space="preserve"> PAGEREF _Toc229036259 \h </w:instrText>
            </w:r>
            <w:r>
              <w:rPr>
                <w:noProof/>
                <w:webHidden/>
              </w:rPr>
            </w:r>
            <w:r>
              <w:rPr>
                <w:noProof/>
                <w:webHidden/>
              </w:rPr>
              <w:fldChar w:fldCharType="separate"/>
            </w:r>
            <w:r w:rsidR="006D621C">
              <w:rPr>
                <w:noProof/>
                <w:webHidden/>
              </w:rPr>
              <w:t>95</w:t>
            </w:r>
            <w:r>
              <w:rPr>
                <w:noProof/>
                <w:webHidden/>
              </w:rPr>
              <w:fldChar w:fldCharType="end"/>
            </w:r>
          </w:hyperlink>
        </w:p>
        <w:p w14:paraId="7A51A074" w14:textId="6866D7F8"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60" w:history="1">
            <w:r w:rsidRPr="005A0CE6">
              <w:rPr>
                <w:rStyle w:val="Hyperlink"/>
                <w:noProof/>
              </w:rPr>
              <w:t>8.6.1 Strategic objectives</w:t>
            </w:r>
            <w:r>
              <w:rPr>
                <w:noProof/>
                <w:webHidden/>
              </w:rPr>
              <w:tab/>
            </w:r>
            <w:r>
              <w:rPr>
                <w:noProof/>
                <w:webHidden/>
              </w:rPr>
              <w:fldChar w:fldCharType="begin"/>
            </w:r>
            <w:r>
              <w:rPr>
                <w:noProof/>
                <w:webHidden/>
              </w:rPr>
              <w:instrText xml:space="preserve"> PAGEREF _Toc229036260 \h </w:instrText>
            </w:r>
            <w:r>
              <w:rPr>
                <w:noProof/>
                <w:webHidden/>
              </w:rPr>
            </w:r>
            <w:r>
              <w:rPr>
                <w:noProof/>
                <w:webHidden/>
              </w:rPr>
              <w:fldChar w:fldCharType="separate"/>
            </w:r>
            <w:r w:rsidR="006D621C">
              <w:rPr>
                <w:noProof/>
                <w:webHidden/>
              </w:rPr>
              <w:t>96</w:t>
            </w:r>
            <w:r>
              <w:rPr>
                <w:noProof/>
                <w:webHidden/>
              </w:rPr>
              <w:fldChar w:fldCharType="end"/>
            </w:r>
          </w:hyperlink>
        </w:p>
        <w:p w14:paraId="28857C33" w14:textId="38F0F55B"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61" w:history="1">
            <w:r w:rsidRPr="005A0CE6">
              <w:rPr>
                <w:rStyle w:val="Hyperlink"/>
                <w:noProof/>
              </w:rPr>
              <w:t>8.6.2. Key communication challenges</w:t>
            </w:r>
            <w:r>
              <w:rPr>
                <w:noProof/>
                <w:webHidden/>
              </w:rPr>
              <w:tab/>
            </w:r>
            <w:r>
              <w:rPr>
                <w:noProof/>
                <w:webHidden/>
              </w:rPr>
              <w:fldChar w:fldCharType="begin"/>
            </w:r>
            <w:r>
              <w:rPr>
                <w:noProof/>
                <w:webHidden/>
              </w:rPr>
              <w:instrText xml:space="preserve"> PAGEREF _Toc229036261 \h </w:instrText>
            </w:r>
            <w:r>
              <w:rPr>
                <w:noProof/>
                <w:webHidden/>
              </w:rPr>
            </w:r>
            <w:r>
              <w:rPr>
                <w:noProof/>
                <w:webHidden/>
              </w:rPr>
              <w:fldChar w:fldCharType="separate"/>
            </w:r>
            <w:r w:rsidR="006D621C">
              <w:rPr>
                <w:noProof/>
                <w:webHidden/>
              </w:rPr>
              <w:t>96</w:t>
            </w:r>
            <w:r>
              <w:rPr>
                <w:noProof/>
                <w:webHidden/>
              </w:rPr>
              <w:fldChar w:fldCharType="end"/>
            </w:r>
          </w:hyperlink>
        </w:p>
        <w:p w14:paraId="23FA8653" w14:textId="47CBEC47"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62" w:history="1">
            <w:r w:rsidRPr="005A0CE6">
              <w:rPr>
                <w:rStyle w:val="Hyperlink"/>
                <w:noProof/>
              </w:rPr>
              <w:t>8.6.3 Target audiences, roles, and focus</w:t>
            </w:r>
            <w:r>
              <w:rPr>
                <w:noProof/>
                <w:webHidden/>
              </w:rPr>
              <w:tab/>
            </w:r>
            <w:r>
              <w:rPr>
                <w:noProof/>
                <w:webHidden/>
              </w:rPr>
              <w:fldChar w:fldCharType="begin"/>
            </w:r>
            <w:r>
              <w:rPr>
                <w:noProof/>
                <w:webHidden/>
              </w:rPr>
              <w:instrText xml:space="preserve"> PAGEREF _Toc229036262 \h </w:instrText>
            </w:r>
            <w:r>
              <w:rPr>
                <w:noProof/>
                <w:webHidden/>
              </w:rPr>
            </w:r>
            <w:r>
              <w:rPr>
                <w:noProof/>
                <w:webHidden/>
              </w:rPr>
              <w:fldChar w:fldCharType="separate"/>
            </w:r>
            <w:r w:rsidR="006D621C">
              <w:rPr>
                <w:noProof/>
                <w:webHidden/>
              </w:rPr>
              <w:t>96</w:t>
            </w:r>
            <w:r>
              <w:rPr>
                <w:noProof/>
                <w:webHidden/>
              </w:rPr>
              <w:fldChar w:fldCharType="end"/>
            </w:r>
          </w:hyperlink>
        </w:p>
        <w:p w14:paraId="5CFFD0CD" w14:textId="6FD8CA6B"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63" w:history="1">
            <w:r w:rsidRPr="005A0CE6">
              <w:rPr>
                <w:rStyle w:val="Hyperlink"/>
                <w:noProof/>
              </w:rPr>
              <w:t>8.6.4 Guiding principles</w:t>
            </w:r>
            <w:r>
              <w:rPr>
                <w:noProof/>
                <w:webHidden/>
              </w:rPr>
              <w:tab/>
            </w:r>
            <w:r>
              <w:rPr>
                <w:noProof/>
                <w:webHidden/>
              </w:rPr>
              <w:fldChar w:fldCharType="begin"/>
            </w:r>
            <w:r>
              <w:rPr>
                <w:noProof/>
                <w:webHidden/>
              </w:rPr>
              <w:instrText xml:space="preserve"> PAGEREF _Toc229036263 \h </w:instrText>
            </w:r>
            <w:r>
              <w:rPr>
                <w:noProof/>
                <w:webHidden/>
              </w:rPr>
            </w:r>
            <w:r>
              <w:rPr>
                <w:noProof/>
                <w:webHidden/>
              </w:rPr>
              <w:fldChar w:fldCharType="separate"/>
            </w:r>
            <w:r w:rsidR="006D621C">
              <w:rPr>
                <w:noProof/>
                <w:webHidden/>
              </w:rPr>
              <w:t>97</w:t>
            </w:r>
            <w:r>
              <w:rPr>
                <w:noProof/>
                <w:webHidden/>
              </w:rPr>
              <w:fldChar w:fldCharType="end"/>
            </w:r>
          </w:hyperlink>
        </w:p>
        <w:p w14:paraId="5CFA4095" w14:textId="54EC3072"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64" w:history="1">
            <w:r w:rsidRPr="005A0CE6">
              <w:rPr>
                <w:rStyle w:val="Hyperlink"/>
                <w:noProof/>
              </w:rPr>
              <w:t>8.6.5 Key messages</w:t>
            </w:r>
            <w:r>
              <w:rPr>
                <w:noProof/>
                <w:webHidden/>
              </w:rPr>
              <w:tab/>
            </w:r>
            <w:r>
              <w:rPr>
                <w:noProof/>
                <w:webHidden/>
              </w:rPr>
              <w:fldChar w:fldCharType="begin"/>
            </w:r>
            <w:r>
              <w:rPr>
                <w:noProof/>
                <w:webHidden/>
              </w:rPr>
              <w:instrText xml:space="preserve"> PAGEREF _Toc229036264 \h </w:instrText>
            </w:r>
            <w:r>
              <w:rPr>
                <w:noProof/>
                <w:webHidden/>
              </w:rPr>
            </w:r>
            <w:r>
              <w:rPr>
                <w:noProof/>
                <w:webHidden/>
              </w:rPr>
              <w:fldChar w:fldCharType="separate"/>
            </w:r>
            <w:r w:rsidR="006D621C">
              <w:rPr>
                <w:noProof/>
                <w:webHidden/>
              </w:rPr>
              <w:t>97</w:t>
            </w:r>
            <w:r>
              <w:rPr>
                <w:noProof/>
                <w:webHidden/>
              </w:rPr>
              <w:fldChar w:fldCharType="end"/>
            </w:r>
          </w:hyperlink>
        </w:p>
        <w:p w14:paraId="078C747E" w14:textId="459C77E7"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65" w:history="1">
            <w:r w:rsidRPr="005A0CE6">
              <w:rPr>
                <w:rStyle w:val="Hyperlink"/>
                <w:noProof/>
              </w:rPr>
              <w:t>8.6.6 Coordination, products, and monitoring</w:t>
            </w:r>
            <w:r>
              <w:rPr>
                <w:noProof/>
                <w:webHidden/>
              </w:rPr>
              <w:tab/>
            </w:r>
            <w:r>
              <w:rPr>
                <w:noProof/>
                <w:webHidden/>
              </w:rPr>
              <w:fldChar w:fldCharType="begin"/>
            </w:r>
            <w:r>
              <w:rPr>
                <w:noProof/>
                <w:webHidden/>
              </w:rPr>
              <w:instrText xml:space="preserve"> PAGEREF _Toc229036265 \h </w:instrText>
            </w:r>
            <w:r>
              <w:rPr>
                <w:noProof/>
                <w:webHidden/>
              </w:rPr>
            </w:r>
            <w:r>
              <w:rPr>
                <w:noProof/>
                <w:webHidden/>
              </w:rPr>
              <w:fldChar w:fldCharType="separate"/>
            </w:r>
            <w:r w:rsidR="006D621C">
              <w:rPr>
                <w:noProof/>
                <w:webHidden/>
              </w:rPr>
              <w:t>98</w:t>
            </w:r>
            <w:r>
              <w:rPr>
                <w:noProof/>
                <w:webHidden/>
              </w:rPr>
              <w:fldChar w:fldCharType="end"/>
            </w:r>
          </w:hyperlink>
        </w:p>
        <w:p w14:paraId="325DA984" w14:textId="7C33C93B"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66" w:history="1">
            <w:r w:rsidRPr="005A0CE6">
              <w:rPr>
                <w:rStyle w:val="Hyperlink"/>
                <w:noProof/>
              </w:rPr>
              <w:t>8.7 Conflict resolution mechanisms</w:t>
            </w:r>
            <w:r>
              <w:rPr>
                <w:noProof/>
                <w:webHidden/>
              </w:rPr>
              <w:tab/>
            </w:r>
            <w:r>
              <w:rPr>
                <w:noProof/>
                <w:webHidden/>
              </w:rPr>
              <w:fldChar w:fldCharType="begin"/>
            </w:r>
            <w:r>
              <w:rPr>
                <w:noProof/>
                <w:webHidden/>
              </w:rPr>
              <w:instrText xml:space="preserve"> PAGEREF _Toc229036266 \h </w:instrText>
            </w:r>
            <w:r>
              <w:rPr>
                <w:noProof/>
                <w:webHidden/>
              </w:rPr>
            </w:r>
            <w:r>
              <w:rPr>
                <w:noProof/>
                <w:webHidden/>
              </w:rPr>
              <w:fldChar w:fldCharType="separate"/>
            </w:r>
            <w:r w:rsidR="006D621C">
              <w:rPr>
                <w:noProof/>
                <w:webHidden/>
              </w:rPr>
              <w:t>98</w:t>
            </w:r>
            <w:r>
              <w:rPr>
                <w:noProof/>
                <w:webHidden/>
              </w:rPr>
              <w:fldChar w:fldCharType="end"/>
            </w:r>
          </w:hyperlink>
        </w:p>
        <w:p w14:paraId="4E3CF914" w14:textId="6682312B"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67" w:history="1">
            <w:r w:rsidRPr="005A0CE6">
              <w:rPr>
                <w:rStyle w:val="Hyperlink"/>
                <w:rFonts w:cstheme="minorHAnsi"/>
                <w:noProof/>
              </w:rPr>
              <w:t>8.8 List of relevant indicators</w:t>
            </w:r>
            <w:r>
              <w:rPr>
                <w:noProof/>
                <w:webHidden/>
              </w:rPr>
              <w:tab/>
            </w:r>
            <w:r>
              <w:rPr>
                <w:noProof/>
                <w:webHidden/>
              </w:rPr>
              <w:fldChar w:fldCharType="begin"/>
            </w:r>
            <w:r>
              <w:rPr>
                <w:noProof/>
                <w:webHidden/>
              </w:rPr>
              <w:instrText xml:space="preserve"> PAGEREF _Toc229036267 \h </w:instrText>
            </w:r>
            <w:r>
              <w:rPr>
                <w:noProof/>
                <w:webHidden/>
              </w:rPr>
            </w:r>
            <w:r>
              <w:rPr>
                <w:noProof/>
                <w:webHidden/>
              </w:rPr>
              <w:fldChar w:fldCharType="separate"/>
            </w:r>
            <w:r w:rsidR="006D621C">
              <w:rPr>
                <w:noProof/>
                <w:webHidden/>
              </w:rPr>
              <w:t>99</w:t>
            </w:r>
            <w:r>
              <w:rPr>
                <w:noProof/>
                <w:webHidden/>
              </w:rPr>
              <w:fldChar w:fldCharType="end"/>
            </w:r>
          </w:hyperlink>
        </w:p>
        <w:p w14:paraId="142C6316" w14:textId="798842F0"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68" w:history="1">
            <w:r w:rsidRPr="005A0CE6">
              <w:rPr>
                <w:rStyle w:val="Hyperlink"/>
                <w:noProof/>
              </w:rPr>
              <w:t>8.8.1 Groundwater quantity indicators</w:t>
            </w:r>
            <w:r>
              <w:rPr>
                <w:noProof/>
                <w:webHidden/>
              </w:rPr>
              <w:tab/>
            </w:r>
            <w:r>
              <w:rPr>
                <w:noProof/>
                <w:webHidden/>
              </w:rPr>
              <w:fldChar w:fldCharType="begin"/>
            </w:r>
            <w:r>
              <w:rPr>
                <w:noProof/>
                <w:webHidden/>
              </w:rPr>
              <w:instrText xml:space="preserve"> PAGEREF _Toc229036268 \h </w:instrText>
            </w:r>
            <w:r>
              <w:rPr>
                <w:noProof/>
                <w:webHidden/>
              </w:rPr>
            </w:r>
            <w:r>
              <w:rPr>
                <w:noProof/>
                <w:webHidden/>
              </w:rPr>
              <w:fldChar w:fldCharType="separate"/>
            </w:r>
            <w:r w:rsidR="006D621C">
              <w:rPr>
                <w:noProof/>
                <w:webHidden/>
              </w:rPr>
              <w:t>99</w:t>
            </w:r>
            <w:r>
              <w:rPr>
                <w:noProof/>
                <w:webHidden/>
              </w:rPr>
              <w:fldChar w:fldCharType="end"/>
            </w:r>
          </w:hyperlink>
        </w:p>
        <w:p w14:paraId="05E20F46" w14:textId="038D37C5"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69" w:history="1">
            <w:r w:rsidRPr="005A0CE6">
              <w:rPr>
                <w:rStyle w:val="Hyperlink"/>
                <w:noProof/>
              </w:rPr>
              <w:t>8.8.2 Groundwater quality indicators</w:t>
            </w:r>
            <w:r>
              <w:rPr>
                <w:noProof/>
                <w:webHidden/>
              </w:rPr>
              <w:tab/>
            </w:r>
            <w:r>
              <w:rPr>
                <w:noProof/>
                <w:webHidden/>
              </w:rPr>
              <w:fldChar w:fldCharType="begin"/>
            </w:r>
            <w:r>
              <w:rPr>
                <w:noProof/>
                <w:webHidden/>
              </w:rPr>
              <w:instrText xml:space="preserve"> PAGEREF _Toc229036269 \h </w:instrText>
            </w:r>
            <w:r>
              <w:rPr>
                <w:noProof/>
                <w:webHidden/>
              </w:rPr>
            </w:r>
            <w:r>
              <w:rPr>
                <w:noProof/>
                <w:webHidden/>
              </w:rPr>
              <w:fldChar w:fldCharType="separate"/>
            </w:r>
            <w:r w:rsidR="006D621C">
              <w:rPr>
                <w:noProof/>
                <w:webHidden/>
              </w:rPr>
              <w:t>99</w:t>
            </w:r>
            <w:r>
              <w:rPr>
                <w:noProof/>
                <w:webHidden/>
              </w:rPr>
              <w:fldChar w:fldCharType="end"/>
            </w:r>
          </w:hyperlink>
        </w:p>
        <w:p w14:paraId="4C70A075" w14:textId="5416C77E"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70" w:history="1">
            <w:r w:rsidRPr="005A0CE6">
              <w:rPr>
                <w:rStyle w:val="Hyperlink"/>
                <w:noProof/>
              </w:rPr>
              <w:t>8.8.3 Pollution pressure indicators (land use impacts)</w:t>
            </w:r>
            <w:r>
              <w:rPr>
                <w:noProof/>
                <w:webHidden/>
              </w:rPr>
              <w:tab/>
            </w:r>
            <w:r>
              <w:rPr>
                <w:noProof/>
                <w:webHidden/>
              </w:rPr>
              <w:fldChar w:fldCharType="begin"/>
            </w:r>
            <w:r>
              <w:rPr>
                <w:noProof/>
                <w:webHidden/>
              </w:rPr>
              <w:instrText xml:space="preserve"> PAGEREF _Toc229036270 \h </w:instrText>
            </w:r>
            <w:r>
              <w:rPr>
                <w:noProof/>
                <w:webHidden/>
              </w:rPr>
            </w:r>
            <w:r>
              <w:rPr>
                <w:noProof/>
                <w:webHidden/>
              </w:rPr>
              <w:fldChar w:fldCharType="separate"/>
            </w:r>
            <w:r w:rsidR="006D621C">
              <w:rPr>
                <w:noProof/>
                <w:webHidden/>
              </w:rPr>
              <w:t>100</w:t>
            </w:r>
            <w:r>
              <w:rPr>
                <w:noProof/>
                <w:webHidden/>
              </w:rPr>
              <w:fldChar w:fldCharType="end"/>
            </w:r>
          </w:hyperlink>
        </w:p>
        <w:p w14:paraId="17C892E8" w14:textId="7C8DB771"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71" w:history="1">
            <w:r w:rsidRPr="005A0CE6">
              <w:rPr>
                <w:rStyle w:val="Hyperlink"/>
                <w:noProof/>
              </w:rPr>
              <w:t>8.8.4 Water use &amp; efficiency indicators</w:t>
            </w:r>
            <w:r>
              <w:rPr>
                <w:noProof/>
                <w:webHidden/>
              </w:rPr>
              <w:tab/>
            </w:r>
            <w:r>
              <w:rPr>
                <w:noProof/>
                <w:webHidden/>
              </w:rPr>
              <w:fldChar w:fldCharType="begin"/>
            </w:r>
            <w:r>
              <w:rPr>
                <w:noProof/>
                <w:webHidden/>
              </w:rPr>
              <w:instrText xml:space="preserve"> PAGEREF _Toc229036271 \h </w:instrText>
            </w:r>
            <w:r>
              <w:rPr>
                <w:noProof/>
                <w:webHidden/>
              </w:rPr>
            </w:r>
            <w:r>
              <w:rPr>
                <w:noProof/>
                <w:webHidden/>
              </w:rPr>
              <w:fldChar w:fldCharType="separate"/>
            </w:r>
            <w:r w:rsidR="006D621C">
              <w:rPr>
                <w:noProof/>
                <w:webHidden/>
              </w:rPr>
              <w:t>100</w:t>
            </w:r>
            <w:r>
              <w:rPr>
                <w:noProof/>
                <w:webHidden/>
              </w:rPr>
              <w:fldChar w:fldCharType="end"/>
            </w:r>
          </w:hyperlink>
        </w:p>
        <w:p w14:paraId="04B87F10" w14:textId="5C9BFCAB"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72" w:history="1">
            <w:r w:rsidRPr="005A0CE6">
              <w:rPr>
                <w:rStyle w:val="Hyperlink"/>
                <w:noProof/>
              </w:rPr>
              <w:t>8.8.5 Protection &amp; governance indicators</w:t>
            </w:r>
            <w:r>
              <w:rPr>
                <w:noProof/>
                <w:webHidden/>
              </w:rPr>
              <w:tab/>
            </w:r>
            <w:r>
              <w:rPr>
                <w:noProof/>
                <w:webHidden/>
              </w:rPr>
              <w:fldChar w:fldCharType="begin"/>
            </w:r>
            <w:r>
              <w:rPr>
                <w:noProof/>
                <w:webHidden/>
              </w:rPr>
              <w:instrText xml:space="preserve"> PAGEREF _Toc229036272 \h </w:instrText>
            </w:r>
            <w:r>
              <w:rPr>
                <w:noProof/>
                <w:webHidden/>
              </w:rPr>
            </w:r>
            <w:r>
              <w:rPr>
                <w:noProof/>
                <w:webHidden/>
              </w:rPr>
              <w:fldChar w:fldCharType="separate"/>
            </w:r>
            <w:r w:rsidR="006D621C">
              <w:rPr>
                <w:noProof/>
                <w:webHidden/>
              </w:rPr>
              <w:t>100</w:t>
            </w:r>
            <w:r>
              <w:rPr>
                <w:noProof/>
                <w:webHidden/>
              </w:rPr>
              <w:fldChar w:fldCharType="end"/>
            </w:r>
          </w:hyperlink>
        </w:p>
        <w:p w14:paraId="34EF45CE" w14:textId="118CA135"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73" w:history="1">
            <w:r w:rsidRPr="005A0CE6">
              <w:rPr>
                <w:rStyle w:val="Hyperlink"/>
                <w:noProof/>
              </w:rPr>
              <w:t>8.8.6 Ecosystem &amp; environmental indicators</w:t>
            </w:r>
            <w:r>
              <w:rPr>
                <w:noProof/>
                <w:webHidden/>
              </w:rPr>
              <w:tab/>
            </w:r>
            <w:r>
              <w:rPr>
                <w:noProof/>
                <w:webHidden/>
              </w:rPr>
              <w:fldChar w:fldCharType="begin"/>
            </w:r>
            <w:r>
              <w:rPr>
                <w:noProof/>
                <w:webHidden/>
              </w:rPr>
              <w:instrText xml:space="preserve"> PAGEREF _Toc229036273 \h </w:instrText>
            </w:r>
            <w:r>
              <w:rPr>
                <w:noProof/>
                <w:webHidden/>
              </w:rPr>
            </w:r>
            <w:r>
              <w:rPr>
                <w:noProof/>
                <w:webHidden/>
              </w:rPr>
              <w:fldChar w:fldCharType="separate"/>
            </w:r>
            <w:r w:rsidR="006D621C">
              <w:rPr>
                <w:noProof/>
                <w:webHidden/>
              </w:rPr>
              <w:t>100</w:t>
            </w:r>
            <w:r>
              <w:rPr>
                <w:noProof/>
                <w:webHidden/>
              </w:rPr>
              <w:fldChar w:fldCharType="end"/>
            </w:r>
          </w:hyperlink>
        </w:p>
        <w:p w14:paraId="5A55C421" w14:textId="3B05B795"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74" w:history="1">
            <w:r w:rsidRPr="005A0CE6">
              <w:rPr>
                <w:rStyle w:val="Hyperlink"/>
                <w:noProof/>
              </w:rPr>
              <w:t>8.8.7 Climate resilience indicators</w:t>
            </w:r>
            <w:r>
              <w:rPr>
                <w:noProof/>
                <w:webHidden/>
              </w:rPr>
              <w:tab/>
            </w:r>
            <w:r>
              <w:rPr>
                <w:noProof/>
                <w:webHidden/>
              </w:rPr>
              <w:fldChar w:fldCharType="begin"/>
            </w:r>
            <w:r>
              <w:rPr>
                <w:noProof/>
                <w:webHidden/>
              </w:rPr>
              <w:instrText xml:space="preserve"> PAGEREF _Toc229036274 \h </w:instrText>
            </w:r>
            <w:r>
              <w:rPr>
                <w:noProof/>
                <w:webHidden/>
              </w:rPr>
            </w:r>
            <w:r>
              <w:rPr>
                <w:noProof/>
                <w:webHidden/>
              </w:rPr>
              <w:fldChar w:fldCharType="separate"/>
            </w:r>
            <w:r w:rsidR="006D621C">
              <w:rPr>
                <w:noProof/>
                <w:webHidden/>
              </w:rPr>
              <w:t>100</w:t>
            </w:r>
            <w:r>
              <w:rPr>
                <w:noProof/>
                <w:webHidden/>
              </w:rPr>
              <w:fldChar w:fldCharType="end"/>
            </w:r>
          </w:hyperlink>
        </w:p>
        <w:p w14:paraId="27520D17" w14:textId="4522C797" w:rsidR="009B25D8" w:rsidRDefault="009B25D8">
          <w:pPr>
            <w:pStyle w:val="TOC1"/>
            <w:tabs>
              <w:tab w:val="right" w:leader="dot" w:pos="9016"/>
            </w:tabs>
            <w:rPr>
              <w:rFonts w:eastAsiaTheme="minorEastAsia"/>
              <w:noProof/>
              <w:kern w:val="2"/>
              <w:sz w:val="24"/>
              <w:szCs w:val="24"/>
              <w:lang w:val="hr-HR" w:eastAsia="hr-HR"/>
              <w14:ligatures w14:val="standardContextual"/>
            </w:rPr>
          </w:pPr>
          <w:hyperlink w:anchor="_Toc229036275" w:history="1">
            <w:r w:rsidRPr="005A0CE6">
              <w:rPr>
                <w:rStyle w:val="Hyperlink"/>
                <w:noProof/>
              </w:rPr>
              <w:t>9. Preventive protection measures</w:t>
            </w:r>
            <w:r>
              <w:rPr>
                <w:noProof/>
                <w:webHidden/>
              </w:rPr>
              <w:tab/>
            </w:r>
            <w:r>
              <w:rPr>
                <w:noProof/>
                <w:webHidden/>
              </w:rPr>
              <w:fldChar w:fldCharType="begin"/>
            </w:r>
            <w:r>
              <w:rPr>
                <w:noProof/>
                <w:webHidden/>
              </w:rPr>
              <w:instrText xml:space="preserve"> PAGEREF _Toc229036275 \h </w:instrText>
            </w:r>
            <w:r>
              <w:rPr>
                <w:noProof/>
                <w:webHidden/>
              </w:rPr>
            </w:r>
            <w:r>
              <w:rPr>
                <w:noProof/>
                <w:webHidden/>
              </w:rPr>
              <w:fldChar w:fldCharType="separate"/>
            </w:r>
            <w:r w:rsidR="006D621C">
              <w:rPr>
                <w:noProof/>
                <w:webHidden/>
              </w:rPr>
              <w:t>100</w:t>
            </w:r>
            <w:r>
              <w:rPr>
                <w:noProof/>
                <w:webHidden/>
              </w:rPr>
              <w:fldChar w:fldCharType="end"/>
            </w:r>
          </w:hyperlink>
        </w:p>
        <w:p w14:paraId="11CD02CD" w14:textId="27E78048"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76" w:history="1">
            <w:r w:rsidRPr="005A0CE6">
              <w:rPr>
                <w:rStyle w:val="Hyperlink"/>
                <w:bCs/>
                <w:noProof/>
              </w:rPr>
              <w:t>9.1 Groundwater vulnerability, hazard and risks maps</w:t>
            </w:r>
            <w:r>
              <w:rPr>
                <w:noProof/>
                <w:webHidden/>
              </w:rPr>
              <w:tab/>
            </w:r>
            <w:r>
              <w:rPr>
                <w:noProof/>
                <w:webHidden/>
              </w:rPr>
              <w:fldChar w:fldCharType="begin"/>
            </w:r>
            <w:r>
              <w:rPr>
                <w:noProof/>
                <w:webHidden/>
              </w:rPr>
              <w:instrText xml:space="preserve"> PAGEREF _Toc229036276 \h </w:instrText>
            </w:r>
            <w:r>
              <w:rPr>
                <w:noProof/>
                <w:webHidden/>
              </w:rPr>
            </w:r>
            <w:r>
              <w:rPr>
                <w:noProof/>
                <w:webHidden/>
              </w:rPr>
              <w:fldChar w:fldCharType="separate"/>
            </w:r>
            <w:r w:rsidR="006D621C">
              <w:rPr>
                <w:noProof/>
                <w:webHidden/>
              </w:rPr>
              <w:t>101</w:t>
            </w:r>
            <w:r>
              <w:rPr>
                <w:noProof/>
                <w:webHidden/>
              </w:rPr>
              <w:fldChar w:fldCharType="end"/>
            </w:r>
          </w:hyperlink>
        </w:p>
        <w:p w14:paraId="00F124FA" w14:textId="2DD81D84"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77" w:history="1">
            <w:r w:rsidRPr="005A0CE6">
              <w:rPr>
                <w:rStyle w:val="Hyperlink"/>
                <w:noProof/>
              </w:rPr>
              <w:t>9.1.1 Vulnerability</w:t>
            </w:r>
            <w:r>
              <w:rPr>
                <w:noProof/>
                <w:webHidden/>
              </w:rPr>
              <w:tab/>
            </w:r>
            <w:r>
              <w:rPr>
                <w:noProof/>
                <w:webHidden/>
              </w:rPr>
              <w:fldChar w:fldCharType="begin"/>
            </w:r>
            <w:r>
              <w:rPr>
                <w:noProof/>
                <w:webHidden/>
              </w:rPr>
              <w:instrText xml:space="preserve"> PAGEREF _Toc229036277 \h </w:instrText>
            </w:r>
            <w:r>
              <w:rPr>
                <w:noProof/>
                <w:webHidden/>
              </w:rPr>
            </w:r>
            <w:r>
              <w:rPr>
                <w:noProof/>
                <w:webHidden/>
              </w:rPr>
              <w:fldChar w:fldCharType="separate"/>
            </w:r>
            <w:r w:rsidR="006D621C">
              <w:rPr>
                <w:noProof/>
                <w:webHidden/>
              </w:rPr>
              <w:t>101</w:t>
            </w:r>
            <w:r>
              <w:rPr>
                <w:noProof/>
                <w:webHidden/>
              </w:rPr>
              <w:fldChar w:fldCharType="end"/>
            </w:r>
          </w:hyperlink>
        </w:p>
        <w:p w14:paraId="3E244EA1" w14:textId="7B0F55EB"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78" w:history="1">
            <w:r w:rsidRPr="005A0CE6">
              <w:rPr>
                <w:rStyle w:val="Hyperlink"/>
                <w:noProof/>
              </w:rPr>
              <w:t>9.1.2 Hazard</w:t>
            </w:r>
            <w:r>
              <w:rPr>
                <w:noProof/>
                <w:webHidden/>
              </w:rPr>
              <w:tab/>
            </w:r>
            <w:r>
              <w:rPr>
                <w:noProof/>
                <w:webHidden/>
              </w:rPr>
              <w:fldChar w:fldCharType="begin"/>
            </w:r>
            <w:r>
              <w:rPr>
                <w:noProof/>
                <w:webHidden/>
              </w:rPr>
              <w:instrText xml:space="preserve"> PAGEREF _Toc229036278 \h </w:instrText>
            </w:r>
            <w:r>
              <w:rPr>
                <w:noProof/>
                <w:webHidden/>
              </w:rPr>
            </w:r>
            <w:r>
              <w:rPr>
                <w:noProof/>
                <w:webHidden/>
              </w:rPr>
              <w:fldChar w:fldCharType="separate"/>
            </w:r>
            <w:r w:rsidR="006D621C">
              <w:rPr>
                <w:noProof/>
                <w:webHidden/>
              </w:rPr>
              <w:t>103</w:t>
            </w:r>
            <w:r>
              <w:rPr>
                <w:noProof/>
                <w:webHidden/>
              </w:rPr>
              <w:fldChar w:fldCharType="end"/>
            </w:r>
          </w:hyperlink>
        </w:p>
        <w:p w14:paraId="11E95F18" w14:textId="7DC4265B"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79" w:history="1">
            <w:r w:rsidRPr="005A0CE6">
              <w:rPr>
                <w:rStyle w:val="Hyperlink"/>
                <w:noProof/>
              </w:rPr>
              <w:t>9.1.3 Risk</w:t>
            </w:r>
            <w:r>
              <w:rPr>
                <w:noProof/>
                <w:webHidden/>
              </w:rPr>
              <w:tab/>
            </w:r>
            <w:r>
              <w:rPr>
                <w:noProof/>
                <w:webHidden/>
              </w:rPr>
              <w:fldChar w:fldCharType="begin"/>
            </w:r>
            <w:r>
              <w:rPr>
                <w:noProof/>
                <w:webHidden/>
              </w:rPr>
              <w:instrText xml:space="preserve"> PAGEREF _Toc229036279 \h </w:instrText>
            </w:r>
            <w:r>
              <w:rPr>
                <w:noProof/>
                <w:webHidden/>
              </w:rPr>
            </w:r>
            <w:r>
              <w:rPr>
                <w:noProof/>
                <w:webHidden/>
              </w:rPr>
              <w:fldChar w:fldCharType="separate"/>
            </w:r>
            <w:r w:rsidR="006D621C">
              <w:rPr>
                <w:noProof/>
                <w:webHidden/>
              </w:rPr>
              <w:t>103</w:t>
            </w:r>
            <w:r>
              <w:rPr>
                <w:noProof/>
                <w:webHidden/>
              </w:rPr>
              <w:fldChar w:fldCharType="end"/>
            </w:r>
          </w:hyperlink>
        </w:p>
        <w:p w14:paraId="40F1CA2D" w14:textId="4FCC9742"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80" w:history="1">
            <w:r w:rsidRPr="005A0CE6">
              <w:rPr>
                <w:rStyle w:val="Hyperlink"/>
                <w:noProof/>
              </w:rPr>
              <w:t>9.2 Guidelines for harmonization of criteria for delineation and types of measures in sanitary protection zones</w:t>
            </w:r>
            <w:r>
              <w:rPr>
                <w:noProof/>
                <w:webHidden/>
              </w:rPr>
              <w:tab/>
            </w:r>
            <w:r>
              <w:rPr>
                <w:noProof/>
                <w:webHidden/>
              </w:rPr>
              <w:fldChar w:fldCharType="begin"/>
            </w:r>
            <w:r>
              <w:rPr>
                <w:noProof/>
                <w:webHidden/>
              </w:rPr>
              <w:instrText xml:space="preserve"> PAGEREF _Toc229036280 \h </w:instrText>
            </w:r>
            <w:r>
              <w:rPr>
                <w:noProof/>
                <w:webHidden/>
              </w:rPr>
            </w:r>
            <w:r>
              <w:rPr>
                <w:noProof/>
                <w:webHidden/>
              </w:rPr>
              <w:fldChar w:fldCharType="separate"/>
            </w:r>
            <w:r w:rsidR="006D621C">
              <w:rPr>
                <w:noProof/>
                <w:webHidden/>
              </w:rPr>
              <w:t>104</w:t>
            </w:r>
            <w:r>
              <w:rPr>
                <w:noProof/>
                <w:webHidden/>
              </w:rPr>
              <w:fldChar w:fldCharType="end"/>
            </w:r>
          </w:hyperlink>
        </w:p>
        <w:p w14:paraId="16E5EB81" w14:textId="2EF37797"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81" w:history="1">
            <w:r w:rsidRPr="005A0CE6">
              <w:rPr>
                <w:rStyle w:val="Hyperlink"/>
                <w:noProof/>
              </w:rPr>
              <w:t>9.3 Regulation, guidelines and risk-based criteria for subsurface wastewater discharge</w:t>
            </w:r>
            <w:r>
              <w:rPr>
                <w:noProof/>
                <w:webHidden/>
              </w:rPr>
              <w:tab/>
            </w:r>
            <w:r>
              <w:rPr>
                <w:noProof/>
                <w:webHidden/>
              </w:rPr>
              <w:fldChar w:fldCharType="begin"/>
            </w:r>
            <w:r>
              <w:rPr>
                <w:noProof/>
                <w:webHidden/>
              </w:rPr>
              <w:instrText xml:space="preserve"> PAGEREF _Toc229036281 \h </w:instrText>
            </w:r>
            <w:r>
              <w:rPr>
                <w:noProof/>
                <w:webHidden/>
              </w:rPr>
            </w:r>
            <w:r>
              <w:rPr>
                <w:noProof/>
                <w:webHidden/>
              </w:rPr>
              <w:fldChar w:fldCharType="separate"/>
            </w:r>
            <w:r w:rsidR="006D621C">
              <w:rPr>
                <w:noProof/>
                <w:webHidden/>
              </w:rPr>
              <w:t>108</w:t>
            </w:r>
            <w:r>
              <w:rPr>
                <w:noProof/>
                <w:webHidden/>
              </w:rPr>
              <w:fldChar w:fldCharType="end"/>
            </w:r>
          </w:hyperlink>
        </w:p>
        <w:p w14:paraId="0D886E76" w14:textId="1E3615D7"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82" w:history="1">
            <w:r w:rsidRPr="005A0CE6">
              <w:rPr>
                <w:rStyle w:val="Hyperlink"/>
                <w:noProof/>
              </w:rPr>
              <w:t>9.4 Prevention and control of point and non-point pollution affecting groundwater quality</w:t>
            </w:r>
            <w:r>
              <w:rPr>
                <w:noProof/>
                <w:webHidden/>
              </w:rPr>
              <w:tab/>
            </w:r>
            <w:r>
              <w:rPr>
                <w:noProof/>
                <w:webHidden/>
              </w:rPr>
              <w:fldChar w:fldCharType="begin"/>
            </w:r>
            <w:r>
              <w:rPr>
                <w:noProof/>
                <w:webHidden/>
              </w:rPr>
              <w:instrText xml:space="preserve"> PAGEREF _Toc229036282 \h </w:instrText>
            </w:r>
            <w:r>
              <w:rPr>
                <w:noProof/>
                <w:webHidden/>
              </w:rPr>
            </w:r>
            <w:r>
              <w:rPr>
                <w:noProof/>
                <w:webHidden/>
              </w:rPr>
              <w:fldChar w:fldCharType="separate"/>
            </w:r>
            <w:r w:rsidR="006D621C">
              <w:rPr>
                <w:noProof/>
                <w:webHidden/>
              </w:rPr>
              <w:t>115</w:t>
            </w:r>
            <w:r>
              <w:rPr>
                <w:noProof/>
                <w:webHidden/>
              </w:rPr>
              <w:fldChar w:fldCharType="end"/>
            </w:r>
          </w:hyperlink>
        </w:p>
        <w:p w14:paraId="460259FE" w14:textId="7A3654CB"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83" w:history="1">
            <w:r w:rsidRPr="005A0CE6">
              <w:rPr>
                <w:rStyle w:val="Hyperlink"/>
                <w:noProof/>
              </w:rPr>
              <w:t>9.4.1 Control measures for point sources of pollution</w:t>
            </w:r>
            <w:r>
              <w:rPr>
                <w:noProof/>
                <w:webHidden/>
              </w:rPr>
              <w:tab/>
            </w:r>
            <w:r>
              <w:rPr>
                <w:noProof/>
                <w:webHidden/>
              </w:rPr>
              <w:fldChar w:fldCharType="begin"/>
            </w:r>
            <w:r>
              <w:rPr>
                <w:noProof/>
                <w:webHidden/>
              </w:rPr>
              <w:instrText xml:space="preserve"> PAGEREF _Toc229036283 \h </w:instrText>
            </w:r>
            <w:r>
              <w:rPr>
                <w:noProof/>
                <w:webHidden/>
              </w:rPr>
            </w:r>
            <w:r>
              <w:rPr>
                <w:noProof/>
                <w:webHidden/>
              </w:rPr>
              <w:fldChar w:fldCharType="separate"/>
            </w:r>
            <w:r w:rsidR="006D621C">
              <w:rPr>
                <w:noProof/>
                <w:webHidden/>
              </w:rPr>
              <w:t>115</w:t>
            </w:r>
            <w:r>
              <w:rPr>
                <w:noProof/>
                <w:webHidden/>
              </w:rPr>
              <w:fldChar w:fldCharType="end"/>
            </w:r>
          </w:hyperlink>
        </w:p>
        <w:p w14:paraId="634336CB" w14:textId="26406926"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84" w:history="1">
            <w:r w:rsidRPr="005A0CE6">
              <w:rPr>
                <w:rStyle w:val="Hyperlink"/>
                <w:noProof/>
              </w:rPr>
              <w:t>9.4.2 Control measures for non-point sources of pollution</w:t>
            </w:r>
            <w:r>
              <w:rPr>
                <w:noProof/>
                <w:webHidden/>
              </w:rPr>
              <w:tab/>
            </w:r>
            <w:r>
              <w:rPr>
                <w:noProof/>
                <w:webHidden/>
              </w:rPr>
              <w:fldChar w:fldCharType="begin"/>
            </w:r>
            <w:r>
              <w:rPr>
                <w:noProof/>
                <w:webHidden/>
              </w:rPr>
              <w:instrText xml:space="preserve"> PAGEREF _Toc229036284 \h </w:instrText>
            </w:r>
            <w:r>
              <w:rPr>
                <w:noProof/>
                <w:webHidden/>
              </w:rPr>
            </w:r>
            <w:r>
              <w:rPr>
                <w:noProof/>
                <w:webHidden/>
              </w:rPr>
              <w:fldChar w:fldCharType="separate"/>
            </w:r>
            <w:r w:rsidR="006D621C">
              <w:rPr>
                <w:noProof/>
                <w:webHidden/>
              </w:rPr>
              <w:t>116</w:t>
            </w:r>
            <w:r>
              <w:rPr>
                <w:noProof/>
                <w:webHidden/>
              </w:rPr>
              <w:fldChar w:fldCharType="end"/>
            </w:r>
          </w:hyperlink>
        </w:p>
        <w:p w14:paraId="2499FB90" w14:textId="1DDAE448"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85" w:history="1">
            <w:r w:rsidRPr="005A0CE6">
              <w:rPr>
                <w:rStyle w:val="Hyperlink"/>
                <w:noProof/>
              </w:rPr>
              <w:t>9.5 Prevention and control of groundwater abstraction affecting groundwater quantity</w:t>
            </w:r>
            <w:r>
              <w:rPr>
                <w:noProof/>
                <w:webHidden/>
              </w:rPr>
              <w:tab/>
            </w:r>
            <w:r>
              <w:rPr>
                <w:noProof/>
                <w:webHidden/>
              </w:rPr>
              <w:fldChar w:fldCharType="begin"/>
            </w:r>
            <w:r>
              <w:rPr>
                <w:noProof/>
                <w:webHidden/>
              </w:rPr>
              <w:instrText xml:space="preserve"> PAGEREF _Toc229036285 \h </w:instrText>
            </w:r>
            <w:r>
              <w:rPr>
                <w:noProof/>
                <w:webHidden/>
              </w:rPr>
            </w:r>
            <w:r>
              <w:rPr>
                <w:noProof/>
                <w:webHidden/>
              </w:rPr>
              <w:fldChar w:fldCharType="separate"/>
            </w:r>
            <w:r w:rsidR="006D621C">
              <w:rPr>
                <w:noProof/>
                <w:webHidden/>
              </w:rPr>
              <w:t>117</w:t>
            </w:r>
            <w:r>
              <w:rPr>
                <w:noProof/>
                <w:webHidden/>
              </w:rPr>
              <w:fldChar w:fldCharType="end"/>
            </w:r>
          </w:hyperlink>
        </w:p>
        <w:p w14:paraId="425499C8" w14:textId="177D993E"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86" w:history="1">
            <w:r w:rsidRPr="005A0CE6">
              <w:rPr>
                <w:rStyle w:val="Hyperlink"/>
                <w:noProof/>
              </w:rPr>
              <w:t>9.6 Land</w:t>
            </w:r>
            <w:r w:rsidRPr="005A0CE6">
              <w:rPr>
                <w:rStyle w:val="Hyperlink"/>
                <w:rFonts w:ascii="Cambria Math" w:hAnsi="Cambria Math" w:cs="Cambria Math"/>
                <w:noProof/>
              </w:rPr>
              <w:t>‑</w:t>
            </w:r>
            <w:r w:rsidRPr="005A0CE6">
              <w:rPr>
                <w:rStyle w:val="Hyperlink"/>
                <w:noProof/>
              </w:rPr>
              <w:t>use planning tools for groundwater vulnerability mitigation</w:t>
            </w:r>
            <w:r>
              <w:rPr>
                <w:noProof/>
                <w:webHidden/>
              </w:rPr>
              <w:tab/>
            </w:r>
            <w:r>
              <w:rPr>
                <w:noProof/>
                <w:webHidden/>
              </w:rPr>
              <w:fldChar w:fldCharType="begin"/>
            </w:r>
            <w:r>
              <w:rPr>
                <w:noProof/>
                <w:webHidden/>
              </w:rPr>
              <w:instrText xml:space="preserve"> PAGEREF _Toc229036286 \h </w:instrText>
            </w:r>
            <w:r>
              <w:rPr>
                <w:noProof/>
                <w:webHidden/>
              </w:rPr>
            </w:r>
            <w:r>
              <w:rPr>
                <w:noProof/>
                <w:webHidden/>
              </w:rPr>
              <w:fldChar w:fldCharType="separate"/>
            </w:r>
            <w:r w:rsidR="006D621C">
              <w:rPr>
                <w:noProof/>
                <w:webHidden/>
              </w:rPr>
              <w:t>119</w:t>
            </w:r>
            <w:r>
              <w:rPr>
                <w:noProof/>
                <w:webHidden/>
              </w:rPr>
              <w:fldChar w:fldCharType="end"/>
            </w:r>
          </w:hyperlink>
        </w:p>
        <w:p w14:paraId="429C58A9" w14:textId="071406E7"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287" w:history="1">
            <w:r w:rsidRPr="005A0CE6">
              <w:rPr>
                <w:rStyle w:val="Hyperlink"/>
                <w:noProof/>
              </w:rPr>
              <w:t>9.6.1 Key spatial planning instruments</w:t>
            </w:r>
            <w:r>
              <w:rPr>
                <w:noProof/>
                <w:webHidden/>
              </w:rPr>
              <w:tab/>
            </w:r>
            <w:r>
              <w:rPr>
                <w:noProof/>
                <w:webHidden/>
              </w:rPr>
              <w:fldChar w:fldCharType="begin"/>
            </w:r>
            <w:r>
              <w:rPr>
                <w:noProof/>
                <w:webHidden/>
              </w:rPr>
              <w:instrText xml:space="preserve"> PAGEREF _Toc229036287 \h </w:instrText>
            </w:r>
            <w:r>
              <w:rPr>
                <w:noProof/>
                <w:webHidden/>
              </w:rPr>
            </w:r>
            <w:r>
              <w:rPr>
                <w:noProof/>
                <w:webHidden/>
              </w:rPr>
              <w:fldChar w:fldCharType="separate"/>
            </w:r>
            <w:r w:rsidR="006D621C">
              <w:rPr>
                <w:noProof/>
                <w:webHidden/>
              </w:rPr>
              <w:t>119</w:t>
            </w:r>
            <w:r>
              <w:rPr>
                <w:noProof/>
                <w:webHidden/>
              </w:rPr>
              <w:fldChar w:fldCharType="end"/>
            </w:r>
          </w:hyperlink>
        </w:p>
        <w:p w14:paraId="03021E6B" w14:textId="5159A44C" w:rsidR="009B25D8" w:rsidRDefault="009B25D8">
          <w:pPr>
            <w:pStyle w:val="TOC1"/>
            <w:tabs>
              <w:tab w:val="right" w:leader="dot" w:pos="9016"/>
            </w:tabs>
            <w:rPr>
              <w:rFonts w:eastAsiaTheme="minorEastAsia"/>
              <w:noProof/>
              <w:kern w:val="2"/>
              <w:sz w:val="24"/>
              <w:szCs w:val="24"/>
              <w:lang w:val="hr-HR" w:eastAsia="hr-HR"/>
              <w14:ligatures w14:val="standardContextual"/>
            </w:rPr>
          </w:pPr>
          <w:hyperlink w:anchor="_Toc229036288" w:history="1">
            <w:r w:rsidRPr="005A0CE6">
              <w:rPr>
                <w:rStyle w:val="Hyperlink"/>
                <w:bCs/>
                <w:noProof/>
              </w:rPr>
              <w:t xml:space="preserve">10. </w:t>
            </w:r>
            <w:r w:rsidRPr="005A0CE6">
              <w:rPr>
                <w:rStyle w:val="Hyperlink"/>
                <w:noProof/>
              </w:rPr>
              <w:t>Development of multi-purpose monitoring networks of surface water, groundwater and groundwater-dependent ecosystems</w:t>
            </w:r>
            <w:r>
              <w:rPr>
                <w:noProof/>
                <w:webHidden/>
              </w:rPr>
              <w:tab/>
            </w:r>
            <w:r>
              <w:rPr>
                <w:noProof/>
                <w:webHidden/>
              </w:rPr>
              <w:fldChar w:fldCharType="begin"/>
            </w:r>
            <w:r>
              <w:rPr>
                <w:noProof/>
                <w:webHidden/>
              </w:rPr>
              <w:instrText xml:space="preserve"> PAGEREF _Toc229036288 \h </w:instrText>
            </w:r>
            <w:r>
              <w:rPr>
                <w:noProof/>
                <w:webHidden/>
              </w:rPr>
            </w:r>
            <w:r>
              <w:rPr>
                <w:noProof/>
                <w:webHidden/>
              </w:rPr>
              <w:fldChar w:fldCharType="separate"/>
            </w:r>
            <w:r w:rsidR="006D621C">
              <w:rPr>
                <w:noProof/>
                <w:webHidden/>
              </w:rPr>
              <w:t>121</w:t>
            </w:r>
            <w:r>
              <w:rPr>
                <w:noProof/>
                <w:webHidden/>
              </w:rPr>
              <w:fldChar w:fldCharType="end"/>
            </w:r>
          </w:hyperlink>
        </w:p>
        <w:p w14:paraId="0355AC3E" w14:textId="73E34C4B"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89" w:history="1">
            <w:r w:rsidRPr="005A0CE6">
              <w:rPr>
                <w:rStyle w:val="Hyperlink"/>
                <w:noProof/>
              </w:rPr>
              <w:t>10.1 Context and objectives of multi-purpose monitoring networks</w:t>
            </w:r>
            <w:r>
              <w:rPr>
                <w:noProof/>
                <w:webHidden/>
              </w:rPr>
              <w:tab/>
            </w:r>
            <w:r>
              <w:rPr>
                <w:noProof/>
                <w:webHidden/>
              </w:rPr>
              <w:fldChar w:fldCharType="begin"/>
            </w:r>
            <w:r>
              <w:rPr>
                <w:noProof/>
                <w:webHidden/>
              </w:rPr>
              <w:instrText xml:space="preserve"> PAGEREF _Toc229036289 \h </w:instrText>
            </w:r>
            <w:r>
              <w:rPr>
                <w:noProof/>
                <w:webHidden/>
              </w:rPr>
            </w:r>
            <w:r>
              <w:rPr>
                <w:noProof/>
                <w:webHidden/>
              </w:rPr>
              <w:fldChar w:fldCharType="separate"/>
            </w:r>
            <w:r w:rsidR="006D621C">
              <w:rPr>
                <w:noProof/>
                <w:webHidden/>
              </w:rPr>
              <w:t>121</w:t>
            </w:r>
            <w:r>
              <w:rPr>
                <w:noProof/>
                <w:webHidden/>
              </w:rPr>
              <w:fldChar w:fldCharType="end"/>
            </w:r>
          </w:hyperlink>
        </w:p>
        <w:p w14:paraId="08BD70F0" w14:textId="0B78EEF1"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90" w:history="1">
            <w:r w:rsidRPr="005A0CE6">
              <w:rPr>
                <w:rStyle w:val="Hyperlink"/>
                <w:noProof/>
              </w:rPr>
              <w:t>10.2 Legal and policy background</w:t>
            </w:r>
            <w:r>
              <w:rPr>
                <w:noProof/>
                <w:webHidden/>
              </w:rPr>
              <w:tab/>
            </w:r>
            <w:r>
              <w:rPr>
                <w:noProof/>
                <w:webHidden/>
              </w:rPr>
              <w:fldChar w:fldCharType="begin"/>
            </w:r>
            <w:r>
              <w:rPr>
                <w:noProof/>
                <w:webHidden/>
              </w:rPr>
              <w:instrText xml:space="preserve"> PAGEREF _Toc229036290 \h </w:instrText>
            </w:r>
            <w:r>
              <w:rPr>
                <w:noProof/>
                <w:webHidden/>
              </w:rPr>
            </w:r>
            <w:r>
              <w:rPr>
                <w:noProof/>
                <w:webHidden/>
              </w:rPr>
              <w:fldChar w:fldCharType="separate"/>
            </w:r>
            <w:r w:rsidR="006D621C">
              <w:rPr>
                <w:noProof/>
                <w:webHidden/>
              </w:rPr>
              <w:t>122</w:t>
            </w:r>
            <w:r>
              <w:rPr>
                <w:noProof/>
                <w:webHidden/>
              </w:rPr>
              <w:fldChar w:fldCharType="end"/>
            </w:r>
          </w:hyperlink>
        </w:p>
        <w:p w14:paraId="66A26A51" w14:textId="19418925"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91" w:history="1">
            <w:r w:rsidRPr="005A0CE6">
              <w:rPr>
                <w:rStyle w:val="Hyperlink"/>
                <w:noProof/>
              </w:rPr>
              <w:t>10.3 Joint management targets and priorities</w:t>
            </w:r>
            <w:r>
              <w:rPr>
                <w:noProof/>
                <w:webHidden/>
              </w:rPr>
              <w:tab/>
            </w:r>
            <w:r>
              <w:rPr>
                <w:noProof/>
                <w:webHidden/>
              </w:rPr>
              <w:fldChar w:fldCharType="begin"/>
            </w:r>
            <w:r>
              <w:rPr>
                <w:noProof/>
                <w:webHidden/>
              </w:rPr>
              <w:instrText xml:space="preserve"> PAGEREF _Toc229036291 \h </w:instrText>
            </w:r>
            <w:r>
              <w:rPr>
                <w:noProof/>
                <w:webHidden/>
              </w:rPr>
            </w:r>
            <w:r>
              <w:rPr>
                <w:noProof/>
                <w:webHidden/>
              </w:rPr>
              <w:fldChar w:fldCharType="separate"/>
            </w:r>
            <w:r w:rsidR="006D621C">
              <w:rPr>
                <w:noProof/>
                <w:webHidden/>
              </w:rPr>
              <w:t>124</w:t>
            </w:r>
            <w:r>
              <w:rPr>
                <w:noProof/>
                <w:webHidden/>
              </w:rPr>
              <w:fldChar w:fldCharType="end"/>
            </w:r>
          </w:hyperlink>
        </w:p>
        <w:p w14:paraId="7FD59469" w14:textId="159DC907"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92" w:history="1">
            <w:r w:rsidRPr="005A0CE6">
              <w:rPr>
                <w:rStyle w:val="Hyperlink"/>
                <w:rFonts w:eastAsia="Times New Roman"/>
                <w:noProof/>
                <w:lang w:eastAsia="hr-HR"/>
              </w:rPr>
              <w:t>10.4 Selection of monitoring sites and parameters and monitoring frequency</w:t>
            </w:r>
            <w:r>
              <w:rPr>
                <w:noProof/>
                <w:webHidden/>
              </w:rPr>
              <w:tab/>
            </w:r>
            <w:r>
              <w:rPr>
                <w:noProof/>
                <w:webHidden/>
              </w:rPr>
              <w:fldChar w:fldCharType="begin"/>
            </w:r>
            <w:r>
              <w:rPr>
                <w:noProof/>
                <w:webHidden/>
              </w:rPr>
              <w:instrText xml:space="preserve"> PAGEREF _Toc229036292 \h </w:instrText>
            </w:r>
            <w:r>
              <w:rPr>
                <w:noProof/>
                <w:webHidden/>
              </w:rPr>
            </w:r>
            <w:r>
              <w:rPr>
                <w:noProof/>
                <w:webHidden/>
              </w:rPr>
              <w:fldChar w:fldCharType="separate"/>
            </w:r>
            <w:r w:rsidR="006D621C">
              <w:rPr>
                <w:noProof/>
                <w:webHidden/>
              </w:rPr>
              <w:t>125</w:t>
            </w:r>
            <w:r>
              <w:rPr>
                <w:noProof/>
                <w:webHidden/>
              </w:rPr>
              <w:fldChar w:fldCharType="end"/>
            </w:r>
          </w:hyperlink>
        </w:p>
        <w:p w14:paraId="3FAB78DB" w14:textId="6610C249"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93" w:history="1">
            <w:r w:rsidRPr="005A0CE6">
              <w:rPr>
                <w:rStyle w:val="Hyperlink"/>
                <w:noProof/>
              </w:rPr>
              <w:t>10.5 Sampling protocols</w:t>
            </w:r>
            <w:r>
              <w:rPr>
                <w:noProof/>
                <w:webHidden/>
              </w:rPr>
              <w:tab/>
            </w:r>
            <w:r>
              <w:rPr>
                <w:noProof/>
                <w:webHidden/>
              </w:rPr>
              <w:fldChar w:fldCharType="begin"/>
            </w:r>
            <w:r>
              <w:rPr>
                <w:noProof/>
                <w:webHidden/>
              </w:rPr>
              <w:instrText xml:space="preserve"> PAGEREF _Toc229036293 \h </w:instrText>
            </w:r>
            <w:r>
              <w:rPr>
                <w:noProof/>
                <w:webHidden/>
              </w:rPr>
            </w:r>
            <w:r>
              <w:rPr>
                <w:noProof/>
                <w:webHidden/>
              </w:rPr>
              <w:fldChar w:fldCharType="separate"/>
            </w:r>
            <w:r w:rsidR="006D621C">
              <w:rPr>
                <w:noProof/>
                <w:webHidden/>
              </w:rPr>
              <w:t>129</w:t>
            </w:r>
            <w:r>
              <w:rPr>
                <w:noProof/>
                <w:webHidden/>
              </w:rPr>
              <w:fldChar w:fldCharType="end"/>
            </w:r>
          </w:hyperlink>
        </w:p>
        <w:p w14:paraId="30483503" w14:textId="3B70AB58"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94" w:history="1">
            <w:r w:rsidRPr="005A0CE6">
              <w:rPr>
                <w:rStyle w:val="Hyperlink"/>
                <w:noProof/>
              </w:rPr>
              <w:t>10.6 Integration of existing national monitoring networks</w:t>
            </w:r>
            <w:r>
              <w:rPr>
                <w:noProof/>
                <w:webHidden/>
              </w:rPr>
              <w:tab/>
            </w:r>
            <w:r>
              <w:rPr>
                <w:noProof/>
                <w:webHidden/>
              </w:rPr>
              <w:fldChar w:fldCharType="begin"/>
            </w:r>
            <w:r>
              <w:rPr>
                <w:noProof/>
                <w:webHidden/>
              </w:rPr>
              <w:instrText xml:space="preserve"> PAGEREF _Toc229036294 \h </w:instrText>
            </w:r>
            <w:r>
              <w:rPr>
                <w:noProof/>
                <w:webHidden/>
              </w:rPr>
            </w:r>
            <w:r>
              <w:rPr>
                <w:noProof/>
                <w:webHidden/>
              </w:rPr>
              <w:fldChar w:fldCharType="separate"/>
            </w:r>
            <w:r w:rsidR="006D621C">
              <w:rPr>
                <w:noProof/>
                <w:webHidden/>
              </w:rPr>
              <w:t>130</w:t>
            </w:r>
            <w:r>
              <w:rPr>
                <w:noProof/>
                <w:webHidden/>
              </w:rPr>
              <w:fldChar w:fldCharType="end"/>
            </w:r>
          </w:hyperlink>
        </w:p>
        <w:p w14:paraId="5D268A8E" w14:textId="3EF18747"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95" w:history="1">
            <w:r w:rsidRPr="005A0CE6">
              <w:rPr>
                <w:rStyle w:val="Hyperlink"/>
                <w:noProof/>
              </w:rPr>
              <w:t>10.7 Data collection, validation, and storage</w:t>
            </w:r>
            <w:r>
              <w:rPr>
                <w:noProof/>
                <w:webHidden/>
              </w:rPr>
              <w:tab/>
            </w:r>
            <w:r>
              <w:rPr>
                <w:noProof/>
                <w:webHidden/>
              </w:rPr>
              <w:fldChar w:fldCharType="begin"/>
            </w:r>
            <w:r>
              <w:rPr>
                <w:noProof/>
                <w:webHidden/>
              </w:rPr>
              <w:instrText xml:space="preserve"> PAGEREF _Toc229036295 \h </w:instrText>
            </w:r>
            <w:r>
              <w:rPr>
                <w:noProof/>
                <w:webHidden/>
              </w:rPr>
            </w:r>
            <w:r>
              <w:rPr>
                <w:noProof/>
                <w:webHidden/>
              </w:rPr>
              <w:fldChar w:fldCharType="separate"/>
            </w:r>
            <w:r w:rsidR="006D621C">
              <w:rPr>
                <w:noProof/>
                <w:webHidden/>
              </w:rPr>
              <w:t>130</w:t>
            </w:r>
            <w:r>
              <w:rPr>
                <w:noProof/>
                <w:webHidden/>
              </w:rPr>
              <w:fldChar w:fldCharType="end"/>
            </w:r>
          </w:hyperlink>
        </w:p>
        <w:p w14:paraId="2A9E5AF4" w14:textId="64614255"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96" w:history="1">
            <w:r w:rsidRPr="005A0CE6">
              <w:rPr>
                <w:rStyle w:val="Hyperlink"/>
                <w:noProof/>
              </w:rPr>
              <w:t>10.8 Quality assurance and standardisation</w:t>
            </w:r>
            <w:r>
              <w:rPr>
                <w:noProof/>
                <w:webHidden/>
              </w:rPr>
              <w:tab/>
            </w:r>
            <w:r>
              <w:rPr>
                <w:noProof/>
                <w:webHidden/>
              </w:rPr>
              <w:fldChar w:fldCharType="begin"/>
            </w:r>
            <w:r>
              <w:rPr>
                <w:noProof/>
                <w:webHidden/>
              </w:rPr>
              <w:instrText xml:space="preserve"> PAGEREF _Toc229036296 \h </w:instrText>
            </w:r>
            <w:r>
              <w:rPr>
                <w:noProof/>
                <w:webHidden/>
              </w:rPr>
            </w:r>
            <w:r>
              <w:rPr>
                <w:noProof/>
                <w:webHidden/>
              </w:rPr>
              <w:fldChar w:fldCharType="separate"/>
            </w:r>
            <w:r w:rsidR="006D621C">
              <w:rPr>
                <w:noProof/>
                <w:webHidden/>
              </w:rPr>
              <w:t>130</w:t>
            </w:r>
            <w:r>
              <w:rPr>
                <w:noProof/>
                <w:webHidden/>
              </w:rPr>
              <w:fldChar w:fldCharType="end"/>
            </w:r>
          </w:hyperlink>
        </w:p>
        <w:p w14:paraId="181415AA" w14:textId="1EA313EE"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97" w:history="1">
            <w:r w:rsidRPr="005A0CE6">
              <w:rPr>
                <w:rStyle w:val="Hyperlink"/>
                <w:noProof/>
              </w:rPr>
              <w:t>10.9 Harmonised data exchange and reporting protocols</w:t>
            </w:r>
            <w:r>
              <w:rPr>
                <w:noProof/>
                <w:webHidden/>
              </w:rPr>
              <w:tab/>
            </w:r>
            <w:r>
              <w:rPr>
                <w:noProof/>
                <w:webHidden/>
              </w:rPr>
              <w:fldChar w:fldCharType="begin"/>
            </w:r>
            <w:r>
              <w:rPr>
                <w:noProof/>
                <w:webHidden/>
              </w:rPr>
              <w:instrText xml:space="preserve"> PAGEREF _Toc229036297 \h </w:instrText>
            </w:r>
            <w:r>
              <w:rPr>
                <w:noProof/>
                <w:webHidden/>
              </w:rPr>
            </w:r>
            <w:r>
              <w:rPr>
                <w:noProof/>
                <w:webHidden/>
              </w:rPr>
              <w:fldChar w:fldCharType="separate"/>
            </w:r>
            <w:r w:rsidR="006D621C">
              <w:rPr>
                <w:noProof/>
                <w:webHidden/>
              </w:rPr>
              <w:t>130</w:t>
            </w:r>
            <w:r>
              <w:rPr>
                <w:noProof/>
                <w:webHidden/>
              </w:rPr>
              <w:fldChar w:fldCharType="end"/>
            </w:r>
          </w:hyperlink>
        </w:p>
        <w:p w14:paraId="558FD820" w14:textId="4928D94B"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98" w:history="1">
            <w:r w:rsidRPr="005A0CE6">
              <w:rPr>
                <w:rStyle w:val="Hyperlink"/>
                <w:noProof/>
              </w:rPr>
              <w:t>10.10 GIS integration and visualisation</w:t>
            </w:r>
            <w:r>
              <w:rPr>
                <w:noProof/>
                <w:webHidden/>
              </w:rPr>
              <w:tab/>
            </w:r>
            <w:r>
              <w:rPr>
                <w:noProof/>
                <w:webHidden/>
              </w:rPr>
              <w:fldChar w:fldCharType="begin"/>
            </w:r>
            <w:r>
              <w:rPr>
                <w:noProof/>
                <w:webHidden/>
              </w:rPr>
              <w:instrText xml:space="preserve"> PAGEREF _Toc229036298 \h </w:instrText>
            </w:r>
            <w:r>
              <w:rPr>
                <w:noProof/>
                <w:webHidden/>
              </w:rPr>
            </w:r>
            <w:r>
              <w:rPr>
                <w:noProof/>
                <w:webHidden/>
              </w:rPr>
              <w:fldChar w:fldCharType="separate"/>
            </w:r>
            <w:r w:rsidR="006D621C">
              <w:rPr>
                <w:noProof/>
                <w:webHidden/>
              </w:rPr>
              <w:t>131</w:t>
            </w:r>
            <w:r>
              <w:rPr>
                <w:noProof/>
                <w:webHidden/>
              </w:rPr>
              <w:fldChar w:fldCharType="end"/>
            </w:r>
          </w:hyperlink>
        </w:p>
        <w:p w14:paraId="0A631467" w14:textId="0808C814"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299" w:history="1">
            <w:r w:rsidRPr="005A0CE6">
              <w:rPr>
                <w:rStyle w:val="Hyperlink"/>
                <w:noProof/>
              </w:rPr>
              <w:t>10.11 Implementation roadmap and action plan</w:t>
            </w:r>
            <w:r>
              <w:rPr>
                <w:noProof/>
                <w:webHidden/>
              </w:rPr>
              <w:tab/>
            </w:r>
            <w:r>
              <w:rPr>
                <w:noProof/>
                <w:webHidden/>
              </w:rPr>
              <w:fldChar w:fldCharType="begin"/>
            </w:r>
            <w:r>
              <w:rPr>
                <w:noProof/>
                <w:webHidden/>
              </w:rPr>
              <w:instrText xml:space="preserve"> PAGEREF _Toc229036299 \h </w:instrText>
            </w:r>
            <w:r>
              <w:rPr>
                <w:noProof/>
                <w:webHidden/>
              </w:rPr>
            </w:r>
            <w:r>
              <w:rPr>
                <w:noProof/>
                <w:webHidden/>
              </w:rPr>
              <w:fldChar w:fldCharType="separate"/>
            </w:r>
            <w:r w:rsidR="006D621C">
              <w:rPr>
                <w:noProof/>
                <w:webHidden/>
              </w:rPr>
              <w:t>131</w:t>
            </w:r>
            <w:r>
              <w:rPr>
                <w:noProof/>
                <w:webHidden/>
              </w:rPr>
              <w:fldChar w:fldCharType="end"/>
            </w:r>
          </w:hyperlink>
        </w:p>
        <w:p w14:paraId="16125F8E" w14:textId="4903A39B" w:rsidR="009B25D8" w:rsidRDefault="009B25D8">
          <w:pPr>
            <w:pStyle w:val="TOC1"/>
            <w:tabs>
              <w:tab w:val="right" w:leader="dot" w:pos="9016"/>
            </w:tabs>
            <w:rPr>
              <w:rFonts w:eastAsiaTheme="minorEastAsia"/>
              <w:noProof/>
              <w:kern w:val="2"/>
              <w:sz w:val="24"/>
              <w:szCs w:val="24"/>
              <w:lang w:val="hr-HR" w:eastAsia="hr-HR"/>
              <w14:ligatures w14:val="standardContextual"/>
            </w:rPr>
          </w:pPr>
          <w:hyperlink w:anchor="_Toc229036300" w:history="1">
            <w:r w:rsidRPr="005A0CE6">
              <w:rPr>
                <w:rStyle w:val="Hyperlink"/>
                <w:noProof/>
              </w:rPr>
              <w:t>11. Guidelines for establishing remediation measures for contaminated aquifer zones</w:t>
            </w:r>
            <w:r>
              <w:rPr>
                <w:noProof/>
                <w:webHidden/>
              </w:rPr>
              <w:tab/>
            </w:r>
            <w:r>
              <w:rPr>
                <w:noProof/>
                <w:webHidden/>
              </w:rPr>
              <w:fldChar w:fldCharType="begin"/>
            </w:r>
            <w:r>
              <w:rPr>
                <w:noProof/>
                <w:webHidden/>
              </w:rPr>
              <w:instrText xml:space="preserve"> PAGEREF _Toc229036300 \h </w:instrText>
            </w:r>
            <w:r>
              <w:rPr>
                <w:noProof/>
                <w:webHidden/>
              </w:rPr>
            </w:r>
            <w:r>
              <w:rPr>
                <w:noProof/>
                <w:webHidden/>
              </w:rPr>
              <w:fldChar w:fldCharType="separate"/>
            </w:r>
            <w:r w:rsidR="006D621C">
              <w:rPr>
                <w:noProof/>
                <w:webHidden/>
              </w:rPr>
              <w:t>131</w:t>
            </w:r>
            <w:r>
              <w:rPr>
                <w:noProof/>
                <w:webHidden/>
              </w:rPr>
              <w:fldChar w:fldCharType="end"/>
            </w:r>
          </w:hyperlink>
        </w:p>
        <w:p w14:paraId="59E87D89" w14:textId="733238A5"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01" w:history="1">
            <w:r w:rsidRPr="005A0CE6">
              <w:rPr>
                <w:rStyle w:val="Hyperlink"/>
                <w:noProof/>
              </w:rPr>
              <w:t>11.1 Remediation purpose and objectives (agriculture-related pollution and wastewater)</w:t>
            </w:r>
            <w:r>
              <w:rPr>
                <w:noProof/>
                <w:webHidden/>
              </w:rPr>
              <w:tab/>
            </w:r>
            <w:r>
              <w:rPr>
                <w:noProof/>
                <w:webHidden/>
              </w:rPr>
              <w:fldChar w:fldCharType="begin"/>
            </w:r>
            <w:r>
              <w:rPr>
                <w:noProof/>
                <w:webHidden/>
              </w:rPr>
              <w:instrText xml:space="preserve"> PAGEREF _Toc229036301 \h </w:instrText>
            </w:r>
            <w:r>
              <w:rPr>
                <w:noProof/>
                <w:webHidden/>
              </w:rPr>
            </w:r>
            <w:r>
              <w:rPr>
                <w:noProof/>
                <w:webHidden/>
              </w:rPr>
              <w:fldChar w:fldCharType="separate"/>
            </w:r>
            <w:r w:rsidR="006D621C">
              <w:rPr>
                <w:noProof/>
                <w:webHidden/>
              </w:rPr>
              <w:t>131</w:t>
            </w:r>
            <w:r>
              <w:rPr>
                <w:noProof/>
                <w:webHidden/>
              </w:rPr>
              <w:fldChar w:fldCharType="end"/>
            </w:r>
          </w:hyperlink>
        </w:p>
        <w:p w14:paraId="4724DE64" w14:textId="5E2632D3"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02" w:history="1">
            <w:r w:rsidRPr="005A0CE6">
              <w:rPr>
                <w:rStyle w:val="Hyperlink"/>
                <w:noProof/>
              </w:rPr>
              <w:t>11.2 Regulatory &amp; policy context</w:t>
            </w:r>
            <w:r>
              <w:rPr>
                <w:noProof/>
                <w:webHidden/>
              </w:rPr>
              <w:tab/>
            </w:r>
            <w:r>
              <w:rPr>
                <w:noProof/>
                <w:webHidden/>
              </w:rPr>
              <w:fldChar w:fldCharType="begin"/>
            </w:r>
            <w:r>
              <w:rPr>
                <w:noProof/>
                <w:webHidden/>
              </w:rPr>
              <w:instrText xml:space="preserve"> PAGEREF _Toc229036302 \h </w:instrText>
            </w:r>
            <w:r>
              <w:rPr>
                <w:noProof/>
                <w:webHidden/>
              </w:rPr>
            </w:r>
            <w:r>
              <w:rPr>
                <w:noProof/>
                <w:webHidden/>
              </w:rPr>
              <w:fldChar w:fldCharType="separate"/>
            </w:r>
            <w:r w:rsidR="006D621C">
              <w:rPr>
                <w:noProof/>
                <w:webHidden/>
              </w:rPr>
              <w:t>132</w:t>
            </w:r>
            <w:r>
              <w:rPr>
                <w:noProof/>
                <w:webHidden/>
              </w:rPr>
              <w:fldChar w:fldCharType="end"/>
            </w:r>
          </w:hyperlink>
        </w:p>
        <w:p w14:paraId="6C747233" w14:textId="05CFB5F8"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03" w:history="1">
            <w:r w:rsidRPr="005A0CE6">
              <w:rPr>
                <w:rStyle w:val="Hyperlink"/>
                <w:noProof/>
              </w:rPr>
              <w:t>11.3 Contaminated site characterization (Ljubuško polje, Prud catchment, Neretva Delta)</w:t>
            </w:r>
            <w:r>
              <w:rPr>
                <w:noProof/>
                <w:webHidden/>
              </w:rPr>
              <w:tab/>
            </w:r>
            <w:r>
              <w:rPr>
                <w:noProof/>
                <w:webHidden/>
              </w:rPr>
              <w:fldChar w:fldCharType="begin"/>
            </w:r>
            <w:r>
              <w:rPr>
                <w:noProof/>
                <w:webHidden/>
              </w:rPr>
              <w:instrText xml:space="preserve"> PAGEREF _Toc229036303 \h </w:instrText>
            </w:r>
            <w:r>
              <w:rPr>
                <w:noProof/>
                <w:webHidden/>
              </w:rPr>
            </w:r>
            <w:r>
              <w:rPr>
                <w:noProof/>
                <w:webHidden/>
              </w:rPr>
              <w:fldChar w:fldCharType="separate"/>
            </w:r>
            <w:r w:rsidR="006D621C">
              <w:rPr>
                <w:noProof/>
                <w:webHidden/>
              </w:rPr>
              <w:t>134</w:t>
            </w:r>
            <w:r>
              <w:rPr>
                <w:noProof/>
                <w:webHidden/>
              </w:rPr>
              <w:fldChar w:fldCharType="end"/>
            </w:r>
          </w:hyperlink>
        </w:p>
        <w:p w14:paraId="4A4E007E" w14:textId="563A1EEB"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04" w:history="1">
            <w:r w:rsidRPr="005A0CE6">
              <w:rPr>
                <w:rStyle w:val="Hyperlink"/>
                <w:noProof/>
              </w:rPr>
              <w:t>11.4 Design of contaminated site monitoring network and sampling strategy (nutrients and pesticides)</w:t>
            </w:r>
            <w:r>
              <w:rPr>
                <w:noProof/>
                <w:webHidden/>
              </w:rPr>
              <w:tab/>
            </w:r>
            <w:r>
              <w:rPr>
                <w:noProof/>
                <w:webHidden/>
              </w:rPr>
              <w:fldChar w:fldCharType="begin"/>
            </w:r>
            <w:r>
              <w:rPr>
                <w:noProof/>
                <w:webHidden/>
              </w:rPr>
              <w:instrText xml:space="preserve"> PAGEREF _Toc229036304 \h </w:instrText>
            </w:r>
            <w:r>
              <w:rPr>
                <w:noProof/>
                <w:webHidden/>
              </w:rPr>
            </w:r>
            <w:r>
              <w:rPr>
                <w:noProof/>
                <w:webHidden/>
              </w:rPr>
              <w:fldChar w:fldCharType="separate"/>
            </w:r>
            <w:r w:rsidR="006D621C">
              <w:rPr>
                <w:noProof/>
                <w:webHidden/>
              </w:rPr>
              <w:t>136</w:t>
            </w:r>
            <w:r>
              <w:rPr>
                <w:noProof/>
                <w:webHidden/>
              </w:rPr>
              <w:fldChar w:fldCharType="end"/>
            </w:r>
          </w:hyperlink>
        </w:p>
        <w:p w14:paraId="2D75C641" w14:textId="1CAD5AB9"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05" w:history="1">
            <w:r w:rsidRPr="005A0CE6">
              <w:rPr>
                <w:rStyle w:val="Hyperlink"/>
                <w:noProof/>
              </w:rPr>
              <w:t>11.5 Defining remediation goals (reduction of nutrient loads and pesticide removal)</w:t>
            </w:r>
            <w:r>
              <w:rPr>
                <w:noProof/>
                <w:webHidden/>
              </w:rPr>
              <w:tab/>
            </w:r>
            <w:r>
              <w:rPr>
                <w:noProof/>
                <w:webHidden/>
              </w:rPr>
              <w:fldChar w:fldCharType="begin"/>
            </w:r>
            <w:r>
              <w:rPr>
                <w:noProof/>
                <w:webHidden/>
              </w:rPr>
              <w:instrText xml:space="preserve"> PAGEREF _Toc229036305 \h </w:instrText>
            </w:r>
            <w:r>
              <w:rPr>
                <w:noProof/>
                <w:webHidden/>
              </w:rPr>
            </w:r>
            <w:r>
              <w:rPr>
                <w:noProof/>
                <w:webHidden/>
              </w:rPr>
              <w:fldChar w:fldCharType="separate"/>
            </w:r>
            <w:r w:rsidR="006D621C">
              <w:rPr>
                <w:noProof/>
                <w:webHidden/>
              </w:rPr>
              <w:t>137</w:t>
            </w:r>
            <w:r>
              <w:rPr>
                <w:noProof/>
                <w:webHidden/>
              </w:rPr>
              <w:fldChar w:fldCharType="end"/>
            </w:r>
          </w:hyperlink>
        </w:p>
        <w:p w14:paraId="1A437558" w14:textId="1EA56EA9"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06" w:history="1">
            <w:r w:rsidRPr="005A0CE6">
              <w:rPr>
                <w:rStyle w:val="Hyperlink"/>
                <w:noProof/>
              </w:rPr>
              <w:t>11.6 Site-specific cleanup levels and endpoints (EU Standards and health-based thresholds)</w:t>
            </w:r>
            <w:r>
              <w:rPr>
                <w:noProof/>
                <w:webHidden/>
              </w:rPr>
              <w:tab/>
            </w:r>
            <w:r>
              <w:rPr>
                <w:noProof/>
                <w:webHidden/>
              </w:rPr>
              <w:fldChar w:fldCharType="begin"/>
            </w:r>
            <w:r>
              <w:rPr>
                <w:noProof/>
                <w:webHidden/>
              </w:rPr>
              <w:instrText xml:space="preserve"> PAGEREF _Toc229036306 \h </w:instrText>
            </w:r>
            <w:r>
              <w:rPr>
                <w:noProof/>
                <w:webHidden/>
              </w:rPr>
            </w:r>
            <w:r>
              <w:rPr>
                <w:noProof/>
                <w:webHidden/>
              </w:rPr>
              <w:fldChar w:fldCharType="separate"/>
            </w:r>
            <w:r w:rsidR="006D621C">
              <w:rPr>
                <w:noProof/>
                <w:webHidden/>
              </w:rPr>
              <w:t>137</w:t>
            </w:r>
            <w:r>
              <w:rPr>
                <w:noProof/>
                <w:webHidden/>
              </w:rPr>
              <w:fldChar w:fldCharType="end"/>
            </w:r>
          </w:hyperlink>
        </w:p>
        <w:p w14:paraId="28F9809F" w14:textId="65CFD112"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07" w:history="1">
            <w:r w:rsidRPr="005A0CE6">
              <w:rPr>
                <w:rStyle w:val="Hyperlink"/>
                <w:noProof/>
              </w:rPr>
              <w:t>11.7 In-situ and ex-situ remediation technologies for nitrate and pesticide removal</w:t>
            </w:r>
            <w:r>
              <w:rPr>
                <w:noProof/>
                <w:webHidden/>
              </w:rPr>
              <w:tab/>
            </w:r>
            <w:r>
              <w:rPr>
                <w:noProof/>
                <w:webHidden/>
              </w:rPr>
              <w:fldChar w:fldCharType="begin"/>
            </w:r>
            <w:r>
              <w:rPr>
                <w:noProof/>
                <w:webHidden/>
              </w:rPr>
              <w:instrText xml:space="preserve"> PAGEREF _Toc229036307 \h </w:instrText>
            </w:r>
            <w:r>
              <w:rPr>
                <w:noProof/>
                <w:webHidden/>
              </w:rPr>
            </w:r>
            <w:r>
              <w:rPr>
                <w:noProof/>
                <w:webHidden/>
              </w:rPr>
              <w:fldChar w:fldCharType="separate"/>
            </w:r>
            <w:r w:rsidR="006D621C">
              <w:rPr>
                <w:noProof/>
                <w:webHidden/>
              </w:rPr>
              <w:t>138</w:t>
            </w:r>
            <w:r>
              <w:rPr>
                <w:noProof/>
                <w:webHidden/>
              </w:rPr>
              <w:fldChar w:fldCharType="end"/>
            </w:r>
          </w:hyperlink>
        </w:p>
        <w:p w14:paraId="06C80A77" w14:textId="0F961B26"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08" w:history="1">
            <w:r w:rsidRPr="005A0CE6">
              <w:rPr>
                <w:rStyle w:val="Hyperlink"/>
                <w:noProof/>
              </w:rPr>
              <w:t>11.8 Emergency response planning</w:t>
            </w:r>
            <w:r>
              <w:rPr>
                <w:noProof/>
                <w:webHidden/>
              </w:rPr>
              <w:tab/>
            </w:r>
            <w:r>
              <w:rPr>
                <w:noProof/>
                <w:webHidden/>
              </w:rPr>
              <w:fldChar w:fldCharType="begin"/>
            </w:r>
            <w:r>
              <w:rPr>
                <w:noProof/>
                <w:webHidden/>
              </w:rPr>
              <w:instrText xml:space="preserve"> PAGEREF _Toc229036308 \h </w:instrText>
            </w:r>
            <w:r>
              <w:rPr>
                <w:noProof/>
                <w:webHidden/>
              </w:rPr>
            </w:r>
            <w:r>
              <w:rPr>
                <w:noProof/>
                <w:webHidden/>
              </w:rPr>
              <w:fldChar w:fldCharType="separate"/>
            </w:r>
            <w:r w:rsidR="006D621C">
              <w:rPr>
                <w:noProof/>
                <w:webHidden/>
              </w:rPr>
              <w:t>139</w:t>
            </w:r>
            <w:r>
              <w:rPr>
                <w:noProof/>
                <w:webHidden/>
              </w:rPr>
              <w:fldChar w:fldCharType="end"/>
            </w:r>
          </w:hyperlink>
        </w:p>
        <w:p w14:paraId="43461B45" w14:textId="607FF4F7"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09" w:history="1">
            <w:r w:rsidRPr="005A0CE6">
              <w:rPr>
                <w:rStyle w:val="Hyperlink"/>
                <w:noProof/>
              </w:rPr>
              <w:t>11.9 Stepwise and risk-based remediation planning</w:t>
            </w:r>
            <w:r>
              <w:rPr>
                <w:noProof/>
                <w:webHidden/>
              </w:rPr>
              <w:tab/>
            </w:r>
            <w:r>
              <w:rPr>
                <w:noProof/>
                <w:webHidden/>
              </w:rPr>
              <w:fldChar w:fldCharType="begin"/>
            </w:r>
            <w:r>
              <w:rPr>
                <w:noProof/>
                <w:webHidden/>
              </w:rPr>
              <w:instrText xml:space="preserve"> PAGEREF _Toc229036309 \h </w:instrText>
            </w:r>
            <w:r>
              <w:rPr>
                <w:noProof/>
                <w:webHidden/>
              </w:rPr>
            </w:r>
            <w:r>
              <w:rPr>
                <w:noProof/>
                <w:webHidden/>
              </w:rPr>
              <w:fldChar w:fldCharType="separate"/>
            </w:r>
            <w:r w:rsidR="006D621C">
              <w:rPr>
                <w:noProof/>
                <w:webHidden/>
              </w:rPr>
              <w:t>140</w:t>
            </w:r>
            <w:r>
              <w:rPr>
                <w:noProof/>
                <w:webHidden/>
              </w:rPr>
              <w:fldChar w:fldCharType="end"/>
            </w:r>
          </w:hyperlink>
        </w:p>
        <w:p w14:paraId="73910E10" w14:textId="2A74D20A"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10" w:history="1">
            <w:r w:rsidRPr="005A0CE6">
              <w:rPr>
                <w:rStyle w:val="Hyperlink"/>
                <w:noProof/>
              </w:rPr>
              <w:t>11.10 Pilot testing and phased implementation</w:t>
            </w:r>
            <w:r>
              <w:rPr>
                <w:noProof/>
                <w:webHidden/>
              </w:rPr>
              <w:tab/>
            </w:r>
            <w:r>
              <w:rPr>
                <w:noProof/>
                <w:webHidden/>
              </w:rPr>
              <w:fldChar w:fldCharType="begin"/>
            </w:r>
            <w:r>
              <w:rPr>
                <w:noProof/>
                <w:webHidden/>
              </w:rPr>
              <w:instrText xml:space="preserve"> PAGEREF _Toc229036310 \h </w:instrText>
            </w:r>
            <w:r>
              <w:rPr>
                <w:noProof/>
                <w:webHidden/>
              </w:rPr>
            </w:r>
            <w:r>
              <w:rPr>
                <w:noProof/>
                <w:webHidden/>
              </w:rPr>
              <w:fldChar w:fldCharType="separate"/>
            </w:r>
            <w:r w:rsidR="006D621C">
              <w:rPr>
                <w:noProof/>
                <w:webHidden/>
              </w:rPr>
              <w:t>141</w:t>
            </w:r>
            <w:r>
              <w:rPr>
                <w:noProof/>
                <w:webHidden/>
              </w:rPr>
              <w:fldChar w:fldCharType="end"/>
            </w:r>
          </w:hyperlink>
        </w:p>
        <w:p w14:paraId="1ED58083" w14:textId="52DB2FCD"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11" w:history="1">
            <w:r w:rsidRPr="005A0CE6">
              <w:rPr>
                <w:rStyle w:val="Hyperlink"/>
                <w:noProof/>
              </w:rPr>
              <w:t>11.11 Effectiveness monitoring of remediation</w:t>
            </w:r>
            <w:r>
              <w:rPr>
                <w:noProof/>
                <w:webHidden/>
              </w:rPr>
              <w:tab/>
            </w:r>
            <w:r>
              <w:rPr>
                <w:noProof/>
                <w:webHidden/>
              </w:rPr>
              <w:fldChar w:fldCharType="begin"/>
            </w:r>
            <w:r>
              <w:rPr>
                <w:noProof/>
                <w:webHidden/>
              </w:rPr>
              <w:instrText xml:space="preserve"> PAGEREF _Toc229036311 \h </w:instrText>
            </w:r>
            <w:r>
              <w:rPr>
                <w:noProof/>
                <w:webHidden/>
              </w:rPr>
            </w:r>
            <w:r>
              <w:rPr>
                <w:noProof/>
                <w:webHidden/>
              </w:rPr>
              <w:fldChar w:fldCharType="separate"/>
            </w:r>
            <w:r w:rsidR="006D621C">
              <w:rPr>
                <w:noProof/>
                <w:webHidden/>
              </w:rPr>
              <w:t>142</w:t>
            </w:r>
            <w:r>
              <w:rPr>
                <w:noProof/>
                <w:webHidden/>
              </w:rPr>
              <w:fldChar w:fldCharType="end"/>
            </w:r>
          </w:hyperlink>
        </w:p>
        <w:p w14:paraId="7FAFEF70" w14:textId="64076CDA"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12" w:history="1">
            <w:r w:rsidRPr="005A0CE6">
              <w:rPr>
                <w:rStyle w:val="Hyperlink"/>
                <w:noProof/>
              </w:rPr>
              <w:t>11.12 Adaptive management and optimization strategies</w:t>
            </w:r>
            <w:r>
              <w:rPr>
                <w:noProof/>
                <w:webHidden/>
              </w:rPr>
              <w:tab/>
            </w:r>
            <w:r>
              <w:rPr>
                <w:noProof/>
                <w:webHidden/>
              </w:rPr>
              <w:fldChar w:fldCharType="begin"/>
            </w:r>
            <w:r>
              <w:rPr>
                <w:noProof/>
                <w:webHidden/>
              </w:rPr>
              <w:instrText xml:space="preserve"> PAGEREF _Toc229036312 \h </w:instrText>
            </w:r>
            <w:r>
              <w:rPr>
                <w:noProof/>
                <w:webHidden/>
              </w:rPr>
            </w:r>
            <w:r>
              <w:rPr>
                <w:noProof/>
                <w:webHidden/>
              </w:rPr>
              <w:fldChar w:fldCharType="separate"/>
            </w:r>
            <w:r w:rsidR="006D621C">
              <w:rPr>
                <w:noProof/>
                <w:webHidden/>
              </w:rPr>
              <w:t>143</w:t>
            </w:r>
            <w:r>
              <w:rPr>
                <w:noProof/>
                <w:webHidden/>
              </w:rPr>
              <w:fldChar w:fldCharType="end"/>
            </w:r>
          </w:hyperlink>
        </w:p>
        <w:p w14:paraId="1B819154" w14:textId="56A5B3C4"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13" w:history="1">
            <w:r w:rsidRPr="005A0CE6">
              <w:rPr>
                <w:rStyle w:val="Hyperlink"/>
                <w:noProof/>
              </w:rPr>
              <w:t>11.13 Transboundary and interagency coordination</w:t>
            </w:r>
            <w:r>
              <w:rPr>
                <w:noProof/>
                <w:webHidden/>
              </w:rPr>
              <w:tab/>
            </w:r>
            <w:r>
              <w:rPr>
                <w:noProof/>
                <w:webHidden/>
              </w:rPr>
              <w:fldChar w:fldCharType="begin"/>
            </w:r>
            <w:r>
              <w:rPr>
                <w:noProof/>
                <w:webHidden/>
              </w:rPr>
              <w:instrText xml:space="preserve"> PAGEREF _Toc229036313 \h </w:instrText>
            </w:r>
            <w:r>
              <w:rPr>
                <w:noProof/>
                <w:webHidden/>
              </w:rPr>
            </w:r>
            <w:r>
              <w:rPr>
                <w:noProof/>
                <w:webHidden/>
              </w:rPr>
              <w:fldChar w:fldCharType="separate"/>
            </w:r>
            <w:r w:rsidR="006D621C">
              <w:rPr>
                <w:noProof/>
                <w:webHidden/>
              </w:rPr>
              <w:t>144</w:t>
            </w:r>
            <w:r>
              <w:rPr>
                <w:noProof/>
                <w:webHidden/>
              </w:rPr>
              <w:fldChar w:fldCharType="end"/>
            </w:r>
          </w:hyperlink>
        </w:p>
        <w:p w14:paraId="54B0FDE2" w14:textId="296EE869"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14" w:history="1">
            <w:r w:rsidRPr="005A0CE6">
              <w:rPr>
                <w:rStyle w:val="Hyperlink"/>
                <w:noProof/>
              </w:rPr>
              <w:t>11.14 Funding and liability considerations</w:t>
            </w:r>
            <w:r>
              <w:rPr>
                <w:noProof/>
                <w:webHidden/>
              </w:rPr>
              <w:tab/>
            </w:r>
            <w:r>
              <w:rPr>
                <w:noProof/>
                <w:webHidden/>
              </w:rPr>
              <w:fldChar w:fldCharType="begin"/>
            </w:r>
            <w:r>
              <w:rPr>
                <w:noProof/>
                <w:webHidden/>
              </w:rPr>
              <w:instrText xml:space="preserve"> PAGEREF _Toc229036314 \h </w:instrText>
            </w:r>
            <w:r>
              <w:rPr>
                <w:noProof/>
                <w:webHidden/>
              </w:rPr>
            </w:r>
            <w:r>
              <w:rPr>
                <w:noProof/>
                <w:webHidden/>
              </w:rPr>
              <w:fldChar w:fldCharType="separate"/>
            </w:r>
            <w:r w:rsidR="006D621C">
              <w:rPr>
                <w:noProof/>
                <w:webHidden/>
              </w:rPr>
              <w:t>144</w:t>
            </w:r>
            <w:r>
              <w:rPr>
                <w:noProof/>
                <w:webHidden/>
              </w:rPr>
              <w:fldChar w:fldCharType="end"/>
            </w:r>
          </w:hyperlink>
        </w:p>
        <w:p w14:paraId="2508B40D" w14:textId="301B0BBE"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15" w:history="1">
            <w:r w:rsidRPr="005A0CE6">
              <w:rPr>
                <w:rStyle w:val="Hyperlink"/>
                <w:noProof/>
              </w:rPr>
              <w:t>11.14.1. Funding considerations</w:t>
            </w:r>
            <w:r>
              <w:rPr>
                <w:noProof/>
                <w:webHidden/>
              </w:rPr>
              <w:tab/>
            </w:r>
            <w:r>
              <w:rPr>
                <w:noProof/>
                <w:webHidden/>
              </w:rPr>
              <w:fldChar w:fldCharType="begin"/>
            </w:r>
            <w:r>
              <w:rPr>
                <w:noProof/>
                <w:webHidden/>
              </w:rPr>
              <w:instrText xml:space="preserve"> PAGEREF _Toc229036315 \h </w:instrText>
            </w:r>
            <w:r>
              <w:rPr>
                <w:noProof/>
                <w:webHidden/>
              </w:rPr>
            </w:r>
            <w:r>
              <w:rPr>
                <w:noProof/>
                <w:webHidden/>
              </w:rPr>
              <w:fldChar w:fldCharType="separate"/>
            </w:r>
            <w:r w:rsidR="006D621C">
              <w:rPr>
                <w:noProof/>
                <w:webHidden/>
              </w:rPr>
              <w:t>144</w:t>
            </w:r>
            <w:r>
              <w:rPr>
                <w:noProof/>
                <w:webHidden/>
              </w:rPr>
              <w:fldChar w:fldCharType="end"/>
            </w:r>
          </w:hyperlink>
        </w:p>
        <w:p w14:paraId="59F00E3E" w14:textId="0B922A27"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16" w:history="1">
            <w:r w:rsidRPr="005A0CE6">
              <w:rPr>
                <w:rStyle w:val="Hyperlink"/>
                <w:noProof/>
              </w:rPr>
              <w:t>11.14.2. Liability considerations</w:t>
            </w:r>
            <w:r>
              <w:rPr>
                <w:noProof/>
                <w:webHidden/>
              </w:rPr>
              <w:tab/>
            </w:r>
            <w:r>
              <w:rPr>
                <w:noProof/>
                <w:webHidden/>
              </w:rPr>
              <w:fldChar w:fldCharType="begin"/>
            </w:r>
            <w:r>
              <w:rPr>
                <w:noProof/>
                <w:webHidden/>
              </w:rPr>
              <w:instrText xml:space="preserve"> PAGEREF _Toc229036316 \h </w:instrText>
            </w:r>
            <w:r>
              <w:rPr>
                <w:noProof/>
                <w:webHidden/>
              </w:rPr>
            </w:r>
            <w:r>
              <w:rPr>
                <w:noProof/>
                <w:webHidden/>
              </w:rPr>
              <w:fldChar w:fldCharType="separate"/>
            </w:r>
            <w:r w:rsidR="006D621C">
              <w:rPr>
                <w:noProof/>
                <w:webHidden/>
              </w:rPr>
              <w:t>145</w:t>
            </w:r>
            <w:r>
              <w:rPr>
                <w:noProof/>
                <w:webHidden/>
              </w:rPr>
              <w:fldChar w:fldCharType="end"/>
            </w:r>
          </w:hyperlink>
        </w:p>
        <w:p w14:paraId="695F5137" w14:textId="05F8883D"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17" w:history="1">
            <w:r w:rsidRPr="005A0CE6">
              <w:rPr>
                <w:rStyle w:val="Hyperlink"/>
                <w:noProof/>
              </w:rPr>
              <w:t>11.14.3. Integration of funding and liability in the JAP context</w:t>
            </w:r>
            <w:r>
              <w:rPr>
                <w:noProof/>
                <w:webHidden/>
              </w:rPr>
              <w:tab/>
            </w:r>
            <w:r>
              <w:rPr>
                <w:noProof/>
                <w:webHidden/>
              </w:rPr>
              <w:fldChar w:fldCharType="begin"/>
            </w:r>
            <w:r>
              <w:rPr>
                <w:noProof/>
                <w:webHidden/>
              </w:rPr>
              <w:instrText xml:space="preserve"> PAGEREF _Toc229036317 \h </w:instrText>
            </w:r>
            <w:r>
              <w:rPr>
                <w:noProof/>
                <w:webHidden/>
              </w:rPr>
            </w:r>
            <w:r>
              <w:rPr>
                <w:noProof/>
                <w:webHidden/>
              </w:rPr>
              <w:fldChar w:fldCharType="separate"/>
            </w:r>
            <w:r w:rsidR="006D621C">
              <w:rPr>
                <w:noProof/>
                <w:webHidden/>
              </w:rPr>
              <w:t>146</w:t>
            </w:r>
            <w:r>
              <w:rPr>
                <w:noProof/>
                <w:webHidden/>
              </w:rPr>
              <w:fldChar w:fldCharType="end"/>
            </w:r>
          </w:hyperlink>
        </w:p>
        <w:p w14:paraId="08BB8C04" w14:textId="54836DA4"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18" w:history="1">
            <w:r w:rsidRPr="005A0CE6">
              <w:rPr>
                <w:rStyle w:val="Hyperlink"/>
                <w:noProof/>
              </w:rPr>
              <w:t>11.14.4. Socio-economic and governance guidelines for remediation implementation considerations</w:t>
            </w:r>
            <w:r>
              <w:rPr>
                <w:noProof/>
                <w:webHidden/>
              </w:rPr>
              <w:tab/>
            </w:r>
            <w:r>
              <w:rPr>
                <w:noProof/>
                <w:webHidden/>
              </w:rPr>
              <w:fldChar w:fldCharType="begin"/>
            </w:r>
            <w:r>
              <w:rPr>
                <w:noProof/>
                <w:webHidden/>
              </w:rPr>
              <w:instrText xml:space="preserve"> PAGEREF _Toc229036318 \h </w:instrText>
            </w:r>
            <w:r>
              <w:rPr>
                <w:noProof/>
                <w:webHidden/>
              </w:rPr>
            </w:r>
            <w:r>
              <w:rPr>
                <w:noProof/>
                <w:webHidden/>
              </w:rPr>
              <w:fldChar w:fldCharType="separate"/>
            </w:r>
            <w:r w:rsidR="006D621C">
              <w:rPr>
                <w:noProof/>
                <w:webHidden/>
              </w:rPr>
              <w:t>146</w:t>
            </w:r>
            <w:r>
              <w:rPr>
                <w:noProof/>
                <w:webHidden/>
              </w:rPr>
              <w:fldChar w:fldCharType="end"/>
            </w:r>
          </w:hyperlink>
        </w:p>
        <w:p w14:paraId="1DF7318C" w14:textId="3DC4BF0A"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19" w:history="1">
            <w:r w:rsidRPr="005A0CE6">
              <w:rPr>
                <w:rStyle w:val="Hyperlink"/>
                <w:noProof/>
              </w:rPr>
              <w:t>11.15 Relevant Indicators</w:t>
            </w:r>
            <w:r>
              <w:rPr>
                <w:noProof/>
                <w:webHidden/>
              </w:rPr>
              <w:tab/>
            </w:r>
            <w:r>
              <w:rPr>
                <w:noProof/>
                <w:webHidden/>
              </w:rPr>
              <w:fldChar w:fldCharType="begin"/>
            </w:r>
            <w:r>
              <w:rPr>
                <w:noProof/>
                <w:webHidden/>
              </w:rPr>
              <w:instrText xml:space="preserve"> PAGEREF _Toc229036319 \h </w:instrText>
            </w:r>
            <w:r>
              <w:rPr>
                <w:noProof/>
                <w:webHidden/>
              </w:rPr>
            </w:r>
            <w:r>
              <w:rPr>
                <w:noProof/>
                <w:webHidden/>
              </w:rPr>
              <w:fldChar w:fldCharType="separate"/>
            </w:r>
            <w:r w:rsidR="006D621C">
              <w:rPr>
                <w:noProof/>
                <w:webHidden/>
              </w:rPr>
              <w:t>147</w:t>
            </w:r>
            <w:r>
              <w:rPr>
                <w:noProof/>
                <w:webHidden/>
              </w:rPr>
              <w:fldChar w:fldCharType="end"/>
            </w:r>
          </w:hyperlink>
        </w:p>
        <w:p w14:paraId="2F349543" w14:textId="513F08AE" w:rsidR="009B25D8" w:rsidRDefault="009B25D8">
          <w:pPr>
            <w:pStyle w:val="TOC1"/>
            <w:tabs>
              <w:tab w:val="right" w:leader="dot" w:pos="9016"/>
            </w:tabs>
            <w:rPr>
              <w:rFonts w:eastAsiaTheme="minorEastAsia"/>
              <w:noProof/>
              <w:kern w:val="2"/>
              <w:sz w:val="24"/>
              <w:szCs w:val="24"/>
              <w:lang w:val="hr-HR" w:eastAsia="hr-HR"/>
              <w14:ligatures w14:val="standardContextual"/>
            </w:rPr>
          </w:pPr>
          <w:hyperlink w:anchor="_Toc229036320" w:history="1">
            <w:r w:rsidRPr="005A0CE6">
              <w:rPr>
                <w:rStyle w:val="Hyperlink"/>
                <w:noProof/>
              </w:rPr>
              <w:t>12. Monitoring and evaluation of progress of JAP Neretva</w:t>
            </w:r>
            <w:r>
              <w:rPr>
                <w:noProof/>
                <w:webHidden/>
              </w:rPr>
              <w:tab/>
            </w:r>
            <w:r>
              <w:rPr>
                <w:noProof/>
                <w:webHidden/>
              </w:rPr>
              <w:fldChar w:fldCharType="begin"/>
            </w:r>
            <w:r>
              <w:rPr>
                <w:noProof/>
                <w:webHidden/>
              </w:rPr>
              <w:instrText xml:space="preserve"> PAGEREF _Toc229036320 \h </w:instrText>
            </w:r>
            <w:r>
              <w:rPr>
                <w:noProof/>
                <w:webHidden/>
              </w:rPr>
            </w:r>
            <w:r>
              <w:rPr>
                <w:noProof/>
                <w:webHidden/>
              </w:rPr>
              <w:fldChar w:fldCharType="separate"/>
            </w:r>
            <w:r w:rsidR="006D621C">
              <w:rPr>
                <w:noProof/>
                <w:webHidden/>
              </w:rPr>
              <w:t>148</w:t>
            </w:r>
            <w:r>
              <w:rPr>
                <w:noProof/>
                <w:webHidden/>
              </w:rPr>
              <w:fldChar w:fldCharType="end"/>
            </w:r>
          </w:hyperlink>
        </w:p>
        <w:p w14:paraId="0F4EF72C" w14:textId="0DB183C6"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21" w:history="1">
            <w:r w:rsidRPr="005A0CE6">
              <w:rPr>
                <w:rStyle w:val="Hyperlink"/>
                <w:noProof/>
              </w:rPr>
              <w:t>12.1 Performance indicators</w:t>
            </w:r>
            <w:r>
              <w:rPr>
                <w:noProof/>
                <w:webHidden/>
              </w:rPr>
              <w:tab/>
            </w:r>
            <w:r>
              <w:rPr>
                <w:noProof/>
                <w:webHidden/>
              </w:rPr>
              <w:fldChar w:fldCharType="begin"/>
            </w:r>
            <w:r>
              <w:rPr>
                <w:noProof/>
                <w:webHidden/>
              </w:rPr>
              <w:instrText xml:space="preserve"> PAGEREF _Toc229036321 \h </w:instrText>
            </w:r>
            <w:r>
              <w:rPr>
                <w:noProof/>
                <w:webHidden/>
              </w:rPr>
            </w:r>
            <w:r>
              <w:rPr>
                <w:noProof/>
                <w:webHidden/>
              </w:rPr>
              <w:fldChar w:fldCharType="separate"/>
            </w:r>
            <w:r w:rsidR="006D621C">
              <w:rPr>
                <w:noProof/>
                <w:webHidden/>
              </w:rPr>
              <w:t>148</w:t>
            </w:r>
            <w:r>
              <w:rPr>
                <w:noProof/>
                <w:webHidden/>
              </w:rPr>
              <w:fldChar w:fldCharType="end"/>
            </w:r>
          </w:hyperlink>
        </w:p>
        <w:p w14:paraId="636CFF91" w14:textId="4F0DC150"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22" w:history="1">
            <w:r w:rsidRPr="005A0CE6">
              <w:rPr>
                <w:rStyle w:val="Hyperlink"/>
                <w:noProof/>
              </w:rPr>
              <w:t>12.1.1 Institutional indicators</w:t>
            </w:r>
            <w:r>
              <w:rPr>
                <w:noProof/>
                <w:webHidden/>
              </w:rPr>
              <w:tab/>
            </w:r>
            <w:r>
              <w:rPr>
                <w:noProof/>
                <w:webHidden/>
              </w:rPr>
              <w:fldChar w:fldCharType="begin"/>
            </w:r>
            <w:r>
              <w:rPr>
                <w:noProof/>
                <w:webHidden/>
              </w:rPr>
              <w:instrText xml:space="preserve"> PAGEREF _Toc229036322 \h </w:instrText>
            </w:r>
            <w:r>
              <w:rPr>
                <w:noProof/>
                <w:webHidden/>
              </w:rPr>
            </w:r>
            <w:r>
              <w:rPr>
                <w:noProof/>
                <w:webHidden/>
              </w:rPr>
              <w:fldChar w:fldCharType="separate"/>
            </w:r>
            <w:r w:rsidR="006D621C">
              <w:rPr>
                <w:noProof/>
                <w:webHidden/>
              </w:rPr>
              <w:t>148</w:t>
            </w:r>
            <w:r>
              <w:rPr>
                <w:noProof/>
                <w:webHidden/>
              </w:rPr>
              <w:fldChar w:fldCharType="end"/>
            </w:r>
          </w:hyperlink>
        </w:p>
        <w:p w14:paraId="67953A6F" w14:textId="5E7311DC"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23" w:history="1">
            <w:r w:rsidRPr="005A0CE6">
              <w:rPr>
                <w:rStyle w:val="Hyperlink"/>
                <w:noProof/>
              </w:rPr>
              <w:t>12.1.2 Legal and fiscal indicators</w:t>
            </w:r>
            <w:r>
              <w:rPr>
                <w:noProof/>
                <w:webHidden/>
              </w:rPr>
              <w:tab/>
            </w:r>
            <w:r>
              <w:rPr>
                <w:noProof/>
                <w:webHidden/>
              </w:rPr>
              <w:fldChar w:fldCharType="begin"/>
            </w:r>
            <w:r>
              <w:rPr>
                <w:noProof/>
                <w:webHidden/>
              </w:rPr>
              <w:instrText xml:space="preserve"> PAGEREF _Toc229036323 \h </w:instrText>
            </w:r>
            <w:r>
              <w:rPr>
                <w:noProof/>
                <w:webHidden/>
              </w:rPr>
            </w:r>
            <w:r>
              <w:rPr>
                <w:noProof/>
                <w:webHidden/>
              </w:rPr>
              <w:fldChar w:fldCharType="separate"/>
            </w:r>
            <w:r w:rsidR="006D621C">
              <w:rPr>
                <w:noProof/>
                <w:webHidden/>
              </w:rPr>
              <w:t>149</w:t>
            </w:r>
            <w:r>
              <w:rPr>
                <w:noProof/>
                <w:webHidden/>
              </w:rPr>
              <w:fldChar w:fldCharType="end"/>
            </w:r>
          </w:hyperlink>
        </w:p>
        <w:p w14:paraId="62EFAF94" w14:textId="157D70B3"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24" w:history="1">
            <w:r w:rsidRPr="005A0CE6">
              <w:rPr>
                <w:rStyle w:val="Hyperlink"/>
                <w:noProof/>
              </w:rPr>
              <w:t>12.1.3 Technical indicators</w:t>
            </w:r>
            <w:r>
              <w:rPr>
                <w:noProof/>
                <w:webHidden/>
              </w:rPr>
              <w:tab/>
            </w:r>
            <w:r>
              <w:rPr>
                <w:noProof/>
                <w:webHidden/>
              </w:rPr>
              <w:fldChar w:fldCharType="begin"/>
            </w:r>
            <w:r>
              <w:rPr>
                <w:noProof/>
                <w:webHidden/>
              </w:rPr>
              <w:instrText xml:space="preserve"> PAGEREF _Toc229036324 \h </w:instrText>
            </w:r>
            <w:r>
              <w:rPr>
                <w:noProof/>
                <w:webHidden/>
              </w:rPr>
            </w:r>
            <w:r>
              <w:rPr>
                <w:noProof/>
                <w:webHidden/>
              </w:rPr>
              <w:fldChar w:fldCharType="separate"/>
            </w:r>
            <w:r w:rsidR="006D621C">
              <w:rPr>
                <w:noProof/>
                <w:webHidden/>
              </w:rPr>
              <w:t>149</w:t>
            </w:r>
            <w:r>
              <w:rPr>
                <w:noProof/>
                <w:webHidden/>
              </w:rPr>
              <w:fldChar w:fldCharType="end"/>
            </w:r>
          </w:hyperlink>
        </w:p>
        <w:p w14:paraId="202FB941" w14:textId="64C89F4A"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25" w:history="1">
            <w:r w:rsidRPr="005A0CE6">
              <w:rPr>
                <w:rStyle w:val="Hyperlink"/>
                <w:noProof/>
              </w:rPr>
              <w:t>12.1.4 Policy</w:t>
            </w:r>
            <w:r w:rsidRPr="005A0CE6">
              <w:rPr>
                <w:rStyle w:val="Hyperlink"/>
                <w:rFonts w:ascii="Cambria Math" w:hAnsi="Cambria Math" w:cs="Cambria Math"/>
                <w:noProof/>
              </w:rPr>
              <w:t>‑</w:t>
            </w:r>
            <w:r w:rsidRPr="005A0CE6">
              <w:rPr>
                <w:rStyle w:val="Hyperlink"/>
                <w:noProof/>
              </w:rPr>
              <w:t>planning indicators</w:t>
            </w:r>
            <w:r>
              <w:rPr>
                <w:noProof/>
                <w:webHidden/>
              </w:rPr>
              <w:tab/>
            </w:r>
            <w:r>
              <w:rPr>
                <w:noProof/>
                <w:webHidden/>
              </w:rPr>
              <w:fldChar w:fldCharType="begin"/>
            </w:r>
            <w:r>
              <w:rPr>
                <w:noProof/>
                <w:webHidden/>
              </w:rPr>
              <w:instrText xml:space="preserve"> PAGEREF _Toc229036325 \h </w:instrText>
            </w:r>
            <w:r>
              <w:rPr>
                <w:noProof/>
                <w:webHidden/>
              </w:rPr>
            </w:r>
            <w:r>
              <w:rPr>
                <w:noProof/>
                <w:webHidden/>
              </w:rPr>
              <w:fldChar w:fldCharType="separate"/>
            </w:r>
            <w:r w:rsidR="006D621C">
              <w:rPr>
                <w:noProof/>
                <w:webHidden/>
              </w:rPr>
              <w:t>150</w:t>
            </w:r>
            <w:r>
              <w:rPr>
                <w:noProof/>
                <w:webHidden/>
              </w:rPr>
              <w:fldChar w:fldCharType="end"/>
            </w:r>
          </w:hyperlink>
        </w:p>
        <w:p w14:paraId="61E2A916" w14:textId="60AD4E84"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26" w:history="1">
            <w:r w:rsidRPr="005A0CE6">
              <w:rPr>
                <w:rStyle w:val="Hyperlink"/>
                <w:noProof/>
              </w:rPr>
              <w:t>12.1.5 Recommended approach to monitoring and reporting</w:t>
            </w:r>
            <w:r>
              <w:rPr>
                <w:noProof/>
                <w:webHidden/>
              </w:rPr>
              <w:tab/>
            </w:r>
            <w:r>
              <w:rPr>
                <w:noProof/>
                <w:webHidden/>
              </w:rPr>
              <w:fldChar w:fldCharType="begin"/>
            </w:r>
            <w:r>
              <w:rPr>
                <w:noProof/>
                <w:webHidden/>
              </w:rPr>
              <w:instrText xml:space="preserve"> PAGEREF _Toc229036326 \h </w:instrText>
            </w:r>
            <w:r>
              <w:rPr>
                <w:noProof/>
                <w:webHidden/>
              </w:rPr>
            </w:r>
            <w:r>
              <w:rPr>
                <w:noProof/>
                <w:webHidden/>
              </w:rPr>
              <w:fldChar w:fldCharType="separate"/>
            </w:r>
            <w:r w:rsidR="006D621C">
              <w:rPr>
                <w:noProof/>
                <w:webHidden/>
              </w:rPr>
              <w:t>151</w:t>
            </w:r>
            <w:r>
              <w:rPr>
                <w:noProof/>
                <w:webHidden/>
              </w:rPr>
              <w:fldChar w:fldCharType="end"/>
            </w:r>
          </w:hyperlink>
        </w:p>
        <w:p w14:paraId="4F7D8CDB" w14:textId="5BB36B7C"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27" w:history="1">
            <w:r w:rsidRPr="005A0CE6">
              <w:rPr>
                <w:rStyle w:val="Hyperlink"/>
                <w:noProof/>
              </w:rPr>
              <w:t>12.2 Periodic reporting</w:t>
            </w:r>
            <w:r>
              <w:rPr>
                <w:noProof/>
                <w:webHidden/>
              </w:rPr>
              <w:tab/>
            </w:r>
            <w:r>
              <w:rPr>
                <w:noProof/>
                <w:webHidden/>
              </w:rPr>
              <w:fldChar w:fldCharType="begin"/>
            </w:r>
            <w:r>
              <w:rPr>
                <w:noProof/>
                <w:webHidden/>
              </w:rPr>
              <w:instrText xml:space="preserve"> PAGEREF _Toc229036327 \h </w:instrText>
            </w:r>
            <w:r>
              <w:rPr>
                <w:noProof/>
                <w:webHidden/>
              </w:rPr>
            </w:r>
            <w:r>
              <w:rPr>
                <w:noProof/>
                <w:webHidden/>
              </w:rPr>
              <w:fldChar w:fldCharType="separate"/>
            </w:r>
            <w:r w:rsidR="006D621C">
              <w:rPr>
                <w:noProof/>
                <w:webHidden/>
              </w:rPr>
              <w:t>151</w:t>
            </w:r>
            <w:r>
              <w:rPr>
                <w:noProof/>
                <w:webHidden/>
              </w:rPr>
              <w:fldChar w:fldCharType="end"/>
            </w:r>
          </w:hyperlink>
        </w:p>
        <w:p w14:paraId="1E917B90" w14:textId="6C3BBE95"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28" w:history="1">
            <w:r w:rsidRPr="005A0CE6">
              <w:rPr>
                <w:rStyle w:val="Hyperlink"/>
                <w:noProof/>
              </w:rPr>
              <w:t>12.3 Review plan</w:t>
            </w:r>
            <w:r>
              <w:rPr>
                <w:noProof/>
                <w:webHidden/>
              </w:rPr>
              <w:tab/>
            </w:r>
            <w:r>
              <w:rPr>
                <w:noProof/>
                <w:webHidden/>
              </w:rPr>
              <w:fldChar w:fldCharType="begin"/>
            </w:r>
            <w:r>
              <w:rPr>
                <w:noProof/>
                <w:webHidden/>
              </w:rPr>
              <w:instrText xml:space="preserve"> PAGEREF _Toc229036328 \h </w:instrText>
            </w:r>
            <w:r>
              <w:rPr>
                <w:noProof/>
                <w:webHidden/>
              </w:rPr>
            </w:r>
            <w:r>
              <w:rPr>
                <w:noProof/>
                <w:webHidden/>
              </w:rPr>
              <w:fldChar w:fldCharType="separate"/>
            </w:r>
            <w:r w:rsidR="006D621C">
              <w:rPr>
                <w:noProof/>
                <w:webHidden/>
              </w:rPr>
              <w:t>152</w:t>
            </w:r>
            <w:r>
              <w:rPr>
                <w:noProof/>
                <w:webHidden/>
              </w:rPr>
              <w:fldChar w:fldCharType="end"/>
            </w:r>
          </w:hyperlink>
        </w:p>
        <w:p w14:paraId="4E3DFA29" w14:textId="09343311"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29" w:history="1">
            <w:r w:rsidRPr="005A0CE6">
              <w:rPr>
                <w:rStyle w:val="Hyperlink"/>
                <w:noProof/>
              </w:rPr>
              <w:t>12.4 Stakeholders role in monitoring and evaluation</w:t>
            </w:r>
            <w:r>
              <w:rPr>
                <w:noProof/>
                <w:webHidden/>
              </w:rPr>
              <w:tab/>
            </w:r>
            <w:r>
              <w:rPr>
                <w:noProof/>
                <w:webHidden/>
              </w:rPr>
              <w:fldChar w:fldCharType="begin"/>
            </w:r>
            <w:r>
              <w:rPr>
                <w:noProof/>
                <w:webHidden/>
              </w:rPr>
              <w:instrText xml:space="preserve"> PAGEREF _Toc229036329 \h </w:instrText>
            </w:r>
            <w:r>
              <w:rPr>
                <w:noProof/>
                <w:webHidden/>
              </w:rPr>
            </w:r>
            <w:r>
              <w:rPr>
                <w:noProof/>
                <w:webHidden/>
              </w:rPr>
              <w:fldChar w:fldCharType="separate"/>
            </w:r>
            <w:r w:rsidR="006D621C">
              <w:rPr>
                <w:noProof/>
                <w:webHidden/>
              </w:rPr>
              <w:t>154</w:t>
            </w:r>
            <w:r>
              <w:rPr>
                <w:noProof/>
                <w:webHidden/>
              </w:rPr>
              <w:fldChar w:fldCharType="end"/>
            </w:r>
          </w:hyperlink>
        </w:p>
        <w:p w14:paraId="3AB2CF3C" w14:textId="040BA213" w:rsidR="009B25D8" w:rsidRDefault="009B25D8">
          <w:pPr>
            <w:pStyle w:val="TOC1"/>
            <w:tabs>
              <w:tab w:val="right" w:leader="dot" w:pos="9016"/>
            </w:tabs>
            <w:rPr>
              <w:rFonts w:eastAsiaTheme="minorEastAsia"/>
              <w:noProof/>
              <w:kern w:val="2"/>
              <w:sz w:val="24"/>
              <w:szCs w:val="24"/>
              <w:lang w:val="hr-HR" w:eastAsia="hr-HR"/>
              <w14:ligatures w14:val="standardContextual"/>
            </w:rPr>
          </w:pPr>
          <w:hyperlink w:anchor="_Toc229036330" w:history="1">
            <w:r w:rsidRPr="005A0CE6">
              <w:rPr>
                <w:rStyle w:val="Hyperlink"/>
                <w:noProof/>
              </w:rPr>
              <w:t>13. Annexes</w:t>
            </w:r>
            <w:r>
              <w:rPr>
                <w:noProof/>
                <w:webHidden/>
              </w:rPr>
              <w:tab/>
            </w:r>
            <w:r>
              <w:rPr>
                <w:noProof/>
                <w:webHidden/>
              </w:rPr>
              <w:fldChar w:fldCharType="begin"/>
            </w:r>
            <w:r>
              <w:rPr>
                <w:noProof/>
                <w:webHidden/>
              </w:rPr>
              <w:instrText xml:space="preserve"> PAGEREF _Toc229036330 \h </w:instrText>
            </w:r>
            <w:r>
              <w:rPr>
                <w:noProof/>
                <w:webHidden/>
              </w:rPr>
            </w:r>
            <w:r>
              <w:rPr>
                <w:noProof/>
                <w:webHidden/>
              </w:rPr>
              <w:fldChar w:fldCharType="separate"/>
            </w:r>
            <w:r w:rsidR="006D621C">
              <w:rPr>
                <w:noProof/>
                <w:webHidden/>
              </w:rPr>
              <w:t>156</w:t>
            </w:r>
            <w:r>
              <w:rPr>
                <w:noProof/>
                <w:webHidden/>
              </w:rPr>
              <w:fldChar w:fldCharType="end"/>
            </w:r>
          </w:hyperlink>
        </w:p>
        <w:p w14:paraId="78C5108D" w14:textId="62D1EB8D"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31" w:history="1">
            <w:r w:rsidRPr="005A0CE6">
              <w:rPr>
                <w:rStyle w:val="Hyperlink"/>
                <w:noProof/>
              </w:rPr>
              <w:t>13.1 Topographic and hydrogeological maps of Neretva TBA</w:t>
            </w:r>
            <w:r>
              <w:rPr>
                <w:noProof/>
                <w:webHidden/>
              </w:rPr>
              <w:tab/>
            </w:r>
            <w:r>
              <w:rPr>
                <w:noProof/>
                <w:webHidden/>
              </w:rPr>
              <w:fldChar w:fldCharType="begin"/>
            </w:r>
            <w:r>
              <w:rPr>
                <w:noProof/>
                <w:webHidden/>
              </w:rPr>
              <w:instrText xml:space="preserve"> PAGEREF _Toc229036331 \h </w:instrText>
            </w:r>
            <w:r>
              <w:rPr>
                <w:noProof/>
                <w:webHidden/>
              </w:rPr>
            </w:r>
            <w:r>
              <w:rPr>
                <w:noProof/>
                <w:webHidden/>
              </w:rPr>
              <w:fldChar w:fldCharType="separate"/>
            </w:r>
            <w:r w:rsidR="006D621C">
              <w:rPr>
                <w:noProof/>
                <w:webHidden/>
              </w:rPr>
              <w:t>156</w:t>
            </w:r>
            <w:r>
              <w:rPr>
                <w:noProof/>
                <w:webHidden/>
              </w:rPr>
              <w:fldChar w:fldCharType="end"/>
            </w:r>
          </w:hyperlink>
        </w:p>
        <w:p w14:paraId="3B18F6AC" w14:textId="6B722185"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32" w:history="1">
            <w:r w:rsidRPr="005A0CE6">
              <w:rPr>
                <w:rStyle w:val="Hyperlink"/>
                <w:noProof/>
              </w:rPr>
              <w:t>13.2 Stakeholder list</w:t>
            </w:r>
            <w:r>
              <w:rPr>
                <w:noProof/>
                <w:webHidden/>
              </w:rPr>
              <w:tab/>
            </w:r>
            <w:r>
              <w:rPr>
                <w:noProof/>
                <w:webHidden/>
              </w:rPr>
              <w:fldChar w:fldCharType="begin"/>
            </w:r>
            <w:r>
              <w:rPr>
                <w:noProof/>
                <w:webHidden/>
              </w:rPr>
              <w:instrText xml:space="preserve"> PAGEREF _Toc229036332 \h </w:instrText>
            </w:r>
            <w:r>
              <w:rPr>
                <w:noProof/>
                <w:webHidden/>
              </w:rPr>
            </w:r>
            <w:r>
              <w:rPr>
                <w:noProof/>
                <w:webHidden/>
              </w:rPr>
              <w:fldChar w:fldCharType="separate"/>
            </w:r>
            <w:r w:rsidR="006D621C">
              <w:rPr>
                <w:noProof/>
                <w:webHidden/>
              </w:rPr>
              <w:t>158</w:t>
            </w:r>
            <w:r>
              <w:rPr>
                <w:noProof/>
                <w:webHidden/>
              </w:rPr>
              <w:fldChar w:fldCharType="end"/>
            </w:r>
          </w:hyperlink>
        </w:p>
        <w:p w14:paraId="47BBEB4B" w14:textId="16364CB8"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33" w:history="1">
            <w:r w:rsidRPr="005A0CE6">
              <w:rPr>
                <w:rStyle w:val="Hyperlink"/>
                <w:noProof/>
              </w:rPr>
              <w:t>13.3 References</w:t>
            </w:r>
            <w:r>
              <w:rPr>
                <w:noProof/>
                <w:webHidden/>
              </w:rPr>
              <w:tab/>
            </w:r>
            <w:r>
              <w:rPr>
                <w:noProof/>
                <w:webHidden/>
              </w:rPr>
              <w:fldChar w:fldCharType="begin"/>
            </w:r>
            <w:r>
              <w:rPr>
                <w:noProof/>
                <w:webHidden/>
              </w:rPr>
              <w:instrText xml:space="preserve"> PAGEREF _Toc229036333 \h </w:instrText>
            </w:r>
            <w:r>
              <w:rPr>
                <w:noProof/>
                <w:webHidden/>
              </w:rPr>
            </w:r>
            <w:r>
              <w:rPr>
                <w:noProof/>
                <w:webHidden/>
              </w:rPr>
              <w:fldChar w:fldCharType="separate"/>
            </w:r>
            <w:r w:rsidR="006D621C">
              <w:rPr>
                <w:noProof/>
                <w:webHidden/>
              </w:rPr>
              <w:t>162</w:t>
            </w:r>
            <w:r>
              <w:rPr>
                <w:noProof/>
                <w:webHidden/>
              </w:rPr>
              <w:fldChar w:fldCharType="end"/>
            </w:r>
          </w:hyperlink>
        </w:p>
        <w:p w14:paraId="0F3E68AD" w14:textId="317CABB1"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34" w:history="1">
            <w:r w:rsidRPr="005A0CE6">
              <w:rPr>
                <w:rStyle w:val="Hyperlink"/>
                <w:noProof/>
              </w:rPr>
              <w:t>13.3.1 Legal framework references</w:t>
            </w:r>
            <w:r>
              <w:rPr>
                <w:noProof/>
                <w:webHidden/>
              </w:rPr>
              <w:tab/>
            </w:r>
            <w:r>
              <w:rPr>
                <w:noProof/>
                <w:webHidden/>
              </w:rPr>
              <w:fldChar w:fldCharType="begin"/>
            </w:r>
            <w:r>
              <w:rPr>
                <w:noProof/>
                <w:webHidden/>
              </w:rPr>
              <w:instrText xml:space="preserve"> PAGEREF _Toc229036334 \h </w:instrText>
            </w:r>
            <w:r>
              <w:rPr>
                <w:noProof/>
                <w:webHidden/>
              </w:rPr>
            </w:r>
            <w:r>
              <w:rPr>
                <w:noProof/>
                <w:webHidden/>
              </w:rPr>
              <w:fldChar w:fldCharType="separate"/>
            </w:r>
            <w:r w:rsidR="006D621C">
              <w:rPr>
                <w:noProof/>
                <w:webHidden/>
              </w:rPr>
              <w:t>162</w:t>
            </w:r>
            <w:r>
              <w:rPr>
                <w:noProof/>
                <w:webHidden/>
              </w:rPr>
              <w:fldChar w:fldCharType="end"/>
            </w:r>
          </w:hyperlink>
        </w:p>
        <w:p w14:paraId="684272D0" w14:textId="46ADE8B2"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35" w:history="1">
            <w:r w:rsidRPr="005A0CE6">
              <w:rPr>
                <w:rStyle w:val="Hyperlink"/>
                <w:noProof/>
              </w:rPr>
              <w:t>13.3.2 Reports, studies, papers, regional plans and strategies</w:t>
            </w:r>
            <w:r>
              <w:rPr>
                <w:noProof/>
                <w:webHidden/>
              </w:rPr>
              <w:tab/>
            </w:r>
            <w:r>
              <w:rPr>
                <w:noProof/>
                <w:webHidden/>
              </w:rPr>
              <w:fldChar w:fldCharType="begin"/>
            </w:r>
            <w:r>
              <w:rPr>
                <w:noProof/>
                <w:webHidden/>
              </w:rPr>
              <w:instrText xml:space="preserve"> PAGEREF _Toc229036335 \h </w:instrText>
            </w:r>
            <w:r>
              <w:rPr>
                <w:noProof/>
                <w:webHidden/>
              </w:rPr>
            </w:r>
            <w:r>
              <w:rPr>
                <w:noProof/>
                <w:webHidden/>
              </w:rPr>
              <w:fldChar w:fldCharType="separate"/>
            </w:r>
            <w:r w:rsidR="006D621C">
              <w:rPr>
                <w:noProof/>
                <w:webHidden/>
              </w:rPr>
              <w:t>165</w:t>
            </w:r>
            <w:r>
              <w:rPr>
                <w:noProof/>
                <w:webHidden/>
              </w:rPr>
              <w:fldChar w:fldCharType="end"/>
            </w:r>
          </w:hyperlink>
        </w:p>
        <w:p w14:paraId="583B77B8" w14:textId="51191DB3"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36" w:history="1">
            <w:r w:rsidRPr="005A0CE6">
              <w:rPr>
                <w:rStyle w:val="Hyperlink"/>
                <w:noProof/>
              </w:rPr>
              <w:t>13.4 Best practice examples (nutrient/pesticide management in karst; wastewater solutions)</w:t>
            </w:r>
            <w:r>
              <w:rPr>
                <w:noProof/>
                <w:webHidden/>
              </w:rPr>
              <w:tab/>
            </w:r>
            <w:r>
              <w:rPr>
                <w:noProof/>
                <w:webHidden/>
              </w:rPr>
              <w:fldChar w:fldCharType="begin"/>
            </w:r>
            <w:r>
              <w:rPr>
                <w:noProof/>
                <w:webHidden/>
              </w:rPr>
              <w:instrText xml:space="preserve"> PAGEREF _Toc229036336 \h </w:instrText>
            </w:r>
            <w:r>
              <w:rPr>
                <w:noProof/>
                <w:webHidden/>
              </w:rPr>
            </w:r>
            <w:r>
              <w:rPr>
                <w:noProof/>
                <w:webHidden/>
              </w:rPr>
              <w:fldChar w:fldCharType="separate"/>
            </w:r>
            <w:r w:rsidR="006D621C">
              <w:rPr>
                <w:noProof/>
                <w:webHidden/>
              </w:rPr>
              <w:t>168</w:t>
            </w:r>
            <w:r>
              <w:rPr>
                <w:noProof/>
                <w:webHidden/>
              </w:rPr>
              <w:fldChar w:fldCharType="end"/>
            </w:r>
          </w:hyperlink>
        </w:p>
        <w:p w14:paraId="7C6CA5BB" w14:textId="35FE3A4C"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37" w:history="1">
            <w:r w:rsidRPr="005A0CE6">
              <w:rPr>
                <w:rStyle w:val="Hyperlink"/>
                <w:noProof/>
              </w:rPr>
              <w:t>13.5 Qualitative indicators for groundwater governance (example)</w:t>
            </w:r>
            <w:r>
              <w:rPr>
                <w:noProof/>
                <w:webHidden/>
              </w:rPr>
              <w:tab/>
            </w:r>
            <w:r>
              <w:rPr>
                <w:noProof/>
                <w:webHidden/>
              </w:rPr>
              <w:fldChar w:fldCharType="begin"/>
            </w:r>
            <w:r>
              <w:rPr>
                <w:noProof/>
                <w:webHidden/>
              </w:rPr>
              <w:instrText xml:space="preserve"> PAGEREF _Toc229036337 \h </w:instrText>
            </w:r>
            <w:r>
              <w:rPr>
                <w:noProof/>
                <w:webHidden/>
              </w:rPr>
            </w:r>
            <w:r>
              <w:rPr>
                <w:noProof/>
                <w:webHidden/>
              </w:rPr>
              <w:fldChar w:fldCharType="separate"/>
            </w:r>
            <w:r w:rsidR="006D621C">
              <w:rPr>
                <w:noProof/>
                <w:webHidden/>
              </w:rPr>
              <w:t>170</w:t>
            </w:r>
            <w:r>
              <w:rPr>
                <w:noProof/>
                <w:webHidden/>
              </w:rPr>
              <w:fldChar w:fldCharType="end"/>
            </w:r>
          </w:hyperlink>
        </w:p>
        <w:p w14:paraId="6F1EF99B" w14:textId="644B8445"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38" w:history="1">
            <w:r w:rsidRPr="005A0CE6">
              <w:rPr>
                <w:rStyle w:val="Hyperlink"/>
                <w:noProof/>
              </w:rPr>
              <w:t>13.5.1 Indicator category: Institutional</w:t>
            </w:r>
            <w:r>
              <w:rPr>
                <w:noProof/>
                <w:webHidden/>
              </w:rPr>
              <w:tab/>
            </w:r>
            <w:r>
              <w:rPr>
                <w:noProof/>
                <w:webHidden/>
              </w:rPr>
              <w:fldChar w:fldCharType="begin"/>
            </w:r>
            <w:r>
              <w:rPr>
                <w:noProof/>
                <w:webHidden/>
              </w:rPr>
              <w:instrText xml:space="preserve"> PAGEREF _Toc229036338 \h </w:instrText>
            </w:r>
            <w:r>
              <w:rPr>
                <w:noProof/>
                <w:webHidden/>
              </w:rPr>
            </w:r>
            <w:r>
              <w:rPr>
                <w:noProof/>
                <w:webHidden/>
              </w:rPr>
              <w:fldChar w:fldCharType="separate"/>
            </w:r>
            <w:r w:rsidR="006D621C">
              <w:rPr>
                <w:noProof/>
                <w:webHidden/>
              </w:rPr>
              <w:t>170</w:t>
            </w:r>
            <w:r>
              <w:rPr>
                <w:noProof/>
                <w:webHidden/>
              </w:rPr>
              <w:fldChar w:fldCharType="end"/>
            </w:r>
          </w:hyperlink>
        </w:p>
        <w:p w14:paraId="125AA71F" w14:textId="63C4B88C"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39" w:history="1">
            <w:r w:rsidRPr="005A0CE6">
              <w:rPr>
                <w:rStyle w:val="Hyperlink"/>
                <w:noProof/>
              </w:rPr>
              <w:t>13.5.2 Indicator category: Legal &amp; Fiscal</w:t>
            </w:r>
            <w:r>
              <w:rPr>
                <w:noProof/>
                <w:webHidden/>
              </w:rPr>
              <w:tab/>
            </w:r>
            <w:r>
              <w:rPr>
                <w:noProof/>
                <w:webHidden/>
              </w:rPr>
              <w:fldChar w:fldCharType="begin"/>
            </w:r>
            <w:r>
              <w:rPr>
                <w:noProof/>
                <w:webHidden/>
              </w:rPr>
              <w:instrText xml:space="preserve"> PAGEREF _Toc229036339 \h </w:instrText>
            </w:r>
            <w:r>
              <w:rPr>
                <w:noProof/>
                <w:webHidden/>
              </w:rPr>
            </w:r>
            <w:r>
              <w:rPr>
                <w:noProof/>
                <w:webHidden/>
              </w:rPr>
              <w:fldChar w:fldCharType="separate"/>
            </w:r>
            <w:r w:rsidR="006D621C">
              <w:rPr>
                <w:noProof/>
                <w:webHidden/>
              </w:rPr>
              <w:t>171</w:t>
            </w:r>
            <w:r>
              <w:rPr>
                <w:noProof/>
                <w:webHidden/>
              </w:rPr>
              <w:fldChar w:fldCharType="end"/>
            </w:r>
          </w:hyperlink>
        </w:p>
        <w:p w14:paraId="3ACA14D2" w14:textId="5AB0E196"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40" w:history="1">
            <w:r w:rsidRPr="005A0CE6">
              <w:rPr>
                <w:rStyle w:val="Hyperlink"/>
                <w:noProof/>
              </w:rPr>
              <w:t>13.5.3 Indicator category: Technical</w:t>
            </w:r>
            <w:r>
              <w:rPr>
                <w:noProof/>
                <w:webHidden/>
              </w:rPr>
              <w:tab/>
            </w:r>
            <w:r>
              <w:rPr>
                <w:noProof/>
                <w:webHidden/>
              </w:rPr>
              <w:fldChar w:fldCharType="begin"/>
            </w:r>
            <w:r>
              <w:rPr>
                <w:noProof/>
                <w:webHidden/>
              </w:rPr>
              <w:instrText xml:space="preserve"> PAGEREF _Toc229036340 \h </w:instrText>
            </w:r>
            <w:r>
              <w:rPr>
                <w:noProof/>
                <w:webHidden/>
              </w:rPr>
            </w:r>
            <w:r>
              <w:rPr>
                <w:noProof/>
                <w:webHidden/>
              </w:rPr>
              <w:fldChar w:fldCharType="separate"/>
            </w:r>
            <w:r w:rsidR="006D621C">
              <w:rPr>
                <w:noProof/>
                <w:webHidden/>
              </w:rPr>
              <w:t>172</w:t>
            </w:r>
            <w:r>
              <w:rPr>
                <w:noProof/>
                <w:webHidden/>
              </w:rPr>
              <w:fldChar w:fldCharType="end"/>
            </w:r>
          </w:hyperlink>
        </w:p>
        <w:p w14:paraId="758D9DD8" w14:textId="62A6560B" w:rsidR="009B25D8" w:rsidRDefault="009B25D8">
          <w:pPr>
            <w:pStyle w:val="TOC3"/>
            <w:tabs>
              <w:tab w:val="right" w:leader="dot" w:pos="9016"/>
            </w:tabs>
            <w:rPr>
              <w:rFonts w:eastAsiaTheme="minorEastAsia"/>
              <w:noProof/>
              <w:kern w:val="2"/>
              <w:sz w:val="24"/>
              <w:szCs w:val="24"/>
              <w:lang w:val="hr-HR" w:eastAsia="hr-HR"/>
              <w14:ligatures w14:val="standardContextual"/>
            </w:rPr>
          </w:pPr>
          <w:hyperlink w:anchor="_Toc229036341" w:history="1">
            <w:r w:rsidRPr="005A0CE6">
              <w:rPr>
                <w:rStyle w:val="Hyperlink"/>
                <w:noProof/>
              </w:rPr>
              <w:t>13.5.4 Indicator category: Policy &amp; Planning</w:t>
            </w:r>
            <w:r>
              <w:rPr>
                <w:noProof/>
                <w:webHidden/>
              </w:rPr>
              <w:tab/>
            </w:r>
            <w:r>
              <w:rPr>
                <w:noProof/>
                <w:webHidden/>
              </w:rPr>
              <w:fldChar w:fldCharType="begin"/>
            </w:r>
            <w:r>
              <w:rPr>
                <w:noProof/>
                <w:webHidden/>
              </w:rPr>
              <w:instrText xml:space="preserve"> PAGEREF _Toc229036341 \h </w:instrText>
            </w:r>
            <w:r>
              <w:rPr>
                <w:noProof/>
                <w:webHidden/>
              </w:rPr>
            </w:r>
            <w:r>
              <w:rPr>
                <w:noProof/>
                <w:webHidden/>
              </w:rPr>
              <w:fldChar w:fldCharType="separate"/>
            </w:r>
            <w:r w:rsidR="006D621C">
              <w:rPr>
                <w:noProof/>
                <w:webHidden/>
              </w:rPr>
              <w:t>173</w:t>
            </w:r>
            <w:r>
              <w:rPr>
                <w:noProof/>
                <w:webHidden/>
              </w:rPr>
              <w:fldChar w:fldCharType="end"/>
            </w:r>
          </w:hyperlink>
        </w:p>
        <w:p w14:paraId="54ED5457" w14:textId="0730D511" w:rsidR="009B25D8" w:rsidRDefault="009B25D8">
          <w:pPr>
            <w:pStyle w:val="TOC2"/>
            <w:tabs>
              <w:tab w:val="right" w:leader="dot" w:pos="9016"/>
            </w:tabs>
            <w:rPr>
              <w:rFonts w:eastAsiaTheme="minorEastAsia"/>
              <w:noProof/>
              <w:kern w:val="2"/>
              <w:sz w:val="24"/>
              <w:szCs w:val="24"/>
              <w:lang w:val="hr-HR" w:eastAsia="hr-HR"/>
              <w14:ligatures w14:val="standardContextual"/>
            </w:rPr>
          </w:pPr>
          <w:hyperlink w:anchor="_Toc229036342" w:history="1">
            <w:r w:rsidRPr="005A0CE6">
              <w:rPr>
                <w:rStyle w:val="Hyperlink"/>
                <w:noProof/>
              </w:rPr>
              <w:t>13.6 Methodological tools and templates for indicator tracking</w:t>
            </w:r>
            <w:r>
              <w:rPr>
                <w:noProof/>
                <w:webHidden/>
              </w:rPr>
              <w:tab/>
            </w:r>
            <w:r>
              <w:rPr>
                <w:noProof/>
                <w:webHidden/>
              </w:rPr>
              <w:fldChar w:fldCharType="begin"/>
            </w:r>
            <w:r>
              <w:rPr>
                <w:noProof/>
                <w:webHidden/>
              </w:rPr>
              <w:instrText xml:space="preserve"> PAGEREF _Toc229036342 \h </w:instrText>
            </w:r>
            <w:r>
              <w:rPr>
                <w:noProof/>
                <w:webHidden/>
              </w:rPr>
            </w:r>
            <w:r>
              <w:rPr>
                <w:noProof/>
                <w:webHidden/>
              </w:rPr>
              <w:fldChar w:fldCharType="separate"/>
            </w:r>
            <w:r w:rsidR="006D621C">
              <w:rPr>
                <w:noProof/>
                <w:webHidden/>
              </w:rPr>
              <w:t>174</w:t>
            </w:r>
            <w:r>
              <w:rPr>
                <w:noProof/>
                <w:webHidden/>
              </w:rPr>
              <w:fldChar w:fldCharType="end"/>
            </w:r>
          </w:hyperlink>
        </w:p>
        <w:p w14:paraId="5E468881" w14:textId="2FC96499" w:rsidR="00203D85" w:rsidRDefault="00203D85">
          <w:r>
            <w:rPr>
              <w:b/>
              <w:bCs/>
              <w:noProof/>
            </w:rPr>
            <w:fldChar w:fldCharType="end"/>
          </w:r>
        </w:p>
      </w:sdtContent>
    </w:sdt>
    <w:p w14:paraId="22383CD2" w14:textId="77777777" w:rsidR="00E176E9" w:rsidRPr="00D60A13" w:rsidRDefault="00E176E9" w:rsidP="00C94859">
      <w:pPr>
        <w:rPr>
          <w:rFonts w:cstheme="minorHAnsi"/>
          <w:b/>
          <w:bCs/>
          <w:color w:val="0070C0"/>
          <w:sz w:val="28"/>
          <w:szCs w:val="28"/>
        </w:rPr>
      </w:pPr>
    </w:p>
    <w:p w14:paraId="5F0DA0B5" w14:textId="2EC1D686" w:rsidR="00AA091F" w:rsidRPr="00D60A13" w:rsidRDefault="004D1A18" w:rsidP="00DD1361">
      <w:pPr>
        <w:tabs>
          <w:tab w:val="left" w:pos="8364"/>
        </w:tabs>
      </w:pPr>
      <w:r w:rsidRPr="00D60A13">
        <w:tab/>
      </w:r>
      <w:r w:rsidRPr="00D60A13">
        <w:tab/>
      </w:r>
      <w:r w:rsidR="00AA091F" w:rsidRPr="00D60A13">
        <w:rPr>
          <w:rFonts w:ascii="Calibri" w:hAnsi="Calibri" w:cs="Calibri"/>
          <w:b/>
          <w:bCs/>
          <w:color w:val="000000"/>
        </w:rPr>
        <w:br w:type="page"/>
      </w:r>
    </w:p>
    <w:p w14:paraId="4771BB02" w14:textId="5F6EE702" w:rsidR="005833C2" w:rsidRDefault="00FE1990" w:rsidP="005833C2">
      <w:pPr>
        <w:autoSpaceDE w:val="0"/>
        <w:autoSpaceDN w:val="0"/>
        <w:adjustRightInd w:val="0"/>
        <w:spacing w:after="0" w:line="240" w:lineRule="auto"/>
        <w:rPr>
          <w:rFonts w:asciiTheme="majorHAnsi" w:hAnsiTheme="majorHAnsi" w:cstheme="majorHAnsi"/>
          <w:color w:val="0070C0"/>
          <w:sz w:val="32"/>
          <w:szCs w:val="32"/>
        </w:rPr>
      </w:pPr>
      <w:r w:rsidRPr="00D60A13">
        <w:rPr>
          <w:rFonts w:asciiTheme="majorHAnsi" w:hAnsiTheme="majorHAnsi" w:cstheme="majorHAnsi"/>
          <w:color w:val="0070C0"/>
          <w:sz w:val="32"/>
          <w:szCs w:val="32"/>
        </w:rPr>
        <w:lastRenderedPageBreak/>
        <w:t>List of Figures</w:t>
      </w:r>
    </w:p>
    <w:p w14:paraId="4F07B566" w14:textId="77777777" w:rsidR="006D621C" w:rsidRPr="006D621C" w:rsidRDefault="006D621C" w:rsidP="005833C2">
      <w:pPr>
        <w:autoSpaceDE w:val="0"/>
        <w:autoSpaceDN w:val="0"/>
        <w:adjustRightInd w:val="0"/>
        <w:spacing w:after="0" w:line="240" w:lineRule="auto"/>
        <w:rPr>
          <w:rFonts w:asciiTheme="majorHAnsi" w:hAnsiTheme="majorHAnsi" w:cstheme="majorHAnsi"/>
          <w:color w:val="0070C0"/>
          <w:sz w:val="12"/>
          <w:szCs w:val="12"/>
        </w:rPr>
      </w:pPr>
    </w:p>
    <w:p w14:paraId="0AE00EE7" w14:textId="733216DE"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r>
        <w:rPr>
          <w:rFonts w:ascii="Calibri" w:hAnsi="Calibri" w:cs="Calibri"/>
          <w:color w:val="000000"/>
        </w:rPr>
        <w:fldChar w:fldCharType="begin"/>
      </w:r>
      <w:r>
        <w:rPr>
          <w:rFonts w:ascii="Calibri" w:hAnsi="Calibri" w:cs="Calibri"/>
          <w:color w:val="000000"/>
        </w:rPr>
        <w:instrText xml:space="preserve"> TOC \h \z \c "Figure" </w:instrText>
      </w:r>
      <w:r>
        <w:rPr>
          <w:rFonts w:ascii="Calibri" w:hAnsi="Calibri" w:cs="Calibri"/>
          <w:color w:val="000000"/>
        </w:rPr>
        <w:fldChar w:fldCharType="separate"/>
      </w:r>
      <w:hyperlink w:anchor="_Toc229037706" w:history="1">
        <w:r w:rsidRPr="00E43085">
          <w:rPr>
            <w:rStyle w:val="Hyperlink"/>
            <w:noProof/>
          </w:rPr>
          <w:t>Figure 1 Topographic map with Neretva TBA boundary</w:t>
        </w:r>
        <w:r>
          <w:rPr>
            <w:noProof/>
            <w:webHidden/>
          </w:rPr>
          <w:tab/>
        </w:r>
        <w:r>
          <w:rPr>
            <w:noProof/>
            <w:webHidden/>
          </w:rPr>
          <w:fldChar w:fldCharType="begin"/>
        </w:r>
        <w:r>
          <w:rPr>
            <w:noProof/>
            <w:webHidden/>
          </w:rPr>
          <w:instrText xml:space="preserve"> PAGEREF _Toc229037706 \h </w:instrText>
        </w:r>
        <w:r>
          <w:rPr>
            <w:noProof/>
            <w:webHidden/>
          </w:rPr>
        </w:r>
        <w:r>
          <w:rPr>
            <w:noProof/>
            <w:webHidden/>
          </w:rPr>
          <w:fldChar w:fldCharType="separate"/>
        </w:r>
        <w:r>
          <w:rPr>
            <w:noProof/>
            <w:webHidden/>
          </w:rPr>
          <w:t>3</w:t>
        </w:r>
        <w:r>
          <w:rPr>
            <w:noProof/>
            <w:webHidden/>
          </w:rPr>
          <w:fldChar w:fldCharType="end"/>
        </w:r>
      </w:hyperlink>
    </w:p>
    <w:p w14:paraId="50A865E5" w14:textId="30D3494A"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07" w:history="1">
        <w:r w:rsidRPr="00E43085">
          <w:rPr>
            <w:rStyle w:val="Hyperlink"/>
            <w:noProof/>
          </w:rPr>
          <w:t>Figure 2 Hydrogeological map with general groundwater flow directions (tracing test)</w:t>
        </w:r>
        <w:r>
          <w:rPr>
            <w:noProof/>
            <w:webHidden/>
          </w:rPr>
          <w:tab/>
        </w:r>
        <w:r>
          <w:rPr>
            <w:noProof/>
            <w:webHidden/>
          </w:rPr>
          <w:fldChar w:fldCharType="begin"/>
        </w:r>
        <w:r>
          <w:rPr>
            <w:noProof/>
            <w:webHidden/>
          </w:rPr>
          <w:instrText xml:space="preserve"> PAGEREF _Toc229037707 \h </w:instrText>
        </w:r>
        <w:r>
          <w:rPr>
            <w:noProof/>
            <w:webHidden/>
          </w:rPr>
        </w:r>
        <w:r>
          <w:rPr>
            <w:noProof/>
            <w:webHidden/>
          </w:rPr>
          <w:fldChar w:fldCharType="separate"/>
        </w:r>
        <w:r>
          <w:rPr>
            <w:noProof/>
            <w:webHidden/>
          </w:rPr>
          <w:t>46</w:t>
        </w:r>
        <w:r>
          <w:rPr>
            <w:noProof/>
            <w:webHidden/>
          </w:rPr>
          <w:fldChar w:fldCharType="end"/>
        </w:r>
      </w:hyperlink>
    </w:p>
    <w:p w14:paraId="6759E1F3" w14:textId="4897BF26"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08" w:history="1">
        <w:r w:rsidRPr="00E43085">
          <w:rPr>
            <w:rStyle w:val="Hyperlink"/>
            <w:noProof/>
          </w:rPr>
          <w:t>Figure 3 Aquatic ecosystems dependent on groundwater in the Neretva groundwater body in Croatia</w:t>
        </w:r>
        <w:r>
          <w:rPr>
            <w:noProof/>
            <w:webHidden/>
          </w:rPr>
          <w:tab/>
        </w:r>
        <w:r>
          <w:rPr>
            <w:noProof/>
            <w:webHidden/>
          </w:rPr>
          <w:fldChar w:fldCharType="begin"/>
        </w:r>
        <w:r>
          <w:rPr>
            <w:noProof/>
            <w:webHidden/>
          </w:rPr>
          <w:instrText xml:space="preserve"> PAGEREF _Toc229037708 \h </w:instrText>
        </w:r>
        <w:r>
          <w:rPr>
            <w:noProof/>
            <w:webHidden/>
          </w:rPr>
        </w:r>
        <w:r>
          <w:rPr>
            <w:noProof/>
            <w:webHidden/>
          </w:rPr>
          <w:fldChar w:fldCharType="separate"/>
        </w:r>
        <w:r>
          <w:rPr>
            <w:noProof/>
            <w:webHidden/>
          </w:rPr>
          <w:t>55</w:t>
        </w:r>
        <w:r>
          <w:rPr>
            <w:noProof/>
            <w:webHidden/>
          </w:rPr>
          <w:fldChar w:fldCharType="end"/>
        </w:r>
      </w:hyperlink>
    </w:p>
    <w:p w14:paraId="7E3E065C" w14:textId="39A36200"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09" w:history="1">
        <w:r w:rsidRPr="00E43085">
          <w:rPr>
            <w:rStyle w:val="Hyperlink"/>
            <w:noProof/>
          </w:rPr>
          <w:t>Figure 4 Groundwater monitoring in Neretva TBA</w:t>
        </w:r>
        <w:r>
          <w:rPr>
            <w:noProof/>
            <w:webHidden/>
          </w:rPr>
          <w:tab/>
        </w:r>
        <w:r>
          <w:rPr>
            <w:noProof/>
            <w:webHidden/>
          </w:rPr>
          <w:fldChar w:fldCharType="begin"/>
        </w:r>
        <w:r>
          <w:rPr>
            <w:noProof/>
            <w:webHidden/>
          </w:rPr>
          <w:instrText xml:space="preserve"> PAGEREF _Toc229037709 \h </w:instrText>
        </w:r>
        <w:r>
          <w:rPr>
            <w:noProof/>
            <w:webHidden/>
          </w:rPr>
        </w:r>
        <w:r>
          <w:rPr>
            <w:noProof/>
            <w:webHidden/>
          </w:rPr>
          <w:fldChar w:fldCharType="separate"/>
        </w:r>
        <w:r>
          <w:rPr>
            <w:noProof/>
            <w:webHidden/>
          </w:rPr>
          <w:t>62</w:t>
        </w:r>
        <w:r>
          <w:rPr>
            <w:noProof/>
            <w:webHidden/>
          </w:rPr>
          <w:fldChar w:fldCharType="end"/>
        </w:r>
      </w:hyperlink>
    </w:p>
    <w:p w14:paraId="2C86E485" w14:textId="5778E7AD"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10" w:history="1">
        <w:r w:rsidRPr="00E43085">
          <w:rPr>
            <w:rStyle w:val="Hyperlink"/>
            <w:noProof/>
          </w:rPr>
          <w:t>Figure 5 Surface water monitoring in Neretva TBA</w:t>
        </w:r>
        <w:r>
          <w:rPr>
            <w:noProof/>
            <w:webHidden/>
          </w:rPr>
          <w:tab/>
        </w:r>
        <w:r>
          <w:rPr>
            <w:noProof/>
            <w:webHidden/>
          </w:rPr>
          <w:fldChar w:fldCharType="begin"/>
        </w:r>
        <w:r>
          <w:rPr>
            <w:noProof/>
            <w:webHidden/>
          </w:rPr>
          <w:instrText xml:space="preserve"> PAGEREF _Toc229037710 \h </w:instrText>
        </w:r>
        <w:r>
          <w:rPr>
            <w:noProof/>
            <w:webHidden/>
          </w:rPr>
        </w:r>
        <w:r>
          <w:rPr>
            <w:noProof/>
            <w:webHidden/>
          </w:rPr>
          <w:fldChar w:fldCharType="separate"/>
        </w:r>
        <w:r>
          <w:rPr>
            <w:noProof/>
            <w:webHidden/>
          </w:rPr>
          <w:t>63</w:t>
        </w:r>
        <w:r>
          <w:rPr>
            <w:noProof/>
            <w:webHidden/>
          </w:rPr>
          <w:fldChar w:fldCharType="end"/>
        </w:r>
      </w:hyperlink>
    </w:p>
    <w:p w14:paraId="4DF987C6" w14:textId="071E9051"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11" w:history="1">
        <w:r w:rsidRPr="00E43085">
          <w:rPr>
            <w:rStyle w:val="Hyperlink"/>
            <w:noProof/>
          </w:rPr>
          <w:t>Figure 6 Meteorological and hydrological stations in TBA Neretva</w:t>
        </w:r>
        <w:r>
          <w:rPr>
            <w:noProof/>
            <w:webHidden/>
          </w:rPr>
          <w:tab/>
        </w:r>
        <w:r>
          <w:rPr>
            <w:noProof/>
            <w:webHidden/>
          </w:rPr>
          <w:fldChar w:fldCharType="begin"/>
        </w:r>
        <w:r>
          <w:rPr>
            <w:noProof/>
            <w:webHidden/>
          </w:rPr>
          <w:instrText xml:space="preserve"> PAGEREF _Toc229037711 \h </w:instrText>
        </w:r>
        <w:r>
          <w:rPr>
            <w:noProof/>
            <w:webHidden/>
          </w:rPr>
        </w:r>
        <w:r>
          <w:rPr>
            <w:noProof/>
            <w:webHidden/>
          </w:rPr>
          <w:fldChar w:fldCharType="separate"/>
        </w:r>
        <w:r>
          <w:rPr>
            <w:noProof/>
            <w:webHidden/>
          </w:rPr>
          <w:t>64</w:t>
        </w:r>
        <w:r>
          <w:rPr>
            <w:noProof/>
            <w:webHidden/>
          </w:rPr>
          <w:fldChar w:fldCharType="end"/>
        </w:r>
      </w:hyperlink>
    </w:p>
    <w:p w14:paraId="78DA9F60" w14:textId="37965CA1"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12" w:history="1">
        <w:r w:rsidRPr="00E43085">
          <w:rPr>
            <w:rStyle w:val="Hyperlink"/>
            <w:noProof/>
          </w:rPr>
          <w:t>Figure 7 Vulnerability map of grouped GWB Neretva (Faculty of Geotechnical Engineering, 2016) and GWBs in Adriatic Sea Basin of FBIH</w:t>
        </w:r>
        <w:r>
          <w:rPr>
            <w:noProof/>
            <w:webHidden/>
          </w:rPr>
          <w:tab/>
        </w:r>
        <w:r>
          <w:rPr>
            <w:noProof/>
            <w:webHidden/>
          </w:rPr>
          <w:fldChar w:fldCharType="begin"/>
        </w:r>
        <w:r>
          <w:rPr>
            <w:noProof/>
            <w:webHidden/>
          </w:rPr>
          <w:instrText xml:space="preserve"> PAGEREF _Toc229037712 \h </w:instrText>
        </w:r>
        <w:r>
          <w:rPr>
            <w:noProof/>
            <w:webHidden/>
          </w:rPr>
        </w:r>
        <w:r>
          <w:rPr>
            <w:noProof/>
            <w:webHidden/>
          </w:rPr>
          <w:fldChar w:fldCharType="separate"/>
        </w:r>
        <w:r>
          <w:rPr>
            <w:noProof/>
            <w:webHidden/>
          </w:rPr>
          <w:t>102</w:t>
        </w:r>
        <w:r>
          <w:rPr>
            <w:noProof/>
            <w:webHidden/>
          </w:rPr>
          <w:fldChar w:fldCharType="end"/>
        </w:r>
      </w:hyperlink>
    </w:p>
    <w:p w14:paraId="76212E04" w14:textId="3E4B4573"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13" w:history="1">
        <w:r w:rsidRPr="00E43085">
          <w:rPr>
            <w:rStyle w:val="Hyperlink"/>
            <w:noProof/>
          </w:rPr>
          <w:t>Figure 8 Sanitary protection zones for Prud spring (Croatian Geological Survey and Integra, 2020)</w:t>
        </w:r>
        <w:r>
          <w:rPr>
            <w:noProof/>
            <w:webHidden/>
          </w:rPr>
          <w:tab/>
        </w:r>
        <w:r>
          <w:rPr>
            <w:noProof/>
            <w:webHidden/>
          </w:rPr>
          <w:fldChar w:fldCharType="begin"/>
        </w:r>
        <w:r>
          <w:rPr>
            <w:noProof/>
            <w:webHidden/>
          </w:rPr>
          <w:instrText xml:space="preserve"> PAGEREF _Toc229037713 \h </w:instrText>
        </w:r>
        <w:r>
          <w:rPr>
            <w:noProof/>
            <w:webHidden/>
          </w:rPr>
        </w:r>
        <w:r>
          <w:rPr>
            <w:noProof/>
            <w:webHidden/>
          </w:rPr>
          <w:fldChar w:fldCharType="separate"/>
        </w:r>
        <w:r>
          <w:rPr>
            <w:noProof/>
            <w:webHidden/>
          </w:rPr>
          <w:t>107</w:t>
        </w:r>
        <w:r>
          <w:rPr>
            <w:noProof/>
            <w:webHidden/>
          </w:rPr>
          <w:fldChar w:fldCharType="end"/>
        </w:r>
      </w:hyperlink>
    </w:p>
    <w:p w14:paraId="71EF514D" w14:textId="604BE350"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14" w:history="1">
        <w:r w:rsidRPr="00E43085">
          <w:rPr>
            <w:rStyle w:val="Hyperlink"/>
            <w:noProof/>
          </w:rPr>
          <w:t>Figure 9 Sanitary protection zones for Prud spring and Opačac, Grudsko vrilo and Vrioštica (Croatian Geological Survey and Integra, 2020)</w:t>
        </w:r>
        <w:r>
          <w:rPr>
            <w:noProof/>
            <w:webHidden/>
          </w:rPr>
          <w:tab/>
        </w:r>
        <w:r>
          <w:rPr>
            <w:noProof/>
            <w:webHidden/>
          </w:rPr>
          <w:fldChar w:fldCharType="begin"/>
        </w:r>
        <w:r>
          <w:rPr>
            <w:noProof/>
            <w:webHidden/>
          </w:rPr>
          <w:instrText xml:space="preserve"> PAGEREF _Toc229037714 \h </w:instrText>
        </w:r>
        <w:r>
          <w:rPr>
            <w:noProof/>
            <w:webHidden/>
          </w:rPr>
        </w:r>
        <w:r>
          <w:rPr>
            <w:noProof/>
            <w:webHidden/>
          </w:rPr>
          <w:fldChar w:fldCharType="separate"/>
        </w:r>
        <w:r>
          <w:rPr>
            <w:noProof/>
            <w:webHidden/>
          </w:rPr>
          <w:t>108</w:t>
        </w:r>
        <w:r>
          <w:rPr>
            <w:noProof/>
            <w:webHidden/>
          </w:rPr>
          <w:fldChar w:fldCharType="end"/>
        </w:r>
      </w:hyperlink>
    </w:p>
    <w:p w14:paraId="050EEEF0" w14:textId="24D189D0"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15" w:history="1">
        <w:r w:rsidRPr="00E43085">
          <w:rPr>
            <w:rStyle w:val="Hyperlink"/>
            <w:noProof/>
          </w:rPr>
          <w:t>Figure 10 Risk based approach for planning, design, and operation of MAR systems with treated wastewater in Neretva TBA (modified according to Yuan et al., 2016)</w:t>
        </w:r>
        <w:r>
          <w:rPr>
            <w:noProof/>
            <w:webHidden/>
          </w:rPr>
          <w:tab/>
        </w:r>
        <w:r>
          <w:rPr>
            <w:noProof/>
            <w:webHidden/>
          </w:rPr>
          <w:fldChar w:fldCharType="begin"/>
        </w:r>
        <w:r>
          <w:rPr>
            <w:noProof/>
            <w:webHidden/>
          </w:rPr>
          <w:instrText xml:space="preserve"> PAGEREF _Toc229037715 \h </w:instrText>
        </w:r>
        <w:r>
          <w:rPr>
            <w:noProof/>
            <w:webHidden/>
          </w:rPr>
        </w:r>
        <w:r>
          <w:rPr>
            <w:noProof/>
            <w:webHidden/>
          </w:rPr>
          <w:fldChar w:fldCharType="separate"/>
        </w:r>
        <w:r>
          <w:rPr>
            <w:noProof/>
            <w:webHidden/>
          </w:rPr>
          <w:t>114</w:t>
        </w:r>
        <w:r>
          <w:rPr>
            <w:noProof/>
            <w:webHidden/>
          </w:rPr>
          <w:fldChar w:fldCharType="end"/>
        </w:r>
      </w:hyperlink>
    </w:p>
    <w:p w14:paraId="71200561" w14:textId="28F11952" w:rsidR="005833C2" w:rsidRPr="00D60A13" w:rsidRDefault="006D621C" w:rsidP="005833C2">
      <w:pPr>
        <w:autoSpaceDE w:val="0"/>
        <w:autoSpaceDN w:val="0"/>
        <w:adjustRightInd w:val="0"/>
        <w:spacing w:after="0" w:line="240" w:lineRule="auto"/>
        <w:rPr>
          <w:rFonts w:ascii="Calibri" w:hAnsi="Calibri" w:cs="Calibri"/>
          <w:color w:val="000000"/>
        </w:rPr>
      </w:pPr>
      <w:r>
        <w:rPr>
          <w:rFonts w:ascii="Calibri" w:hAnsi="Calibri" w:cs="Calibri"/>
          <w:color w:val="000000"/>
        </w:rPr>
        <w:fldChar w:fldCharType="end"/>
      </w:r>
    </w:p>
    <w:p w14:paraId="6ACB8078" w14:textId="77777777" w:rsidR="008B4164" w:rsidRPr="00D60A13" w:rsidRDefault="008B4164" w:rsidP="005833C2"/>
    <w:p w14:paraId="4AB8D36D" w14:textId="77777777" w:rsidR="00F61793" w:rsidRPr="00D60A13" w:rsidRDefault="00F61793">
      <w:pPr>
        <w:rPr>
          <w:b/>
          <w:bCs/>
        </w:rPr>
      </w:pPr>
      <w:bookmarkStart w:id="0" w:name="_Hlk215063336"/>
      <w:r w:rsidRPr="00D60A13">
        <w:rPr>
          <w:rFonts w:asciiTheme="majorHAnsi" w:hAnsiTheme="majorHAnsi" w:cstheme="majorHAnsi"/>
          <w:color w:val="0070C0"/>
          <w:sz w:val="32"/>
          <w:szCs w:val="32"/>
        </w:rPr>
        <w:t>List of Tables</w:t>
      </w:r>
      <w:r w:rsidRPr="00D60A13">
        <w:rPr>
          <w:b/>
          <w:bCs/>
        </w:rPr>
        <w:t xml:space="preserve"> </w:t>
      </w:r>
    </w:p>
    <w:p w14:paraId="27E47442" w14:textId="01CC2BA3"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r>
        <w:rPr>
          <w:b/>
          <w:bCs/>
        </w:rPr>
        <w:fldChar w:fldCharType="begin"/>
      </w:r>
      <w:r>
        <w:rPr>
          <w:b/>
          <w:bCs/>
        </w:rPr>
        <w:instrText xml:space="preserve"> TOC \h \z \c "Table" </w:instrText>
      </w:r>
      <w:r>
        <w:rPr>
          <w:b/>
          <w:bCs/>
        </w:rPr>
        <w:fldChar w:fldCharType="separate"/>
      </w:r>
      <w:hyperlink w:anchor="_Toc229037723" w:history="1">
        <w:r w:rsidRPr="008A7E62">
          <w:rPr>
            <w:rStyle w:val="Hyperlink"/>
            <w:noProof/>
          </w:rPr>
          <w:t>Table 1 Key characteristics of tourism-related pressures in Neretva TBA</w:t>
        </w:r>
        <w:r>
          <w:rPr>
            <w:noProof/>
            <w:webHidden/>
          </w:rPr>
          <w:tab/>
        </w:r>
        <w:r>
          <w:rPr>
            <w:noProof/>
            <w:webHidden/>
          </w:rPr>
          <w:fldChar w:fldCharType="begin"/>
        </w:r>
        <w:r>
          <w:rPr>
            <w:noProof/>
            <w:webHidden/>
          </w:rPr>
          <w:instrText xml:space="preserve"> PAGEREF _Toc229037723 \h </w:instrText>
        </w:r>
        <w:r>
          <w:rPr>
            <w:noProof/>
            <w:webHidden/>
          </w:rPr>
        </w:r>
        <w:r>
          <w:rPr>
            <w:noProof/>
            <w:webHidden/>
          </w:rPr>
          <w:fldChar w:fldCharType="separate"/>
        </w:r>
        <w:r>
          <w:rPr>
            <w:noProof/>
            <w:webHidden/>
          </w:rPr>
          <w:t>19</w:t>
        </w:r>
        <w:r>
          <w:rPr>
            <w:noProof/>
            <w:webHidden/>
          </w:rPr>
          <w:fldChar w:fldCharType="end"/>
        </w:r>
      </w:hyperlink>
    </w:p>
    <w:p w14:paraId="024CC62C" w14:textId="363F8628"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24" w:history="1">
        <w:r w:rsidRPr="008A7E62">
          <w:rPr>
            <w:rStyle w:val="Hyperlink"/>
            <w:noProof/>
          </w:rPr>
          <w:t>Table 2 Institutional framework for water management — Neretva TBA (Croatia vs Bosnia and Herzegovina)</w:t>
        </w:r>
        <w:r>
          <w:rPr>
            <w:noProof/>
            <w:webHidden/>
          </w:rPr>
          <w:tab/>
        </w:r>
        <w:r>
          <w:rPr>
            <w:noProof/>
            <w:webHidden/>
          </w:rPr>
          <w:fldChar w:fldCharType="begin"/>
        </w:r>
        <w:r>
          <w:rPr>
            <w:noProof/>
            <w:webHidden/>
          </w:rPr>
          <w:instrText xml:space="preserve"> PAGEREF _Toc229037724 \h </w:instrText>
        </w:r>
        <w:r>
          <w:rPr>
            <w:noProof/>
            <w:webHidden/>
          </w:rPr>
        </w:r>
        <w:r>
          <w:rPr>
            <w:noProof/>
            <w:webHidden/>
          </w:rPr>
          <w:fldChar w:fldCharType="separate"/>
        </w:r>
        <w:r>
          <w:rPr>
            <w:noProof/>
            <w:webHidden/>
          </w:rPr>
          <w:t>24</w:t>
        </w:r>
        <w:r>
          <w:rPr>
            <w:noProof/>
            <w:webHidden/>
          </w:rPr>
          <w:fldChar w:fldCharType="end"/>
        </w:r>
      </w:hyperlink>
    </w:p>
    <w:p w14:paraId="565B3051" w14:textId="30C12B00"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25" w:history="1">
        <w:r w:rsidRPr="008A7E62">
          <w:rPr>
            <w:rStyle w:val="Hyperlink"/>
            <w:noProof/>
          </w:rPr>
          <w:t>Table 3 Financial sources for the water sector (Croatia vs Bosnia and Herzegovina)</w:t>
        </w:r>
        <w:r>
          <w:rPr>
            <w:noProof/>
            <w:webHidden/>
          </w:rPr>
          <w:tab/>
        </w:r>
        <w:r>
          <w:rPr>
            <w:noProof/>
            <w:webHidden/>
          </w:rPr>
          <w:fldChar w:fldCharType="begin"/>
        </w:r>
        <w:r>
          <w:rPr>
            <w:noProof/>
            <w:webHidden/>
          </w:rPr>
          <w:instrText xml:space="preserve"> PAGEREF _Toc229037725 \h </w:instrText>
        </w:r>
        <w:r>
          <w:rPr>
            <w:noProof/>
            <w:webHidden/>
          </w:rPr>
        </w:r>
        <w:r>
          <w:rPr>
            <w:noProof/>
            <w:webHidden/>
          </w:rPr>
          <w:fldChar w:fldCharType="separate"/>
        </w:r>
        <w:r>
          <w:rPr>
            <w:noProof/>
            <w:webHidden/>
          </w:rPr>
          <w:t>24</w:t>
        </w:r>
        <w:r>
          <w:rPr>
            <w:noProof/>
            <w:webHidden/>
          </w:rPr>
          <w:fldChar w:fldCharType="end"/>
        </w:r>
      </w:hyperlink>
    </w:p>
    <w:p w14:paraId="03598553" w14:textId="4FBFAA0E"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26" w:history="1">
        <w:r w:rsidRPr="008A7E62">
          <w:rPr>
            <w:rStyle w:val="Hyperlink"/>
            <w:noProof/>
          </w:rPr>
          <w:t>Table 4 Stakeholder groups, roles, influence, dependency and engagement gaps in Neretva TBA</w:t>
        </w:r>
        <w:r>
          <w:rPr>
            <w:noProof/>
            <w:webHidden/>
          </w:rPr>
          <w:tab/>
        </w:r>
        <w:r>
          <w:rPr>
            <w:noProof/>
            <w:webHidden/>
          </w:rPr>
          <w:fldChar w:fldCharType="begin"/>
        </w:r>
        <w:r>
          <w:rPr>
            <w:noProof/>
            <w:webHidden/>
          </w:rPr>
          <w:instrText xml:space="preserve"> PAGEREF _Toc229037726 \h </w:instrText>
        </w:r>
        <w:r>
          <w:rPr>
            <w:noProof/>
            <w:webHidden/>
          </w:rPr>
        </w:r>
        <w:r>
          <w:rPr>
            <w:noProof/>
            <w:webHidden/>
          </w:rPr>
          <w:fldChar w:fldCharType="separate"/>
        </w:r>
        <w:r>
          <w:rPr>
            <w:noProof/>
            <w:webHidden/>
          </w:rPr>
          <w:t>27</w:t>
        </w:r>
        <w:r>
          <w:rPr>
            <w:noProof/>
            <w:webHidden/>
          </w:rPr>
          <w:fldChar w:fldCharType="end"/>
        </w:r>
      </w:hyperlink>
    </w:p>
    <w:p w14:paraId="1C5C68DE" w14:textId="1AC54291"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27" w:history="1">
        <w:r w:rsidRPr="008A7E62">
          <w:rPr>
            <w:rStyle w:val="Hyperlink"/>
            <w:noProof/>
          </w:rPr>
          <w:t>Table 5 Sectoral dependence on groundwater and associated pressures</w:t>
        </w:r>
        <w:r>
          <w:rPr>
            <w:noProof/>
            <w:webHidden/>
          </w:rPr>
          <w:tab/>
        </w:r>
        <w:r>
          <w:rPr>
            <w:noProof/>
            <w:webHidden/>
          </w:rPr>
          <w:fldChar w:fldCharType="begin"/>
        </w:r>
        <w:r>
          <w:rPr>
            <w:noProof/>
            <w:webHidden/>
          </w:rPr>
          <w:instrText xml:space="preserve"> PAGEREF _Toc229037727 \h </w:instrText>
        </w:r>
        <w:r>
          <w:rPr>
            <w:noProof/>
            <w:webHidden/>
          </w:rPr>
        </w:r>
        <w:r>
          <w:rPr>
            <w:noProof/>
            <w:webHidden/>
          </w:rPr>
          <w:fldChar w:fldCharType="separate"/>
        </w:r>
        <w:r>
          <w:rPr>
            <w:noProof/>
            <w:webHidden/>
          </w:rPr>
          <w:t>34</w:t>
        </w:r>
        <w:r>
          <w:rPr>
            <w:noProof/>
            <w:webHidden/>
          </w:rPr>
          <w:fldChar w:fldCharType="end"/>
        </w:r>
      </w:hyperlink>
    </w:p>
    <w:p w14:paraId="202FCA77" w14:textId="79329E70"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28" w:history="1">
        <w:r w:rsidRPr="008A7E62">
          <w:rPr>
            <w:rStyle w:val="Hyperlink"/>
            <w:noProof/>
          </w:rPr>
          <w:t>Table 6 Key challenges, drivers and impacts in water supply and sanitation</w:t>
        </w:r>
        <w:r>
          <w:rPr>
            <w:noProof/>
            <w:webHidden/>
          </w:rPr>
          <w:tab/>
        </w:r>
        <w:r>
          <w:rPr>
            <w:noProof/>
            <w:webHidden/>
          </w:rPr>
          <w:fldChar w:fldCharType="begin"/>
        </w:r>
        <w:r>
          <w:rPr>
            <w:noProof/>
            <w:webHidden/>
          </w:rPr>
          <w:instrText xml:space="preserve"> PAGEREF _Toc229037728 \h </w:instrText>
        </w:r>
        <w:r>
          <w:rPr>
            <w:noProof/>
            <w:webHidden/>
          </w:rPr>
        </w:r>
        <w:r>
          <w:rPr>
            <w:noProof/>
            <w:webHidden/>
          </w:rPr>
          <w:fldChar w:fldCharType="separate"/>
        </w:r>
        <w:r>
          <w:rPr>
            <w:noProof/>
            <w:webHidden/>
          </w:rPr>
          <w:t>38</w:t>
        </w:r>
        <w:r>
          <w:rPr>
            <w:noProof/>
            <w:webHidden/>
          </w:rPr>
          <w:fldChar w:fldCharType="end"/>
        </w:r>
      </w:hyperlink>
    </w:p>
    <w:p w14:paraId="64770B73" w14:textId="495CBADA"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29" w:history="1">
        <w:r w:rsidRPr="008A7E62">
          <w:rPr>
            <w:rStyle w:val="Hyperlink"/>
            <w:noProof/>
          </w:rPr>
          <w:t>Table 7 Sectoral water use characteristics in Neretva TBA</w:t>
        </w:r>
        <w:r>
          <w:rPr>
            <w:noProof/>
            <w:webHidden/>
          </w:rPr>
          <w:tab/>
        </w:r>
        <w:r>
          <w:rPr>
            <w:noProof/>
            <w:webHidden/>
          </w:rPr>
          <w:fldChar w:fldCharType="begin"/>
        </w:r>
        <w:r>
          <w:rPr>
            <w:noProof/>
            <w:webHidden/>
          </w:rPr>
          <w:instrText xml:space="preserve"> PAGEREF _Toc229037729 \h </w:instrText>
        </w:r>
        <w:r>
          <w:rPr>
            <w:noProof/>
            <w:webHidden/>
          </w:rPr>
        </w:r>
        <w:r>
          <w:rPr>
            <w:noProof/>
            <w:webHidden/>
          </w:rPr>
          <w:fldChar w:fldCharType="separate"/>
        </w:r>
        <w:r>
          <w:rPr>
            <w:noProof/>
            <w:webHidden/>
          </w:rPr>
          <w:t>40</w:t>
        </w:r>
        <w:r>
          <w:rPr>
            <w:noProof/>
            <w:webHidden/>
          </w:rPr>
          <w:fldChar w:fldCharType="end"/>
        </w:r>
      </w:hyperlink>
    </w:p>
    <w:p w14:paraId="45FF1AE9" w14:textId="11B7A2F8"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30" w:history="1">
        <w:r w:rsidRPr="008A7E62">
          <w:rPr>
            <w:rStyle w:val="Hyperlink"/>
            <w:noProof/>
          </w:rPr>
          <w:t>Table 8 Key drivers of future water demand in Neretva TBA</w:t>
        </w:r>
        <w:r>
          <w:rPr>
            <w:noProof/>
            <w:webHidden/>
          </w:rPr>
          <w:tab/>
        </w:r>
        <w:r>
          <w:rPr>
            <w:noProof/>
            <w:webHidden/>
          </w:rPr>
          <w:fldChar w:fldCharType="begin"/>
        </w:r>
        <w:r>
          <w:rPr>
            <w:noProof/>
            <w:webHidden/>
          </w:rPr>
          <w:instrText xml:space="preserve"> PAGEREF _Toc229037730 \h </w:instrText>
        </w:r>
        <w:r>
          <w:rPr>
            <w:noProof/>
            <w:webHidden/>
          </w:rPr>
        </w:r>
        <w:r>
          <w:rPr>
            <w:noProof/>
            <w:webHidden/>
          </w:rPr>
          <w:fldChar w:fldCharType="separate"/>
        </w:r>
        <w:r>
          <w:rPr>
            <w:noProof/>
            <w:webHidden/>
          </w:rPr>
          <w:t>43</w:t>
        </w:r>
        <w:r>
          <w:rPr>
            <w:noProof/>
            <w:webHidden/>
          </w:rPr>
          <w:fldChar w:fldCharType="end"/>
        </w:r>
      </w:hyperlink>
    </w:p>
    <w:p w14:paraId="66B83834" w14:textId="3FCFEB71"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31" w:history="1">
        <w:r w:rsidRPr="008A7E62">
          <w:rPr>
            <w:rStyle w:val="Hyperlink"/>
            <w:noProof/>
          </w:rPr>
          <w:t>Table 9 Overview of selected Natura 2000 habitats according to the Croatian NHM/NKS that are associated with or dependent on groundwater</w:t>
        </w:r>
        <w:r>
          <w:rPr>
            <w:noProof/>
            <w:webHidden/>
          </w:rPr>
          <w:tab/>
        </w:r>
        <w:r>
          <w:rPr>
            <w:noProof/>
            <w:webHidden/>
          </w:rPr>
          <w:fldChar w:fldCharType="begin"/>
        </w:r>
        <w:r>
          <w:rPr>
            <w:noProof/>
            <w:webHidden/>
          </w:rPr>
          <w:instrText xml:space="preserve"> PAGEREF _Toc229037731 \h </w:instrText>
        </w:r>
        <w:r>
          <w:rPr>
            <w:noProof/>
            <w:webHidden/>
          </w:rPr>
        </w:r>
        <w:r>
          <w:rPr>
            <w:noProof/>
            <w:webHidden/>
          </w:rPr>
          <w:fldChar w:fldCharType="separate"/>
        </w:r>
        <w:r>
          <w:rPr>
            <w:noProof/>
            <w:webHidden/>
          </w:rPr>
          <w:t>52</w:t>
        </w:r>
        <w:r>
          <w:rPr>
            <w:noProof/>
            <w:webHidden/>
          </w:rPr>
          <w:fldChar w:fldCharType="end"/>
        </w:r>
      </w:hyperlink>
    </w:p>
    <w:p w14:paraId="445121BF" w14:textId="4DAEE72F"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32" w:history="1">
        <w:r w:rsidRPr="008A7E62">
          <w:rPr>
            <w:rStyle w:val="Hyperlink"/>
            <w:noProof/>
          </w:rPr>
          <w:t>Table 10 Aquatic ecosystem dependent on groundwater on the Neretva groundwater body</w:t>
        </w:r>
        <w:r>
          <w:rPr>
            <w:noProof/>
            <w:webHidden/>
          </w:rPr>
          <w:tab/>
        </w:r>
        <w:r>
          <w:rPr>
            <w:noProof/>
            <w:webHidden/>
          </w:rPr>
          <w:fldChar w:fldCharType="begin"/>
        </w:r>
        <w:r>
          <w:rPr>
            <w:noProof/>
            <w:webHidden/>
          </w:rPr>
          <w:instrText xml:space="preserve"> PAGEREF _Toc229037732 \h </w:instrText>
        </w:r>
        <w:r>
          <w:rPr>
            <w:noProof/>
            <w:webHidden/>
          </w:rPr>
        </w:r>
        <w:r>
          <w:rPr>
            <w:noProof/>
            <w:webHidden/>
          </w:rPr>
          <w:fldChar w:fldCharType="separate"/>
        </w:r>
        <w:r>
          <w:rPr>
            <w:noProof/>
            <w:webHidden/>
          </w:rPr>
          <w:t>53</w:t>
        </w:r>
        <w:r>
          <w:rPr>
            <w:noProof/>
            <w:webHidden/>
          </w:rPr>
          <w:fldChar w:fldCharType="end"/>
        </w:r>
      </w:hyperlink>
    </w:p>
    <w:p w14:paraId="778863B7" w14:textId="5EE36160"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33" w:history="1">
        <w:r w:rsidRPr="008A7E62">
          <w:rPr>
            <w:rStyle w:val="Hyperlink"/>
            <w:noProof/>
          </w:rPr>
          <w:t>Table 11 Groundwater monitoring stations in Neretva TBA</w:t>
        </w:r>
        <w:r>
          <w:rPr>
            <w:noProof/>
            <w:webHidden/>
          </w:rPr>
          <w:tab/>
        </w:r>
        <w:r>
          <w:rPr>
            <w:noProof/>
            <w:webHidden/>
          </w:rPr>
          <w:fldChar w:fldCharType="begin"/>
        </w:r>
        <w:r>
          <w:rPr>
            <w:noProof/>
            <w:webHidden/>
          </w:rPr>
          <w:instrText xml:space="preserve"> PAGEREF _Toc229037733 \h </w:instrText>
        </w:r>
        <w:r>
          <w:rPr>
            <w:noProof/>
            <w:webHidden/>
          </w:rPr>
        </w:r>
        <w:r>
          <w:rPr>
            <w:noProof/>
            <w:webHidden/>
          </w:rPr>
          <w:fldChar w:fldCharType="separate"/>
        </w:r>
        <w:r>
          <w:rPr>
            <w:noProof/>
            <w:webHidden/>
          </w:rPr>
          <w:t>61</w:t>
        </w:r>
        <w:r>
          <w:rPr>
            <w:noProof/>
            <w:webHidden/>
          </w:rPr>
          <w:fldChar w:fldCharType="end"/>
        </w:r>
      </w:hyperlink>
    </w:p>
    <w:p w14:paraId="466660B0" w14:textId="3DCE4B01"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34" w:history="1">
        <w:r w:rsidRPr="008A7E62">
          <w:rPr>
            <w:rStyle w:val="Hyperlink"/>
            <w:noProof/>
          </w:rPr>
          <w:t>Table 12 Surface water monitoring in Neretva TBA</w:t>
        </w:r>
        <w:r>
          <w:rPr>
            <w:noProof/>
            <w:webHidden/>
          </w:rPr>
          <w:tab/>
        </w:r>
        <w:r>
          <w:rPr>
            <w:noProof/>
            <w:webHidden/>
          </w:rPr>
          <w:fldChar w:fldCharType="begin"/>
        </w:r>
        <w:r>
          <w:rPr>
            <w:noProof/>
            <w:webHidden/>
          </w:rPr>
          <w:instrText xml:space="preserve"> PAGEREF _Toc229037734 \h </w:instrText>
        </w:r>
        <w:r>
          <w:rPr>
            <w:noProof/>
            <w:webHidden/>
          </w:rPr>
        </w:r>
        <w:r>
          <w:rPr>
            <w:noProof/>
            <w:webHidden/>
          </w:rPr>
          <w:fldChar w:fldCharType="separate"/>
        </w:r>
        <w:r>
          <w:rPr>
            <w:noProof/>
            <w:webHidden/>
          </w:rPr>
          <w:t>63</w:t>
        </w:r>
        <w:r>
          <w:rPr>
            <w:noProof/>
            <w:webHidden/>
          </w:rPr>
          <w:fldChar w:fldCharType="end"/>
        </w:r>
      </w:hyperlink>
    </w:p>
    <w:p w14:paraId="6098077E" w14:textId="276A50F3"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35" w:history="1">
        <w:r w:rsidRPr="008A7E62">
          <w:rPr>
            <w:rStyle w:val="Hyperlink"/>
            <w:noProof/>
          </w:rPr>
          <w:t>Table 13 Parameters used for groundwater chemical status assessment and required annual testing frequency- GQS and specific pollutants (modified from Water Institute JJS, 2025)</w:t>
        </w:r>
        <w:r>
          <w:rPr>
            <w:noProof/>
            <w:webHidden/>
          </w:rPr>
          <w:tab/>
        </w:r>
        <w:r>
          <w:rPr>
            <w:noProof/>
            <w:webHidden/>
          </w:rPr>
          <w:fldChar w:fldCharType="begin"/>
        </w:r>
        <w:r>
          <w:rPr>
            <w:noProof/>
            <w:webHidden/>
          </w:rPr>
          <w:instrText xml:space="preserve"> PAGEREF _Toc229037735 \h </w:instrText>
        </w:r>
        <w:r>
          <w:rPr>
            <w:noProof/>
            <w:webHidden/>
          </w:rPr>
        </w:r>
        <w:r>
          <w:rPr>
            <w:noProof/>
            <w:webHidden/>
          </w:rPr>
          <w:fldChar w:fldCharType="separate"/>
        </w:r>
        <w:r>
          <w:rPr>
            <w:noProof/>
            <w:webHidden/>
          </w:rPr>
          <w:t>65</w:t>
        </w:r>
        <w:r>
          <w:rPr>
            <w:noProof/>
            <w:webHidden/>
          </w:rPr>
          <w:fldChar w:fldCharType="end"/>
        </w:r>
      </w:hyperlink>
    </w:p>
    <w:p w14:paraId="43645885" w14:textId="6ABA7E87"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36" w:history="1">
        <w:r w:rsidRPr="008A7E62">
          <w:rPr>
            <w:rStyle w:val="Hyperlink"/>
            <w:noProof/>
          </w:rPr>
          <w:t>Table 14 Additional parameters used for groundwater chemical status assessment and required annual testing frequency (Water Institute JJS)</w:t>
        </w:r>
        <w:r>
          <w:rPr>
            <w:noProof/>
            <w:webHidden/>
          </w:rPr>
          <w:tab/>
        </w:r>
        <w:r>
          <w:rPr>
            <w:noProof/>
            <w:webHidden/>
          </w:rPr>
          <w:fldChar w:fldCharType="begin"/>
        </w:r>
        <w:r>
          <w:rPr>
            <w:noProof/>
            <w:webHidden/>
          </w:rPr>
          <w:instrText xml:space="preserve"> PAGEREF _Toc229037736 \h </w:instrText>
        </w:r>
        <w:r>
          <w:rPr>
            <w:noProof/>
            <w:webHidden/>
          </w:rPr>
        </w:r>
        <w:r>
          <w:rPr>
            <w:noProof/>
            <w:webHidden/>
          </w:rPr>
          <w:fldChar w:fldCharType="separate"/>
        </w:r>
        <w:r>
          <w:rPr>
            <w:noProof/>
            <w:webHidden/>
          </w:rPr>
          <w:t>65</w:t>
        </w:r>
        <w:r>
          <w:rPr>
            <w:noProof/>
            <w:webHidden/>
          </w:rPr>
          <w:fldChar w:fldCharType="end"/>
        </w:r>
      </w:hyperlink>
    </w:p>
    <w:p w14:paraId="7BA4C7CB" w14:textId="5E1C3092"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37" w:history="1">
        <w:r w:rsidRPr="008A7E62">
          <w:rPr>
            <w:rStyle w:val="Hyperlink"/>
            <w:noProof/>
          </w:rPr>
          <w:t>Table 15 Critical and Threshold Values for karst areas in Croatia, and Adriatic Sea basin in FBIH</w:t>
        </w:r>
        <w:r>
          <w:rPr>
            <w:noProof/>
            <w:webHidden/>
          </w:rPr>
          <w:tab/>
        </w:r>
        <w:r>
          <w:rPr>
            <w:noProof/>
            <w:webHidden/>
          </w:rPr>
          <w:fldChar w:fldCharType="begin"/>
        </w:r>
        <w:r>
          <w:rPr>
            <w:noProof/>
            <w:webHidden/>
          </w:rPr>
          <w:instrText xml:space="preserve"> PAGEREF _Toc229037737 \h </w:instrText>
        </w:r>
        <w:r>
          <w:rPr>
            <w:noProof/>
            <w:webHidden/>
          </w:rPr>
        </w:r>
        <w:r>
          <w:rPr>
            <w:noProof/>
            <w:webHidden/>
          </w:rPr>
          <w:fldChar w:fldCharType="separate"/>
        </w:r>
        <w:r>
          <w:rPr>
            <w:noProof/>
            <w:webHidden/>
          </w:rPr>
          <w:t>71</w:t>
        </w:r>
        <w:r>
          <w:rPr>
            <w:noProof/>
            <w:webHidden/>
          </w:rPr>
          <w:fldChar w:fldCharType="end"/>
        </w:r>
      </w:hyperlink>
    </w:p>
    <w:p w14:paraId="7B91C302" w14:textId="2601BCFC"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38" w:history="1">
        <w:r w:rsidRPr="008A7E62">
          <w:rPr>
            <w:rStyle w:val="Hyperlink"/>
            <w:noProof/>
          </w:rPr>
          <w:t>Table 16 Groundwater body status</w:t>
        </w:r>
        <w:r>
          <w:rPr>
            <w:noProof/>
            <w:webHidden/>
          </w:rPr>
          <w:tab/>
        </w:r>
        <w:r>
          <w:rPr>
            <w:noProof/>
            <w:webHidden/>
          </w:rPr>
          <w:fldChar w:fldCharType="begin"/>
        </w:r>
        <w:r>
          <w:rPr>
            <w:noProof/>
            <w:webHidden/>
          </w:rPr>
          <w:instrText xml:space="preserve"> PAGEREF _Toc229037738 \h </w:instrText>
        </w:r>
        <w:r>
          <w:rPr>
            <w:noProof/>
            <w:webHidden/>
          </w:rPr>
        </w:r>
        <w:r>
          <w:rPr>
            <w:noProof/>
            <w:webHidden/>
          </w:rPr>
          <w:fldChar w:fldCharType="separate"/>
        </w:r>
        <w:r>
          <w:rPr>
            <w:noProof/>
            <w:webHidden/>
          </w:rPr>
          <w:t>72</w:t>
        </w:r>
        <w:r>
          <w:rPr>
            <w:noProof/>
            <w:webHidden/>
          </w:rPr>
          <w:fldChar w:fldCharType="end"/>
        </w:r>
      </w:hyperlink>
    </w:p>
    <w:p w14:paraId="21F32521" w14:textId="5FA832A8"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39" w:history="1">
        <w:r w:rsidRPr="008A7E62">
          <w:rPr>
            <w:rStyle w:val="Hyperlink"/>
            <w:noProof/>
          </w:rPr>
          <w:t>Table 17 Spatial, monitoring and pressure-related datasets for the conceptual model of Neretva TBA</w:t>
        </w:r>
        <w:r>
          <w:rPr>
            <w:noProof/>
            <w:webHidden/>
          </w:rPr>
          <w:tab/>
        </w:r>
        <w:r>
          <w:rPr>
            <w:noProof/>
            <w:webHidden/>
          </w:rPr>
          <w:fldChar w:fldCharType="begin"/>
        </w:r>
        <w:r>
          <w:rPr>
            <w:noProof/>
            <w:webHidden/>
          </w:rPr>
          <w:instrText xml:space="preserve"> PAGEREF _Toc229037739 \h </w:instrText>
        </w:r>
        <w:r>
          <w:rPr>
            <w:noProof/>
            <w:webHidden/>
          </w:rPr>
        </w:r>
        <w:r>
          <w:rPr>
            <w:noProof/>
            <w:webHidden/>
          </w:rPr>
          <w:fldChar w:fldCharType="separate"/>
        </w:r>
        <w:r>
          <w:rPr>
            <w:noProof/>
            <w:webHidden/>
          </w:rPr>
          <w:t>78</w:t>
        </w:r>
        <w:r>
          <w:rPr>
            <w:noProof/>
            <w:webHidden/>
          </w:rPr>
          <w:fldChar w:fldCharType="end"/>
        </w:r>
      </w:hyperlink>
    </w:p>
    <w:p w14:paraId="07E43124" w14:textId="362306EC"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40" w:history="1">
        <w:r w:rsidRPr="008A7E62">
          <w:rPr>
            <w:rStyle w:val="Hyperlink"/>
            <w:noProof/>
          </w:rPr>
          <w:t>Table 18 Indicative overview of relevant funding instruments</w:t>
        </w:r>
        <w:r>
          <w:rPr>
            <w:noProof/>
            <w:webHidden/>
          </w:rPr>
          <w:tab/>
        </w:r>
        <w:r>
          <w:rPr>
            <w:noProof/>
            <w:webHidden/>
          </w:rPr>
          <w:fldChar w:fldCharType="begin"/>
        </w:r>
        <w:r>
          <w:rPr>
            <w:noProof/>
            <w:webHidden/>
          </w:rPr>
          <w:instrText xml:space="preserve"> PAGEREF _Toc229037740 \h </w:instrText>
        </w:r>
        <w:r>
          <w:rPr>
            <w:noProof/>
            <w:webHidden/>
          </w:rPr>
        </w:r>
        <w:r>
          <w:rPr>
            <w:noProof/>
            <w:webHidden/>
          </w:rPr>
          <w:fldChar w:fldCharType="separate"/>
        </w:r>
        <w:r>
          <w:rPr>
            <w:noProof/>
            <w:webHidden/>
          </w:rPr>
          <w:t>80</w:t>
        </w:r>
        <w:r>
          <w:rPr>
            <w:noProof/>
            <w:webHidden/>
          </w:rPr>
          <w:fldChar w:fldCharType="end"/>
        </w:r>
      </w:hyperlink>
    </w:p>
    <w:p w14:paraId="583DF6DC" w14:textId="7890E329"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41" w:history="1">
        <w:r w:rsidRPr="008A7E62">
          <w:rPr>
            <w:rStyle w:val="Hyperlink"/>
            <w:noProof/>
          </w:rPr>
          <w:t>Table 19 Indicative priority areas and strategic focus for Neretva TBA</w:t>
        </w:r>
        <w:r>
          <w:rPr>
            <w:noProof/>
            <w:webHidden/>
          </w:rPr>
          <w:tab/>
        </w:r>
        <w:r>
          <w:rPr>
            <w:noProof/>
            <w:webHidden/>
          </w:rPr>
          <w:fldChar w:fldCharType="begin"/>
        </w:r>
        <w:r>
          <w:rPr>
            <w:noProof/>
            <w:webHidden/>
          </w:rPr>
          <w:instrText xml:space="preserve"> PAGEREF _Toc229037741 \h </w:instrText>
        </w:r>
        <w:r>
          <w:rPr>
            <w:noProof/>
            <w:webHidden/>
          </w:rPr>
        </w:r>
        <w:r>
          <w:rPr>
            <w:noProof/>
            <w:webHidden/>
          </w:rPr>
          <w:fldChar w:fldCharType="separate"/>
        </w:r>
        <w:r>
          <w:rPr>
            <w:noProof/>
            <w:webHidden/>
          </w:rPr>
          <w:t>81</w:t>
        </w:r>
        <w:r>
          <w:rPr>
            <w:noProof/>
            <w:webHidden/>
          </w:rPr>
          <w:fldChar w:fldCharType="end"/>
        </w:r>
      </w:hyperlink>
    </w:p>
    <w:p w14:paraId="5C344C62" w14:textId="45DF4836"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42" w:history="1">
        <w:r w:rsidRPr="008A7E62">
          <w:rPr>
            <w:rStyle w:val="Hyperlink"/>
            <w:noProof/>
          </w:rPr>
          <w:t>Table 20 Overview of key stakeholders in groundwater governance in Neretva TBA</w:t>
        </w:r>
        <w:r>
          <w:rPr>
            <w:noProof/>
            <w:webHidden/>
          </w:rPr>
          <w:tab/>
        </w:r>
        <w:r>
          <w:rPr>
            <w:noProof/>
            <w:webHidden/>
          </w:rPr>
          <w:fldChar w:fldCharType="begin"/>
        </w:r>
        <w:r>
          <w:rPr>
            <w:noProof/>
            <w:webHidden/>
          </w:rPr>
          <w:instrText xml:space="preserve"> PAGEREF _Toc229037742 \h </w:instrText>
        </w:r>
        <w:r>
          <w:rPr>
            <w:noProof/>
            <w:webHidden/>
          </w:rPr>
        </w:r>
        <w:r>
          <w:rPr>
            <w:noProof/>
            <w:webHidden/>
          </w:rPr>
          <w:fldChar w:fldCharType="separate"/>
        </w:r>
        <w:r>
          <w:rPr>
            <w:noProof/>
            <w:webHidden/>
          </w:rPr>
          <w:t>86</w:t>
        </w:r>
        <w:r>
          <w:rPr>
            <w:noProof/>
            <w:webHidden/>
          </w:rPr>
          <w:fldChar w:fldCharType="end"/>
        </w:r>
      </w:hyperlink>
    </w:p>
    <w:p w14:paraId="5D632C1C" w14:textId="77CCA822"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43" w:history="1">
        <w:r w:rsidRPr="008A7E62">
          <w:rPr>
            <w:rStyle w:val="Hyperlink"/>
            <w:noProof/>
          </w:rPr>
          <w:t>Table 21 Engagement tools for local and regional authorities in Neretva TBA</w:t>
        </w:r>
        <w:r>
          <w:rPr>
            <w:noProof/>
            <w:webHidden/>
          </w:rPr>
          <w:tab/>
        </w:r>
        <w:r>
          <w:rPr>
            <w:noProof/>
            <w:webHidden/>
          </w:rPr>
          <w:fldChar w:fldCharType="begin"/>
        </w:r>
        <w:r>
          <w:rPr>
            <w:noProof/>
            <w:webHidden/>
          </w:rPr>
          <w:instrText xml:space="preserve"> PAGEREF _Toc229037743 \h </w:instrText>
        </w:r>
        <w:r>
          <w:rPr>
            <w:noProof/>
            <w:webHidden/>
          </w:rPr>
        </w:r>
        <w:r>
          <w:rPr>
            <w:noProof/>
            <w:webHidden/>
          </w:rPr>
          <w:fldChar w:fldCharType="separate"/>
        </w:r>
        <w:r>
          <w:rPr>
            <w:noProof/>
            <w:webHidden/>
          </w:rPr>
          <w:t>87</w:t>
        </w:r>
        <w:r>
          <w:rPr>
            <w:noProof/>
            <w:webHidden/>
          </w:rPr>
          <w:fldChar w:fldCharType="end"/>
        </w:r>
      </w:hyperlink>
    </w:p>
    <w:p w14:paraId="40A00637" w14:textId="1E61ABC1"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44" w:history="1">
        <w:r w:rsidRPr="008A7E62">
          <w:rPr>
            <w:rStyle w:val="Hyperlink"/>
            <w:noProof/>
          </w:rPr>
          <w:t>Table 22 List of basic measures for point sources of pollution</w:t>
        </w:r>
        <w:r>
          <w:rPr>
            <w:noProof/>
            <w:webHidden/>
          </w:rPr>
          <w:tab/>
        </w:r>
        <w:r>
          <w:rPr>
            <w:noProof/>
            <w:webHidden/>
          </w:rPr>
          <w:fldChar w:fldCharType="begin"/>
        </w:r>
        <w:r>
          <w:rPr>
            <w:noProof/>
            <w:webHidden/>
          </w:rPr>
          <w:instrText xml:space="preserve"> PAGEREF _Toc229037744 \h </w:instrText>
        </w:r>
        <w:r>
          <w:rPr>
            <w:noProof/>
            <w:webHidden/>
          </w:rPr>
        </w:r>
        <w:r>
          <w:rPr>
            <w:noProof/>
            <w:webHidden/>
          </w:rPr>
          <w:fldChar w:fldCharType="separate"/>
        </w:r>
        <w:r>
          <w:rPr>
            <w:noProof/>
            <w:webHidden/>
          </w:rPr>
          <w:t>116</w:t>
        </w:r>
        <w:r>
          <w:rPr>
            <w:noProof/>
            <w:webHidden/>
          </w:rPr>
          <w:fldChar w:fldCharType="end"/>
        </w:r>
      </w:hyperlink>
    </w:p>
    <w:p w14:paraId="561B2FDD" w14:textId="33CD0CE1"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45" w:history="1">
        <w:r w:rsidRPr="008A7E62">
          <w:rPr>
            <w:rStyle w:val="Hyperlink"/>
            <w:noProof/>
          </w:rPr>
          <w:t>Table 23 List of basic measures for non-point sources of pollution</w:t>
        </w:r>
        <w:r>
          <w:rPr>
            <w:noProof/>
            <w:webHidden/>
          </w:rPr>
          <w:tab/>
        </w:r>
        <w:r>
          <w:rPr>
            <w:noProof/>
            <w:webHidden/>
          </w:rPr>
          <w:fldChar w:fldCharType="begin"/>
        </w:r>
        <w:r>
          <w:rPr>
            <w:noProof/>
            <w:webHidden/>
          </w:rPr>
          <w:instrText xml:space="preserve"> PAGEREF _Toc229037745 \h </w:instrText>
        </w:r>
        <w:r>
          <w:rPr>
            <w:noProof/>
            <w:webHidden/>
          </w:rPr>
        </w:r>
        <w:r>
          <w:rPr>
            <w:noProof/>
            <w:webHidden/>
          </w:rPr>
          <w:fldChar w:fldCharType="separate"/>
        </w:r>
        <w:r>
          <w:rPr>
            <w:noProof/>
            <w:webHidden/>
          </w:rPr>
          <w:t>116</w:t>
        </w:r>
        <w:r>
          <w:rPr>
            <w:noProof/>
            <w:webHidden/>
          </w:rPr>
          <w:fldChar w:fldCharType="end"/>
        </w:r>
      </w:hyperlink>
    </w:p>
    <w:p w14:paraId="6C0820DA" w14:textId="673E7F0F"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46" w:history="1">
        <w:r w:rsidRPr="008A7E62">
          <w:rPr>
            <w:rStyle w:val="Hyperlink"/>
            <w:noProof/>
          </w:rPr>
          <w:t>Table 24 List of basic measures for control of groundwater abstraction</w:t>
        </w:r>
        <w:r>
          <w:rPr>
            <w:noProof/>
            <w:webHidden/>
          </w:rPr>
          <w:tab/>
        </w:r>
        <w:r>
          <w:rPr>
            <w:noProof/>
            <w:webHidden/>
          </w:rPr>
          <w:fldChar w:fldCharType="begin"/>
        </w:r>
        <w:r>
          <w:rPr>
            <w:noProof/>
            <w:webHidden/>
          </w:rPr>
          <w:instrText xml:space="preserve"> PAGEREF _Toc229037746 \h </w:instrText>
        </w:r>
        <w:r>
          <w:rPr>
            <w:noProof/>
            <w:webHidden/>
          </w:rPr>
        </w:r>
        <w:r>
          <w:rPr>
            <w:noProof/>
            <w:webHidden/>
          </w:rPr>
          <w:fldChar w:fldCharType="separate"/>
        </w:r>
        <w:r>
          <w:rPr>
            <w:noProof/>
            <w:webHidden/>
          </w:rPr>
          <w:t>118</w:t>
        </w:r>
        <w:r>
          <w:rPr>
            <w:noProof/>
            <w:webHidden/>
          </w:rPr>
          <w:fldChar w:fldCharType="end"/>
        </w:r>
      </w:hyperlink>
    </w:p>
    <w:p w14:paraId="0EE136CC" w14:textId="2626A621"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47" w:history="1">
        <w:r w:rsidRPr="008A7E62">
          <w:rPr>
            <w:rStyle w:val="Hyperlink"/>
            <w:noProof/>
          </w:rPr>
          <w:t>Table 25 Surface water monitoring in TBA Neretva</w:t>
        </w:r>
        <w:r>
          <w:rPr>
            <w:noProof/>
            <w:webHidden/>
          </w:rPr>
          <w:tab/>
        </w:r>
        <w:r>
          <w:rPr>
            <w:noProof/>
            <w:webHidden/>
          </w:rPr>
          <w:fldChar w:fldCharType="begin"/>
        </w:r>
        <w:r>
          <w:rPr>
            <w:noProof/>
            <w:webHidden/>
          </w:rPr>
          <w:instrText xml:space="preserve"> PAGEREF _Toc229037747 \h </w:instrText>
        </w:r>
        <w:r>
          <w:rPr>
            <w:noProof/>
            <w:webHidden/>
          </w:rPr>
        </w:r>
        <w:r>
          <w:rPr>
            <w:noProof/>
            <w:webHidden/>
          </w:rPr>
          <w:fldChar w:fldCharType="separate"/>
        </w:r>
        <w:r>
          <w:rPr>
            <w:noProof/>
            <w:webHidden/>
          </w:rPr>
          <w:t>126</w:t>
        </w:r>
        <w:r>
          <w:rPr>
            <w:noProof/>
            <w:webHidden/>
          </w:rPr>
          <w:fldChar w:fldCharType="end"/>
        </w:r>
      </w:hyperlink>
    </w:p>
    <w:p w14:paraId="70FFDD4A" w14:textId="685BB1D6"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48" w:history="1">
        <w:r w:rsidRPr="008A7E62">
          <w:rPr>
            <w:rStyle w:val="Hyperlink"/>
            <w:noProof/>
          </w:rPr>
          <w:t>Table 26 Groundwater quality monitoring parameters and annual testing frequency (Croatian legislation), with differences in BiH legislation</w:t>
        </w:r>
        <w:r>
          <w:rPr>
            <w:noProof/>
            <w:webHidden/>
          </w:rPr>
          <w:tab/>
        </w:r>
        <w:r>
          <w:rPr>
            <w:noProof/>
            <w:webHidden/>
          </w:rPr>
          <w:fldChar w:fldCharType="begin"/>
        </w:r>
        <w:r>
          <w:rPr>
            <w:noProof/>
            <w:webHidden/>
          </w:rPr>
          <w:instrText xml:space="preserve"> PAGEREF _Toc229037748 \h </w:instrText>
        </w:r>
        <w:r>
          <w:rPr>
            <w:noProof/>
            <w:webHidden/>
          </w:rPr>
        </w:r>
        <w:r>
          <w:rPr>
            <w:noProof/>
            <w:webHidden/>
          </w:rPr>
          <w:fldChar w:fldCharType="separate"/>
        </w:r>
        <w:r>
          <w:rPr>
            <w:noProof/>
            <w:webHidden/>
          </w:rPr>
          <w:t>126</w:t>
        </w:r>
        <w:r>
          <w:rPr>
            <w:noProof/>
            <w:webHidden/>
          </w:rPr>
          <w:fldChar w:fldCharType="end"/>
        </w:r>
      </w:hyperlink>
    </w:p>
    <w:p w14:paraId="22D94E08" w14:textId="59E6F0EC"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49" w:history="1">
        <w:r w:rsidRPr="008A7E62">
          <w:rPr>
            <w:rStyle w:val="Hyperlink"/>
            <w:noProof/>
          </w:rPr>
          <w:t>Table 27 Additional parameters for groundwater quality monitoring and required annual testing frequency</w:t>
        </w:r>
        <w:r>
          <w:rPr>
            <w:noProof/>
            <w:webHidden/>
          </w:rPr>
          <w:tab/>
        </w:r>
        <w:r>
          <w:rPr>
            <w:noProof/>
            <w:webHidden/>
          </w:rPr>
          <w:fldChar w:fldCharType="begin"/>
        </w:r>
        <w:r>
          <w:rPr>
            <w:noProof/>
            <w:webHidden/>
          </w:rPr>
          <w:instrText xml:space="preserve"> PAGEREF _Toc229037749 \h </w:instrText>
        </w:r>
        <w:r>
          <w:rPr>
            <w:noProof/>
            <w:webHidden/>
          </w:rPr>
        </w:r>
        <w:r>
          <w:rPr>
            <w:noProof/>
            <w:webHidden/>
          </w:rPr>
          <w:fldChar w:fldCharType="separate"/>
        </w:r>
        <w:r>
          <w:rPr>
            <w:noProof/>
            <w:webHidden/>
          </w:rPr>
          <w:t>127</w:t>
        </w:r>
        <w:r>
          <w:rPr>
            <w:noProof/>
            <w:webHidden/>
          </w:rPr>
          <w:fldChar w:fldCharType="end"/>
        </w:r>
      </w:hyperlink>
    </w:p>
    <w:p w14:paraId="05933CFC" w14:textId="4D6C74DF"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50" w:history="1">
        <w:r w:rsidRPr="008A7E62">
          <w:rPr>
            <w:rStyle w:val="Hyperlink"/>
            <w:noProof/>
          </w:rPr>
          <w:t>Table 28 Proposed ecological indicators in biological monitoring and sampling frequency</w:t>
        </w:r>
        <w:r>
          <w:rPr>
            <w:noProof/>
            <w:webHidden/>
          </w:rPr>
          <w:tab/>
        </w:r>
        <w:r>
          <w:rPr>
            <w:noProof/>
            <w:webHidden/>
          </w:rPr>
          <w:fldChar w:fldCharType="begin"/>
        </w:r>
        <w:r>
          <w:rPr>
            <w:noProof/>
            <w:webHidden/>
          </w:rPr>
          <w:instrText xml:space="preserve"> PAGEREF _Toc229037750 \h </w:instrText>
        </w:r>
        <w:r>
          <w:rPr>
            <w:noProof/>
            <w:webHidden/>
          </w:rPr>
        </w:r>
        <w:r>
          <w:rPr>
            <w:noProof/>
            <w:webHidden/>
          </w:rPr>
          <w:fldChar w:fldCharType="separate"/>
        </w:r>
        <w:r>
          <w:rPr>
            <w:noProof/>
            <w:webHidden/>
          </w:rPr>
          <w:t>129</w:t>
        </w:r>
        <w:r>
          <w:rPr>
            <w:noProof/>
            <w:webHidden/>
          </w:rPr>
          <w:fldChar w:fldCharType="end"/>
        </w:r>
      </w:hyperlink>
    </w:p>
    <w:p w14:paraId="7C974C3C" w14:textId="3F9A737B"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51" w:history="1">
        <w:r w:rsidRPr="008A7E62">
          <w:rPr>
            <w:rStyle w:val="Hyperlink"/>
            <w:noProof/>
          </w:rPr>
          <w:t>Table 29 Proposed physico-chemical parameters in biological monitoring and sampling frequency</w:t>
        </w:r>
        <w:r>
          <w:rPr>
            <w:noProof/>
            <w:webHidden/>
          </w:rPr>
          <w:tab/>
        </w:r>
        <w:r>
          <w:rPr>
            <w:noProof/>
            <w:webHidden/>
          </w:rPr>
          <w:fldChar w:fldCharType="begin"/>
        </w:r>
        <w:r>
          <w:rPr>
            <w:noProof/>
            <w:webHidden/>
          </w:rPr>
          <w:instrText xml:space="preserve"> PAGEREF _Toc229037751 \h </w:instrText>
        </w:r>
        <w:r>
          <w:rPr>
            <w:noProof/>
            <w:webHidden/>
          </w:rPr>
        </w:r>
        <w:r>
          <w:rPr>
            <w:noProof/>
            <w:webHidden/>
          </w:rPr>
          <w:fldChar w:fldCharType="separate"/>
        </w:r>
        <w:r>
          <w:rPr>
            <w:noProof/>
            <w:webHidden/>
          </w:rPr>
          <w:t>129</w:t>
        </w:r>
        <w:r>
          <w:rPr>
            <w:noProof/>
            <w:webHidden/>
          </w:rPr>
          <w:fldChar w:fldCharType="end"/>
        </w:r>
      </w:hyperlink>
    </w:p>
    <w:p w14:paraId="53549EF2" w14:textId="5F1430F2"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52" w:history="1">
        <w:r w:rsidRPr="008A7E62">
          <w:rPr>
            <w:rStyle w:val="Hyperlink"/>
            <w:noProof/>
          </w:rPr>
          <w:t>Table 30 Key cleanup levels and reference values</w:t>
        </w:r>
        <w:r>
          <w:rPr>
            <w:noProof/>
            <w:webHidden/>
          </w:rPr>
          <w:tab/>
        </w:r>
        <w:r>
          <w:rPr>
            <w:noProof/>
            <w:webHidden/>
          </w:rPr>
          <w:fldChar w:fldCharType="begin"/>
        </w:r>
        <w:r>
          <w:rPr>
            <w:noProof/>
            <w:webHidden/>
          </w:rPr>
          <w:instrText xml:space="preserve"> PAGEREF _Toc229037752 \h </w:instrText>
        </w:r>
        <w:r>
          <w:rPr>
            <w:noProof/>
            <w:webHidden/>
          </w:rPr>
        </w:r>
        <w:r>
          <w:rPr>
            <w:noProof/>
            <w:webHidden/>
          </w:rPr>
          <w:fldChar w:fldCharType="separate"/>
        </w:r>
        <w:r>
          <w:rPr>
            <w:noProof/>
            <w:webHidden/>
          </w:rPr>
          <w:t>138</w:t>
        </w:r>
        <w:r>
          <w:rPr>
            <w:noProof/>
            <w:webHidden/>
          </w:rPr>
          <w:fldChar w:fldCharType="end"/>
        </w:r>
      </w:hyperlink>
    </w:p>
    <w:p w14:paraId="70627B35" w14:textId="24A19666"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53" w:history="1">
        <w:r w:rsidRPr="008A7E62">
          <w:rPr>
            <w:rStyle w:val="Hyperlink"/>
            <w:noProof/>
          </w:rPr>
          <w:t>Table 31 Overview of funding sources and liability mechanisms relevant for JAP implementation</w:t>
        </w:r>
        <w:r>
          <w:rPr>
            <w:noProof/>
            <w:webHidden/>
          </w:rPr>
          <w:tab/>
        </w:r>
        <w:r>
          <w:rPr>
            <w:noProof/>
            <w:webHidden/>
          </w:rPr>
          <w:fldChar w:fldCharType="begin"/>
        </w:r>
        <w:r>
          <w:rPr>
            <w:noProof/>
            <w:webHidden/>
          </w:rPr>
          <w:instrText xml:space="preserve"> PAGEREF _Toc229037753 \h </w:instrText>
        </w:r>
        <w:r>
          <w:rPr>
            <w:noProof/>
            <w:webHidden/>
          </w:rPr>
        </w:r>
        <w:r>
          <w:rPr>
            <w:noProof/>
            <w:webHidden/>
          </w:rPr>
          <w:fldChar w:fldCharType="separate"/>
        </w:r>
        <w:r>
          <w:rPr>
            <w:noProof/>
            <w:webHidden/>
          </w:rPr>
          <w:t>146</w:t>
        </w:r>
        <w:r>
          <w:rPr>
            <w:noProof/>
            <w:webHidden/>
          </w:rPr>
          <w:fldChar w:fldCharType="end"/>
        </w:r>
      </w:hyperlink>
    </w:p>
    <w:p w14:paraId="0D1DA388" w14:textId="1824B8FB" w:rsidR="006D621C" w:rsidRDefault="006D621C">
      <w:pPr>
        <w:pStyle w:val="TableofFigures"/>
        <w:tabs>
          <w:tab w:val="right" w:leader="dot" w:pos="9016"/>
        </w:tabs>
        <w:rPr>
          <w:rFonts w:eastAsiaTheme="minorEastAsia" w:cstheme="minorBidi"/>
          <w:i w:val="0"/>
          <w:iCs w:val="0"/>
          <w:noProof/>
          <w:kern w:val="2"/>
          <w:sz w:val="24"/>
          <w:szCs w:val="24"/>
          <w:lang w:val="hr-HR" w:eastAsia="hr-HR"/>
          <w14:ligatures w14:val="standardContextual"/>
        </w:rPr>
      </w:pPr>
      <w:hyperlink w:anchor="_Toc229037754" w:history="1">
        <w:r w:rsidRPr="008A7E62">
          <w:rPr>
            <w:rStyle w:val="Hyperlink"/>
            <w:noProof/>
          </w:rPr>
          <w:t>Table 32 Stakeholders’ roles in monitoring and evaluation</w:t>
        </w:r>
        <w:r>
          <w:rPr>
            <w:noProof/>
            <w:webHidden/>
          </w:rPr>
          <w:tab/>
        </w:r>
        <w:r>
          <w:rPr>
            <w:noProof/>
            <w:webHidden/>
          </w:rPr>
          <w:fldChar w:fldCharType="begin"/>
        </w:r>
        <w:r>
          <w:rPr>
            <w:noProof/>
            <w:webHidden/>
          </w:rPr>
          <w:instrText xml:space="preserve"> PAGEREF _Toc229037754 \h </w:instrText>
        </w:r>
        <w:r>
          <w:rPr>
            <w:noProof/>
            <w:webHidden/>
          </w:rPr>
        </w:r>
        <w:r>
          <w:rPr>
            <w:noProof/>
            <w:webHidden/>
          </w:rPr>
          <w:fldChar w:fldCharType="separate"/>
        </w:r>
        <w:r>
          <w:rPr>
            <w:noProof/>
            <w:webHidden/>
          </w:rPr>
          <w:t>155</w:t>
        </w:r>
        <w:r>
          <w:rPr>
            <w:noProof/>
            <w:webHidden/>
          </w:rPr>
          <w:fldChar w:fldCharType="end"/>
        </w:r>
      </w:hyperlink>
    </w:p>
    <w:p w14:paraId="3D9F0080" w14:textId="451754E0" w:rsidR="00AA091F" w:rsidRPr="00D60A13" w:rsidRDefault="006D621C">
      <w:pPr>
        <w:rPr>
          <w:b/>
          <w:bCs/>
        </w:rPr>
      </w:pPr>
      <w:r>
        <w:rPr>
          <w:b/>
          <w:bCs/>
        </w:rPr>
        <w:fldChar w:fldCharType="end"/>
      </w:r>
      <w:r w:rsidR="00AA091F" w:rsidRPr="00D60A13">
        <w:rPr>
          <w:b/>
          <w:bCs/>
        </w:rPr>
        <w:br w:type="page"/>
      </w:r>
    </w:p>
    <w:p w14:paraId="3954110D" w14:textId="3AAA983C" w:rsidR="00375603" w:rsidRPr="00D60A13" w:rsidRDefault="00375603" w:rsidP="00302BD2">
      <w:pPr>
        <w:tabs>
          <w:tab w:val="left" w:pos="1890"/>
        </w:tabs>
        <w:rPr>
          <w:rFonts w:asciiTheme="majorHAnsi" w:hAnsiTheme="majorHAnsi" w:cstheme="majorHAnsi"/>
          <w:color w:val="0070C0"/>
          <w:sz w:val="32"/>
          <w:szCs w:val="32"/>
        </w:rPr>
      </w:pPr>
      <w:r w:rsidRPr="00D60A13">
        <w:rPr>
          <w:rFonts w:asciiTheme="majorHAnsi" w:hAnsiTheme="majorHAnsi" w:cstheme="majorHAnsi"/>
          <w:color w:val="0070C0"/>
          <w:sz w:val="32"/>
          <w:szCs w:val="32"/>
        </w:rPr>
        <w:lastRenderedPageBreak/>
        <w:t>PREPARED BY DIKTAS II PROJECT TEAM</w:t>
      </w:r>
    </w:p>
    <w:p w14:paraId="691F0540" w14:textId="3187766E" w:rsidR="00375603" w:rsidRPr="00D60A13" w:rsidRDefault="00302BD2" w:rsidP="00302BD2">
      <w:r w:rsidRPr="00D60A13">
        <w:t>Zoran Nakić</w:t>
      </w:r>
    </w:p>
    <w:p w14:paraId="0346A92B" w14:textId="77777777" w:rsidR="00EB3E04" w:rsidRPr="00D60A13" w:rsidRDefault="00EB3E04" w:rsidP="00EB3E04">
      <w:r w:rsidRPr="00D60A13">
        <w:t xml:space="preserve">Uroš </w:t>
      </w:r>
      <w:proofErr w:type="spellStart"/>
      <w:r w:rsidRPr="00D60A13">
        <w:t>Jurošević</w:t>
      </w:r>
      <w:proofErr w:type="spellEnd"/>
    </w:p>
    <w:p w14:paraId="345FC245" w14:textId="41A02C28" w:rsidR="00AA091F" w:rsidRPr="00D60A13" w:rsidRDefault="00AA091F" w:rsidP="00AA091F">
      <w:r w:rsidRPr="00D60A13">
        <w:t>Maja Oštrić</w:t>
      </w:r>
    </w:p>
    <w:p w14:paraId="1AF60F0D" w14:textId="77777777" w:rsidR="005E57DF" w:rsidRPr="00D60A13" w:rsidRDefault="005E57DF" w:rsidP="005E57DF">
      <w:r w:rsidRPr="00D60A13">
        <w:t>Anita Bušljeta Tonković</w:t>
      </w:r>
    </w:p>
    <w:p w14:paraId="6F47EF64" w14:textId="77777777" w:rsidR="00EB3E04" w:rsidRPr="00D60A13" w:rsidRDefault="00EB3E04" w:rsidP="00EB3E04">
      <w:r w:rsidRPr="00D60A13">
        <w:t>Romario Zoga</w:t>
      </w:r>
    </w:p>
    <w:p w14:paraId="3D40C088" w14:textId="7F415B00" w:rsidR="00AA091F" w:rsidRPr="00D60A13" w:rsidRDefault="00AA091F" w:rsidP="00AA091F">
      <w:proofErr w:type="spellStart"/>
      <w:r w:rsidRPr="00D60A13">
        <w:t>Želimir</w:t>
      </w:r>
      <w:proofErr w:type="spellEnd"/>
      <w:r w:rsidRPr="00D60A13">
        <w:t xml:space="preserve"> </w:t>
      </w:r>
      <w:proofErr w:type="spellStart"/>
      <w:r w:rsidRPr="00D60A13">
        <w:t>Pekaš</w:t>
      </w:r>
      <w:proofErr w:type="spellEnd"/>
    </w:p>
    <w:p w14:paraId="5126FDC4" w14:textId="77777777" w:rsidR="00AA091F" w:rsidRPr="00D60A13" w:rsidRDefault="00AA091F" w:rsidP="00AA091F">
      <w:r w:rsidRPr="00D60A13">
        <w:t>Selma Čengić</w:t>
      </w:r>
    </w:p>
    <w:p w14:paraId="25E09E6D" w14:textId="094D1DE4" w:rsidR="00AA091F" w:rsidRPr="00D60A13" w:rsidRDefault="0029484B" w:rsidP="00302BD2">
      <w:r w:rsidRPr="00D60A13">
        <w:t>Marinko Vranić</w:t>
      </w:r>
    </w:p>
    <w:p w14:paraId="762A51DD" w14:textId="6C549A7C" w:rsidR="00A0510D" w:rsidRPr="00D60A13" w:rsidRDefault="00A0510D" w:rsidP="00302BD2">
      <w:r w:rsidRPr="00D60A13">
        <w:t>Ivan Vučković</w:t>
      </w:r>
    </w:p>
    <w:p w14:paraId="72FE3D29" w14:textId="6F49FBCC" w:rsidR="000C49F3" w:rsidRPr="00D60A13" w:rsidRDefault="000C49F3" w:rsidP="00302BD2">
      <w:r w:rsidRPr="00D60A13">
        <w:t>Anita Dedić</w:t>
      </w:r>
    </w:p>
    <w:p w14:paraId="32452047" w14:textId="6E5AA108" w:rsidR="0029484B" w:rsidRPr="00D60A13" w:rsidRDefault="0029484B" w:rsidP="00302BD2">
      <w:r w:rsidRPr="00D60A13">
        <w:t>Marina Funduk</w:t>
      </w:r>
    </w:p>
    <w:p w14:paraId="5CA58D64" w14:textId="183FB58F" w:rsidR="0029484B" w:rsidRPr="00D60A13" w:rsidRDefault="0029484B" w:rsidP="00302BD2">
      <w:r w:rsidRPr="00D60A13">
        <w:t>Nino Serdarević</w:t>
      </w:r>
    </w:p>
    <w:p w14:paraId="366846F3" w14:textId="12AB4BBA" w:rsidR="000C49F3" w:rsidRPr="00D60A13" w:rsidRDefault="000C49F3" w:rsidP="00302BD2">
      <w:r w:rsidRPr="00D60A13">
        <w:t xml:space="preserve">Vedran </w:t>
      </w:r>
      <w:proofErr w:type="spellStart"/>
      <w:r w:rsidRPr="00D60A13">
        <w:t>Furtula</w:t>
      </w:r>
      <w:proofErr w:type="spellEnd"/>
    </w:p>
    <w:p w14:paraId="7D0211E1" w14:textId="3A9B5317" w:rsidR="00A0510D" w:rsidRPr="00D60A13" w:rsidRDefault="00A0510D" w:rsidP="00302BD2"/>
    <w:p w14:paraId="72BE55E1" w14:textId="77777777" w:rsidR="00375603" w:rsidRPr="00D60A13" w:rsidRDefault="00375603" w:rsidP="00375603">
      <w:pPr>
        <w:ind w:firstLine="708"/>
      </w:pPr>
    </w:p>
    <w:bookmarkEnd w:id="0"/>
    <w:p w14:paraId="03137F8F" w14:textId="77777777" w:rsidR="00E509CB" w:rsidRPr="00D60A13" w:rsidRDefault="00E509CB" w:rsidP="00E509CB"/>
    <w:p w14:paraId="1E1135F7" w14:textId="77777777" w:rsidR="00E509CB" w:rsidRPr="00D60A13" w:rsidRDefault="00E509CB" w:rsidP="00E509CB"/>
    <w:p w14:paraId="1550143C" w14:textId="77777777" w:rsidR="00E509CB" w:rsidRPr="00D60A13" w:rsidRDefault="00E509CB" w:rsidP="00E509CB"/>
    <w:p w14:paraId="3C250190" w14:textId="77777777" w:rsidR="00E509CB" w:rsidRPr="00D60A13" w:rsidRDefault="00E509CB" w:rsidP="00E509CB"/>
    <w:p w14:paraId="72B9BAE4" w14:textId="77777777" w:rsidR="00E509CB" w:rsidRPr="00D60A13" w:rsidRDefault="00E509CB" w:rsidP="00E509CB"/>
    <w:p w14:paraId="5A43A4E7" w14:textId="77777777" w:rsidR="00E509CB" w:rsidRPr="00D60A13" w:rsidRDefault="00E509CB" w:rsidP="00E509CB"/>
    <w:p w14:paraId="701A174B" w14:textId="77777777" w:rsidR="00E509CB" w:rsidRPr="00D60A13" w:rsidRDefault="00E509CB" w:rsidP="00E509CB"/>
    <w:p w14:paraId="33FC8F3C" w14:textId="77777777" w:rsidR="00E509CB" w:rsidRPr="00D60A13" w:rsidRDefault="00E509CB" w:rsidP="00E509CB"/>
    <w:p w14:paraId="7B0FB55A" w14:textId="77777777" w:rsidR="00E509CB" w:rsidRPr="00D60A13" w:rsidRDefault="00E509CB" w:rsidP="00E509CB"/>
    <w:p w14:paraId="24AD459E" w14:textId="77777777" w:rsidR="00E509CB" w:rsidRPr="00D60A13" w:rsidRDefault="00E509CB" w:rsidP="00E509CB"/>
    <w:p w14:paraId="2654850F" w14:textId="77777777" w:rsidR="00E509CB" w:rsidRPr="00D60A13" w:rsidRDefault="00E509CB" w:rsidP="00E509CB"/>
    <w:p w14:paraId="13814EF1" w14:textId="77777777" w:rsidR="00E509CB" w:rsidRPr="00D60A13" w:rsidRDefault="00E509CB" w:rsidP="00E509CB"/>
    <w:p w14:paraId="62BE39C2" w14:textId="77777777" w:rsidR="00E509CB" w:rsidRPr="00D60A13" w:rsidRDefault="00E509CB" w:rsidP="00E509CB"/>
    <w:p w14:paraId="345C4E24" w14:textId="77777777" w:rsidR="0039215F" w:rsidRDefault="0039215F" w:rsidP="0029484B">
      <w:pPr>
        <w:tabs>
          <w:tab w:val="left" w:pos="1515"/>
        </w:tabs>
        <w:sectPr w:rsidR="0039215F" w:rsidSect="004739DE">
          <w:headerReference w:type="default" r:id="rId13"/>
          <w:footerReference w:type="default" r:id="rId14"/>
          <w:footerReference w:type="first" r:id="rId15"/>
          <w:pgSz w:w="11906" w:h="16838"/>
          <w:pgMar w:top="1701" w:right="1440" w:bottom="1440" w:left="1440" w:header="851" w:footer="709" w:gutter="0"/>
          <w:pgNumType w:start="1"/>
          <w:cols w:space="708"/>
          <w:titlePg/>
          <w:docGrid w:linePitch="360"/>
        </w:sectPr>
      </w:pPr>
    </w:p>
    <w:p w14:paraId="66DD0B1D" w14:textId="77777777" w:rsidR="0044247B" w:rsidRPr="00D60A13" w:rsidRDefault="0044247B" w:rsidP="0044247B">
      <w:pPr>
        <w:pStyle w:val="Heading1"/>
        <w:rPr>
          <w:b w:val="0"/>
          <w:lang w:val="en-GB"/>
        </w:rPr>
      </w:pPr>
      <w:bookmarkStart w:id="1" w:name="_Toc223524248"/>
      <w:bookmarkStart w:id="2" w:name="_Toc229036149"/>
      <w:r w:rsidRPr="00D60A13">
        <w:rPr>
          <w:lang w:val="en-GB"/>
        </w:rPr>
        <w:lastRenderedPageBreak/>
        <w:t>1. Introduction</w:t>
      </w:r>
      <w:bookmarkEnd w:id="1"/>
      <w:bookmarkEnd w:id="2"/>
    </w:p>
    <w:p w14:paraId="49003C8A" w14:textId="0EF70EE7" w:rsidR="0044247B" w:rsidRPr="00D60A13" w:rsidRDefault="0044247B" w:rsidP="00A9752E">
      <w:pPr>
        <w:pStyle w:val="Heading2"/>
        <w:rPr>
          <w:b w:val="0"/>
          <w:lang w:val="en-GB"/>
        </w:rPr>
      </w:pPr>
      <w:bookmarkStart w:id="3" w:name="_Toc223524249"/>
      <w:bookmarkStart w:id="4" w:name="_Toc229036150"/>
      <w:r w:rsidRPr="00D60A13">
        <w:rPr>
          <w:lang w:val="en-GB"/>
        </w:rPr>
        <w:t>1.1 Purpose and scope of the Joint Action Program</w:t>
      </w:r>
      <w:r w:rsidR="00EA7D58" w:rsidRPr="00D60A13">
        <w:rPr>
          <w:lang w:val="en-GB"/>
        </w:rPr>
        <w:t>me</w:t>
      </w:r>
      <w:r w:rsidRPr="00D60A13">
        <w:rPr>
          <w:lang w:val="en-GB"/>
        </w:rPr>
        <w:t xml:space="preserve"> for </w:t>
      </w:r>
      <w:r w:rsidR="00850224" w:rsidRPr="00D60A13">
        <w:rPr>
          <w:lang w:val="en-GB"/>
        </w:rPr>
        <w:t>Neretva</w:t>
      </w:r>
      <w:r w:rsidR="006E39CE" w:rsidRPr="00D60A13">
        <w:rPr>
          <w:lang w:val="en-GB"/>
        </w:rPr>
        <w:t xml:space="preserve"> TBA</w:t>
      </w:r>
      <w:bookmarkEnd w:id="3"/>
      <w:bookmarkEnd w:id="4"/>
    </w:p>
    <w:p w14:paraId="5B2961FA" w14:textId="7262A7A9" w:rsidR="00850224" w:rsidRPr="00D60A13" w:rsidRDefault="00850224" w:rsidP="0029443E">
      <w:pPr>
        <w:jc w:val="both"/>
      </w:pPr>
      <w:r w:rsidRPr="00D60A13">
        <w:t>The Joint Action Program (JAP) for the Neretva Transboundary Aquifer (TBA) provides a coordinated and implementation</w:t>
      </w:r>
      <w:r w:rsidRPr="00D60A13">
        <w:rPr>
          <w:rFonts w:ascii="Cambria Math" w:hAnsi="Cambria Math" w:cs="Cambria Math"/>
        </w:rPr>
        <w:t>‑</w:t>
      </w:r>
      <w:r w:rsidRPr="00D60A13">
        <w:t>oriented framework through which Bosnia and Herzegovina and Croatia will jointly address the priority issues affecting this highly vulnerable karst aquifer system. The JAP translates the regional objectives of the DIKTAS Strategic Action Programme (SAP) into a set of concrete, locally adapted and mutually agreed actions tailored to the specific hydrogeological, environmental, legal and socio</w:t>
      </w:r>
      <w:r w:rsidRPr="00D60A13">
        <w:rPr>
          <w:rFonts w:ascii="Cambria Math" w:hAnsi="Cambria Math" w:cs="Cambria Math"/>
        </w:rPr>
        <w:t>‑</w:t>
      </w:r>
      <w:r w:rsidRPr="00D60A13">
        <w:t xml:space="preserve">economic conditions of the Neretva TBA. </w:t>
      </w:r>
      <w:r w:rsidR="00F363BE" w:rsidRPr="00D60A13">
        <w:t xml:space="preserve">Furthermore, it consolidates the planning functions originally associated with the “Water Master Plan” concept, following the project team’s decision to apply a single, coherent terminology across all transboundary aquifers. </w:t>
      </w:r>
      <w:r w:rsidRPr="00D60A13">
        <w:t>Its overarching aim is to enhance the protection, sustainable use and long</w:t>
      </w:r>
      <w:r w:rsidRPr="00D60A13">
        <w:rPr>
          <w:rFonts w:ascii="Cambria Math" w:hAnsi="Cambria Math" w:cs="Cambria Math"/>
        </w:rPr>
        <w:t>‑</w:t>
      </w:r>
      <w:r w:rsidRPr="00D60A13">
        <w:t>term resilience of the shared groundwater system while strengthening institutional cooperation and technical harmonization between the two countries.</w:t>
      </w:r>
      <w:r w:rsidR="00F363BE" w:rsidRPr="00D60A13">
        <w:t xml:space="preserve"> In developing its framework, the JAP also acknowledges the principles outlined in the UN General Assembly Resolution A/RES/63/124 on the Law of Transboundary Aquifers, which encourages countries sharing groundwater systems to establish appropriate bilateral or regional arrangements for their cooperative governance. This ensures that the joint actions defined for Neretva TBA are consistent with globally recognized norms for the sustainable and equitable management of transboundary aquifers.</w:t>
      </w:r>
    </w:p>
    <w:p w14:paraId="5DA0A915" w14:textId="77777777" w:rsidR="00850224" w:rsidRPr="00D60A13" w:rsidRDefault="00850224" w:rsidP="0029443E">
      <w:pPr>
        <w:jc w:val="both"/>
      </w:pPr>
      <w:r w:rsidRPr="00D60A13">
        <w:t xml:space="preserve">The Neretva TBA is characterized by rapid groundwater flow through </w:t>
      </w:r>
      <w:proofErr w:type="spellStart"/>
      <w:r w:rsidRPr="00D60A13">
        <w:t>karstified</w:t>
      </w:r>
      <w:proofErr w:type="spellEnd"/>
      <w:r w:rsidRPr="00D60A13">
        <w:t xml:space="preserve"> carbonate formations, high transmissivity, limited natural attenuation capacity and strong hydraulic connectivity between recharge areas in Bosnia and Herzegovina and discharge areas in Croatia. These characteristics make the aquifer exceptionally sensitive to contamination and require transboundary management approaches based on shared data, harmonized methodologies and coordinated protective measures. The JAP builds upon the findings of the DIKTAS I Transboundary Diagnostic Analysis (TDA), the DIKTAS II Bilateral Groundwater Governance Diagnostic Analysis (BGGDA), and national river basin planning processes, ensuring that the proposed measures reflect current pressures, governance gaps and future risks.</w:t>
      </w:r>
    </w:p>
    <w:p w14:paraId="083BEF8D" w14:textId="7C924322" w:rsidR="00850224" w:rsidRPr="00D60A13" w:rsidRDefault="00850224" w:rsidP="0029443E">
      <w:pPr>
        <w:jc w:val="both"/>
      </w:pPr>
      <w:r w:rsidRPr="00D60A13">
        <w:t>The scope of the JAP focuses on the key issues confirmed for the Neretva TBA, including:</w:t>
      </w:r>
    </w:p>
    <w:p w14:paraId="7E61B22F" w14:textId="03E869CB" w:rsidR="00850224" w:rsidRPr="00D60A13" w:rsidRDefault="00850224" w:rsidP="0029443E">
      <w:pPr>
        <w:pStyle w:val="ListParagraph"/>
        <w:numPr>
          <w:ilvl w:val="0"/>
          <w:numId w:val="101"/>
        </w:numPr>
        <w:jc w:val="both"/>
      </w:pPr>
      <w:r w:rsidRPr="00D60A13">
        <w:t xml:space="preserve">diffuse agricultural pollution originating from </w:t>
      </w:r>
      <w:proofErr w:type="spellStart"/>
      <w:r w:rsidRPr="00D60A13">
        <w:t>Ljubuško</w:t>
      </w:r>
      <w:proofErr w:type="spellEnd"/>
      <w:r w:rsidRPr="00D60A13">
        <w:t xml:space="preserve"> Polje, particularly nitrates, pesticides and phosphates, with demonstrated potential impacts on the </w:t>
      </w:r>
      <w:proofErr w:type="spellStart"/>
      <w:r w:rsidRPr="00D60A13">
        <w:t>Prud</w:t>
      </w:r>
      <w:proofErr w:type="spellEnd"/>
      <w:r w:rsidRPr="00D60A13">
        <w:t xml:space="preserve"> spring - an essential drinking</w:t>
      </w:r>
      <w:r w:rsidRPr="00D60A13">
        <w:rPr>
          <w:rFonts w:ascii="Cambria Math" w:hAnsi="Cambria Math" w:cs="Cambria Math"/>
        </w:rPr>
        <w:t>‑</w:t>
      </w:r>
      <w:r w:rsidRPr="00D60A13">
        <w:t>water source for several Croatian islands;</w:t>
      </w:r>
    </w:p>
    <w:p w14:paraId="04FDBD99" w14:textId="77777777" w:rsidR="00850224" w:rsidRPr="00D60A13" w:rsidRDefault="00850224" w:rsidP="0029443E">
      <w:pPr>
        <w:pStyle w:val="ListParagraph"/>
        <w:numPr>
          <w:ilvl w:val="0"/>
          <w:numId w:val="101"/>
        </w:numPr>
        <w:jc w:val="both"/>
      </w:pPr>
      <w:r w:rsidRPr="00D60A13">
        <w:t xml:space="preserve">inadequate wastewater collection and treatment systems in the municipality of </w:t>
      </w:r>
      <w:proofErr w:type="spellStart"/>
      <w:r w:rsidRPr="00D60A13">
        <w:t>Ljubuški</w:t>
      </w:r>
      <w:proofErr w:type="spellEnd"/>
      <w:r w:rsidRPr="00D60A13">
        <w:t xml:space="preserve">, resulting in elevated microbiological and chemical vulnerability of the </w:t>
      </w:r>
      <w:proofErr w:type="spellStart"/>
      <w:r w:rsidRPr="00D60A13">
        <w:t>Prud</w:t>
      </w:r>
      <w:proofErr w:type="spellEnd"/>
      <w:r w:rsidRPr="00D60A13">
        <w:t xml:space="preserve"> spring and other karstic components of the aquifer;</w:t>
      </w:r>
    </w:p>
    <w:p w14:paraId="155F4843" w14:textId="138921AE" w:rsidR="00850224" w:rsidRPr="00D60A13" w:rsidRDefault="00850224" w:rsidP="0029443E">
      <w:pPr>
        <w:pStyle w:val="ListParagraph"/>
        <w:numPr>
          <w:ilvl w:val="0"/>
          <w:numId w:val="101"/>
        </w:numPr>
        <w:jc w:val="both"/>
      </w:pPr>
      <w:r w:rsidRPr="00D60A13">
        <w:t>agricultural pressures, land</w:t>
      </w:r>
      <w:r w:rsidRPr="00D60A13">
        <w:rPr>
          <w:rFonts w:ascii="Cambria Math" w:hAnsi="Cambria Math" w:cs="Cambria Math"/>
        </w:rPr>
        <w:t>‑</w:t>
      </w:r>
      <w:r w:rsidRPr="00D60A13">
        <w:t xml:space="preserve">use change and potential contamination in the Neretva </w:t>
      </w:r>
      <w:r w:rsidR="003108B4">
        <w:t>Delta</w:t>
      </w:r>
      <w:r w:rsidRPr="00D60A13">
        <w:t>, including risks associated with intensive and, in some cases, illegal pesticide and fertilizer use;</w:t>
      </w:r>
    </w:p>
    <w:p w14:paraId="2CE9D847" w14:textId="73EAAEFA" w:rsidR="00850224" w:rsidRPr="00D60A13" w:rsidRDefault="00850224" w:rsidP="0029443E">
      <w:pPr>
        <w:pStyle w:val="ListParagraph"/>
        <w:numPr>
          <w:ilvl w:val="0"/>
          <w:numId w:val="101"/>
        </w:numPr>
        <w:jc w:val="both"/>
      </w:pPr>
      <w:r w:rsidRPr="00D60A13">
        <w:t>additional stressors such as solid</w:t>
      </w:r>
      <w:r w:rsidRPr="00D60A13">
        <w:rPr>
          <w:rFonts w:ascii="Cambria Math" w:hAnsi="Cambria Math" w:cs="Cambria Math"/>
        </w:rPr>
        <w:t>‑</w:t>
      </w:r>
      <w:r w:rsidRPr="00D60A13">
        <w:t>waste mismanagement, tourism</w:t>
      </w:r>
      <w:r w:rsidRPr="00D60A13">
        <w:rPr>
          <w:rFonts w:ascii="Cambria Math" w:hAnsi="Cambria Math" w:cs="Cambria Math"/>
        </w:rPr>
        <w:t>‑</w:t>
      </w:r>
      <w:r w:rsidRPr="00D60A13">
        <w:t>related seasonal loads, and the absence of harmonized groundwater monitoring and data</w:t>
      </w:r>
      <w:r w:rsidRPr="00D60A13">
        <w:rPr>
          <w:rFonts w:ascii="Cambria Math" w:hAnsi="Cambria Math" w:cs="Cambria Math"/>
        </w:rPr>
        <w:t>‑</w:t>
      </w:r>
      <w:r w:rsidRPr="00D60A13">
        <w:t>exchange protocols across the transboundary area.</w:t>
      </w:r>
    </w:p>
    <w:p w14:paraId="221AE107" w14:textId="77777777" w:rsidR="00850224" w:rsidRPr="00D60A13" w:rsidRDefault="00850224" w:rsidP="0029443E">
      <w:pPr>
        <w:jc w:val="both"/>
      </w:pPr>
      <w:r w:rsidRPr="00D60A13">
        <w:lastRenderedPageBreak/>
        <w:t>To address these challenges, the JAP defines a coherent set of priority actions aligned with DIKTAS II objectives, including: the harmonization of sanitary protection zone criteria; development of a joint monitoring concept for groundwater quantity and quality; improvement of wastewater and solid</w:t>
      </w:r>
      <w:r w:rsidRPr="00D60A13">
        <w:rPr>
          <w:rFonts w:ascii="Cambria Math" w:hAnsi="Cambria Math" w:cs="Cambria Math"/>
        </w:rPr>
        <w:t>‑</w:t>
      </w:r>
      <w:r w:rsidRPr="00D60A13">
        <w:t>waste management practices; definition of groundwater</w:t>
      </w:r>
      <w:r w:rsidRPr="00D60A13">
        <w:rPr>
          <w:rFonts w:ascii="Cambria Math" w:hAnsi="Cambria Math" w:cs="Cambria Math"/>
        </w:rPr>
        <w:t>‑</w:t>
      </w:r>
      <w:r w:rsidRPr="00D60A13">
        <w:t>risk mitigation measures in agricultural areas; and the establishment of operational mechanisms for regular data exchange and coordinated incident response. The JAP also integrates considerations related to groundwater</w:t>
      </w:r>
      <w:r w:rsidRPr="00D60A13">
        <w:rPr>
          <w:rFonts w:ascii="Cambria Math" w:hAnsi="Cambria Math" w:cs="Cambria Math"/>
        </w:rPr>
        <w:t>‑</w:t>
      </w:r>
      <w:r w:rsidRPr="00D60A13">
        <w:t>dependent ecosystems, climate variability, and long</w:t>
      </w:r>
      <w:r w:rsidRPr="00D60A13">
        <w:rPr>
          <w:rFonts w:ascii="Cambria Math" w:hAnsi="Cambria Math" w:cs="Cambria Math"/>
        </w:rPr>
        <w:t>‑</w:t>
      </w:r>
      <w:r w:rsidRPr="00D60A13">
        <w:t>term aquifer resilience, ensuring that measures complement national River Basin Management Plans and EU Water Framework Directive (WFD) obligations.</w:t>
      </w:r>
    </w:p>
    <w:p w14:paraId="04F7980F" w14:textId="7C379D16" w:rsidR="0044247B" w:rsidRPr="00D60A13" w:rsidRDefault="00850224" w:rsidP="0029443E">
      <w:pPr>
        <w:jc w:val="both"/>
        <w:rPr>
          <w:rFonts w:cstheme="minorHAnsi"/>
        </w:rPr>
      </w:pPr>
      <w:r w:rsidRPr="00D60A13">
        <w:t>In operational terms, the JAP provides the framework for implementation, monitoring and periodic review of agreed measures. It clarifies institutional responsibilities, establishes performance expectations and identifies areas requiring bilateral coordination. The JAP further supports harmonization of technical methodologies and contributes to preparing the ground for future bilateral arrangements under the DIKTAS II multilateral cooperation mechanism.</w:t>
      </w:r>
    </w:p>
    <w:p w14:paraId="2E8A61C5" w14:textId="77777777" w:rsidR="00EF347A" w:rsidRPr="00D60A13" w:rsidRDefault="00EF347A" w:rsidP="0029443E">
      <w:pPr>
        <w:jc w:val="both"/>
        <w:rPr>
          <w:rFonts w:eastAsia="Times New Roman" w:cstheme="minorHAnsi"/>
          <w:color w:val="000000"/>
        </w:rPr>
      </w:pPr>
    </w:p>
    <w:p w14:paraId="671B809A" w14:textId="77777777" w:rsidR="00D60A13" w:rsidRPr="001D4721" w:rsidRDefault="00D60A13" w:rsidP="00F84F29">
      <w:pPr>
        <w:pStyle w:val="Heading2"/>
        <w:rPr>
          <w:lang w:val="en-GB"/>
        </w:rPr>
      </w:pPr>
      <w:bookmarkStart w:id="5" w:name="_Toc229036151"/>
      <w:r w:rsidRPr="001D4721">
        <w:rPr>
          <w:lang w:val="en-GB"/>
        </w:rPr>
        <w:t>1.2 Geographic, geological and hydrogeological overview of the UNA TBA</w:t>
      </w:r>
      <w:bookmarkEnd w:id="5"/>
    </w:p>
    <w:p w14:paraId="252184A4" w14:textId="773B047C" w:rsidR="00D60A13" w:rsidRPr="00D60A13" w:rsidRDefault="00D60A13" w:rsidP="00D60A13">
      <w:pPr>
        <w:jc w:val="both"/>
        <w:rPr>
          <w:rFonts w:eastAsia="Times New Roman" w:cstheme="minorHAnsi"/>
          <w:color w:val="000000"/>
        </w:rPr>
      </w:pPr>
      <w:r w:rsidRPr="00D60A13">
        <w:rPr>
          <w:rFonts w:eastAsia="Times New Roman" w:cstheme="minorHAnsi"/>
          <w:color w:val="000000"/>
        </w:rPr>
        <w:t>The transboundary aquifer Neretva (TBA) is situated in the border zone between Croatia and Bosnia and Herzegovina</w:t>
      </w:r>
      <w:r>
        <w:rPr>
          <w:rFonts w:eastAsia="Times New Roman" w:cstheme="minorHAnsi"/>
          <w:color w:val="000000"/>
        </w:rPr>
        <w:t xml:space="preserve"> (BiH)</w:t>
      </w:r>
      <w:r w:rsidRPr="00D60A13">
        <w:rPr>
          <w:rFonts w:eastAsia="Times New Roman" w:cstheme="minorHAnsi"/>
          <w:color w:val="000000"/>
        </w:rPr>
        <w:t xml:space="preserve">. It extends across the southern to southwestern parts of </w:t>
      </w:r>
      <w:r>
        <w:rPr>
          <w:rFonts w:eastAsia="Times New Roman" w:cstheme="minorHAnsi"/>
          <w:color w:val="000000"/>
        </w:rPr>
        <w:t>BiH</w:t>
      </w:r>
      <w:r w:rsidRPr="00D60A13">
        <w:rPr>
          <w:rFonts w:eastAsia="Times New Roman" w:cstheme="minorHAnsi"/>
          <w:color w:val="000000"/>
        </w:rPr>
        <w:t xml:space="preserve">, including the West Herzegovina Canton, and continues into the southern part of Croatia within Dubrovnik–Neretva County. The </w:t>
      </w:r>
      <w:r>
        <w:rPr>
          <w:rFonts w:eastAsia="Times New Roman" w:cstheme="minorHAnsi"/>
          <w:color w:val="000000"/>
        </w:rPr>
        <w:t>TBA</w:t>
      </w:r>
      <w:r w:rsidRPr="00D60A13">
        <w:rPr>
          <w:rFonts w:eastAsia="Times New Roman" w:cstheme="minorHAnsi"/>
          <w:color w:val="000000"/>
        </w:rPr>
        <w:t xml:space="preserve"> is developed in a predominantly </w:t>
      </w:r>
      <w:proofErr w:type="spellStart"/>
      <w:r w:rsidRPr="00D60A13">
        <w:rPr>
          <w:rFonts w:eastAsia="Times New Roman" w:cstheme="minorHAnsi"/>
          <w:color w:val="000000"/>
        </w:rPr>
        <w:t>karstified</w:t>
      </w:r>
      <w:proofErr w:type="spellEnd"/>
      <w:r w:rsidRPr="00D60A13">
        <w:rPr>
          <w:rFonts w:eastAsia="Times New Roman" w:cstheme="minorHAnsi"/>
          <w:color w:val="000000"/>
        </w:rPr>
        <w:t xml:space="preserve"> carbonate environment and represents an important shared groundwater resource for both countries.</w:t>
      </w:r>
    </w:p>
    <w:p w14:paraId="5BB81570" w14:textId="0316C62A" w:rsidR="00D60A13" w:rsidRPr="00D60A13" w:rsidRDefault="00D60A13" w:rsidP="00D60A13">
      <w:pPr>
        <w:jc w:val="both"/>
        <w:rPr>
          <w:rFonts w:eastAsia="Times New Roman" w:cstheme="minorHAnsi"/>
          <w:color w:val="000000"/>
        </w:rPr>
      </w:pPr>
      <w:r w:rsidRPr="00D60A13">
        <w:rPr>
          <w:rFonts w:eastAsia="Times New Roman" w:cstheme="minorHAnsi"/>
          <w:color w:val="000000"/>
        </w:rPr>
        <w:t>The total area of Neretva TBA is estimated about approximately 600 km</w:t>
      </w:r>
      <w:r w:rsidRPr="00D60A13">
        <w:rPr>
          <w:rFonts w:eastAsia="Times New Roman" w:cstheme="minorHAnsi"/>
          <w:color w:val="000000"/>
          <w:vertAlign w:val="superscript"/>
        </w:rPr>
        <w:t>2</w:t>
      </w:r>
      <w:r w:rsidRPr="00D60A13">
        <w:rPr>
          <w:rFonts w:eastAsia="Times New Roman" w:cstheme="minorHAnsi"/>
          <w:color w:val="000000"/>
        </w:rPr>
        <w:t xml:space="preserve">. The portion within </w:t>
      </w:r>
      <w:r>
        <w:rPr>
          <w:rFonts w:eastAsia="Times New Roman" w:cstheme="minorHAnsi"/>
          <w:color w:val="000000"/>
        </w:rPr>
        <w:t>BiH</w:t>
      </w:r>
      <w:r w:rsidRPr="00D60A13">
        <w:rPr>
          <w:rFonts w:eastAsia="Times New Roman" w:cstheme="minorHAnsi"/>
          <w:color w:val="000000"/>
        </w:rPr>
        <w:t xml:space="preserve"> covers about 320 km², while the Croatian portion covers approximately 280 km².The boundaries of the </w:t>
      </w:r>
      <w:r>
        <w:rPr>
          <w:rFonts w:eastAsia="Times New Roman" w:cstheme="minorHAnsi"/>
          <w:color w:val="000000"/>
        </w:rPr>
        <w:t>TBA</w:t>
      </w:r>
      <w:r w:rsidRPr="00D60A13">
        <w:rPr>
          <w:rFonts w:eastAsia="Times New Roman" w:cstheme="minorHAnsi"/>
          <w:color w:val="000000"/>
        </w:rPr>
        <w:t xml:space="preserve"> are defined based on data obtained from long-term regional investigations, as well as numerous datasets from detailed studies conducted for various purposes within the area.</w:t>
      </w:r>
    </w:p>
    <w:p w14:paraId="401B5BE1" w14:textId="324C1216"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The </w:t>
      </w:r>
      <w:r>
        <w:rPr>
          <w:rFonts w:eastAsia="Times New Roman" w:cstheme="minorHAnsi"/>
          <w:color w:val="000000"/>
        </w:rPr>
        <w:t>TBA</w:t>
      </w:r>
      <w:r w:rsidRPr="00D60A13">
        <w:rPr>
          <w:rFonts w:eastAsia="Times New Roman" w:cstheme="minorHAnsi"/>
          <w:color w:val="000000"/>
        </w:rPr>
        <w:t xml:space="preserve"> encompasses the right bank of the Neretva River. The northwestern part of the TBA belongs to the catchment of the </w:t>
      </w:r>
      <w:proofErr w:type="spellStart"/>
      <w:r w:rsidRPr="00D60A13">
        <w:rPr>
          <w:rFonts w:eastAsia="Times New Roman" w:cstheme="minorHAnsi"/>
          <w:color w:val="000000"/>
        </w:rPr>
        <w:t>Opačac</w:t>
      </w:r>
      <w:proofErr w:type="spellEnd"/>
      <w:r w:rsidRPr="00D60A13">
        <w:rPr>
          <w:rFonts w:eastAsia="Times New Roman" w:cstheme="minorHAnsi"/>
          <w:color w:val="000000"/>
        </w:rPr>
        <w:t xml:space="preserve"> Spring, located near the town of </w:t>
      </w:r>
      <w:proofErr w:type="spellStart"/>
      <w:r w:rsidRPr="00D60A13">
        <w:rPr>
          <w:rFonts w:eastAsia="Times New Roman" w:cstheme="minorHAnsi"/>
          <w:color w:val="000000"/>
        </w:rPr>
        <w:t>Imotski</w:t>
      </w:r>
      <w:proofErr w:type="spellEnd"/>
      <w:r w:rsidRPr="00D60A13">
        <w:rPr>
          <w:rFonts w:eastAsia="Times New Roman" w:cstheme="minorHAnsi"/>
          <w:color w:val="000000"/>
        </w:rPr>
        <w:t xml:space="preserve">. The southeastern part belongs to the catchment of the </w:t>
      </w:r>
      <w:proofErr w:type="spellStart"/>
      <w:r w:rsidRPr="00D60A13">
        <w:rPr>
          <w:rFonts w:eastAsia="Times New Roman" w:cstheme="minorHAnsi"/>
          <w:color w:val="000000"/>
        </w:rPr>
        <w:t>Prud</w:t>
      </w:r>
      <w:proofErr w:type="spellEnd"/>
      <w:r w:rsidRPr="00D60A13">
        <w:rPr>
          <w:rFonts w:eastAsia="Times New Roman" w:cstheme="minorHAnsi"/>
          <w:color w:val="000000"/>
        </w:rPr>
        <w:t xml:space="preserve"> Spring (source of the Norin River), situated near </w:t>
      </w:r>
      <w:proofErr w:type="spellStart"/>
      <w:r w:rsidRPr="00D60A13">
        <w:rPr>
          <w:rFonts w:eastAsia="Times New Roman" w:cstheme="minorHAnsi"/>
          <w:color w:val="000000"/>
        </w:rPr>
        <w:t>Metković</w:t>
      </w:r>
      <w:proofErr w:type="spellEnd"/>
      <w:r w:rsidRPr="00D60A13">
        <w:rPr>
          <w:rFonts w:eastAsia="Times New Roman" w:cstheme="minorHAnsi"/>
          <w:color w:val="000000"/>
        </w:rPr>
        <w:t>. This spring is of particular importance for the regional water supply system NPKLM (Neretva–</w:t>
      </w:r>
      <w:proofErr w:type="spellStart"/>
      <w:r w:rsidRPr="00D60A13">
        <w:rPr>
          <w:rFonts w:eastAsia="Times New Roman" w:cstheme="minorHAnsi"/>
          <w:color w:val="000000"/>
        </w:rPr>
        <w:t>Pelješac</w:t>
      </w:r>
      <w:proofErr w:type="spellEnd"/>
      <w:r w:rsidRPr="00D60A13">
        <w:rPr>
          <w:rFonts w:eastAsia="Times New Roman" w:cstheme="minorHAnsi"/>
          <w:color w:val="000000"/>
        </w:rPr>
        <w:t>–</w:t>
      </w:r>
      <w:proofErr w:type="spellStart"/>
      <w:r w:rsidRPr="00D60A13">
        <w:rPr>
          <w:rFonts w:eastAsia="Times New Roman" w:cstheme="minorHAnsi"/>
          <w:color w:val="000000"/>
        </w:rPr>
        <w:t>Korčula</w:t>
      </w:r>
      <w:proofErr w:type="spellEnd"/>
      <w:r w:rsidRPr="00D60A13">
        <w:rPr>
          <w:rFonts w:eastAsia="Times New Roman" w:cstheme="minorHAnsi"/>
          <w:color w:val="000000"/>
        </w:rPr>
        <w:t>–</w:t>
      </w:r>
      <w:proofErr w:type="spellStart"/>
      <w:r w:rsidRPr="00D60A13">
        <w:rPr>
          <w:rFonts w:eastAsia="Times New Roman" w:cstheme="minorHAnsi"/>
          <w:color w:val="000000"/>
        </w:rPr>
        <w:t>Lastovo</w:t>
      </w:r>
      <w:proofErr w:type="spellEnd"/>
      <w:r w:rsidRPr="00D60A13">
        <w:rPr>
          <w:rFonts w:eastAsia="Times New Roman" w:cstheme="minorHAnsi"/>
          <w:color w:val="000000"/>
        </w:rPr>
        <w:t>–</w:t>
      </w:r>
      <w:proofErr w:type="spellStart"/>
      <w:r w:rsidRPr="00D60A13">
        <w:rPr>
          <w:rFonts w:eastAsia="Times New Roman" w:cstheme="minorHAnsi"/>
          <w:color w:val="000000"/>
        </w:rPr>
        <w:t>Mljet</w:t>
      </w:r>
      <w:proofErr w:type="spellEnd"/>
      <w:r w:rsidRPr="00D60A13">
        <w:rPr>
          <w:rFonts w:eastAsia="Times New Roman" w:cstheme="minorHAnsi"/>
          <w:color w:val="000000"/>
        </w:rPr>
        <w:t>).</w:t>
      </w:r>
    </w:p>
    <w:p w14:paraId="7DB7AC9E" w14:textId="699AA8FD"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A key characteristic of this </w:t>
      </w:r>
      <w:r w:rsidR="00F84F29">
        <w:rPr>
          <w:rFonts w:eastAsia="Times New Roman" w:cstheme="minorHAnsi"/>
          <w:color w:val="000000"/>
        </w:rPr>
        <w:t>TBA</w:t>
      </w:r>
      <w:r w:rsidRPr="00D60A13">
        <w:rPr>
          <w:rFonts w:eastAsia="Times New Roman" w:cstheme="minorHAnsi"/>
          <w:color w:val="000000"/>
        </w:rPr>
        <w:t xml:space="preserve"> is its </w:t>
      </w:r>
      <w:proofErr w:type="spellStart"/>
      <w:r w:rsidRPr="00D60A13">
        <w:rPr>
          <w:rFonts w:eastAsia="Times New Roman" w:cstheme="minorHAnsi"/>
          <w:color w:val="000000"/>
        </w:rPr>
        <w:t>hydrogeologically</w:t>
      </w:r>
      <w:proofErr w:type="spellEnd"/>
      <w:r w:rsidRPr="00D60A13">
        <w:rPr>
          <w:rFonts w:eastAsia="Times New Roman" w:cstheme="minorHAnsi"/>
          <w:color w:val="000000"/>
        </w:rPr>
        <w:t xml:space="preserve"> and hydrologically complex sinking river system. The river assumes six different names along its course. At the highest elevation (approximately 900 m </w:t>
      </w:r>
      <w:proofErr w:type="spellStart"/>
      <w:r w:rsidRPr="00D60A13">
        <w:rPr>
          <w:rFonts w:eastAsia="Times New Roman" w:cstheme="minorHAnsi"/>
          <w:color w:val="000000"/>
        </w:rPr>
        <w:t>a.s.l</w:t>
      </w:r>
      <w:proofErr w:type="spellEnd"/>
      <w:r w:rsidRPr="00D60A13">
        <w:rPr>
          <w:rFonts w:eastAsia="Times New Roman" w:cstheme="minorHAnsi"/>
          <w:color w:val="000000"/>
        </w:rPr>
        <w:t xml:space="preserve">.), the river originates as the </w:t>
      </w:r>
      <w:proofErr w:type="spellStart"/>
      <w:r w:rsidRPr="00D60A13">
        <w:rPr>
          <w:rFonts w:eastAsia="Times New Roman" w:cstheme="minorHAnsi"/>
          <w:color w:val="000000"/>
        </w:rPr>
        <w:t>Ričina</w:t>
      </w:r>
      <w:proofErr w:type="spellEnd"/>
      <w:r w:rsidRPr="00D60A13">
        <w:rPr>
          <w:rFonts w:eastAsia="Times New Roman" w:cstheme="minorHAnsi"/>
          <w:color w:val="000000"/>
        </w:rPr>
        <w:t xml:space="preserve"> River. After flowing through </w:t>
      </w:r>
      <w:proofErr w:type="spellStart"/>
      <w:r w:rsidRPr="00D60A13">
        <w:rPr>
          <w:rFonts w:eastAsia="Times New Roman" w:cstheme="minorHAnsi"/>
          <w:color w:val="000000"/>
        </w:rPr>
        <w:t>Posušje</w:t>
      </w:r>
      <w:proofErr w:type="spellEnd"/>
      <w:r w:rsidRPr="00D60A13">
        <w:rPr>
          <w:rFonts w:eastAsia="Times New Roman" w:cstheme="minorHAnsi"/>
          <w:color w:val="000000"/>
        </w:rPr>
        <w:t xml:space="preserve"> Polje, it is known as </w:t>
      </w:r>
      <w:proofErr w:type="spellStart"/>
      <w:r w:rsidRPr="00D60A13">
        <w:rPr>
          <w:rFonts w:eastAsia="Times New Roman" w:cstheme="minorHAnsi"/>
          <w:color w:val="000000"/>
        </w:rPr>
        <w:t>Suvaja</w:t>
      </w:r>
      <w:proofErr w:type="spellEnd"/>
      <w:r w:rsidRPr="00D60A13">
        <w:rPr>
          <w:rFonts w:eastAsia="Times New Roman" w:cstheme="minorHAnsi"/>
          <w:color w:val="000000"/>
        </w:rPr>
        <w:t xml:space="preserve">, and upon entering </w:t>
      </w:r>
      <w:proofErr w:type="spellStart"/>
      <w:r w:rsidRPr="00D60A13">
        <w:rPr>
          <w:rFonts w:eastAsia="Times New Roman" w:cstheme="minorHAnsi"/>
          <w:color w:val="000000"/>
        </w:rPr>
        <w:t>Imotsko</w:t>
      </w:r>
      <w:proofErr w:type="spellEnd"/>
      <w:r w:rsidRPr="00D60A13">
        <w:rPr>
          <w:rFonts w:eastAsia="Times New Roman" w:cstheme="minorHAnsi"/>
          <w:color w:val="000000"/>
        </w:rPr>
        <w:t xml:space="preserve"> Polje, it joins the </w:t>
      </w:r>
      <w:proofErr w:type="spellStart"/>
      <w:r w:rsidRPr="00D60A13">
        <w:rPr>
          <w:rFonts w:eastAsia="Times New Roman" w:cstheme="minorHAnsi"/>
          <w:color w:val="000000"/>
        </w:rPr>
        <w:t>Vrljika</w:t>
      </w:r>
      <w:proofErr w:type="spellEnd"/>
      <w:r w:rsidRPr="00D60A13">
        <w:rPr>
          <w:rFonts w:eastAsia="Times New Roman" w:cstheme="minorHAnsi"/>
          <w:color w:val="000000"/>
        </w:rPr>
        <w:t xml:space="preserve"> River. Under the name Matica, it sinks at the </w:t>
      </w:r>
      <w:proofErr w:type="spellStart"/>
      <w:r w:rsidRPr="00D60A13">
        <w:rPr>
          <w:rFonts w:eastAsia="Times New Roman" w:cstheme="minorHAnsi"/>
          <w:color w:val="000000"/>
        </w:rPr>
        <w:t>Sajinovac</w:t>
      </w:r>
      <w:proofErr w:type="spellEnd"/>
      <w:r w:rsidRPr="00D60A13">
        <w:rPr>
          <w:rFonts w:eastAsia="Times New Roman" w:cstheme="minorHAnsi"/>
          <w:color w:val="000000"/>
        </w:rPr>
        <w:t xml:space="preserve"> ponor near </w:t>
      </w:r>
      <w:proofErr w:type="spellStart"/>
      <w:r w:rsidRPr="00D60A13">
        <w:rPr>
          <w:rFonts w:eastAsia="Times New Roman" w:cstheme="minorHAnsi"/>
          <w:color w:val="000000"/>
        </w:rPr>
        <w:t>Drinovci</w:t>
      </w:r>
      <w:proofErr w:type="spellEnd"/>
      <w:r w:rsidRPr="00D60A13">
        <w:rPr>
          <w:rFonts w:eastAsia="Times New Roman" w:cstheme="minorHAnsi"/>
          <w:color w:val="000000"/>
        </w:rPr>
        <w:t xml:space="preserve"> in Herzegovina. After approximately 2 km of underground flow, the river re-emerges as the </w:t>
      </w:r>
      <w:proofErr w:type="spellStart"/>
      <w:r w:rsidRPr="00D60A13">
        <w:rPr>
          <w:rFonts w:eastAsia="Times New Roman" w:cstheme="minorHAnsi"/>
          <w:color w:val="000000"/>
        </w:rPr>
        <w:t>Tihaljina</w:t>
      </w:r>
      <w:proofErr w:type="spellEnd"/>
      <w:r w:rsidRPr="00D60A13">
        <w:rPr>
          <w:rFonts w:eastAsia="Times New Roman" w:cstheme="minorHAnsi"/>
          <w:color w:val="000000"/>
        </w:rPr>
        <w:t xml:space="preserve"> River. From this point onward, it maintains a continuous surface flow. It changes its name three more times, first to Sita, then to </w:t>
      </w:r>
      <w:proofErr w:type="spellStart"/>
      <w:r w:rsidRPr="00D60A13">
        <w:rPr>
          <w:rFonts w:eastAsia="Times New Roman" w:cstheme="minorHAnsi"/>
          <w:color w:val="000000"/>
        </w:rPr>
        <w:t>Mlade</w:t>
      </w:r>
      <w:proofErr w:type="spellEnd"/>
      <w:r w:rsidRPr="00D60A13">
        <w:rPr>
          <w:rFonts w:eastAsia="Times New Roman" w:cstheme="minorHAnsi"/>
          <w:color w:val="000000"/>
        </w:rPr>
        <w:t xml:space="preserve"> River, and finally to </w:t>
      </w:r>
      <w:proofErr w:type="spellStart"/>
      <w:r w:rsidRPr="00D60A13">
        <w:rPr>
          <w:rFonts w:eastAsia="Times New Roman" w:cstheme="minorHAnsi"/>
          <w:color w:val="000000"/>
        </w:rPr>
        <w:t>Trebižat</w:t>
      </w:r>
      <w:proofErr w:type="spellEnd"/>
      <w:r w:rsidRPr="00D60A13">
        <w:rPr>
          <w:rFonts w:eastAsia="Times New Roman" w:cstheme="minorHAnsi"/>
          <w:color w:val="000000"/>
        </w:rPr>
        <w:t xml:space="preserve"> River, under which name it is best known before discharging into the Neretva River.</w:t>
      </w:r>
    </w:p>
    <w:p w14:paraId="62FC4D57" w14:textId="07EDD4C1" w:rsidR="00D60A13" w:rsidRPr="00D60A13" w:rsidRDefault="00D60A13" w:rsidP="00D60A13">
      <w:pPr>
        <w:spacing w:after="0" w:line="240" w:lineRule="auto"/>
        <w:jc w:val="both"/>
        <w:rPr>
          <w:rFonts w:eastAsia="Times New Roman" w:cstheme="minorHAnsi"/>
          <w:color w:val="000000"/>
        </w:rPr>
      </w:pPr>
      <w:r w:rsidRPr="00D60A13">
        <w:rPr>
          <w:rFonts w:eastAsia="Times New Roman" w:cstheme="minorHAnsi"/>
          <w:color w:val="000000"/>
        </w:rPr>
        <w:lastRenderedPageBreak/>
        <w:t xml:space="preserve">Along its course, the river experiences water losses that contribute to recharge in adjacent catchments, including that of the </w:t>
      </w:r>
      <w:proofErr w:type="spellStart"/>
      <w:r w:rsidRPr="00D60A13">
        <w:rPr>
          <w:rFonts w:eastAsia="Times New Roman" w:cstheme="minorHAnsi"/>
          <w:color w:val="000000"/>
        </w:rPr>
        <w:t>Prud</w:t>
      </w:r>
      <w:proofErr w:type="spellEnd"/>
      <w:r w:rsidRPr="00D60A13">
        <w:rPr>
          <w:rFonts w:eastAsia="Times New Roman" w:cstheme="minorHAnsi"/>
          <w:color w:val="000000"/>
        </w:rPr>
        <w:t xml:space="preserve"> spring. The terrain is characterized by intense karstification, with all associated karst phenomena. The most intensive karstification is related to limestone rock masses. It is significantly less developed in dolomite formations, which predominantly act as discontinuous to locally continuous basal and lateral hydrogeological barriers within the system.</w:t>
      </w:r>
    </w:p>
    <w:p w14:paraId="042FF660" w14:textId="77777777" w:rsidR="00D60A13" w:rsidRPr="00D60A13" w:rsidRDefault="00D60A13" w:rsidP="00D60A13">
      <w:pPr>
        <w:spacing w:after="0" w:line="240" w:lineRule="auto"/>
        <w:jc w:val="center"/>
        <w:rPr>
          <w:rFonts w:eastAsia="Times New Roman" w:cstheme="minorHAnsi"/>
          <w:color w:val="000000"/>
        </w:rPr>
      </w:pPr>
      <w:r w:rsidRPr="00D60A13">
        <w:rPr>
          <w:rFonts w:eastAsia="Times New Roman" w:cstheme="minorHAnsi"/>
          <w:noProof/>
          <w:color w:val="000000"/>
        </w:rPr>
        <w:drawing>
          <wp:inline distT="0" distB="0" distL="0" distR="0" wp14:anchorId="75F38055" wp14:editId="2B5E947C">
            <wp:extent cx="5311140" cy="5643086"/>
            <wp:effectExtent l="0" t="0" r="3810" b="0"/>
            <wp:docPr id="1993414355"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414355" name="Slika 199341435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11140" cy="5643086"/>
                    </a:xfrm>
                    <a:prstGeom prst="rect">
                      <a:avLst/>
                    </a:prstGeom>
                  </pic:spPr>
                </pic:pic>
              </a:graphicData>
            </a:graphic>
          </wp:inline>
        </w:drawing>
      </w:r>
    </w:p>
    <w:p w14:paraId="0541302D" w14:textId="4699B3FE" w:rsidR="00D60A13" w:rsidRPr="00D60A13" w:rsidRDefault="0085370F" w:rsidP="0085370F">
      <w:pPr>
        <w:pStyle w:val="Caption"/>
        <w:jc w:val="center"/>
        <w:rPr>
          <w:rFonts w:eastAsia="Times New Roman" w:cstheme="minorHAnsi"/>
          <w:color w:val="000000"/>
          <w:sz w:val="20"/>
          <w:szCs w:val="20"/>
        </w:rPr>
      </w:pPr>
      <w:bookmarkStart w:id="6" w:name="_Toc229037706"/>
      <w:r>
        <w:t xml:space="preserve">Figure </w:t>
      </w:r>
      <w:r>
        <w:fldChar w:fldCharType="begin"/>
      </w:r>
      <w:r>
        <w:instrText xml:space="preserve"> SEQ Figure \* ARABIC </w:instrText>
      </w:r>
      <w:r>
        <w:fldChar w:fldCharType="separate"/>
      </w:r>
      <w:r w:rsidR="002F4776">
        <w:rPr>
          <w:noProof/>
        </w:rPr>
        <w:t>1</w:t>
      </w:r>
      <w:r>
        <w:fldChar w:fldCharType="end"/>
      </w:r>
      <w:r>
        <w:t xml:space="preserve"> </w:t>
      </w:r>
      <w:r w:rsidRPr="008C134D">
        <w:t>Topographic map with Neretva TBA boundary</w:t>
      </w:r>
      <w:bookmarkEnd w:id="6"/>
    </w:p>
    <w:p w14:paraId="383A38C8" w14:textId="77777777" w:rsidR="00D60A13" w:rsidRPr="00D60A13" w:rsidRDefault="00D60A13" w:rsidP="00D60A13">
      <w:pPr>
        <w:spacing w:after="0" w:line="240" w:lineRule="auto"/>
        <w:jc w:val="both"/>
        <w:rPr>
          <w:rFonts w:eastAsia="Times New Roman" w:cstheme="minorHAnsi"/>
          <w:color w:val="000000"/>
        </w:rPr>
      </w:pPr>
    </w:p>
    <w:p w14:paraId="65142826" w14:textId="62D89EB8"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Pronounced geomorphological contrasts are observed within the </w:t>
      </w:r>
      <w:r w:rsidR="00F84F29">
        <w:rPr>
          <w:rFonts w:eastAsia="Times New Roman" w:cstheme="minorHAnsi"/>
          <w:color w:val="000000"/>
        </w:rPr>
        <w:t>TBA</w:t>
      </w:r>
      <w:r w:rsidRPr="00D60A13">
        <w:rPr>
          <w:rFonts w:eastAsia="Times New Roman" w:cstheme="minorHAnsi"/>
          <w:color w:val="000000"/>
        </w:rPr>
        <w:t xml:space="preserve">. Karst poljes are surrounded by hilly and mountainous terrain, including the areas of </w:t>
      </w:r>
      <w:proofErr w:type="spellStart"/>
      <w:r w:rsidRPr="00D60A13">
        <w:rPr>
          <w:rFonts w:eastAsia="Times New Roman" w:cstheme="minorHAnsi"/>
          <w:color w:val="000000"/>
        </w:rPr>
        <w:t>Zavelim</w:t>
      </w:r>
      <w:proofErr w:type="spellEnd"/>
      <w:r w:rsidRPr="00D60A13">
        <w:rPr>
          <w:rFonts w:eastAsia="Times New Roman" w:cstheme="minorHAnsi"/>
          <w:color w:val="000000"/>
        </w:rPr>
        <w:t xml:space="preserve">, </w:t>
      </w:r>
      <w:proofErr w:type="spellStart"/>
      <w:r w:rsidRPr="00D60A13">
        <w:rPr>
          <w:rFonts w:eastAsia="Times New Roman" w:cstheme="minorHAnsi"/>
          <w:color w:val="000000"/>
        </w:rPr>
        <w:t>Kruševice</w:t>
      </w:r>
      <w:proofErr w:type="spellEnd"/>
      <w:r w:rsidRPr="00D60A13">
        <w:rPr>
          <w:rFonts w:eastAsia="Times New Roman" w:cstheme="minorHAnsi"/>
          <w:color w:val="000000"/>
        </w:rPr>
        <w:t xml:space="preserve">, </w:t>
      </w:r>
      <w:proofErr w:type="spellStart"/>
      <w:r w:rsidRPr="00D60A13">
        <w:rPr>
          <w:rFonts w:eastAsia="Times New Roman" w:cstheme="minorHAnsi"/>
          <w:color w:val="000000"/>
        </w:rPr>
        <w:t>Ljubević</w:t>
      </w:r>
      <w:proofErr w:type="spellEnd"/>
      <w:r w:rsidRPr="00D60A13">
        <w:rPr>
          <w:rFonts w:eastAsia="Times New Roman" w:cstheme="minorHAnsi"/>
          <w:color w:val="000000"/>
        </w:rPr>
        <w:t xml:space="preserve">, and </w:t>
      </w:r>
      <w:proofErr w:type="spellStart"/>
      <w:r w:rsidRPr="00D60A13">
        <w:rPr>
          <w:rFonts w:eastAsia="Times New Roman" w:cstheme="minorHAnsi"/>
          <w:color w:val="000000"/>
        </w:rPr>
        <w:t>Klobuk</w:t>
      </w:r>
      <w:proofErr w:type="spellEnd"/>
      <w:r w:rsidRPr="00D60A13">
        <w:rPr>
          <w:rFonts w:eastAsia="Times New Roman" w:cstheme="minorHAnsi"/>
          <w:color w:val="000000"/>
        </w:rPr>
        <w:t>.</w:t>
      </w:r>
    </w:p>
    <w:p w14:paraId="51552E2B" w14:textId="77777777" w:rsidR="00D60A13" w:rsidRPr="00D60A13" w:rsidRDefault="00D60A13" w:rsidP="00D60A13">
      <w:pPr>
        <w:jc w:val="both"/>
        <w:rPr>
          <w:rFonts w:eastAsia="Times New Roman" w:cstheme="minorHAnsi"/>
          <w:color w:val="000000"/>
        </w:rPr>
      </w:pPr>
      <w:proofErr w:type="spellStart"/>
      <w:r w:rsidRPr="00D60A13">
        <w:rPr>
          <w:rFonts w:eastAsia="Times New Roman" w:cstheme="minorHAnsi"/>
          <w:color w:val="000000"/>
        </w:rPr>
        <w:t>Imotsko</w:t>
      </w:r>
      <w:proofErr w:type="spellEnd"/>
      <w:r w:rsidRPr="00D60A13">
        <w:rPr>
          <w:rFonts w:eastAsia="Times New Roman" w:cstheme="minorHAnsi"/>
          <w:color w:val="000000"/>
        </w:rPr>
        <w:t xml:space="preserve"> Polje lies in the north part of the TBA. It is situated at elevations between 248 and 283 m </w:t>
      </w:r>
      <w:proofErr w:type="spellStart"/>
      <w:r w:rsidRPr="00D60A13">
        <w:rPr>
          <w:rFonts w:eastAsia="Times New Roman" w:cstheme="minorHAnsi"/>
          <w:color w:val="000000"/>
        </w:rPr>
        <w:t>a.s.l</w:t>
      </w:r>
      <w:proofErr w:type="spellEnd"/>
      <w:r w:rsidRPr="00D60A13">
        <w:rPr>
          <w:rFonts w:eastAsia="Times New Roman" w:cstheme="minorHAnsi"/>
          <w:color w:val="000000"/>
        </w:rPr>
        <w:t xml:space="preserve">., with a northwest–southeast orientation. It consists of the northwestern Upper Field (22.8 </w:t>
      </w:r>
      <w:r w:rsidRPr="00D60A13">
        <w:rPr>
          <w:rFonts w:eastAsia="Times New Roman" w:cstheme="minorHAnsi"/>
          <w:color w:val="000000"/>
        </w:rPr>
        <w:lastRenderedPageBreak/>
        <w:t xml:space="preserve">km²) and the southeastern Lower Field (72.2 km²), separated by a narrow section between </w:t>
      </w:r>
      <w:proofErr w:type="spellStart"/>
      <w:r w:rsidRPr="00D60A13">
        <w:rPr>
          <w:rFonts w:eastAsia="Times New Roman" w:cstheme="minorHAnsi"/>
          <w:color w:val="000000"/>
        </w:rPr>
        <w:t>Kamenmost</w:t>
      </w:r>
      <w:proofErr w:type="spellEnd"/>
      <w:r w:rsidRPr="00D60A13">
        <w:rPr>
          <w:rFonts w:eastAsia="Times New Roman" w:cstheme="minorHAnsi"/>
          <w:color w:val="000000"/>
        </w:rPr>
        <w:t xml:space="preserve"> and Glavina Donja. The Upper Field is drained by sinking streams, including the </w:t>
      </w:r>
      <w:proofErr w:type="spellStart"/>
      <w:r w:rsidRPr="00D60A13">
        <w:rPr>
          <w:rFonts w:eastAsia="Times New Roman" w:cstheme="minorHAnsi"/>
          <w:color w:val="000000"/>
        </w:rPr>
        <w:t>Suvaja</w:t>
      </w:r>
      <w:proofErr w:type="spellEnd"/>
      <w:r w:rsidRPr="00D60A13">
        <w:rPr>
          <w:rFonts w:eastAsia="Times New Roman" w:cstheme="minorHAnsi"/>
          <w:color w:val="000000"/>
        </w:rPr>
        <w:t xml:space="preserve"> River (</w:t>
      </w:r>
      <w:proofErr w:type="spellStart"/>
      <w:r w:rsidRPr="00D60A13">
        <w:rPr>
          <w:rFonts w:eastAsia="Times New Roman" w:cstheme="minorHAnsi"/>
          <w:color w:val="000000"/>
        </w:rPr>
        <w:t>Ričina</w:t>
      </w:r>
      <w:proofErr w:type="spellEnd"/>
      <w:r w:rsidRPr="00D60A13">
        <w:rPr>
          <w:rFonts w:eastAsia="Times New Roman" w:cstheme="minorHAnsi"/>
          <w:color w:val="000000"/>
        </w:rPr>
        <w:t xml:space="preserve">), which flows into </w:t>
      </w:r>
      <w:proofErr w:type="spellStart"/>
      <w:r w:rsidRPr="00D60A13">
        <w:rPr>
          <w:rFonts w:eastAsia="Times New Roman" w:cstheme="minorHAnsi"/>
          <w:color w:val="000000"/>
        </w:rPr>
        <w:t>Prološko</w:t>
      </w:r>
      <w:proofErr w:type="spellEnd"/>
      <w:r w:rsidRPr="00D60A13">
        <w:rPr>
          <w:rFonts w:eastAsia="Times New Roman" w:cstheme="minorHAnsi"/>
          <w:color w:val="000000"/>
        </w:rPr>
        <w:t xml:space="preserve"> </w:t>
      </w:r>
      <w:proofErr w:type="spellStart"/>
      <w:r w:rsidRPr="00D60A13">
        <w:rPr>
          <w:rFonts w:eastAsia="Times New Roman" w:cstheme="minorHAnsi"/>
          <w:color w:val="000000"/>
        </w:rPr>
        <w:t>Blato</w:t>
      </w:r>
      <w:proofErr w:type="spellEnd"/>
      <w:r w:rsidRPr="00D60A13">
        <w:rPr>
          <w:rFonts w:eastAsia="Times New Roman" w:cstheme="minorHAnsi"/>
          <w:color w:val="000000"/>
        </w:rPr>
        <w:t>, and the Sija River (</w:t>
      </w:r>
      <w:proofErr w:type="spellStart"/>
      <w:r w:rsidRPr="00D60A13">
        <w:rPr>
          <w:rFonts w:eastAsia="Times New Roman" w:cstheme="minorHAnsi"/>
          <w:color w:val="000000"/>
        </w:rPr>
        <w:t>Jaruga</w:t>
      </w:r>
      <w:proofErr w:type="spellEnd"/>
      <w:r w:rsidRPr="00D60A13">
        <w:rPr>
          <w:rFonts w:eastAsia="Times New Roman" w:cstheme="minorHAnsi"/>
          <w:color w:val="000000"/>
        </w:rPr>
        <w:t xml:space="preserve">), which flows out of it and joins the </w:t>
      </w:r>
      <w:proofErr w:type="spellStart"/>
      <w:r w:rsidRPr="00D60A13">
        <w:rPr>
          <w:rFonts w:eastAsia="Times New Roman" w:cstheme="minorHAnsi"/>
          <w:color w:val="000000"/>
        </w:rPr>
        <w:t>Vrljika</w:t>
      </w:r>
      <w:proofErr w:type="spellEnd"/>
      <w:r w:rsidRPr="00D60A13">
        <w:rPr>
          <w:rFonts w:eastAsia="Times New Roman" w:cstheme="minorHAnsi"/>
          <w:color w:val="000000"/>
        </w:rPr>
        <w:t xml:space="preserve"> at </w:t>
      </w:r>
      <w:proofErr w:type="spellStart"/>
      <w:r w:rsidRPr="00D60A13">
        <w:rPr>
          <w:rFonts w:eastAsia="Times New Roman" w:cstheme="minorHAnsi"/>
          <w:color w:val="000000"/>
        </w:rPr>
        <w:t>Kamenmost</w:t>
      </w:r>
      <w:proofErr w:type="spellEnd"/>
      <w:r w:rsidRPr="00D60A13">
        <w:rPr>
          <w:rFonts w:eastAsia="Times New Roman" w:cstheme="minorHAnsi"/>
          <w:color w:val="000000"/>
        </w:rPr>
        <w:t xml:space="preserve">. In addition to the </w:t>
      </w:r>
      <w:proofErr w:type="spellStart"/>
      <w:r w:rsidRPr="00D60A13">
        <w:rPr>
          <w:rFonts w:eastAsia="Times New Roman" w:cstheme="minorHAnsi"/>
          <w:color w:val="000000"/>
        </w:rPr>
        <w:t>Vrljika</w:t>
      </w:r>
      <w:proofErr w:type="spellEnd"/>
      <w:r w:rsidRPr="00D60A13">
        <w:rPr>
          <w:rFonts w:eastAsia="Times New Roman" w:cstheme="minorHAnsi"/>
          <w:color w:val="000000"/>
        </w:rPr>
        <w:t xml:space="preserve">, the Lower Field is traversed by the </w:t>
      </w:r>
      <w:proofErr w:type="spellStart"/>
      <w:r w:rsidRPr="00D60A13">
        <w:rPr>
          <w:rFonts w:eastAsia="Times New Roman" w:cstheme="minorHAnsi"/>
          <w:color w:val="000000"/>
        </w:rPr>
        <w:t>Jaruga</w:t>
      </w:r>
      <w:proofErr w:type="spellEnd"/>
      <w:r w:rsidRPr="00D60A13">
        <w:rPr>
          <w:rFonts w:eastAsia="Times New Roman" w:cstheme="minorHAnsi"/>
          <w:color w:val="000000"/>
        </w:rPr>
        <w:t xml:space="preserve"> and the </w:t>
      </w:r>
      <w:proofErr w:type="spellStart"/>
      <w:r w:rsidRPr="00D60A13">
        <w:rPr>
          <w:rFonts w:eastAsia="Times New Roman" w:cstheme="minorHAnsi"/>
          <w:color w:val="000000"/>
        </w:rPr>
        <w:t>Grudski</w:t>
      </w:r>
      <w:proofErr w:type="spellEnd"/>
      <w:r w:rsidRPr="00D60A13">
        <w:rPr>
          <w:rFonts w:eastAsia="Times New Roman" w:cstheme="minorHAnsi"/>
          <w:color w:val="000000"/>
        </w:rPr>
        <w:t xml:space="preserve"> Potok.</w:t>
      </w:r>
    </w:p>
    <w:p w14:paraId="4BD904D5" w14:textId="77777777" w:rsidR="00D60A13" w:rsidRPr="00D60A13" w:rsidRDefault="00D60A13" w:rsidP="00D60A13">
      <w:pPr>
        <w:jc w:val="both"/>
      </w:pPr>
      <w:r w:rsidRPr="00D60A13">
        <w:rPr>
          <w:rFonts w:eastAsia="Times New Roman" w:cstheme="minorHAnsi"/>
          <w:color w:val="000000"/>
        </w:rPr>
        <w:t xml:space="preserve">From the central toward the southern part of the transboundary aquifer, </w:t>
      </w:r>
      <w:proofErr w:type="spellStart"/>
      <w:r w:rsidRPr="00D60A13">
        <w:rPr>
          <w:rFonts w:eastAsia="Times New Roman" w:cstheme="minorHAnsi"/>
          <w:color w:val="000000"/>
        </w:rPr>
        <w:t>Rastok</w:t>
      </w:r>
      <w:proofErr w:type="spellEnd"/>
      <w:r w:rsidRPr="00D60A13">
        <w:rPr>
          <w:rFonts w:eastAsia="Times New Roman" w:cstheme="minorHAnsi"/>
          <w:color w:val="000000"/>
        </w:rPr>
        <w:t xml:space="preserve"> Polje extends at elevations between 57 and 71 m </w:t>
      </w:r>
      <w:proofErr w:type="spellStart"/>
      <w:r w:rsidRPr="00D60A13">
        <w:rPr>
          <w:rFonts w:eastAsia="Times New Roman" w:cstheme="minorHAnsi"/>
          <w:color w:val="000000"/>
        </w:rPr>
        <w:t>a.s.l</w:t>
      </w:r>
      <w:proofErr w:type="spellEnd"/>
      <w:r w:rsidRPr="00D60A13">
        <w:rPr>
          <w:rFonts w:eastAsia="Times New Roman" w:cstheme="minorHAnsi"/>
          <w:color w:val="000000"/>
        </w:rPr>
        <w:t xml:space="preserve">., with a northwest–southeast orientation. Several smaller watercourses occur within the polje, the most significant being the Matica </w:t>
      </w:r>
      <w:proofErr w:type="spellStart"/>
      <w:r w:rsidRPr="00D60A13">
        <w:rPr>
          <w:rFonts w:eastAsia="Times New Roman" w:cstheme="minorHAnsi"/>
          <w:color w:val="000000"/>
        </w:rPr>
        <w:t>Rastoka</w:t>
      </w:r>
      <w:proofErr w:type="spellEnd"/>
      <w:r w:rsidRPr="00D60A13">
        <w:rPr>
          <w:rFonts w:eastAsia="Times New Roman" w:cstheme="minorHAnsi"/>
          <w:color w:val="000000"/>
        </w:rPr>
        <w:t xml:space="preserve">. For irrigation purposes, it is hydraulically connected to the Mlada River via the </w:t>
      </w:r>
      <w:proofErr w:type="spellStart"/>
      <w:r w:rsidRPr="00D60A13">
        <w:rPr>
          <w:rFonts w:eastAsia="Times New Roman" w:cstheme="minorHAnsi"/>
          <w:color w:val="000000"/>
        </w:rPr>
        <w:t>Parilo</w:t>
      </w:r>
      <w:proofErr w:type="spellEnd"/>
      <w:r w:rsidRPr="00D60A13">
        <w:rPr>
          <w:rFonts w:eastAsia="Times New Roman" w:cstheme="minorHAnsi"/>
          <w:color w:val="000000"/>
        </w:rPr>
        <w:t>–Brza Voda canal. The canal and associated drainage tunnel collect surface runoff from the surrounding area which together with spring waters is conveyed toward ponors.</w:t>
      </w:r>
      <w:r w:rsidRPr="00D60A13">
        <w:t xml:space="preserve"> </w:t>
      </w:r>
    </w:p>
    <w:p w14:paraId="51428BB5" w14:textId="33AFD1DA"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The valley of the </w:t>
      </w:r>
      <w:proofErr w:type="spellStart"/>
      <w:r w:rsidRPr="00D60A13">
        <w:rPr>
          <w:rFonts w:eastAsia="Times New Roman" w:cstheme="minorHAnsi"/>
          <w:color w:val="000000"/>
        </w:rPr>
        <w:t>Tihaljina</w:t>
      </w:r>
      <w:proofErr w:type="spellEnd"/>
      <w:r w:rsidRPr="00D60A13">
        <w:rPr>
          <w:rFonts w:eastAsia="Times New Roman" w:cstheme="minorHAnsi"/>
          <w:color w:val="000000"/>
        </w:rPr>
        <w:t xml:space="preserve"> River downstream of </w:t>
      </w:r>
      <w:proofErr w:type="spellStart"/>
      <w:r w:rsidRPr="00D60A13">
        <w:rPr>
          <w:rFonts w:eastAsia="Times New Roman" w:cstheme="minorHAnsi"/>
          <w:color w:val="000000"/>
        </w:rPr>
        <w:t>Petnik</w:t>
      </w:r>
      <w:proofErr w:type="spellEnd"/>
      <w:r w:rsidRPr="00D60A13">
        <w:rPr>
          <w:rFonts w:eastAsia="Times New Roman" w:cstheme="minorHAnsi"/>
          <w:color w:val="000000"/>
        </w:rPr>
        <w:t xml:space="preserve"> is developed within Albian–Cenomanian dolomites, where an ancient cave spring occurs at an elevation of approximately 127–130 m </w:t>
      </w:r>
      <w:proofErr w:type="spellStart"/>
      <w:r w:rsidRPr="00D60A13">
        <w:rPr>
          <w:rFonts w:eastAsia="Times New Roman" w:cstheme="minorHAnsi"/>
          <w:color w:val="000000"/>
        </w:rPr>
        <w:t>a.s.l</w:t>
      </w:r>
      <w:proofErr w:type="spellEnd"/>
      <w:r w:rsidRPr="00D60A13">
        <w:rPr>
          <w:rFonts w:eastAsia="Times New Roman" w:cstheme="minorHAnsi"/>
          <w:color w:val="000000"/>
        </w:rPr>
        <w:t xml:space="preserve">. The </w:t>
      </w:r>
      <w:proofErr w:type="spellStart"/>
      <w:r w:rsidRPr="00D60A13">
        <w:rPr>
          <w:rFonts w:eastAsia="Times New Roman" w:cstheme="minorHAnsi"/>
          <w:color w:val="000000"/>
        </w:rPr>
        <w:t>Tihaljina</w:t>
      </w:r>
      <w:proofErr w:type="spellEnd"/>
      <w:r w:rsidRPr="00D60A13">
        <w:rPr>
          <w:rFonts w:eastAsia="Times New Roman" w:cstheme="minorHAnsi"/>
          <w:color w:val="000000"/>
        </w:rPr>
        <w:t xml:space="preserve"> spring was formerly situated at a higher elevation, around 245 m </w:t>
      </w:r>
      <w:proofErr w:type="spellStart"/>
      <w:r w:rsidRPr="00D60A13">
        <w:rPr>
          <w:rFonts w:eastAsia="Times New Roman" w:cstheme="minorHAnsi"/>
          <w:color w:val="000000"/>
        </w:rPr>
        <w:t>a.s.l</w:t>
      </w:r>
      <w:proofErr w:type="spellEnd"/>
      <w:r w:rsidRPr="00D60A13">
        <w:rPr>
          <w:rFonts w:eastAsia="Times New Roman" w:cstheme="minorHAnsi"/>
          <w:color w:val="000000"/>
        </w:rPr>
        <w:t xml:space="preserve">., within </w:t>
      </w:r>
      <w:proofErr w:type="spellStart"/>
      <w:r w:rsidRPr="00D60A13">
        <w:rPr>
          <w:rFonts w:eastAsia="Times New Roman" w:cstheme="minorHAnsi"/>
          <w:color w:val="000000"/>
        </w:rPr>
        <w:t>Ravlića</w:t>
      </w:r>
      <w:proofErr w:type="spellEnd"/>
      <w:r w:rsidRPr="00D60A13">
        <w:rPr>
          <w:rFonts w:eastAsia="Times New Roman" w:cstheme="minorHAnsi"/>
          <w:color w:val="000000"/>
        </w:rPr>
        <w:t xml:space="preserve"> Cave, which is of considerable size. Downstream of </w:t>
      </w:r>
      <w:proofErr w:type="spellStart"/>
      <w:r w:rsidRPr="00D60A13">
        <w:rPr>
          <w:rFonts w:eastAsia="Times New Roman" w:cstheme="minorHAnsi"/>
          <w:color w:val="000000"/>
        </w:rPr>
        <w:t>Kavazbaša</w:t>
      </w:r>
      <w:proofErr w:type="spellEnd"/>
      <w:r w:rsidRPr="00D60A13">
        <w:rPr>
          <w:rFonts w:eastAsia="Times New Roman" w:cstheme="minorHAnsi"/>
          <w:color w:val="000000"/>
        </w:rPr>
        <w:t xml:space="preserve"> Bridge, the valley gradually widens, forming the Vitina–</w:t>
      </w:r>
      <w:proofErr w:type="spellStart"/>
      <w:r w:rsidRPr="00D60A13">
        <w:rPr>
          <w:rFonts w:eastAsia="Times New Roman" w:cstheme="minorHAnsi"/>
          <w:color w:val="000000"/>
        </w:rPr>
        <w:t>Ljubuški</w:t>
      </w:r>
      <w:proofErr w:type="spellEnd"/>
      <w:r w:rsidRPr="00D60A13">
        <w:rPr>
          <w:rFonts w:eastAsia="Times New Roman" w:cstheme="minorHAnsi"/>
          <w:color w:val="000000"/>
        </w:rPr>
        <w:t xml:space="preserve"> Polje. This area is covered by diluvial–alluvial deposits, underlain by Eocene flysch sediments. The presence of these less permeable clastic deposits has contributed to enhanced fluvial erosion and sediment removal.</w:t>
      </w:r>
    </w:p>
    <w:p w14:paraId="0A5AB272" w14:textId="22D2A9E3" w:rsidR="00D60A13" w:rsidRPr="004C0A5A" w:rsidRDefault="001D4721" w:rsidP="001D4721">
      <w:pPr>
        <w:pStyle w:val="Heading3"/>
        <w:rPr>
          <w:lang w:val="en-GB"/>
        </w:rPr>
      </w:pPr>
      <w:bookmarkStart w:id="7" w:name="_Toc229036152"/>
      <w:r w:rsidRPr="004C0A5A">
        <w:rPr>
          <w:lang w:val="en-GB"/>
        </w:rPr>
        <w:t xml:space="preserve">1.2.1 </w:t>
      </w:r>
      <w:r w:rsidR="00D60A13" w:rsidRPr="004C0A5A">
        <w:rPr>
          <w:lang w:val="en-GB"/>
        </w:rPr>
        <w:t>Geological characteristics</w:t>
      </w:r>
      <w:bookmarkEnd w:id="7"/>
      <w:r w:rsidR="00D60A13" w:rsidRPr="004C0A5A">
        <w:rPr>
          <w:lang w:val="en-GB"/>
        </w:rPr>
        <w:tab/>
      </w:r>
    </w:p>
    <w:p w14:paraId="547C7D88" w14:textId="57183865"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The geological structure of Neretva TBA reflects the structural and stratigraphic complexity of the </w:t>
      </w:r>
      <w:proofErr w:type="spellStart"/>
      <w:r w:rsidRPr="00D60A13">
        <w:rPr>
          <w:rFonts w:eastAsia="Times New Roman" w:cstheme="minorHAnsi"/>
          <w:color w:val="000000"/>
        </w:rPr>
        <w:t>Dinarides</w:t>
      </w:r>
      <w:proofErr w:type="spellEnd"/>
      <w:r w:rsidRPr="00D60A13">
        <w:rPr>
          <w:rFonts w:eastAsia="Times New Roman" w:cstheme="minorHAnsi"/>
          <w:color w:val="000000"/>
        </w:rPr>
        <w:t xml:space="preserve">. The aquifer is predominantly developed within Mesozoic carbonate formations that have been strongly affected by tectonic deformation. These geological conditions exert a major control on groundwater flow and discharge. </w:t>
      </w:r>
    </w:p>
    <w:p w14:paraId="46E89FA3" w14:textId="77777777"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The geological setting was described based on the </w:t>
      </w:r>
      <w:r w:rsidRPr="00F84F29">
        <w:rPr>
          <w:rFonts w:eastAsia="Times New Roman" w:cstheme="minorHAnsi"/>
          <w:i/>
          <w:iCs/>
          <w:color w:val="000000"/>
        </w:rPr>
        <w:t>Explanatory Notes of the Basic Geological Maps at a scale of 1:100,000</w:t>
      </w:r>
      <w:r w:rsidRPr="00D60A13">
        <w:rPr>
          <w:rFonts w:eastAsia="Times New Roman" w:cstheme="minorHAnsi"/>
          <w:color w:val="000000"/>
        </w:rPr>
        <w:t xml:space="preserve"> (sheets </w:t>
      </w:r>
      <w:proofErr w:type="spellStart"/>
      <w:r w:rsidRPr="00D60A13">
        <w:rPr>
          <w:rFonts w:eastAsia="Times New Roman" w:cstheme="minorHAnsi"/>
          <w:color w:val="000000"/>
        </w:rPr>
        <w:t>Imotski</w:t>
      </w:r>
      <w:proofErr w:type="spellEnd"/>
      <w:r w:rsidRPr="00D60A13">
        <w:rPr>
          <w:rFonts w:eastAsia="Times New Roman" w:cstheme="minorHAnsi"/>
          <w:color w:val="000000"/>
        </w:rPr>
        <w:t xml:space="preserve">, </w:t>
      </w:r>
      <w:proofErr w:type="spellStart"/>
      <w:r w:rsidRPr="00D60A13">
        <w:rPr>
          <w:rFonts w:eastAsia="Times New Roman" w:cstheme="minorHAnsi"/>
          <w:color w:val="000000"/>
        </w:rPr>
        <w:t>Metković</w:t>
      </w:r>
      <w:proofErr w:type="spellEnd"/>
      <w:r w:rsidRPr="00D60A13">
        <w:rPr>
          <w:rFonts w:eastAsia="Times New Roman" w:cstheme="minorHAnsi"/>
          <w:color w:val="000000"/>
        </w:rPr>
        <w:t xml:space="preserve">, and </w:t>
      </w:r>
      <w:proofErr w:type="spellStart"/>
      <w:r w:rsidRPr="00D60A13">
        <w:rPr>
          <w:rFonts w:eastAsia="Times New Roman" w:cstheme="minorHAnsi"/>
          <w:color w:val="000000"/>
        </w:rPr>
        <w:t>Ploče</w:t>
      </w:r>
      <w:proofErr w:type="spellEnd"/>
      <w:r w:rsidRPr="00D60A13">
        <w:rPr>
          <w:rFonts w:eastAsia="Times New Roman" w:cstheme="minorHAnsi"/>
          <w:color w:val="000000"/>
        </w:rPr>
        <w:t>).</w:t>
      </w:r>
    </w:p>
    <w:p w14:paraId="65410E79" w14:textId="77777777"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The TBA area is dominated by a thick succession of Mesozoic carbonate rocks, primarily of Cretaceous age, overlain by Paleogene, Neogene, and Quaternary deposits. Lower Cretaceous deposits consist predominantly of limestones and dolomites and are most extensively developed in the northwestern part of the area, between </w:t>
      </w:r>
      <w:proofErr w:type="spellStart"/>
      <w:r w:rsidRPr="00D60A13">
        <w:rPr>
          <w:rFonts w:eastAsia="Times New Roman" w:cstheme="minorHAnsi"/>
          <w:color w:val="000000"/>
        </w:rPr>
        <w:t>Kamenmost</w:t>
      </w:r>
      <w:proofErr w:type="spellEnd"/>
      <w:r w:rsidRPr="00D60A13">
        <w:rPr>
          <w:rFonts w:eastAsia="Times New Roman" w:cstheme="minorHAnsi"/>
          <w:color w:val="000000"/>
        </w:rPr>
        <w:t xml:space="preserve"> and Drum, southeast of </w:t>
      </w:r>
      <w:proofErr w:type="spellStart"/>
      <w:r w:rsidRPr="00D60A13">
        <w:rPr>
          <w:rFonts w:eastAsia="Times New Roman" w:cstheme="minorHAnsi"/>
          <w:color w:val="000000"/>
        </w:rPr>
        <w:t>Imotsko</w:t>
      </w:r>
      <w:proofErr w:type="spellEnd"/>
      <w:r w:rsidRPr="00D60A13">
        <w:rPr>
          <w:rFonts w:eastAsia="Times New Roman" w:cstheme="minorHAnsi"/>
          <w:color w:val="000000"/>
        </w:rPr>
        <w:t xml:space="preserve"> Polje. These deposits are characterized by well-stratified grey to brownish-grey limestones (</w:t>
      </w:r>
      <w:r w:rsidRPr="00D60A13">
        <w:rPr>
          <w:rFonts w:eastAsia="Times New Roman" w:cstheme="minorHAnsi"/>
          <w:color w:val="000000"/>
          <w:vertAlign w:val="superscript"/>
        </w:rPr>
        <w:t>2</w:t>
      </w:r>
      <w:r w:rsidRPr="00D60A13">
        <w:rPr>
          <w:rFonts w:eastAsia="Times New Roman" w:cstheme="minorHAnsi"/>
          <w:color w:val="000000"/>
        </w:rPr>
        <w:t>K</w:t>
      </w:r>
      <w:r w:rsidRPr="00D60A13">
        <w:rPr>
          <w:rFonts w:eastAsia="Times New Roman" w:cstheme="minorHAnsi"/>
          <w:color w:val="000000"/>
          <w:vertAlign w:val="subscript"/>
        </w:rPr>
        <w:t>1</w:t>
      </w:r>
      <w:r w:rsidRPr="00D60A13">
        <w:rPr>
          <w:rFonts w:eastAsia="Times New Roman" w:cstheme="minorHAnsi"/>
          <w:color w:val="000000"/>
        </w:rPr>
        <w:t>), while the Albian–Cenomanian interval (K</w:t>
      </w:r>
      <w:r w:rsidRPr="00D60A13">
        <w:rPr>
          <w:rFonts w:eastAsia="Times New Roman" w:cstheme="minorHAnsi"/>
          <w:color w:val="000000"/>
          <w:vertAlign w:val="subscript"/>
        </w:rPr>
        <w:t>1,2</w:t>
      </w:r>
      <w:r w:rsidRPr="00D60A13">
        <w:rPr>
          <w:rFonts w:eastAsia="Times New Roman" w:cstheme="minorHAnsi"/>
          <w:color w:val="000000"/>
        </w:rPr>
        <w:t>) is represented by limestones interbedded with dolomitic layers.</w:t>
      </w:r>
    </w:p>
    <w:p w14:paraId="0BD52522" w14:textId="77777777"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The Upper Cretaceous carbonate complex forms the dominant lithostratigraphic unit within the study area and occupies the largest surface extent. Although dolomites and dolomitic interlayers occur locally within the succession, limestones prevail in the overall lithological composition. As a result, the formation is strongly </w:t>
      </w:r>
      <w:proofErr w:type="spellStart"/>
      <w:r w:rsidRPr="00D60A13">
        <w:rPr>
          <w:rFonts w:eastAsia="Times New Roman" w:cstheme="minorHAnsi"/>
          <w:color w:val="000000"/>
        </w:rPr>
        <w:t>karstified</w:t>
      </w:r>
      <w:proofErr w:type="spellEnd"/>
      <w:r w:rsidRPr="00D60A13">
        <w:rPr>
          <w:rFonts w:eastAsia="Times New Roman" w:cstheme="minorHAnsi"/>
          <w:color w:val="000000"/>
        </w:rPr>
        <w:t xml:space="preserve"> and represents a typical karst aquifer system with pronounced secondary porosity and permeability. Groundwater circulation is therefore controlled by a combination of conduit flow through preferential pathways and diffuse flow through the fractured rock matrix.</w:t>
      </w:r>
    </w:p>
    <w:p w14:paraId="0AFE2F6B" w14:textId="77777777" w:rsidR="00D60A13" w:rsidRPr="00D60A13" w:rsidRDefault="00D60A13" w:rsidP="00D60A13">
      <w:pPr>
        <w:jc w:val="both"/>
        <w:rPr>
          <w:rFonts w:eastAsia="Times New Roman" w:cstheme="minorHAnsi"/>
          <w:color w:val="000000"/>
        </w:rPr>
      </w:pPr>
      <w:r w:rsidRPr="00D60A13">
        <w:rPr>
          <w:rFonts w:eastAsia="Times New Roman" w:cstheme="minorHAnsi"/>
          <w:color w:val="000000"/>
        </w:rPr>
        <w:lastRenderedPageBreak/>
        <w:t xml:space="preserve">Paleogene deposits are widely distributed in the northern parts of the study area, particularly in the </w:t>
      </w:r>
      <w:proofErr w:type="spellStart"/>
      <w:r w:rsidRPr="00D60A13">
        <w:rPr>
          <w:rFonts w:eastAsia="Times New Roman" w:cstheme="minorHAnsi"/>
          <w:color w:val="000000"/>
        </w:rPr>
        <w:t>Sutina</w:t>
      </w:r>
      <w:proofErr w:type="spellEnd"/>
      <w:r w:rsidRPr="00D60A13">
        <w:rPr>
          <w:rFonts w:eastAsia="Times New Roman" w:cstheme="minorHAnsi"/>
          <w:color w:val="000000"/>
        </w:rPr>
        <w:t xml:space="preserve"> and </w:t>
      </w:r>
      <w:proofErr w:type="spellStart"/>
      <w:r w:rsidRPr="00D60A13">
        <w:rPr>
          <w:rFonts w:eastAsia="Times New Roman" w:cstheme="minorHAnsi"/>
          <w:color w:val="000000"/>
        </w:rPr>
        <w:t>Zagorje</w:t>
      </w:r>
      <w:proofErr w:type="spellEnd"/>
      <w:r w:rsidRPr="00D60A13">
        <w:rPr>
          <w:rFonts w:eastAsia="Times New Roman" w:cstheme="minorHAnsi"/>
          <w:color w:val="000000"/>
        </w:rPr>
        <w:t xml:space="preserve"> areas, as well as in the central zone. The older Paleogene is developed exclusively in carbonate facies and includes Liburnian deposits (</w:t>
      </w:r>
      <w:proofErr w:type="spellStart"/>
      <w:proofErr w:type="gramStart"/>
      <w:r w:rsidRPr="00D60A13">
        <w:rPr>
          <w:rFonts w:eastAsia="Times New Roman" w:cstheme="minorHAnsi"/>
          <w:color w:val="000000"/>
        </w:rPr>
        <w:t>Pc,E</w:t>
      </w:r>
      <w:proofErr w:type="spellEnd"/>
      <w:proofErr w:type="gramEnd"/>
      <w:r w:rsidRPr="00D60A13">
        <w:rPr>
          <w:rFonts w:eastAsia="Times New Roman" w:cstheme="minorHAnsi"/>
          <w:color w:val="000000"/>
        </w:rPr>
        <w:t xml:space="preserve">), composed of limestones and breccias, and </w:t>
      </w:r>
      <w:proofErr w:type="spellStart"/>
      <w:r w:rsidRPr="00D60A13">
        <w:rPr>
          <w:rFonts w:eastAsia="Times New Roman" w:cstheme="minorHAnsi"/>
          <w:color w:val="000000"/>
        </w:rPr>
        <w:t>alveolina</w:t>
      </w:r>
      <w:proofErr w:type="spellEnd"/>
      <w:r w:rsidRPr="00D60A13">
        <w:rPr>
          <w:rFonts w:eastAsia="Times New Roman" w:cstheme="minorHAnsi"/>
          <w:color w:val="000000"/>
        </w:rPr>
        <w:t>–nummulite limestones (E</w:t>
      </w:r>
      <w:r w:rsidRPr="00D60A13">
        <w:rPr>
          <w:rFonts w:eastAsia="Times New Roman" w:cstheme="minorHAnsi"/>
          <w:color w:val="000000"/>
          <w:vertAlign w:val="subscript"/>
        </w:rPr>
        <w:t>1,2</w:t>
      </w:r>
      <w:r w:rsidRPr="00D60A13">
        <w:rPr>
          <w:rFonts w:eastAsia="Times New Roman" w:cstheme="minorHAnsi"/>
          <w:color w:val="000000"/>
        </w:rPr>
        <w:t>). In contrast, the younger Paleogene is represented by clastic sediments. These deposits include successions of marls, sandstones, and conglomerates with locally developed flysch-type characteristics (E</w:t>
      </w:r>
      <w:r w:rsidRPr="00D60A13">
        <w:rPr>
          <w:rFonts w:eastAsia="Times New Roman" w:cstheme="minorHAnsi"/>
          <w:color w:val="000000"/>
          <w:vertAlign w:val="subscript"/>
        </w:rPr>
        <w:t>2,3</w:t>
      </w:r>
      <w:r w:rsidRPr="00D60A13">
        <w:rPr>
          <w:rFonts w:eastAsia="Times New Roman" w:cstheme="minorHAnsi"/>
          <w:color w:val="000000"/>
        </w:rPr>
        <w:t>), as well as similar lithological units enriched in macrofossils that are not classified as flysch. In the northernmost part of the area, conglomerates, sandstones, and marls of the Promina deposits (</w:t>
      </w:r>
      <w:proofErr w:type="spellStart"/>
      <w:proofErr w:type="gramStart"/>
      <w:r w:rsidRPr="00D60A13">
        <w:rPr>
          <w:rFonts w:eastAsia="Times New Roman" w:cstheme="minorHAnsi"/>
          <w:color w:val="000000"/>
        </w:rPr>
        <w:t>E,Ol</w:t>
      </w:r>
      <w:proofErr w:type="spellEnd"/>
      <w:proofErr w:type="gramEnd"/>
      <w:r w:rsidRPr="00D60A13">
        <w:rPr>
          <w:rFonts w:eastAsia="Times New Roman" w:cstheme="minorHAnsi"/>
          <w:color w:val="000000"/>
        </w:rPr>
        <w:t>) are developed.</w:t>
      </w:r>
    </w:p>
    <w:p w14:paraId="546DD9D6" w14:textId="77777777"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Neogene deposits are present in the northeastern sector of the study area and consist of marls and marly limestones containing </w:t>
      </w:r>
      <w:proofErr w:type="spellStart"/>
      <w:r w:rsidRPr="00D60A13">
        <w:rPr>
          <w:rFonts w:eastAsia="Times New Roman" w:cstheme="minorHAnsi"/>
          <w:color w:val="000000"/>
        </w:rPr>
        <w:t>Congeria</w:t>
      </w:r>
      <w:proofErr w:type="spellEnd"/>
      <w:r w:rsidRPr="00D60A13">
        <w:rPr>
          <w:rFonts w:eastAsia="Times New Roman" w:cstheme="minorHAnsi"/>
          <w:color w:val="000000"/>
        </w:rPr>
        <w:t xml:space="preserve">, indicating deposition in lacustrine to brackish environments. Quaternary deposits have the greatest spatial extent within </w:t>
      </w:r>
      <w:proofErr w:type="spellStart"/>
      <w:r w:rsidRPr="00D60A13">
        <w:rPr>
          <w:rFonts w:eastAsia="Times New Roman" w:cstheme="minorHAnsi"/>
          <w:color w:val="000000"/>
        </w:rPr>
        <w:t>Imotsko</w:t>
      </w:r>
      <w:proofErr w:type="spellEnd"/>
      <w:r w:rsidRPr="00D60A13">
        <w:rPr>
          <w:rFonts w:eastAsia="Times New Roman" w:cstheme="minorHAnsi"/>
          <w:color w:val="000000"/>
        </w:rPr>
        <w:t xml:space="preserve"> Polje and </w:t>
      </w:r>
      <w:proofErr w:type="spellStart"/>
      <w:r w:rsidRPr="00D60A13">
        <w:rPr>
          <w:rFonts w:eastAsia="Times New Roman" w:cstheme="minorHAnsi"/>
          <w:color w:val="000000"/>
        </w:rPr>
        <w:t>Rastok</w:t>
      </w:r>
      <w:proofErr w:type="spellEnd"/>
      <w:r w:rsidRPr="00D60A13">
        <w:rPr>
          <w:rFonts w:eastAsia="Times New Roman" w:cstheme="minorHAnsi"/>
          <w:color w:val="000000"/>
        </w:rPr>
        <w:t xml:space="preserve"> Polje, as well as along the valleys of the Mlada, Modra, and </w:t>
      </w:r>
      <w:proofErr w:type="spellStart"/>
      <w:r w:rsidRPr="00D60A13">
        <w:rPr>
          <w:rFonts w:eastAsia="Times New Roman" w:cstheme="minorHAnsi"/>
          <w:color w:val="000000"/>
        </w:rPr>
        <w:t>Vrioštica</w:t>
      </w:r>
      <w:proofErr w:type="spellEnd"/>
      <w:r w:rsidRPr="00D60A13">
        <w:rPr>
          <w:rFonts w:eastAsia="Times New Roman" w:cstheme="minorHAnsi"/>
          <w:color w:val="000000"/>
        </w:rPr>
        <w:t xml:space="preserve"> rivers. Pleistocene sediments occurring in the lower-lying parts of southeastern </w:t>
      </w:r>
      <w:proofErr w:type="spellStart"/>
      <w:r w:rsidRPr="00D60A13">
        <w:rPr>
          <w:rFonts w:eastAsia="Times New Roman" w:cstheme="minorHAnsi"/>
          <w:color w:val="000000"/>
        </w:rPr>
        <w:t>Imotsko</w:t>
      </w:r>
      <w:proofErr w:type="spellEnd"/>
      <w:r w:rsidRPr="00D60A13">
        <w:rPr>
          <w:rFonts w:eastAsia="Times New Roman" w:cstheme="minorHAnsi"/>
          <w:color w:val="000000"/>
        </w:rPr>
        <w:t xml:space="preserve"> Polje consist of sandy marls, sandy clays, weakly consolidated sandstones, and locally porous limestones of chalk-like character. Exploratory drilling carried out in </w:t>
      </w:r>
      <w:proofErr w:type="spellStart"/>
      <w:r w:rsidRPr="00D60A13">
        <w:rPr>
          <w:rFonts w:eastAsia="Times New Roman" w:cstheme="minorHAnsi"/>
          <w:color w:val="000000"/>
        </w:rPr>
        <w:t>Imotsko</w:t>
      </w:r>
      <w:proofErr w:type="spellEnd"/>
      <w:r w:rsidRPr="00D60A13">
        <w:rPr>
          <w:rFonts w:eastAsia="Times New Roman" w:cstheme="minorHAnsi"/>
          <w:color w:val="000000"/>
        </w:rPr>
        <w:t xml:space="preserve"> Polje has shown that Quaternary sediments reach a thickness of approximately 50 m, while Neogene deposits were not identified in the investigated subsurface profile.</w:t>
      </w:r>
    </w:p>
    <w:p w14:paraId="154AC8E7" w14:textId="77777777"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Within the Quaternary sequence, several genetic types of deposits can be distinguished. Lacustrine sediments are associated with topographic depressions in the eastern part of the study area, where sedimentation occurred in closed basin environments such as the </w:t>
      </w:r>
      <w:proofErr w:type="spellStart"/>
      <w:r w:rsidRPr="00D60A13">
        <w:rPr>
          <w:rFonts w:eastAsia="Times New Roman" w:cstheme="minorHAnsi"/>
          <w:color w:val="000000"/>
        </w:rPr>
        <w:t>Rastok</w:t>
      </w:r>
      <w:proofErr w:type="spellEnd"/>
      <w:r w:rsidRPr="00D60A13">
        <w:rPr>
          <w:rFonts w:eastAsia="Times New Roman" w:cstheme="minorHAnsi"/>
          <w:color w:val="000000"/>
        </w:rPr>
        <w:t xml:space="preserve"> valley. These deposits are predominantly composed of lacustrine carbonate muds (lacustrine chalk), with subordinate occurrences of plastic and sandy clays. Their spatial differentiation is often hindered by pronounced lateral facies transitions and by the presence of a superficial humus layer, while surface watercourses contribute additional coarse material, particularly gravels.</w:t>
      </w:r>
    </w:p>
    <w:p w14:paraId="7109F771" w14:textId="77777777"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Spring-related deposits are developed along the right bank of the Mlada River and at the transition toward the </w:t>
      </w:r>
      <w:proofErr w:type="spellStart"/>
      <w:r w:rsidRPr="00D60A13">
        <w:rPr>
          <w:rFonts w:eastAsia="Times New Roman" w:cstheme="minorHAnsi"/>
          <w:color w:val="000000"/>
        </w:rPr>
        <w:t>Rastok</w:t>
      </w:r>
      <w:proofErr w:type="spellEnd"/>
      <w:r w:rsidRPr="00D60A13">
        <w:rPr>
          <w:rFonts w:eastAsia="Times New Roman" w:cstheme="minorHAnsi"/>
          <w:color w:val="000000"/>
        </w:rPr>
        <w:t xml:space="preserve"> valley near Grab. Their thickness cannot be reliably determined due to coverage by younger alluvial and lacustrine sediments. These deposits formed through the biogenic precipitation of calcium carbonate on aquatic vegetation, resulting in tufa accumulation after the cessation of colder climatic conditions, most likely following the deposition of older lacustrine clay sediments.</w:t>
      </w:r>
    </w:p>
    <w:p w14:paraId="4BFD2D04" w14:textId="2E2072FF" w:rsidR="00D60A13" w:rsidRPr="00D60A13" w:rsidRDefault="00D60A13" w:rsidP="00D60A13">
      <w:pPr>
        <w:jc w:val="both"/>
        <w:rPr>
          <w:rFonts w:eastAsia="Times New Roman" w:cstheme="minorHAnsi"/>
          <w:color w:val="000000"/>
        </w:rPr>
      </w:pPr>
      <w:proofErr w:type="spellStart"/>
      <w:r w:rsidRPr="00D60A13">
        <w:rPr>
          <w:rFonts w:eastAsia="Times New Roman" w:cstheme="minorHAnsi"/>
          <w:color w:val="000000"/>
        </w:rPr>
        <w:t>Deluvial</w:t>
      </w:r>
      <w:proofErr w:type="spellEnd"/>
      <w:r w:rsidRPr="00D60A13">
        <w:rPr>
          <w:rFonts w:eastAsia="Times New Roman" w:cstheme="minorHAnsi"/>
          <w:color w:val="000000"/>
        </w:rPr>
        <w:t xml:space="preserve"> deposits occur along the slopes in areas such as </w:t>
      </w:r>
      <w:proofErr w:type="spellStart"/>
      <w:r w:rsidRPr="00D60A13">
        <w:rPr>
          <w:rFonts w:eastAsia="Times New Roman" w:cstheme="minorHAnsi"/>
          <w:color w:val="000000"/>
        </w:rPr>
        <w:t>Svinjača</w:t>
      </w:r>
      <w:proofErr w:type="spellEnd"/>
      <w:r w:rsidRPr="00D60A13">
        <w:rPr>
          <w:rFonts w:eastAsia="Times New Roman" w:cstheme="minorHAnsi"/>
          <w:color w:val="000000"/>
        </w:rPr>
        <w:t xml:space="preserve"> and </w:t>
      </w:r>
      <w:proofErr w:type="spellStart"/>
      <w:r w:rsidRPr="00D60A13">
        <w:rPr>
          <w:rFonts w:eastAsia="Times New Roman" w:cstheme="minorHAnsi"/>
          <w:color w:val="000000"/>
        </w:rPr>
        <w:t>Sovići</w:t>
      </w:r>
      <w:proofErr w:type="spellEnd"/>
      <w:r w:rsidRPr="00D60A13">
        <w:rPr>
          <w:rFonts w:eastAsia="Times New Roman" w:cstheme="minorHAnsi"/>
          <w:color w:val="000000"/>
        </w:rPr>
        <w:t xml:space="preserve"> within </w:t>
      </w:r>
      <w:proofErr w:type="spellStart"/>
      <w:r w:rsidRPr="00D60A13">
        <w:rPr>
          <w:rFonts w:eastAsia="Times New Roman" w:cstheme="minorHAnsi"/>
          <w:color w:val="000000"/>
        </w:rPr>
        <w:t>Imotsko</w:t>
      </w:r>
      <w:proofErr w:type="spellEnd"/>
      <w:r w:rsidRPr="00D60A13">
        <w:rPr>
          <w:rFonts w:eastAsia="Times New Roman" w:cstheme="minorHAnsi"/>
          <w:color w:val="000000"/>
        </w:rPr>
        <w:t xml:space="preserve"> Polje and consist of partially transported fragments of limestone and dolomite located close to their source rocks. In the wider </w:t>
      </w:r>
      <w:proofErr w:type="spellStart"/>
      <w:r w:rsidRPr="00D60A13">
        <w:rPr>
          <w:rFonts w:eastAsia="Times New Roman" w:cstheme="minorHAnsi"/>
          <w:color w:val="000000"/>
        </w:rPr>
        <w:t>Ljubuški</w:t>
      </w:r>
      <w:proofErr w:type="spellEnd"/>
      <w:r w:rsidRPr="00D60A13">
        <w:rPr>
          <w:rFonts w:eastAsia="Times New Roman" w:cstheme="minorHAnsi"/>
          <w:color w:val="000000"/>
        </w:rPr>
        <w:t xml:space="preserve"> area, these deposits are mainly composed of sands and loams and often grade laterally into colluvial deposits, making clear differentiation difficult. Talus accumulations are developed along the margins of </w:t>
      </w:r>
      <w:proofErr w:type="spellStart"/>
      <w:r w:rsidRPr="00D60A13">
        <w:rPr>
          <w:rFonts w:eastAsia="Times New Roman" w:cstheme="minorHAnsi"/>
          <w:color w:val="000000"/>
        </w:rPr>
        <w:t>Imotsko</w:t>
      </w:r>
      <w:proofErr w:type="spellEnd"/>
      <w:r w:rsidRPr="00D60A13">
        <w:rPr>
          <w:rFonts w:eastAsia="Times New Roman" w:cstheme="minorHAnsi"/>
          <w:color w:val="000000"/>
        </w:rPr>
        <w:t xml:space="preserve"> Polje and consist of </w:t>
      </w:r>
      <w:proofErr w:type="spellStart"/>
      <w:proofErr w:type="gramStart"/>
      <w:r w:rsidRPr="00D60A13">
        <w:rPr>
          <w:rFonts w:eastAsia="Times New Roman" w:cstheme="minorHAnsi"/>
          <w:color w:val="000000"/>
        </w:rPr>
        <w:t>coars</w:t>
      </w:r>
      <w:r w:rsidR="00F84F29">
        <w:rPr>
          <w:rFonts w:eastAsia="Times New Roman" w:cstheme="minorHAnsi"/>
          <w:color w:val="000000"/>
        </w:rPr>
        <w:t>e</w:t>
      </w:r>
      <w:proofErr w:type="spellEnd"/>
      <w:proofErr w:type="gramEnd"/>
      <w:r w:rsidRPr="00D60A13">
        <w:rPr>
          <w:rFonts w:eastAsia="Times New Roman" w:cstheme="minorHAnsi"/>
          <w:color w:val="000000"/>
        </w:rPr>
        <w:t xml:space="preserve">, gravity-driven debris derived from adjacent carbonate slopes. In the lowest parts of the poljes and river valleys, alluvial deposits are present, composed of heterogeneous mixtures of sands, gravels, and loams, commonly mixed with terra </w:t>
      </w:r>
      <w:proofErr w:type="spellStart"/>
      <w:r w:rsidRPr="00D60A13">
        <w:rPr>
          <w:rFonts w:eastAsia="Times New Roman" w:cstheme="minorHAnsi"/>
          <w:color w:val="000000"/>
        </w:rPr>
        <w:t>rossa</w:t>
      </w:r>
      <w:proofErr w:type="spellEnd"/>
      <w:r w:rsidRPr="00D60A13">
        <w:rPr>
          <w:rFonts w:eastAsia="Times New Roman" w:cstheme="minorHAnsi"/>
          <w:color w:val="000000"/>
        </w:rPr>
        <w:t xml:space="preserve"> and organic material. Certain areas remain periodically or permanently inundated, allowing ongoing sedimentation processes of both fine-grained and coarse-grained material.</w:t>
      </w:r>
    </w:p>
    <w:p w14:paraId="4AB4DD4D" w14:textId="56D66E14" w:rsidR="00D60A13" w:rsidRPr="004C0A5A" w:rsidRDefault="001D4721" w:rsidP="001D4721">
      <w:pPr>
        <w:pStyle w:val="Heading3"/>
        <w:rPr>
          <w:lang w:val="en-GB"/>
        </w:rPr>
      </w:pPr>
      <w:bookmarkStart w:id="8" w:name="_Toc229036153"/>
      <w:r w:rsidRPr="004C0A5A">
        <w:rPr>
          <w:lang w:val="en-GB"/>
        </w:rPr>
        <w:lastRenderedPageBreak/>
        <w:t xml:space="preserve">1.2.2 </w:t>
      </w:r>
      <w:r w:rsidR="00D60A13" w:rsidRPr="004C0A5A">
        <w:rPr>
          <w:lang w:val="en-GB"/>
        </w:rPr>
        <w:t>Tectonic characteristics</w:t>
      </w:r>
      <w:bookmarkEnd w:id="8"/>
      <w:r w:rsidR="00D60A13" w:rsidRPr="004C0A5A">
        <w:rPr>
          <w:lang w:val="en-GB"/>
        </w:rPr>
        <w:tab/>
      </w:r>
    </w:p>
    <w:p w14:paraId="240137F1" w14:textId="497EB9B3"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The terrain within the delineated Neretva Transboundary Aquifer (TBA) is characterized by a highly complex tectonic structure. The Karst </w:t>
      </w:r>
      <w:proofErr w:type="spellStart"/>
      <w:r w:rsidRPr="00D60A13">
        <w:rPr>
          <w:rFonts w:eastAsia="Times New Roman" w:cstheme="minorHAnsi"/>
          <w:color w:val="000000"/>
        </w:rPr>
        <w:t>Dinarides</w:t>
      </w:r>
      <w:proofErr w:type="spellEnd"/>
      <w:r w:rsidRPr="00D60A13">
        <w:rPr>
          <w:rFonts w:eastAsia="Times New Roman" w:cstheme="minorHAnsi"/>
          <w:color w:val="000000"/>
        </w:rPr>
        <w:t xml:space="preserve"> form part of the Alpine orogenic system, which developed </w:t>
      </w:r>
      <w:r w:rsidR="00F84F29" w:rsidRPr="00D60A13">
        <w:rPr>
          <w:rFonts w:eastAsia="Times New Roman" w:cstheme="minorHAnsi"/>
          <w:color w:val="000000"/>
        </w:rPr>
        <w:t>because of</w:t>
      </w:r>
      <w:r w:rsidRPr="00D60A13">
        <w:rPr>
          <w:rFonts w:eastAsia="Times New Roman" w:cstheme="minorHAnsi"/>
          <w:color w:val="000000"/>
        </w:rPr>
        <w:t xml:space="preserve"> the convergent movement of the African Plate relative to the Eurasian Plate, leading to regional crustal contraction. During this process, several carbonate platforms were formed, among which the Adriatic Carbonate Platform was particularly significant. This platform existed from the Toarcian (Late Jurassic) until the end of the Cretaceous, and its deposits today represent the most widespread lithologies within the Karst </w:t>
      </w:r>
      <w:proofErr w:type="spellStart"/>
      <w:r w:rsidRPr="00D60A13">
        <w:rPr>
          <w:rFonts w:eastAsia="Times New Roman" w:cstheme="minorHAnsi"/>
          <w:color w:val="000000"/>
        </w:rPr>
        <w:t>Dinarides</w:t>
      </w:r>
      <w:proofErr w:type="spellEnd"/>
      <w:r w:rsidRPr="00D60A13">
        <w:rPr>
          <w:rFonts w:eastAsia="Times New Roman" w:cstheme="minorHAnsi"/>
          <w:color w:val="000000"/>
        </w:rPr>
        <w:t>.</w:t>
      </w:r>
    </w:p>
    <w:p w14:paraId="5DCBEF17" w14:textId="285BBA7E"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Following sedimentation, the area was subjected to multiple phases of tectonic activity. From a hydrogeological perspective, the most relevant are the more recent phases, particularly those of Quaternary age and the present-day </w:t>
      </w:r>
      <w:proofErr w:type="spellStart"/>
      <w:r w:rsidRPr="00D60A13">
        <w:rPr>
          <w:rFonts w:eastAsia="Times New Roman" w:cstheme="minorHAnsi"/>
          <w:color w:val="000000"/>
        </w:rPr>
        <w:t>neotectonic</w:t>
      </w:r>
      <w:proofErr w:type="spellEnd"/>
      <w:r w:rsidRPr="00D60A13">
        <w:rPr>
          <w:rFonts w:eastAsia="Times New Roman" w:cstheme="minorHAnsi"/>
          <w:color w:val="000000"/>
        </w:rPr>
        <w:t xml:space="preserve"> regime. The uplift of the </w:t>
      </w:r>
      <w:proofErr w:type="spellStart"/>
      <w:r w:rsidRPr="00D60A13">
        <w:rPr>
          <w:rFonts w:eastAsia="Times New Roman" w:cstheme="minorHAnsi"/>
          <w:color w:val="000000"/>
        </w:rPr>
        <w:t>Dinarides</w:t>
      </w:r>
      <w:proofErr w:type="spellEnd"/>
      <w:r w:rsidRPr="00D60A13">
        <w:rPr>
          <w:rFonts w:eastAsia="Times New Roman" w:cstheme="minorHAnsi"/>
          <w:color w:val="000000"/>
        </w:rPr>
        <w:t xml:space="preserve"> began during the Late Eocene and continued through the Oligocene </w:t>
      </w:r>
      <w:r w:rsidR="00F84F29" w:rsidRPr="00D60A13">
        <w:rPr>
          <w:rFonts w:eastAsia="Times New Roman" w:cstheme="minorHAnsi"/>
          <w:color w:val="000000"/>
        </w:rPr>
        <w:t>because of</w:t>
      </w:r>
      <w:r w:rsidRPr="00D60A13">
        <w:rPr>
          <w:rFonts w:eastAsia="Times New Roman" w:cstheme="minorHAnsi"/>
          <w:color w:val="000000"/>
        </w:rPr>
        <w:t xml:space="preserve"> ongoing compressional tectonics, which led to crustal shortening and mountain building. The dominant regional stress field during this period was oriented in a northeast–southwest direction, resulting in the alignment of both geological and morphological structures in a northwest–southeast direction, commonly referred to as the Dinaric strike. The </w:t>
      </w:r>
      <w:proofErr w:type="spellStart"/>
      <w:r w:rsidRPr="00D60A13">
        <w:rPr>
          <w:rFonts w:eastAsia="Times New Roman" w:cstheme="minorHAnsi"/>
          <w:color w:val="000000"/>
        </w:rPr>
        <w:t>neotectonic</w:t>
      </w:r>
      <w:proofErr w:type="spellEnd"/>
      <w:r w:rsidRPr="00D60A13">
        <w:rPr>
          <w:rFonts w:eastAsia="Times New Roman" w:cstheme="minorHAnsi"/>
          <w:color w:val="000000"/>
        </w:rPr>
        <w:t xml:space="preserve"> phase commenced with a reorientation of the regional stress field into a north–south direction, from the Late Miocene to the present. This change in the stress regime led to the reactivation of numerous faults oriented diagonally to the main structural trend (approximately 45°). These structures are of particular importance from a hydrogeological standpoint, as they often control groundwater flow patterns and connectivity within the karst system (Terzić et al., 2019).</w:t>
      </w:r>
    </w:p>
    <w:p w14:paraId="656B7E33" w14:textId="620E352F" w:rsidR="00D60A13" w:rsidRPr="00D60A13" w:rsidRDefault="00D60A13" w:rsidP="00D60A13">
      <w:pPr>
        <w:jc w:val="both"/>
        <w:rPr>
          <w:rFonts w:eastAsia="Times New Roman" w:cstheme="minorHAnsi"/>
          <w:color w:val="000000"/>
        </w:rPr>
      </w:pPr>
      <w:r w:rsidRPr="00D60A13">
        <w:rPr>
          <w:rFonts w:eastAsia="Times New Roman" w:cstheme="minorHAnsi"/>
          <w:color w:val="000000"/>
        </w:rPr>
        <w:t>Within the wider area, a variety of morphological units can be identified, ranging from mountainous massifs and structural plateaus to smaller hills and fully developed karst poljes. These morphological features are predominantly elongated in the Dinaric direction (northwest–southeast), reflecting the structural control imposed by the underlying geology. The principal faults and stratigraphic trends also follow this Dinaric orientation; however, faults oriented diagonally or transversely to the main structural trend are equally significant. Such fault systems frequently act as preferential pathways for groundwater flow, playing a key role in the hydrogeological functioning of the aquifer system (Terzić et al., 2019).</w:t>
      </w:r>
    </w:p>
    <w:p w14:paraId="7D3949F8" w14:textId="6A9F5AEB" w:rsidR="00D60A13" w:rsidRPr="004C0A5A" w:rsidRDefault="001D4721" w:rsidP="001D4721">
      <w:pPr>
        <w:pStyle w:val="Heading3"/>
        <w:rPr>
          <w:lang w:val="en-GB"/>
        </w:rPr>
      </w:pPr>
      <w:bookmarkStart w:id="9" w:name="_Toc229036154"/>
      <w:r w:rsidRPr="004C0A5A">
        <w:rPr>
          <w:lang w:val="en-GB"/>
        </w:rPr>
        <w:t xml:space="preserve">1.2.3 </w:t>
      </w:r>
      <w:r w:rsidR="00D60A13" w:rsidRPr="004C0A5A">
        <w:rPr>
          <w:lang w:val="en-GB"/>
        </w:rPr>
        <w:t>Hydrogeological characteristics</w:t>
      </w:r>
      <w:bookmarkEnd w:id="9"/>
      <w:r w:rsidR="00D60A13" w:rsidRPr="004C0A5A">
        <w:rPr>
          <w:lang w:val="en-GB"/>
        </w:rPr>
        <w:tab/>
      </w:r>
    </w:p>
    <w:p w14:paraId="035E3D7F" w14:textId="6CF94E01"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In the recharge area of karst springs in the northern part of </w:t>
      </w:r>
      <w:proofErr w:type="spellStart"/>
      <w:r w:rsidRPr="00D60A13">
        <w:rPr>
          <w:rFonts w:eastAsia="Times New Roman" w:cstheme="minorHAnsi"/>
          <w:color w:val="000000"/>
        </w:rPr>
        <w:t>Imotsko</w:t>
      </w:r>
      <w:proofErr w:type="spellEnd"/>
      <w:r w:rsidRPr="00D60A13">
        <w:rPr>
          <w:rFonts w:eastAsia="Times New Roman" w:cstheme="minorHAnsi"/>
          <w:color w:val="000000"/>
        </w:rPr>
        <w:t xml:space="preserve"> Polje, the TBA is formed</w:t>
      </w:r>
      <w:r w:rsidRPr="00D60A13">
        <w:rPr>
          <w:rFonts w:eastAsia="Times New Roman" w:cstheme="minorHAnsi"/>
          <w:color w:val="000000"/>
        </w:rPr>
        <w:cr/>
        <w:t xml:space="preserve">predominantly within limestones, thoroughly </w:t>
      </w:r>
      <w:proofErr w:type="spellStart"/>
      <w:r w:rsidRPr="00D60A13">
        <w:rPr>
          <w:rFonts w:eastAsia="Times New Roman" w:cstheme="minorHAnsi"/>
          <w:color w:val="000000"/>
        </w:rPr>
        <w:t>karstified</w:t>
      </w:r>
      <w:proofErr w:type="spellEnd"/>
      <w:r w:rsidRPr="00D60A13">
        <w:rPr>
          <w:rFonts w:eastAsia="Times New Roman" w:cstheme="minorHAnsi"/>
          <w:color w:val="000000"/>
        </w:rPr>
        <w:t xml:space="preserve"> deposits of the Cretaceous age. The</w:t>
      </w:r>
      <w:r w:rsidRPr="00D60A13">
        <w:rPr>
          <w:rFonts w:eastAsia="Times New Roman" w:cstheme="minorHAnsi"/>
          <w:color w:val="000000"/>
        </w:rPr>
        <w:cr/>
        <w:t>aquifer outcrops at about 80 % of the land surface area while the rest is built from impermeable</w:t>
      </w:r>
      <w:r w:rsidRPr="00D60A13">
        <w:rPr>
          <w:rFonts w:eastAsia="Times New Roman" w:cstheme="minorHAnsi"/>
          <w:color w:val="000000"/>
        </w:rPr>
        <w:cr/>
        <w:t>flysch deposits of the Eocene age and poorly permeable deposits of the Miocene age overlying</w:t>
      </w:r>
      <w:r w:rsidRPr="00D60A13">
        <w:rPr>
          <w:rFonts w:eastAsia="Times New Roman" w:cstheme="minorHAnsi"/>
          <w:color w:val="000000"/>
        </w:rPr>
        <w:cr/>
        <w:t>the Cretaceous limestones. The thickness of these deposits is relatively small and does not</w:t>
      </w:r>
      <w:r w:rsidRPr="00D60A13">
        <w:rPr>
          <w:rFonts w:eastAsia="Times New Roman" w:cstheme="minorHAnsi"/>
          <w:color w:val="000000"/>
        </w:rPr>
        <w:cr/>
        <w:t>present a barrier to karst groundwater flow. The general direction of groundwater flow in this</w:t>
      </w:r>
      <w:r w:rsidR="00F84F29">
        <w:rPr>
          <w:rFonts w:eastAsia="Times New Roman" w:cstheme="minorHAnsi"/>
          <w:color w:val="000000"/>
        </w:rPr>
        <w:t xml:space="preserve"> </w:t>
      </w:r>
      <w:r w:rsidRPr="00D60A13">
        <w:rPr>
          <w:rFonts w:eastAsia="Times New Roman" w:cstheme="minorHAnsi"/>
          <w:color w:val="000000"/>
        </w:rPr>
        <w:t xml:space="preserve">area is along the </w:t>
      </w:r>
      <w:proofErr w:type="spellStart"/>
      <w:r w:rsidRPr="00D60A13">
        <w:rPr>
          <w:rFonts w:eastAsia="Times New Roman" w:cstheme="minorHAnsi"/>
          <w:color w:val="000000"/>
        </w:rPr>
        <w:t>neotectonically</w:t>
      </w:r>
      <w:proofErr w:type="spellEnd"/>
      <w:r w:rsidRPr="00D60A13">
        <w:rPr>
          <w:rFonts w:eastAsia="Times New Roman" w:cstheme="minorHAnsi"/>
          <w:color w:val="000000"/>
        </w:rPr>
        <w:t xml:space="preserve"> active fault and fissure systems, from B</w:t>
      </w:r>
      <w:r w:rsidR="00F84F29">
        <w:rPr>
          <w:rFonts w:eastAsia="Times New Roman" w:cstheme="minorHAnsi"/>
          <w:color w:val="000000"/>
        </w:rPr>
        <w:t>i</w:t>
      </w:r>
      <w:r w:rsidRPr="00D60A13">
        <w:rPr>
          <w:rFonts w:eastAsia="Times New Roman" w:cstheme="minorHAnsi"/>
          <w:color w:val="000000"/>
        </w:rPr>
        <w:t>H to Croatia.</w:t>
      </w:r>
    </w:p>
    <w:p w14:paraId="5169EA3B" w14:textId="4C1F354E" w:rsidR="00D60A13" w:rsidRPr="00D60A13" w:rsidRDefault="00F84F29" w:rsidP="00D60A13">
      <w:pPr>
        <w:jc w:val="both"/>
        <w:rPr>
          <w:rFonts w:eastAsia="Times New Roman" w:cstheme="minorHAnsi"/>
          <w:color w:val="000000"/>
        </w:rPr>
      </w:pPr>
      <w:r>
        <w:rPr>
          <w:rFonts w:eastAsia="Times New Roman" w:cstheme="minorHAnsi"/>
          <w:color w:val="000000"/>
        </w:rPr>
        <w:t>F</w:t>
      </w:r>
      <w:r w:rsidR="00D60A13" w:rsidRPr="00D60A13">
        <w:rPr>
          <w:rFonts w:eastAsia="Times New Roman" w:cstheme="minorHAnsi"/>
          <w:color w:val="000000"/>
        </w:rPr>
        <w:t xml:space="preserve">rom the north-western part of the </w:t>
      </w:r>
      <w:proofErr w:type="spellStart"/>
      <w:r w:rsidR="00D60A13" w:rsidRPr="00D60A13">
        <w:rPr>
          <w:rFonts w:eastAsia="Times New Roman" w:cstheme="minorHAnsi"/>
          <w:color w:val="000000"/>
        </w:rPr>
        <w:t>Imotsko</w:t>
      </w:r>
      <w:proofErr w:type="spellEnd"/>
      <w:r w:rsidR="00D60A13" w:rsidRPr="00D60A13">
        <w:rPr>
          <w:rFonts w:eastAsia="Times New Roman" w:cstheme="minorHAnsi"/>
          <w:color w:val="000000"/>
        </w:rPr>
        <w:t xml:space="preserve"> Polje</w:t>
      </w:r>
      <w:r>
        <w:rPr>
          <w:rFonts w:eastAsia="Times New Roman" w:cstheme="minorHAnsi"/>
          <w:color w:val="000000"/>
        </w:rPr>
        <w:t xml:space="preserve"> water</w:t>
      </w:r>
      <w:r w:rsidR="00D60A13" w:rsidRPr="00D60A13">
        <w:rPr>
          <w:rFonts w:eastAsia="Times New Roman" w:cstheme="minorHAnsi"/>
          <w:color w:val="000000"/>
        </w:rPr>
        <w:t xml:space="preserve"> flows as surface water (the River </w:t>
      </w:r>
      <w:proofErr w:type="spellStart"/>
      <w:r w:rsidR="00D60A13" w:rsidRPr="00D60A13">
        <w:rPr>
          <w:rFonts w:eastAsia="Times New Roman" w:cstheme="minorHAnsi"/>
          <w:color w:val="000000"/>
        </w:rPr>
        <w:t>Vrljika</w:t>
      </w:r>
      <w:proofErr w:type="spellEnd"/>
      <w:r w:rsidR="00D60A13" w:rsidRPr="00D60A13">
        <w:rPr>
          <w:rFonts w:eastAsia="Times New Roman" w:cstheme="minorHAnsi"/>
          <w:color w:val="000000"/>
        </w:rPr>
        <w:cr/>
        <w:t>and its tributaries) to directly beyond the border between Croatia and B</w:t>
      </w:r>
      <w:r>
        <w:rPr>
          <w:rFonts w:eastAsia="Times New Roman" w:cstheme="minorHAnsi"/>
          <w:color w:val="000000"/>
        </w:rPr>
        <w:t>i</w:t>
      </w:r>
      <w:r w:rsidR="00D60A13" w:rsidRPr="00D60A13">
        <w:rPr>
          <w:rFonts w:eastAsia="Times New Roman" w:cstheme="minorHAnsi"/>
          <w:color w:val="000000"/>
        </w:rPr>
        <w:t>H, where it sinks. After</w:t>
      </w:r>
      <w:r w:rsidR="00D60A13" w:rsidRPr="00D60A13">
        <w:rPr>
          <w:rFonts w:eastAsia="Times New Roman" w:cstheme="minorHAnsi"/>
          <w:color w:val="000000"/>
        </w:rPr>
        <w:cr/>
        <w:t xml:space="preserve">approximately 3.5 km of groundwater flow the water re-emerges as the River </w:t>
      </w:r>
      <w:proofErr w:type="spellStart"/>
      <w:r w:rsidR="00D60A13" w:rsidRPr="00D60A13">
        <w:rPr>
          <w:rFonts w:eastAsia="Times New Roman" w:cstheme="minorHAnsi"/>
          <w:color w:val="000000"/>
        </w:rPr>
        <w:t>Tihaljina</w:t>
      </w:r>
      <w:proofErr w:type="spellEnd"/>
      <w:r w:rsidR="00D60A13" w:rsidRPr="00D60A13">
        <w:rPr>
          <w:rFonts w:eastAsia="Times New Roman" w:cstheme="minorHAnsi"/>
          <w:color w:val="000000"/>
        </w:rPr>
        <w:t xml:space="preserve">, which, after flowing through </w:t>
      </w:r>
      <w:proofErr w:type="spellStart"/>
      <w:r w:rsidR="00D60A13" w:rsidRPr="00D60A13">
        <w:rPr>
          <w:rFonts w:eastAsia="Times New Roman" w:cstheme="minorHAnsi"/>
          <w:color w:val="000000"/>
        </w:rPr>
        <w:t>Ljubuško</w:t>
      </w:r>
      <w:proofErr w:type="spellEnd"/>
      <w:r w:rsidR="00D60A13" w:rsidRPr="00D60A13">
        <w:rPr>
          <w:rFonts w:eastAsia="Times New Roman" w:cstheme="minorHAnsi"/>
          <w:color w:val="000000"/>
        </w:rPr>
        <w:t xml:space="preserve"> Polje and being joined by its tributaries, forms the </w:t>
      </w:r>
      <w:proofErr w:type="spellStart"/>
      <w:r w:rsidR="00D60A13" w:rsidRPr="00D60A13">
        <w:rPr>
          <w:rFonts w:eastAsia="Times New Roman" w:cstheme="minorHAnsi"/>
          <w:color w:val="000000"/>
        </w:rPr>
        <w:t>Trebižat</w:t>
      </w:r>
      <w:proofErr w:type="spellEnd"/>
      <w:r w:rsidR="00D60A13" w:rsidRPr="00D60A13">
        <w:rPr>
          <w:rFonts w:eastAsia="Times New Roman" w:cstheme="minorHAnsi"/>
          <w:color w:val="000000"/>
        </w:rPr>
        <w:t xml:space="preserve"> river. </w:t>
      </w:r>
      <w:r w:rsidR="00D60A13" w:rsidRPr="00D60A13">
        <w:rPr>
          <w:rFonts w:eastAsia="Times New Roman" w:cstheme="minorHAnsi"/>
          <w:color w:val="000000"/>
        </w:rPr>
        <w:lastRenderedPageBreak/>
        <w:t xml:space="preserve">In this part of the basin, groundwater flow is predominantly parallel to geological structures in the northwest-southeast direction. </w:t>
      </w:r>
    </w:p>
    <w:p w14:paraId="674BC301" w14:textId="388994BB" w:rsidR="00D60A13" w:rsidRPr="00D60A13" w:rsidRDefault="00D60A13" w:rsidP="00D60A13">
      <w:pPr>
        <w:jc w:val="both"/>
      </w:pPr>
      <w:r w:rsidRPr="00D60A13">
        <w:rPr>
          <w:rFonts w:eastAsia="Times New Roman" w:cstheme="minorHAnsi"/>
          <w:color w:val="000000"/>
        </w:rPr>
        <w:t xml:space="preserve">Downstream of </w:t>
      </w:r>
      <w:proofErr w:type="spellStart"/>
      <w:r w:rsidRPr="00D60A13">
        <w:rPr>
          <w:rFonts w:eastAsia="Times New Roman" w:cstheme="minorHAnsi"/>
          <w:color w:val="000000"/>
        </w:rPr>
        <w:t>Ljubuško</w:t>
      </w:r>
      <w:proofErr w:type="spellEnd"/>
      <w:r w:rsidRPr="00D60A13">
        <w:rPr>
          <w:rFonts w:eastAsia="Times New Roman" w:cstheme="minorHAnsi"/>
          <w:color w:val="000000"/>
        </w:rPr>
        <w:t xml:space="preserve"> Polje, a portion of the </w:t>
      </w:r>
      <w:proofErr w:type="spellStart"/>
      <w:r w:rsidRPr="00D60A13">
        <w:rPr>
          <w:rFonts w:eastAsia="Times New Roman" w:cstheme="minorHAnsi"/>
          <w:color w:val="000000"/>
        </w:rPr>
        <w:t>Trebižat</w:t>
      </w:r>
      <w:proofErr w:type="spellEnd"/>
      <w:r w:rsidRPr="00D60A13">
        <w:rPr>
          <w:rFonts w:eastAsia="Times New Roman" w:cstheme="minorHAnsi"/>
          <w:color w:val="000000"/>
        </w:rPr>
        <w:t xml:space="preserve"> River water sinks along the riverbed section upstream of the </w:t>
      </w:r>
      <w:proofErr w:type="spellStart"/>
      <w:r w:rsidRPr="00D60A13">
        <w:rPr>
          <w:rFonts w:eastAsia="Times New Roman" w:cstheme="minorHAnsi"/>
          <w:color w:val="000000"/>
        </w:rPr>
        <w:t>Kravica</w:t>
      </w:r>
      <w:proofErr w:type="spellEnd"/>
      <w:r w:rsidRPr="00D60A13">
        <w:rPr>
          <w:rFonts w:eastAsia="Times New Roman" w:cstheme="minorHAnsi"/>
          <w:color w:val="000000"/>
        </w:rPr>
        <w:t xml:space="preserve"> waterfall and flows, perpendicular to the main geologic structures, towards the </w:t>
      </w:r>
      <w:proofErr w:type="spellStart"/>
      <w:r w:rsidRPr="00D60A13">
        <w:rPr>
          <w:rFonts w:eastAsia="Times New Roman" w:cstheme="minorHAnsi"/>
          <w:color w:val="000000"/>
        </w:rPr>
        <w:t>Prud</w:t>
      </w:r>
      <w:proofErr w:type="spellEnd"/>
      <w:r w:rsidRPr="00D60A13">
        <w:rPr>
          <w:rFonts w:eastAsia="Times New Roman" w:cstheme="minorHAnsi"/>
          <w:color w:val="000000"/>
        </w:rPr>
        <w:t xml:space="preserve"> spring (source of the River Norin, a tributary of the Neretva River). Groundwater from the area south of the </w:t>
      </w:r>
      <w:proofErr w:type="spellStart"/>
      <w:r w:rsidRPr="00D60A13">
        <w:rPr>
          <w:rFonts w:eastAsia="Times New Roman" w:cstheme="minorHAnsi"/>
          <w:color w:val="000000"/>
        </w:rPr>
        <w:t>Ljubuško</w:t>
      </w:r>
      <w:proofErr w:type="spellEnd"/>
      <w:r w:rsidRPr="00D60A13">
        <w:rPr>
          <w:rFonts w:eastAsia="Times New Roman" w:cstheme="minorHAnsi"/>
          <w:color w:val="000000"/>
        </w:rPr>
        <w:t xml:space="preserve"> Polje flows parallel to the geological structure in the </w:t>
      </w:r>
      <w:proofErr w:type="spellStart"/>
      <w:r w:rsidRPr="00D60A13">
        <w:rPr>
          <w:rFonts w:eastAsia="Times New Roman" w:cstheme="minorHAnsi"/>
          <w:color w:val="000000"/>
        </w:rPr>
        <w:t>southeastward</w:t>
      </w:r>
      <w:proofErr w:type="spellEnd"/>
      <w:r w:rsidRPr="00D60A13">
        <w:rPr>
          <w:rFonts w:eastAsia="Times New Roman" w:cstheme="minorHAnsi"/>
          <w:color w:val="000000"/>
        </w:rPr>
        <w:t xml:space="preserve"> direction towards the </w:t>
      </w:r>
      <w:proofErr w:type="spellStart"/>
      <w:r w:rsidRPr="00D60A13">
        <w:rPr>
          <w:rFonts w:eastAsia="Times New Roman" w:cstheme="minorHAnsi"/>
          <w:color w:val="000000"/>
        </w:rPr>
        <w:t>Prud</w:t>
      </w:r>
      <w:proofErr w:type="spellEnd"/>
      <w:r w:rsidRPr="00D60A13">
        <w:rPr>
          <w:rFonts w:eastAsia="Times New Roman" w:cstheme="minorHAnsi"/>
          <w:color w:val="000000"/>
        </w:rPr>
        <w:t xml:space="preserve"> spring.</w:t>
      </w:r>
      <w:r w:rsidRPr="00D60A13">
        <w:t xml:space="preserve"> </w:t>
      </w:r>
    </w:p>
    <w:p w14:paraId="6084FAF1" w14:textId="77777777" w:rsidR="00D60A13" w:rsidRPr="00D60A13" w:rsidRDefault="00D60A13" w:rsidP="00D60A13">
      <w:pPr>
        <w:jc w:val="both"/>
        <w:rPr>
          <w:rFonts w:eastAsia="Times New Roman" w:cstheme="minorHAnsi"/>
          <w:color w:val="000000"/>
        </w:rPr>
      </w:pPr>
      <w:r w:rsidRPr="00D60A13">
        <w:rPr>
          <w:rFonts w:eastAsia="Times New Roman" w:cstheme="minorHAnsi"/>
          <w:color w:val="000000"/>
        </w:rPr>
        <w:t>The directions and velocities of groundwater flow have been determined based on tracer tests conducted as part of various projects. In general, groundwater velocities in the northwestern part of the TBA are lower (&lt; 1 cm/s) than those in the southeastern part of the aquifer.</w:t>
      </w:r>
    </w:p>
    <w:p w14:paraId="689BD9DF" w14:textId="7C922EF5" w:rsidR="00D60A13" w:rsidRPr="00D60A13" w:rsidRDefault="00D60A13" w:rsidP="00D60A13">
      <w:pPr>
        <w:jc w:val="both"/>
      </w:pPr>
      <w:r w:rsidRPr="00D60A13">
        <w:rPr>
          <w:rFonts w:eastAsia="Times New Roman" w:cstheme="minorHAnsi"/>
          <w:color w:val="000000"/>
        </w:rPr>
        <w:t xml:space="preserve">A special characteristic of </w:t>
      </w:r>
      <w:r w:rsidR="00F84F29" w:rsidRPr="00D60A13">
        <w:rPr>
          <w:rFonts w:eastAsia="Times New Roman" w:cstheme="minorHAnsi"/>
          <w:color w:val="000000"/>
        </w:rPr>
        <w:t xml:space="preserve">Neretva </w:t>
      </w:r>
      <w:r w:rsidRPr="00D60A13">
        <w:rPr>
          <w:rFonts w:eastAsia="Times New Roman" w:cstheme="minorHAnsi"/>
          <w:color w:val="000000"/>
        </w:rPr>
        <w:t>TBA is the fact that groundwater velocities flowing in</w:t>
      </w:r>
      <w:r w:rsidRPr="00D60A13">
        <w:rPr>
          <w:rFonts w:eastAsia="Times New Roman" w:cstheme="minorHAnsi"/>
          <w:color w:val="000000"/>
        </w:rPr>
        <w:cr/>
        <w:t>the direction perpendicular to the geological structures are significantly lower than those in the</w:t>
      </w:r>
      <w:r w:rsidRPr="00D60A13">
        <w:rPr>
          <w:rFonts w:eastAsia="Times New Roman" w:cstheme="minorHAnsi"/>
          <w:color w:val="000000"/>
        </w:rPr>
        <w:cr/>
        <w:t>direction parallel to them. This should be taken into consideration when planning and implementing groundwater protection measures.</w:t>
      </w:r>
      <w:r w:rsidRPr="00D60A13">
        <w:t xml:space="preserve"> </w:t>
      </w:r>
    </w:p>
    <w:p w14:paraId="0A168CC5" w14:textId="0F396210" w:rsidR="00D60A13" w:rsidRPr="00D60A13" w:rsidRDefault="00D60A13" w:rsidP="00D60A13">
      <w:pPr>
        <w:jc w:val="both"/>
        <w:rPr>
          <w:rFonts w:eastAsia="Times New Roman" w:cstheme="minorHAnsi"/>
          <w:color w:val="000000"/>
        </w:rPr>
      </w:pPr>
      <w:r w:rsidRPr="00D60A13">
        <w:rPr>
          <w:rFonts w:eastAsia="Times New Roman" w:cstheme="minorHAnsi"/>
          <w:color w:val="000000"/>
        </w:rPr>
        <w:t xml:space="preserve">The discharge regime of all springs is typically karstic, characterized by significant differences between spring yields in dry and wet periods. This difference is somewhat less </w:t>
      </w:r>
      <w:r w:rsidR="00F84F29" w:rsidRPr="00D60A13">
        <w:rPr>
          <w:rFonts w:eastAsia="Times New Roman" w:cstheme="minorHAnsi"/>
          <w:color w:val="000000"/>
        </w:rPr>
        <w:t>pronounced</w:t>
      </w:r>
      <w:r w:rsidRPr="00D60A13">
        <w:rPr>
          <w:rFonts w:eastAsia="Times New Roman" w:cstheme="minorHAnsi"/>
          <w:color w:val="000000"/>
        </w:rPr>
        <w:t xml:space="preserve"> at the </w:t>
      </w:r>
      <w:proofErr w:type="spellStart"/>
      <w:r w:rsidRPr="00D60A13">
        <w:rPr>
          <w:rFonts w:eastAsia="Times New Roman" w:cstheme="minorHAnsi"/>
          <w:color w:val="000000"/>
        </w:rPr>
        <w:t>Prud</w:t>
      </w:r>
      <w:proofErr w:type="spellEnd"/>
      <w:r w:rsidRPr="00D60A13">
        <w:rPr>
          <w:rFonts w:eastAsia="Times New Roman" w:cstheme="minorHAnsi"/>
          <w:color w:val="000000"/>
        </w:rPr>
        <w:t xml:space="preserve"> spring, which is </w:t>
      </w:r>
      <w:proofErr w:type="gramStart"/>
      <w:r w:rsidRPr="00D60A13">
        <w:rPr>
          <w:rFonts w:eastAsia="Times New Roman" w:cstheme="minorHAnsi"/>
          <w:color w:val="000000"/>
        </w:rPr>
        <w:t>due to the fact that</w:t>
      </w:r>
      <w:proofErr w:type="gramEnd"/>
      <w:r w:rsidRPr="00D60A13">
        <w:rPr>
          <w:rFonts w:eastAsia="Times New Roman" w:cstheme="minorHAnsi"/>
          <w:color w:val="000000"/>
        </w:rPr>
        <w:t xml:space="preserve"> </w:t>
      </w:r>
      <w:proofErr w:type="gramStart"/>
      <w:r w:rsidRPr="00D60A13">
        <w:rPr>
          <w:rFonts w:eastAsia="Times New Roman" w:cstheme="minorHAnsi"/>
          <w:color w:val="000000"/>
        </w:rPr>
        <w:t>the majority of</w:t>
      </w:r>
      <w:proofErr w:type="gramEnd"/>
      <w:r w:rsidRPr="00D60A13">
        <w:rPr>
          <w:rFonts w:eastAsia="Times New Roman" w:cstheme="minorHAnsi"/>
          <w:color w:val="000000"/>
        </w:rPr>
        <w:t xml:space="preserve"> its recharge originates from the water sinking in the riverbed of the River </w:t>
      </w:r>
      <w:proofErr w:type="spellStart"/>
      <w:r w:rsidRPr="00D60A13">
        <w:rPr>
          <w:rFonts w:eastAsia="Times New Roman" w:cstheme="minorHAnsi"/>
          <w:color w:val="000000"/>
        </w:rPr>
        <w:t>Trebižat</w:t>
      </w:r>
      <w:proofErr w:type="spellEnd"/>
      <w:r w:rsidRPr="00D60A13">
        <w:rPr>
          <w:rFonts w:eastAsia="Times New Roman" w:cstheme="minorHAnsi"/>
          <w:color w:val="000000"/>
        </w:rPr>
        <w:t>.</w:t>
      </w:r>
    </w:p>
    <w:p w14:paraId="45BF7814" w14:textId="77777777" w:rsidR="00D60A13" w:rsidRPr="00D60A13" w:rsidRDefault="00D60A13" w:rsidP="0029443E">
      <w:pPr>
        <w:jc w:val="both"/>
        <w:rPr>
          <w:rFonts w:eastAsia="Times New Roman" w:cstheme="minorHAnsi"/>
          <w:color w:val="000000"/>
        </w:rPr>
      </w:pPr>
    </w:p>
    <w:p w14:paraId="3EE9B1A3" w14:textId="77777777" w:rsidR="0044247B" w:rsidRPr="00D60A13" w:rsidRDefault="0044247B" w:rsidP="00A9752E">
      <w:pPr>
        <w:pStyle w:val="Heading2"/>
        <w:rPr>
          <w:lang w:val="en-GB"/>
        </w:rPr>
      </w:pPr>
      <w:bookmarkStart w:id="10" w:name="_Toc223524251"/>
      <w:bookmarkStart w:id="11" w:name="_Toc229036155"/>
      <w:r w:rsidRPr="00D60A13">
        <w:rPr>
          <w:lang w:val="en-GB"/>
        </w:rPr>
        <w:t>1.3 Legal framework – multilateral and bilateral agreements</w:t>
      </w:r>
      <w:bookmarkEnd w:id="10"/>
      <w:bookmarkEnd w:id="11"/>
    </w:p>
    <w:p w14:paraId="259DD4B1" w14:textId="6AAA922A" w:rsidR="0060079A" w:rsidRPr="00D60A13" w:rsidRDefault="0060079A" w:rsidP="0060079A">
      <w:pPr>
        <w:jc w:val="both"/>
        <w:rPr>
          <w:rFonts w:ascii="Calibri" w:hAnsi="Calibri" w:cs="Calibri"/>
        </w:rPr>
      </w:pPr>
      <w:r w:rsidRPr="00D60A13">
        <w:rPr>
          <w:rFonts w:ascii="Calibri" w:hAnsi="Calibri" w:cs="Calibri"/>
        </w:rPr>
        <w:t>The legal framework relevant for the JAP for the Neretva TBA consists of a combination of multilateral conventions, bilateral cooperation instruments, EU water legislation, and national regulatory acts in Bosnia and Herzegovina and Croatia. Together, these instruments form the basis for the definition, coordination and implementation of groundwater</w:t>
      </w:r>
      <w:r w:rsidRPr="00D60A13">
        <w:rPr>
          <w:rFonts w:ascii="Cambria Math" w:hAnsi="Cambria Math" w:cs="Cambria Math"/>
        </w:rPr>
        <w:t>‑</w:t>
      </w:r>
      <w:r w:rsidRPr="00D60A13">
        <w:rPr>
          <w:rFonts w:ascii="Calibri" w:hAnsi="Calibri" w:cs="Calibri"/>
        </w:rPr>
        <w:t>related measures proposed under the JAP, ensuring that actions are consistent with internationally recognised principles for the management of transboundary aquifer systems.</w:t>
      </w:r>
    </w:p>
    <w:p w14:paraId="32F56411" w14:textId="77777777" w:rsidR="0060079A" w:rsidRPr="00D60A13" w:rsidRDefault="0060079A" w:rsidP="0060079A">
      <w:pPr>
        <w:jc w:val="both"/>
        <w:rPr>
          <w:rFonts w:ascii="Calibri" w:hAnsi="Calibri" w:cs="Calibri"/>
        </w:rPr>
      </w:pPr>
      <w:r w:rsidRPr="00D60A13">
        <w:rPr>
          <w:rFonts w:ascii="Calibri" w:hAnsi="Calibri" w:cs="Calibri"/>
        </w:rPr>
        <w:t>At the multilateral level, both countries apply the principles of the Convention on the Protection and Use of Transboundary Watercourses and International Lakes (UNECE Water Convention, Helsinki, 1992), which establishes obligations for cooperation, the prevention of significant transboundary impacts, reasonable and equitable use of shared waters, exchange of information, and the application of environmental impact assessment procedures. These principles provide the foundation for coordinated management of the Neretva TBA. Additional regional frameworks influencing the TBA include the Convention on Cooperation for the Protection and Sustainable Use of the Danube River (Danube River Protection Convention, Sofia, 1994) and the Framework Agreement on the Sava River Basin (FASRB, 2002), which promote harmonised planning and data exchange within hydrologically connected basins.</w:t>
      </w:r>
    </w:p>
    <w:p w14:paraId="0B0CAAE2" w14:textId="77777777" w:rsidR="0060079A" w:rsidRPr="00D60A13" w:rsidRDefault="0060079A" w:rsidP="0060079A">
      <w:pPr>
        <w:jc w:val="both"/>
        <w:rPr>
          <w:rFonts w:ascii="Calibri" w:hAnsi="Calibri" w:cs="Calibri"/>
        </w:rPr>
      </w:pPr>
      <w:r w:rsidRPr="00D60A13">
        <w:rPr>
          <w:rFonts w:ascii="Calibri" w:hAnsi="Calibri" w:cs="Calibri"/>
        </w:rPr>
        <w:t xml:space="preserve">Complementary guidance is provided through the Draft Articles on the Law of Transboundary Aquifers (United Nations, A/RES/63/124, 2008), which encourage States sharing aquifers to develop bilateral or regional arrangements for their cooperative governance. The draft articles are especially relevant for the Neretva TBA due to its strong hydraulic connectivity between </w:t>
      </w:r>
      <w:r w:rsidRPr="00D60A13">
        <w:rPr>
          <w:rFonts w:ascii="Calibri" w:hAnsi="Calibri" w:cs="Calibri"/>
        </w:rPr>
        <w:lastRenderedPageBreak/>
        <w:t>recharge areas in Bosnia and Herzegovina and discharge areas in Croatia, and the limited natural attenuation typical of karst aquifers.</w:t>
      </w:r>
    </w:p>
    <w:p w14:paraId="00045741" w14:textId="77777777" w:rsidR="0060079A" w:rsidRPr="00D60A13" w:rsidRDefault="0060079A" w:rsidP="0060079A">
      <w:pPr>
        <w:jc w:val="both"/>
        <w:rPr>
          <w:rFonts w:ascii="Calibri" w:hAnsi="Calibri" w:cs="Calibri"/>
        </w:rPr>
      </w:pPr>
      <w:r w:rsidRPr="00D60A13">
        <w:rPr>
          <w:rFonts w:ascii="Calibri" w:hAnsi="Calibri" w:cs="Calibri"/>
        </w:rPr>
        <w:t>Bilateral cooperation between Croatia and Bosnia and Herzegovina is primarily based on the Agreement between the Government of the Republic of Croatia and the Government of Bosnia and Herzegovina on Water Management Relations (Dubrovnik, 1996). This agreement establishes a general legal framework for the coordination of water</w:t>
      </w:r>
      <w:r w:rsidRPr="00D60A13">
        <w:rPr>
          <w:rFonts w:ascii="Cambria Math" w:hAnsi="Cambria Math" w:cs="Cambria Math"/>
        </w:rPr>
        <w:t>‑</w:t>
      </w:r>
      <w:r w:rsidRPr="00D60A13">
        <w:rPr>
          <w:rFonts w:ascii="Calibri" w:hAnsi="Calibri" w:cs="Calibri"/>
        </w:rPr>
        <w:t>management activities in shared basins, including joint water use, pollution control, exchange of information, and notification of extraordinary pollution events. It also provides for the establishment and operation of a Joint Water Management Commission, which serves as the main bilateral body for addressing shared water issues. However, the 1996 Agreement does not explicitly regulate groundwater or karst aquifers, and its provisions related to monitoring, sanitary protection, and incident response require updating to adequately reflect the specific vulnerabilities and pressures affecting the Neretva TBA.</w:t>
      </w:r>
    </w:p>
    <w:p w14:paraId="082456C9" w14:textId="18D95CFB" w:rsidR="00874896" w:rsidRPr="00D60A13" w:rsidRDefault="0060079A" w:rsidP="0060079A">
      <w:pPr>
        <w:jc w:val="both"/>
        <w:rPr>
          <w:rFonts w:ascii="Calibri" w:hAnsi="Calibri" w:cs="Calibri"/>
        </w:rPr>
      </w:pPr>
      <w:r w:rsidRPr="00D60A13">
        <w:rPr>
          <w:rFonts w:ascii="Calibri" w:hAnsi="Calibri" w:cs="Calibri"/>
        </w:rPr>
        <w:t xml:space="preserve">Within the broader DIKTAS II framework, the countries participate in the development of a Multilateral Agreement on the Establishment of a Consultation and Information Exchange (CIE) Body. </w:t>
      </w:r>
      <w:r w:rsidR="00874896" w:rsidRPr="00D60A13">
        <w:rPr>
          <w:rFonts w:ascii="Calibri" w:hAnsi="Calibri" w:cs="Calibri"/>
        </w:rPr>
        <w:t>The draft version of the Multilateral Agreement prepared under the DIKTAS II project by the expert team represents a preliminary working document intended to outline potential future cooperation options in groundwater governance. This non</w:t>
      </w:r>
      <w:r w:rsidR="00874896" w:rsidRPr="00D60A13">
        <w:rPr>
          <w:rFonts w:ascii="Cambria Math" w:hAnsi="Cambria Math" w:cs="Cambria Math"/>
        </w:rPr>
        <w:t>‑</w:t>
      </w:r>
      <w:r w:rsidR="00874896" w:rsidRPr="00D60A13">
        <w:rPr>
          <w:rFonts w:ascii="Calibri" w:hAnsi="Calibri" w:cs="Calibri"/>
        </w:rPr>
        <w:t>final draft is currently under review by the competent and relevant authorities of the participating countries. In its present form, the draft agreement foresees the possible establishment of a CIE as a platform through which Parties may, subject to future approval, exchange data, coordinate monitoring efforts, consider common parameters, and explore the development of joint guidance. The CIE is envisioned, in this draft context, as a mechanism that could support the planning and coordination of joint activities related to Neretva TBA. National committees would, where applicable, contribute by ensuring that domestic priorities and considerations are appropriately reflected.</w:t>
      </w:r>
    </w:p>
    <w:p w14:paraId="65D4B4B8" w14:textId="7440409E" w:rsidR="0060079A" w:rsidRPr="00D60A13" w:rsidRDefault="0060079A" w:rsidP="0060079A">
      <w:pPr>
        <w:jc w:val="both"/>
        <w:rPr>
          <w:rFonts w:ascii="Calibri" w:hAnsi="Calibri" w:cs="Calibri"/>
        </w:rPr>
      </w:pPr>
      <w:r w:rsidRPr="00D60A13">
        <w:rPr>
          <w:rFonts w:ascii="Calibri" w:hAnsi="Calibri" w:cs="Calibri"/>
        </w:rPr>
        <w:t>In the context of EU law, Croatia implements all groundwater</w:t>
      </w:r>
      <w:r w:rsidRPr="00D60A13">
        <w:rPr>
          <w:rFonts w:ascii="Cambria Math" w:hAnsi="Cambria Math" w:cs="Cambria Math"/>
        </w:rPr>
        <w:t>‑</w:t>
      </w:r>
      <w:r w:rsidRPr="00D60A13">
        <w:rPr>
          <w:rFonts w:ascii="Calibri" w:hAnsi="Calibri" w:cs="Calibri"/>
        </w:rPr>
        <w:t>related obligations arising from the Directive 2000/60/EC establishing a framework for Community action in the field of water policy (Water Framework Directive</w:t>
      </w:r>
      <w:r w:rsidR="002C679E" w:rsidRPr="00D60A13">
        <w:rPr>
          <w:rFonts w:ascii="Calibri" w:hAnsi="Calibri" w:cs="Calibri"/>
        </w:rPr>
        <w:t xml:space="preserve">, </w:t>
      </w:r>
      <w:r w:rsidRPr="00D60A13">
        <w:rPr>
          <w:rFonts w:ascii="Calibri" w:hAnsi="Calibri" w:cs="Calibri"/>
        </w:rPr>
        <w:t>WFD) and the Directive 2006/118/EC on the protection of groundwater against pollution and deterioration (Groundwater Directive</w:t>
      </w:r>
      <w:r w:rsidR="002C679E" w:rsidRPr="00D60A13">
        <w:rPr>
          <w:rFonts w:ascii="Calibri" w:hAnsi="Calibri" w:cs="Calibri"/>
        </w:rPr>
        <w:t xml:space="preserve">, </w:t>
      </w:r>
      <w:r w:rsidRPr="00D60A13">
        <w:rPr>
          <w:rFonts w:ascii="Calibri" w:hAnsi="Calibri" w:cs="Calibri"/>
        </w:rPr>
        <w:t>GWD), as amended by Directive 2014/80/EU, through its national legislation. The principal legal instrument is the Water Act (Official Gazette of the Republic of Croatia, No. 66/2019, 84/2021, 47/2023), complemented by the Regulation on Water Quality Standards (Official Gazette No. 96/2019, 20/2023, 50/2023) and the Rulebook on Conditions for Establishing Sanitary Protection Zones of Water Sources (Official Gazette No. 66/2011, 47/2013). These acts define monitoring obligations, requirements for groundwater status assessment, criteria for sanitary protection zones, and the regulatory framework for pollution control and water use, all of which directly support the measures proposed within the JAP.</w:t>
      </w:r>
    </w:p>
    <w:p w14:paraId="2C25E54A" w14:textId="69A9C58E" w:rsidR="0060079A" w:rsidRPr="00D60A13" w:rsidRDefault="0060079A" w:rsidP="0060079A">
      <w:pPr>
        <w:jc w:val="both"/>
        <w:rPr>
          <w:rFonts w:ascii="Calibri" w:hAnsi="Calibri" w:cs="Calibri"/>
        </w:rPr>
      </w:pPr>
      <w:r w:rsidRPr="00D60A13">
        <w:rPr>
          <w:rFonts w:ascii="Calibri" w:hAnsi="Calibri" w:cs="Calibri"/>
        </w:rPr>
        <w:t>In Bosnia and Herzegovina, groundwater governance relevant to the Neretva TBA is regulated at the entity level. The applicable legislation includes the Water Law of the Federation of Bosnia and Herzegovina (Official Gazette of FBiH No. 70/06, 01/12, 70/20), as well as the corresponding implementing regulations governing groundwater monitoring, water</w:t>
      </w:r>
      <w:r w:rsidRPr="00D60A13">
        <w:rPr>
          <w:rFonts w:ascii="Cambria Math" w:hAnsi="Cambria Math" w:cs="Cambria Math"/>
        </w:rPr>
        <w:t>‑</w:t>
      </w:r>
      <w:r w:rsidRPr="00D60A13">
        <w:rPr>
          <w:rFonts w:ascii="Calibri" w:hAnsi="Calibri" w:cs="Calibri"/>
        </w:rPr>
        <w:t xml:space="preserve">body characterisation and the designation of sanitary protection zones (e.g. Regulation on the Method for Determining </w:t>
      </w:r>
      <w:r w:rsidRPr="00D60A13">
        <w:rPr>
          <w:rFonts w:ascii="Calibri" w:hAnsi="Calibri" w:cs="Calibri"/>
        </w:rPr>
        <w:lastRenderedPageBreak/>
        <w:t>Zones and Areas of Sanitary Protection of Water Sources, Official Gazette of FBiH No. 88/12). While the Federation of Bosnia and Herzegovina has integrated most of the Water Framework Directive principles into its legislation, alignment with the Groundwater Directive remains partial, and several methodological elements</w:t>
      </w:r>
      <w:r w:rsidR="002C679E" w:rsidRPr="00D60A13">
        <w:rPr>
          <w:rFonts w:ascii="Calibri" w:hAnsi="Calibri" w:cs="Calibri"/>
        </w:rPr>
        <w:t xml:space="preserve">, </w:t>
      </w:r>
      <w:r w:rsidRPr="00D60A13">
        <w:rPr>
          <w:rFonts w:ascii="Calibri" w:hAnsi="Calibri" w:cs="Calibri"/>
        </w:rPr>
        <w:t>such as chemical status assessment, trend evaluation and groundwater</w:t>
      </w:r>
      <w:r w:rsidRPr="00D60A13">
        <w:rPr>
          <w:rFonts w:ascii="Cambria Math" w:hAnsi="Cambria Math" w:cs="Cambria Math"/>
        </w:rPr>
        <w:t>‑</w:t>
      </w:r>
      <w:r w:rsidRPr="00D60A13">
        <w:rPr>
          <w:rFonts w:ascii="Calibri" w:hAnsi="Calibri" w:cs="Calibri"/>
        </w:rPr>
        <w:t>dependent ecosystem protection</w:t>
      </w:r>
      <w:r w:rsidR="002C679E" w:rsidRPr="00D60A13">
        <w:rPr>
          <w:rFonts w:ascii="Calibri" w:hAnsi="Calibri" w:cs="Calibri"/>
        </w:rPr>
        <w:t xml:space="preserve">, </w:t>
      </w:r>
      <w:r w:rsidRPr="00D60A13">
        <w:rPr>
          <w:rFonts w:ascii="Calibri" w:hAnsi="Calibri" w:cs="Calibri"/>
        </w:rPr>
        <w:t>require further development.</w:t>
      </w:r>
    </w:p>
    <w:p w14:paraId="44DA17AE" w14:textId="77777777" w:rsidR="0060079A" w:rsidRPr="00D60A13" w:rsidRDefault="0060079A" w:rsidP="0060079A">
      <w:pPr>
        <w:jc w:val="both"/>
        <w:rPr>
          <w:rFonts w:ascii="Calibri" w:hAnsi="Calibri" w:cs="Calibri"/>
        </w:rPr>
      </w:pPr>
      <w:r w:rsidRPr="00D60A13">
        <w:rPr>
          <w:rFonts w:ascii="Calibri" w:hAnsi="Calibri" w:cs="Calibri"/>
        </w:rPr>
        <w:t>Operational responsibilities for implementing groundwater protection measures are held by national and regional authorities in both countries. In Croatia, this includes the Ministry of Environmental Protection and Green Transition and Croatian Waters, while in Bosnia and Herzegovina responsibilities lie with the Ministry of Foreign Trade and Economic Relations, the entity ministries responsible for water management, and the respective water agencies. Close coordination among these institutions is essential for achieving the level of harmonisation required for effective transboundary management of the Neretva TBA, particularly with respect to monitoring, data exchange, enforcement, and the delineation and management of sanitary protection zones.</w:t>
      </w:r>
    </w:p>
    <w:p w14:paraId="7D551AAF" w14:textId="310CCF20" w:rsidR="0044247B" w:rsidRDefault="0060079A" w:rsidP="0060079A">
      <w:pPr>
        <w:jc w:val="both"/>
        <w:rPr>
          <w:rFonts w:ascii="Calibri" w:hAnsi="Calibri" w:cs="Calibri"/>
        </w:rPr>
      </w:pPr>
      <w:r w:rsidRPr="00D60A13">
        <w:rPr>
          <w:rFonts w:ascii="Calibri" w:hAnsi="Calibri" w:cs="Calibri"/>
        </w:rPr>
        <w:t>Taken together, the multilateral conventions, bilateral agreement, DIKTAS II governance mechanisms, EU water legislation and national legal instruments provide the structural foundation within which the Joint Action Programme for the Neretva TBA is developed.</w:t>
      </w:r>
    </w:p>
    <w:p w14:paraId="4B09B221" w14:textId="77777777" w:rsidR="004401C9" w:rsidRPr="00D60A13" w:rsidRDefault="004401C9" w:rsidP="0060079A">
      <w:pPr>
        <w:jc w:val="both"/>
        <w:rPr>
          <w:rFonts w:ascii="Calibri" w:hAnsi="Calibri" w:cs="Calibri"/>
        </w:rPr>
      </w:pPr>
    </w:p>
    <w:p w14:paraId="44ED96B9" w14:textId="5C465A7A" w:rsidR="0044247B" w:rsidRPr="00D60A13" w:rsidRDefault="0044247B" w:rsidP="00A9752E">
      <w:pPr>
        <w:pStyle w:val="Heading2"/>
        <w:rPr>
          <w:lang w:val="en-GB"/>
        </w:rPr>
      </w:pPr>
      <w:bookmarkStart w:id="12" w:name="_Toc223524252"/>
      <w:bookmarkStart w:id="13" w:name="_Toc229036156"/>
      <w:r w:rsidRPr="00D60A13">
        <w:rPr>
          <w:lang w:val="en-GB"/>
        </w:rPr>
        <w:t>1.4 Institutional and transboundary cooperation</w:t>
      </w:r>
      <w:bookmarkEnd w:id="12"/>
      <w:bookmarkEnd w:id="13"/>
    </w:p>
    <w:p w14:paraId="117C1F90" w14:textId="77777777" w:rsidR="004C7D1F" w:rsidRPr="00D60A13" w:rsidRDefault="004C7D1F" w:rsidP="004C7D1F">
      <w:pPr>
        <w:jc w:val="both"/>
        <w:rPr>
          <w:rFonts w:ascii="Calibri" w:hAnsi="Calibri" w:cs="Calibri"/>
        </w:rPr>
      </w:pPr>
      <w:r w:rsidRPr="00D60A13">
        <w:rPr>
          <w:rFonts w:ascii="Calibri" w:hAnsi="Calibri" w:cs="Calibri"/>
        </w:rPr>
        <w:t>Institutional and transboundary cooperation in the Neretva TBA is shaped by a combination of national administrative structures, bilateral arrangements, and emerging regional mechanisms under DIKTAS II. Cooperation between Bosnia and Herzegovina and Croatia has a long formal tradition, however, the operationalisation of groundwater management remains limited, particularly with respect to karst</w:t>
      </w:r>
      <w:r w:rsidRPr="00D60A13">
        <w:rPr>
          <w:rFonts w:ascii="Cambria Math" w:hAnsi="Cambria Math" w:cs="Cambria Math"/>
        </w:rPr>
        <w:t>‑</w:t>
      </w:r>
      <w:r w:rsidRPr="00D60A13">
        <w:rPr>
          <w:rFonts w:ascii="Calibri" w:hAnsi="Calibri" w:cs="Calibri"/>
        </w:rPr>
        <w:t>specific monitoring, sanitary protection, and coordinated risk management. These gaps are directly connected to structural differences in national governance systems and to the absence of aquifer</w:t>
      </w:r>
      <w:r w:rsidRPr="00D60A13">
        <w:rPr>
          <w:rFonts w:ascii="Cambria Math" w:hAnsi="Cambria Math" w:cs="Cambria Math"/>
        </w:rPr>
        <w:t>‑</w:t>
      </w:r>
      <w:r w:rsidRPr="00D60A13">
        <w:rPr>
          <w:rFonts w:ascii="Calibri" w:hAnsi="Calibri" w:cs="Calibri"/>
        </w:rPr>
        <w:t>focused bilateral procedures.</w:t>
      </w:r>
    </w:p>
    <w:p w14:paraId="61D38325" w14:textId="77777777" w:rsidR="004C7D1F" w:rsidRPr="00D60A13" w:rsidRDefault="004C7D1F" w:rsidP="004C7D1F">
      <w:pPr>
        <w:jc w:val="both"/>
        <w:rPr>
          <w:rFonts w:ascii="Calibri" w:hAnsi="Calibri" w:cs="Calibri"/>
        </w:rPr>
      </w:pPr>
      <w:r w:rsidRPr="00D60A13">
        <w:rPr>
          <w:rFonts w:ascii="Calibri" w:hAnsi="Calibri" w:cs="Calibri"/>
        </w:rPr>
        <w:t>Croatia manages groundwater through a centralised and EU</w:t>
      </w:r>
      <w:r w:rsidRPr="00D60A13">
        <w:rPr>
          <w:rFonts w:ascii="Cambria Math" w:hAnsi="Cambria Math" w:cs="Cambria Math"/>
        </w:rPr>
        <w:t>‑</w:t>
      </w:r>
      <w:r w:rsidRPr="00D60A13">
        <w:rPr>
          <w:rFonts w:ascii="Calibri" w:hAnsi="Calibri" w:cs="Calibri"/>
        </w:rPr>
        <w:t>aligned institutional framework, led by the Ministry of Environmental Protection and Green Transition and implemented through Croatian Waters, supported by public health institutes and county</w:t>
      </w:r>
      <w:r w:rsidRPr="00D60A13">
        <w:rPr>
          <w:rFonts w:ascii="Cambria Math" w:hAnsi="Cambria Math" w:cs="Cambria Math"/>
        </w:rPr>
        <w:t>‑</w:t>
      </w:r>
      <w:r w:rsidRPr="00D60A13">
        <w:rPr>
          <w:rFonts w:ascii="Calibri" w:hAnsi="Calibri" w:cs="Calibri"/>
        </w:rPr>
        <w:t>level authorities. This structure provides clear responsibilities for monitoring, enforcement, and sanitary protection zone implementation. However, practical constraints, particularly uneven enforcement capacity in rural areas and delays in integrating sanitary zones into spatial plans, affect the operational effectiveness of groundwater protection in Neretva TBA.</w:t>
      </w:r>
    </w:p>
    <w:p w14:paraId="0A5B0640" w14:textId="77777777" w:rsidR="004C7D1F" w:rsidRPr="00D60A13" w:rsidRDefault="004C7D1F" w:rsidP="004C7D1F">
      <w:pPr>
        <w:jc w:val="both"/>
        <w:rPr>
          <w:rFonts w:ascii="Calibri" w:hAnsi="Calibri" w:cs="Calibri"/>
        </w:rPr>
      </w:pPr>
      <w:r w:rsidRPr="00D60A13">
        <w:rPr>
          <w:rFonts w:ascii="Calibri" w:hAnsi="Calibri" w:cs="Calibri"/>
        </w:rPr>
        <w:t>In Bosnia and Herzegovina, groundwater governance is decentralised and fragmented across multiple levels. The Ministry of Foreign Trade and Economic Relations coordinates international obligations, while water</w:t>
      </w:r>
      <w:r w:rsidRPr="00D60A13">
        <w:rPr>
          <w:rFonts w:ascii="Cambria Math" w:hAnsi="Cambria Math" w:cs="Cambria Math"/>
        </w:rPr>
        <w:t>‑</w:t>
      </w:r>
      <w:r w:rsidRPr="00D60A13">
        <w:rPr>
          <w:rFonts w:ascii="Calibri" w:hAnsi="Calibri" w:cs="Calibri"/>
        </w:rPr>
        <w:t>management responsibilities lie with the entity ministries and water agencies, supported by public health institutes and geological surveys. Despite adequate technical expertise at central institutions, both entities face persistent capacity shortages, limited monitoring networks, and delayed or inconsistent implementation of sanitary protection zones. This fragmentation complicates the implementation of harmonised protection measures in Neretva TBA.</w:t>
      </w:r>
    </w:p>
    <w:p w14:paraId="610B76A0" w14:textId="77777777" w:rsidR="004C7D1F" w:rsidRPr="00D60A13" w:rsidRDefault="004C7D1F" w:rsidP="004C7D1F">
      <w:pPr>
        <w:jc w:val="both"/>
        <w:rPr>
          <w:rFonts w:ascii="Calibri" w:hAnsi="Calibri" w:cs="Calibri"/>
        </w:rPr>
      </w:pPr>
      <w:r w:rsidRPr="00D60A13">
        <w:rPr>
          <w:rFonts w:ascii="Calibri" w:hAnsi="Calibri" w:cs="Calibri"/>
        </w:rPr>
        <w:lastRenderedPageBreak/>
        <w:t>Existing bilateral cooperation is formally based on the Agreement on Water Management Relations between Croatia and Bosnia and Herzegovina (1996), which provides a general mandate for joint water</w:t>
      </w:r>
      <w:r w:rsidRPr="00D60A13">
        <w:rPr>
          <w:rFonts w:ascii="Cambria Math" w:hAnsi="Cambria Math" w:cs="Cambria Math"/>
        </w:rPr>
        <w:t>‑</w:t>
      </w:r>
      <w:r w:rsidRPr="00D60A13">
        <w:rPr>
          <w:rFonts w:ascii="Calibri" w:hAnsi="Calibri" w:cs="Calibri"/>
        </w:rPr>
        <w:t>management activities, information exchange and incident notification. The agreement established the Joint Water Management Commission, mandated to coordinate activities related to shared waters. However, in practice, the Commission’s work related to groundwater has been intermittent, and the agreement lacks explicit provisions for karst aquifers, monitoring harmonisation, or recognition of sanitary protection zones located across borders. As a result, current cooperation remains limited to general exchanges rather than systematic, aquifer</w:t>
      </w:r>
      <w:r w:rsidRPr="00D60A13">
        <w:rPr>
          <w:rFonts w:ascii="Cambria Math" w:hAnsi="Cambria Math" w:cs="Cambria Math"/>
        </w:rPr>
        <w:t>‑</w:t>
      </w:r>
      <w:r w:rsidRPr="00D60A13">
        <w:rPr>
          <w:rFonts w:ascii="Calibri" w:hAnsi="Calibri" w:cs="Calibri"/>
        </w:rPr>
        <w:t>specific coordination.</w:t>
      </w:r>
    </w:p>
    <w:p w14:paraId="0FD2CCDE" w14:textId="77777777" w:rsidR="004C7D1F" w:rsidRPr="00D60A13" w:rsidRDefault="004C7D1F" w:rsidP="004C7D1F">
      <w:pPr>
        <w:jc w:val="both"/>
        <w:rPr>
          <w:rFonts w:ascii="Calibri" w:hAnsi="Calibri" w:cs="Calibri"/>
        </w:rPr>
      </w:pPr>
      <w:r w:rsidRPr="00D60A13">
        <w:rPr>
          <w:rFonts w:ascii="Calibri" w:hAnsi="Calibri" w:cs="Calibri"/>
        </w:rPr>
        <w:t>The DIKTAS II framework introduces an opportunity to strengthen cooperation through the planned Multilateral Agreement establishing the Consultation and Information Exchange (CIE) Body. This body will provide a permanent platform for coordinated groundwater governance across the Dinaric karst region, including harmonised monitoring protocols, joint data management, exchange of technical documentation, and cross</w:t>
      </w:r>
      <w:r w:rsidRPr="00D60A13">
        <w:rPr>
          <w:rFonts w:ascii="Cambria Math" w:hAnsi="Cambria Math" w:cs="Cambria Math"/>
        </w:rPr>
        <w:t>‑</w:t>
      </w:r>
      <w:r w:rsidRPr="00D60A13">
        <w:rPr>
          <w:rFonts w:ascii="Calibri" w:hAnsi="Calibri" w:cs="Calibri"/>
        </w:rPr>
        <w:t>border consultations on planned activities with potential transboundary impacts. For Neretva TBA, the CIE mechanism is expected to support the alignment of monitoring networks, development of common sanitary protection principles, and improvement of bilateral communication and early</w:t>
      </w:r>
      <w:r w:rsidRPr="00D60A13">
        <w:rPr>
          <w:rFonts w:ascii="Cambria Math" w:hAnsi="Cambria Math" w:cs="Cambria Math"/>
        </w:rPr>
        <w:t>‑</w:t>
      </w:r>
      <w:r w:rsidRPr="00D60A13">
        <w:rPr>
          <w:rFonts w:ascii="Calibri" w:hAnsi="Calibri" w:cs="Calibri"/>
        </w:rPr>
        <w:t>warning practices.</w:t>
      </w:r>
    </w:p>
    <w:p w14:paraId="250A13FA" w14:textId="6F74C868" w:rsidR="004C7D1F" w:rsidRPr="00D60A13" w:rsidRDefault="004C7D1F" w:rsidP="004C7D1F">
      <w:pPr>
        <w:jc w:val="both"/>
        <w:rPr>
          <w:rFonts w:ascii="Calibri" w:hAnsi="Calibri" w:cs="Calibri"/>
        </w:rPr>
      </w:pPr>
      <w:r w:rsidRPr="00D60A13">
        <w:rPr>
          <w:rFonts w:ascii="Calibri" w:hAnsi="Calibri" w:cs="Calibri"/>
        </w:rPr>
        <w:t>Transboundary cooperation in the Neretva TBA must also account for different risk distribution in Croatia and Bosnia and Herzegovina. Diffuse agricultural pollution, inadequate wastewater treatment, and solid</w:t>
      </w:r>
      <w:r w:rsidRPr="00D60A13">
        <w:rPr>
          <w:rFonts w:ascii="Cambria Math" w:hAnsi="Cambria Math" w:cs="Cambria Math"/>
        </w:rPr>
        <w:t>‑</w:t>
      </w:r>
      <w:r w:rsidRPr="00D60A13">
        <w:rPr>
          <w:rFonts w:ascii="Calibri" w:hAnsi="Calibri" w:cs="Calibri"/>
        </w:rPr>
        <w:t xml:space="preserve">waste mismanagement in the upper parts of the aquifer (primarily in Bosnia and Herzegovina) have measurable impacts on key Croatian springs such as </w:t>
      </w:r>
      <w:proofErr w:type="spellStart"/>
      <w:r w:rsidRPr="00D60A13">
        <w:rPr>
          <w:rFonts w:ascii="Calibri" w:hAnsi="Calibri" w:cs="Calibri"/>
        </w:rPr>
        <w:t>Prud</w:t>
      </w:r>
      <w:proofErr w:type="spellEnd"/>
      <w:r w:rsidRPr="00D60A13">
        <w:rPr>
          <w:rFonts w:ascii="Calibri" w:hAnsi="Calibri" w:cs="Calibri"/>
        </w:rPr>
        <w:t xml:space="preserve">, which supply drinking water to several islands. At the same time, pressures in the Neretva </w:t>
      </w:r>
      <w:r w:rsidR="003108B4">
        <w:rPr>
          <w:rFonts w:ascii="Calibri" w:hAnsi="Calibri" w:cs="Calibri"/>
        </w:rPr>
        <w:t>Delta</w:t>
      </w:r>
      <w:r w:rsidRPr="00D60A13">
        <w:rPr>
          <w:rFonts w:ascii="Calibri" w:hAnsi="Calibri" w:cs="Calibri"/>
        </w:rPr>
        <w:t>, such as intensive agriculture and the use of pesticides and fertilisers, extend across the border, requiring coordinated controls and harmonised monitoring. These conditions reinforce the need for a structured, operational cooperation framework capable of addressing both upstream and downstream vulnerabilities.</w:t>
      </w:r>
    </w:p>
    <w:p w14:paraId="0EAD218F" w14:textId="77777777" w:rsidR="004C7D1F" w:rsidRPr="00D60A13" w:rsidRDefault="004C7D1F" w:rsidP="004C7D1F">
      <w:pPr>
        <w:jc w:val="both"/>
        <w:rPr>
          <w:rFonts w:ascii="Calibri" w:hAnsi="Calibri" w:cs="Calibri"/>
        </w:rPr>
      </w:pPr>
      <w:r w:rsidRPr="00D60A13">
        <w:rPr>
          <w:rFonts w:ascii="Calibri" w:hAnsi="Calibri" w:cs="Calibri"/>
        </w:rPr>
        <w:t>Local</w:t>
      </w:r>
      <w:r w:rsidRPr="00D60A13">
        <w:rPr>
          <w:rFonts w:ascii="Cambria Math" w:hAnsi="Cambria Math" w:cs="Cambria Math"/>
        </w:rPr>
        <w:t>‑</w:t>
      </w:r>
      <w:r w:rsidRPr="00D60A13">
        <w:rPr>
          <w:rFonts w:ascii="Calibri" w:hAnsi="Calibri" w:cs="Calibri"/>
        </w:rPr>
        <w:t>level cooperation remains limited. Municipalities, water utilities and inspection bodies on both sides of the border operate with different mandates, resources and technical capacities. The lack of a regular platform for cross</w:t>
      </w:r>
      <w:r w:rsidRPr="00D60A13">
        <w:rPr>
          <w:rFonts w:ascii="Cambria Math" w:hAnsi="Cambria Math" w:cs="Cambria Math"/>
        </w:rPr>
        <w:t>‑</w:t>
      </w:r>
      <w:r w:rsidRPr="00D60A13">
        <w:rPr>
          <w:rFonts w:ascii="Calibri" w:hAnsi="Calibri" w:cs="Calibri"/>
        </w:rPr>
        <w:t>border exchange of operational data, monitoring results or land</w:t>
      </w:r>
      <w:r w:rsidRPr="00D60A13">
        <w:rPr>
          <w:rFonts w:ascii="Cambria Math" w:hAnsi="Cambria Math" w:cs="Cambria Math"/>
        </w:rPr>
        <w:t>‑</w:t>
      </w:r>
      <w:r w:rsidRPr="00D60A13">
        <w:rPr>
          <w:rFonts w:ascii="Calibri" w:hAnsi="Calibri" w:cs="Calibri"/>
        </w:rPr>
        <w:t xml:space="preserve">use decisions hinders timely joint responses to contamination events or hydrological anomalies. Strengthening institutional linkages at the local level, particularly between </w:t>
      </w:r>
      <w:proofErr w:type="spellStart"/>
      <w:r w:rsidRPr="00D60A13">
        <w:rPr>
          <w:rFonts w:ascii="Calibri" w:hAnsi="Calibri" w:cs="Calibri"/>
        </w:rPr>
        <w:t>Ljubuški</w:t>
      </w:r>
      <w:proofErr w:type="spellEnd"/>
      <w:r w:rsidRPr="00D60A13">
        <w:rPr>
          <w:rFonts w:ascii="Calibri" w:hAnsi="Calibri" w:cs="Calibri"/>
        </w:rPr>
        <w:t xml:space="preserve">, </w:t>
      </w:r>
      <w:proofErr w:type="spellStart"/>
      <w:r w:rsidRPr="00D60A13">
        <w:rPr>
          <w:rFonts w:ascii="Calibri" w:hAnsi="Calibri" w:cs="Calibri"/>
        </w:rPr>
        <w:t>Čapljina</w:t>
      </w:r>
      <w:proofErr w:type="spellEnd"/>
      <w:r w:rsidRPr="00D60A13">
        <w:rPr>
          <w:rFonts w:ascii="Calibri" w:hAnsi="Calibri" w:cs="Calibri"/>
        </w:rPr>
        <w:t xml:space="preserve"> and Croatian institutions responsible for the </w:t>
      </w:r>
      <w:proofErr w:type="spellStart"/>
      <w:r w:rsidRPr="00D60A13">
        <w:rPr>
          <w:rFonts w:ascii="Calibri" w:hAnsi="Calibri" w:cs="Calibri"/>
        </w:rPr>
        <w:t>Prud</w:t>
      </w:r>
      <w:proofErr w:type="spellEnd"/>
      <w:r w:rsidRPr="00D60A13">
        <w:rPr>
          <w:rFonts w:ascii="Calibri" w:hAnsi="Calibri" w:cs="Calibri"/>
        </w:rPr>
        <w:t xml:space="preserve"> spring, will be essential for the effective implementation of JAP measures.</w:t>
      </w:r>
    </w:p>
    <w:p w14:paraId="22ED2638" w14:textId="77777777" w:rsidR="004C7D1F" w:rsidRPr="00D60A13" w:rsidRDefault="004C7D1F" w:rsidP="004C7D1F">
      <w:pPr>
        <w:jc w:val="both"/>
        <w:rPr>
          <w:rFonts w:ascii="Calibri" w:hAnsi="Calibri" w:cs="Calibri"/>
        </w:rPr>
      </w:pPr>
      <w:r w:rsidRPr="00D60A13">
        <w:rPr>
          <w:rFonts w:ascii="Calibri" w:hAnsi="Calibri" w:cs="Calibri"/>
        </w:rPr>
        <w:t>Looking forward, transboundary cooperation in the Neretva TBA requires:</w:t>
      </w:r>
    </w:p>
    <w:p w14:paraId="7EDFFFD1" w14:textId="402BFC67" w:rsidR="004C7D1F" w:rsidRPr="00D60A13" w:rsidRDefault="004C7D1F" w:rsidP="004C7D1F">
      <w:pPr>
        <w:pStyle w:val="ListParagraph"/>
        <w:numPr>
          <w:ilvl w:val="0"/>
          <w:numId w:val="102"/>
        </w:numPr>
        <w:jc w:val="both"/>
        <w:rPr>
          <w:rFonts w:ascii="Calibri" w:hAnsi="Calibri" w:cs="Calibri"/>
        </w:rPr>
      </w:pPr>
      <w:r w:rsidRPr="00D60A13">
        <w:rPr>
          <w:rFonts w:ascii="Calibri" w:hAnsi="Calibri" w:cs="Calibri"/>
        </w:rPr>
        <w:t>regular joint technical consultations, coordinated under the Joint Water Management Commission and the DIKTAS II CIE body;</w:t>
      </w:r>
    </w:p>
    <w:p w14:paraId="7265EE15" w14:textId="06551BD3" w:rsidR="004C7D1F" w:rsidRPr="00D60A13" w:rsidRDefault="004C7D1F" w:rsidP="004C7D1F">
      <w:pPr>
        <w:pStyle w:val="ListParagraph"/>
        <w:numPr>
          <w:ilvl w:val="0"/>
          <w:numId w:val="102"/>
        </w:numPr>
        <w:jc w:val="both"/>
        <w:rPr>
          <w:rFonts w:ascii="Calibri" w:hAnsi="Calibri" w:cs="Calibri"/>
        </w:rPr>
      </w:pPr>
      <w:r w:rsidRPr="00D60A13">
        <w:rPr>
          <w:rFonts w:ascii="Calibri" w:hAnsi="Calibri" w:cs="Calibri"/>
        </w:rPr>
        <w:t>harmonised monitoring approaches, particularly for nitrates, pesticides, microbiological parameters and other pollutants;</w:t>
      </w:r>
    </w:p>
    <w:p w14:paraId="4B6B90E4" w14:textId="02C22D86" w:rsidR="004C7D1F" w:rsidRPr="00D60A13" w:rsidRDefault="004C7D1F" w:rsidP="004C7D1F">
      <w:pPr>
        <w:pStyle w:val="ListParagraph"/>
        <w:numPr>
          <w:ilvl w:val="0"/>
          <w:numId w:val="102"/>
        </w:numPr>
        <w:jc w:val="both"/>
        <w:rPr>
          <w:rFonts w:ascii="Calibri" w:hAnsi="Calibri" w:cs="Calibri"/>
        </w:rPr>
      </w:pPr>
      <w:r w:rsidRPr="00D60A13">
        <w:rPr>
          <w:rFonts w:ascii="Calibri" w:hAnsi="Calibri" w:cs="Calibri"/>
        </w:rPr>
        <w:t>mutual recognition and coordinated management of sanitary protection zones, including cross</w:t>
      </w:r>
      <w:r w:rsidRPr="00D60A13">
        <w:rPr>
          <w:rFonts w:ascii="Cambria Math" w:hAnsi="Cambria Math" w:cs="Cambria Math"/>
        </w:rPr>
        <w:t>‑</w:t>
      </w:r>
      <w:r w:rsidRPr="00D60A13">
        <w:rPr>
          <w:rFonts w:ascii="Calibri" w:hAnsi="Calibri" w:cs="Calibri"/>
        </w:rPr>
        <w:t>border enforcement of restrictions;</w:t>
      </w:r>
    </w:p>
    <w:p w14:paraId="78A25F01" w14:textId="6CDE0741" w:rsidR="004C7D1F" w:rsidRPr="00D60A13" w:rsidRDefault="004C7D1F" w:rsidP="004C7D1F">
      <w:pPr>
        <w:pStyle w:val="ListParagraph"/>
        <w:numPr>
          <w:ilvl w:val="0"/>
          <w:numId w:val="102"/>
        </w:numPr>
        <w:jc w:val="both"/>
        <w:rPr>
          <w:rFonts w:ascii="Calibri" w:hAnsi="Calibri" w:cs="Calibri"/>
        </w:rPr>
      </w:pPr>
      <w:r w:rsidRPr="00D60A13">
        <w:rPr>
          <w:rFonts w:ascii="Calibri" w:hAnsi="Calibri" w:cs="Calibri"/>
        </w:rPr>
        <w:lastRenderedPageBreak/>
        <w:t>shared protocols for extraordinary events, including rapid information exchange, incident notification, and emergency responses;</w:t>
      </w:r>
    </w:p>
    <w:p w14:paraId="0823A3F3" w14:textId="6EF5E2F3" w:rsidR="004C7D1F" w:rsidRPr="00D60A13" w:rsidRDefault="004C7D1F" w:rsidP="004C7D1F">
      <w:pPr>
        <w:pStyle w:val="ListParagraph"/>
        <w:numPr>
          <w:ilvl w:val="0"/>
          <w:numId w:val="102"/>
        </w:numPr>
        <w:jc w:val="both"/>
        <w:rPr>
          <w:rFonts w:ascii="Calibri" w:hAnsi="Calibri" w:cs="Calibri"/>
        </w:rPr>
      </w:pPr>
      <w:r w:rsidRPr="00D60A13">
        <w:rPr>
          <w:rFonts w:ascii="Calibri" w:hAnsi="Calibri" w:cs="Calibri"/>
        </w:rPr>
        <w:t>capacity building for local authorities and utilities, supporting aligned implementation of wastewater, agricultural, and land</w:t>
      </w:r>
      <w:r w:rsidRPr="00D60A13">
        <w:rPr>
          <w:rFonts w:ascii="Cambria Math" w:hAnsi="Cambria Math" w:cs="Cambria Math"/>
        </w:rPr>
        <w:t>‑</w:t>
      </w:r>
      <w:r w:rsidRPr="00D60A13">
        <w:rPr>
          <w:rFonts w:ascii="Calibri" w:hAnsi="Calibri" w:cs="Calibri"/>
        </w:rPr>
        <w:t>use measures;</w:t>
      </w:r>
    </w:p>
    <w:p w14:paraId="5A555B0C" w14:textId="13DFF53A" w:rsidR="004C7D1F" w:rsidRPr="00D60A13" w:rsidRDefault="004C7D1F" w:rsidP="004C7D1F">
      <w:pPr>
        <w:pStyle w:val="ListParagraph"/>
        <w:numPr>
          <w:ilvl w:val="0"/>
          <w:numId w:val="102"/>
        </w:numPr>
        <w:jc w:val="both"/>
        <w:rPr>
          <w:rFonts w:ascii="Calibri" w:hAnsi="Calibri" w:cs="Calibri"/>
        </w:rPr>
      </w:pPr>
      <w:r w:rsidRPr="00D60A13">
        <w:rPr>
          <w:rFonts w:ascii="Calibri" w:hAnsi="Calibri" w:cs="Calibri"/>
        </w:rPr>
        <w:t>structured data</w:t>
      </w:r>
      <w:r w:rsidRPr="00D60A13">
        <w:rPr>
          <w:rFonts w:ascii="Cambria Math" w:hAnsi="Cambria Math" w:cs="Cambria Math"/>
        </w:rPr>
        <w:t>‑</w:t>
      </w:r>
      <w:r w:rsidRPr="00D60A13">
        <w:rPr>
          <w:rFonts w:ascii="Calibri" w:hAnsi="Calibri" w:cs="Calibri"/>
        </w:rPr>
        <w:t>exchange mechanisms ensuring comparability, transparency and long</w:t>
      </w:r>
      <w:r w:rsidRPr="00D60A13">
        <w:rPr>
          <w:rFonts w:ascii="Cambria Math" w:hAnsi="Cambria Math" w:cs="Cambria Math"/>
        </w:rPr>
        <w:t>‑</w:t>
      </w:r>
      <w:r w:rsidRPr="00D60A13">
        <w:rPr>
          <w:rFonts w:ascii="Calibri" w:hAnsi="Calibri" w:cs="Calibri"/>
        </w:rPr>
        <w:t>term institutional continuity.</w:t>
      </w:r>
    </w:p>
    <w:p w14:paraId="3A4982FB" w14:textId="1792B6ED" w:rsidR="0044247B" w:rsidRPr="00D60A13" w:rsidRDefault="004C7D1F" w:rsidP="004C7D1F">
      <w:pPr>
        <w:jc w:val="both"/>
        <w:rPr>
          <w:rFonts w:ascii="Calibri" w:hAnsi="Calibri" w:cs="Calibri"/>
        </w:rPr>
      </w:pPr>
      <w:r w:rsidRPr="00D60A13">
        <w:rPr>
          <w:rFonts w:ascii="Calibri" w:hAnsi="Calibri" w:cs="Calibri"/>
        </w:rPr>
        <w:t>Although the legal and institutional foundations for cooperation already exist, Neretva TBA requires a more operational, aquifer</w:t>
      </w:r>
      <w:r w:rsidRPr="00D60A13">
        <w:rPr>
          <w:rFonts w:ascii="Cambria Math" w:hAnsi="Cambria Math" w:cs="Cambria Math"/>
        </w:rPr>
        <w:t>‑</w:t>
      </w:r>
      <w:r w:rsidRPr="00D60A13">
        <w:rPr>
          <w:rFonts w:ascii="Calibri" w:hAnsi="Calibri" w:cs="Calibri"/>
        </w:rPr>
        <w:t>specific and technically harmonised cooperation system.</w:t>
      </w:r>
      <w:r w:rsidR="0044247B" w:rsidRPr="00D60A13">
        <w:rPr>
          <w:rFonts w:ascii="Calibri" w:hAnsi="Calibri" w:cs="Calibri"/>
        </w:rPr>
        <w:t xml:space="preserve"> </w:t>
      </w:r>
    </w:p>
    <w:p w14:paraId="3132AEDA" w14:textId="77777777" w:rsidR="0044247B" w:rsidRPr="00D60A13" w:rsidRDefault="0044247B" w:rsidP="0044247B">
      <w:pPr>
        <w:jc w:val="both"/>
        <w:rPr>
          <w:rFonts w:ascii="Calibri" w:hAnsi="Calibri" w:cs="Calibri"/>
        </w:rPr>
      </w:pPr>
    </w:p>
    <w:p w14:paraId="006AA89B" w14:textId="77777777" w:rsidR="0044247B" w:rsidRPr="00D60A13" w:rsidRDefault="0044247B" w:rsidP="00A9752E">
      <w:pPr>
        <w:pStyle w:val="Heading2"/>
        <w:rPr>
          <w:lang w:val="en-GB"/>
        </w:rPr>
      </w:pPr>
      <w:bookmarkStart w:id="14" w:name="_Toc223524253"/>
      <w:bookmarkStart w:id="15" w:name="_Toc229036157"/>
      <w:r w:rsidRPr="00D60A13">
        <w:rPr>
          <w:lang w:val="en-GB"/>
        </w:rPr>
        <w:t>1.5 Alignment of JAP with national RBMPs and the EU WFD</w:t>
      </w:r>
      <w:bookmarkEnd w:id="14"/>
      <w:bookmarkEnd w:id="15"/>
    </w:p>
    <w:p w14:paraId="7EF7F984" w14:textId="5E3415E3" w:rsidR="002F247F" w:rsidRPr="00D60A13" w:rsidRDefault="002F247F" w:rsidP="002F247F">
      <w:pPr>
        <w:jc w:val="both"/>
        <w:rPr>
          <w:rFonts w:ascii="Calibri" w:hAnsi="Calibri" w:cs="Calibri"/>
        </w:rPr>
      </w:pPr>
      <w:r w:rsidRPr="00D60A13">
        <w:rPr>
          <w:rFonts w:ascii="Calibri" w:hAnsi="Calibri" w:cs="Calibri"/>
        </w:rPr>
        <w:t>The Joint Action Programme (JAP) for Neretva TBA is designed as an implementation</w:t>
      </w:r>
      <w:r w:rsidRPr="00D60A13">
        <w:rPr>
          <w:rFonts w:ascii="Cambria Math" w:hAnsi="Cambria Math" w:cs="Cambria Math"/>
        </w:rPr>
        <w:t>‑</w:t>
      </w:r>
      <w:r w:rsidRPr="00D60A13">
        <w:rPr>
          <w:rFonts w:ascii="Calibri" w:hAnsi="Calibri" w:cs="Calibri"/>
        </w:rPr>
        <w:t>oriented instrument that operates fully within the legal and planning framework established by national River Basin Management Plans (RBMPs) and the requirements of the EU Water Framework Directive 2000/60/EC (WFD). Its purpose is to translate basin</w:t>
      </w:r>
      <w:r w:rsidRPr="00D60A13">
        <w:rPr>
          <w:rFonts w:ascii="Cambria Math" w:hAnsi="Cambria Math" w:cs="Cambria Math"/>
        </w:rPr>
        <w:t>‑</w:t>
      </w:r>
      <w:r w:rsidRPr="00D60A13">
        <w:rPr>
          <w:rFonts w:ascii="Calibri" w:hAnsi="Calibri" w:cs="Calibri"/>
        </w:rPr>
        <w:t>level objectives into coordinated, aquifer</w:t>
      </w:r>
      <w:r w:rsidRPr="00D60A13">
        <w:rPr>
          <w:rFonts w:ascii="Cambria Math" w:hAnsi="Cambria Math" w:cs="Cambria Math"/>
        </w:rPr>
        <w:t>‑</w:t>
      </w:r>
      <w:r w:rsidRPr="00D60A13">
        <w:rPr>
          <w:rFonts w:ascii="Calibri" w:hAnsi="Calibri" w:cs="Calibri"/>
        </w:rPr>
        <w:t>specific measures for Neretva TBA, ensuring that the actions undertaken by Bosnia and Herzegovina and Croatia contribute directly to achieving and maintaining good groundwater status in accordance with EU standards.</w:t>
      </w:r>
    </w:p>
    <w:p w14:paraId="0A2C3A76" w14:textId="58355B49" w:rsidR="002F247F" w:rsidRPr="00D60A13" w:rsidRDefault="002F247F" w:rsidP="002F247F">
      <w:pPr>
        <w:jc w:val="both"/>
        <w:rPr>
          <w:rFonts w:ascii="Calibri" w:hAnsi="Calibri" w:cs="Calibri"/>
        </w:rPr>
      </w:pPr>
      <w:r w:rsidRPr="00D60A13">
        <w:rPr>
          <w:rFonts w:ascii="Calibri" w:hAnsi="Calibri" w:cs="Calibri"/>
        </w:rPr>
        <w:t>In Croatia, the RBMP is fully aligned with the WFD and the Groundwater Directive 2006/118/EC, both of which are transposed through the Water Act (Official Gazette of the Republic of Croatia, No.  66/2019, 84/2021, 47/2023) and supported by groundwater status assessment methodologies and monitoring programmes defined under the national Regulation on Water Quality Standards. These instruments establish clear obligations for groundwater body delineation, chemical and quantitative status assessment, trend evaluation and risk identification, all of which are directly relevant to the karst systems of the Neretva basin. The JAP builds on these requirements by proposing measures consistent with the existing national programme of measures, while targeting gaps and pressures not fully addressed at the RBMP scale, particularly diffuse agricultural pollution, wastewater</w:t>
      </w:r>
      <w:r w:rsidRPr="00D60A13">
        <w:rPr>
          <w:rFonts w:ascii="Cambria Math" w:hAnsi="Cambria Math" w:cs="Cambria Math"/>
        </w:rPr>
        <w:t>‑</w:t>
      </w:r>
      <w:r w:rsidRPr="00D60A13">
        <w:rPr>
          <w:rFonts w:ascii="Calibri" w:hAnsi="Calibri" w:cs="Calibri"/>
        </w:rPr>
        <w:t>related risks and the need for strengthened karst</w:t>
      </w:r>
      <w:r w:rsidRPr="00D60A13">
        <w:rPr>
          <w:rFonts w:ascii="Cambria Math" w:hAnsi="Cambria Math" w:cs="Cambria Math"/>
        </w:rPr>
        <w:t>‑</w:t>
      </w:r>
      <w:r w:rsidRPr="00D60A13">
        <w:rPr>
          <w:rFonts w:ascii="Calibri" w:hAnsi="Calibri" w:cs="Calibri"/>
        </w:rPr>
        <w:t xml:space="preserve">specific monitoring. </w:t>
      </w:r>
    </w:p>
    <w:p w14:paraId="5DCB7DEF" w14:textId="4B8AE468" w:rsidR="002F247F" w:rsidRPr="00D60A13" w:rsidRDefault="002F247F" w:rsidP="002F247F">
      <w:pPr>
        <w:jc w:val="both"/>
        <w:rPr>
          <w:rFonts w:ascii="Calibri" w:hAnsi="Calibri" w:cs="Calibri"/>
        </w:rPr>
      </w:pPr>
      <w:r w:rsidRPr="00D60A13">
        <w:rPr>
          <w:rFonts w:ascii="Calibri" w:hAnsi="Calibri" w:cs="Calibri"/>
        </w:rPr>
        <w:t>In Bosnia and Herzegovina, implementation of WFD principles is ongoing, with the Federation of Bosnia and Herzegovina achieving a high degree of alignment, while entity</w:t>
      </w:r>
      <w:r w:rsidRPr="00D60A13">
        <w:rPr>
          <w:rFonts w:ascii="Cambria Math" w:hAnsi="Cambria Math" w:cs="Cambria Math"/>
        </w:rPr>
        <w:t>‑</w:t>
      </w:r>
      <w:r w:rsidRPr="00D60A13">
        <w:rPr>
          <w:rFonts w:ascii="Calibri" w:hAnsi="Calibri" w:cs="Calibri"/>
        </w:rPr>
        <w:t>level obligations remain partially harmonised. The Water Law of FBiH (Official Gazette of FBiH No. 70/06, 01/12, 70/20) provides the foundation for river basin planning and monitoring, although several elements of the Groundwater Directive, such as chemical status assessment methodologies, threshold value setting and groundwater</w:t>
      </w:r>
      <w:r w:rsidRPr="00D60A13">
        <w:rPr>
          <w:rFonts w:ascii="Cambria Math" w:hAnsi="Cambria Math" w:cs="Cambria Math"/>
        </w:rPr>
        <w:t>‑</w:t>
      </w:r>
      <w:r w:rsidRPr="00D60A13">
        <w:rPr>
          <w:rFonts w:ascii="Calibri" w:hAnsi="Calibri" w:cs="Calibri"/>
        </w:rPr>
        <w:t xml:space="preserve">dependent ecosystem (GWDE) characterisation, are still being operationalised. RBMPs establish the general framework for groundwater protection, but their implementation in the Neretva basin faces challenges including limited monitoring networks, variable enforcement capacity, and the absence of harmonised sanitary protection zoning across the transboundary aquifer. The JAP therefore identifies targeted, feasible measures that complement national RBMPs by strengthening coordination and closing operational gaps. </w:t>
      </w:r>
    </w:p>
    <w:p w14:paraId="62AB1516" w14:textId="20AD90AE" w:rsidR="002F247F" w:rsidRPr="00D60A13" w:rsidRDefault="002F247F" w:rsidP="002F247F">
      <w:pPr>
        <w:jc w:val="both"/>
        <w:rPr>
          <w:rFonts w:ascii="Calibri" w:hAnsi="Calibri" w:cs="Calibri"/>
        </w:rPr>
      </w:pPr>
      <w:r w:rsidRPr="00D60A13">
        <w:rPr>
          <w:rFonts w:ascii="Calibri" w:hAnsi="Calibri" w:cs="Calibri"/>
        </w:rPr>
        <w:lastRenderedPageBreak/>
        <w:t>Methodologically, the JAP follows the WFD planning logic of pressure and impact analysis, status and risk assessment, measure selection, monitoring and periodic review, but applies it specifically to the Neretva TBA. The JAP incorporates RBMP</w:t>
      </w:r>
      <w:r w:rsidRPr="00D60A13">
        <w:rPr>
          <w:rFonts w:ascii="Cambria Math" w:hAnsi="Cambria Math" w:cs="Cambria Math"/>
        </w:rPr>
        <w:t>‑</w:t>
      </w:r>
      <w:r w:rsidRPr="00D60A13">
        <w:rPr>
          <w:rFonts w:ascii="Calibri" w:hAnsi="Calibri" w:cs="Calibri"/>
        </w:rPr>
        <w:t xml:space="preserve">based criteria for identifying significant pressures, such as diffuse agricultural pollution from </w:t>
      </w:r>
      <w:proofErr w:type="spellStart"/>
      <w:r w:rsidRPr="00D60A13">
        <w:rPr>
          <w:rFonts w:ascii="Calibri" w:hAnsi="Calibri" w:cs="Calibri"/>
        </w:rPr>
        <w:t>Ljubuško</w:t>
      </w:r>
      <w:proofErr w:type="spellEnd"/>
      <w:r w:rsidRPr="00D60A13">
        <w:rPr>
          <w:rFonts w:ascii="Calibri" w:hAnsi="Calibri" w:cs="Calibri"/>
        </w:rPr>
        <w:t xml:space="preserve"> Polje, inadequate wastewater collection in </w:t>
      </w:r>
      <w:proofErr w:type="spellStart"/>
      <w:r w:rsidRPr="00D60A13">
        <w:rPr>
          <w:rFonts w:ascii="Calibri" w:hAnsi="Calibri" w:cs="Calibri"/>
        </w:rPr>
        <w:t>Ljubuški</w:t>
      </w:r>
      <w:proofErr w:type="spellEnd"/>
      <w:r w:rsidRPr="00D60A13">
        <w:rPr>
          <w:rFonts w:ascii="Calibri" w:hAnsi="Calibri" w:cs="Calibri"/>
        </w:rPr>
        <w:t xml:space="preserve">, and contamination risks in the Neretva </w:t>
      </w:r>
      <w:r w:rsidR="003108B4">
        <w:rPr>
          <w:rFonts w:ascii="Calibri" w:hAnsi="Calibri" w:cs="Calibri"/>
        </w:rPr>
        <w:t>Delta</w:t>
      </w:r>
      <w:r w:rsidRPr="00D60A13">
        <w:rPr>
          <w:rFonts w:ascii="Calibri" w:hAnsi="Calibri" w:cs="Calibri"/>
        </w:rPr>
        <w:t xml:space="preserve"> and proposes measures aligned with the six</w:t>
      </w:r>
      <w:r w:rsidRPr="00D60A13">
        <w:rPr>
          <w:rFonts w:ascii="Cambria Math" w:hAnsi="Cambria Math" w:cs="Cambria Math"/>
        </w:rPr>
        <w:t>‑</w:t>
      </w:r>
      <w:r w:rsidRPr="00D60A13">
        <w:rPr>
          <w:rFonts w:ascii="Calibri" w:hAnsi="Calibri" w:cs="Calibri"/>
        </w:rPr>
        <w:t xml:space="preserve">year RBMP planning cycle. This ensures that data generated through JAP activities are compatible with national reporting obligations and that jointly implemented measures have direct relevance for groundwater body classification under the WFD. </w:t>
      </w:r>
    </w:p>
    <w:p w14:paraId="5854CFF9" w14:textId="6DB73562" w:rsidR="002F247F" w:rsidRPr="00D60A13" w:rsidRDefault="002F247F" w:rsidP="002F247F">
      <w:pPr>
        <w:jc w:val="both"/>
        <w:rPr>
          <w:rFonts w:ascii="Calibri" w:hAnsi="Calibri" w:cs="Calibri"/>
        </w:rPr>
      </w:pPr>
      <w:r w:rsidRPr="00D60A13">
        <w:rPr>
          <w:rFonts w:ascii="Calibri" w:hAnsi="Calibri" w:cs="Calibri"/>
        </w:rPr>
        <w:t>Monitoring activities proposed under the JAP are consistent with WFD monitoring types - surveillance, operational and investigative - and are designed to complement existing national networks by providing karst</w:t>
      </w:r>
      <w:r w:rsidRPr="00D60A13">
        <w:rPr>
          <w:rFonts w:ascii="Cambria Math" w:hAnsi="Cambria Math" w:cs="Cambria Math"/>
        </w:rPr>
        <w:t>‑</w:t>
      </w:r>
      <w:r w:rsidRPr="00D60A13">
        <w:rPr>
          <w:rFonts w:ascii="Calibri" w:hAnsi="Calibri" w:cs="Calibri"/>
        </w:rPr>
        <w:t>specific, risk</w:t>
      </w:r>
      <w:r w:rsidRPr="00D60A13">
        <w:rPr>
          <w:rFonts w:ascii="Cambria Math" w:hAnsi="Cambria Math" w:cs="Cambria Math"/>
        </w:rPr>
        <w:t>‑</w:t>
      </w:r>
      <w:r w:rsidRPr="00D60A13">
        <w:rPr>
          <w:rFonts w:ascii="Calibri" w:hAnsi="Calibri" w:cs="Calibri"/>
        </w:rPr>
        <w:t>based monitoring at vulnerable recharge and discharge areas. Harmonised sampling parameters, frequency and quality</w:t>
      </w:r>
      <w:r w:rsidRPr="00D60A13">
        <w:rPr>
          <w:rFonts w:ascii="Cambria Math" w:hAnsi="Cambria Math" w:cs="Cambria Math"/>
        </w:rPr>
        <w:t>‑</w:t>
      </w:r>
      <w:r w:rsidRPr="00D60A13">
        <w:rPr>
          <w:rFonts w:ascii="Calibri" w:hAnsi="Calibri" w:cs="Calibri"/>
        </w:rPr>
        <w:t>assurance requirements ensure that results can be integrated seamlessly into national water information systems. The JAP also promotes improved comparability of chemical and quantitative data between countries, addressing disparities identified in the BGGDA regarding monitoring density, parameter coverage and the treatment of groundwater bodies in entity</w:t>
      </w:r>
      <w:r w:rsidRPr="00D60A13">
        <w:rPr>
          <w:rFonts w:ascii="Cambria Math" w:hAnsi="Cambria Math" w:cs="Cambria Math"/>
        </w:rPr>
        <w:t>‑</w:t>
      </w:r>
      <w:r w:rsidRPr="00D60A13">
        <w:rPr>
          <w:rFonts w:ascii="Calibri" w:hAnsi="Calibri" w:cs="Calibri"/>
        </w:rPr>
        <w:t xml:space="preserve">level reporting. </w:t>
      </w:r>
    </w:p>
    <w:p w14:paraId="17967BA3" w14:textId="1DBBAC46" w:rsidR="0044247B" w:rsidRPr="00D60A13" w:rsidRDefault="002F247F" w:rsidP="002F247F">
      <w:pPr>
        <w:jc w:val="both"/>
        <w:rPr>
          <w:rFonts w:ascii="Calibri" w:hAnsi="Calibri" w:cs="Calibri"/>
        </w:rPr>
      </w:pPr>
      <w:r w:rsidRPr="00D60A13">
        <w:rPr>
          <w:rFonts w:ascii="Calibri" w:hAnsi="Calibri" w:cs="Calibri"/>
        </w:rPr>
        <w:t>Protection measures proposed in the JAP reinforce RBMP programmes of measures by promoting harmonised sanitary protection zones, improved wastewater management in sensitive recharge areas, and coordinated monitoring and control of agricultural pressures. These measures are structured to support the gradual fulfilment of WFD objectives while respecting national institutional responsibilities and planning instruments. Aligning JAP actions with RBMP priorities ensures that transboundary measures contribute simultaneously to national and EU obligations while providing a coherent platform for future updates of RBMPs on both sides of the border. Importantly, the JAP adopts the WFD principle of cyclical review, applying a structure compatible with the six</w:t>
      </w:r>
      <w:r w:rsidRPr="00D60A13">
        <w:rPr>
          <w:rFonts w:ascii="Cambria Math" w:hAnsi="Cambria Math" w:cs="Cambria Math"/>
        </w:rPr>
        <w:t>‑</w:t>
      </w:r>
      <w:r w:rsidRPr="00D60A13">
        <w:rPr>
          <w:rFonts w:ascii="Calibri" w:hAnsi="Calibri" w:cs="Calibri"/>
        </w:rPr>
        <w:t>year RBMP cycle and enabling coordinated adaptation of measures based on updated scientific evidence, monitoring results and socio</w:t>
      </w:r>
      <w:r w:rsidRPr="00D60A13">
        <w:rPr>
          <w:rFonts w:ascii="Cambria Math" w:hAnsi="Cambria Math" w:cs="Cambria Math"/>
        </w:rPr>
        <w:t>‑</w:t>
      </w:r>
      <w:r w:rsidRPr="00D60A13">
        <w:rPr>
          <w:rFonts w:ascii="Calibri" w:hAnsi="Calibri" w:cs="Calibri"/>
        </w:rPr>
        <w:t xml:space="preserve">economic developments. </w:t>
      </w:r>
    </w:p>
    <w:p w14:paraId="0311D850" w14:textId="77777777" w:rsidR="0044247B" w:rsidRPr="00D60A13" w:rsidRDefault="0044247B" w:rsidP="0044247B">
      <w:pPr>
        <w:jc w:val="both"/>
        <w:rPr>
          <w:rFonts w:ascii="Calibri" w:hAnsi="Calibri" w:cs="Calibri"/>
        </w:rPr>
      </w:pPr>
    </w:p>
    <w:p w14:paraId="5EA41C19" w14:textId="77777777" w:rsidR="0044247B" w:rsidRPr="00D60A13" w:rsidRDefault="0044247B" w:rsidP="00A9752E">
      <w:pPr>
        <w:pStyle w:val="Heading2"/>
        <w:rPr>
          <w:lang w:val="en-GB"/>
        </w:rPr>
      </w:pPr>
      <w:bookmarkStart w:id="16" w:name="_Toc223524254"/>
      <w:bookmarkStart w:id="17" w:name="_Toc229036158"/>
      <w:r w:rsidRPr="00D60A13">
        <w:rPr>
          <w:lang w:val="en-GB"/>
        </w:rPr>
        <w:t>1.6 Methodology</w:t>
      </w:r>
      <w:bookmarkEnd w:id="16"/>
      <w:bookmarkEnd w:id="17"/>
    </w:p>
    <w:p w14:paraId="1A0C9D8E" w14:textId="52D5F88F" w:rsidR="0029443E" w:rsidRPr="00D60A13" w:rsidRDefault="0029443E" w:rsidP="0029443E">
      <w:pPr>
        <w:jc w:val="both"/>
      </w:pPr>
      <w:bookmarkStart w:id="18" w:name="_Toc223524255"/>
      <w:r w:rsidRPr="00D60A13">
        <w:t>The methodological approach used for the preparation of the JAP</w:t>
      </w:r>
      <w:r w:rsidRPr="00D60A13">
        <w:rPr>
          <w:b/>
        </w:rPr>
        <w:t xml:space="preserve"> </w:t>
      </w:r>
      <w:r w:rsidRPr="00D60A13">
        <w:t>for the Neretva TBA follows the planning logic applied in DIKTAS II and is consistent with the requirements of the national River Basin Management Plans and the EU Water Framework Directive (WFD). The methodology ensures that measures defined for the Neretva TBA are technically robust, feasible for implementation, and fully aligned with national and transboundary groundwater</w:t>
      </w:r>
      <w:r w:rsidRPr="00D60A13">
        <w:rPr>
          <w:rFonts w:ascii="Cambria Math" w:hAnsi="Cambria Math" w:cs="Cambria Math"/>
        </w:rPr>
        <w:t>‑</w:t>
      </w:r>
      <w:r w:rsidRPr="00D60A13">
        <w:t>management frameworks.</w:t>
      </w:r>
    </w:p>
    <w:p w14:paraId="7104FDB1" w14:textId="2852ECF5" w:rsidR="0029443E" w:rsidRPr="00D60A13" w:rsidRDefault="0029443E" w:rsidP="0029443E">
      <w:pPr>
        <w:jc w:val="both"/>
      </w:pPr>
      <w:r w:rsidRPr="00D60A13">
        <w:t xml:space="preserve">The process begins with the definition of the JAP’s spatial and thematic scope, including the delineation of </w:t>
      </w:r>
      <w:proofErr w:type="spellStart"/>
      <w:r w:rsidRPr="00D60A13">
        <w:t>hydrogeologically</w:t>
      </w:r>
      <w:proofErr w:type="spellEnd"/>
      <w:r w:rsidRPr="00D60A13">
        <w:t xml:space="preserve"> relevant units such as recharge areas in Bosnia and Herzegovina, discharge zones in Croatia, and </w:t>
      </w:r>
      <w:r w:rsidRPr="00D60A13">
        <w:rPr>
          <w:bCs/>
        </w:rPr>
        <w:t>impact</w:t>
      </w:r>
      <w:r w:rsidRPr="00D60A13">
        <w:t xml:space="preserve"> areas of agricultural, wastewater or land</w:t>
      </w:r>
      <w:r w:rsidRPr="00D60A13">
        <w:rPr>
          <w:rFonts w:ascii="Cambria Math" w:hAnsi="Cambria Math" w:cs="Cambria Math"/>
        </w:rPr>
        <w:t>‑</w:t>
      </w:r>
      <w:r w:rsidRPr="00D60A13">
        <w:t xml:space="preserve">use pressure. This step relies on existing hydrogeological studies, the DIKTAS I Transboundary Diagnostic Analysis (TDA) and the updated understanding of pressures presented in the Bilateral Groundwater Governance Diagnostic Analysis (BGGDA) for Neretva TBA.  These documents provide the baseline for identifying priority risks, governance gaps and areas requiring coordinated measures. </w:t>
      </w:r>
    </w:p>
    <w:p w14:paraId="6785567A" w14:textId="7606264B" w:rsidR="0029443E" w:rsidRPr="00D60A13" w:rsidRDefault="0029443E" w:rsidP="0029443E">
      <w:pPr>
        <w:jc w:val="both"/>
      </w:pPr>
      <w:r w:rsidRPr="00D60A13">
        <w:lastRenderedPageBreak/>
        <w:t>Available national and transboundary datasets</w:t>
      </w:r>
      <w:r w:rsidRPr="00D60A13">
        <w:rPr>
          <w:b/>
        </w:rPr>
        <w:t xml:space="preserve"> - </w:t>
      </w:r>
      <w:r w:rsidRPr="00D60A13">
        <w:t>covering groundwater status, monitoring practices, land</w:t>
      </w:r>
      <w:r w:rsidRPr="00D60A13">
        <w:rPr>
          <w:rFonts w:ascii="Cambria Math" w:hAnsi="Cambria Math" w:cs="Cambria Math"/>
        </w:rPr>
        <w:t>‑</w:t>
      </w:r>
      <w:r w:rsidRPr="00D60A13">
        <w:t>use pressures, wastewater systems, agricultural activity and socio</w:t>
      </w:r>
      <w:r w:rsidRPr="00D60A13">
        <w:rPr>
          <w:rFonts w:ascii="Cambria Math" w:hAnsi="Cambria Math" w:cs="Cambria Math"/>
        </w:rPr>
        <w:t>‑</w:t>
      </w:r>
      <w:r w:rsidRPr="00D60A13">
        <w:t>economic indicators</w:t>
      </w:r>
      <w:r w:rsidRPr="00D60A13">
        <w:rPr>
          <w:b/>
        </w:rPr>
        <w:t xml:space="preserve"> - </w:t>
      </w:r>
      <w:r w:rsidRPr="00D60A13">
        <w:t>were reviewed and synthesised to establish a consistent evidence base. Special attention was given to karst</w:t>
      </w:r>
      <w:r w:rsidRPr="00D60A13">
        <w:rPr>
          <w:rFonts w:ascii="Cambria Math" w:hAnsi="Cambria Math" w:cs="Cambria Math"/>
        </w:rPr>
        <w:t>‑</w:t>
      </w:r>
      <w:r w:rsidRPr="00D60A13">
        <w:t xml:space="preserve">specific vulnerabilities, diffuse agricultural pollution from </w:t>
      </w:r>
      <w:proofErr w:type="spellStart"/>
      <w:r w:rsidRPr="00D60A13">
        <w:t>Ljubuško</w:t>
      </w:r>
      <w:proofErr w:type="spellEnd"/>
      <w:r w:rsidRPr="00D60A13">
        <w:t xml:space="preserve"> Polje, wastewater</w:t>
      </w:r>
      <w:r w:rsidRPr="00D60A13">
        <w:rPr>
          <w:rFonts w:ascii="Cambria Math" w:hAnsi="Cambria Math" w:cs="Cambria Math"/>
        </w:rPr>
        <w:t>‑</w:t>
      </w:r>
      <w:r w:rsidRPr="00D60A13">
        <w:t xml:space="preserve">related risks, and the sensitivity of discharge zones such as the </w:t>
      </w:r>
      <w:proofErr w:type="spellStart"/>
      <w:r w:rsidRPr="00D60A13">
        <w:t>Prud</w:t>
      </w:r>
      <w:proofErr w:type="spellEnd"/>
      <w:r w:rsidRPr="00D60A13">
        <w:t xml:space="preserve"> spring and the Neretva </w:t>
      </w:r>
      <w:r w:rsidR="003108B4">
        <w:t>Delta</w:t>
      </w:r>
      <w:r w:rsidRPr="00D60A13">
        <w:t>, as noted in the BGGDA.  Data gaps were identified, particularly regarding harmonised monitoring networks, cross</w:t>
      </w:r>
      <w:r w:rsidRPr="00D60A13">
        <w:rPr>
          <w:rFonts w:ascii="Cambria Math" w:hAnsi="Cambria Math" w:cs="Cambria Math"/>
        </w:rPr>
        <w:t>‑</w:t>
      </w:r>
      <w:r w:rsidRPr="00D60A13">
        <w:t>border information exchange and consolidated quantitative assessments</w:t>
      </w:r>
      <w:r w:rsidRPr="00D60A13">
        <w:rPr>
          <w:b/>
        </w:rPr>
        <w:t>.</w:t>
      </w:r>
    </w:p>
    <w:p w14:paraId="015364CF" w14:textId="221FC657" w:rsidR="0029443E" w:rsidRPr="00D60A13" w:rsidRDefault="0029443E" w:rsidP="0029443E">
      <w:pPr>
        <w:jc w:val="both"/>
      </w:pPr>
      <w:r w:rsidRPr="00D60A13">
        <w:t xml:space="preserve">Based on this evidence, a </w:t>
      </w:r>
      <w:r w:rsidRPr="00D60A13">
        <w:rPr>
          <w:bCs/>
        </w:rPr>
        <w:t>transboundary</w:t>
      </w:r>
      <w:r w:rsidRPr="00D60A13">
        <w:t xml:space="preserve"> conceptual model of the Neretva TBA was elaborated, building on DIKTAS I and refined through DIKTAS II diagnostic findings. The conceptual model describes the structural characteristics of the aquifer, groundwater</w:t>
      </w:r>
      <w:r w:rsidRPr="00D60A13">
        <w:rPr>
          <w:rFonts w:ascii="Cambria Math" w:hAnsi="Cambria Math" w:cs="Cambria Math"/>
        </w:rPr>
        <w:t>‑</w:t>
      </w:r>
      <w:r w:rsidRPr="00D60A13">
        <w:t>flow patterns, recharge</w:t>
      </w:r>
      <w:r w:rsidRPr="00D60A13">
        <w:rPr>
          <w:b/>
        </w:rPr>
        <w:t>-</w:t>
      </w:r>
      <w:r w:rsidRPr="00D60A13">
        <w:t>discharge relationships, and vulnerability pathways. It is a central methodological tool for decision</w:t>
      </w:r>
      <w:r w:rsidRPr="00D60A13">
        <w:rPr>
          <w:rFonts w:ascii="Cambria Math" w:hAnsi="Cambria Math" w:cs="Cambria Math"/>
        </w:rPr>
        <w:t>‑</w:t>
      </w:r>
      <w:r w:rsidRPr="00D60A13">
        <w:t>making, allowing both countries to interpret groundwater dynamics consistently and to design risk</w:t>
      </w:r>
      <w:r w:rsidRPr="00D60A13">
        <w:rPr>
          <w:rFonts w:ascii="Cambria Math" w:hAnsi="Cambria Math" w:cs="Cambria Math"/>
        </w:rPr>
        <w:t>‑</w:t>
      </w:r>
      <w:r w:rsidRPr="00D60A13">
        <w:t>based protection measures.</w:t>
      </w:r>
    </w:p>
    <w:p w14:paraId="2EEDF74A" w14:textId="08632DE9" w:rsidR="0029443E" w:rsidRPr="00D60A13" w:rsidRDefault="0029443E" w:rsidP="0029443E">
      <w:pPr>
        <w:jc w:val="both"/>
      </w:pPr>
      <w:r w:rsidRPr="00D60A13">
        <w:t>The core analytical phase applies a three</w:t>
      </w:r>
      <w:r w:rsidRPr="00D60A13">
        <w:rPr>
          <w:rFonts w:ascii="Cambria Math" w:hAnsi="Cambria Math" w:cs="Cambria Math"/>
        </w:rPr>
        <w:t>‑</w:t>
      </w:r>
      <w:r w:rsidRPr="00D60A13">
        <w:t>pillar approach consistent with DIKTAS II methodology:</w:t>
      </w:r>
    </w:p>
    <w:p w14:paraId="7A349C95" w14:textId="6C76629D" w:rsidR="0029443E" w:rsidRPr="00D60A13" w:rsidRDefault="0029443E" w:rsidP="0029443E">
      <w:pPr>
        <w:pStyle w:val="ListParagraph"/>
        <w:numPr>
          <w:ilvl w:val="0"/>
          <w:numId w:val="100"/>
        </w:numPr>
        <w:jc w:val="both"/>
        <w:rPr>
          <w:bCs/>
        </w:rPr>
      </w:pPr>
      <w:r w:rsidRPr="00D60A13">
        <w:rPr>
          <w:bCs/>
        </w:rPr>
        <w:t>assessment of pressures and impacts, including agricultural pollution, wastewater discharges, solid</w:t>
      </w:r>
      <w:r w:rsidRPr="00D60A13">
        <w:rPr>
          <w:rFonts w:ascii="Cambria Math" w:hAnsi="Cambria Math" w:cs="Cambria Math"/>
          <w:bCs/>
        </w:rPr>
        <w:t>‑</w:t>
      </w:r>
      <w:r w:rsidRPr="00D60A13">
        <w:rPr>
          <w:bCs/>
        </w:rPr>
        <w:t>waste mismanagement, seasonally increased tourism pressures, and deficiencies in monitoring networks;</w:t>
      </w:r>
    </w:p>
    <w:p w14:paraId="4F680401" w14:textId="5BB2FA24" w:rsidR="0029443E" w:rsidRPr="00D60A13" w:rsidRDefault="0029443E" w:rsidP="0029443E">
      <w:pPr>
        <w:pStyle w:val="ListParagraph"/>
        <w:numPr>
          <w:ilvl w:val="0"/>
          <w:numId w:val="100"/>
        </w:numPr>
        <w:jc w:val="both"/>
        <w:rPr>
          <w:bCs/>
        </w:rPr>
      </w:pPr>
      <w:r w:rsidRPr="00D60A13">
        <w:rPr>
          <w:bCs/>
        </w:rPr>
        <w:t xml:space="preserve">review of governance frameworks, focusing on legal, institutional and policy gaps identified in the BGGDA for the Neretva TBA, such as partial transposition of the Groundwater Directive in Bosnia and Herzegovina and uneven enforcement of sanitary protection zones; </w:t>
      </w:r>
    </w:p>
    <w:p w14:paraId="7AA0D540" w14:textId="1781499D" w:rsidR="0029443E" w:rsidRPr="00D60A13" w:rsidRDefault="0029443E" w:rsidP="0029443E">
      <w:pPr>
        <w:pStyle w:val="ListParagraph"/>
        <w:numPr>
          <w:ilvl w:val="0"/>
          <w:numId w:val="100"/>
        </w:numPr>
        <w:jc w:val="both"/>
        <w:rPr>
          <w:bCs/>
        </w:rPr>
      </w:pPr>
      <w:r w:rsidRPr="00D60A13">
        <w:rPr>
          <w:bCs/>
        </w:rPr>
        <w:t>risk analysis, examining the likelihood and severity of contamination or quantitative stress on sensitive springs, groundwater bodies and groundwater</w:t>
      </w:r>
      <w:r w:rsidRPr="00D60A13">
        <w:rPr>
          <w:rFonts w:ascii="Cambria Math" w:hAnsi="Cambria Math" w:cs="Cambria Math"/>
          <w:bCs/>
        </w:rPr>
        <w:t>‑</w:t>
      </w:r>
      <w:r w:rsidRPr="00D60A13">
        <w:rPr>
          <w:bCs/>
        </w:rPr>
        <w:t>dependent ecosystems.</w:t>
      </w:r>
    </w:p>
    <w:p w14:paraId="0721FF33" w14:textId="77777777" w:rsidR="0029443E" w:rsidRPr="00D60A13" w:rsidRDefault="0029443E" w:rsidP="0029443E">
      <w:pPr>
        <w:jc w:val="both"/>
      </w:pPr>
      <w:r w:rsidRPr="00D60A13">
        <w:t>Measures included in the JAP are developed using a stepwise, risk</w:t>
      </w:r>
      <w:r w:rsidRPr="00D60A13">
        <w:rPr>
          <w:rFonts w:ascii="Cambria Math" w:hAnsi="Cambria Math" w:cs="Cambria Math"/>
        </w:rPr>
        <w:t>‑</w:t>
      </w:r>
      <w:r w:rsidRPr="00D60A13">
        <w:t>based methodology. Preventive measures address vulnerabilities in recharge areas, monitoring deficiencies and the need for harmonised sanitary protection zone criteria. Management measures address groundwater abstraction, wastewater control, diffuse agricultural pressures and data</w:t>
      </w:r>
      <w:r w:rsidRPr="00D60A13">
        <w:rPr>
          <w:rFonts w:ascii="Cambria Math" w:hAnsi="Cambria Math" w:cs="Cambria Math"/>
        </w:rPr>
        <w:t>‑</w:t>
      </w:r>
      <w:r w:rsidRPr="00D60A13">
        <w:t>management improvements. Remedial and response measures focus on acute risks, including extraordinary pollution events. Each measure is linked to a responsible authority, expected outputs and implementation considerations.</w:t>
      </w:r>
    </w:p>
    <w:p w14:paraId="3E480040" w14:textId="2DB7CDA6" w:rsidR="0029443E" w:rsidRPr="00D60A13" w:rsidRDefault="0029443E" w:rsidP="0029443E">
      <w:pPr>
        <w:jc w:val="both"/>
      </w:pPr>
      <w:r w:rsidRPr="00D60A13">
        <w:t>To support transparent and harmonised implementation, the JAP proposes a joint monitoring concept designed to complement existing national monitoring networks. This includes harmonised parameters, sampling frequencies and QA/QC procedures compatible with WFD and national requirements. These measures respond directly to gaps highlighted in the BGGDA, including the limited coverage of karst</w:t>
      </w:r>
      <w:r w:rsidRPr="00D60A13">
        <w:rPr>
          <w:rFonts w:ascii="Cambria Math" w:hAnsi="Cambria Math" w:cs="Cambria Math"/>
        </w:rPr>
        <w:t>‑</w:t>
      </w:r>
      <w:r w:rsidRPr="00D60A13">
        <w:t>specific monitoring and the absence of real</w:t>
      </w:r>
      <w:r w:rsidRPr="00D60A13">
        <w:rPr>
          <w:rFonts w:ascii="Cambria Math" w:hAnsi="Cambria Math" w:cs="Cambria Math"/>
        </w:rPr>
        <w:t>‑</w:t>
      </w:r>
      <w:r w:rsidRPr="00D60A13">
        <w:t xml:space="preserve">time or jointly accessible data systems. </w:t>
      </w:r>
    </w:p>
    <w:p w14:paraId="6B3E5DFB" w14:textId="7F591A30" w:rsidR="0029443E" w:rsidRPr="00D60A13" w:rsidRDefault="0029443E" w:rsidP="0029443E">
      <w:pPr>
        <w:jc w:val="both"/>
      </w:pPr>
      <w:r w:rsidRPr="00D60A13">
        <w:t xml:space="preserve">Stakeholder involvement is incorporated throughout the methodology. National authorities, local governments, water utilities, agricultural stakeholders, environmental institutions and relevant user groups were considered in defining measures, reflecting the governance complexities documented in the BGGDA (e.g., decentralised institutional structures in Bosnia and Herzegovina </w:t>
      </w:r>
      <w:r w:rsidRPr="00D60A13">
        <w:lastRenderedPageBreak/>
        <w:t>and differing capacities across local units).  Their participation is essential for practical implementation, especially in areas with high agricultural or tourism</w:t>
      </w:r>
      <w:r w:rsidRPr="00D60A13">
        <w:rPr>
          <w:rFonts w:ascii="Cambria Math" w:hAnsi="Cambria Math" w:cs="Cambria Math"/>
        </w:rPr>
        <w:t>‑</w:t>
      </w:r>
      <w:r w:rsidRPr="00D60A13">
        <w:t xml:space="preserve">related pressures. </w:t>
      </w:r>
    </w:p>
    <w:p w14:paraId="7E1D3499" w14:textId="184EAF2E" w:rsidR="0029443E" w:rsidRPr="00D60A13" w:rsidRDefault="0029443E" w:rsidP="0029443E">
      <w:pPr>
        <w:jc w:val="both"/>
      </w:pPr>
      <w:r w:rsidRPr="00D60A13">
        <w:t>The JAP is designed as an adaptive instrument, following the same six</w:t>
      </w:r>
      <w:r w:rsidRPr="00D60A13">
        <w:rPr>
          <w:rFonts w:ascii="Cambria Math" w:hAnsi="Cambria Math" w:cs="Cambria Math"/>
        </w:rPr>
        <w:t>‑</w:t>
      </w:r>
      <w:r w:rsidRPr="00D60A13">
        <w:t>year planning cycle applied under the WFD and national RBMPs. Progress will be monitored and reviewed regularly, allowing measures to be updated in response to new data, improved knowledge of aquifer behaviour, evolving socio</w:t>
      </w:r>
      <w:r w:rsidRPr="00D60A13">
        <w:rPr>
          <w:rFonts w:ascii="Cambria Math" w:hAnsi="Cambria Math" w:cs="Cambria Math"/>
        </w:rPr>
        <w:t>‑</w:t>
      </w:r>
      <w:r w:rsidRPr="00D60A13">
        <w:t>economic conditions, and future requirements under the DIKTAS II framework. This ensures that the JAP remains a dynamic and operational tool for long</w:t>
      </w:r>
      <w:r w:rsidRPr="00D60A13">
        <w:rPr>
          <w:rFonts w:ascii="Cambria Math" w:hAnsi="Cambria Math" w:cs="Cambria Math"/>
        </w:rPr>
        <w:t>‑</w:t>
      </w:r>
      <w:r w:rsidRPr="00D60A13">
        <w:t>term, cooperative groundwater protection in Neretva TBA.</w:t>
      </w:r>
    </w:p>
    <w:p w14:paraId="1C1DAFAD" w14:textId="77777777" w:rsidR="0029443E" w:rsidRDefault="0029443E" w:rsidP="0029443E">
      <w:pPr>
        <w:jc w:val="both"/>
        <w:rPr>
          <w:b/>
        </w:rPr>
      </w:pPr>
    </w:p>
    <w:p w14:paraId="41891343" w14:textId="77777777" w:rsidR="001D4721" w:rsidRPr="001D4721" w:rsidRDefault="001D4721" w:rsidP="001D4721">
      <w:pPr>
        <w:pStyle w:val="Heading1"/>
        <w:rPr>
          <w:lang w:val="en-GB"/>
        </w:rPr>
      </w:pPr>
      <w:bookmarkStart w:id="19" w:name="_Toc229036159"/>
      <w:r w:rsidRPr="001D4721">
        <w:rPr>
          <w:lang w:val="en-GB"/>
        </w:rPr>
        <w:t>2. Identified problems and challenges</w:t>
      </w:r>
      <w:bookmarkEnd w:id="19"/>
      <w:r w:rsidRPr="001D4721">
        <w:rPr>
          <w:lang w:val="en-GB"/>
        </w:rPr>
        <w:t xml:space="preserve"> </w:t>
      </w:r>
      <w:bookmarkStart w:id="20" w:name="_Hlk215748671"/>
    </w:p>
    <w:p w14:paraId="42B4C316" w14:textId="7B31C035" w:rsidR="001D4721" w:rsidRPr="00B83C65" w:rsidRDefault="001D4721" w:rsidP="001D4721">
      <w:pPr>
        <w:jc w:val="both"/>
        <w:rPr>
          <w:rFonts w:ascii="Calibri" w:hAnsi="Calibri" w:cs="Calibri"/>
        </w:rPr>
      </w:pPr>
      <w:r w:rsidRPr="00B83C65">
        <w:rPr>
          <w:rFonts w:ascii="Calibri" w:hAnsi="Calibri" w:cs="Calibri"/>
        </w:rPr>
        <w:t xml:space="preserve">Groundwater resources and groundwater-dependent ecosystems within Neretva </w:t>
      </w:r>
      <w:r>
        <w:rPr>
          <w:rFonts w:ascii="Calibri" w:hAnsi="Calibri" w:cs="Calibri"/>
        </w:rPr>
        <w:t xml:space="preserve">TBA </w:t>
      </w:r>
      <w:r w:rsidRPr="00B83C65">
        <w:rPr>
          <w:rFonts w:ascii="Calibri" w:hAnsi="Calibri" w:cs="Calibri"/>
        </w:rPr>
        <w:t>are exposed to multiple pressures resulting from anthropogenic activities combined with the intrinsic vulnerability of the karst aquifer system. High permeability, rapid infiltration and strong hydraulic connectivity significantly reduce natural attenuation capacity, enabling fast transport of contaminants from recharge areas toward springs and downstream systems.</w:t>
      </w:r>
    </w:p>
    <w:p w14:paraId="2BAD035A" w14:textId="77777777" w:rsidR="001D4721" w:rsidRDefault="001D4721" w:rsidP="001D4721">
      <w:pPr>
        <w:jc w:val="both"/>
        <w:rPr>
          <w:rFonts w:ascii="Calibri" w:hAnsi="Calibri" w:cs="Calibri"/>
        </w:rPr>
      </w:pPr>
      <w:r w:rsidRPr="00B83C65">
        <w:rPr>
          <w:rFonts w:ascii="Calibri" w:hAnsi="Calibri" w:cs="Calibri"/>
        </w:rPr>
        <w:t xml:space="preserve">The dominant pressures include diffuse agricultural pollution, inadequate wastewater management, and localised impacts from solid waste disposal and tourism. Although current assessments indicate generally good groundwater quality at the </w:t>
      </w:r>
      <w:r>
        <w:rPr>
          <w:rFonts w:ascii="Calibri" w:hAnsi="Calibri" w:cs="Calibri"/>
        </w:rPr>
        <w:t>TBA</w:t>
      </w:r>
      <w:r w:rsidRPr="00B83C65">
        <w:rPr>
          <w:rFonts w:ascii="Calibri" w:hAnsi="Calibri" w:cs="Calibri"/>
        </w:rPr>
        <w:t xml:space="preserve"> scale, the combination of these pressures and the hydrogeological characteristics of the karst system creates conditions of high vulnerability, requiring continuous monitoring and targeted management measures in line with the Water Framework Directive (2000/60/EC).</w:t>
      </w:r>
    </w:p>
    <w:p w14:paraId="7CD08904" w14:textId="77777777" w:rsidR="001D4721" w:rsidRPr="005D07A5" w:rsidRDefault="001D4721" w:rsidP="001D4721">
      <w:pPr>
        <w:jc w:val="both"/>
        <w:rPr>
          <w:rFonts w:ascii="Calibri" w:hAnsi="Calibri" w:cs="Calibri"/>
        </w:rPr>
      </w:pPr>
    </w:p>
    <w:p w14:paraId="27665DCD" w14:textId="77777777" w:rsidR="001D4721" w:rsidRPr="001D4721" w:rsidRDefault="001D4721" w:rsidP="001D4721">
      <w:pPr>
        <w:pStyle w:val="Heading2"/>
        <w:rPr>
          <w:lang w:val="en-GB"/>
        </w:rPr>
      </w:pPr>
      <w:bookmarkStart w:id="21" w:name="_Toc229036160"/>
      <w:r w:rsidRPr="001D4721">
        <w:rPr>
          <w:lang w:val="en-GB"/>
        </w:rPr>
        <w:t xml:space="preserve">2.1 Diffuse agricultural pollution in </w:t>
      </w:r>
      <w:proofErr w:type="spellStart"/>
      <w:r w:rsidRPr="001D4721">
        <w:rPr>
          <w:lang w:val="en-GB"/>
        </w:rPr>
        <w:t>Ljubuško</w:t>
      </w:r>
      <w:proofErr w:type="spellEnd"/>
      <w:r w:rsidRPr="001D4721">
        <w:rPr>
          <w:lang w:val="en-GB"/>
        </w:rPr>
        <w:t xml:space="preserve"> polje (nitrates, pesticides, phosphates)</w:t>
      </w:r>
      <w:bookmarkEnd w:id="21"/>
    </w:p>
    <w:p w14:paraId="1D294D9A" w14:textId="77777777" w:rsidR="001D4721" w:rsidRPr="00B83C65" w:rsidRDefault="001D4721" w:rsidP="001D4721">
      <w:pPr>
        <w:jc w:val="both"/>
        <w:rPr>
          <w:rFonts w:ascii="Calibri" w:hAnsi="Calibri" w:cs="Calibri"/>
        </w:rPr>
      </w:pPr>
      <w:proofErr w:type="spellStart"/>
      <w:r w:rsidRPr="00B83C65">
        <w:rPr>
          <w:rFonts w:ascii="Calibri" w:hAnsi="Calibri" w:cs="Calibri"/>
        </w:rPr>
        <w:t>Ljubuško</w:t>
      </w:r>
      <w:proofErr w:type="spellEnd"/>
      <w:r w:rsidRPr="00B83C65">
        <w:rPr>
          <w:rFonts w:ascii="Calibri" w:hAnsi="Calibri" w:cs="Calibri"/>
        </w:rPr>
        <w:t xml:space="preserve"> polje represents a typical lowland karst recharge area characterised by strong interaction between surface and groundwater and rapid infiltration through highly permeable carbonate formations. These hydrogeological conditions make the area particularly sensitive to diffuse agricultural pollution. The dominant sources of pressure include mineral fertilizers, manure and livestock waste, as well as pesticides and herbicides, which are applied across the entire agricultural surface without a defined discharge point (Agency for the Adriatic Sea Water District, 2016; Integra d.o.o., 2019).</w:t>
      </w:r>
    </w:p>
    <w:p w14:paraId="5492D566" w14:textId="77777777" w:rsidR="001D4721" w:rsidRPr="00B83C65" w:rsidRDefault="001D4721" w:rsidP="001D4721">
      <w:pPr>
        <w:jc w:val="both"/>
        <w:rPr>
          <w:rFonts w:ascii="Calibri" w:hAnsi="Calibri" w:cs="Calibri"/>
        </w:rPr>
      </w:pPr>
      <w:r w:rsidRPr="00B83C65">
        <w:rPr>
          <w:rFonts w:ascii="Calibri" w:hAnsi="Calibri" w:cs="Calibri"/>
        </w:rPr>
        <w:t>Nutrient inputs in intensive agricultural systems typically range between 150–300 kg N/ha/year and 20–50 kg P/ha/year, with approximately 10–30% of applied nitrogen subject to leaching into groundwater, which may be further increased under karst-specific transport conditions.</w:t>
      </w:r>
    </w:p>
    <w:p w14:paraId="20119CB2" w14:textId="77777777" w:rsidR="001D4721" w:rsidRPr="00B83C65" w:rsidRDefault="001D4721" w:rsidP="001D4721">
      <w:pPr>
        <w:jc w:val="both"/>
        <w:rPr>
          <w:rFonts w:ascii="Calibri" w:hAnsi="Calibri" w:cs="Calibri"/>
        </w:rPr>
      </w:pPr>
      <w:r w:rsidRPr="00B83C65">
        <w:rPr>
          <w:rFonts w:ascii="Calibri" w:hAnsi="Calibri" w:cs="Calibri"/>
        </w:rPr>
        <w:t>Despite these pressures, available monitoring data indicates that nitrate concentrations in groundwater remain relatively low and stable (generally up to ~5 mg/L), suggesting that large-scale contamination has not yet occurred. However, this apparent stability should be interpreted with caution, as rapid transport processes and limited monitoring frequency may mask short-term concentration peaks, particularly following rainfall events.</w:t>
      </w:r>
    </w:p>
    <w:p w14:paraId="5EB52F0E" w14:textId="77777777" w:rsidR="001D4721" w:rsidRPr="00B83C65" w:rsidRDefault="001D4721" w:rsidP="001D4721">
      <w:pPr>
        <w:jc w:val="both"/>
        <w:rPr>
          <w:rFonts w:ascii="Calibri" w:hAnsi="Calibri" w:cs="Calibri"/>
        </w:rPr>
      </w:pPr>
      <w:r w:rsidRPr="00B83C65">
        <w:rPr>
          <w:rFonts w:ascii="Calibri" w:hAnsi="Calibri" w:cs="Calibri"/>
        </w:rPr>
        <w:lastRenderedPageBreak/>
        <w:t>Pesticide contamination is currently not detected at significant levels, with concentrations generally below detection limits. Nevertheless, given their mobility under karst conditions and potential episodic occurrence, pesticides remain a critical risk factor that is insufficiently captured by existing monitoring systems. Phosphorus concentrations are generally low due to limited mobility in subsurface conditions, although transport may occur during high-flow events.</w:t>
      </w:r>
    </w:p>
    <w:p w14:paraId="67DB167B" w14:textId="1C51BBB7" w:rsidR="001D4721" w:rsidRPr="00B83C65" w:rsidRDefault="001D4721" w:rsidP="001D4721">
      <w:pPr>
        <w:jc w:val="both"/>
        <w:rPr>
          <w:rFonts w:ascii="Calibri" w:hAnsi="Calibri" w:cs="Calibri"/>
        </w:rPr>
      </w:pPr>
      <w:r w:rsidRPr="00B83C65">
        <w:rPr>
          <w:rFonts w:ascii="Calibri" w:hAnsi="Calibri" w:cs="Calibri"/>
        </w:rPr>
        <w:t xml:space="preserve">The absence of clearly defined hydrogeological boundaries further increases the risk, as contaminants introduced in </w:t>
      </w:r>
      <w:proofErr w:type="spellStart"/>
      <w:r w:rsidRPr="00B83C65">
        <w:rPr>
          <w:rFonts w:ascii="Calibri" w:hAnsi="Calibri" w:cs="Calibri"/>
        </w:rPr>
        <w:t>Ljubuško</w:t>
      </w:r>
      <w:proofErr w:type="spellEnd"/>
      <w:r w:rsidRPr="00B83C65">
        <w:rPr>
          <w:rFonts w:ascii="Calibri" w:hAnsi="Calibri" w:cs="Calibri"/>
        </w:rPr>
        <w:t xml:space="preserve"> polje can be transported toward downstream systems, including the </w:t>
      </w:r>
      <w:proofErr w:type="spellStart"/>
      <w:r w:rsidRPr="00B83C65">
        <w:rPr>
          <w:rFonts w:ascii="Calibri" w:hAnsi="Calibri" w:cs="Calibri"/>
        </w:rPr>
        <w:t>Trebižat</w:t>
      </w:r>
      <w:proofErr w:type="spellEnd"/>
      <w:r w:rsidRPr="00B83C65">
        <w:rPr>
          <w:rFonts w:ascii="Calibri" w:hAnsi="Calibri" w:cs="Calibri"/>
        </w:rPr>
        <w:t xml:space="preserve"> River, the </w:t>
      </w:r>
      <w:proofErr w:type="spellStart"/>
      <w:r w:rsidRPr="00B83C65">
        <w:rPr>
          <w:rFonts w:ascii="Calibri" w:hAnsi="Calibri" w:cs="Calibri"/>
        </w:rPr>
        <w:t>Prud</w:t>
      </w:r>
      <w:proofErr w:type="spellEnd"/>
      <w:r w:rsidRPr="00B83C65">
        <w:rPr>
          <w:rFonts w:ascii="Calibri" w:hAnsi="Calibri" w:cs="Calibri"/>
        </w:rPr>
        <w:t xml:space="preserve"> spring and ultimately the Neretva </w:t>
      </w:r>
      <w:r w:rsidR="003108B4">
        <w:rPr>
          <w:rFonts w:ascii="Calibri" w:hAnsi="Calibri" w:cs="Calibri"/>
        </w:rPr>
        <w:t>Delta</w:t>
      </w:r>
      <w:r w:rsidRPr="00B83C65">
        <w:rPr>
          <w:rFonts w:ascii="Calibri" w:hAnsi="Calibri" w:cs="Calibri"/>
        </w:rPr>
        <w:t>. This connectivity amplifies the spatial extent of potential impacts and complicates management.</w:t>
      </w:r>
    </w:p>
    <w:p w14:paraId="5AFA6A30" w14:textId="44A68968" w:rsidR="001D4721" w:rsidRPr="005D07A5" w:rsidRDefault="001D4721" w:rsidP="001D4721">
      <w:pPr>
        <w:jc w:val="both"/>
        <w:rPr>
          <w:rFonts w:ascii="Calibri" w:hAnsi="Calibri" w:cs="Calibri"/>
        </w:rPr>
      </w:pPr>
      <w:r>
        <w:rPr>
          <w:rFonts w:ascii="Calibri" w:hAnsi="Calibri" w:cs="Calibri"/>
        </w:rPr>
        <w:t>D</w:t>
      </w:r>
      <w:r w:rsidRPr="00B83C65">
        <w:rPr>
          <w:rFonts w:ascii="Calibri" w:hAnsi="Calibri" w:cs="Calibri"/>
        </w:rPr>
        <w:t xml:space="preserve">iffuse agricultural pollution in </w:t>
      </w:r>
      <w:proofErr w:type="spellStart"/>
      <w:r w:rsidRPr="00B83C65">
        <w:rPr>
          <w:rFonts w:ascii="Calibri" w:hAnsi="Calibri" w:cs="Calibri"/>
        </w:rPr>
        <w:t>Ljubuško</w:t>
      </w:r>
      <w:proofErr w:type="spellEnd"/>
      <w:r w:rsidRPr="00B83C65">
        <w:rPr>
          <w:rFonts w:ascii="Calibri" w:hAnsi="Calibri" w:cs="Calibri"/>
        </w:rPr>
        <w:t xml:space="preserve"> polje represents a high potential pressure, although its current manifestation in groundwater quality remains moderate. This reflects a situation typical for karst systems, where high vulnerability coexists with relatively good status, but with a significant risk of rapid deterioration under increased pressure.</w:t>
      </w:r>
    </w:p>
    <w:p w14:paraId="3EBC9F38" w14:textId="77777777" w:rsidR="001D4721" w:rsidRDefault="001D4721" w:rsidP="001D4721">
      <w:pPr>
        <w:pStyle w:val="Heading2"/>
        <w:rPr>
          <w:rFonts w:ascii="Calibri" w:hAnsi="Calibri" w:cs="Calibri"/>
          <w:lang w:val="en-GB"/>
        </w:rPr>
      </w:pPr>
    </w:p>
    <w:p w14:paraId="53C896CB" w14:textId="43F23A8A" w:rsidR="001D4721" w:rsidRPr="001D4721" w:rsidRDefault="001D4721" w:rsidP="001D4721">
      <w:pPr>
        <w:pStyle w:val="Heading2"/>
        <w:jc w:val="both"/>
        <w:rPr>
          <w:lang w:val="en-GB"/>
        </w:rPr>
      </w:pPr>
      <w:bookmarkStart w:id="22" w:name="_Toc229036161"/>
      <w:r w:rsidRPr="001D4721">
        <w:rPr>
          <w:lang w:val="en-GB"/>
        </w:rPr>
        <w:t xml:space="preserve">2.2 Potential contamination of </w:t>
      </w:r>
      <w:proofErr w:type="spellStart"/>
      <w:r w:rsidRPr="001D4721">
        <w:rPr>
          <w:lang w:val="en-GB"/>
        </w:rPr>
        <w:t>Prud</w:t>
      </w:r>
      <w:proofErr w:type="spellEnd"/>
      <w:r w:rsidRPr="001D4721">
        <w:rPr>
          <w:lang w:val="en-GB"/>
        </w:rPr>
        <w:t xml:space="preserve"> spring due to inadequate wastewater collection and treatment</w:t>
      </w:r>
      <w:bookmarkEnd w:id="22"/>
    </w:p>
    <w:p w14:paraId="514DBE0A" w14:textId="77777777" w:rsidR="001D4721" w:rsidRPr="001D4721" w:rsidRDefault="001D4721" w:rsidP="001D4721">
      <w:pPr>
        <w:jc w:val="both"/>
        <w:rPr>
          <w:rFonts w:cstheme="minorHAnsi"/>
        </w:rPr>
      </w:pPr>
      <w:r w:rsidRPr="001D4721">
        <w:rPr>
          <w:rFonts w:cstheme="minorHAnsi"/>
        </w:rPr>
        <w:t xml:space="preserve">The </w:t>
      </w:r>
      <w:proofErr w:type="spellStart"/>
      <w:r w:rsidRPr="001D4721">
        <w:rPr>
          <w:rFonts w:cstheme="minorHAnsi"/>
        </w:rPr>
        <w:t>Prud</w:t>
      </w:r>
      <w:proofErr w:type="spellEnd"/>
      <w:r w:rsidRPr="001D4721">
        <w:rPr>
          <w:rFonts w:cstheme="minorHAnsi"/>
        </w:rPr>
        <w:t xml:space="preserve"> spring represents a key discharge point of the karst aquifer system in the lower Neretva basin and is a strategically important spring for public water supply. Its vulnerability is primarily controlled by strong hydraulic connectivity with upstream recharge areas, including </w:t>
      </w:r>
      <w:proofErr w:type="spellStart"/>
      <w:r w:rsidRPr="001D4721">
        <w:rPr>
          <w:rFonts w:cstheme="minorHAnsi"/>
        </w:rPr>
        <w:t>Ljubuško</w:t>
      </w:r>
      <w:proofErr w:type="spellEnd"/>
      <w:r w:rsidRPr="001D4721">
        <w:rPr>
          <w:rFonts w:cstheme="minorHAnsi"/>
        </w:rPr>
        <w:t xml:space="preserve"> polje and the </w:t>
      </w:r>
      <w:proofErr w:type="spellStart"/>
      <w:r w:rsidRPr="001D4721">
        <w:rPr>
          <w:rFonts w:cstheme="minorHAnsi"/>
        </w:rPr>
        <w:t>Trebižat</w:t>
      </w:r>
      <w:proofErr w:type="spellEnd"/>
      <w:r w:rsidRPr="001D4721">
        <w:rPr>
          <w:rFonts w:cstheme="minorHAnsi"/>
        </w:rPr>
        <w:t xml:space="preserve"> River basin, as well as the absence of effective natural filtration within the karst system.</w:t>
      </w:r>
    </w:p>
    <w:p w14:paraId="2E806CBC" w14:textId="77777777" w:rsidR="001D4721" w:rsidRPr="001D4721" w:rsidRDefault="001D4721" w:rsidP="001D4721">
      <w:pPr>
        <w:jc w:val="both"/>
        <w:rPr>
          <w:rFonts w:cstheme="minorHAnsi"/>
        </w:rPr>
      </w:pPr>
      <w:r w:rsidRPr="001D4721">
        <w:rPr>
          <w:rFonts w:cstheme="minorHAnsi"/>
        </w:rPr>
        <w:t>Available data indicate that a significant number of settlements within the recharge area are not connected to adequately developed sewerage systems, resulting in irregular or partial wastewater collection and treatment. In many cases, wastewater is discharged directly into the environment or infiltrates into the subsurface through permeable soils and karst features. This is particularly critical in zones of sanitary protection (II and III zones), where multiple potential contamination sources have been identified, including settlements with non-regulated wastewater disposal and local economic activities located in proximity to groundwater pathways.</w:t>
      </w:r>
    </w:p>
    <w:p w14:paraId="0FD83FBE" w14:textId="77777777" w:rsidR="001D4721" w:rsidRPr="001D4721" w:rsidRDefault="001D4721" w:rsidP="001D4721">
      <w:pPr>
        <w:jc w:val="both"/>
        <w:rPr>
          <w:rFonts w:cstheme="minorHAnsi"/>
        </w:rPr>
      </w:pPr>
      <w:r w:rsidRPr="001D4721">
        <w:rPr>
          <w:rFonts w:cstheme="minorHAnsi"/>
        </w:rPr>
        <w:t xml:space="preserve">The risk is further amplified by the hydrogeological structure of the karst system, where rapid groundwater flow enables contaminants to reach the spring over relatively short time scales. Tracer tests and hydrogeological analyses confirm direct hydraulic connections between surface watercourses (particularly the </w:t>
      </w:r>
      <w:proofErr w:type="spellStart"/>
      <w:r w:rsidRPr="001D4721">
        <w:rPr>
          <w:rFonts w:cstheme="minorHAnsi"/>
        </w:rPr>
        <w:t>Trebižat</w:t>
      </w:r>
      <w:proofErr w:type="spellEnd"/>
      <w:r w:rsidRPr="001D4721">
        <w:rPr>
          <w:rFonts w:cstheme="minorHAnsi"/>
        </w:rPr>
        <w:t xml:space="preserve"> system) and the </w:t>
      </w:r>
      <w:proofErr w:type="spellStart"/>
      <w:r w:rsidRPr="001D4721">
        <w:rPr>
          <w:rFonts w:cstheme="minorHAnsi"/>
        </w:rPr>
        <w:t>Prud</w:t>
      </w:r>
      <w:proofErr w:type="spellEnd"/>
      <w:r w:rsidRPr="001D4721">
        <w:rPr>
          <w:rFonts w:cstheme="minorHAnsi"/>
        </w:rPr>
        <w:t xml:space="preserve"> spring, indicating that pollutants introduced upstream may be transported efficiently toward the source.</w:t>
      </w:r>
    </w:p>
    <w:p w14:paraId="76120E86" w14:textId="77777777" w:rsidR="001D4721" w:rsidRPr="001D4721" w:rsidRDefault="001D4721" w:rsidP="001D4721">
      <w:pPr>
        <w:jc w:val="both"/>
        <w:rPr>
          <w:rFonts w:cstheme="minorHAnsi"/>
        </w:rPr>
      </w:pPr>
      <w:r w:rsidRPr="001D4721">
        <w:rPr>
          <w:rFonts w:cstheme="minorHAnsi"/>
        </w:rPr>
        <w:t>Additional pressure is related to the presence of infrastructure and economic activities within protection zones, including service facilities, industrial sites and fuel stations, which represent potential point sources of contamination if not adequately controlled. Furthermore, several settlements in the wider area are characterised by irregular wastewater management, increasing the risk of microbiological contamination.</w:t>
      </w:r>
    </w:p>
    <w:p w14:paraId="2DC414DB" w14:textId="77777777" w:rsidR="001D4721" w:rsidRPr="001D4721" w:rsidRDefault="001D4721" w:rsidP="001D4721">
      <w:pPr>
        <w:jc w:val="both"/>
        <w:rPr>
          <w:rFonts w:cstheme="minorHAnsi"/>
        </w:rPr>
      </w:pPr>
      <w:r w:rsidRPr="001D4721">
        <w:rPr>
          <w:rFonts w:cstheme="minorHAnsi"/>
        </w:rPr>
        <w:lastRenderedPageBreak/>
        <w:t>Although current monitoring indicates that the chemical status of groundwater remains generally good, the combination of inadequate wastewater infrastructure and high aquifer vulnerability represents a significant and persistent risk, particularly for drinking water safety. This risk is especially pronounced during high-flow conditions, when rapid infiltration processes enhance contaminant transport toward the spring.</w:t>
      </w:r>
    </w:p>
    <w:p w14:paraId="3EF3ED7B" w14:textId="77777777" w:rsidR="001D4721" w:rsidRDefault="001D4721" w:rsidP="001D4721">
      <w:pPr>
        <w:pStyle w:val="Heading2"/>
        <w:rPr>
          <w:rFonts w:ascii="Calibri" w:hAnsi="Calibri" w:cs="Calibri"/>
          <w:szCs w:val="24"/>
          <w:lang w:val="en-GB"/>
        </w:rPr>
      </w:pPr>
    </w:p>
    <w:p w14:paraId="5660D7DE" w14:textId="06C7711A" w:rsidR="001D4721" w:rsidRPr="001D4721" w:rsidRDefault="001D4721" w:rsidP="001D4721">
      <w:pPr>
        <w:pStyle w:val="Heading2"/>
        <w:rPr>
          <w:lang w:val="en-GB"/>
        </w:rPr>
      </w:pPr>
      <w:bookmarkStart w:id="23" w:name="_Toc229036162"/>
      <w:r w:rsidRPr="001D4721">
        <w:rPr>
          <w:lang w:val="en-GB"/>
        </w:rPr>
        <w:t xml:space="preserve">2.3 Agricultural pressures and potential contamination of the Neretva </w:t>
      </w:r>
      <w:r w:rsidR="003108B4">
        <w:rPr>
          <w:lang w:val="en-GB"/>
        </w:rPr>
        <w:t>Delta</w:t>
      </w:r>
      <w:bookmarkEnd w:id="23"/>
    </w:p>
    <w:p w14:paraId="5C465655" w14:textId="6B5C2AFF" w:rsidR="001D4721" w:rsidRPr="001D4721" w:rsidRDefault="001D4721" w:rsidP="001D4721">
      <w:pPr>
        <w:jc w:val="both"/>
        <w:rPr>
          <w:rFonts w:cstheme="minorHAnsi"/>
        </w:rPr>
      </w:pPr>
      <w:r w:rsidRPr="001D4721">
        <w:rPr>
          <w:rFonts w:cstheme="minorHAnsi"/>
        </w:rPr>
        <w:t xml:space="preserve">The Neretva </w:t>
      </w:r>
      <w:r w:rsidR="003108B4">
        <w:rPr>
          <w:rFonts w:cstheme="minorHAnsi"/>
        </w:rPr>
        <w:t>Delta</w:t>
      </w:r>
      <w:r w:rsidRPr="001D4721">
        <w:rPr>
          <w:rFonts w:cstheme="minorHAnsi"/>
        </w:rPr>
        <w:t xml:space="preserve"> represents the final receiving zone of cumulative pollution originating from the entire upstream catchment. Due to strong hydrological and hydrogeological connectivity, both surface water and groundwater contribute to the transport of nutrients and contaminants from inland karst areas toward the </w:t>
      </w:r>
      <w:r w:rsidR="003108B4">
        <w:rPr>
          <w:rFonts w:cstheme="minorHAnsi"/>
        </w:rPr>
        <w:t>Delta</w:t>
      </w:r>
      <w:r w:rsidRPr="001D4721">
        <w:rPr>
          <w:rFonts w:cstheme="minorHAnsi"/>
        </w:rPr>
        <w:t>.</w:t>
      </w:r>
    </w:p>
    <w:p w14:paraId="116AF04B" w14:textId="77777777" w:rsidR="001D4721" w:rsidRPr="001D4721" w:rsidRDefault="001D4721" w:rsidP="001D4721">
      <w:pPr>
        <w:jc w:val="both"/>
        <w:rPr>
          <w:rFonts w:cstheme="minorHAnsi"/>
        </w:rPr>
      </w:pPr>
      <w:r w:rsidRPr="001D4721">
        <w:rPr>
          <w:rFonts w:cstheme="minorHAnsi"/>
        </w:rPr>
        <w:t xml:space="preserve">Agriculture is the dominant pressure within the basin, with significant inputs of nitrogen, phosphorus and agrochemicals. Based on available assessments, total nitrogen loads from agricultural activities at the basin scale exceed 170,000 kg N/year, while additional contributions from livestock production amount to approximately 40,000 kg N/year. These inputs represent the main source of diffuse pollution and are distributed across large agricultural areas, including </w:t>
      </w:r>
      <w:proofErr w:type="spellStart"/>
      <w:r w:rsidRPr="001D4721">
        <w:rPr>
          <w:rFonts w:cstheme="minorHAnsi"/>
        </w:rPr>
        <w:t>Ljubuško</w:t>
      </w:r>
      <w:proofErr w:type="spellEnd"/>
      <w:r w:rsidRPr="001D4721">
        <w:rPr>
          <w:rFonts w:cstheme="minorHAnsi"/>
        </w:rPr>
        <w:t xml:space="preserve"> polje and downstream zones.</w:t>
      </w:r>
    </w:p>
    <w:p w14:paraId="4E9138EC" w14:textId="3F36CF60" w:rsidR="001D4721" w:rsidRPr="001D4721" w:rsidRDefault="001D4721" w:rsidP="001D4721">
      <w:pPr>
        <w:jc w:val="both"/>
        <w:rPr>
          <w:rFonts w:cstheme="minorHAnsi"/>
        </w:rPr>
      </w:pPr>
      <w:r w:rsidRPr="001D4721">
        <w:rPr>
          <w:rFonts w:cstheme="minorHAnsi"/>
        </w:rPr>
        <w:t xml:space="preserve">Although only a fraction of these loads reaches groundwater (estimated at approximately 5% for nitrogen), the karst nature of the basin significantly enhances transport efficiency. Contaminants can migrate over long distances through underground pathways, ultimately reaching transitional waters in the Neretva </w:t>
      </w:r>
      <w:r w:rsidR="003108B4">
        <w:rPr>
          <w:rFonts w:cstheme="minorHAnsi"/>
        </w:rPr>
        <w:t>Delta</w:t>
      </w:r>
      <w:r w:rsidRPr="001D4721">
        <w:rPr>
          <w:rFonts w:cstheme="minorHAnsi"/>
        </w:rPr>
        <w:t>.</w:t>
      </w:r>
    </w:p>
    <w:p w14:paraId="3441A11C" w14:textId="2F52905A" w:rsidR="001D4721" w:rsidRPr="001D4721" w:rsidRDefault="001D4721" w:rsidP="001D4721">
      <w:pPr>
        <w:jc w:val="both"/>
        <w:rPr>
          <w:rFonts w:cstheme="minorHAnsi"/>
        </w:rPr>
      </w:pPr>
      <w:r w:rsidRPr="001D4721">
        <w:rPr>
          <w:rFonts w:cstheme="minorHAnsi"/>
        </w:rPr>
        <w:t xml:space="preserve">The </w:t>
      </w:r>
      <w:r w:rsidR="003108B4">
        <w:rPr>
          <w:rFonts w:cstheme="minorHAnsi"/>
        </w:rPr>
        <w:t>Delta</w:t>
      </w:r>
      <w:r w:rsidRPr="001D4721">
        <w:rPr>
          <w:rFonts w:cstheme="minorHAnsi"/>
        </w:rPr>
        <w:t xml:space="preserve"> itself is particularly sensitive due to its hydrological position and ecological characteristics. The accumulation of nutrients leads to eutrophication processes, degradation of water quality and impacts on wetlands and biodiversity. These effects are further intensified by irrigation practices and the presence of drainage systems that facilitate the redistribution of water and dissolved substances within the </w:t>
      </w:r>
      <w:r w:rsidR="003108B4">
        <w:rPr>
          <w:rFonts w:cstheme="minorHAnsi"/>
        </w:rPr>
        <w:t>Delta</w:t>
      </w:r>
      <w:r w:rsidRPr="001D4721">
        <w:rPr>
          <w:rFonts w:cstheme="minorHAnsi"/>
        </w:rPr>
        <w:t>.</w:t>
      </w:r>
    </w:p>
    <w:p w14:paraId="54CE6DD0" w14:textId="77777777" w:rsidR="001D4721" w:rsidRPr="001D4721" w:rsidRDefault="001D4721" w:rsidP="001D4721">
      <w:pPr>
        <w:jc w:val="both"/>
        <w:rPr>
          <w:rFonts w:cstheme="minorHAnsi"/>
        </w:rPr>
      </w:pPr>
      <w:r w:rsidRPr="001D4721">
        <w:rPr>
          <w:rFonts w:cstheme="minorHAnsi"/>
        </w:rPr>
        <w:t>Despite current assessments indicating that groundwater bodies are generally in good chemical status and not at significant risk, this classification should be interpreted cautiously. The high level of agricultural pressure, combined with rapid transport processes and seasonal variability, creates conditions in which even moderate increases in nutrient inputs could result in significant downstream impacts.</w:t>
      </w:r>
    </w:p>
    <w:p w14:paraId="17DD3F69" w14:textId="77777777" w:rsidR="003108B4" w:rsidRDefault="003108B4" w:rsidP="001D4721">
      <w:pPr>
        <w:pStyle w:val="Heading2"/>
        <w:rPr>
          <w:rFonts w:cstheme="majorHAnsi"/>
          <w:lang w:val="en-GB"/>
        </w:rPr>
      </w:pPr>
    </w:p>
    <w:p w14:paraId="0E5798B6" w14:textId="5929137B" w:rsidR="001D4721" w:rsidRPr="003108B4" w:rsidRDefault="001D4721" w:rsidP="003108B4">
      <w:pPr>
        <w:pStyle w:val="Heading2"/>
        <w:rPr>
          <w:lang w:val="en-GB"/>
        </w:rPr>
      </w:pPr>
      <w:bookmarkStart w:id="24" w:name="_Toc229036163"/>
      <w:r w:rsidRPr="003108B4">
        <w:rPr>
          <w:lang w:val="en-GB"/>
        </w:rPr>
        <w:t>2.4 Solid waste and illegal dumping pressures</w:t>
      </w:r>
      <w:bookmarkEnd w:id="24"/>
    </w:p>
    <w:p w14:paraId="518A30EB" w14:textId="07BBFCBF" w:rsidR="001D4721" w:rsidRPr="003108B4" w:rsidRDefault="001D4721" w:rsidP="003108B4">
      <w:pPr>
        <w:jc w:val="both"/>
        <w:rPr>
          <w:rFonts w:cstheme="minorHAnsi"/>
        </w:rPr>
      </w:pPr>
      <w:r w:rsidRPr="003108B4">
        <w:rPr>
          <w:rFonts w:cstheme="minorHAnsi"/>
        </w:rPr>
        <w:t xml:space="preserve">Uncontrolled waste disposal represents a significant but often locally concentrated pressure on groundwater quality in karst environments. In </w:t>
      </w:r>
      <w:r w:rsidR="003108B4" w:rsidRPr="003108B4">
        <w:rPr>
          <w:rFonts w:cstheme="minorHAnsi"/>
        </w:rPr>
        <w:t xml:space="preserve">Neretva </w:t>
      </w:r>
      <w:r w:rsidRPr="003108B4">
        <w:rPr>
          <w:rFonts w:cstheme="minorHAnsi"/>
        </w:rPr>
        <w:t>TBA, a considerable number of waste disposal sites lack proper leachate collection systems, resulting in direct infiltration of contaminated waters into the subsurface.</w:t>
      </w:r>
    </w:p>
    <w:p w14:paraId="3D83870E" w14:textId="77777777" w:rsidR="001D4721" w:rsidRPr="003108B4" w:rsidRDefault="001D4721" w:rsidP="003108B4">
      <w:pPr>
        <w:jc w:val="both"/>
        <w:rPr>
          <w:rFonts w:cstheme="minorHAnsi"/>
        </w:rPr>
      </w:pPr>
      <w:r w:rsidRPr="003108B4">
        <w:rPr>
          <w:rFonts w:cstheme="minorHAnsi"/>
        </w:rPr>
        <w:lastRenderedPageBreak/>
        <w:t>Leachate generated from solid waste typically contains high concentrations of organic matter, nutrients and potentially hazardous substances. Based on available assessments, the nitrogen load from landfill leachate is estimated at approximately 144 kg N/ha/year, while the total annual nitrogen load from waste disposal sites within the basin exceeds 35,000 kg N/year. These values indicate that, although spatially limited, waste disposal sites represent a relevant source of nitrogen input to groundwater.</w:t>
      </w:r>
    </w:p>
    <w:p w14:paraId="79E0FC33" w14:textId="77777777" w:rsidR="001D4721" w:rsidRPr="003108B4" w:rsidRDefault="001D4721" w:rsidP="003108B4">
      <w:pPr>
        <w:jc w:val="both"/>
        <w:rPr>
          <w:rFonts w:cstheme="minorHAnsi"/>
        </w:rPr>
      </w:pPr>
      <w:r w:rsidRPr="003108B4">
        <w:rPr>
          <w:rFonts w:cstheme="minorHAnsi"/>
        </w:rPr>
        <w:t xml:space="preserve">In karst environments, the impact of such sources is significantly amplified due to the absence of natural filtration. Contaminants can rapidly infiltrate through fractures, sinkholes and other karst features, reaching groundwater bodies and springs with minimal attenuation. This is particularly critical in areas located within or near groundwater protection zones, such as those identified in the </w:t>
      </w:r>
      <w:proofErr w:type="spellStart"/>
      <w:r w:rsidRPr="003108B4">
        <w:rPr>
          <w:rFonts w:cstheme="minorHAnsi"/>
        </w:rPr>
        <w:t>Prud</w:t>
      </w:r>
      <w:proofErr w:type="spellEnd"/>
      <w:r w:rsidRPr="003108B4">
        <w:rPr>
          <w:rFonts w:cstheme="minorHAnsi"/>
        </w:rPr>
        <w:t xml:space="preserve"> spring catchment.</w:t>
      </w:r>
    </w:p>
    <w:p w14:paraId="473821BE" w14:textId="77777777" w:rsidR="001D4721" w:rsidRPr="003108B4" w:rsidRDefault="001D4721" w:rsidP="003108B4">
      <w:pPr>
        <w:jc w:val="both"/>
        <w:rPr>
          <w:rFonts w:cstheme="minorHAnsi"/>
        </w:rPr>
      </w:pPr>
      <w:r w:rsidRPr="003108B4">
        <w:rPr>
          <w:rFonts w:cstheme="minorHAnsi"/>
        </w:rPr>
        <w:t>The distribution of waste disposal sites across groundwater bodies further highlights the spatial variability of this pressure. While some areas show relatively low contributions, others exhibit locally elevated loads due to higher density of disposal sites. Importantly, even relatively small disposal sites may have a disproportionate impact if located in highly vulnerable recharge zones.</w:t>
      </w:r>
    </w:p>
    <w:p w14:paraId="4F73618B" w14:textId="77777777" w:rsidR="001D4721" w:rsidRPr="003108B4" w:rsidRDefault="001D4721" w:rsidP="003108B4">
      <w:pPr>
        <w:jc w:val="both"/>
        <w:rPr>
          <w:rFonts w:cstheme="minorHAnsi"/>
        </w:rPr>
      </w:pPr>
      <w:r w:rsidRPr="003108B4">
        <w:rPr>
          <w:rFonts w:cstheme="minorHAnsi"/>
        </w:rPr>
        <w:t>In addition to nutrient inputs, waste disposal sites represent a potential source of microbiological contamination and hazardous substances, further increasing the risk to groundwater quality. The presence of such sites within sanitary protection zones and their proximity to groundwater flow paths significantly increase the risk for drinking water sources.</w:t>
      </w:r>
    </w:p>
    <w:p w14:paraId="18720470" w14:textId="77777777" w:rsidR="001D4721" w:rsidRPr="003108B4" w:rsidRDefault="001D4721" w:rsidP="003108B4">
      <w:pPr>
        <w:jc w:val="both"/>
        <w:rPr>
          <w:rFonts w:cstheme="minorHAnsi"/>
        </w:rPr>
      </w:pPr>
      <w:r w:rsidRPr="003108B4">
        <w:rPr>
          <w:rFonts w:cstheme="minorHAnsi"/>
        </w:rPr>
        <w:t>Although, at the basin scale, the contribution of solid waste to total pollutant loads is lower compared to agriculture, but its local impact may be very high, particularly in sensitive karst recharge areas. This makes uncontrolled waste disposal a critical pressure requiring targeted management measures, including site remediation, improved waste management systems and strict control within groundwater protection zones.</w:t>
      </w:r>
    </w:p>
    <w:p w14:paraId="69210896" w14:textId="77777777" w:rsidR="001D4721" w:rsidRDefault="001D4721" w:rsidP="001D4721">
      <w:pPr>
        <w:spacing w:after="0"/>
        <w:jc w:val="both"/>
        <w:rPr>
          <w:rFonts w:asciiTheme="majorHAnsi" w:hAnsiTheme="majorHAnsi" w:cstheme="majorHAnsi"/>
        </w:rPr>
      </w:pPr>
    </w:p>
    <w:p w14:paraId="335362C5" w14:textId="51DBD38D" w:rsidR="001D4721" w:rsidRPr="003108B4" w:rsidRDefault="001D4721" w:rsidP="003108B4">
      <w:pPr>
        <w:pStyle w:val="Heading2"/>
        <w:rPr>
          <w:lang w:val="en-GB"/>
        </w:rPr>
      </w:pPr>
      <w:bookmarkStart w:id="25" w:name="_Toc229036164"/>
      <w:r w:rsidRPr="003108B4">
        <w:rPr>
          <w:lang w:val="en-GB"/>
        </w:rPr>
        <w:t>2.5 Tourism and seasonal pressures on groundwater and GWDE</w:t>
      </w:r>
      <w:bookmarkEnd w:id="25"/>
    </w:p>
    <w:p w14:paraId="3D3EDE86" w14:textId="5E216E18" w:rsidR="001D4721" w:rsidRPr="003108B4" w:rsidRDefault="001D4721" w:rsidP="003108B4">
      <w:pPr>
        <w:jc w:val="both"/>
        <w:rPr>
          <w:rFonts w:cstheme="minorHAnsi"/>
        </w:rPr>
      </w:pPr>
      <w:r w:rsidRPr="003108B4">
        <w:rPr>
          <w:rFonts w:cstheme="minorHAnsi"/>
        </w:rPr>
        <w:t>Tourism in Neretva TBA represents a seasonally concentrated but structurally relevant pressure on groundwater resources and groundwater-dependent ecosystems. Tourism activity is spatially concentrated in areas of high ecological and hydrological value, including karst lakes (Blue and Red Lake), waterfall systems (</w:t>
      </w:r>
      <w:proofErr w:type="spellStart"/>
      <w:r w:rsidRPr="003108B4">
        <w:rPr>
          <w:rFonts w:cstheme="minorHAnsi"/>
        </w:rPr>
        <w:t>Kravice</w:t>
      </w:r>
      <w:proofErr w:type="spellEnd"/>
      <w:r w:rsidRPr="003108B4">
        <w:rPr>
          <w:rFonts w:cstheme="minorHAnsi"/>
        </w:rPr>
        <w:t xml:space="preserve">), and zones of direct surface-groundwater interaction. </w:t>
      </w:r>
    </w:p>
    <w:p w14:paraId="2FEB8948" w14:textId="77777777" w:rsidR="001D4721" w:rsidRPr="003108B4" w:rsidRDefault="001D4721" w:rsidP="003108B4">
      <w:pPr>
        <w:jc w:val="both"/>
        <w:rPr>
          <w:rFonts w:cstheme="minorHAnsi"/>
        </w:rPr>
      </w:pPr>
      <w:r w:rsidRPr="003108B4">
        <w:rPr>
          <w:rFonts w:cstheme="minorHAnsi"/>
        </w:rPr>
        <w:t xml:space="preserve">Available estimates indicate that tourism-related groundwater abstraction within the TBA remains moderate in annual terms (approximately 0.3-0.5 million m³/year), but with localized peak increases of up to 30-40% during summer months. These peaks occur simultaneously with reduced groundwater recharge (dry season conditions), increased agricultural water demand, and intensified use of decentralized sanitation systems. </w:t>
      </w:r>
    </w:p>
    <w:p w14:paraId="79FE5762" w14:textId="657D6B43" w:rsidR="001D4721" w:rsidRPr="003108B4" w:rsidRDefault="001D4721" w:rsidP="003108B4">
      <w:pPr>
        <w:jc w:val="both"/>
        <w:rPr>
          <w:rFonts w:cstheme="minorHAnsi"/>
        </w:rPr>
      </w:pPr>
      <w:r w:rsidRPr="003108B4">
        <w:rPr>
          <w:rFonts w:cstheme="minorHAnsi"/>
        </w:rPr>
        <w:t xml:space="preserve">This temporal overlap creates cumulative stress conditions, particularly in already identified hotspots such as the Neretva </w:t>
      </w:r>
      <w:r w:rsidR="003108B4" w:rsidRPr="003108B4">
        <w:rPr>
          <w:rFonts w:cstheme="minorHAnsi"/>
        </w:rPr>
        <w:t>Delta</w:t>
      </w:r>
      <w:r w:rsidRPr="003108B4">
        <w:rPr>
          <w:rFonts w:cstheme="minorHAnsi"/>
        </w:rPr>
        <w:t xml:space="preserve">, </w:t>
      </w:r>
      <w:proofErr w:type="spellStart"/>
      <w:r w:rsidRPr="003108B4">
        <w:rPr>
          <w:rFonts w:cstheme="minorHAnsi"/>
        </w:rPr>
        <w:t>Ljubuško-Trebižat</w:t>
      </w:r>
      <w:proofErr w:type="spellEnd"/>
      <w:r w:rsidRPr="003108B4">
        <w:rPr>
          <w:rFonts w:cstheme="minorHAnsi"/>
        </w:rPr>
        <w:t xml:space="preserve"> system and recharge zones influencing the </w:t>
      </w:r>
      <w:proofErr w:type="spellStart"/>
      <w:r w:rsidRPr="003108B4">
        <w:rPr>
          <w:rFonts w:cstheme="minorHAnsi"/>
        </w:rPr>
        <w:t>Prud</w:t>
      </w:r>
      <w:proofErr w:type="spellEnd"/>
      <w:r w:rsidRPr="003108B4">
        <w:rPr>
          <w:rFonts w:cstheme="minorHAnsi"/>
        </w:rPr>
        <w:t xml:space="preserve"> spring.</w:t>
      </w:r>
    </w:p>
    <w:p w14:paraId="2D6B4EB4" w14:textId="4389737F" w:rsidR="001D4721" w:rsidRPr="003108B4" w:rsidRDefault="001D4721" w:rsidP="003108B4">
      <w:pPr>
        <w:jc w:val="both"/>
        <w:rPr>
          <w:rFonts w:cstheme="minorHAnsi"/>
        </w:rPr>
      </w:pPr>
      <w:r w:rsidRPr="003108B4">
        <w:rPr>
          <w:rFonts w:cstheme="minorHAnsi"/>
        </w:rPr>
        <w:lastRenderedPageBreak/>
        <w:t xml:space="preserve">Thus, a defining characteristic of tourism pressure in Neretva TBA is its strong temporal concentration combined with spatial clustering. On the Croatian side, pressures are linked to excursion-based tourism and seasonal return migration, especially around Imotski. On the Bosnia and Herzegovina side, tourism pressures are more localized but can be highly intensive in specific sites such as </w:t>
      </w:r>
      <w:proofErr w:type="spellStart"/>
      <w:r w:rsidRPr="003108B4">
        <w:rPr>
          <w:rFonts w:cstheme="minorHAnsi"/>
        </w:rPr>
        <w:t>Kravice</w:t>
      </w:r>
      <w:proofErr w:type="spellEnd"/>
      <w:r w:rsidRPr="003108B4">
        <w:rPr>
          <w:rFonts w:cstheme="minorHAnsi"/>
        </w:rPr>
        <w:t xml:space="preserve"> waterfalls.</w:t>
      </w:r>
    </w:p>
    <w:p w14:paraId="08B70BDD" w14:textId="76DEF931" w:rsidR="001D4721" w:rsidRPr="003108B4" w:rsidRDefault="001D4721" w:rsidP="003108B4">
      <w:pPr>
        <w:jc w:val="both"/>
        <w:rPr>
          <w:rFonts w:cstheme="minorHAnsi"/>
        </w:rPr>
      </w:pPr>
      <w:r w:rsidRPr="003108B4">
        <w:rPr>
          <w:rFonts w:cstheme="minorHAnsi"/>
        </w:rPr>
        <w:t xml:space="preserve">The most critical issue is not </w:t>
      </w:r>
      <w:r w:rsidR="003108B4">
        <w:rPr>
          <w:rFonts w:cstheme="minorHAnsi"/>
        </w:rPr>
        <w:t xml:space="preserve">an </w:t>
      </w:r>
      <w:r w:rsidRPr="003108B4">
        <w:rPr>
          <w:rFonts w:cstheme="minorHAnsi"/>
        </w:rPr>
        <w:t xml:space="preserve">abstraction itself, but wastewater generation and infrastructure performance during peak periods: </w:t>
      </w:r>
    </w:p>
    <w:p w14:paraId="714EC0CC" w14:textId="00C29C31" w:rsidR="001D4721" w:rsidRPr="003108B4" w:rsidRDefault="001D4721" w:rsidP="003108B4">
      <w:pPr>
        <w:pStyle w:val="ListParagraph"/>
        <w:numPr>
          <w:ilvl w:val="0"/>
          <w:numId w:val="170"/>
        </w:numPr>
        <w:jc w:val="both"/>
        <w:rPr>
          <w:rFonts w:cstheme="minorHAnsi"/>
        </w:rPr>
      </w:pPr>
      <w:r w:rsidRPr="003108B4">
        <w:rPr>
          <w:rFonts w:cstheme="minorHAnsi"/>
        </w:rPr>
        <w:t>wastewater systems in many locations operate close to or beyond capacity during summer</w:t>
      </w:r>
      <w:r w:rsidR="003108B4">
        <w:rPr>
          <w:rFonts w:cstheme="minorHAnsi"/>
        </w:rPr>
        <w:t>;</w:t>
      </w:r>
      <w:r w:rsidRPr="003108B4">
        <w:rPr>
          <w:rFonts w:cstheme="minorHAnsi"/>
        </w:rPr>
        <w:t xml:space="preserve"> </w:t>
      </w:r>
    </w:p>
    <w:p w14:paraId="30FFCA2F" w14:textId="293404AC" w:rsidR="003108B4" w:rsidRPr="003108B4" w:rsidRDefault="001D4721" w:rsidP="003108B4">
      <w:pPr>
        <w:pStyle w:val="ListParagraph"/>
        <w:numPr>
          <w:ilvl w:val="0"/>
          <w:numId w:val="170"/>
        </w:numPr>
        <w:jc w:val="both"/>
        <w:rPr>
          <w:rFonts w:cstheme="minorHAnsi"/>
        </w:rPr>
      </w:pPr>
      <w:r w:rsidRPr="003108B4">
        <w:rPr>
          <w:rFonts w:cstheme="minorHAnsi"/>
        </w:rPr>
        <w:t>coverage of centralized wastewater treatment remains limited, particularly in rural and tourism-adjacent zones</w:t>
      </w:r>
      <w:r w:rsidR="003108B4">
        <w:rPr>
          <w:rFonts w:cstheme="minorHAnsi"/>
        </w:rPr>
        <w:t>;</w:t>
      </w:r>
    </w:p>
    <w:p w14:paraId="4CBD5258" w14:textId="77777777" w:rsidR="001D4721" w:rsidRPr="003108B4" w:rsidRDefault="001D4721" w:rsidP="003108B4">
      <w:pPr>
        <w:pStyle w:val="ListParagraph"/>
        <w:numPr>
          <w:ilvl w:val="0"/>
          <w:numId w:val="170"/>
        </w:numPr>
        <w:jc w:val="both"/>
        <w:rPr>
          <w:rFonts w:cstheme="minorHAnsi"/>
        </w:rPr>
      </w:pPr>
      <w:r w:rsidRPr="003108B4">
        <w:rPr>
          <w:rFonts w:cstheme="minorHAnsi"/>
        </w:rPr>
        <w:t xml:space="preserve">a significant share of facilities relies on on-site sanitation systems (septic tanks, cesspits), often inadequately sealed or maintained. </w:t>
      </w:r>
    </w:p>
    <w:p w14:paraId="160CCC2B" w14:textId="77777777" w:rsidR="001D4721" w:rsidRPr="003108B4" w:rsidRDefault="001D4721" w:rsidP="003108B4">
      <w:pPr>
        <w:jc w:val="both"/>
        <w:rPr>
          <w:rFonts w:cstheme="minorHAnsi"/>
        </w:rPr>
      </w:pPr>
      <w:r w:rsidRPr="003108B4">
        <w:rPr>
          <w:rFonts w:cstheme="minorHAnsi"/>
        </w:rPr>
        <w:t xml:space="preserve">Tourism pressures therefore function as episodic, high-intensity events that interact with other dominant pressure pathways identified in the TBA, including diffuse agricultural pollution, decentralized sanitation systems, solid waste mismanagement and illegal dumping and gaps in monitoring and early warning systems. </w:t>
      </w:r>
    </w:p>
    <w:p w14:paraId="04014B11" w14:textId="4BA40FC1" w:rsidR="001D4721" w:rsidRPr="003108B4" w:rsidRDefault="001D4721" w:rsidP="003108B4">
      <w:pPr>
        <w:jc w:val="both"/>
        <w:rPr>
          <w:rFonts w:cstheme="minorHAnsi"/>
        </w:rPr>
      </w:pPr>
      <w:r w:rsidRPr="003108B4">
        <w:rPr>
          <w:rFonts w:cstheme="minorHAnsi"/>
        </w:rPr>
        <w:t>From a socio-economic perspective, tourism-related pressures in Neretva TBA can be summarised through the following key challenges:</w:t>
      </w:r>
    </w:p>
    <w:p w14:paraId="40A97C8E" w14:textId="0B159172" w:rsidR="001D4721" w:rsidRPr="003108B4" w:rsidRDefault="003108B4" w:rsidP="003108B4">
      <w:pPr>
        <w:pStyle w:val="ListParagraph"/>
        <w:numPr>
          <w:ilvl w:val="0"/>
          <w:numId w:val="171"/>
        </w:numPr>
        <w:jc w:val="both"/>
        <w:rPr>
          <w:rFonts w:cstheme="minorHAnsi"/>
        </w:rPr>
      </w:pPr>
      <w:r>
        <w:rPr>
          <w:rFonts w:cstheme="minorHAnsi"/>
        </w:rPr>
        <w:t>m</w:t>
      </w:r>
      <w:r w:rsidR="001D4721" w:rsidRPr="003108B4">
        <w:rPr>
          <w:rFonts w:cstheme="minorHAnsi"/>
        </w:rPr>
        <w:t>ismatch between seasonal demand and infrastructure capacity</w:t>
      </w:r>
      <w:r>
        <w:rPr>
          <w:rFonts w:cstheme="minorHAnsi"/>
        </w:rPr>
        <w:t>;</w:t>
      </w:r>
    </w:p>
    <w:p w14:paraId="411C21F6" w14:textId="55796840" w:rsidR="001D4721" w:rsidRPr="003108B4" w:rsidRDefault="003108B4" w:rsidP="003108B4">
      <w:pPr>
        <w:pStyle w:val="ListParagraph"/>
        <w:numPr>
          <w:ilvl w:val="0"/>
          <w:numId w:val="171"/>
        </w:numPr>
        <w:jc w:val="both"/>
        <w:rPr>
          <w:rFonts w:cstheme="minorHAnsi"/>
        </w:rPr>
      </w:pPr>
      <w:r>
        <w:rPr>
          <w:rFonts w:cstheme="minorHAnsi"/>
        </w:rPr>
        <w:t>s</w:t>
      </w:r>
      <w:r w:rsidR="001D4721" w:rsidRPr="003108B4">
        <w:rPr>
          <w:rFonts w:cstheme="minorHAnsi"/>
        </w:rPr>
        <w:t>tructural reliance on decentralized sanitation systems</w:t>
      </w:r>
      <w:r>
        <w:rPr>
          <w:rFonts w:cstheme="minorHAnsi"/>
        </w:rPr>
        <w:t>;</w:t>
      </w:r>
    </w:p>
    <w:p w14:paraId="6F4FB40E" w14:textId="2DA1550A" w:rsidR="001D4721" w:rsidRPr="003108B4" w:rsidRDefault="003108B4" w:rsidP="003108B4">
      <w:pPr>
        <w:pStyle w:val="ListParagraph"/>
        <w:numPr>
          <w:ilvl w:val="0"/>
          <w:numId w:val="171"/>
        </w:numPr>
        <w:jc w:val="both"/>
        <w:rPr>
          <w:rFonts w:cstheme="minorHAnsi"/>
        </w:rPr>
      </w:pPr>
      <w:r>
        <w:rPr>
          <w:rFonts w:cstheme="minorHAnsi"/>
        </w:rPr>
        <w:t>s</w:t>
      </w:r>
      <w:r w:rsidR="001D4721" w:rsidRPr="003108B4">
        <w:rPr>
          <w:rFonts w:cstheme="minorHAnsi"/>
        </w:rPr>
        <w:t xml:space="preserve">patial concentration of tourism in </w:t>
      </w:r>
      <w:proofErr w:type="spellStart"/>
      <w:r w:rsidR="001D4721" w:rsidRPr="003108B4">
        <w:rPr>
          <w:rFonts w:cstheme="minorHAnsi"/>
        </w:rPr>
        <w:t>hydrogeologically</w:t>
      </w:r>
      <w:proofErr w:type="spellEnd"/>
      <w:r w:rsidR="001D4721" w:rsidRPr="003108B4">
        <w:rPr>
          <w:rFonts w:cstheme="minorHAnsi"/>
        </w:rPr>
        <w:t xml:space="preserve"> sensitive areas</w:t>
      </w:r>
      <w:r>
        <w:rPr>
          <w:rFonts w:cstheme="minorHAnsi"/>
        </w:rPr>
        <w:t>;</w:t>
      </w:r>
    </w:p>
    <w:p w14:paraId="5FBB672F" w14:textId="6851A426" w:rsidR="001D4721" w:rsidRPr="003108B4" w:rsidRDefault="003108B4" w:rsidP="003108B4">
      <w:pPr>
        <w:pStyle w:val="ListParagraph"/>
        <w:numPr>
          <w:ilvl w:val="0"/>
          <w:numId w:val="171"/>
        </w:numPr>
        <w:jc w:val="both"/>
        <w:rPr>
          <w:rFonts w:cstheme="minorHAnsi"/>
        </w:rPr>
      </w:pPr>
      <w:r>
        <w:rPr>
          <w:rFonts w:cstheme="minorHAnsi"/>
        </w:rPr>
        <w:t>c</w:t>
      </w:r>
      <w:r w:rsidR="001D4721" w:rsidRPr="003108B4">
        <w:rPr>
          <w:rFonts w:cstheme="minorHAnsi"/>
        </w:rPr>
        <w:t>umulative interaction with other pressure sources (agricultural demand and existing sanitation pressures)</w:t>
      </w:r>
      <w:r>
        <w:rPr>
          <w:rFonts w:cstheme="minorHAnsi"/>
        </w:rPr>
        <w:t>;</w:t>
      </w:r>
    </w:p>
    <w:p w14:paraId="337257B5" w14:textId="1F132CAF" w:rsidR="001D4721" w:rsidRPr="003108B4" w:rsidRDefault="003108B4" w:rsidP="003108B4">
      <w:pPr>
        <w:pStyle w:val="ListParagraph"/>
        <w:numPr>
          <w:ilvl w:val="0"/>
          <w:numId w:val="171"/>
        </w:numPr>
        <w:jc w:val="both"/>
        <w:rPr>
          <w:rFonts w:cstheme="minorHAnsi"/>
        </w:rPr>
      </w:pPr>
      <w:r>
        <w:rPr>
          <w:rFonts w:cstheme="minorHAnsi"/>
        </w:rPr>
        <w:t>l</w:t>
      </w:r>
      <w:r w:rsidR="001D4721" w:rsidRPr="003108B4">
        <w:rPr>
          <w:rFonts w:cstheme="minorHAnsi"/>
        </w:rPr>
        <w:t>imited regulation and monitoring of seasonal activities</w:t>
      </w:r>
      <w:r>
        <w:rPr>
          <w:rFonts w:cstheme="minorHAnsi"/>
        </w:rPr>
        <w:t>;</w:t>
      </w:r>
    </w:p>
    <w:p w14:paraId="449B883B" w14:textId="7123451A" w:rsidR="001D4721" w:rsidRPr="003108B4" w:rsidRDefault="003108B4" w:rsidP="003108B4">
      <w:pPr>
        <w:pStyle w:val="ListParagraph"/>
        <w:numPr>
          <w:ilvl w:val="0"/>
          <w:numId w:val="171"/>
        </w:numPr>
        <w:jc w:val="both"/>
        <w:rPr>
          <w:rFonts w:cstheme="minorHAnsi"/>
        </w:rPr>
      </w:pPr>
      <w:r>
        <w:rPr>
          <w:rFonts w:cstheme="minorHAnsi"/>
        </w:rPr>
        <w:t>differences</w:t>
      </w:r>
      <w:r w:rsidR="001D4721" w:rsidRPr="003108B4">
        <w:rPr>
          <w:rFonts w:cstheme="minorHAnsi"/>
        </w:rPr>
        <w:t xml:space="preserve"> in local capacities and management practices (in infrastructure, governance capacity and enforcement between areas </w:t>
      </w:r>
      <w:r>
        <w:rPr>
          <w:rFonts w:cstheme="minorHAnsi"/>
        </w:rPr>
        <w:t>-</w:t>
      </w:r>
      <w:r w:rsidR="001D4721" w:rsidRPr="003108B4">
        <w:rPr>
          <w:rFonts w:cstheme="minorHAnsi"/>
        </w:rPr>
        <w:t xml:space="preserve"> uneven pressure generation but shared groundwater risks)</w:t>
      </w:r>
      <w:r>
        <w:rPr>
          <w:rFonts w:cstheme="minorHAnsi"/>
        </w:rPr>
        <w:t>;</w:t>
      </w:r>
    </w:p>
    <w:p w14:paraId="1DC6123B" w14:textId="711EE99C" w:rsidR="001D4721" w:rsidRPr="003108B4" w:rsidRDefault="003108B4" w:rsidP="003108B4">
      <w:pPr>
        <w:pStyle w:val="ListParagraph"/>
        <w:numPr>
          <w:ilvl w:val="0"/>
          <w:numId w:val="171"/>
        </w:numPr>
        <w:jc w:val="both"/>
        <w:rPr>
          <w:rFonts w:cstheme="minorHAnsi"/>
        </w:rPr>
      </w:pPr>
      <w:r>
        <w:rPr>
          <w:rFonts w:cstheme="minorHAnsi"/>
        </w:rPr>
        <w:t>i</w:t>
      </w:r>
      <w:r w:rsidR="001D4721" w:rsidRPr="003108B4">
        <w:rPr>
          <w:rFonts w:cstheme="minorHAnsi"/>
        </w:rPr>
        <w:t>nsufficient integration of tourism into groundwater management frameworks</w:t>
      </w:r>
      <w:r>
        <w:rPr>
          <w:rFonts w:cstheme="minorHAnsi"/>
        </w:rPr>
        <w:t>;</w:t>
      </w:r>
    </w:p>
    <w:p w14:paraId="3266311D" w14:textId="043BF43E" w:rsidR="001D4721" w:rsidRPr="003108B4" w:rsidRDefault="003108B4" w:rsidP="003108B4">
      <w:pPr>
        <w:pStyle w:val="ListParagraph"/>
        <w:numPr>
          <w:ilvl w:val="0"/>
          <w:numId w:val="171"/>
        </w:numPr>
        <w:jc w:val="both"/>
        <w:rPr>
          <w:rFonts w:cstheme="minorHAnsi"/>
        </w:rPr>
      </w:pPr>
      <w:r>
        <w:rPr>
          <w:rFonts w:cstheme="minorHAnsi"/>
        </w:rPr>
        <w:t>h</w:t>
      </w:r>
      <w:r w:rsidR="001D4721" w:rsidRPr="003108B4">
        <w:rPr>
          <w:rFonts w:cstheme="minorHAnsi"/>
        </w:rPr>
        <w:t>igh transboundary sensitivity of localized pressures.</w:t>
      </w:r>
    </w:p>
    <w:p w14:paraId="0FEB062A" w14:textId="009D882D" w:rsidR="001D4721" w:rsidRPr="003108B4" w:rsidRDefault="001D4721" w:rsidP="003108B4">
      <w:pPr>
        <w:jc w:val="both"/>
        <w:rPr>
          <w:rFonts w:cstheme="minorHAnsi"/>
        </w:rPr>
      </w:pPr>
      <w:r w:rsidRPr="003108B4">
        <w:rPr>
          <w:rFonts w:cstheme="minorHAnsi"/>
        </w:rPr>
        <w:t>From a transboundary perspective, tourism-related pressures are synchronized across the aquifer system, as peak demand periods occur simultaneously on both sides of the border. Within the J</w:t>
      </w:r>
      <w:r w:rsidR="00C82A48">
        <w:rPr>
          <w:rFonts w:cstheme="minorHAnsi"/>
        </w:rPr>
        <w:t>oint Action Programme</w:t>
      </w:r>
      <w:r w:rsidRPr="003108B4">
        <w:rPr>
          <w:rFonts w:cstheme="minorHAnsi"/>
        </w:rPr>
        <w:t xml:space="preserve"> framework, tourism must therefore be addressed through targeted, operational measures that reflect its temporal and spatial characteristics. Priority directions include:</w:t>
      </w:r>
    </w:p>
    <w:p w14:paraId="4658319B" w14:textId="77777777" w:rsidR="001D4721" w:rsidRPr="003108B4" w:rsidRDefault="001D4721" w:rsidP="003108B4">
      <w:pPr>
        <w:pStyle w:val="ListParagraph"/>
        <w:numPr>
          <w:ilvl w:val="0"/>
          <w:numId w:val="172"/>
        </w:numPr>
        <w:jc w:val="both"/>
        <w:rPr>
          <w:rFonts w:cstheme="minorHAnsi"/>
        </w:rPr>
      </w:pPr>
      <w:r w:rsidRPr="003108B4">
        <w:rPr>
          <w:rFonts w:cstheme="minorHAnsi"/>
        </w:rPr>
        <w:t xml:space="preserve">improving seasonal demand management, particularly during peak summer months; </w:t>
      </w:r>
    </w:p>
    <w:p w14:paraId="4073D190" w14:textId="77777777" w:rsidR="001D4721" w:rsidRPr="003108B4" w:rsidRDefault="001D4721" w:rsidP="003108B4">
      <w:pPr>
        <w:pStyle w:val="ListParagraph"/>
        <w:numPr>
          <w:ilvl w:val="0"/>
          <w:numId w:val="172"/>
        </w:numPr>
        <w:jc w:val="both"/>
        <w:rPr>
          <w:rFonts w:cstheme="minorHAnsi"/>
        </w:rPr>
      </w:pPr>
      <w:r w:rsidRPr="003108B4">
        <w:rPr>
          <w:rFonts w:cstheme="minorHAnsi"/>
        </w:rPr>
        <w:t xml:space="preserve">upgrading and expanding wastewater collection and treatment capacity in tourism hotspots; </w:t>
      </w:r>
    </w:p>
    <w:p w14:paraId="363B5B61" w14:textId="77777777" w:rsidR="001D4721" w:rsidRPr="003108B4" w:rsidRDefault="001D4721" w:rsidP="003108B4">
      <w:pPr>
        <w:pStyle w:val="ListParagraph"/>
        <w:numPr>
          <w:ilvl w:val="0"/>
          <w:numId w:val="172"/>
        </w:numPr>
        <w:jc w:val="both"/>
        <w:rPr>
          <w:rFonts w:cstheme="minorHAnsi"/>
        </w:rPr>
      </w:pPr>
      <w:r w:rsidRPr="003108B4">
        <w:rPr>
          <w:rFonts w:cstheme="minorHAnsi"/>
        </w:rPr>
        <w:t xml:space="preserve">strengthening control and regulation of decentralized sanitation systems; </w:t>
      </w:r>
    </w:p>
    <w:p w14:paraId="1E2D5874" w14:textId="77777777" w:rsidR="001D4721" w:rsidRPr="003108B4" w:rsidRDefault="001D4721" w:rsidP="003108B4">
      <w:pPr>
        <w:pStyle w:val="ListParagraph"/>
        <w:numPr>
          <w:ilvl w:val="0"/>
          <w:numId w:val="172"/>
        </w:numPr>
        <w:jc w:val="both"/>
        <w:rPr>
          <w:rFonts w:cstheme="minorHAnsi"/>
        </w:rPr>
      </w:pPr>
      <w:r w:rsidRPr="003108B4">
        <w:rPr>
          <w:rFonts w:cstheme="minorHAnsi"/>
        </w:rPr>
        <w:t xml:space="preserve">protecting vulnerable recharge zones and GWDE sites exposed to tourism activities; </w:t>
      </w:r>
    </w:p>
    <w:p w14:paraId="43966BF8" w14:textId="3A7A1CCF" w:rsidR="001D4721" w:rsidRPr="003108B4" w:rsidRDefault="001D4721" w:rsidP="003108B4">
      <w:pPr>
        <w:pStyle w:val="ListParagraph"/>
        <w:numPr>
          <w:ilvl w:val="0"/>
          <w:numId w:val="172"/>
        </w:numPr>
        <w:jc w:val="both"/>
        <w:rPr>
          <w:rFonts w:cstheme="minorHAnsi"/>
        </w:rPr>
      </w:pPr>
      <w:r w:rsidRPr="003108B4">
        <w:rPr>
          <w:rFonts w:cstheme="minorHAnsi"/>
        </w:rPr>
        <w:lastRenderedPageBreak/>
        <w:t xml:space="preserve">integrating tourism-related pressures into monitoring frameworks, with emphasis on seasonal variability and peak-load conditions. </w:t>
      </w:r>
    </w:p>
    <w:p w14:paraId="5DF4C4D4" w14:textId="172B2D88" w:rsidR="001D4721" w:rsidRPr="00C82A48" w:rsidRDefault="001D4721" w:rsidP="00C82A48">
      <w:pPr>
        <w:jc w:val="both"/>
        <w:rPr>
          <w:rFonts w:cstheme="minorHAnsi"/>
        </w:rPr>
      </w:pPr>
      <w:r w:rsidRPr="003108B4">
        <w:rPr>
          <w:rFonts w:cstheme="minorHAnsi"/>
        </w:rPr>
        <w:t>Tourism in Neretva TBA is thus not a primary driver of groundwater stress in volumetric terms, but a critical modifier of system behaviour, whose significance lies in its timing, spatial concentration and interaction with other pressures.</w:t>
      </w:r>
    </w:p>
    <w:p w14:paraId="122FDF98" w14:textId="116A67E3" w:rsidR="001D4721" w:rsidRDefault="0085370F" w:rsidP="0085370F">
      <w:pPr>
        <w:pStyle w:val="Caption"/>
        <w:rPr>
          <w:rFonts w:eastAsia="Times New Roman" w:cstheme="minorHAnsi"/>
          <w:i w:val="0"/>
          <w:iCs w:val="0"/>
          <w:sz w:val="20"/>
          <w:szCs w:val="20"/>
          <w:lang w:eastAsia="en-GB"/>
        </w:rPr>
      </w:pPr>
      <w:bookmarkStart w:id="26" w:name="_Toc229037723"/>
      <w:r>
        <w:t xml:space="preserve">Table </w:t>
      </w:r>
      <w:r>
        <w:fldChar w:fldCharType="begin"/>
      </w:r>
      <w:r>
        <w:instrText xml:space="preserve"> SEQ Table \* ARABIC </w:instrText>
      </w:r>
      <w:r>
        <w:fldChar w:fldCharType="separate"/>
      </w:r>
      <w:r w:rsidR="002F4776">
        <w:rPr>
          <w:noProof/>
        </w:rPr>
        <w:t>1</w:t>
      </w:r>
      <w:r>
        <w:fldChar w:fldCharType="end"/>
      </w:r>
      <w:r>
        <w:t xml:space="preserve"> </w:t>
      </w:r>
      <w:r w:rsidRPr="00C814F7">
        <w:t>Key characteristics of tourism-related pressures in Neretva TBA</w:t>
      </w:r>
      <w:bookmarkEnd w:id="26"/>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2185"/>
        <w:gridCol w:w="3447"/>
        <w:gridCol w:w="2978"/>
      </w:tblGrid>
      <w:tr w:rsidR="001D4721" w:rsidRPr="00CB5022" w14:paraId="6EE49538" w14:textId="77777777" w:rsidTr="009919F2">
        <w:tc>
          <w:tcPr>
            <w:tcW w:w="0" w:type="auto"/>
            <w:shd w:val="clear" w:color="auto" w:fill="B4C6E7"/>
            <w:hideMark/>
          </w:tcPr>
          <w:p w14:paraId="51A1973F" w14:textId="77777777" w:rsidR="001D4721" w:rsidRPr="00CB5022" w:rsidRDefault="001D4721" w:rsidP="009919F2">
            <w:pPr>
              <w:jc w:val="center"/>
              <w:rPr>
                <w:rFonts w:eastAsia="Times New Roman" w:cstheme="minorHAnsi"/>
                <w:b/>
                <w:bCs/>
                <w:sz w:val="16"/>
                <w:szCs w:val="16"/>
                <w:lang w:eastAsia="en-GB"/>
              </w:rPr>
            </w:pPr>
            <w:r w:rsidRPr="00CB5022">
              <w:rPr>
                <w:rFonts w:eastAsia="Times New Roman" w:cstheme="minorHAnsi"/>
                <w:b/>
                <w:bCs/>
                <w:sz w:val="16"/>
                <w:szCs w:val="16"/>
                <w:lang w:eastAsia="en-GB"/>
              </w:rPr>
              <w:t>Aspect</w:t>
            </w:r>
          </w:p>
        </w:tc>
        <w:tc>
          <w:tcPr>
            <w:tcW w:w="0" w:type="auto"/>
            <w:shd w:val="clear" w:color="auto" w:fill="B4C6E7"/>
            <w:hideMark/>
          </w:tcPr>
          <w:p w14:paraId="3F341B3C" w14:textId="77777777" w:rsidR="001D4721" w:rsidRPr="00CB5022" w:rsidRDefault="001D4721" w:rsidP="009919F2">
            <w:pPr>
              <w:jc w:val="center"/>
              <w:rPr>
                <w:rFonts w:eastAsia="Times New Roman" w:cstheme="minorHAnsi"/>
                <w:b/>
                <w:bCs/>
                <w:sz w:val="16"/>
                <w:szCs w:val="16"/>
                <w:lang w:eastAsia="en-GB"/>
              </w:rPr>
            </w:pPr>
            <w:r w:rsidRPr="00CB5022">
              <w:rPr>
                <w:rFonts w:eastAsia="Times New Roman" w:cstheme="minorHAnsi"/>
                <w:b/>
                <w:bCs/>
                <w:sz w:val="16"/>
                <w:szCs w:val="16"/>
                <w:lang w:eastAsia="en-GB"/>
              </w:rPr>
              <w:t>Key characteristic</w:t>
            </w:r>
          </w:p>
        </w:tc>
        <w:tc>
          <w:tcPr>
            <w:tcW w:w="0" w:type="auto"/>
            <w:shd w:val="clear" w:color="auto" w:fill="B4C6E7"/>
            <w:hideMark/>
          </w:tcPr>
          <w:p w14:paraId="4D05B459" w14:textId="77777777" w:rsidR="001D4721" w:rsidRPr="00CB5022" w:rsidRDefault="001D4721" w:rsidP="009919F2">
            <w:pPr>
              <w:jc w:val="center"/>
              <w:rPr>
                <w:rFonts w:eastAsia="Times New Roman" w:cstheme="minorHAnsi"/>
                <w:b/>
                <w:bCs/>
                <w:sz w:val="16"/>
                <w:szCs w:val="16"/>
                <w:lang w:eastAsia="en-GB"/>
              </w:rPr>
            </w:pPr>
            <w:r w:rsidRPr="00CB5022">
              <w:rPr>
                <w:rFonts w:eastAsia="Times New Roman" w:cstheme="minorHAnsi"/>
                <w:b/>
                <w:bCs/>
                <w:sz w:val="16"/>
                <w:szCs w:val="16"/>
                <w:lang w:eastAsia="en-GB"/>
              </w:rPr>
              <w:t>Implication for groundwater</w:t>
            </w:r>
          </w:p>
        </w:tc>
      </w:tr>
      <w:tr w:rsidR="001D4721" w:rsidRPr="00CB5022" w14:paraId="38DAC1C9" w14:textId="77777777" w:rsidTr="009919F2">
        <w:tc>
          <w:tcPr>
            <w:tcW w:w="0" w:type="auto"/>
            <w:hideMark/>
          </w:tcPr>
          <w:p w14:paraId="523D6BD8"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Temporal pattern</w:t>
            </w:r>
          </w:p>
        </w:tc>
        <w:tc>
          <w:tcPr>
            <w:tcW w:w="0" w:type="auto"/>
            <w:hideMark/>
          </w:tcPr>
          <w:p w14:paraId="195F29E5"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Strongly seasonal (summer peaks)</w:t>
            </w:r>
          </w:p>
        </w:tc>
        <w:tc>
          <w:tcPr>
            <w:tcW w:w="0" w:type="auto"/>
            <w:hideMark/>
          </w:tcPr>
          <w:p w14:paraId="72D6E34C"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Coincides with low recharge and high demand</w:t>
            </w:r>
          </w:p>
        </w:tc>
      </w:tr>
      <w:tr w:rsidR="001D4721" w:rsidRPr="00CB5022" w14:paraId="387DF58B" w14:textId="77777777" w:rsidTr="009919F2">
        <w:tc>
          <w:tcPr>
            <w:tcW w:w="0" w:type="auto"/>
            <w:hideMark/>
          </w:tcPr>
          <w:p w14:paraId="3B491A81"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Abstraction</w:t>
            </w:r>
          </w:p>
        </w:tc>
        <w:tc>
          <w:tcPr>
            <w:tcW w:w="0" w:type="auto"/>
            <w:hideMark/>
          </w:tcPr>
          <w:p w14:paraId="7E8AA292"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0.3–0.5 million m³/year; local peaks +30–40%</w:t>
            </w:r>
          </w:p>
        </w:tc>
        <w:tc>
          <w:tcPr>
            <w:tcW w:w="0" w:type="auto"/>
            <w:hideMark/>
          </w:tcPr>
          <w:p w14:paraId="278BC7D5"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Localized quantitative stress</w:t>
            </w:r>
          </w:p>
        </w:tc>
      </w:tr>
      <w:tr w:rsidR="001D4721" w:rsidRPr="00CB5022" w14:paraId="231A950E" w14:textId="77777777" w:rsidTr="009919F2">
        <w:tc>
          <w:tcPr>
            <w:tcW w:w="0" w:type="auto"/>
            <w:hideMark/>
          </w:tcPr>
          <w:p w14:paraId="5341B40E"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Spatial distribution</w:t>
            </w:r>
          </w:p>
        </w:tc>
        <w:tc>
          <w:tcPr>
            <w:tcW w:w="0" w:type="auto"/>
            <w:hideMark/>
          </w:tcPr>
          <w:p w14:paraId="1AA55FC5"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Concentrated in karst-sensitive zones</w:t>
            </w:r>
          </w:p>
        </w:tc>
        <w:tc>
          <w:tcPr>
            <w:tcW w:w="0" w:type="auto"/>
            <w:hideMark/>
          </w:tcPr>
          <w:p w14:paraId="5557C482"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High vulnerability to contamination</w:t>
            </w:r>
          </w:p>
        </w:tc>
      </w:tr>
      <w:tr w:rsidR="001D4721" w:rsidRPr="00CB5022" w14:paraId="5D4AA79E" w14:textId="77777777" w:rsidTr="009919F2">
        <w:tc>
          <w:tcPr>
            <w:tcW w:w="0" w:type="auto"/>
            <w:hideMark/>
          </w:tcPr>
          <w:p w14:paraId="4DD50E28"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Wastewater</w:t>
            </w:r>
          </w:p>
        </w:tc>
        <w:tc>
          <w:tcPr>
            <w:tcW w:w="0" w:type="auto"/>
            <w:hideMark/>
          </w:tcPr>
          <w:p w14:paraId="018CE6BB"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Limited treatment capacity; reliance on septic systems</w:t>
            </w:r>
          </w:p>
        </w:tc>
        <w:tc>
          <w:tcPr>
            <w:tcW w:w="0" w:type="auto"/>
            <w:hideMark/>
          </w:tcPr>
          <w:p w14:paraId="157C5161"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Direct risk to groundwater quality</w:t>
            </w:r>
          </w:p>
        </w:tc>
      </w:tr>
      <w:tr w:rsidR="001D4721" w:rsidRPr="00CB5022" w14:paraId="5878D1F2" w14:textId="77777777" w:rsidTr="009919F2">
        <w:tc>
          <w:tcPr>
            <w:tcW w:w="0" w:type="auto"/>
            <w:hideMark/>
          </w:tcPr>
          <w:p w14:paraId="140D3247"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Transboundary dimension</w:t>
            </w:r>
          </w:p>
        </w:tc>
        <w:tc>
          <w:tcPr>
            <w:tcW w:w="0" w:type="auto"/>
            <w:hideMark/>
          </w:tcPr>
          <w:p w14:paraId="594E8FBB"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Synchronized peaks HR–BiH</w:t>
            </w:r>
          </w:p>
        </w:tc>
        <w:tc>
          <w:tcPr>
            <w:tcW w:w="0" w:type="auto"/>
            <w:hideMark/>
          </w:tcPr>
          <w:p w14:paraId="35ECCCC7"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Shared aquifer impacts</w:t>
            </w:r>
          </w:p>
        </w:tc>
      </w:tr>
      <w:tr w:rsidR="001D4721" w:rsidRPr="00CB5022" w14:paraId="1D0395CC" w14:textId="77777777" w:rsidTr="009919F2">
        <w:tc>
          <w:tcPr>
            <w:tcW w:w="0" w:type="auto"/>
            <w:hideMark/>
          </w:tcPr>
          <w:p w14:paraId="2E1B2115"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Interaction with other pressures</w:t>
            </w:r>
          </w:p>
        </w:tc>
        <w:tc>
          <w:tcPr>
            <w:tcW w:w="0" w:type="auto"/>
            <w:hideMark/>
          </w:tcPr>
          <w:p w14:paraId="61D0F93F"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Agriculture, sanitation, waste</w:t>
            </w:r>
          </w:p>
        </w:tc>
        <w:tc>
          <w:tcPr>
            <w:tcW w:w="0" w:type="auto"/>
            <w:hideMark/>
          </w:tcPr>
          <w:p w14:paraId="28F6BED4" w14:textId="77777777" w:rsidR="001D4721" w:rsidRPr="00CB5022" w:rsidRDefault="001D4721" w:rsidP="009919F2">
            <w:pPr>
              <w:rPr>
                <w:rFonts w:eastAsia="Times New Roman" w:cstheme="minorHAnsi"/>
                <w:sz w:val="16"/>
                <w:szCs w:val="16"/>
                <w:lang w:eastAsia="en-GB"/>
              </w:rPr>
            </w:pPr>
            <w:r w:rsidRPr="00CB5022">
              <w:rPr>
                <w:rFonts w:eastAsia="Times New Roman" w:cstheme="minorHAnsi"/>
                <w:sz w:val="16"/>
                <w:szCs w:val="16"/>
                <w:lang w:eastAsia="en-GB"/>
              </w:rPr>
              <w:t>Cumulative stress amplification</w:t>
            </w:r>
          </w:p>
        </w:tc>
      </w:tr>
    </w:tbl>
    <w:p w14:paraId="2D96713A" w14:textId="77777777" w:rsidR="001D4721" w:rsidRPr="003255B1" w:rsidRDefault="001D4721" w:rsidP="001D4721">
      <w:pPr>
        <w:spacing w:after="0"/>
        <w:jc w:val="both"/>
        <w:rPr>
          <w:rFonts w:asciiTheme="majorHAnsi" w:hAnsiTheme="majorHAnsi" w:cstheme="majorHAnsi"/>
        </w:rPr>
      </w:pPr>
    </w:p>
    <w:p w14:paraId="7F8287CC" w14:textId="77777777" w:rsidR="001D4721" w:rsidRPr="005D07A5" w:rsidRDefault="001D4721" w:rsidP="001D4721">
      <w:pPr>
        <w:spacing w:after="0"/>
        <w:jc w:val="both"/>
        <w:rPr>
          <w:rFonts w:asciiTheme="majorHAnsi" w:hAnsiTheme="majorHAnsi" w:cstheme="majorHAnsi"/>
        </w:rPr>
      </w:pPr>
    </w:p>
    <w:p w14:paraId="2438E966" w14:textId="0649C63F" w:rsidR="001D4721" w:rsidRPr="00C82A48" w:rsidRDefault="001D4721" w:rsidP="00C82A48">
      <w:pPr>
        <w:pStyle w:val="Heading2"/>
        <w:rPr>
          <w:lang w:val="en-GB"/>
        </w:rPr>
      </w:pPr>
      <w:bookmarkStart w:id="27" w:name="_Toc229036165"/>
      <w:bookmarkEnd w:id="20"/>
      <w:r w:rsidRPr="00C82A48">
        <w:rPr>
          <w:lang w:val="en-GB"/>
        </w:rPr>
        <w:t>2.6 Monitoring gaps and lack of harmonised methodologies (nitrates and pesticides)</w:t>
      </w:r>
      <w:bookmarkEnd w:id="27"/>
    </w:p>
    <w:p w14:paraId="365EBF6D" w14:textId="49151C94" w:rsidR="001D4721" w:rsidRPr="00C82A48" w:rsidRDefault="001D4721" w:rsidP="00C82A48">
      <w:pPr>
        <w:jc w:val="both"/>
        <w:rPr>
          <w:rFonts w:cstheme="minorHAnsi"/>
        </w:rPr>
      </w:pPr>
      <w:r w:rsidRPr="00C82A48">
        <w:rPr>
          <w:rFonts w:cstheme="minorHAnsi"/>
        </w:rPr>
        <w:t xml:space="preserve">Groundwater quality monitoring in TBA Neretva is formally established within the </w:t>
      </w:r>
      <w:r w:rsidR="00C82A48">
        <w:rPr>
          <w:rFonts w:cstheme="minorHAnsi"/>
        </w:rPr>
        <w:t>r</w:t>
      </w:r>
      <w:r w:rsidRPr="00C82A48">
        <w:rPr>
          <w:rFonts w:cstheme="minorHAnsi"/>
        </w:rPr>
        <w:t xml:space="preserve">iver </w:t>
      </w:r>
      <w:r w:rsidR="00C82A48">
        <w:rPr>
          <w:rFonts w:cstheme="minorHAnsi"/>
        </w:rPr>
        <w:t>b</w:t>
      </w:r>
      <w:r w:rsidRPr="00C82A48">
        <w:rPr>
          <w:rFonts w:cstheme="minorHAnsi"/>
        </w:rPr>
        <w:t xml:space="preserve">asin </w:t>
      </w:r>
      <w:r w:rsidR="00C82A48">
        <w:rPr>
          <w:rFonts w:cstheme="minorHAnsi"/>
        </w:rPr>
        <w:t>m</w:t>
      </w:r>
      <w:r w:rsidRPr="00C82A48">
        <w:rPr>
          <w:rFonts w:cstheme="minorHAnsi"/>
        </w:rPr>
        <w:t xml:space="preserve">anagement </w:t>
      </w:r>
      <w:r w:rsidR="00C82A48">
        <w:rPr>
          <w:rFonts w:cstheme="minorHAnsi"/>
        </w:rPr>
        <w:t>p</w:t>
      </w:r>
      <w:r w:rsidRPr="00C82A48">
        <w:rPr>
          <w:rFonts w:cstheme="minorHAnsi"/>
        </w:rPr>
        <w:t>lan</w:t>
      </w:r>
      <w:r w:rsidR="00C82A48">
        <w:rPr>
          <w:rFonts w:cstheme="minorHAnsi"/>
        </w:rPr>
        <w:t>s of both countries</w:t>
      </w:r>
      <w:r w:rsidRPr="00C82A48">
        <w:rPr>
          <w:rFonts w:cstheme="minorHAnsi"/>
        </w:rPr>
        <w:t xml:space="preserve">, but remains limited in terms of spatial coverage, continuity of data and methodological consistency. These limitations are particularly relevant in karst areas such as </w:t>
      </w:r>
      <w:proofErr w:type="spellStart"/>
      <w:r w:rsidRPr="00C82A48">
        <w:rPr>
          <w:rFonts w:cstheme="minorHAnsi"/>
        </w:rPr>
        <w:t>Ljubuško</w:t>
      </w:r>
      <w:proofErr w:type="spellEnd"/>
      <w:r w:rsidRPr="00C82A48">
        <w:rPr>
          <w:rFonts w:cstheme="minorHAnsi"/>
        </w:rPr>
        <w:t xml:space="preserve"> polje and the wider recharge zones of the </w:t>
      </w:r>
      <w:proofErr w:type="spellStart"/>
      <w:r w:rsidRPr="00C82A48">
        <w:rPr>
          <w:rFonts w:cstheme="minorHAnsi"/>
        </w:rPr>
        <w:t>Prud</w:t>
      </w:r>
      <w:proofErr w:type="spellEnd"/>
      <w:r w:rsidRPr="00C82A48">
        <w:rPr>
          <w:rFonts w:cstheme="minorHAnsi"/>
        </w:rPr>
        <w:t xml:space="preserve"> spring, where hydrogeological conditions require more detailed and adapted monitoring approaches.</w:t>
      </w:r>
    </w:p>
    <w:p w14:paraId="6BE29C7A" w14:textId="77777777" w:rsidR="001D4721" w:rsidRPr="00C82A48" w:rsidRDefault="001D4721" w:rsidP="00C82A48">
      <w:pPr>
        <w:jc w:val="both"/>
        <w:rPr>
          <w:rFonts w:cstheme="minorHAnsi"/>
        </w:rPr>
      </w:pPr>
      <w:r w:rsidRPr="00C82A48">
        <w:rPr>
          <w:rFonts w:cstheme="minorHAnsi"/>
        </w:rPr>
        <w:t>A key issue is the insufficient density and distribution of monitoring stations. Due to rapid groundwater flow, strong connectivity between surface and subsurface systems and the presence of preferential flow paths, standard monitoring networks cannot adequately capture contaminant transport. This is especially relevant for recharge zones, where inputs from agriculture and settlements are most significant.</w:t>
      </w:r>
    </w:p>
    <w:p w14:paraId="6F99D307" w14:textId="77777777" w:rsidR="001D4721" w:rsidRPr="00C82A48" w:rsidRDefault="001D4721" w:rsidP="00C82A48">
      <w:pPr>
        <w:jc w:val="both"/>
        <w:rPr>
          <w:rFonts w:cstheme="minorHAnsi"/>
        </w:rPr>
      </w:pPr>
      <w:r w:rsidRPr="00C82A48">
        <w:rPr>
          <w:rFonts w:cstheme="minorHAnsi"/>
        </w:rPr>
        <w:t xml:space="preserve">Another important limitation is the discontinuity and relatively short duration of monitoring data series. Available hydrological and </w:t>
      </w:r>
      <w:proofErr w:type="spellStart"/>
      <w:r w:rsidRPr="00C82A48">
        <w:rPr>
          <w:rFonts w:cstheme="minorHAnsi"/>
        </w:rPr>
        <w:t>hydrochemical</w:t>
      </w:r>
      <w:proofErr w:type="spellEnd"/>
      <w:r w:rsidRPr="00C82A48">
        <w:rPr>
          <w:rFonts w:cstheme="minorHAnsi"/>
        </w:rPr>
        <w:t xml:space="preserve"> data are often incomplete due to interruptions in measurements, which reduces the reliability of long-term trend analysis and limits the assessment of interactions between surface water and groundwater systems. This is particularly evident in the </w:t>
      </w:r>
      <w:proofErr w:type="spellStart"/>
      <w:r w:rsidRPr="00C82A48">
        <w:rPr>
          <w:rFonts w:cstheme="minorHAnsi"/>
        </w:rPr>
        <w:t>Trebižat</w:t>
      </w:r>
      <w:proofErr w:type="spellEnd"/>
      <w:r w:rsidRPr="00C82A48">
        <w:rPr>
          <w:rFonts w:cstheme="minorHAnsi"/>
        </w:rPr>
        <w:t>–</w:t>
      </w:r>
      <w:proofErr w:type="spellStart"/>
      <w:r w:rsidRPr="00C82A48">
        <w:rPr>
          <w:rFonts w:cstheme="minorHAnsi"/>
        </w:rPr>
        <w:t>Prud</w:t>
      </w:r>
      <w:proofErr w:type="spellEnd"/>
      <w:r w:rsidRPr="00C82A48">
        <w:rPr>
          <w:rFonts w:cstheme="minorHAnsi"/>
        </w:rPr>
        <w:t xml:space="preserve"> system, where additional measurements of flows and losses along the river are required to better understand groundwater recharge and transport processes.</w:t>
      </w:r>
    </w:p>
    <w:p w14:paraId="7B41A428" w14:textId="77777777" w:rsidR="001D4721" w:rsidRPr="00C82A48" w:rsidRDefault="001D4721" w:rsidP="00C82A48">
      <w:pPr>
        <w:jc w:val="both"/>
        <w:rPr>
          <w:rFonts w:cstheme="minorHAnsi"/>
        </w:rPr>
      </w:pPr>
      <w:r w:rsidRPr="00C82A48">
        <w:rPr>
          <w:rFonts w:cstheme="minorHAnsi"/>
        </w:rPr>
        <w:t>Nitrate monitoring is generally included in standard programmes and is assessed through total nitrogen (TN). Existing results indicate relatively low and stable concentrations, but such data may not fully reflect short-term variations caused by rapid infiltration and event-based transport typical of karst systems. In contrast, monitoring of pesticides remains limited, especially regarding specific active substances used in local agricultural practices, which represents a significant gap in the current system.</w:t>
      </w:r>
    </w:p>
    <w:p w14:paraId="20439309" w14:textId="49F63E18" w:rsidR="001D4721" w:rsidRPr="00C82A48" w:rsidRDefault="001D4721" w:rsidP="00C82A48">
      <w:pPr>
        <w:jc w:val="both"/>
        <w:rPr>
          <w:rFonts w:cstheme="minorHAnsi"/>
        </w:rPr>
      </w:pPr>
      <w:r w:rsidRPr="00C82A48">
        <w:rPr>
          <w:rFonts w:cstheme="minorHAnsi"/>
        </w:rPr>
        <w:lastRenderedPageBreak/>
        <w:t>Differences in monitoring approaches between institutions further reduce data comparability. Variations in sampling frequency, analytical methods, parameter selection and data processing hinder the integration of results at the basin scale. This issue is particularly important in a transboundary aquifer as Neretva TBA.</w:t>
      </w:r>
    </w:p>
    <w:p w14:paraId="5B6C8786" w14:textId="77777777" w:rsidR="001D4721" w:rsidRPr="00C82A48" w:rsidRDefault="001D4721" w:rsidP="00C82A48">
      <w:pPr>
        <w:jc w:val="both"/>
        <w:rPr>
          <w:rFonts w:cstheme="minorHAnsi"/>
        </w:rPr>
      </w:pPr>
      <w:r w:rsidRPr="00C82A48">
        <w:rPr>
          <w:rFonts w:cstheme="minorHAnsi"/>
        </w:rPr>
        <w:t xml:space="preserve">Current monitoring is largely based on periodic sampling (monthly or seasonal), which is not sufficient to capture short-term changes in water quality. Contamination pulses related to rainfall </w:t>
      </w:r>
      <w:proofErr w:type="gramStart"/>
      <w:r w:rsidRPr="00C82A48">
        <w:rPr>
          <w:rFonts w:cstheme="minorHAnsi"/>
        </w:rPr>
        <w:t>events,</w:t>
      </w:r>
      <w:proofErr w:type="gramEnd"/>
      <w:r w:rsidRPr="00C82A48">
        <w:rPr>
          <w:rFonts w:cstheme="minorHAnsi"/>
        </w:rPr>
        <w:t xml:space="preserve"> flooding of karst poljes and rapid infiltration processes may therefore remain undetected.</w:t>
      </w:r>
    </w:p>
    <w:p w14:paraId="6D9815EA" w14:textId="02636945" w:rsidR="001D4721" w:rsidRPr="00C82A48" w:rsidRDefault="001D4721" w:rsidP="00C82A48">
      <w:pPr>
        <w:jc w:val="both"/>
        <w:rPr>
          <w:rFonts w:cstheme="minorHAnsi"/>
        </w:rPr>
      </w:pPr>
      <w:r w:rsidRPr="00C82A48">
        <w:rPr>
          <w:rFonts w:cstheme="minorHAnsi"/>
        </w:rPr>
        <w:t>The use of advanced monitoring methods is also limited. Continuous measurements using automatic loggers, tracer tests, integrated surface</w:t>
      </w:r>
      <w:r w:rsidR="00C82A48">
        <w:rPr>
          <w:rFonts w:cstheme="minorHAnsi"/>
        </w:rPr>
        <w:t>-</w:t>
      </w:r>
      <w:r w:rsidRPr="00C82A48">
        <w:rPr>
          <w:rFonts w:cstheme="minorHAnsi"/>
        </w:rPr>
        <w:t xml:space="preserve">groundwater monitoring and targeted analyses of pesticides and emerging contaminants are not systematically implemented. The elaboration of the </w:t>
      </w:r>
      <w:proofErr w:type="spellStart"/>
      <w:r w:rsidRPr="00C82A48">
        <w:rPr>
          <w:rFonts w:cstheme="minorHAnsi"/>
        </w:rPr>
        <w:t>Prud</w:t>
      </w:r>
      <w:proofErr w:type="spellEnd"/>
      <w:r w:rsidRPr="00C82A48">
        <w:rPr>
          <w:rFonts w:cstheme="minorHAnsi"/>
        </w:rPr>
        <w:t xml:space="preserve"> spring highlights the need for such approaches, including long-term monitoring programmes, improved </w:t>
      </w:r>
      <w:proofErr w:type="spellStart"/>
      <w:r w:rsidRPr="00C82A48">
        <w:rPr>
          <w:rFonts w:cstheme="minorHAnsi"/>
        </w:rPr>
        <w:t>hydrochemical</w:t>
      </w:r>
      <w:proofErr w:type="spellEnd"/>
      <w:r w:rsidRPr="00C82A48">
        <w:rPr>
          <w:rFonts w:cstheme="minorHAnsi"/>
        </w:rPr>
        <w:t xml:space="preserve"> analyses and expansion of monitored parameters.</w:t>
      </w:r>
    </w:p>
    <w:p w14:paraId="6B373F6C" w14:textId="3ACA3204" w:rsidR="001D4721" w:rsidRDefault="001D4721" w:rsidP="00C82A48">
      <w:pPr>
        <w:jc w:val="both"/>
        <w:rPr>
          <w:rFonts w:cstheme="minorHAnsi"/>
        </w:rPr>
      </w:pPr>
      <w:r w:rsidRPr="00C82A48">
        <w:rPr>
          <w:rFonts w:cstheme="minorHAnsi"/>
        </w:rPr>
        <w:t>Improvement of the monitoring system should therefore focus on increasing network density in recharge areas, ensuring continuity of data series, harmonising methodologies and expanding the range of monitored parameters, particularly pesticides and other relevant contaminants. Tourism in Neretva TBA represents a seasonally concentrated but structurally relevant pressure on groundwater resources and groundwater-dependent ecosystems. Tourism activity is spatially concentrated in areas of high ecological and hydrological value, including karst lakes (Blue and Red Lake), waterfall systems (</w:t>
      </w:r>
      <w:proofErr w:type="spellStart"/>
      <w:r w:rsidRPr="00C82A48">
        <w:rPr>
          <w:rFonts w:cstheme="minorHAnsi"/>
        </w:rPr>
        <w:t>Kravice</w:t>
      </w:r>
      <w:proofErr w:type="spellEnd"/>
      <w:r w:rsidRPr="00C82A48">
        <w:rPr>
          <w:rFonts w:cstheme="minorHAnsi"/>
        </w:rPr>
        <w:t>), and zones of direct surface-groundwater interaction.</w:t>
      </w:r>
    </w:p>
    <w:p w14:paraId="42D22FA1" w14:textId="77777777" w:rsidR="004C0A5A" w:rsidRPr="00D60A13" w:rsidRDefault="004C0A5A" w:rsidP="00C82A48">
      <w:pPr>
        <w:jc w:val="both"/>
        <w:rPr>
          <w:b/>
        </w:rPr>
      </w:pPr>
    </w:p>
    <w:p w14:paraId="50E7DFB9" w14:textId="77777777" w:rsidR="00EF05F2" w:rsidRPr="00D60A13" w:rsidRDefault="00EF05F2" w:rsidP="00EF05F2">
      <w:pPr>
        <w:pStyle w:val="Heading1"/>
        <w:rPr>
          <w:rFonts w:eastAsia="Times New Roman"/>
          <w:lang w:val="en-GB"/>
        </w:rPr>
      </w:pPr>
      <w:bookmarkStart w:id="28" w:name="_Toc229036166"/>
      <w:r w:rsidRPr="00D60A13">
        <w:rPr>
          <w:rFonts w:eastAsia="Times New Roman"/>
          <w:lang w:val="en-GB"/>
        </w:rPr>
        <w:t>3. Socio-economic setting and challenges</w:t>
      </w:r>
      <w:bookmarkEnd w:id="28"/>
    </w:p>
    <w:p w14:paraId="6A7E91B3" w14:textId="77777777" w:rsidR="00EF05F2" w:rsidRPr="00D60A13" w:rsidRDefault="00EF05F2" w:rsidP="00EF05F2">
      <w:pPr>
        <w:pStyle w:val="Heading2"/>
        <w:rPr>
          <w:rFonts w:eastAsia="Times New Roman"/>
          <w:lang w:val="en-GB"/>
        </w:rPr>
      </w:pPr>
      <w:bookmarkStart w:id="29" w:name="_Toc229036167"/>
      <w:r w:rsidRPr="00D60A13">
        <w:rPr>
          <w:rFonts w:eastAsia="Times New Roman"/>
          <w:lang w:val="en-GB"/>
        </w:rPr>
        <w:t>3.1 Overall socio-economic characteristics and demographics</w:t>
      </w:r>
      <w:bookmarkEnd w:id="29"/>
    </w:p>
    <w:p w14:paraId="14A86389" w14:textId="0F075926" w:rsidR="00EF05F2" w:rsidRPr="00D60A13" w:rsidRDefault="00EF05F2" w:rsidP="00203D85">
      <w:pPr>
        <w:jc w:val="both"/>
        <w:rPr>
          <w:rFonts w:eastAsia="Times New Roman"/>
          <w:b/>
          <w:color w:val="2F5496"/>
          <w:kern w:val="2"/>
          <w:sz w:val="24"/>
          <w:szCs w:val="32"/>
        </w:rPr>
      </w:pPr>
      <w:r w:rsidRPr="00D60A13">
        <w:t>Neretva TBA is characterised by a highly heterogeneous settlement structure, including small urban centres, semi-urban zones and many rural and dispersed settlements. Settlements are predominantly located in karst fields, valleys and marginal hillside zones, which also represent key areas of groundwater infiltration and circulation. Such a spatial configuration results in a situation where even relatively moderate demographic pressures can have significant impacts on groundwater conditions.</w:t>
      </w:r>
    </w:p>
    <w:p w14:paraId="1AFF3AA4" w14:textId="71169B72" w:rsidR="00EF05F2" w:rsidRPr="00D60A13" w:rsidRDefault="00EF05F2" w:rsidP="00EF05F2">
      <w:pPr>
        <w:pStyle w:val="Heading3"/>
        <w:rPr>
          <w:rFonts w:eastAsia="Calibri"/>
          <w:lang w:val="en-GB"/>
        </w:rPr>
      </w:pPr>
      <w:bookmarkStart w:id="30" w:name="_Toc229036168"/>
      <w:r w:rsidRPr="00D60A13">
        <w:rPr>
          <w:rFonts w:eastAsia="Calibri"/>
          <w:lang w:val="en-GB"/>
        </w:rPr>
        <w:t>3.1.1 Croatian part of Neretva TBA</w:t>
      </w:r>
      <w:bookmarkEnd w:id="30"/>
      <w:r w:rsidRPr="00D60A13">
        <w:rPr>
          <w:rFonts w:eastAsia="Calibri"/>
          <w:lang w:val="en-GB"/>
        </w:rPr>
        <w:t xml:space="preserve"> </w:t>
      </w:r>
    </w:p>
    <w:p w14:paraId="4C795E13" w14:textId="003F7863" w:rsidR="00EF05F2" w:rsidRPr="00D60A13" w:rsidRDefault="00EF05F2" w:rsidP="00EF05F2">
      <w:pPr>
        <w:jc w:val="both"/>
        <w:rPr>
          <w:rFonts w:ascii="Calibri" w:eastAsia="Calibri" w:hAnsi="Calibri" w:cs="Times New Roman"/>
        </w:rPr>
      </w:pPr>
      <w:r w:rsidRPr="00D60A13">
        <w:rPr>
          <w:rFonts w:ascii="Calibri" w:eastAsia="Calibri" w:hAnsi="Calibri" w:cs="Times New Roman"/>
        </w:rPr>
        <w:t>Neretva TBA within the territory of the Republic of Croatia includes three towns (</w:t>
      </w:r>
      <w:proofErr w:type="spellStart"/>
      <w:r w:rsidRPr="00D60A13">
        <w:rPr>
          <w:rFonts w:ascii="Calibri" w:eastAsia="Calibri" w:hAnsi="Calibri" w:cs="Times New Roman"/>
        </w:rPr>
        <w:t>Imotski</w:t>
      </w:r>
      <w:proofErr w:type="spellEnd"/>
      <w:r w:rsidRPr="00D60A13">
        <w:rPr>
          <w:rFonts w:ascii="Calibri" w:eastAsia="Calibri" w:hAnsi="Calibri" w:cs="Times New Roman"/>
        </w:rPr>
        <w:t xml:space="preserve">, </w:t>
      </w:r>
      <w:proofErr w:type="spellStart"/>
      <w:r w:rsidRPr="00D60A13">
        <w:rPr>
          <w:rFonts w:ascii="Calibri" w:eastAsia="Calibri" w:hAnsi="Calibri" w:cs="Times New Roman"/>
        </w:rPr>
        <w:t>Vrgorac</w:t>
      </w:r>
      <w:proofErr w:type="spellEnd"/>
      <w:r w:rsidRPr="00D60A13">
        <w:rPr>
          <w:rFonts w:ascii="Calibri" w:eastAsia="Calibri" w:hAnsi="Calibri" w:cs="Times New Roman"/>
        </w:rPr>
        <w:t xml:space="preserve"> and </w:t>
      </w:r>
      <w:proofErr w:type="spellStart"/>
      <w:r w:rsidRPr="00D60A13">
        <w:rPr>
          <w:rFonts w:ascii="Calibri" w:eastAsia="Calibri" w:hAnsi="Calibri" w:cs="Times New Roman"/>
        </w:rPr>
        <w:t>Metković</w:t>
      </w:r>
      <w:proofErr w:type="spellEnd"/>
      <w:r w:rsidRPr="00D60A13">
        <w:rPr>
          <w:rFonts w:ascii="Calibri" w:eastAsia="Calibri" w:hAnsi="Calibri" w:cs="Times New Roman"/>
        </w:rPr>
        <w:t>) and seven municipalities (</w:t>
      </w:r>
      <w:proofErr w:type="spellStart"/>
      <w:r w:rsidRPr="00D60A13">
        <w:rPr>
          <w:rFonts w:ascii="Calibri" w:eastAsia="Calibri" w:hAnsi="Calibri" w:cs="Times New Roman"/>
        </w:rPr>
        <w:t>Lovreć</w:t>
      </w:r>
      <w:proofErr w:type="spellEnd"/>
      <w:r w:rsidRPr="00D60A13">
        <w:rPr>
          <w:rFonts w:ascii="Calibri" w:eastAsia="Calibri" w:hAnsi="Calibri" w:cs="Times New Roman"/>
        </w:rPr>
        <w:t xml:space="preserve">, </w:t>
      </w:r>
      <w:proofErr w:type="spellStart"/>
      <w:r w:rsidRPr="00D60A13">
        <w:rPr>
          <w:rFonts w:ascii="Calibri" w:eastAsia="Calibri" w:hAnsi="Calibri" w:cs="Times New Roman"/>
        </w:rPr>
        <w:t>Podbablje</w:t>
      </w:r>
      <w:proofErr w:type="spellEnd"/>
      <w:r w:rsidRPr="00D60A13">
        <w:rPr>
          <w:rFonts w:ascii="Calibri" w:eastAsia="Calibri" w:hAnsi="Calibri" w:cs="Times New Roman"/>
        </w:rPr>
        <w:t xml:space="preserve">, </w:t>
      </w:r>
      <w:proofErr w:type="spellStart"/>
      <w:r w:rsidRPr="00D60A13">
        <w:rPr>
          <w:rFonts w:ascii="Calibri" w:eastAsia="Calibri" w:hAnsi="Calibri" w:cs="Times New Roman"/>
        </w:rPr>
        <w:t>Proložac</w:t>
      </w:r>
      <w:proofErr w:type="spellEnd"/>
      <w:r w:rsidRPr="00D60A13">
        <w:rPr>
          <w:rFonts w:ascii="Calibri" w:eastAsia="Calibri" w:hAnsi="Calibri" w:cs="Times New Roman"/>
        </w:rPr>
        <w:t xml:space="preserve">, </w:t>
      </w:r>
      <w:proofErr w:type="spellStart"/>
      <w:r w:rsidRPr="00D60A13">
        <w:rPr>
          <w:rFonts w:ascii="Calibri" w:eastAsia="Calibri" w:hAnsi="Calibri" w:cs="Times New Roman"/>
        </w:rPr>
        <w:t>Runovići</w:t>
      </w:r>
      <w:proofErr w:type="spellEnd"/>
      <w:r w:rsidRPr="00D60A13">
        <w:rPr>
          <w:rFonts w:ascii="Calibri" w:eastAsia="Calibri" w:hAnsi="Calibri" w:cs="Times New Roman"/>
        </w:rPr>
        <w:t xml:space="preserve">, </w:t>
      </w:r>
      <w:proofErr w:type="spellStart"/>
      <w:r w:rsidRPr="00D60A13">
        <w:rPr>
          <w:rFonts w:ascii="Calibri" w:eastAsia="Calibri" w:hAnsi="Calibri" w:cs="Times New Roman"/>
        </w:rPr>
        <w:t>Zmijavci</w:t>
      </w:r>
      <w:proofErr w:type="spellEnd"/>
      <w:r w:rsidRPr="00D60A13">
        <w:rPr>
          <w:rFonts w:ascii="Calibri" w:eastAsia="Calibri" w:hAnsi="Calibri" w:cs="Times New Roman"/>
        </w:rPr>
        <w:t xml:space="preserve">, Kula </w:t>
      </w:r>
      <w:proofErr w:type="spellStart"/>
      <w:r w:rsidRPr="00D60A13">
        <w:rPr>
          <w:rFonts w:ascii="Calibri" w:eastAsia="Calibri" w:hAnsi="Calibri" w:cs="Times New Roman"/>
        </w:rPr>
        <w:t>Norinska</w:t>
      </w:r>
      <w:proofErr w:type="spellEnd"/>
      <w:r w:rsidRPr="00D60A13">
        <w:rPr>
          <w:rFonts w:ascii="Calibri" w:eastAsia="Calibri" w:hAnsi="Calibri" w:cs="Times New Roman"/>
        </w:rPr>
        <w:t xml:space="preserve"> and </w:t>
      </w:r>
      <w:proofErr w:type="spellStart"/>
      <w:r w:rsidRPr="00D60A13">
        <w:rPr>
          <w:rFonts w:ascii="Calibri" w:eastAsia="Calibri" w:hAnsi="Calibri" w:cs="Times New Roman"/>
        </w:rPr>
        <w:t>Pojezerje</w:t>
      </w:r>
      <w:proofErr w:type="spellEnd"/>
      <w:r w:rsidRPr="00D60A13">
        <w:rPr>
          <w:rFonts w:ascii="Calibri" w:eastAsia="Calibri" w:hAnsi="Calibri" w:cs="Times New Roman"/>
        </w:rPr>
        <w:t>).</w:t>
      </w:r>
    </w:p>
    <w:p w14:paraId="671AD717" w14:textId="52A87A55" w:rsidR="00EF05F2" w:rsidRPr="00D60A13" w:rsidRDefault="00EF05F2" w:rsidP="00EF05F2">
      <w:pPr>
        <w:jc w:val="both"/>
        <w:rPr>
          <w:rFonts w:ascii="Calibri" w:eastAsia="Calibri" w:hAnsi="Calibri" w:cs="Times New Roman"/>
        </w:rPr>
      </w:pPr>
      <w:r w:rsidRPr="00D60A13">
        <w:rPr>
          <w:rFonts w:ascii="Calibri" w:eastAsia="Calibri" w:hAnsi="Calibri" w:cs="Times New Roman"/>
        </w:rPr>
        <w:t>The total population in the administrative units covered by the TBA amounts to approximately 44,600; however, since only parts of these administrative units fall within the TBA boundaries, the estimated population within the TBA ranges between approximately 15,000 and 20,000 inhabitants. The average population density is around 58.7 inhabitants per km², indicating a predominantly rural and sparsely populated area.</w:t>
      </w:r>
    </w:p>
    <w:p w14:paraId="0BBA858B" w14:textId="77777777" w:rsidR="00EF05F2" w:rsidRPr="00D60A13" w:rsidRDefault="00EF05F2" w:rsidP="00EF05F2">
      <w:pPr>
        <w:jc w:val="both"/>
        <w:rPr>
          <w:rFonts w:ascii="Calibri" w:eastAsia="Calibri" w:hAnsi="Calibri" w:cs="Times New Roman"/>
        </w:rPr>
      </w:pPr>
      <w:r w:rsidRPr="00D60A13">
        <w:rPr>
          <w:rFonts w:ascii="Calibri" w:eastAsia="Calibri" w:hAnsi="Calibri" w:cs="Times New Roman"/>
        </w:rPr>
        <w:t>The spatial structure of settlements is characterised by:</w:t>
      </w:r>
    </w:p>
    <w:p w14:paraId="0DA1E676" w14:textId="1D415186" w:rsidR="00EF05F2" w:rsidRPr="00D60A13" w:rsidRDefault="00EF05F2" w:rsidP="00EF05F2">
      <w:pPr>
        <w:numPr>
          <w:ilvl w:val="0"/>
          <w:numId w:val="103"/>
        </w:numPr>
        <w:spacing w:after="0"/>
        <w:jc w:val="both"/>
        <w:rPr>
          <w:rFonts w:ascii="Calibri" w:eastAsia="Calibri" w:hAnsi="Calibri" w:cs="Times New Roman"/>
        </w:rPr>
      </w:pPr>
      <w:r w:rsidRPr="00D60A13">
        <w:rPr>
          <w:rFonts w:ascii="Calibri" w:eastAsia="Calibri" w:hAnsi="Calibri" w:cs="Times New Roman"/>
        </w:rPr>
        <w:lastRenderedPageBreak/>
        <w:t xml:space="preserve">a concentration of population in the urban centre of </w:t>
      </w:r>
      <w:proofErr w:type="spellStart"/>
      <w:r w:rsidRPr="00D60A13">
        <w:rPr>
          <w:rFonts w:ascii="Calibri" w:eastAsia="Calibri" w:hAnsi="Calibri" w:cs="Times New Roman"/>
        </w:rPr>
        <w:t>Imotski</w:t>
      </w:r>
      <w:proofErr w:type="spellEnd"/>
      <w:r w:rsidRPr="00D60A13">
        <w:rPr>
          <w:rFonts w:ascii="Calibri" w:eastAsia="Calibri" w:hAnsi="Calibri" w:cs="Times New Roman"/>
        </w:rPr>
        <w:t xml:space="preserve">; </w:t>
      </w:r>
    </w:p>
    <w:p w14:paraId="171302DA" w14:textId="77280A04" w:rsidR="00EF05F2" w:rsidRPr="00D60A13" w:rsidRDefault="00EF05F2" w:rsidP="00EF05F2">
      <w:pPr>
        <w:numPr>
          <w:ilvl w:val="0"/>
          <w:numId w:val="103"/>
        </w:numPr>
        <w:spacing w:after="0"/>
        <w:jc w:val="both"/>
        <w:rPr>
          <w:rFonts w:ascii="Calibri" w:eastAsia="Calibri" w:hAnsi="Calibri" w:cs="Times New Roman"/>
        </w:rPr>
      </w:pPr>
      <w:r w:rsidRPr="00D60A13">
        <w:rPr>
          <w:rFonts w:ascii="Calibri" w:eastAsia="Calibri" w:hAnsi="Calibri" w:cs="Times New Roman"/>
        </w:rPr>
        <w:t xml:space="preserve">dispersed rural settlements in karst fields and the hinterland; </w:t>
      </w:r>
    </w:p>
    <w:p w14:paraId="4F6131B2" w14:textId="6DAB881C" w:rsidR="00EF05F2" w:rsidRPr="00D60A13" w:rsidRDefault="00EF05F2" w:rsidP="00EF05F2">
      <w:pPr>
        <w:numPr>
          <w:ilvl w:val="0"/>
          <w:numId w:val="103"/>
        </w:numPr>
        <w:jc w:val="both"/>
        <w:rPr>
          <w:rFonts w:ascii="Calibri" w:eastAsia="Calibri" w:hAnsi="Calibri" w:cs="Times New Roman"/>
        </w:rPr>
      </w:pPr>
      <w:r w:rsidRPr="00D60A13">
        <w:rPr>
          <w:rFonts w:ascii="Calibri" w:eastAsia="Calibri" w:hAnsi="Calibri" w:cs="Times New Roman"/>
        </w:rPr>
        <w:t>weak infrastructural connectivity of smaller settlements.</w:t>
      </w:r>
    </w:p>
    <w:p w14:paraId="5EBC64F6" w14:textId="77777777" w:rsidR="00EF05F2" w:rsidRPr="00D60A13" w:rsidRDefault="00EF05F2" w:rsidP="00EF05F2">
      <w:pPr>
        <w:jc w:val="both"/>
        <w:rPr>
          <w:rFonts w:ascii="Calibri" w:eastAsia="Calibri" w:hAnsi="Calibri" w:cs="Times New Roman"/>
        </w:rPr>
      </w:pPr>
      <w:r w:rsidRPr="00D60A13">
        <w:rPr>
          <w:rFonts w:ascii="Calibri" w:eastAsia="Calibri" w:hAnsi="Calibri" w:cs="Times New Roman"/>
        </w:rPr>
        <w:t>Demographic trends indicate:</w:t>
      </w:r>
    </w:p>
    <w:p w14:paraId="7C7A0F66" w14:textId="046852C5" w:rsidR="00EF05F2" w:rsidRPr="00D60A13" w:rsidRDefault="00EF05F2" w:rsidP="00EF05F2">
      <w:pPr>
        <w:numPr>
          <w:ilvl w:val="0"/>
          <w:numId w:val="104"/>
        </w:numPr>
        <w:spacing w:after="0"/>
        <w:jc w:val="both"/>
        <w:rPr>
          <w:rFonts w:ascii="Calibri" w:eastAsia="Calibri" w:hAnsi="Calibri" w:cs="Times New Roman"/>
        </w:rPr>
      </w:pPr>
      <w:r w:rsidRPr="00D60A13">
        <w:rPr>
          <w:rFonts w:ascii="Calibri" w:eastAsia="Calibri" w:hAnsi="Calibri" w:cs="Times New Roman"/>
        </w:rPr>
        <w:t xml:space="preserve">a continuous decline in total population between 2011 and 2021; </w:t>
      </w:r>
    </w:p>
    <w:p w14:paraId="71ADBAAE" w14:textId="65AF75C7" w:rsidR="00EF05F2" w:rsidRPr="00D60A13" w:rsidRDefault="00EF05F2" w:rsidP="00EF05F2">
      <w:pPr>
        <w:numPr>
          <w:ilvl w:val="0"/>
          <w:numId w:val="104"/>
        </w:numPr>
        <w:spacing w:after="0"/>
        <w:jc w:val="both"/>
        <w:rPr>
          <w:rFonts w:ascii="Calibri" w:eastAsia="Calibri" w:hAnsi="Calibri" w:cs="Times New Roman"/>
        </w:rPr>
      </w:pPr>
      <w:r w:rsidRPr="00D60A13">
        <w:rPr>
          <w:rFonts w:ascii="Calibri" w:eastAsia="Calibri" w:hAnsi="Calibri" w:cs="Times New Roman"/>
        </w:rPr>
        <w:t>pronounced population ageing;</w:t>
      </w:r>
    </w:p>
    <w:p w14:paraId="30DFA484" w14:textId="658E2385" w:rsidR="00EF05F2" w:rsidRPr="00D60A13" w:rsidRDefault="00EF05F2" w:rsidP="00EF05F2">
      <w:pPr>
        <w:numPr>
          <w:ilvl w:val="0"/>
          <w:numId w:val="104"/>
        </w:numPr>
        <w:jc w:val="both"/>
        <w:rPr>
          <w:rFonts w:ascii="Calibri" w:eastAsia="Calibri" w:hAnsi="Calibri" w:cs="Times New Roman"/>
        </w:rPr>
      </w:pPr>
      <w:r w:rsidRPr="00D60A13">
        <w:rPr>
          <w:rFonts w:ascii="Calibri" w:eastAsia="Calibri" w:hAnsi="Calibri" w:cs="Times New Roman"/>
        </w:rPr>
        <w:t xml:space="preserve">a decrease in the share of the working-age population. </w:t>
      </w:r>
    </w:p>
    <w:p w14:paraId="0EB726CF" w14:textId="77777777" w:rsidR="00EF05F2" w:rsidRPr="00D60A13" w:rsidRDefault="00EF05F2" w:rsidP="00EF05F2">
      <w:pPr>
        <w:jc w:val="both"/>
        <w:rPr>
          <w:rFonts w:ascii="Calibri" w:eastAsia="Calibri" w:hAnsi="Calibri" w:cs="Times New Roman"/>
        </w:rPr>
      </w:pPr>
      <w:r w:rsidRPr="00D60A13">
        <w:rPr>
          <w:rFonts w:ascii="Calibri" w:eastAsia="Calibri" w:hAnsi="Calibri" w:cs="Times New Roman"/>
        </w:rPr>
        <w:t>These trends are consistent with broader patterns of depopulation in the Dalmatian hinterland and have direct implications for water resource management. Older and demographically weakened communities more often rely on individual or decentralised water supply and sanitation systems, which are often technically and financially limited.</w:t>
      </w:r>
    </w:p>
    <w:p w14:paraId="23589849" w14:textId="77777777" w:rsidR="00EF05F2" w:rsidRPr="00D60A13" w:rsidRDefault="00EF05F2" w:rsidP="00EF05F2">
      <w:pPr>
        <w:jc w:val="both"/>
        <w:rPr>
          <w:rFonts w:ascii="Calibri" w:eastAsia="Calibri" w:hAnsi="Calibri" w:cs="Times New Roman"/>
        </w:rPr>
      </w:pPr>
      <w:r w:rsidRPr="00D60A13">
        <w:rPr>
          <w:rFonts w:ascii="Calibri" w:eastAsia="Calibri" w:hAnsi="Calibri" w:cs="Times New Roman"/>
        </w:rPr>
        <w:t xml:space="preserve">Seasonality represents an additional dimension of demographic pressure. During the summer months, there is a temporary increase in population due to tourism and return migration, resulting in short-term peak pressures on water supply and sanitation systems, particularly in the </w:t>
      </w:r>
      <w:proofErr w:type="spellStart"/>
      <w:r w:rsidRPr="00D60A13">
        <w:rPr>
          <w:rFonts w:ascii="Calibri" w:eastAsia="Calibri" w:hAnsi="Calibri" w:cs="Times New Roman"/>
        </w:rPr>
        <w:t>Imotski</w:t>
      </w:r>
      <w:proofErr w:type="spellEnd"/>
      <w:r w:rsidRPr="00D60A13">
        <w:rPr>
          <w:rFonts w:ascii="Calibri" w:eastAsia="Calibri" w:hAnsi="Calibri" w:cs="Times New Roman"/>
        </w:rPr>
        <w:t xml:space="preserve"> area and surrounding recreational zones.</w:t>
      </w:r>
    </w:p>
    <w:p w14:paraId="18D6EE21" w14:textId="77777777" w:rsidR="00EF05F2" w:rsidRPr="00D60A13" w:rsidRDefault="00EF05F2" w:rsidP="00EF05F2">
      <w:pPr>
        <w:pStyle w:val="Heading3"/>
        <w:rPr>
          <w:rFonts w:eastAsia="Calibri"/>
          <w:lang w:val="en-GB"/>
        </w:rPr>
      </w:pPr>
      <w:bookmarkStart w:id="31" w:name="_Toc229036169"/>
      <w:r w:rsidRPr="00D60A13">
        <w:rPr>
          <w:rFonts w:eastAsia="Calibri"/>
          <w:lang w:val="en-GB"/>
        </w:rPr>
        <w:t>3.1.2 Bosnia and Herzegovina (BiH) part of the TBA Neretva</w:t>
      </w:r>
      <w:bookmarkEnd w:id="31"/>
    </w:p>
    <w:p w14:paraId="087A3804" w14:textId="06CE5DE3" w:rsidR="00EF05F2" w:rsidRPr="00D60A13" w:rsidRDefault="00EF05F2" w:rsidP="00EF05F2">
      <w:pPr>
        <w:jc w:val="both"/>
        <w:rPr>
          <w:rFonts w:ascii="Calibri" w:eastAsia="Calibri" w:hAnsi="Calibri" w:cs="Times New Roman"/>
        </w:rPr>
      </w:pPr>
      <w:r w:rsidRPr="00D60A13">
        <w:rPr>
          <w:rFonts w:ascii="Calibri" w:eastAsia="Calibri" w:hAnsi="Calibri" w:cs="Times New Roman"/>
        </w:rPr>
        <w:t xml:space="preserve">In Bosnia and Herzegovina, Neretva TBA covers the area of the </w:t>
      </w:r>
      <w:proofErr w:type="spellStart"/>
      <w:r w:rsidRPr="00D60A13">
        <w:rPr>
          <w:rFonts w:ascii="Calibri" w:eastAsia="Calibri" w:hAnsi="Calibri" w:cs="Times New Roman"/>
        </w:rPr>
        <w:t>Ljubuški</w:t>
      </w:r>
      <w:proofErr w:type="spellEnd"/>
      <w:r w:rsidRPr="00D60A13">
        <w:rPr>
          <w:rFonts w:ascii="Calibri" w:eastAsia="Calibri" w:hAnsi="Calibri" w:cs="Times New Roman"/>
        </w:rPr>
        <w:t xml:space="preserve"> and </w:t>
      </w:r>
      <w:proofErr w:type="spellStart"/>
      <w:r w:rsidRPr="00D60A13">
        <w:rPr>
          <w:rFonts w:ascii="Calibri" w:eastAsia="Calibri" w:hAnsi="Calibri" w:cs="Times New Roman"/>
        </w:rPr>
        <w:t>Trebižat</w:t>
      </w:r>
      <w:proofErr w:type="spellEnd"/>
      <w:r w:rsidRPr="00D60A13">
        <w:rPr>
          <w:rFonts w:ascii="Calibri" w:eastAsia="Calibri" w:hAnsi="Calibri" w:cs="Times New Roman"/>
        </w:rPr>
        <w:t xml:space="preserve"> karst system, including semi-urban settlements and densely populated rural areas. In contrast to the Croatian part, a larger share of the administrative territory lies within the TBA boundaries, resulting in a higher number of inhabitants within the TBA.</w:t>
      </w:r>
    </w:p>
    <w:p w14:paraId="53C3A4A1" w14:textId="77777777" w:rsidR="00EF05F2" w:rsidRPr="00D60A13" w:rsidRDefault="00EF05F2" w:rsidP="00EF05F2">
      <w:pPr>
        <w:jc w:val="both"/>
        <w:rPr>
          <w:rFonts w:ascii="Calibri" w:eastAsia="Calibri" w:hAnsi="Calibri" w:cs="Times New Roman"/>
        </w:rPr>
      </w:pPr>
      <w:r w:rsidRPr="00D60A13">
        <w:rPr>
          <w:rFonts w:ascii="Calibri" w:eastAsia="Calibri" w:hAnsi="Calibri" w:cs="Times New Roman"/>
        </w:rPr>
        <w:t>It is estimated that between 25,000 and 30,000 inhabitants live within the BiH part of the TBA. Population density is higher than in the Croatian part, particularly in areas of more intensive agricultural production and local economic activities.</w:t>
      </w:r>
    </w:p>
    <w:p w14:paraId="138F90A7" w14:textId="77777777" w:rsidR="00EF05F2" w:rsidRPr="00D60A13" w:rsidRDefault="00EF05F2" w:rsidP="00EF05F2">
      <w:pPr>
        <w:jc w:val="both"/>
        <w:rPr>
          <w:rFonts w:ascii="Calibri" w:eastAsia="Calibri" w:hAnsi="Calibri" w:cs="Times New Roman"/>
        </w:rPr>
      </w:pPr>
      <w:r w:rsidRPr="00D60A13">
        <w:rPr>
          <w:rFonts w:ascii="Calibri" w:eastAsia="Calibri" w:hAnsi="Calibri" w:cs="Times New Roman"/>
        </w:rPr>
        <w:t>Demographic characteristics include:</w:t>
      </w:r>
    </w:p>
    <w:p w14:paraId="05AD1A2F" w14:textId="7F8D9485" w:rsidR="00EF05F2" w:rsidRPr="00D60A13" w:rsidRDefault="00EF05F2" w:rsidP="00EF05F2">
      <w:pPr>
        <w:numPr>
          <w:ilvl w:val="0"/>
          <w:numId w:val="105"/>
        </w:numPr>
        <w:spacing w:after="0"/>
        <w:jc w:val="both"/>
        <w:rPr>
          <w:rFonts w:ascii="Calibri" w:eastAsia="Calibri" w:hAnsi="Calibri" w:cs="Times New Roman"/>
        </w:rPr>
      </w:pPr>
      <w:r w:rsidRPr="00D60A13">
        <w:rPr>
          <w:rFonts w:ascii="Calibri" w:eastAsia="Calibri" w:hAnsi="Calibri" w:cs="Times New Roman"/>
        </w:rPr>
        <w:t>a relatively more stable population compared to the Croatian part;</w:t>
      </w:r>
    </w:p>
    <w:p w14:paraId="5CD22370" w14:textId="7587C194" w:rsidR="00EF05F2" w:rsidRPr="00D60A13" w:rsidRDefault="00EF05F2" w:rsidP="00EF05F2">
      <w:pPr>
        <w:numPr>
          <w:ilvl w:val="0"/>
          <w:numId w:val="105"/>
        </w:numPr>
        <w:spacing w:after="0"/>
        <w:jc w:val="both"/>
        <w:rPr>
          <w:rFonts w:ascii="Calibri" w:eastAsia="Calibri" w:hAnsi="Calibri" w:cs="Times New Roman"/>
        </w:rPr>
      </w:pPr>
      <w:r w:rsidRPr="00D60A13">
        <w:rPr>
          <w:rFonts w:ascii="Calibri" w:eastAsia="Calibri" w:hAnsi="Calibri" w:cs="Times New Roman"/>
        </w:rPr>
        <w:t xml:space="preserve">the presence of population ageing, but to a lesser extent; </w:t>
      </w:r>
    </w:p>
    <w:p w14:paraId="04A65988" w14:textId="2BB00C66" w:rsidR="00EF05F2" w:rsidRPr="00D60A13" w:rsidRDefault="00EF05F2" w:rsidP="00EF05F2">
      <w:pPr>
        <w:numPr>
          <w:ilvl w:val="0"/>
          <w:numId w:val="105"/>
        </w:numPr>
        <w:spacing w:after="0"/>
        <w:jc w:val="both"/>
        <w:rPr>
          <w:rFonts w:ascii="Calibri" w:eastAsia="Calibri" w:hAnsi="Calibri" w:cs="Times New Roman"/>
        </w:rPr>
      </w:pPr>
      <w:r w:rsidRPr="00D60A13">
        <w:rPr>
          <w:rFonts w:ascii="Calibri" w:eastAsia="Calibri" w:hAnsi="Calibri" w:cs="Times New Roman"/>
        </w:rPr>
        <w:t>a higher level of involvement of the population in agricultural activities.</w:t>
      </w:r>
    </w:p>
    <w:p w14:paraId="7CC561B6" w14:textId="77777777" w:rsidR="00EF05F2" w:rsidRPr="00D60A13" w:rsidRDefault="00EF05F2" w:rsidP="00EF05F2">
      <w:pPr>
        <w:spacing w:before="240"/>
        <w:jc w:val="both"/>
        <w:rPr>
          <w:rFonts w:ascii="Calibri" w:eastAsia="Calibri" w:hAnsi="Calibri" w:cs="Times New Roman"/>
        </w:rPr>
      </w:pPr>
      <w:r w:rsidRPr="00D60A13">
        <w:rPr>
          <w:rFonts w:ascii="Calibri" w:eastAsia="Calibri" w:hAnsi="Calibri" w:cs="Times New Roman"/>
        </w:rPr>
        <w:t>A specific feature of the BiH part is the strong dependence of the local population on groundwater for drinking water supply. This dependence is realised through a combination of public water supply systems and individual abstractions, which further increases system vulnerability under conditions of increased pressure or reduced water quality.</w:t>
      </w:r>
    </w:p>
    <w:p w14:paraId="3B4282DF" w14:textId="77777777" w:rsidR="00EF05F2" w:rsidRPr="00D60A13" w:rsidRDefault="00EF05F2" w:rsidP="00EF05F2">
      <w:pPr>
        <w:pStyle w:val="Heading3"/>
        <w:rPr>
          <w:rFonts w:eastAsia="Calibri"/>
          <w:lang w:val="en-GB"/>
        </w:rPr>
      </w:pPr>
      <w:bookmarkStart w:id="32" w:name="_Toc229036170"/>
      <w:r w:rsidRPr="00D60A13">
        <w:rPr>
          <w:rFonts w:eastAsia="Calibri"/>
          <w:lang w:val="en-GB"/>
        </w:rPr>
        <w:t>3.1.3 Transboundary synthesis</w:t>
      </w:r>
      <w:bookmarkEnd w:id="32"/>
    </w:p>
    <w:p w14:paraId="01A37351" w14:textId="4E70C63F" w:rsidR="00EF05F2" w:rsidRPr="00D60A13" w:rsidRDefault="00EF05F2" w:rsidP="00EF05F2">
      <w:pPr>
        <w:jc w:val="both"/>
        <w:rPr>
          <w:rFonts w:ascii="Calibri" w:eastAsia="Calibri" w:hAnsi="Calibri" w:cs="Times New Roman"/>
        </w:rPr>
      </w:pPr>
      <w:r w:rsidRPr="00D60A13">
        <w:rPr>
          <w:rFonts w:ascii="Calibri" w:eastAsia="Calibri" w:hAnsi="Calibri" w:cs="Times New Roman"/>
        </w:rPr>
        <w:t>When considering Neretva TBA as a unified socio-economic system, the following key characteristics can be identified:</w:t>
      </w:r>
    </w:p>
    <w:p w14:paraId="768B96C8" w14:textId="577247C9" w:rsidR="00EF05F2" w:rsidRPr="00D60A13" w:rsidRDefault="00EF05F2" w:rsidP="00EF05F2">
      <w:pPr>
        <w:numPr>
          <w:ilvl w:val="0"/>
          <w:numId w:val="106"/>
        </w:numPr>
        <w:spacing w:after="0"/>
        <w:jc w:val="both"/>
        <w:rPr>
          <w:rFonts w:ascii="Calibri" w:eastAsia="Calibri" w:hAnsi="Calibri" w:cs="Times New Roman"/>
        </w:rPr>
      </w:pPr>
      <w:r w:rsidRPr="00D60A13">
        <w:rPr>
          <w:rFonts w:ascii="Calibri" w:eastAsia="Calibri" w:hAnsi="Calibri" w:cs="Times New Roman"/>
        </w:rPr>
        <w:t xml:space="preserve">the area is predominantly rural with low to moderate population density; </w:t>
      </w:r>
    </w:p>
    <w:p w14:paraId="642464E0" w14:textId="5638CF3F" w:rsidR="00EF05F2" w:rsidRPr="00D60A13" w:rsidRDefault="00EF05F2" w:rsidP="00EF05F2">
      <w:pPr>
        <w:numPr>
          <w:ilvl w:val="0"/>
          <w:numId w:val="106"/>
        </w:numPr>
        <w:spacing w:after="0"/>
        <w:jc w:val="both"/>
        <w:rPr>
          <w:rFonts w:ascii="Calibri" w:eastAsia="Calibri" w:hAnsi="Calibri" w:cs="Times New Roman"/>
        </w:rPr>
      </w:pPr>
      <w:r w:rsidRPr="00D60A13">
        <w:rPr>
          <w:rFonts w:ascii="Calibri" w:eastAsia="Calibri" w:hAnsi="Calibri" w:cs="Times New Roman"/>
        </w:rPr>
        <w:t xml:space="preserve">there is a pronounced fragmentation of settlements and dispersed settlement patterns; </w:t>
      </w:r>
    </w:p>
    <w:p w14:paraId="633ED23E" w14:textId="5C738CEF" w:rsidR="00EF05F2" w:rsidRPr="00D60A13" w:rsidRDefault="00EF05F2" w:rsidP="00EF05F2">
      <w:pPr>
        <w:numPr>
          <w:ilvl w:val="0"/>
          <w:numId w:val="106"/>
        </w:numPr>
        <w:spacing w:after="0"/>
        <w:jc w:val="both"/>
        <w:rPr>
          <w:rFonts w:ascii="Calibri" w:eastAsia="Calibri" w:hAnsi="Calibri" w:cs="Times New Roman"/>
        </w:rPr>
      </w:pPr>
      <w:r w:rsidRPr="00D60A13">
        <w:rPr>
          <w:rFonts w:ascii="Calibri" w:eastAsia="Calibri" w:hAnsi="Calibri" w:cs="Times New Roman"/>
        </w:rPr>
        <w:t xml:space="preserve">demographic trends include depopulation and ageing, particularly on the Croatian side; </w:t>
      </w:r>
    </w:p>
    <w:p w14:paraId="7C1491CD" w14:textId="11F08DB8" w:rsidR="00EF05F2" w:rsidRPr="00D60A13" w:rsidRDefault="00EF05F2" w:rsidP="00EF05F2">
      <w:pPr>
        <w:numPr>
          <w:ilvl w:val="0"/>
          <w:numId w:val="106"/>
        </w:numPr>
        <w:spacing w:after="0"/>
        <w:jc w:val="both"/>
        <w:rPr>
          <w:rFonts w:ascii="Calibri" w:eastAsia="Calibri" w:hAnsi="Calibri" w:cs="Times New Roman"/>
        </w:rPr>
      </w:pPr>
      <w:r w:rsidRPr="00D60A13">
        <w:rPr>
          <w:rFonts w:ascii="Calibri" w:eastAsia="Calibri" w:hAnsi="Calibri" w:cs="Times New Roman"/>
        </w:rPr>
        <w:lastRenderedPageBreak/>
        <w:t>seasonality and temporary migration significantly affect short-term water demand;</w:t>
      </w:r>
    </w:p>
    <w:p w14:paraId="3C2A5A49" w14:textId="54799965" w:rsidR="00EF05F2" w:rsidRPr="00D60A13" w:rsidRDefault="00EF05F2" w:rsidP="00EF05F2">
      <w:pPr>
        <w:numPr>
          <w:ilvl w:val="0"/>
          <w:numId w:val="106"/>
        </w:numPr>
        <w:jc w:val="both"/>
        <w:rPr>
          <w:rFonts w:ascii="Calibri" w:eastAsia="Calibri" w:hAnsi="Calibri" w:cs="Times New Roman"/>
        </w:rPr>
      </w:pPr>
      <w:r w:rsidRPr="00D60A13">
        <w:rPr>
          <w:rFonts w:ascii="Calibri" w:eastAsia="Calibri" w:hAnsi="Calibri" w:cs="Times New Roman"/>
        </w:rPr>
        <w:t xml:space="preserve">a high dependence of the population on groundwater increases system vulnerability. </w:t>
      </w:r>
    </w:p>
    <w:p w14:paraId="3FD68341" w14:textId="77777777" w:rsidR="00EF05F2" w:rsidRPr="00D60A13" w:rsidRDefault="00EF05F2" w:rsidP="00EF05F2">
      <w:pPr>
        <w:jc w:val="both"/>
        <w:rPr>
          <w:rFonts w:ascii="Calibri" w:eastAsia="Calibri" w:hAnsi="Calibri" w:cs="Times New Roman"/>
        </w:rPr>
      </w:pPr>
      <w:r w:rsidRPr="00D60A13">
        <w:rPr>
          <w:rFonts w:ascii="Calibri" w:eastAsia="Calibri" w:hAnsi="Calibri" w:cs="Times New Roman"/>
        </w:rPr>
        <w:t>These characteristics have direct implications for:</w:t>
      </w:r>
    </w:p>
    <w:p w14:paraId="23761B33" w14:textId="1215FF5D" w:rsidR="00EF05F2" w:rsidRPr="00D60A13" w:rsidRDefault="00EF05F2" w:rsidP="00EF05F2">
      <w:pPr>
        <w:numPr>
          <w:ilvl w:val="0"/>
          <w:numId w:val="107"/>
        </w:numPr>
        <w:spacing w:after="0"/>
        <w:jc w:val="both"/>
        <w:rPr>
          <w:rFonts w:ascii="Calibri" w:eastAsia="Calibri" w:hAnsi="Calibri" w:cs="Times New Roman"/>
        </w:rPr>
      </w:pPr>
      <w:r w:rsidRPr="00D60A13">
        <w:rPr>
          <w:rFonts w:ascii="Calibri" w:eastAsia="Calibri" w:hAnsi="Calibri" w:cs="Times New Roman"/>
        </w:rPr>
        <w:t xml:space="preserve">increased pressure on local water resources in sensitive karst zones; </w:t>
      </w:r>
    </w:p>
    <w:p w14:paraId="04FE2B0E" w14:textId="70F24D00" w:rsidR="00EF05F2" w:rsidRPr="00D60A13" w:rsidRDefault="00EF05F2" w:rsidP="00EF05F2">
      <w:pPr>
        <w:numPr>
          <w:ilvl w:val="0"/>
          <w:numId w:val="107"/>
        </w:numPr>
        <w:spacing w:after="0"/>
        <w:jc w:val="both"/>
        <w:rPr>
          <w:rFonts w:ascii="Calibri" w:eastAsia="Calibri" w:hAnsi="Calibri" w:cs="Times New Roman"/>
        </w:rPr>
      </w:pPr>
      <w:r w:rsidRPr="00D60A13">
        <w:rPr>
          <w:rFonts w:ascii="Calibri" w:eastAsia="Calibri" w:hAnsi="Calibri" w:cs="Times New Roman"/>
        </w:rPr>
        <w:t xml:space="preserve">the need to adapt infrastructure under conditions of demographic decline and seasonal fluctuations; </w:t>
      </w:r>
    </w:p>
    <w:p w14:paraId="25C65C0E" w14:textId="1A80FE60" w:rsidR="00EF05F2" w:rsidRPr="00D60A13" w:rsidRDefault="00EF05F2" w:rsidP="00EF05F2">
      <w:pPr>
        <w:numPr>
          <w:ilvl w:val="0"/>
          <w:numId w:val="107"/>
        </w:numPr>
        <w:spacing w:after="0"/>
        <w:jc w:val="both"/>
        <w:rPr>
          <w:rFonts w:ascii="Calibri" w:eastAsia="Calibri" w:hAnsi="Calibri" w:cs="Times New Roman"/>
        </w:rPr>
      </w:pPr>
      <w:r w:rsidRPr="00D60A13">
        <w:rPr>
          <w:rFonts w:ascii="Calibri" w:eastAsia="Calibri" w:hAnsi="Calibri" w:cs="Times New Roman"/>
        </w:rPr>
        <w:t xml:space="preserve">challenges in maintaining and modernising decentralised water supply and sanitation systems. </w:t>
      </w:r>
    </w:p>
    <w:p w14:paraId="5C1F0035" w14:textId="77777777" w:rsidR="00EF05F2" w:rsidRDefault="00EF05F2" w:rsidP="00EF05F2">
      <w:pPr>
        <w:spacing w:before="240"/>
        <w:jc w:val="both"/>
        <w:rPr>
          <w:rFonts w:ascii="Calibri" w:eastAsia="Calibri" w:hAnsi="Calibri" w:cs="Calibri"/>
          <w:b/>
          <w:bCs/>
          <w:color w:val="2F5496"/>
          <w:sz w:val="24"/>
          <w:szCs w:val="24"/>
        </w:rPr>
      </w:pPr>
    </w:p>
    <w:p w14:paraId="26110FCF" w14:textId="77777777" w:rsidR="00E773E2" w:rsidRPr="003108B4" w:rsidRDefault="00E773E2" w:rsidP="00E773E2">
      <w:pPr>
        <w:pStyle w:val="Heading2"/>
        <w:rPr>
          <w:lang w:val="en-GB"/>
        </w:rPr>
      </w:pPr>
      <w:bookmarkStart w:id="33" w:name="_Toc229036171"/>
      <w:r w:rsidRPr="003108B4">
        <w:rPr>
          <w:rFonts w:eastAsia="Calibri"/>
          <w:lang w:val="en-GB"/>
        </w:rPr>
        <w:t>3.2 Institutional and financial capacities</w:t>
      </w:r>
      <w:bookmarkEnd w:id="33"/>
    </w:p>
    <w:p w14:paraId="77983C62" w14:textId="450DB6A0" w:rsidR="00E773E2" w:rsidRDefault="00E773E2" w:rsidP="00E773E2">
      <w:pPr>
        <w:jc w:val="both"/>
      </w:pPr>
      <w:r>
        <w:rPr>
          <w:rFonts w:ascii="Calibri" w:eastAsia="Calibri" w:hAnsi="Calibri" w:cs="Calibri"/>
        </w:rPr>
        <w:t>Institutional and financial capacities represent a key framework for effective groundwater management in Neretva TBA. The complexity of the governance system arises from the multi-level distribution of responsibilities, involving national, regional and local institutions, as well as various sectoral actors responsible for water management, environmental protection and public utility services. In the context of karst systems, where water resources are highly vulnerable to anthropogenic pressures, the effectiveness of the institutional framework directly influences the capacity for groundwater protection and management. Transboundary management of Neretva TBA involves two countries operating under fundamentally different governance models, with Croatia applying a centralised, EU-aligned system and Bosnia and Herzegovina operating under a decentralised, multi-entity framework characterised by significant capacity constraints at sub-national level.</w:t>
      </w:r>
    </w:p>
    <w:p w14:paraId="265160AF" w14:textId="77777777" w:rsidR="00E773E2" w:rsidRDefault="00E773E2" w:rsidP="00E773E2">
      <w:pPr>
        <w:pStyle w:val="Heading3"/>
      </w:pPr>
      <w:bookmarkStart w:id="34" w:name="_Toc229036172"/>
      <w:r>
        <w:rPr>
          <w:rFonts w:eastAsia="Calibri"/>
        </w:rPr>
        <w:t>3.2.1 Croatia</w:t>
      </w:r>
      <w:bookmarkEnd w:id="34"/>
    </w:p>
    <w:p w14:paraId="1AF6CE67" w14:textId="77777777" w:rsidR="00E773E2" w:rsidRDefault="00E773E2" w:rsidP="00E773E2">
      <w:pPr>
        <w:jc w:val="both"/>
      </w:pPr>
      <w:r>
        <w:rPr>
          <w:rFonts w:ascii="Calibri" w:eastAsia="Calibri" w:hAnsi="Calibri" w:cs="Calibri"/>
        </w:rPr>
        <w:t>In the Republic of Croatia, the institutional framework for water management is based on a relatively centralised system in which national institutions play a key role. The Ministry of Environmental Protection and Green Transition (Directorate for Water Management and Sea Protection) is responsible for national water policy, groundwater protection standards and alignment with EU Water Framework Directive and Groundwater Directive requirements. Croatian Waters (</w:t>
      </w:r>
      <w:proofErr w:type="spellStart"/>
      <w:r>
        <w:rPr>
          <w:rFonts w:ascii="Calibri" w:eastAsia="Calibri" w:hAnsi="Calibri" w:cs="Calibri"/>
        </w:rPr>
        <w:t>Hrvatske</w:t>
      </w:r>
      <w:proofErr w:type="spellEnd"/>
      <w:r>
        <w:rPr>
          <w:rFonts w:ascii="Calibri" w:eastAsia="Calibri" w:hAnsi="Calibri" w:cs="Calibri"/>
        </w:rPr>
        <w:t xml:space="preserve"> </w:t>
      </w:r>
      <w:proofErr w:type="spellStart"/>
      <w:r>
        <w:rPr>
          <w:rFonts w:ascii="Calibri" w:eastAsia="Calibri" w:hAnsi="Calibri" w:cs="Calibri"/>
        </w:rPr>
        <w:t>vode</w:t>
      </w:r>
      <w:proofErr w:type="spellEnd"/>
      <w:r>
        <w:rPr>
          <w:rFonts w:ascii="Calibri" w:eastAsia="Calibri" w:hAnsi="Calibri" w:cs="Calibri"/>
        </w:rPr>
        <w:t xml:space="preserve">) act as the main operational body responsible for water resource management, planning, permitting and implementation of measures in accordance with EU requirements. The Croatian Institute of Public Health (Andrija </w:t>
      </w:r>
      <w:proofErr w:type="spellStart"/>
      <w:r>
        <w:rPr>
          <w:rFonts w:ascii="Calibri" w:eastAsia="Calibri" w:hAnsi="Calibri" w:cs="Calibri"/>
        </w:rPr>
        <w:t>Štampar</w:t>
      </w:r>
      <w:proofErr w:type="spellEnd"/>
      <w:r>
        <w:rPr>
          <w:rFonts w:ascii="Calibri" w:eastAsia="Calibri" w:hAnsi="Calibri" w:cs="Calibri"/>
        </w:rPr>
        <w:t xml:space="preserve"> Institute) and the network of county public health institutes regularly conduct analyses of drinking water quality, supported by well-developed laboratory systems. The Water Institute Josip Juraj </w:t>
      </w:r>
      <w:proofErr w:type="spellStart"/>
      <w:r>
        <w:rPr>
          <w:rFonts w:ascii="Calibri" w:eastAsia="Calibri" w:hAnsi="Calibri" w:cs="Calibri"/>
        </w:rPr>
        <w:t>Strossmayer</w:t>
      </w:r>
      <w:proofErr w:type="spellEnd"/>
      <w:r>
        <w:rPr>
          <w:rFonts w:ascii="Calibri" w:eastAsia="Calibri" w:hAnsi="Calibri" w:cs="Calibri"/>
        </w:rPr>
        <w:t xml:space="preserve"> provides technical expertise in groundwater management and monitoring.</w:t>
      </w:r>
    </w:p>
    <w:p w14:paraId="0958FB12" w14:textId="16BFCE13" w:rsidR="00E773E2" w:rsidRPr="00001407" w:rsidRDefault="00E773E2" w:rsidP="00E773E2">
      <w:pPr>
        <w:jc w:val="both"/>
        <w:rPr>
          <w:rFonts w:ascii="Calibri" w:eastAsia="Calibri" w:hAnsi="Calibri" w:cs="Calibri"/>
        </w:rPr>
      </w:pPr>
      <w:r>
        <w:rPr>
          <w:rFonts w:ascii="Calibri" w:eastAsia="Calibri" w:hAnsi="Calibri" w:cs="Calibri"/>
        </w:rPr>
        <w:t xml:space="preserve">Within Neretva TBA, the primary institutions on the Croatian side operate at the regional and local levels. County and municipal governments in Dubrovnik-Neretva County and the </w:t>
      </w:r>
      <w:proofErr w:type="spellStart"/>
      <w:r>
        <w:rPr>
          <w:rFonts w:ascii="Calibri" w:eastAsia="Calibri" w:hAnsi="Calibri" w:cs="Calibri"/>
        </w:rPr>
        <w:t>Imotski</w:t>
      </w:r>
      <w:proofErr w:type="spellEnd"/>
      <w:r>
        <w:rPr>
          <w:rFonts w:ascii="Calibri" w:eastAsia="Calibri" w:hAnsi="Calibri" w:cs="Calibri"/>
        </w:rPr>
        <w:t xml:space="preserve"> area are responsible for spatial planning, local sanitation systems, waste management and local inspection. Public water utilities operate local drinking water systems dependent on karst groundwater and springs. While operationally competent, these local actors have limited leverage over upstream transboundary pressures and face constraints related to fragmented rural </w:t>
      </w:r>
      <w:r>
        <w:rPr>
          <w:rFonts w:ascii="Calibri" w:eastAsia="Calibri" w:hAnsi="Calibri" w:cs="Calibri"/>
        </w:rPr>
        <w:lastRenderedPageBreak/>
        <w:t>settlements and high dependence on agricultural water use. Non-governmental organisations also play important roles in raising awareness and implementing water protection projects.</w:t>
      </w:r>
    </w:p>
    <w:p w14:paraId="35A4971D" w14:textId="77777777" w:rsidR="00E773E2" w:rsidRDefault="00E773E2" w:rsidP="00E773E2">
      <w:pPr>
        <w:jc w:val="both"/>
      </w:pPr>
      <w:r>
        <w:rPr>
          <w:rFonts w:ascii="Calibri" w:eastAsia="Calibri" w:hAnsi="Calibri" w:cs="Calibri"/>
        </w:rPr>
        <w:t>Institutional capacity in Croatia is comparatively strong at the national level, with Croatian Waters and specialised institutes demonstrating technical expertise and experience in groundwater management. Financial sustainability is supported through water-related fees and EU funding streams, while human resources are reinforced by structured roles and certification systems. Nonetheless, local-level capacities remain uneven, and enforcement often relies on reactive rather than preventive measures.</w:t>
      </w:r>
    </w:p>
    <w:p w14:paraId="06460882" w14:textId="77777777" w:rsidR="00E773E2" w:rsidRPr="003108B4" w:rsidRDefault="00E773E2" w:rsidP="0011551C">
      <w:pPr>
        <w:pStyle w:val="Heading3"/>
        <w:rPr>
          <w:lang w:val="en-GB"/>
        </w:rPr>
      </w:pPr>
      <w:bookmarkStart w:id="35" w:name="_Toc229036173"/>
      <w:r w:rsidRPr="003108B4">
        <w:rPr>
          <w:rFonts w:eastAsia="Calibri"/>
          <w:lang w:val="en-GB"/>
        </w:rPr>
        <w:t>3.2.2 Bosnia and Herzegovina</w:t>
      </w:r>
      <w:bookmarkEnd w:id="35"/>
    </w:p>
    <w:p w14:paraId="47C115F4" w14:textId="77777777" w:rsidR="00E773E2" w:rsidRDefault="00E773E2" w:rsidP="00E773E2">
      <w:pPr>
        <w:jc w:val="both"/>
      </w:pPr>
      <w:r>
        <w:rPr>
          <w:rFonts w:ascii="Calibri" w:eastAsia="Calibri" w:hAnsi="Calibri" w:cs="Calibri"/>
        </w:rPr>
        <w:t>The institutional framework in Bosnia and Herzegovina is characterised by a high level of decentralisation and a complex governance structure shaped by the country’s constitutional arrangement. Responsibilities are distributed across state, entity, cantonal and local levels, which complicates coordination and implementation of water management measures.</w:t>
      </w:r>
    </w:p>
    <w:p w14:paraId="55740A5B" w14:textId="0EC2C4E4" w:rsidR="00E773E2" w:rsidRDefault="00E773E2" w:rsidP="00E773E2">
      <w:pPr>
        <w:jc w:val="both"/>
      </w:pPr>
      <w:r>
        <w:rPr>
          <w:rFonts w:ascii="Calibri" w:eastAsia="Calibri" w:hAnsi="Calibri" w:cs="Calibri"/>
        </w:rPr>
        <w:t>At the state level, the Ministry of Foreign Trade and Economic Relations (</w:t>
      </w:r>
      <w:proofErr w:type="spellStart"/>
      <w:r>
        <w:rPr>
          <w:rFonts w:ascii="Calibri" w:eastAsia="Calibri" w:hAnsi="Calibri" w:cs="Calibri"/>
        </w:rPr>
        <w:t>MoFTER</w:t>
      </w:r>
      <w:proofErr w:type="spellEnd"/>
      <w:r>
        <w:rPr>
          <w:rFonts w:ascii="Calibri" w:eastAsia="Calibri" w:hAnsi="Calibri" w:cs="Calibri"/>
        </w:rPr>
        <w:t>) coordinates policy and harmonises the plans of entity authorities at the international level. The key actors for groundwater management at the entity level are the Ministry of Agriculture, Water Management and Forestry (</w:t>
      </w:r>
      <w:proofErr w:type="spellStart"/>
      <w:r>
        <w:rPr>
          <w:rFonts w:ascii="Calibri" w:eastAsia="Calibri" w:hAnsi="Calibri" w:cs="Calibri"/>
        </w:rPr>
        <w:t>MoAWMF</w:t>
      </w:r>
      <w:proofErr w:type="spellEnd"/>
      <w:r>
        <w:rPr>
          <w:rFonts w:ascii="Calibri" w:eastAsia="Calibri" w:hAnsi="Calibri" w:cs="Calibri"/>
        </w:rPr>
        <w:t xml:space="preserve">) of the Federation of BiH and the corresponding ministry in </w:t>
      </w:r>
      <w:proofErr w:type="spellStart"/>
      <w:r>
        <w:rPr>
          <w:rFonts w:ascii="Calibri" w:eastAsia="Calibri" w:hAnsi="Calibri" w:cs="Calibri"/>
        </w:rPr>
        <w:t>Republika</w:t>
      </w:r>
      <w:proofErr w:type="spellEnd"/>
      <w:r>
        <w:rPr>
          <w:rFonts w:ascii="Calibri" w:eastAsia="Calibri" w:hAnsi="Calibri" w:cs="Calibri"/>
        </w:rPr>
        <w:t xml:space="preserve"> Srpska. The Agency for the Adriatic Sea River Basin (AVP Jadran), operating within the Federation of BiH, is the primary entity-level water authority responsible for </w:t>
      </w:r>
      <w:r w:rsidR="0011551C">
        <w:rPr>
          <w:rFonts w:ascii="Calibri" w:eastAsia="Calibri" w:hAnsi="Calibri" w:cs="Calibri"/>
        </w:rPr>
        <w:t xml:space="preserve">Neretva </w:t>
      </w:r>
      <w:r>
        <w:rPr>
          <w:rFonts w:ascii="Calibri" w:eastAsia="Calibri" w:hAnsi="Calibri" w:cs="Calibri"/>
        </w:rPr>
        <w:t>TBA area. Its responsibilities include overall water management, monitoring, issuing water permits and planning groundwater protection measures. AVP Jadran has competent technical staff but operates with staffing levels significantly below those required to meet the demands of EU approximation and River Basin Management Plan implementation. Financial resources for monitoring and database modernisation have been chronically insufficient, with budget allocations for groundwater protection remaining minimal over many years.</w:t>
      </w:r>
    </w:p>
    <w:p w14:paraId="5FBE214B" w14:textId="12E8051B" w:rsidR="00E773E2" w:rsidRDefault="00E773E2" w:rsidP="00E773E2">
      <w:pPr>
        <w:jc w:val="both"/>
      </w:pPr>
      <w:r>
        <w:rPr>
          <w:rFonts w:ascii="Calibri" w:eastAsia="Calibri" w:hAnsi="Calibri" w:cs="Calibri"/>
        </w:rPr>
        <w:t xml:space="preserve">In the Federation of BiH, cantonal ministries of the </w:t>
      </w:r>
      <w:r w:rsidR="0011551C">
        <w:rPr>
          <w:rFonts w:ascii="Calibri" w:eastAsia="Calibri" w:hAnsi="Calibri" w:cs="Calibri"/>
        </w:rPr>
        <w:t>“</w:t>
      </w:r>
      <w:proofErr w:type="spellStart"/>
      <w:r>
        <w:rPr>
          <w:rFonts w:ascii="Calibri" w:eastAsia="Calibri" w:hAnsi="Calibri" w:cs="Calibri"/>
        </w:rPr>
        <w:t>Zapadnohercegovаčki</w:t>
      </w:r>
      <w:proofErr w:type="spellEnd"/>
      <w:r w:rsidR="0011551C">
        <w:rPr>
          <w:rFonts w:ascii="Calibri" w:eastAsia="Calibri" w:hAnsi="Calibri" w:cs="Calibri"/>
        </w:rPr>
        <w:t>”</w:t>
      </w:r>
      <w:r>
        <w:rPr>
          <w:rFonts w:ascii="Calibri" w:eastAsia="Calibri" w:hAnsi="Calibri" w:cs="Calibri"/>
        </w:rPr>
        <w:t xml:space="preserve"> Canton play an important role in implementing water legislation, including issuing permits for smaller water abstractions and conducting local inspections within </w:t>
      </w:r>
      <w:r w:rsidR="0011551C">
        <w:rPr>
          <w:rFonts w:ascii="Calibri" w:eastAsia="Calibri" w:hAnsi="Calibri" w:cs="Calibri"/>
        </w:rPr>
        <w:t xml:space="preserve">Neretva </w:t>
      </w:r>
      <w:r>
        <w:rPr>
          <w:rFonts w:ascii="Calibri" w:eastAsia="Calibri" w:hAnsi="Calibri" w:cs="Calibri"/>
        </w:rPr>
        <w:t xml:space="preserve">TBA area. Public water supply companies in </w:t>
      </w:r>
      <w:proofErr w:type="spellStart"/>
      <w:r>
        <w:rPr>
          <w:rFonts w:ascii="Calibri" w:eastAsia="Calibri" w:hAnsi="Calibri" w:cs="Calibri"/>
        </w:rPr>
        <w:t>Ljubuški</w:t>
      </w:r>
      <w:proofErr w:type="spellEnd"/>
      <w:r>
        <w:rPr>
          <w:rFonts w:ascii="Calibri" w:eastAsia="Calibri" w:hAnsi="Calibri" w:cs="Calibri"/>
        </w:rPr>
        <w:t xml:space="preserve"> municipality are responsible for the abstraction, treatment and distribution of groundwater for drinking purposes and are involved in monitoring and protection of sources within sanitary protection zones. Municipal utilities face a lack of qualified technical staff, chronic under-financing and rely heavily on donor support or loans for capital investment and training.</w:t>
      </w:r>
    </w:p>
    <w:p w14:paraId="1C102B17" w14:textId="77777777" w:rsidR="00E773E2" w:rsidRDefault="00E773E2" w:rsidP="00E773E2">
      <w:pPr>
        <w:jc w:val="both"/>
      </w:pPr>
      <w:r>
        <w:rPr>
          <w:rFonts w:ascii="Calibri" w:eastAsia="Calibri" w:hAnsi="Calibri" w:cs="Calibri"/>
        </w:rPr>
        <w:t>Enforcement in Bosnia and Herzegovina is largely reactive, triggered by complaints or visible violations, and lacks systematic risk-based planning. Financial mechanisms for cost recovery exist in law but are inadequately operationalised; water tariffs fail to incorporate environmental and resource costs. These limitations severely restrict the ability to enforce monitoring obligations, implement sanitary protection zones and control pollution in karst areas.</w:t>
      </w:r>
    </w:p>
    <w:p w14:paraId="3351D9F6" w14:textId="3862CE15" w:rsidR="00E773E2" w:rsidRDefault="00E773E2" w:rsidP="00E773E2">
      <w:pPr>
        <w:jc w:val="both"/>
        <w:rPr>
          <w:rFonts w:ascii="Calibri" w:eastAsia="Calibri" w:hAnsi="Calibri" w:cs="Calibri"/>
        </w:rPr>
      </w:pPr>
      <w:r>
        <w:rPr>
          <w:rFonts w:ascii="Calibri" w:eastAsia="Calibri" w:hAnsi="Calibri" w:cs="Calibri"/>
        </w:rPr>
        <w:t xml:space="preserve">At the local level in </w:t>
      </w:r>
      <w:r w:rsidR="0011551C">
        <w:rPr>
          <w:rFonts w:ascii="Calibri" w:eastAsia="Calibri" w:hAnsi="Calibri" w:cs="Calibri"/>
        </w:rPr>
        <w:t xml:space="preserve">Neretva </w:t>
      </w:r>
      <w:r>
        <w:rPr>
          <w:rFonts w:ascii="Calibri" w:eastAsia="Calibri" w:hAnsi="Calibri" w:cs="Calibri"/>
        </w:rPr>
        <w:t xml:space="preserve">TBA, municipal authorities in </w:t>
      </w:r>
      <w:proofErr w:type="spellStart"/>
      <w:r>
        <w:rPr>
          <w:rFonts w:ascii="Calibri" w:eastAsia="Calibri" w:hAnsi="Calibri" w:cs="Calibri"/>
        </w:rPr>
        <w:t>Ljubuški</w:t>
      </w:r>
      <w:proofErr w:type="spellEnd"/>
      <w:r>
        <w:rPr>
          <w:rFonts w:ascii="Calibri" w:eastAsia="Calibri" w:hAnsi="Calibri" w:cs="Calibri"/>
        </w:rPr>
        <w:t xml:space="preserve"> are responsible for wastewater management, local inspections and spatial planning. Capacity is significantly constrained by limited budgets and reliance on donor-funded projects for infrastructure upgrades and technical training.</w:t>
      </w:r>
    </w:p>
    <w:p w14:paraId="66238C94" w14:textId="583D7CED" w:rsidR="00E773E2" w:rsidRDefault="0085370F" w:rsidP="0085370F">
      <w:pPr>
        <w:pStyle w:val="Caption"/>
      </w:pPr>
      <w:bookmarkStart w:id="36" w:name="_Toc229037724"/>
      <w:r>
        <w:lastRenderedPageBreak/>
        <w:t xml:space="preserve">Table </w:t>
      </w:r>
      <w:r>
        <w:fldChar w:fldCharType="begin"/>
      </w:r>
      <w:r>
        <w:instrText xml:space="preserve"> SEQ Table \* ARABIC </w:instrText>
      </w:r>
      <w:r>
        <w:fldChar w:fldCharType="separate"/>
      </w:r>
      <w:r w:rsidR="002F4776">
        <w:rPr>
          <w:noProof/>
        </w:rPr>
        <w:t>2</w:t>
      </w:r>
      <w:r>
        <w:fldChar w:fldCharType="end"/>
      </w:r>
      <w:r>
        <w:t xml:space="preserve"> </w:t>
      </w:r>
      <w:r w:rsidRPr="004C0B20">
        <w:t>Institutional framework for water management — Neretva TBA (Croatia vs Bosnia and Herzegovina)</w:t>
      </w:r>
      <w:bookmarkEnd w:id="36"/>
    </w:p>
    <w:tbl>
      <w:tblPr>
        <w:tblStyle w:val="TableGrid"/>
        <w:tblW w:w="86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000"/>
        <w:gridCol w:w="3680"/>
        <w:gridCol w:w="2952"/>
      </w:tblGrid>
      <w:tr w:rsidR="00E773E2" w:rsidRPr="0085370F" w14:paraId="0B0D0D8F" w14:textId="77777777" w:rsidTr="0085370F">
        <w:tc>
          <w:tcPr>
            <w:tcW w:w="2000" w:type="dxa"/>
            <w:shd w:val="clear" w:color="auto" w:fill="A5C9EB"/>
          </w:tcPr>
          <w:p w14:paraId="7CD4FE47" w14:textId="77777777" w:rsidR="00E773E2" w:rsidRPr="0085370F" w:rsidRDefault="00E773E2" w:rsidP="00923395">
            <w:pPr>
              <w:rPr>
                <w:sz w:val="16"/>
                <w:szCs w:val="16"/>
              </w:rPr>
            </w:pPr>
            <w:r w:rsidRPr="0085370F">
              <w:rPr>
                <w:rFonts w:ascii="Calibri" w:eastAsia="Calibri" w:hAnsi="Calibri" w:cs="Calibri"/>
                <w:b/>
                <w:bCs/>
                <w:sz w:val="16"/>
                <w:szCs w:val="16"/>
              </w:rPr>
              <w:t>Governance level</w:t>
            </w:r>
          </w:p>
        </w:tc>
        <w:tc>
          <w:tcPr>
            <w:tcW w:w="3680" w:type="dxa"/>
            <w:shd w:val="clear" w:color="auto" w:fill="A5C9EB"/>
          </w:tcPr>
          <w:p w14:paraId="122BD4F2" w14:textId="77777777" w:rsidR="00E773E2" w:rsidRPr="0085370F" w:rsidRDefault="00E773E2" w:rsidP="00923395">
            <w:pPr>
              <w:rPr>
                <w:sz w:val="16"/>
                <w:szCs w:val="16"/>
              </w:rPr>
            </w:pPr>
            <w:r w:rsidRPr="0085370F">
              <w:rPr>
                <w:rFonts w:ascii="Calibri" w:eastAsia="Calibri" w:hAnsi="Calibri" w:cs="Calibri"/>
                <w:b/>
                <w:bCs/>
                <w:sz w:val="16"/>
                <w:szCs w:val="16"/>
              </w:rPr>
              <w:t>Croatia</w:t>
            </w:r>
          </w:p>
        </w:tc>
        <w:tc>
          <w:tcPr>
            <w:tcW w:w="2952" w:type="dxa"/>
            <w:shd w:val="clear" w:color="auto" w:fill="A5C9EB"/>
          </w:tcPr>
          <w:p w14:paraId="3694F1CD" w14:textId="77777777" w:rsidR="00E773E2" w:rsidRPr="0085370F" w:rsidRDefault="00E773E2" w:rsidP="00923395">
            <w:pPr>
              <w:rPr>
                <w:sz w:val="16"/>
                <w:szCs w:val="16"/>
              </w:rPr>
            </w:pPr>
            <w:r w:rsidRPr="0085370F">
              <w:rPr>
                <w:rFonts w:ascii="Calibri" w:eastAsia="Calibri" w:hAnsi="Calibri" w:cs="Calibri"/>
                <w:b/>
                <w:bCs/>
                <w:sz w:val="16"/>
                <w:szCs w:val="16"/>
              </w:rPr>
              <w:t>Bosnia and Herzegovina</w:t>
            </w:r>
          </w:p>
        </w:tc>
      </w:tr>
      <w:tr w:rsidR="00E773E2" w:rsidRPr="0085370F" w14:paraId="5CBCAC8F" w14:textId="77777777" w:rsidTr="00F616D9">
        <w:tc>
          <w:tcPr>
            <w:tcW w:w="2000" w:type="dxa"/>
          </w:tcPr>
          <w:p w14:paraId="0ECDD063" w14:textId="77777777" w:rsidR="00E773E2" w:rsidRPr="0085370F" w:rsidRDefault="00E773E2" w:rsidP="00923395">
            <w:pPr>
              <w:rPr>
                <w:sz w:val="16"/>
                <w:szCs w:val="16"/>
              </w:rPr>
            </w:pPr>
            <w:r w:rsidRPr="0085370F">
              <w:rPr>
                <w:rFonts w:ascii="Calibri" w:eastAsia="Calibri" w:hAnsi="Calibri" w:cs="Calibri"/>
                <w:sz w:val="16"/>
                <w:szCs w:val="16"/>
              </w:rPr>
              <w:t>National</w:t>
            </w:r>
          </w:p>
        </w:tc>
        <w:tc>
          <w:tcPr>
            <w:tcW w:w="3680" w:type="dxa"/>
          </w:tcPr>
          <w:p w14:paraId="08C02A9A" w14:textId="77777777" w:rsidR="00E773E2" w:rsidRPr="0085370F" w:rsidRDefault="00E773E2" w:rsidP="00923395">
            <w:pPr>
              <w:rPr>
                <w:sz w:val="16"/>
                <w:szCs w:val="16"/>
              </w:rPr>
            </w:pPr>
            <w:r w:rsidRPr="0085370F">
              <w:rPr>
                <w:rFonts w:ascii="Calibri" w:eastAsia="Calibri" w:hAnsi="Calibri" w:cs="Calibri"/>
                <w:sz w:val="16"/>
                <w:szCs w:val="16"/>
              </w:rPr>
              <w:t>Ministry of Environmental Protection and Green Transition; Croatian Waters</w:t>
            </w:r>
          </w:p>
        </w:tc>
        <w:tc>
          <w:tcPr>
            <w:tcW w:w="2952" w:type="dxa"/>
          </w:tcPr>
          <w:p w14:paraId="4F2F181B" w14:textId="77777777" w:rsidR="00E773E2" w:rsidRPr="0085370F" w:rsidRDefault="00E773E2" w:rsidP="00923395">
            <w:pPr>
              <w:rPr>
                <w:sz w:val="16"/>
                <w:szCs w:val="16"/>
              </w:rPr>
            </w:pPr>
            <w:r w:rsidRPr="0085370F">
              <w:rPr>
                <w:rFonts w:ascii="Calibri" w:eastAsia="Calibri" w:hAnsi="Calibri" w:cs="Calibri"/>
                <w:sz w:val="16"/>
                <w:szCs w:val="16"/>
              </w:rPr>
              <w:t>Ministry of Foreign Trade and Economic Relations (</w:t>
            </w:r>
            <w:proofErr w:type="spellStart"/>
            <w:r w:rsidRPr="0085370F">
              <w:rPr>
                <w:rFonts w:ascii="Calibri" w:eastAsia="Calibri" w:hAnsi="Calibri" w:cs="Calibri"/>
                <w:sz w:val="16"/>
                <w:szCs w:val="16"/>
              </w:rPr>
              <w:t>MoFTER</w:t>
            </w:r>
            <w:proofErr w:type="spellEnd"/>
            <w:r w:rsidRPr="0085370F">
              <w:rPr>
                <w:rFonts w:ascii="Calibri" w:eastAsia="Calibri" w:hAnsi="Calibri" w:cs="Calibri"/>
                <w:sz w:val="16"/>
                <w:szCs w:val="16"/>
              </w:rPr>
              <w:t>); entity-level ministries</w:t>
            </w:r>
          </w:p>
        </w:tc>
      </w:tr>
      <w:tr w:rsidR="00E773E2" w:rsidRPr="0085370F" w14:paraId="788637B9" w14:textId="77777777" w:rsidTr="00F616D9">
        <w:tc>
          <w:tcPr>
            <w:tcW w:w="2000" w:type="dxa"/>
          </w:tcPr>
          <w:p w14:paraId="4D34C13D" w14:textId="77777777" w:rsidR="00E773E2" w:rsidRPr="0085370F" w:rsidRDefault="00E773E2" w:rsidP="00923395">
            <w:pPr>
              <w:rPr>
                <w:sz w:val="16"/>
                <w:szCs w:val="16"/>
              </w:rPr>
            </w:pPr>
            <w:r w:rsidRPr="0085370F">
              <w:rPr>
                <w:rFonts w:ascii="Calibri" w:eastAsia="Calibri" w:hAnsi="Calibri" w:cs="Calibri"/>
                <w:sz w:val="16"/>
                <w:szCs w:val="16"/>
              </w:rPr>
              <w:t>Entity / regional</w:t>
            </w:r>
          </w:p>
        </w:tc>
        <w:tc>
          <w:tcPr>
            <w:tcW w:w="3680" w:type="dxa"/>
          </w:tcPr>
          <w:p w14:paraId="7BE63273" w14:textId="77777777" w:rsidR="00E773E2" w:rsidRPr="0085370F" w:rsidRDefault="00E773E2" w:rsidP="00923395">
            <w:pPr>
              <w:rPr>
                <w:sz w:val="16"/>
                <w:szCs w:val="16"/>
              </w:rPr>
            </w:pPr>
            <w:r w:rsidRPr="0085370F">
              <w:rPr>
                <w:rFonts w:ascii="Calibri" w:eastAsia="Calibri" w:hAnsi="Calibri" w:cs="Calibri"/>
                <w:sz w:val="16"/>
                <w:szCs w:val="16"/>
              </w:rPr>
              <w:t>Not applicable (centralised system)</w:t>
            </w:r>
          </w:p>
        </w:tc>
        <w:tc>
          <w:tcPr>
            <w:tcW w:w="2952" w:type="dxa"/>
          </w:tcPr>
          <w:p w14:paraId="492A5831" w14:textId="0AB02F83" w:rsidR="00E773E2" w:rsidRPr="0085370F" w:rsidRDefault="00E773E2" w:rsidP="00923395">
            <w:pPr>
              <w:rPr>
                <w:sz w:val="16"/>
                <w:szCs w:val="16"/>
              </w:rPr>
            </w:pPr>
            <w:r w:rsidRPr="0085370F">
              <w:rPr>
                <w:rFonts w:ascii="Calibri" w:eastAsia="Calibri" w:hAnsi="Calibri" w:cs="Calibri"/>
                <w:sz w:val="16"/>
                <w:szCs w:val="16"/>
              </w:rPr>
              <w:t xml:space="preserve">AVP Jadran (FBiH) — primary entity body for </w:t>
            </w:r>
            <w:r w:rsidR="0011551C" w:rsidRPr="0085370F">
              <w:rPr>
                <w:rFonts w:ascii="Calibri" w:eastAsia="Calibri" w:hAnsi="Calibri" w:cs="Calibri"/>
                <w:sz w:val="16"/>
                <w:szCs w:val="16"/>
              </w:rPr>
              <w:t xml:space="preserve">Neretva </w:t>
            </w:r>
            <w:r w:rsidRPr="0085370F">
              <w:rPr>
                <w:rFonts w:ascii="Calibri" w:eastAsia="Calibri" w:hAnsi="Calibri" w:cs="Calibri"/>
                <w:sz w:val="16"/>
                <w:szCs w:val="16"/>
              </w:rPr>
              <w:t xml:space="preserve">TBA; cantonal institutions of </w:t>
            </w:r>
            <w:proofErr w:type="spellStart"/>
            <w:r w:rsidRPr="0085370F">
              <w:rPr>
                <w:rFonts w:ascii="Calibri" w:eastAsia="Calibri" w:hAnsi="Calibri" w:cs="Calibri"/>
                <w:sz w:val="16"/>
                <w:szCs w:val="16"/>
              </w:rPr>
              <w:t>Zapadnohercegovački</w:t>
            </w:r>
            <w:proofErr w:type="spellEnd"/>
            <w:r w:rsidRPr="0085370F">
              <w:rPr>
                <w:rFonts w:ascii="Calibri" w:eastAsia="Calibri" w:hAnsi="Calibri" w:cs="Calibri"/>
                <w:sz w:val="16"/>
                <w:szCs w:val="16"/>
              </w:rPr>
              <w:t xml:space="preserve"> Canton</w:t>
            </w:r>
          </w:p>
        </w:tc>
      </w:tr>
      <w:tr w:rsidR="00E773E2" w:rsidRPr="0085370F" w14:paraId="21C846BE" w14:textId="77777777" w:rsidTr="00F616D9">
        <w:tc>
          <w:tcPr>
            <w:tcW w:w="2000" w:type="dxa"/>
          </w:tcPr>
          <w:p w14:paraId="5014B1F0" w14:textId="77777777" w:rsidR="00E773E2" w:rsidRPr="0085370F" w:rsidRDefault="00E773E2" w:rsidP="00923395">
            <w:pPr>
              <w:rPr>
                <w:sz w:val="16"/>
                <w:szCs w:val="16"/>
              </w:rPr>
            </w:pPr>
            <w:r w:rsidRPr="0085370F">
              <w:rPr>
                <w:rFonts w:ascii="Calibri" w:eastAsia="Calibri" w:hAnsi="Calibri" w:cs="Calibri"/>
                <w:sz w:val="16"/>
                <w:szCs w:val="16"/>
              </w:rPr>
              <w:t>Regional</w:t>
            </w:r>
          </w:p>
        </w:tc>
        <w:tc>
          <w:tcPr>
            <w:tcW w:w="3680" w:type="dxa"/>
          </w:tcPr>
          <w:p w14:paraId="44FB163C" w14:textId="77777777" w:rsidR="00E773E2" w:rsidRPr="0085370F" w:rsidRDefault="00E773E2" w:rsidP="00923395">
            <w:pPr>
              <w:rPr>
                <w:sz w:val="16"/>
                <w:szCs w:val="16"/>
              </w:rPr>
            </w:pPr>
            <w:r w:rsidRPr="0085370F">
              <w:rPr>
                <w:rFonts w:ascii="Calibri" w:eastAsia="Calibri" w:hAnsi="Calibri" w:cs="Calibri"/>
                <w:sz w:val="16"/>
                <w:szCs w:val="16"/>
              </w:rPr>
              <w:t>Dubrovnik-Neretva County (limited role)</w:t>
            </w:r>
          </w:p>
        </w:tc>
        <w:tc>
          <w:tcPr>
            <w:tcW w:w="2952" w:type="dxa"/>
          </w:tcPr>
          <w:p w14:paraId="6F90D1AA" w14:textId="77777777" w:rsidR="00E773E2" w:rsidRPr="0085370F" w:rsidRDefault="00E773E2" w:rsidP="00923395">
            <w:pPr>
              <w:rPr>
                <w:sz w:val="16"/>
                <w:szCs w:val="16"/>
              </w:rPr>
            </w:pPr>
            <w:r w:rsidRPr="0085370F">
              <w:rPr>
                <w:rFonts w:ascii="Calibri" w:eastAsia="Calibri" w:hAnsi="Calibri" w:cs="Calibri"/>
                <w:sz w:val="16"/>
                <w:szCs w:val="16"/>
              </w:rPr>
              <w:t>Cantons (significant role in water management and permitting)</w:t>
            </w:r>
          </w:p>
        </w:tc>
      </w:tr>
      <w:tr w:rsidR="00E773E2" w:rsidRPr="0085370F" w14:paraId="213FE712" w14:textId="77777777" w:rsidTr="00F616D9">
        <w:tc>
          <w:tcPr>
            <w:tcW w:w="2000" w:type="dxa"/>
          </w:tcPr>
          <w:p w14:paraId="1B4EB4BA" w14:textId="77777777" w:rsidR="00E773E2" w:rsidRPr="0085370F" w:rsidRDefault="00E773E2" w:rsidP="00923395">
            <w:pPr>
              <w:rPr>
                <w:sz w:val="16"/>
                <w:szCs w:val="16"/>
              </w:rPr>
            </w:pPr>
            <w:r w:rsidRPr="0085370F">
              <w:rPr>
                <w:rFonts w:ascii="Calibri" w:eastAsia="Calibri" w:hAnsi="Calibri" w:cs="Calibri"/>
                <w:sz w:val="16"/>
                <w:szCs w:val="16"/>
              </w:rPr>
              <w:t>Local</w:t>
            </w:r>
          </w:p>
        </w:tc>
        <w:tc>
          <w:tcPr>
            <w:tcW w:w="3680" w:type="dxa"/>
          </w:tcPr>
          <w:p w14:paraId="357804E9" w14:textId="77777777" w:rsidR="00E773E2" w:rsidRPr="0085370F" w:rsidRDefault="00E773E2" w:rsidP="00923395">
            <w:pPr>
              <w:rPr>
                <w:sz w:val="16"/>
                <w:szCs w:val="16"/>
              </w:rPr>
            </w:pPr>
            <w:r w:rsidRPr="0085370F">
              <w:rPr>
                <w:rFonts w:ascii="Calibri" w:eastAsia="Calibri" w:hAnsi="Calibri" w:cs="Calibri"/>
                <w:sz w:val="16"/>
                <w:szCs w:val="16"/>
              </w:rPr>
              <w:t xml:space="preserve">Municipal authorities in </w:t>
            </w:r>
            <w:proofErr w:type="spellStart"/>
            <w:r w:rsidRPr="0085370F">
              <w:rPr>
                <w:rFonts w:ascii="Calibri" w:eastAsia="Calibri" w:hAnsi="Calibri" w:cs="Calibri"/>
                <w:sz w:val="16"/>
                <w:szCs w:val="16"/>
              </w:rPr>
              <w:t>Imotski</w:t>
            </w:r>
            <w:proofErr w:type="spellEnd"/>
            <w:r w:rsidRPr="0085370F">
              <w:rPr>
                <w:rFonts w:ascii="Calibri" w:eastAsia="Calibri" w:hAnsi="Calibri" w:cs="Calibri"/>
                <w:sz w:val="16"/>
                <w:szCs w:val="16"/>
              </w:rPr>
              <w:t xml:space="preserve"> area</w:t>
            </w:r>
          </w:p>
        </w:tc>
        <w:tc>
          <w:tcPr>
            <w:tcW w:w="2952" w:type="dxa"/>
          </w:tcPr>
          <w:p w14:paraId="5861211B" w14:textId="77777777" w:rsidR="00E773E2" w:rsidRPr="0085370F" w:rsidRDefault="00E773E2" w:rsidP="00923395">
            <w:pPr>
              <w:rPr>
                <w:sz w:val="16"/>
                <w:szCs w:val="16"/>
              </w:rPr>
            </w:pPr>
            <w:r w:rsidRPr="0085370F">
              <w:rPr>
                <w:rFonts w:ascii="Calibri" w:eastAsia="Calibri" w:hAnsi="Calibri" w:cs="Calibri"/>
                <w:sz w:val="16"/>
                <w:szCs w:val="16"/>
              </w:rPr>
              <w:t xml:space="preserve">Municipal authorities in </w:t>
            </w:r>
            <w:proofErr w:type="spellStart"/>
            <w:r w:rsidRPr="0085370F">
              <w:rPr>
                <w:rFonts w:ascii="Calibri" w:eastAsia="Calibri" w:hAnsi="Calibri" w:cs="Calibri"/>
                <w:sz w:val="16"/>
                <w:szCs w:val="16"/>
              </w:rPr>
              <w:t>Ljubuški</w:t>
            </w:r>
            <w:proofErr w:type="spellEnd"/>
          </w:p>
        </w:tc>
      </w:tr>
      <w:tr w:rsidR="00E773E2" w:rsidRPr="0085370F" w14:paraId="387EC4FE" w14:textId="77777777" w:rsidTr="00F616D9">
        <w:tc>
          <w:tcPr>
            <w:tcW w:w="2000" w:type="dxa"/>
          </w:tcPr>
          <w:p w14:paraId="2B906459" w14:textId="77777777" w:rsidR="00E773E2" w:rsidRPr="0085370F" w:rsidRDefault="00E773E2" w:rsidP="00923395">
            <w:pPr>
              <w:rPr>
                <w:sz w:val="16"/>
                <w:szCs w:val="16"/>
              </w:rPr>
            </w:pPr>
            <w:r w:rsidRPr="0085370F">
              <w:rPr>
                <w:rFonts w:ascii="Calibri" w:eastAsia="Calibri" w:hAnsi="Calibri" w:cs="Calibri"/>
                <w:sz w:val="16"/>
                <w:szCs w:val="16"/>
              </w:rPr>
              <w:t>Operational</w:t>
            </w:r>
          </w:p>
        </w:tc>
        <w:tc>
          <w:tcPr>
            <w:tcW w:w="3680" w:type="dxa"/>
          </w:tcPr>
          <w:p w14:paraId="5D6676C2" w14:textId="77777777" w:rsidR="00E773E2" w:rsidRPr="0085370F" w:rsidRDefault="00E773E2" w:rsidP="00923395">
            <w:pPr>
              <w:rPr>
                <w:sz w:val="16"/>
                <w:szCs w:val="16"/>
              </w:rPr>
            </w:pPr>
            <w:r w:rsidRPr="0085370F">
              <w:rPr>
                <w:rFonts w:ascii="Calibri" w:eastAsia="Calibri" w:hAnsi="Calibri" w:cs="Calibri"/>
                <w:sz w:val="16"/>
                <w:szCs w:val="16"/>
              </w:rPr>
              <w:t>Public utility companies (water supply and wastewater)</w:t>
            </w:r>
          </w:p>
        </w:tc>
        <w:tc>
          <w:tcPr>
            <w:tcW w:w="2952" w:type="dxa"/>
          </w:tcPr>
          <w:p w14:paraId="3EE6D4CE" w14:textId="77777777" w:rsidR="00E773E2" w:rsidRPr="0085370F" w:rsidRDefault="00E773E2" w:rsidP="00923395">
            <w:pPr>
              <w:rPr>
                <w:sz w:val="16"/>
                <w:szCs w:val="16"/>
              </w:rPr>
            </w:pPr>
            <w:r w:rsidRPr="0085370F">
              <w:rPr>
                <w:rFonts w:ascii="Calibri" w:eastAsia="Calibri" w:hAnsi="Calibri" w:cs="Calibri"/>
                <w:sz w:val="16"/>
                <w:szCs w:val="16"/>
              </w:rPr>
              <w:t xml:space="preserve">Public utility companies in </w:t>
            </w:r>
            <w:proofErr w:type="spellStart"/>
            <w:r w:rsidRPr="0085370F">
              <w:rPr>
                <w:rFonts w:ascii="Calibri" w:eastAsia="Calibri" w:hAnsi="Calibri" w:cs="Calibri"/>
                <w:sz w:val="16"/>
                <w:szCs w:val="16"/>
              </w:rPr>
              <w:t>Ljubuški</w:t>
            </w:r>
            <w:proofErr w:type="spellEnd"/>
            <w:r w:rsidRPr="0085370F">
              <w:rPr>
                <w:rFonts w:ascii="Calibri" w:eastAsia="Calibri" w:hAnsi="Calibri" w:cs="Calibri"/>
                <w:sz w:val="16"/>
                <w:szCs w:val="16"/>
              </w:rPr>
              <w:t>; local operators</w:t>
            </w:r>
          </w:p>
        </w:tc>
      </w:tr>
      <w:tr w:rsidR="00E773E2" w:rsidRPr="0085370F" w14:paraId="419354E5" w14:textId="77777777" w:rsidTr="00F616D9">
        <w:tc>
          <w:tcPr>
            <w:tcW w:w="2000" w:type="dxa"/>
          </w:tcPr>
          <w:p w14:paraId="72581C29" w14:textId="77777777" w:rsidR="00E773E2" w:rsidRPr="0085370F" w:rsidRDefault="00E773E2" w:rsidP="00923395">
            <w:pPr>
              <w:rPr>
                <w:sz w:val="16"/>
                <w:szCs w:val="16"/>
              </w:rPr>
            </w:pPr>
            <w:r w:rsidRPr="0085370F">
              <w:rPr>
                <w:rFonts w:ascii="Calibri" w:eastAsia="Calibri" w:hAnsi="Calibri" w:cs="Calibri"/>
                <w:sz w:val="16"/>
                <w:szCs w:val="16"/>
              </w:rPr>
              <w:t>Transboundary</w:t>
            </w:r>
          </w:p>
        </w:tc>
        <w:tc>
          <w:tcPr>
            <w:tcW w:w="3680" w:type="dxa"/>
          </w:tcPr>
          <w:p w14:paraId="393D5392" w14:textId="77777777" w:rsidR="00E773E2" w:rsidRPr="0085370F" w:rsidRDefault="00E773E2" w:rsidP="00923395">
            <w:pPr>
              <w:rPr>
                <w:sz w:val="16"/>
                <w:szCs w:val="16"/>
              </w:rPr>
            </w:pPr>
            <w:r w:rsidRPr="0085370F">
              <w:rPr>
                <w:rFonts w:ascii="Calibri" w:eastAsia="Calibri" w:hAnsi="Calibri" w:cs="Calibri"/>
                <w:sz w:val="16"/>
                <w:szCs w:val="16"/>
              </w:rPr>
              <w:t>Croatian Waters; JWMC; DIKTAS II</w:t>
            </w:r>
          </w:p>
        </w:tc>
        <w:tc>
          <w:tcPr>
            <w:tcW w:w="2952" w:type="dxa"/>
          </w:tcPr>
          <w:p w14:paraId="00BBD97E" w14:textId="241B7661" w:rsidR="00E773E2" w:rsidRPr="0085370F" w:rsidRDefault="00E773E2" w:rsidP="00923395">
            <w:pPr>
              <w:rPr>
                <w:sz w:val="16"/>
                <w:szCs w:val="16"/>
              </w:rPr>
            </w:pPr>
            <w:r w:rsidRPr="0085370F">
              <w:rPr>
                <w:rFonts w:ascii="Calibri" w:eastAsia="Calibri" w:hAnsi="Calibri" w:cs="Calibri"/>
                <w:sz w:val="16"/>
                <w:szCs w:val="16"/>
              </w:rPr>
              <w:t xml:space="preserve">AVP Jadran; JWMC; DIKTAS II </w:t>
            </w:r>
          </w:p>
        </w:tc>
      </w:tr>
    </w:tbl>
    <w:p w14:paraId="4C2CAFC8" w14:textId="77777777" w:rsidR="00E773E2" w:rsidRPr="003108B4" w:rsidRDefault="00E773E2" w:rsidP="0011551C">
      <w:pPr>
        <w:pStyle w:val="Heading3"/>
        <w:rPr>
          <w:lang w:val="en-GB"/>
        </w:rPr>
      </w:pPr>
      <w:bookmarkStart w:id="37" w:name="_Toc229036174"/>
      <w:r w:rsidRPr="003108B4">
        <w:rPr>
          <w:rFonts w:eastAsia="Calibri"/>
          <w:lang w:val="en-GB"/>
        </w:rPr>
        <w:t>3.2.3 Financial capacities</w:t>
      </w:r>
      <w:bookmarkEnd w:id="37"/>
    </w:p>
    <w:p w14:paraId="696061BF" w14:textId="3EBF0B9A" w:rsidR="00E773E2" w:rsidRDefault="00E773E2" w:rsidP="00E773E2">
      <w:pPr>
        <w:jc w:val="both"/>
      </w:pPr>
      <w:r>
        <w:rPr>
          <w:rFonts w:ascii="Calibri" w:eastAsia="Calibri" w:hAnsi="Calibri" w:cs="Calibri"/>
        </w:rPr>
        <w:t xml:space="preserve">Financial capacities for water resource management in </w:t>
      </w:r>
      <w:r w:rsidR="0011551C">
        <w:rPr>
          <w:rFonts w:ascii="Calibri" w:eastAsia="Calibri" w:hAnsi="Calibri" w:cs="Calibri"/>
        </w:rPr>
        <w:t xml:space="preserve">Neretva </w:t>
      </w:r>
      <w:r>
        <w:rPr>
          <w:rFonts w:ascii="Calibri" w:eastAsia="Calibri" w:hAnsi="Calibri" w:cs="Calibri"/>
        </w:rPr>
        <w:t>TBA differ significantly between Croatia and Bosnia and Herzegovina, primarily due to their different relationships with the European Union.</w:t>
      </w:r>
    </w:p>
    <w:p w14:paraId="3192D147" w14:textId="77777777" w:rsidR="00E773E2" w:rsidRDefault="00E773E2" w:rsidP="00E773E2">
      <w:pPr>
        <w:jc w:val="both"/>
      </w:pPr>
      <w:r>
        <w:rPr>
          <w:rFonts w:ascii="Calibri" w:eastAsia="Calibri" w:hAnsi="Calibri" w:cs="Calibri"/>
        </w:rPr>
        <w:t xml:space="preserve">In Croatia, the water sector benefits from access to a broad range of EU funding instruments, including EU Cohesion Policy Funds (ERDF and Cohesion Fund), the Common Agricultural Policy (EAFRD), the Recovery and Resilience Facility under </w:t>
      </w:r>
      <w:proofErr w:type="spellStart"/>
      <w:r>
        <w:rPr>
          <w:rFonts w:ascii="Calibri" w:eastAsia="Calibri" w:hAnsi="Calibri" w:cs="Calibri"/>
        </w:rPr>
        <w:t>NextGenerationEU</w:t>
      </w:r>
      <w:proofErr w:type="spellEnd"/>
      <w:r>
        <w:rPr>
          <w:rFonts w:ascii="Calibri" w:eastAsia="Calibri" w:hAnsi="Calibri" w:cs="Calibri"/>
        </w:rPr>
        <w:t>, and sectoral EU programmes. These instruments enable infrastructure development and large-scale project implementation. Financing is further supported through stable domestic mechanisms under the Water Management Financing Act, which ensures a degree of cost recovery and continuity independent of project cycles.</w:t>
      </w:r>
    </w:p>
    <w:p w14:paraId="6873520E" w14:textId="77777777" w:rsidR="00E773E2" w:rsidRDefault="00E773E2" w:rsidP="00E773E2">
      <w:pPr>
        <w:jc w:val="both"/>
      </w:pPr>
      <w:r>
        <w:rPr>
          <w:rFonts w:ascii="Calibri" w:eastAsia="Calibri" w:hAnsi="Calibri" w:cs="Calibri"/>
        </w:rPr>
        <w:t>In Bosnia and Herzegovina, financing relies primarily on the Instrument for Pre-Accession Assistance (IPA III), Interreg cross-border cooperation programmes, the Western Balkans Investment Framework (WBIF) blending EU grants with loans from international financial institutions, and bilateral donor programmes. Domestic budget allocations from entity and cantonal levels are insufficient to sustain systematic groundwater management, monitoring or infrastructure investment. This creates a structural dependence on externally funded, project-based financing with limited continuity between project cycles.</w:t>
      </w:r>
    </w:p>
    <w:p w14:paraId="2B1FC4F2" w14:textId="60AB618B" w:rsidR="00E773E2" w:rsidRDefault="0085370F" w:rsidP="0085370F">
      <w:pPr>
        <w:pStyle w:val="Caption"/>
      </w:pPr>
      <w:bookmarkStart w:id="38" w:name="_Toc229037725"/>
      <w:r>
        <w:t xml:space="preserve">Table </w:t>
      </w:r>
      <w:r>
        <w:fldChar w:fldCharType="begin"/>
      </w:r>
      <w:r>
        <w:instrText xml:space="preserve"> SEQ Table \* ARABIC </w:instrText>
      </w:r>
      <w:r>
        <w:fldChar w:fldCharType="separate"/>
      </w:r>
      <w:r w:rsidR="002F4776">
        <w:rPr>
          <w:noProof/>
        </w:rPr>
        <w:t>3</w:t>
      </w:r>
      <w:r>
        <w:fldChar w:fldCharType="end"/>
      </w:r>
      <w:r>
        <w:t xml:space="preserve"> </w:t>
      </w:r>
      <w:r w:rsidRPr="001E6B5D">
        <w:t>Financial sources for the water sector (Croatia vs Bosnia and Herzegovina)</w:t>
      </w:r>
      <w:bookmarkEnd w:id="38"/>
    </w:p>
    <w:tbl>
      <w:tblPr>
        <w:tblStyle w:val="TableGrid"/>
        <w:tblW w:w="86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00"/>
        <w:gridCol w:w="3580"/>
        <w:gridCol w:w="2852"/>
      </w:tblGrid>
      <w:tr w:rsidR="00E773E2" w:rsidRPr="0085370F" w14:paraId="2B9AEBAC" w14:textId="77777777" w:rsidTr="0085370F">
        <w:tc>
          <w:tcPr>
            <w:tcW w:w="2200" w:type="dxa"/>
            <w:shd w:val="clear" w:color="auto" w:fill="A5C9EB"/>
          </w:tcPr>
          <w:p w14:paraId="7CD333EE" w14:textId="77777777" w:rsidR="00E773E2" w:rsidRPr="0085370F" w:rsidRDefault="00E773E2" w:rsidP="00923395">
            <w:pPr>
              <w:rPr>
                <w:sz w:val="16"/>
                <w:szCs w:val="16"/>
              </w:rPr>
            </w:pPr>
            <w:r w:rsidRPr="0085370F">
              <w:rPr>
                <w:rFonts w:ascii="Calibri" w:eastAsia="Calibri" w:hAnsi="Calibri" w:cs="Calibri"/>
                <w:b/>
                <w:bCs/>
                <w:sz w:val="16"/>
                <w:szCs w:val="16"/>
              </w:rPr>
              <w:t>Source type</w:t>
            </w:r>
          </w:p>
        </w:tc>
        <w:tc>
          <w:tcPr>
            <w:tcW w:w="3580" w:type="dxa"/>
            <w:shd w:val="clear" w:color="auto" w:fill="A5C9EB"/>
          </w:tcPr>
          <w:p w14:paraId="4D7C1E42" w14:textId="77777777" w:rsidR="00E773E2" w:rsidRPr="0085370F" w:rsidRDefault="00E773E2" w:rsidP="00923395">
            <w:pPr>
              <w:rPr>
                <w:sz w:val="16"/>
                <w:szCs w:val="16"/>
              </w:rPr>
            </w:pPr>
            <w:r w:rsidRPr="0085370F">
              <w:rPr>
                <w:rFonts w:ascii="Calibri" w:eastAsia="Calibri" w:hAnsi="Calibri" w:cs="Calibri"/>
                <w:b/>
                <w:bCs/>
                <w:sz w:val="16"/>
                <w:szCs w:val="16"/>
              </w:rPr>
              <w:t>Croatia</w:t>
            </w:r>
          </w:p>
        </w:tc>
        <w:tc>
          <w:tcPr>
            <w:tcW w:w="2852" w:type="dxa"/>
            <w:shd w:val="clear" w:color="auto" w:fill="A5C9EB"/>
          </w:tcPr>
          <w:p w14:paraId="2DA199ED" w14:textId="77777777" w:rsidR="00E773E2" w:rsidRPr="0085370F" w:rsidRDefault="00E773E2" w:rsidP="00923395">
            <w:pPr>
              <w:rPr>
                <w:sz w:val="16"/>
                <w:szCs w:val="16"/>
              </w:rPr>
            </w:pPr>
            <w:r w:rsidRPr="0085370F">
              <w:rPr>
                <w:rFonts w:ascii="Calibri" w:eastAsia="Calibri" w:hAnsi="Calibri" w:cs="Calibri"/>
                <w:b/>
                <w:bCs/>
                <w:sz w:val="16"/>
                <w:szCs w:val="16"/>
              </w:rPr>
              <w:t>Bosnia and Herzegovina</w:t>
            </w:r>
          </w:p>
        </w:tc>
      </w:tr>
      <w:tr w:rsidR="00E773E2" w:rsidRPr="0085370F" w14:paraId="64A199D7" w14:textId="77777777" w:rsidTr="00F616D9">
        <w:tc>
          <w:tcPr>
            <w:tcW w:w="2200" w:type="dxa"/>
          </w:tcPr>
          <w:p w14:paraId="714FDF67" w14:textId="77777777" w:rsidR="00E773E2" w:rsidRPr="0085370F" w:rsidRDefault="00E773E2" w:rsidP="00923395">
            <w:pPr>
              <w:rPr>
                <w:sz w:val="16"/>
                <w:szCs w:val="16"/>
              </w:rPr>
            </w:pPr>
            <w:r w:rsidRPr="0085370F">
              <w:rPr>
                <w:rFonts w:ascii="Calibri" w:eastAsia="Calibri" w:hAnsi="Calibri" w:cs="Calibri"/>
                <w:sz w:val="16"/>
                <w:szCs w:val="16"/>
              </w:rPr>
              <w:t>EU funds</w:t>
            </w:r>
          </w:p>
        </w:tc>
        <w:tc>
          <w:tcPr>
            <w:tcW w:w="3580" w:type="dxa"/>
          </w:tcPr>
          <w:p w14:paraId="203A5BEB" w14:textId="77777777" w:rsidR="00E773E2" w:rsidRPr="0085370F" w:rsidRDefault="00E773E2" w:rsidP="00923395">
            <w:pPr>
              <w:rPr>
                <w:sz w:val="16"/>
                <w:szCs w:val="16"/>
              </w:rPr>
            </w:pPr>
            <w:r w:rsidRPr="0085370F">
              <w:rPr>
                <w:rFonts w:ascii="Calibri" w:eastAsia="Calibri" w:hAnsi="Calibri" w:cs="Calibri"/>
                <w:sz w:val="16"/>
                <w:szCs w:val="16"/>
              </w:rPr>
              <w:t>Cohesion Fund; ERDF; Recovery and Resilience Facility (RRF); LIFE; Horizon Europe</w:t>
            </w:r>
          </w:p>
        </w:tc>
        <w:tc>
          <w:tcPr>
            <w:tcW w:w="2852" w:type="dxa"/>
          </w:tcPr>
          <w:p w14:paraId="79E5169E" w14:textId="77777777" w:rsidR="00E773E2" w:rsidRPr="0085370F" w:rsidRDefault="00E773E2" w:rsidP="00923395">
            <w:pPr>
              <w:rPr>
                <w:sz w:val="16"/>
                <w:szCs w:val="16"/>
              </w:rPr>
            </w:pPr>
            <w:r w:rsidRPr="0085370F">
              <w:rPr>
                <w:rFonts w:ascii="Calibri" w:eastAsia="Calibri" w:hAnsi="Calibri" w:cs="Calibri"/>
                <w:sz w:val="16"/>
                <w:szCs w:val="16"/>
              </w:rPr>
              <w:t>IPA III; Interreg programmes</w:t>
            </w:r>
          </w:p>
        </w:tc>
      </w:tr>
      <w:tr w:rsidR="00E773E2" w:rsidRPr="0085370F" w14:paraId="684D9B60" w14:textId="77777777" w:rsidTr="00F616D9">
        <w:tc>
          <w:tcPr>
            <w:tcW w:w="2200" w:type="dxa"/>
          </w:tcPr>
          <w:p w14:paraId="2697C36B" w14:textId="77777777" w:rsidR="00E773E2" w:rsidRPr="0085370F" w:rsidRDefault="00E773E2" w:rsidP="00923395">
            <w:pPr>
              <w:rPr>
                <w:sz w:val="16"/>
                <w:szCs w:val="16"/>
              </w:rPr>
            </w:pPr>
            <w:r w:rsidRPr="0085370F">
              <w:rPr>
                <w:rFonts w:ascii="Calibri" w:eastAsia="Calibri" w:hAnsi="Calibri" w:cs="Calibri"/>
                <w:sz w:val="16"/>
                <w:szCs w:val="16"/>
              </w:rPr>
              <w:t>International financial institutions</w:t>
            </w:r>
          </w:p>
        </w:tc>
        <w:tc>
          <w:tcPr>
            <w:tcW w:w="3580" w:type="dxa"/>
          </w:tcPr>
          <w:p w14:paraId="2730B272" w14:textId="77777777" w:rsidR="00E773E2" w:rsidRPr="0085370F" w:rsidRDefault="00E773E2" w:rsidP="00923395">
            <w:pPr>
              <w:rPr>
                <w:sz w:val="16"/>
                <w:szCs w:val="16"/>
              </w:rPr>
            </w:pPr>
            <w:r w:rsidRPr="0085370F">
              <w:rPr>
                <w:rFonts w:ascii="Calibri" w:eastAsia="Calibri" w:hAnsi="Calibri" w:cs="Calibri"/>
                <w:sz w:val="16"/>
                <w:szCs w:val="16"/>
              </w:rPr>
              <w:t>EIB; EBRD (less dominant than EU funds)</w:t>
            </w:r>
          </w:p>
        </w:tc>
        <w:tc>
          <w:tcPr>
            <w:tcW w:w="2852" w:type="dxa"/>
          </w:tcPr>
          <w:p w14:paraId="123A7956" w14:textId="77777777" w:rsidR="00E773E2" w:rsidRPr="0085370F" w:rsidRDefault="00E773E2" w:rsidP="00923395">
            <w:pPr>
              <w:rPr>
                <w:sz w:val="16"/>
                <w:szCs w:val="16"/>
              </w:rPr>
            </w:pPr>
            <w:r w:rsidRPr="0085370F">
              <w:rPr>
                <w:rFonts w:ascii="Calibri" w:eastAsia="Calibri" w:hAnsi="Calibri" w:cs="Calibri"/>
                <w:sz w:val="16"/>
                <w:szCs w:val="16"/>
              </w:rPr>
              <w:t>World Bank; EIB; EBRD; WBIF</w:t>
            </w:r>
          </w:p>
        </w:tc>
      </w:tr>
      <w:tr w:rsidR="00E773E2" w:rsidRPr="0085370F" w14:paraId="772A3C09" w14:textId="77777777" w:rsidTr="00F616D9">
        <w:tc>
          <w:tcPr>
            <w:tcW w:w="2200" w:type="dxa"/>
          </w:tcPr>
          <w:p w14:paraId="044EA87E" w14:textId="77777777" w:rsidR="00E773E2" w:rsidRPr="0085370F" w:rsidRDefault="00E773E2" w:rsidP="00923395">
            <w:pPr>
              <w:rPr>
                <w:sz w:val="16"/>
                <w:szCs w:val="16"/>
              </w:rPr>
            </w:pPr>
            <w:r w:rsidRPr="0085370F">
              <w:rPr>
                <w:rFonts w:ascii="Calibri" w:eastAsia="Calibri" w:hAnsi="Calibri" w:cs="Calibri"/>
                <w:sz w:val="16"/>
                <w:szCs w:val="16"/>
              </w:rPr>
              <w:t>National/entity sources</w:t>
            </w:r>
          </w:p>
        </w:tc>
        <w:tc>
          <w:tcPr>
            <w:tcW w:w="3580" w:type="dxa"/>
          </w:tcPr>
          <w:p w14:paraId="58A28B7D" w14:textId="77777777" w:rsidR="00E773E2" w:rsidRPr="0085370F" w:rsidRDefault="00E773E2" w:rsidP="00923395">
            <w:pPr>
              <w:rPr>
                <w:sz w:val="16"/>
                <w:szCs w:val="16"/>
              </w:rPr>
            </w:pPr>
            <w:r w:rsidRPr="0085370F">
              <w:rPr>
                <w:rFonts w:ascii="Calibri" w:eastAsia="Calibri" w:hAnsi="Calibri" w:cs="Calibri"/>
                <w:sz w:val="16"/>
                <w:szCs w:val="16"/>
              </w:rPr>
              <w:t>State budget; Croatian Waters (Water Management Financing Act)</w:t>
            </w:r>
          </w:p>
        </w:tc>
        <w:tc>
          <w:tcPr>
            <w:tcW w:w="2852" w:type="dxa"/>
          </w:tcPr>
          <w:p w14:paraId="6ECE3092" w14:textId="77777777" w:rsidR="00E773E2" w:rsidRPr="0085370F" w:rsidRDefault="00E773E2" w:rsidP="00923395">
            <w:pPr>
              <w:rPr>
                <w:sz w:val="16"/>
                <w:szCs w:val="16"/>
              </w:rPr>
            </w:pPr>
            <w:r w:rsidRPr="0085370F">
              <w:rPr>
                <w:rFonts w:ascii="Calibri" w:eastAsia="Calibri" w:hAnsi="Calibri" w:cs="Calibri"/>
                <w:sz w:val="16"/>
                <w:szCs w:val="16"/>
              </w:rPr>
              <w:t>Entity and cantonal budgets (chronically insufficient)</w:t>
            </w:r>
          </w:p>
        </w:tc>
      </w:tr>
      <w:tr w:rsidR="00E773E2" w:rsidRPr="0085370F" w14:paraId="21C8E8C8" w14:textId="77777777" w:rsidTr="00F616D9">
        <w:tc>
          <w:tcPr>
            <w:tcW w:w="2200" w:type="dxa"/>
          </w:tcPr>
          <w:p w14:paraId="2A4E0DCC" w14:textId="77777777" w:rsidR="00E773E2" w:rsidRPr="0085370F" w:rsidRDefault="00E773E2" w:rsidP="00923395">
            <w:pPr>
              <w:rPr>
                <w:sz w:val="16"/>
                <w:szCs w:val="16"/>
              </w:rPr>
            </w:pPr>
            <w:r w:rsidRPr="0085370F">
              <w:rPr>
                <w:rFonts w:ascii="Calibri" w:eastAsia="Calibri" w:hAnsi="Calibri" w:cs="Calibri"/>
                <w:sz w:val="16"/>
                <w:szCs w:val="16"/>
              </w:rPr>
              <w:t>Local sources</w:t>
            </w:r>
          </w:p>
        </w:tc>
        <w:tc>
          <w:tcPr>
            <w:tcW w:w="3580" w:type="dxa"/>
          </w:tcPr>
          <w:p w14:paraId="0F740D93" w14:textId="77777777" w:rsidR="00E773E2" w:rsidRPr="0085370F" w:rsidRDefault="00E773E2" w:rsidP="00923395">
            <w:pPr>
              <w:rPr>
                <w:sz w:val="16"/>
                <w:szCs w:val="16"/>
              </w:rPr>
            </w:pPr>
            <w:r w:rsidRPr="0085370F">
              <w:rPr>
                <w:rFonts w:ascii="Calibri" w:eastAsia="Calibri" w:hAnsi="Calibri" w:cs="Calibri"/>
                <w:sz w:val="16"/>
                <w:szCs w:val="16"/>
              </w:rPr>
              <w:t>Local government budgets; utility companies</w:t>
            </w:r>
          </w:p>
        </w:tc>
        <w:tc>
          <w:tcPr>
            <w:tcW w:w="2852" w:type="dxa"/>
          </w:tcPr>
          <w:p w14:paraId="7239784C" w14:textId="77777777" w:rsidR="00E773E2" w:rsidRPr="0085370F" w:rsidRDefault="00E773E2" w:rsidP="00923395">
            <w:pPr>
              <w:rPr>
                <w:sz w:val="16"/>
                <w:szCs w:val="16"/>
              </w:rPr>
            </w:pPr>
            <w:r w:rsidRPr="0085370F">
              <w:rPr>
                <w:rFonts w:ascii="Calibri" w:eastAsia="Calibri" w:hAnsi="Calibri" w:cs="Calibri"/>
                <w:sz w:val="16"/>
                <w:szCs w:val="16"/>
              </w:rPr>
              <w:t>Local budgets; utility companies</w:t>
            </w:r>
          </w:p>
        </w:tc>
      </w:tr>
      <w:tr w:rsidR="00E773E2" w:rsidRPr="0085370F" w14:paraId="647133FC" w14:textId="77777777" w:rsidTr="00F616D9">
        <w:tc>
          <w:tcPr>
            <w:tcW w:w="2200" w:type="dxa"/>
          </w:tcPr>
          <w:p w14:paraId="33970D29" w14:textId="77777777" w:rsidR="00E773E2" w:rsidRPr="0085370F" w:rsidRDefault="00E773E2" w:rsidP="00923395">
            <w:pPr>
              <w:rPr>
                <w:sz w:val="16"/>
                <w:szCs w:val="16"/>
              </w:rPr>
            </w:pPr>
            <w:r w:rsidRPr="0085370F">
              <w:rPr>
                <w:rFonts w:ascii="Calibri" w:eastAsia="Calibri" w:hAnsi="Calibri" w:cs="Calibri"/>
                <w:sz w:val="16"/>
                <w:szCs w:val="16"/>
              </w:rPr>
              <w:t>Other</w:t>
            </w:r>
          </w:p>
        </w:tc>
        <w:tc>
          <w:tcPr>
            <w:tcW w:w="3580" w:type="dxa"/>
          </w:tcPr>
          <w:p w14:paraId="44E0A2D4" w14:textId="77777777" w:rsidR="00E773E2" w:rsidRPr="0085370F" w:rsidRDefault="00E773E2" w:rsidP="00923395">
            <w:pPr>
              <w:rPr>
                <w:sz w:val="16"/>
                <w:szCs w:val="16"/>
              </w:rPr>
            </w:pPr>
            <w:r w:rsidRPr="0085370F">
              <w:rPr>
                <w:rFonts w:ascii="Calibri" w:eastAsia="Calibri" w:hAnsi="Calibri" w:cs="Calibri"/>
                <w:sz w:val="16"/>
                <w:szCs w:val="16"/>
              </w:rPr>
              <w:t>Public investments and co-financing mechanisms</w:t>
            </w:r>
          </w:p>
        </w:tc>
        <w:tc>
          <w:tcPr>
            <w:tcW w:w="2852" w:type="dxa"/>
          </w:tcPr>
          <w:p w14:paraId="78D37D0C" w14:textId="77777777" w:rsidR="00E773E2" w:rsidRPr="0085370F" w:rsidRDefault="00E773E2" w:rsidP="00923395">
            <w:pPr>
              <w:rPr>
                <w:sz w:val="16"/>
                <w:szCs w:val="16"/>
              </w:rPr>
            </w:pPr>
            <w:r w:rsidRPr="0085370F">
              <w:rPr>
                <w:rFonts w:ascii="Calibri" w:eastAsia="Calibri" w:hAnsi="Calibri" w:cs="Calibri"/>
                <w:sz w:val="16"/>
                <w:szCs w:val="16"/>
              </w:rPr>
              <w:t>Grants and donor-funded projects</w:t>
            </w:r>
          </w:p>
        </w:tc>
      </w:tr>
    </w:tbl>
    <w:p w14:paraId="65E449D9" w14:textId="77777777" w:rsidR="00E773E2" w:rsidRPr="003108B4" w:rsidRDefault="00E773E2" w:rsidP="0011551C">
      <w:pPr>
        <w:pStyle w:val="Heading3"/>
        <w:rPr>
          <w:lang w:val="en-GB"/>
        </w:rPr>
      </w:pPr>
      <w:bookmarkStart w:id="39" w:name="_Toc229036175"/>
      <w:r w:rsidRPr="003108B4">
        <w:rPr>
          <w:rFonts w:eastAsia="Calibri"/>
          <w:lang w:val="en-GB"/>
        </w:rPr>
        <w:t>3.2.4 Transboundary coordination and capacity gaps</w:t>
      </w:r>
      <w:bookmarkEnd w:id="39"/>
    </w:p>
    <w:p w14:paraId="01F1FAFA" w14:textId="72FACFC4" w:rsidR="00E773E2" w:rsidRDefault="00E773E2" w:rsidP="00E773E2">
      <w:pPr>
        <w:jc w:val="both"/>
      </w:pPr>
      <w:r>
        <w:rPr>
          <w:rFonts w:ascii="Calibri" w:eastAsia="Calibri" w:hAnsi="Calibri" w:cs="Calibri"/>
        </w:rPr>
        <w:t xml:space="preserve">In the context of </w:t>
      </w:r>
      <w:r w:rsidR="0011551C">
        <w:rPr>
          <w:rFonts w:ascii="Calibri" w:eastAsia="Calibri" w:hAnsi="Calibri" w:cs="Calibri"/>
        </w:rPr>
        <w:t xml:space="preserve">Neretva </w:t>
      </w:r>
      <w:r>
        <w:rPr>
          <w:rFonts w:ascii="Calibri" w:eastAsia="Calibri" w:hAnsi="Calibri" w:cs="Calibri"/>
        </w:rPr>
        <w:t xml:space="preserve">TBA, effective groundwater management requires structured coordination between institutions in Croatia and Bosnia and Herzegovina. The primary bilateral mechanism is the Joint Water Management Commission (JWMC), established under the 1996 </w:t>
      </w:r>
      <w:r>
        <w:rPr>
          <w:rFonts w:ascii="Calibri" w:eastAsia="Calibri" w:hAnsi="Calibri" w:cs="Calibri"/>
        </w:rPr>
        <w:lastRenderedPageBreak/>
        <w:t xml:space="preserve">Agreement on the Regulation of Water Management Relations, which provides the formal framework for cooperation on shared water resources. At the operational level within the TBA, the key bilateral interface is between Croatian Waters and AVP Jadran. The DIKTAS II project has provided additional project-based coordination through technical working groups, expert exchanges and the development of the Joint Action </w:t>
      </w:r>
      <w:r w:rsidR="0011551C">
        <w:rPr>
          <w:rFonts w:ascii="Calibri" w:eastAsia="Calibri" w:hAnsi="Calibri" w:cs="Calibri"/>
        </w:rPr>
        <w:t>Programme and</w:t>
      </w:r>
      <w:r>
        <w:rPr>
          <w:rFonts w:ascii="Calibri" w:eastAsia="Calibri" w:hAnsi="Calibri" w:cs="Calibri"/>
        </w:rPr>
        <w:t xml:space="preserve"> will establish the Consultation and Information Exchange (CIE) Body as a multilateral platform for ongoing data exchange and coordinated monitoring.</w:t>
      </w:r>
    </w:p>
    <w:p w14:paraId="3B3606F0" w14:textId="77777777" w:rsidR="00E773E2" w:rsidRDefault="00E773E2" w:rsidP="00E773E2">
      <w:pPr>
        <w:jc w:val="both"/>
      </w:pPr>
      <w:r>
        <w:rPr>
          <w:rFonts w:ascii="Calibri" w:eastAsia="Calibri" w:hAnsi="Calibri" w:cs="Calibri"/>
        </w:rPr>
        <w:t>However, transboundary management faces persistent structural challenges. The asymmetry between Croatia’s EU-aligned, centralised system and Bosnia and Herzegovina’s decentralised, multi-entity framework creates practical difficulties for harmonising monitoring protocols, data formats and enforcement standards. No unified cross-border information system exists, and data exchange between Croatian Waters and AVP Jadran relies on project-based arrangements rather than permanent protocols.</w:t>
      </w:r>
    </w:p>
    <w:p w14:paraId="22B4EEEC" w14:textId="77777777" w:rsidR="00E773E2" w:rsidRDefault="00E773E2" w:rsidP="00E773E2">
      <w:pPr>
        <w:jc w:val="both"/>
      </w:pPr>
      <w:r>
        <w:rPr>
          <w:rFonts w:ascii="Calibri" w:eastAsia="Calibri" w:hAnsi="Calibri" w:cs="Calibri"/>
        </w:rPr>
        <w:t>Key capacity gaps include the following: limited and non-harmonised data exchange between national and entity-level water information systems; significant differences in administrative and technical capacities, particularly at cantonal and municipal level on the BiH side; institutional fragmentation within Bosnia and Herzegovina, leading to overlapping competencies and slow decision-making; absence of formally adopted cross-border sanitary protection zones, despite a draft Regulation having been prepared under the bilateral Working Group established pursuant to the 1996 Agreement; and insufficient long-term financial sustainability on the BiH side, which creates dependence on donor cycles and interrupts continuity of groundwater monitoring and protection activities.</w:t>
      </w:r>
    </w:p>
    <w:p w14:paraId="5E84AF23" w14:textId="07A17A5B" w:rsidR="00E773E2" w:rsidRPr="00D60A13" w:rsidRDefault="00E773E2" w:rsidP="00E773E2">
      <w:pPr>
        <w:spacing w:before="240"/>
        <w:jc w:val="both"/>
        <w:rPr>
          <w:rFonts w:ascii="Calibri" w:eastAsia="Calibri" w:hAnsi="Calibri" w:cs="Calibri"/>
          <w:b/>
          <w:bCs/>
          <w:color w:val="2F5496"/>
          <w:sz w:val="24"/>
          <w:szCs w:val="24"/>
        </w:rPr>
      </w:pPr>
      <w:r>
        <w:rPr>
          <w:rFonts w:ascii="Calibri" w:eastAsia="Calibri" w:hAnsi="Calibri" w:cs="Calibri"/>
        </w:rPr>
        <w:t xml:space="preserve">Strengthening institutional and financial capacities requires improved and formalised coordination mechanisms between Croatian Waters and AVP Jadran, enhanced local capacities at cantonal and municipal level in the </w:t>
      </w:r>
      <w:r w:rsidR="0011551C">
        <w:rPr>
          <w:rFonts w:ascii="Calibri" w:eastAsia="Calibri" w:hAnsi="Calibri" w:cs="Calibri"/>
        </w:rPr>
        <w:t>“</w:t>
      </w:r>
      <w:proofErr w:type="spellStart"/>
      <w:r>
        <w:rPr>
          <w:rFonts w:ascii="Calibri" w:eastAsia="Calibri" w:hAnsi="Calibri" w:cs="Calibri"/>
        </w:rPr>
        <w:t>Zapadnohercegovаčki</w:t>
      </w:r>
      <w:proofErr w:type="spellEnd"/>
      <w:r w:rsidR="0011551C">
        <w:rPr>
          <w:rFonts w:ascii="Calibri" w:eastAsia="Calibri" w:hAnsi="Calibri" w:cs="Calibri"/>
        </w:rPr>
        <w:t>”</w:t>
      </w:r>
      <w:r>
        <w:rPr>
          <w:rFonts w:ascii="Calibri" w:eastAsia="Calibri" w:hAnsi="Calibri" w:cs="Calibri"/>
        </w:rPr>
        <w:t xml:space="preserve"> Canton, and the development of stable funding arrangements that go beyond project-based approaches.</w:t>
      </w:r>
    </w:p>
    <w:p w14:paraId="21CB57A0" w14:textId="77777777" w:rsidR="0011551C" w:rsidRDefault="0011551C" w:rsidP="00EF05F2">
      <w:pPr>
        <w:spacing w:after="200" w:line="276" w:lineRule="auto"/>
        <w:jc w:val="both"/>
        <w:rPr>
          <w:rFonts w:ascii="Calibri" w:eastAsia="Times New Roman" w:hAnsi="Calibri" w:cs="Times New Roman"/>
        </w:rPr>
      </w:pPr>
    </w:p>
    <w:p w14:paraId="22043FEA" w14:textId="77777777" w:rsidR="0011551C" w:rsidRPr="0039215F" w:rsidRDefault="0011551C" w:rsidP="005F05DA">
      <w:pPr>
        <w:pStyle w:val="Heading2"/>
        <w:spacing w:after="160"/>
        <w:rPr>
          <w:rFonts w:eastAsia="Calibri"/>
          <w:lang w:val="en-GB"/>
        </w:rPr>
      </w:pPr>
      <w:bookmarkStart w:id="40" w:name="_Toc229036176"/>
      <w:r w:rsidRPr="0039215F">
        <w:rPr>
          <w:rFonts w:eastAsia="Calibri"/>
          <w:lang w:val="en-GB"/>
        </w:rPr>
        <w:t>3.3 Stakeholder analysis</w:t>
      </w:r>
      <w:bookmarkEnd w:id="40"/>
      <w:r w:rsidRPr="0039215F">
        <w:rPr>
          <w:rFonts w:eastAsia="Calibri"/>
          <w:lang w:val="en-GB"/>
        </w:rPr>
        <w:t xml:space="preserve"> </w:t>
      </w:r>
    </w:p>
    <w:p w14:paraId="1814AF21" w14:textId="53BA0F0A" w:rsidR="0011551C" w:rsidRPr="007A34A0" w:rsidRDefault="0011551C" w:rsidP="005F05DA">
      <w:pPr>
        <w:spacing w:before="80"/>
        <w:jc w:val="both"/>
        <w:rPr>
          <w:rFonts w:ascii="Calibri" w:eastAsia="Arial" w:hAnsi="Calibri" w:cs="Calibri"/>
          <w:lang w:eastAsia="en-GB"/>
        </w:rPr>
      </w:pPr>
      <w:r w:rsidRPr="007A34A0">
        <w:rPr>
          <w:rFonts w:ascii="Calibri" w:eastAsia="Arial" w:hAnsi="Calibri" w:cs="Calibri"/>
          <w:lang w:eastAsia="en-GB"/>
        </w:rPr>
        <w:t xml:space="preserve">The institutional and financial landscape described in </w:t>
      </w:r>
      <w:r w:rsidR="005F05DA">
        <w:rPr>
          <w:rFonts w:ascii="Calibri" w:eastAsia="Arial" w:hAnsi="Calibri" w:cs="Calibri"/>
          <w:lang w:eastAsia="en-GB"/>
        </w:rPr>
        <w:t>the S</w:t>
      </w:r>
      <w:r w:rsidRPr="007A34A0">
        <w:rPr>
          <w:rFonts w:ascii="Calibri" w:eastAsia="Arial" w:hAnsi="Calibri" w:cs="Calibri"/>
          <w:lang w:eastAsia="en-GB"/>
        </w:rPr>
        <w:t xml:space="preserve">ection 3.2 provides the formal framework within which a broader set of stakeholders influences groundwater conditions in </w:t>
      </w:r>
      <w:r w:rsidR="005F05DA" w:rsidRPr="007A34A0">
        <w:rPr>
          <w:rFonts w:ascii="Calibri" w:eastAsia="Arial" w:hAnsi="Calibri" w:cs="Calibri"/>
          <w:lang w:eastAsia="en-GB"/>
        </w:rPr>
        <w:t xml:space="preserve">Neretva </w:t>
      </w:r>
      <w:r w:rsidRPr="007A34A0">
        <w:rPr>
          <w:rFonts w:ascii="Calibri" w:eastAsia="Arial" w:hAnsi="Calibri" w:cs="Calibri"/>
          <w:lang w:eastAsia="en-GB"/>
        </w:rPr>
        <w:t>TBA. Beyond national authorities and water agencies, agricultural producers, water utilities, local governments, hydropower operators, tourism businesses, civil society organisations and local communities all shape, directly or indirectly, the pressures on and the protection of shared groundwater resources.</w:t>
      </w:r>
    </w:p>
    <w:p w14:paraId="6C8F4486" w14:textId="23DFD6AA" w:rsidR="0011551C" w:rsidRPr="007A34A0" w:rsidRDefault="0011551C" w:rsidP="005F05DA">
      <w:pPr>
        <w:spacing w:before="80"/>
        <w:jc w:val="both"/>
        <w:rPr>
          <w:rFonts w:ascii="Calibri" w:eastAsia="Arial" w:hAnsi="Calibri" w:cs="Calibri"/>
          <w:lang w:eastAsia="en-GB"/>
        </w:rPr>
      </w:pPr>
      <w:r w:rsidRPr="007A34A0">
        <w:rPr>
          <w:rFonts w:ascii="Calibri" w:eastAsia="Arial" w:hAnsi="Calibri" w:cs="Calibri"/>
          <w:lang w:eastAsia="en-GB"/>
        </w:rPr>
        <w:t>In Neretva TBA, stakeholder dynamics are strongly defined by upstream-downstream asymmetry. Economic activities in the upstream parts of the basin, particularly agriculture and hydropower in Bosnia and Herzegovina, generate pressures that propagate through the highly permeable karst system towards downstream users in Croatia. This spatial logic means that the actors generating the greatest pressures on groundwater are not always those bearing the greatest consequences, creating a governance challenge that goes beyond institutional capacity alone.</w:t>
      </w:r>
    </w:p>
    <w:p w14:paraId="4F44CA15" w14:textId="0B32EA8E" w:rsidR="0011551C" w:rsidRPr="005F05DA" w:rsidRDefault="0011551C" w:rsidP="005F05DA">
      <w:pPr>
        <w:pStyle w:val="Heading3"/>
        <w:spacing w:after="160"/>
        <w:rPr>
          <w:rFonts w:eastAsia="Arial"/>
          <w:lang w:val="en-GB" w:eastAsia="en-GB"/>
        </w:rPr>
      </w:pPr>
      <w:bookmarkStart w:id="41" w:name="_Toc229036177"/>
      <w:r w:rsidRPr="005F05DA">
        <w:rPr>
          <w:rFonts w:eastAsia="Arial"/>
          <w:lang w:val="en-GB" w:eastAsia="en-GB"/>
        </w:rPr>
        <w:lastRenderedPageBreak/>
        <w:t xml:space="preserve">3.3.1 Key </w:t>
      </w:r>
      <w:r w:rsidR="005F05DA" w:rsidRPr="005F05DA">
        <w:rPr>
          <w:rFonts w:eastAsia="Arial"/>
          <w:lang w:val="en-GB" w:eastAsia="en-GB"/>
        </w:rPr>
        <w:t>s</w:t>
      </w:r>
      <w:r w:rsidRPr="005F05DA">
        <w:rPr>
          <w:rFonts w:eastAsia="Arial"/>
          <w:lang w:val="en-GB" w:eastAsia="en-GB"/>
        </w:rPr>
        <w:t xml:space="preserve">takeholder </w:t>
      </w:r>
      <w:r w:rsidR="005F05DA" w:rsidRPr="005F05DA">
        <w:rPr>
          <w:rFonts w:eastAsia="Arial"/>
          <w:lang w:val="en-GB" w:eastAsia="en-GB"/>
        </w:rPr>
        <w:t>g</w:t>
      </w:r>
      <w:r w:rsidRPr="005F05DA">
        <w:rPr>
          <w:rFonts w:eastAsia="Arial"/>
          <w:lang w:val="en-GB" w:eastAsia="en-GB"/>
        </w:rPr>
        <w:t>roups</w:t>
      </w:r>
      <w:bookmarkEnd w:id="41"/>
    </w:p>
    <w:p w14:paraId="1D0955C8" w14:textId="46E8EA24" w:rsidR="0011551C" w:rsidRPr="007A34A0" w:rsidRDefault="0011551C" w:rsidP="005F05DA">
      <w:pPr>
        <w:spacing w:before="80"/>
        <w:jc w:val="both"/>
        <w:rPr>
          <w:rFonts w:ascii="Calibri" w:eastAsia="Arial" w:hAnsi="Calibri" w:cs="Calibri"/>
          <w:lang w:eastAsia="en-GB"/>
        </w:rPr>
      </w:pPr>
      <w:r w:rsidRPr="007A34A0">
        <w:rPr>
          <w:rFonts w:ascii="Calibri" w:eastAsia="Arial" w:hAnsi="Calibri" w:cs="Calibri"/>
          <w:lang w:eastAsia="en-GB"/>
        </w:rPr>
        <w:t xml:space="preserve">Agriculture is the dominant source of diffuse groundwater pressure across the TBA. In the Croatian part, small-scale fragmented family farming prevails, constrained by demographic decline and ageing. In Bosnia and Herzegovina, particularly in the </w:t>
      </w:r>
      <w:proofErr w:type="spellStart"/>
      <w:r w:rsidRPr="007A34A0">
        <w:rPr>
          <w:rFonts w:ascii="Calibri" w:eastAsia="Arial" w:hAnsi="Calibri" w:cs="Calibri"/>
          <w:lang w:eastAsia="en-GB"/>
        </w:rPr>
        <w:t>Trebi</w:t>
      </w:r>
      <w:r w:rsidR="005F05DA">
        <w:rPr>
          <w:rFonts w:ascii="Calibri" w:eastAsia="Arial" w:hAnsi="Calibri" w:cs="Calibri"/>
          <w:lang w:eastAsia="en-GB"/>
        </w:rPr>
        <w:t>ž</w:t>
      </w:r>
      <w:r w:rsidRPr="007A34A0">
        <w:rPr>
          <w:rFonts w:ascii="Calibri" w:eastAsia="Arial" w:hAnsi="Calibri" w:cs="Calibri"/>
          <w:lang w:eastAsia="en-GB"/>
        </w:rPr>
        <w:t>at</w:t>
      </w:r>
      <w:proofErr w:type="spellEnd"/>
      <w:r w:rsidRPr="007A34A0">
        <w:rPr>
          <w:rFonts w:ascii="Calibri" w:eastAsia="Arial" w:hAnsi="Calibri" w:cs="Calibri"/>
          <w:lang w:eastAsia="en-GB"/>
        </w:rPr>
        <w:t xml:space="preserve"> area and </w:t>
      </w:r>
      <w:proofErr w:type="spellStart"/>
      <w:r w:rsidRPr="007A34A0">
        <w:rPr>
          <w:rFonts w:ascii="Calibri" w:eastAsia="Arial" w:hAnsi="Calibri" w:cs="Calibri"/>
          <w:lang w:eastAsia="en-GB"/>
        </w:rPr>
        <w:t>Ljubu</w:t>
      </w:r>
      <w:r w:rsidR="005F05DA">
        <w:rPr>
          <w:rFonts w:ascii="Calibri" w:eastAsia="Arial" w:hAnsi="Calibri" w:cs="Calibri"/>
          <w:lang w:eastAsia="en-GB"/>
        </w:rPr>
        <w:t>š</w:t>
      </w:r>
      <w:r w:rsidRPr="007A34A0">
        <w:rPr>
          <w:rFonts w:ascii="Calibri" w:eastAsia="Arial" w:hAnsi="Calibri" w:cs="Calibri"/>
          <w:lang w:eastAsia="en-GB"/>
        </w:rPr>
        <w:t>ko</w:t>
      </w:r>
      <w:proofErr w:type="spellEnd"/>
      <w:r w:rsidRPr="007A34A0">
        <w:rPr>
          <w:rFonts w:ascii="Calibri" w:eastAsia="Arial" w:hAnsi="Calibri" w:cs="Calibri"/>
          <w:lang w:eastAsia="en-GB"/>
        </w:rPr>
        <w:t xml:space="preserve"> Polje, production is more intensive and </w:t>
      </w:r>
      <w:r w:rsidR="005F05DA" w:rsidRPr="007A34A0">
        <w:rPr>
          <w:rFonts w:ascii="Calibri" w:eastAsia="Arial" w:hAnsi="Calibri" w:cs="Calibri"/>
          <w:lang w:eastAsia="en-GB"/>
        </w:rPr>
        <w:t>market oriented</w:t>
      </w:r>
      <w:r w:rsidRPr="007A34A0">
        <w:rPr>
          <w:rFonts w:ascii="Calibri" w:eastAsia="Arial" w:hAnsi="Calibri" w:cs="Calibri"/>
          <w:lang w:eastAsia="en-GB"/>
        </w:rPr>
        <w:t>. In both cases, irrigation and individual abstractions create quantitative stress, while fertiliser and pesticide application generates nutrient and chemical loading in recharge areas. Agricultural stakeholders are rarely engaged in groundwater protection planning, and incentives for adopting good practice remain weak.</w:t>
      </w:r>
    </w:p>
    <w:p w14:paraId="0A2C9E72" w14:textId="2D903971" w:rsidR="0011551C" w:rsidRPr="007A34A0" w:rsidRDefault="0011551C" w:rsidP="005F05DA">
      <w:pPr>
        <w:spacing w:before="80"/>
        <w:jc w:val="both"/>
        <w:rPr>
          <w:rFonts w:ascii="Calibri" w:eastAsia="Arial" w:hAnsi="Calibri" w:cs="Calibri"/>
          <w:lang w:eastAsia="en-GB"/>
        </w:rPr>
      </w:pPr>
      <w:r w:rsidRPr="007A34A0">
        <w:rPr>
          <w:rFonts w:ascii="Calibri" w:eastAsia="Arial" w:hAnsi="Calibri" w:cs="Calibri"/>
          <w:lang w:eastAsia="en-GB"/>
        </w:rPr>
        <w:t xml:space="preserve">Water utilities are operationally central to groundwater governance: they abstract, treat and distribute groundwater for public supply, and in several cases operate wastewater systems that directly affect aquifer quality. As described in section 3.6, the utility serving </w:t>
      </w:r>
      <w:proofErr w:type="spellStart"/>
      <w:r w:rsidRPr="007A34A0">
        <w:rPr>
          <w:rFonts w:ascii="Calibri" w:eastAsia="Arial" w:hAnsi="Calibri" w:cs="Calibri"/>
          <w:lang w:eastAsia="en-GB"/>
        </w:rPr>
        <w:t>Ljubu</w:t>
      </w:r>
      <w:r w:rsidR="005F05DA">
        <w:rPr>
          <w:rFonts w:ascii="Calibri" w:eastAsia="Arial" w:hAnsi="Calibri" w:cs="Calibri"/>
          <w:lang w:eastAsia="en-GB"/>
        </w:rPr>
        <w:t>š</w:t>
      </w:r>
      <w:r w:rsidRPr="007A34A0">
        <w:rPr>
          <w:rFonts w:ascii="Calibri" w:eastAsia="Arial" w:hAnsi="Calibri" w:cs="Calibri"/>
          <w:lang w:eastAsia="en-GB"/>
        </w:rPr>
        <w:t>ki</w:t>
      </w:r>
      <w:proofErr w:type="spellEnd"/>
      <w:r w:rsidRPr="007A34A0">
        <w:rPr>
          <w:rFonts w:ascii="Calibri" w:eastAsia="Arial" w:hAnsi="Calibri" w:cs="Calibri"/>
          <w:lang w:eastAsia="en-GB"/>
        </w:rPr>
        <w:t xml:space="preserve"> relies on the </w:t>
      </w:r>
      <w:proofErr w:type="spellStart"/>
      <w:r w:rsidRPr="007A34A0">
        <w:rPr>
          <w:rFonts w:ascii="Calibri" w:eastAsia="Arial" w:hAnsi="Calibri" w:cs="Calibri"/>
          <w:lang w:eastAsia="en-GB"/>
        </w:rPr>
        <w:t>Trebi</w:t>
      </w:r>
      <w:r w:rsidR="005F05DA">
        <w:rPr>
          <w:rFonts w:ascii="Calibri" w:eastAsia="Arial" w:hAnsi="Calibri" w:cs="Calibri"/>
          <w:lang w:eastAsia="en-GB"/>
        </w:rPr>
        <w:t>ž</w:t>
      </w:r>
      <w:r w:rsidRPr="007A34A0">
        <w:rPr>
          <w:rFonts w:ascii="Calibri" w:eastAsia="Arial" w:hAnsi="Calibri" w:cs="Calibri"/>
          <w:lang w:eastAsia="en-GB"/>
        </w:rPr>
        <w:t>at</w:t>
      </w:r>
      <w:proofErr w:type="spellEnd"/>
      <w:r w:rsidRPr="007A34A0">
        <w:rPr>
          <w:rFonts w:ascii="Calibri" w:eastAsia="Arial" w:hAnsi="Calibri" w:cs="Calibri"/>
          <w:lang w:eastAsia="en-GB"/>
        </w:rPr>
        <w:t xml:space="preserve"> karst springs and faces persistent challenges with turbidity, ageing infrastructure and limited wastewater treatment capacity. Croatian utilities benefit from a more stable regulatory and funding environment, though local capacity remains uneven. Despite their high dependency on groundwater reliability, utilities in both countries have limited influence over upstream land use and sanitation practices, which are the primary drivers of contamination risk.</w:t>
      </w:r>
    </w:p>
    <w:p w14:paraId="6CC72526" w14:textId="77777777" w:rsidR="0011551C" w:rsidRPr="007A34A0" w:rsidRDefault="0011551C" w:rsidP="005F05DA">
      <w:pPr>
        <w:spacing w:before="80"/>
        <w:jc w:val="both"/>
        <w:rPr>
          <w:rFonts w:ascii="Calibri" w:eastAsia="Arial" w:hAnsi="Calibri" w:cs="Calibri"/>
          <w:lang w:eastAsia="en-GB"/>
        </w:rPr>
      </w:pPr>
      <w:r w:rsidRPr="007A34A0">
        <w:rPr>
          <w:rFonts w:ascii="Calibri" w:eastAsia="Arial" w:hAnsi="Calibri" w:cs="Calibri"/>
          <w:lang w:eastAsia="en-GB"/>
        </w:rPr>
        <w:t>Local and cantonal/county authorities hold key implementation responsibilities, including spatial planning, sanitation oversight, permitting and inspections. Their practical impact on groundwater conditions is significant, since many pressures originate at the local level and the incorporation of sanitary protection zones into spatial plans is a local obligation. However, capacity constraints, fragmented responsibilities across administrative levels, and competing development priorities frequently limit their effectiveness, particularly on the BiH side.</w:t>
      </w:r>
    </w:p>
    <w:p w14:paraId="2EE90350" w14:textId="26DA52D3" w:rsidR="0011551C" w:rsidRPr="007A34A0" w:rsidRDefault="0011551C" w:rsidP="005F05DA">
      <w:pPr>
        <w:spacing w:before="80"/>
        <w:jc w:val="both"/>
        <w:rPr>
          <w:rFonts w:ascii="Calibri" w:eastAsia="Arial" w:hAnsi="Calibri" w:cs="Calibri"/>
          <w:lang w:eastAsia="en-GB"/>
        </w:rPr>
      </w:pPr>
      <w:r w:rsidRPr="007A34A0">
        <w:rPr>
          <w:rFonts w:ascii="Calibri" w:eastAsia="Arial" w:hAnsi="Calibri" w:cs="Calibri"/>
          <w:lang w:eastAsia="en-GB"/>
        </w:rPr>
        <w:t xml:space="preserve">Hydropower operators within the </w:t>
      </w:r>
      <w:proofErr w:type="spellStart"/>
      <w:r w:rsidRPr="007A34A0">
        <w:rPr>
          <w:rFonts w:ascii="Calibri" w:eastAsia="Arial" w:hAnsi="Calibri" w:cs="Calibri"/>
          <w:lang w:eastAsia="en-GB"/>
        </w:rPr>
        <w:t>Trebi</w:t>
      </w:r>
      <w:r w:rsidR="005F05DA">
        <w:rPr>
          <w:rFonts w:ascii="Calibri" w:eastAsia="Arial" w:hAnsi="Calibri" w:cs="Calibri"/>
          <w:lang w:eastAsia="en-GB"/>
        </w:rPr>
        <w:t>ž</w:t>
      </w:r>
      <w:r w:rsidRPr="007A34A0">
        <w:rPr>
          <w:rFonts w:ascii="Calibri" w:eastAsia="Arial" w:hAnsi="Calibri" w:cs="Calibri"/>
          <w:lang w:eastAsia="en-GB"/>
        </w:rPr>
        <w:t>at</w:t>
      </w:r>
      <w:proofErr w:type="spellEnd"/>
      <w:r w:rsidRPr="007A34A0">
        <w:rPr>
          <w:rFonts w:ascii="Calibri" w:eastAsia="Arial" w:hAnsi="Calibri" w:cs="Calibri"/>
          <w:lang w:eastAsia="en-GB"/>
        </w:rPr>
        <w:t xml:space="preserve"> system and associated infrastructure influence hydrological regimes and groundwater-surface water interactions across the basin. Although their primary mandate is energy production, their operational decisions affect recharge dynamics and flow regimes relevant to downstream groundwater users. This influence is currently not systematically integrated into groundwater governance processes.</w:t>
      </w:r>
    </w:p>
    <w:p w14:paraId="3C30EC1B" w14:textId="77777777" w:rsidR="0011551C" w:rsidRPr="007A34A0" w:rsidRDefault="0011551C" w:rsidP="005F05DA">
      <w:pPr>
        <w:spacing w:before="80"/>
        <w:jc w:val="both"/>
        <w:rPr>
          <w:rFonts w:ascii="Calibri" w:eastAsia="Arial" w:hAnsi="Calibri" w:cs="Calibri"/>
          <w:lang w:eastAsia="en-GB"/>
        </w:rPr>
      </w:pPr>
      <w:r w:rsidRPr="007A34A0">
        <w:rPr>
          <w:rFonts w:ascii="Calibri" w:eastAsia="Arial" w:hAnsi="Calibri" w:cs="Calibri"/>
          <w:lang w:eastAsia="en-GB"/>
        </w:rPr>
        <w:t>Tourism operators introduce concentrated seasonal pressures on water demand and wastewater generation, particularly around karst natural attractions. As discussed in section 3.7, these peaks often coincide with periods of lowest recharge. Tourism businesses have a direct economic interest in clean water and a healthy environment, which provides leverage for engagement, but systematic requirements for groundwater-safe wastewater management in sensitive zones are currently absent.</w:t>
      </w:r>
    </w:p>
    <w:p w14:paraId="3BDE8BB2" w14:textId="77777777" w:rsidR="0011551C" w:rsidRPr="007A34A0" w:rsidRDefault="0011551C" w:rsidP="005F05DA">
      <w:pPr>
        <w:spacing w:before="80"/>
        <w:jc w:val="both"/>
        <w:rPr>
          <w:rFonts w:ascii="Calibri" w:eastAsia="Arial" w:hAnsi="Calibri" w:cs="Calibri"/>
          <w:lang w:eastAsia="en-GB"/>
        </w:rPr>
      </w:pPr>
      <w:r w:rsidRPr="007A34A0">
        <w:rPr>
          <w:rFonts w:ascii="Calibri" w:eastAsia="Arial" w:hAnsi="Calibri" w:cs="Calibri"/>
          <w:lang w:eastAsia="en-GB"/>
        </w:rPr>
        <w:t>Civil society organisations and NGOs play a supportive role in raising awareness and facilitating community engagement. In Bosnia and Herzegovina, they tend to be more closely linked to international projects and environmental advocacy; in Croatia, the civil sector is broader but less oriented towards environmental governance. In both countries, civil society remains weakly integrated into formal groundwater governance processes.</w:t>
      </w:r>
    </w:p>
    <w:p w14:paraId="63A1F4DE" w14:textId="77777777" w:rsidR="0011551C" w:rsidRPr="007A34A0" w:rsidRDefault="0011551C" w:rsidP="005F05DA">
      <w:pPr>
        <w:spacing w:before="80"/>
        <w:jc w:val="both"/>
        <w:rPr>
          <w:rFonts w:ascii="Calibri" w:eastAsia="Arial" w:hAnsi="Calibri" w:cs="Calibri"/>
          <w:lang w:eastAsia="en-GB"/>
        </w:rPr>
      </w:pPr>
      <w:r w:rsidRPr="007A34A0">
        <w:rPr>
          <w:rFonts w:ascii="Calibri" w:eastAsia="Arial" w:hAnsi="Calibri" w:cs="Calibri"/>
          <w:lang w:eastAsia="en-GB"/>
        </w:rPr>
        <w:t xml:space="preserve">Local communities are the ultimate end-users of groundwater and simultaneously a diffuse source of pressure through decentralised sanitation and land use practices. As shown in section </w:t>
      </w:r>
      <w:r w:rsidRPr="007A34A0">
        <w:rPr>
          <w:rFonts w:ascii="Calibri" w:eastAsia="Arial" w:hAnsi="Calibri" w:cs="Calibri"/>
          <w:lang w:eastAsia="en-GB"/>
        </w:rPr>
        <w:lastRenderedPageBreak/>
        <w:t>3.1, a substantial share of the population relies on individual wells and septic systems, particularly in rural and dispersed settlements. Community-level awareness of karst vulnerability and contamination pathways remains limited, and engagement mechanisms targeting households, schools and youth are largely absent.</w:t>
      </w:r>
    </w:p>
    <w:p w14:paraId="573BD43F" w14:textId="742F0F29" w:rsidR="0011551C" w:rsidRPr="005F05DA" w:rsidRDefault="0011551C" w:rsidP="005F05DA">
      <w:pPr>
        <w:pStyle w:val="Heading3"/>
        <w:rPr>
          <w:rFonts w:eastAsia="Arial"/>
          <w:lang w:val="en-GB" w:eastAsia="en-GB"/>
        </w:rPr>
      </w:pPr>
      <w:bookmarkStart w:id="42" w:name="_Toc229036178"/>
      <w:r w:rsidRPr="005F05DA">
        <w:rPr>
          <w:rFonts w:eastAsia="Arial"/>
          <w:lang w:val="en-GB" w:eastAsia="en-GB"/>
        </w:rPr>
        <w:t xml:space="preserve">3.3.2 Influence, </w:t>
      </w:r>
      <w:r w:rsidR="005F05DA" w:rsidRPr="005F05DA">
        <w:rPr>
          <w:rFonts w:eastAsia="Arial"/>
          <w:lang w:val="en-GB" w:eastAsia="en-GB"/>
        </w:rPr>
        <w:t>d</w:t>
      </w:r>
      <w:r w:rsidRPr="005F05DA">
        <w:rPr>
          <w:rFonts w:eastAsia="Arial"/>
          <w:lang w:val="en-GB" w:eastAsia="en-GB"/>
        </w:rPr>
        <w:t xml:space="preserve">ependency and </w:t>
      </w:r>
      <w:r w:rsidR="005F05DA" w:rsidRPr="005F05DA">
        <w:rPr>
          <w:rFonts w:eastAsia="Arial"/>
          <w:lang w:val="en-GB" w:eastAsia="en-GB"/>
        </w:rPr>
        <w:t>e</w:t>
      </w:r>
      <w:r w:rsidRPr="005F05DA">
        <w:rPr>
          <w:rFonts w:eastAsia="Arial"/>
          <w:lang w:val="en-GB" w:eastAsia="en-GB"/>
        </w:rPr>
        <w:t xml:space="preserve">ngagement </w:t>
      </w:r>
      <w:r w:rsidR="005F05DA" w:rsidRPr="005F05DA">
        <w:rPr>
          <w:rFonts w:eastAsia="Arial"/>
          <w:lang w:val="en-GB" w:eastAsia="en-GB"/>
        </w:rPr>
        <w:t>g</w:t>
      </w:r>
      <w:r w:rsidRPr="005F05DA">
        <w:rPr>
          <w:rFonts w:eastAsia="Arial"/>
          <w:lang w:val="en-GB" w:eastAsia="en-GB"/>
        </w:rPr>
        <w:t>aps</w:t>
      </w:r>
      <w:bookmarkEnd w:id="42"/>
    </w:p>
    <w:p w14:paraId="2D4A486F" w14:textId="2B6A2B5A" w:rsidR="0011551C" w:rsidRPr="007A34A0" w:rsidRDefault="0011551C" w:rsidP="005F05DA">
      <w:pPr>
        <w:spacing w:before="80"/>
        <w:jc w:val="both"/>
        <w:rPr>
          <w:rFonts w:ascii="Calibri" w:eastAsia="Arial" w:hAnsi="Calibri" w:cs="Calibri"/>
          <w:lang w:eastAsia="en-GB"/>
        </w:rPr>
      </w:pPr>
      <w:r w:rsidRPr="007A34A0">
        <w:rPr>
          <w:rFonts w:ascii="Calibri" w:eastAsia="Arial" w:hAnsi="Calibri" w:cs="Calibri"/>
          <w:lang w:eastAsia="en-GB"/>
        </w:rPr>
        <w:t>Across stakeholder groups, a consistent pattern emerges</w:t>
      </w:r>
      <w:r w:rsidR="005F05DA">
        <w:rPr>
          <w:rFonts w:ascii="Calibri" w:eastAsia="Arial" w:hAnsi="Calibri" w:cs="Calibri"/>
          <w:lang w:eastAsia="en-GB"/>
        </w:rPr>
        <w:t>;</w:t>
      </w:r>
      <w:r w:rsidRPr="007A34A0">
        <w:rPr>
          <w:rFonts w:ascii="Calibri" w:eastAsia="Arial" w:hAnsi="Calibri" w:cs="Calibri"/>
          <w:lang w:eastAsia="en-GB"/>
        </w:rPr>
        <w:t xml:space="preserve"> those with the greatest dependency on groundwater, particularly local communities and water utilities, tend to have the lowest influence over the upstream pressures that most affect them. Conversely, sectors generating the highest pressures, such as agriculture and hydropower, participate</w:t>
      </w:r>
      <w:r w:rsidR="005F05DA">
        <w:rPr>
          <w:rFonts w:ascii="Calibri" w:eastAsia="Arial" w:hAnsi="Calibri" w:cs="Calibri"/>
          <w:lang w:eastAsia="en-GB"/>
        </w:rPr>
        <w:t xml:space="preserve"> the</w:t>
      </w:r>
      <w:r w:rsidRPr="007A34A0">
        <w:rPr>
          <w:rFonts w:ascii="Calibri" w:eastAsia="Arial" w:hAnsi="Calibri" w:cs="Calibri"/>
          <w:lang w:eastAsia="en-GB"/>
        </w:rPr>
        <w:t xml:space="preserve"> least in groundwater governance processes. This structural imbalance reduces the effectiveness of existing protection measures and points to the need for more inclusive participatory arrangements within the Joint Action Program</w:t>
      </w:r>
      <w:r w:rsidR="005F05DA">
        <w:rPr>
          <w:rFonts w:ascii="Calibri" w:eastAsia="Arial" w:hAnsi="Calibri" w:cs="Calibri"/>
          <w:lang w:eastAsia="en-GB"/>
        </w:rPr>
        <w:t>me</w:t>
      </w:r>
      <w:r w:rsidRPr="007A34A0">
        <w:rPr>
          <w:rFonts w:ascii="Calibri" w:eastAsia="Arial" w:hAnsi="Calibri" w:cs="Calibri"/>
          <w:lang w:eastAsia="en-GB"/>
        </w:rPr>
        <w:t>.</w:t>
      </w:r>
    </w:p>
    <w:p w14:paraId="15C9921C" w14:textId="0D791D7B" w:rsidR="0011551C" w:rsidRPr="0085370F" w:rsidRDefault="0085370F" w:rsidP="0085370F">
      <w:pPr>
        <w:pStyle w:val="Caption"/>
        <w:keepNext/>
      </w:pPr>
      <w:bookmarkStart w:id="43" w:name="_Toc229037726"/>
      <w:r>
        <w:t xml:space="preserve">Table </w:t>
      </w:r>
      <w:r>
        <w:fldChar w:fldCharType="begin"/>
      </w:r>
      <w:r>
        <w:instrText xml:space="preserve"> SEQ Table \* ARABIC </w:instrText>
      </w:r>
      <w:r>
        <w:fldChar w:fldCharType="separate"/>
      </w:r>
      <w:r w:rsidR="002F4776">
        <w:rPr>
          <w:noProof/>
        </w:rPr>
        <w:t>4</w:t>
      </w:r>
      <w:r>
        <w:fldChar w:fldCharType="end"/>
      </w:r>
      <w:r>
        <w:t xml:space="preserve"> </w:t>
      </w:r>
      <w:r w:rsidRPr="00CA6F0F">
        <w:t>Stakeholder groups, roles, influence, dependency and engagement gaps in Neretva TBA</w:t>
      </w:r>
      <w:bookmarkEnd w:id="43"/>
    </w:p>
    <w:tbl>
      <w:tblPr>
        <w:tblStyle w:val="Reetkatablice1"/>
        <w:tblW w:w="86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94"/>
        <w:gridCol w:w="1498"/>
        <w:gridCol w:w="1033"/>
        <w:gridCol w:w="1099"/>
        <w:gridCol w:w="1554"/>
        <w:gridCol w:w="1754"/>
      </w:tblGrid>
      <w:tr w:rsidR="0011551C" w:rsidRPr="007A34A0" w14:paraId="5EEEA42A" w14:textId="77777777" w:rsidTr="00F616D9">
        <w:trPr>
          <w:tblHeader/>
        </w:trPr>
        <w:tc>
          <w:tcPr>
            <w:tcW w:w="1694" w:type="dxa"/>
            <w:shd w:val="clear" w:color="auto" w:fill="ACB9CA" w:themeFill="text2" w:themeFillTint="66"/>
          </w:tcPr>
          <w:p w14:paraId="70F6F018" w14:textId="77777777" w:rsidR="0011551C" w:rsidRPr="007A34A0" w:rsidRDefault="0011551C" w:rsidP="00923395">
            <w:pPr>
              <w:rPr>
                <w:rFonts w:ascii="Calibri" w:hAnsi="Calibri" w:cs="Calibri"/>
                <w:sz w:val="16"/>
                <w:szCs w:val="16"/>
              </w:rPr>
            </w:pPr>
            <w:r w:rsidRPr="007A34A0">
              <w:rPr>
                <w:rFonts w:ascii="Calibri" w:hAnsi="Calibri" w:cs="Calibri"/>
                <w:b/>
                <w:bCs/>
                <w:sz w:val="16"/>
                <w:szCs w:val="16"/>
              </w:rPr>
              <w:t>Stakeholder group</w:t>
            </w:r>
          </w:p>
        </w:tc>
        <w:tc>
          <w:tcPr>
            <w:tcW w:w="1498" w:type="dxa"/>
            <w:shd w:val="clear" w:color="auto" w:fill="ACB9CA" w:themeFill="text2" w:themeFillTint="66"/>
          </w:tcPr>
          <w:p w14:paraId="4C65C433" w14:textId="77777777" w:rsidR="0011551C" w:rsidRPr="007A34A0" w:rsidRDefault="0011551C" w:rsidP="00923395">
            <w:pPr>
              <w:rPr>
                <w:rFonts w:ascii="Calibri" w:hAnsi="Calibri" w:cs="Calibri"/>
                <w:sz w:val="16"/>
                <w:szCs w:val="16"/>
              </w:rPr>
            </w:pPr>
            <w:r w:rsidRPr="007A34A0">
              <w:rPr>
                <w:rFonts w:ascii="Calibri" w:hAnsi="Calibri" w:cs="Calibri"/>
                <w:b/>
                <w:bCs/>
                <w:sz w:val="16"/>
                <w:szCs w:val="16"/>
              </w:rPr>
              <w:t>Primary role</w:t>
            </w:r>
          </w:p>
        </w:tc>
        <w:tc>
          <w:tcPr>
            <w:tcW w:w="1033" w:type="dxa"/>
            <w:shd w:val="clear" w:color="auto" w:fill="ACB9CA" w:themeFill="text2" w:themeFillTint="66"/>
          </w:tcPr>
          <w:p w14:paraId="7724BF8D" w14:textId="77777777" w:rsidR="0011551C" w:rsidRPr="007A34A0" w:rsidRDefault="0011551C" w:rsidP="00923395">
            <w:pPr>
              <w:rPr>
                <w:rFonts w:ascii="Calibri" w:hAnsi="Calibri" w:cs="Calibri"/>
                <w:sz w:val="16"/>
                <w:szCs w:val="16"/>
              </w:rPr>
            </w:pPr>
            <w:r w:rsidRPr="007A34A0">
              <w:rPr>
                <w:rFonts w:ascii="Calibri" w:hAnsi="Calibri" w:cs="Calibri"/>
                <w:b/>
                <w:bCs/>
                <w:sz w:val="16"/>
                <w:szCs w:val="16"/>
              </w:rPr>
              <w:t>Influence on GW</w:t>
            </w:r>
          </w:p>
        </w:tc>
        <w:tc>
          <w:tcPr>
            <w:tcW w:w="1099" w:type="dxa"/>
            <w:shd w:val="clear" w:color="auto" w:fill="ACB9CA" w:themeFill="text2" w:themeFillTint="66"/>
          </w:tcPr>
          <w:p w14:paraId="57D57B0F" w14:textId="77777777" w:rsidR="0011551C" w:rsidRPr="007A34A0" w:rsidRDefault="0011551C" w:rsidP="00923395">
            <w:pPr>
              <w:rPr>
                <w:rFonts w:ascii="Calibri" w:hAnsi="Calibri" w:cs="Calibri"/>
                <w:sz w:val="16"/>
                <w:szCs w:val="16"/>
              </w:rPr>
            </w:pPr>
            <w:r w:rsidRPr="007A34A0">
              <w:rPr>
                <w:rFonts w:ascii="Calibri" w:hAnsi="Calibri" w:cs="Calibri"/>
                <w:b/>
                <w:bCs/>
                <w:sz w:val="16"/>
                <w:szCs w:val="16"/>
              </w:rPr>
              <w:t>Dependency on GW</w:t>
            </w:r>
          </w:p>
        </w:tc>
        <w:tc>
          <w:tcPr>
            <w:tcW w:w="1554" w:type="dxa"/>
            <w:shd w:val="clear" w:color="auto" w:fill="ACB9CA" w:themeFill="text2" w:themeFillTint="66"/>
          </w:tcPr>
          <w:p w14:paraId="33DECB96" w14:textId="77777777" w:rsidR="0011551C" w:rsidRPr="007A34A0" w:rsidRDefault="0011551C" w:rsidP="00923395">
            <w:pPr>
              <w:rPr>
                <w:rFonts w:ascii="Calibri" w:hAnsi="Calibri" w:cs="Calibri"/>
                <w:sz w:val="16"/>
                <w:szCs w:val="16"/>
              </w:rPr>
            </w:pPr>
            <w:r w:rsidRPr="007A34A0">
              <w:rPr>
                <w:rFonts w:ascii="Calibri" w:hAnsi="Calibri" w:cs="Calibri"/>
                <w:b/>
                <w:bCs/>
                <w:sz w:val="16"/>
                <w:szCs w:val="16"/>
              </w:rPr>
              <w:t>Engagement capacity</w:t>
            </w:r>
          </w:p>
        </w:tc>
        <w:tc>
          <w:tcPr>
            <w:tcW w:w="1754" w:type="dxa"/>
            <w:shd w:val="clear" w:color="auto" w:fill="ACB9CA" w:themeFill="text2" w:themeFillTint="66"/>
          </w:tcPr>
          <w:p w14:paraId="05350ADE" w14:textId="77777777" w:rsidR="0011551C" w:rsidRPr="007A34A0" w:rsidRDefault="0011551C" w:rsidP="00923395">
            <w:pPr>
              <w:rPr>
                <w:rFonts w:ascii="Calibri" w:hAnsi="Calibri" w:cs="Calibri"/>
                <w:sz w:val="16"/>
                <w:szCs w:val="16"/>
              </w:rPr>
            </w:pPr>
            <w:r w:rsidRPr="007A34A0">
              <w:rPr>
                <w:rFonts w:ascii="Calibri" w:hAnsi="Calibri" w:cs="Calibri"/>
                <w:b/>
                <w:bCs/>
                <w:sz w:val="16"/>
                <w:szCs w:val="16"/>
              </w:rPr>
              <w:t>Key gaps and priorities</w:t>
            </w:r>
          </w:p>
        </w:tc>
      </w:tr>
      <w:tr w:rsidR="0011551C" w:rsidRPr="007A34A0" w14:paraId="3F4735BA" w14:textId="77777777" w:rsidTr="00F616D9">
        <w:tc>
          <w:tcPr>
            <w:tcW w:w="1694" w:type="dxa"/>
          </w:tcPr>
          <w:p w14:paraId="041CBDF9"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Agriculture</w:t>
            </w:r>
          </w:p>
        </w:tc>
        <w:tc>
          <w:tcPr>
            <w:tcW w:w="1498" w:type="dxa"/>
          </w:tcPr>
          <w:p w14:paraId="5DB09D59"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Irrigation; land use; nutrient/pesticide application</w:t>
            </w:r>
          </w:p>
        </w:tc>
        <w:tc>
          <w:tcPr>
            <w:tcW w:w="1033" w:type="dxa"/>
          </w:tcPr>
          <w:p w14:paraId="5B913965"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High (diffuse pressure)</w:t>
            </w:r>
          </w:p>
        </w:tc>
        <w:tc>
          <w:tcPr>
            <w:tcW w:w="1099" w:type="dxa"/>
          </w:tcPr>
          <w:p w14:paraId="6D53BE44"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High (irrigation)</w:t>
            </w:r>
          </w:p>
        </w:tc>
        <w:tc>
          <w:tcPr>
            <w:tcW w:w="1554" w:type="dxa"/>
          </w:tcPr>
          <w:p w14:paraId="40B72A18"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Low to moderate</w:t>
            </w:r>
          </w:p>
        </w:tc>
        <w:tc>
          <w:tcPr>
            <w:tcW w:w="1754" w:type="dxa"/>
          </w:tcPr>
          <w:p w14:paraId="4DD6AA11"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Rarely engaged in GW protection; weak incentives for good practice; monitoring of diffuse pollution insufficient</w:t>
            </w:r>
          </w:p>
        </w:tc>
      </w:tr>
      <w:tr w:rsidR="0011551C" w:rsidRPr="007A34A0" w14:paraId="4E544EA9" w14:textId="77777777" w:rsidTr="00F616D9">
        <w:tc>
          <w:tcPr>
            <w:tcW w:w="1694" w:type="dxa"/>
          </w:tcPr>
          <w:p w14:paraId="29E4FB76"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Water utilities</w:t>
            </w:r>
          </w:p>
        </w:tc>
        <w:tc>
          <w:tcPr>
            <w:tcW w:w="1498" w:type="dxa"/>
          </w:tcPr>
          <w:p w14:paraId="508F9E01"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Groundwater abstraction; public supply; wastewater services</w:t>
            </w:r>
          </w:p>
        </w:tc>
        <w:tc>
          <w:tcPr>
            <w:tcW w:w="1033" w:type="dxa"/>
          </w:tcPr>
          <w:p w14:paraId="30AD78C9"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Medium</w:t>
            </w:r>
          </w:p>
        </w:tc>
        <w:tc>
          <w:tcPr>
            <w:tcW w:w="1099" w:type="dxa"/>
          </w:tcPr>
          <w:p w14:paraId="09FF8A7E"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High</w:t>
            </w:r>
          </w:p>
        </w:tc>
        <w:tc>
          <w:tcPr>
            <w:tcW w:w="1554" w:type="dxa"/>
          </w:tcPr>
          <w:p w14:paraId="2B70C497"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High in Croatia; moderate in BiH</w:t>
            </w:r>
          </w:p>
        </w:tc>
        <w:tc>
          <w:tcPr>
            <w:tcW w:w="1754" w:type="dxa"/>
          </w:tcPr>
          <w:p w14:paraId="20328CE7"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Limited public communication on GW risks; monitoring data rarely shared in accessible formats</w:t>
            </w:r>
          </w:p>
        </w:tc>
      </w:tr>
      <w:tr w:rsidR="0011551C" w:rsidRPr="007A34A0" w14:paraId="3DD06571" w14:textId="77777777" w:rsidTr="00F616D9">
        <w:tc>
          <w:tcPr>
            <w:tcW w:w="1694" w:type="dxa"/>
          </w:tcPr>
          <w:p w14:paraId="135A93F2"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Local and cantonal/county authorities</w:t>
            </w:r>
          </w:p>
        </w:tc>
        <w:tc>
          <w:tcPr>
            <w:tcW w:w="1498" w:type="dxa"/>
          </w:tcPr>
          <w:p w14:paraId="14EA69A2"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Spatial planning; sanitation; permitting; inspections</w:t>
            </w:r>
          </w:p>
        </w:tc>
        <w:tc>
          <w:tcPr>
            <w:tcW w:w="1033" w:type="dxa"/>
          </w:tcPr>
          <w:p w14:paraId="7FE32099"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Medium</w:t>
            </w:r>
          </w:p>
        </w:tc>
        <w:tc>
          <w:tcPr>
            <w:tcW w:w="1099" w:type="dxa"/>
          </w:tcPr>
          <w:p w14:paraId="476688FD"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Medium</w:t>
            </w:r>
          </w:p>
        </w:tc>
        <w:tc>
          <w:tcPr>
            <w:tcW w:w="1554" w:type="dxa"/>
          </w:tcPr>
          <w:p w14:paraId="43A2320B"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Moderate; constrained by capacity</w:t>
            </w:r>
          </w:p>
        </w:tc>
        <w:tc>
          <w:tcPr>
            <w:tcW w:w="1754" w:type="dxa"/>
          </w:tcPr>
          <w:p w14:paraId="4066AB8F"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Engagement largely administrative; weak cross-border coordination; SPZ integration into spatial plans often delayed</w:t>
            </w:r>
          </w:p>
        </w:tc>
      </w:tr>
      <w:tr w:rsidR="0011551C" w:rsidRPr="007A34A0" w14:paraId="3A47A0BB" w14:textId="77777777" w:rsidTr="00F616D9">
        <w:tc>
          <w:tcPr>
            <w:tcW w:w="1694" w:type="dxa"/>
          </w:tcPr>
          <w:p w14:paraId="7ED06761"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Hydropower operators</w:t>
            </w:r>
          </w:p>
        </w:tc>
        <w:tc>
          <w:tcPr>
            <w:tcW w:w="1498" w:type="dxa"/>
          </w:tcPr>
          <w:p w14:paraId="1C1AF172"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Flow regulation; river infrastructure</w:t>
            </w:r>
          </w:p>
        </w:tc>
        <w:tc>
          <w:tcPr>
            <w:tcW w:w="1033" w:type="dxa"/>
          </w:tcPr>
          <w:p w14:paraId="50AD69F8"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Medium (indirect)</w:t>
            </w:r>
          </w:p>
        </w:tc>
        <w:tc>
          <w:tcPr>
            <w:tcW w:w="1099" w:type="dxa"/>
          </w:tcPr>
          <w:p w14:paraId="27C73AD8"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Low</w:t>
            </w:r>
          </w:p>
        </w:tc>
        <w:tc>
          <w:tcPr>
            <w:tcW w:w="1554" w:type="dxa"/>
          </w:tcPr>
          <w:p w14:paraId="21292B97"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Sector-driven; limited GW focus</w:t>
            </w:r>
          </w:p>
        </w:tc>
        <w:tc>
          <w:tcPr>
            <w:tcW w:w="1754" w:type="dxa"/>
          </w:tcPr>
          <w:p w14:paraId="4379FF65"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GW-surface water interactions not systematically considered in operational planning</w:t>
            </w:r>
          </w:p>
        </w:tc>
      </w:tr>
      <w:tr w:rsidR="0011551C" w:rsidRPr="007A34A0" w14:paraId="7B1132CB" w14:textId="77777777" w:rsidTr="00F616D9">
        <w:tc>
          <w:tcPr>
            <w:tcW w:w="1694" w:type="dxa"/>
          </w:tcPr>
          <w:p w14:paraId="68EDF402"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Tourism operators</w:t>
            </w:r>
          </w:p>
        </w:tc>
        <w:tc>
          <w:tcPr>
            <w:tcW w:w="1498" w:type="dxa"/>
          </w:tcPr>
          <w:p w14:paraId="0BB6D4E9"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Seasonal water use; wastewater generation</w:t>
            </w:r>
          </w:p>
        </w:tc>
        <w:tc>
          <w:tcPr>
            <w:tcW w:w="1033" w:type="dxa"/>
          </w:tcPr>
          <w:p w14:paraId="00129C81"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Low to medium (seasonal)</w:t>
            </w:r>
          </w:p>
        </w:tc>
        <w:tc>
          <w:tcPr>
            <w:tcW w:w="1099" w:type="dxa"/>
          </w:tcPr>
          <w:p w14:paraId="650ABAA2"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Medium</w:t>
            </w:r>
          </w:p>
        </w:tc>
        <w:tc>
          <w:tcPr>
            <w:tcW w:w="1554" w:type="dxa"/>
          </w:tcPr>
          <w:p w14:paraId="67A6B46A"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Moderate; potential leverage through environmental dependence</w:t>
            </w:r>
          </w:p>
        </w:tc>
        <w:tc>
          <w:tcPr>
            <w:tcW w:w="1754" w:type="dxa"/>
          </w:tcPr>
          <w:p w14:paraId="01642CA4"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No systematic training on GW protection; no cross-border standards for wastewater management in sensitive zones</w:t>
            </w:r>
          </w:p>
        </w:tc>
      </w:tr>
      <w:tr w:rsidR="0011551C" w:rsidRPr="007A34A0" w14:paraId="40ACEDBD" w14:textId="77777777" w:rsidTr="00F616D9">
        <w:tc>
          <w:tcPr>
            <w:tcW w:w="1694" w:type="dxa"/>
          </w:tcPr>
          <w:p w14:paraId="5DD67DD2"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Civil society and NGOs</w:t>
            </w:r>
          </w:p>
        </w:tc>
        <w:tc>
          <w:tcPr>
            <w:tcW w:w="1498" w:type="dxa"/>
          </w:tcPr>
          <w:p w14:paraId="08A5D236"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Awareness raising; advocacy; community engagement</w:t>
            </w:r>
          </w:p>
        </w:tc>
        <w:tc>
          <w:tcPr>
            <w:tcW w:w="1033" w:type="dxa"/>
          </w:tcPr>
          <w:p w14:paraId="5C7E0AD4"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Low</w:t>
            </w:r>
          </w:p>
        </w:tc>
        <w:tc>
          <w:tcPr>
            <w:tcW w:w="1099" w:type="dxa"/>
          </w:tcPr>
          <w:p w14:paraId="6A723D1B"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Low to medium</w:t>
            </w:r>
          </w:p>
        </w:tc>
        <w:tc>
          <w:tcPr>
            <w:tcW w:w="1554" w:type="dxa"/>
          </w:tcPr>
          <w:p w14:paraId="3B9F29B3"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Moderate in BiH (project-based); broader but less GW-focused in Croatia</w:t>
            </w:r>
          </w:p>
        </w:tc>
        <w:tc>
          <w:tcPr>
            <w:tcW w:w="1754" w:type="dxa"/>
          </w:tcPr>
          <w:p w14:paraId="640F794A"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Involvement informal and project-based; limited cross-border cooperation; role in GW governance underdeveloped</w:t>
            </w:r>
          </w:p>
        </w:tc>
      </w:tr>
      <w:tr w:rsidR="0011551C" w:rsidRPr="007A34A0" w14:paraId="6010635A" w14:textId="77777777" w:rsidTr="00F616D9">
        <w:tc>
          <w:tcPr>
            <w:tcW w:w="1694" w:type="dxa"/>
          </w:tcPr>
          <w:p w14:paraId="45294E0A"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Local communities</w:t>
            </w:r>
          </w:p>
        </w:tc>
        <w:tc>
          <w:tcPr>
            <w:tcW w:w="1498" w:type="dxa"/>
          </w:tcPr>
          <w:p w14:paraId="5CA3C26D"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Daily water use; sanitation practices; land use</w:t>
            </w:r>
          </w:p>
        </w:tc>
        <w:tc>
          <w:tcPr>
            <w:tcW w:w="1033" w:type="dxa"/>
          </w:tcPr>
          <w:p w14:paraId="1166C5EA"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Low (individual), high (cumulative)</w:t>
            </w:r>
          </w:p>
        </w:tc>
        <w:tc>
          <w:tcPr>
            <w:tcW w:w="1099" w:type="dxa"/>
          </w:tcPr>
          <w:p w14:paraId="2EC34E38"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High</w:t>
            </w:r>
          </w:p>
        </w:tc>
        <w:tc>
          <w:tcPr>
            <w:tcW w:w="1554" w:type="dxa"/>
          </w:tcPr>
          <w:p w14:paraId="159C7444"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Low</w:t>
            </w:r>
          </w:p>
        </w:tc>
        <w:tc>
          <w:tcPr>
            <w:tcW w:w="1754" w:type="dxa"/>
          </w:tcPr>
          <w:p w14:paraId="2E2517D7" w14:textId="77777777" w:rsidR="0011551C" w:rsidRPr="007A34A0" w:rsidRDefault="0011551C" w:rsidP="00923395">
            <w:pPr>
              <w:rPr>
                <w:rFonts w:ascii="Calibri" w:hAnsi="Calibri" w:cs="Calibri"/>
                <w:sz w:val="16"/>
                <w:szCs w:val="16"/>
              </w:rPr>
            </w:pPr>
            <w:r w:rsidRPr="007A34A0">
              <w:rPr>
                <w:rFonts w:ascii="Calibri" w:hAnsi="Calibri" w:cs="Calibri"/>
                <w:sz w:val="16"/>
                <w:szCs w:val="16"/>
              </w:rPr>
              <w:t xml:space="preserve">Low awareness of karst vulnerability; limited guidance on septic systems and waste disposal; schools and youth largely absent </w:t>
            </w:r>
            <w:r w:rsidRPr="007A34A0">
              <w:rPr>
                <w:rFonts w:ascii="Calibri" w:hAnsi="Calibri" w:cs="Calibri"/>
                <w:sz w:val="16"/>
                <w:szCs w:val="16"/>
              </w:rPr>
              <w:lastRenderedPageBreak/>
              <w:t>from GW awareness activities</w:t>
            </w:r>
          </w:p>
        </w:tc>
      </w:tr>
    </w:tbl>
    <w:p w14:paraId="63FB8EF5" w14:textId="77777777" w:rsidR="005F05DA" w:rsidRDefault="005F05DA" w:rsidP="0011551C">
      <w:pPr>
        <w:spacing w:before="220" w:after="100" w:line="240" w:lineRule="auto"/>
        <w:jc w:val="both"/>
        <w:outlineLvl w:val="1"/>
        <w:rPr>
          <w:rFonts w:ascii="Calibri" w:eastAsia="Arial" w:hAnsi="Calibri" w:cs="Calibri"/>
          <w:b/>
          <w:bCs/>
          <w:color w:val="2F5496"/>
          <w:lang w:eastAsia="en-GB"/>
        </w:rPr>
      </w:pPr>
    </w:p>
    <w:p w14:paraId="6FC06223" w14:textId="7015F60B" w:rsidR="0011551C" w:rsidRPr="005F05DA" w:rsidRDefault="0011551C" w:rsidP="005F05DA">
      <w:pPr>
        <w:pStyle w:val="Heading3"/>
        <w:rPr>
          <w:rFonts w:eastAsia="Arial"/>
          <w:lang w:val="en-GB" w:eastAsia="en-GB"/>
        </w:rPr>
      </w:pPr>
      <w:bookmarkStart w:id="44" w:name="_Toc229036179"/>
      <w:r w:rsidRPr="005F05DA">
        <w:rPr>
          <w:rFonts w:eastAsia="Arial"/>
          <w:lang w:val="en-GB" w:eastAsia="en-GB"/>
        </w:rPr>
        <w:t xml:space="preserve">3.3.3 Transboundary </w:t>
      </w:r>
      <w:r w:rsidR="005F05DA" w:rsidRPr="005F05DA">
        <w:rPr>
          <w:rFonts w:eastAsia="Arial"/>
          <w:lang w:val="en-GB" w:eastAsia="en-GB"/>
        </w:rPr>
        <w:t>d</w:t>
      </w:r>
      <w:r w:rsidRPr="005F05DA">
        <w:rPr>
          <w:rFonts w:eastAsia="Arial"/>
          <w:lang w:val="en-GB" w:eastAsia="en-GB"/>
        </w:rPr>
        <w:t xml:space="preserve">imension and </w:t>
      </w:r>
      <w:r w:rsidR="005F05DA" w:rsidRPr="005F05DA">
        <w:rPr>
          <w:rFonts w:eastAsia="Arial"/>
          <w:lang w:val="en-GB" w:eastAsia="en-GB"/>
        </w:rPr>
        <w:t>i</w:t>
      </w:r>
      <w:r w:rsidRPr="005F05DA">
        <w:rPr>
          <w:rFonts w:eastAsia="Arial"/>
          <w:lang w:val="en-GB" w:eastAsia="en-GB"/>
        </w:rPr>
        <w:t>mplications for the Joint Action Program</w:t>
      </w:r>
      <w:r w:rsidR="005F05DA" w:rsidRPr="005F05DA">
        <w:rPr>
          <w:rFonts w:eastAsia="Arial"/>
          <w:lang w:val="en-GB" w:eastAsia="en-GB"/>
        </w:rPr>
        <w:t>me</w:t>
      </w:r>
      <w:bookmarkEnd w:id="44"/>
    </w:p>
    <w:p w14:paraId="4281CEE0" w14:textId="77777777" w:rsidR="0011551C" w:rsidRPr="007A34A0" w:rsidRDefault="0011551C" w:rsidP="005F05DA">
      <w:pPr>
        <w:jc w:val="both"/>
        <w:rPr>
          <w:rFonts w:ascii="Calibri" w:eastAsia="Arial" w:hAnsi="Calibri" w:cs="Calibri"/>
          <w:lang w:eastAsia="en-GB"/>
        </w:rPr>
      </w:pPr>
      <w:r w:rsidRPr="007A34A0">
        <w:rPr>
          <w:rFonts w:ascii="Calibri" w:eastAsia="Arial" w:hAnsi="Calibri" w:cs="Calibri"/>
          <w:lang w:eastAsia="en-GB"/>
        </w:rPr>
        <w:t>At the transboundary level, the stakeholder landscape reflects the broader asymmetries between the two countries. Croatia offers higher institutional stability, more predictable funding access and a clearer regulatory framework. Bosnia and Herzegovina operates with greater reliance on project-based donor engagement and faces more pronounced capacity constraints at the sub-national level. No permanent cross-border stakeholder coordination platform currently exists, and data exchange between counterpart institutions, such as Croatian Waters and AVP Jadran, remains project-dependent rather than based on standing protocols.</w:t>
      </w:r>
    </w:p>
    <w:p w14:paraId="08EA5274" w14:textId="5C125F47" w:rsidR="0011551C" w:rsidRPr="007A34A0" w:rsidRDefault="0011551C" w:rsidP="005F05DA">
      <w:pPr>
        <w:jc w:val="both"/>
        <w:rPr>
          <w:rFonts w:ascii="Calibri" w:eastAsia="Arial" w:hAnsi="Calibri" w:cs="Calibri"/>
          <w:lang w:eastAsia="en-GB"/>
        </w:rPr>
      </w:pPr>
      <w:r w:rsidRPr="007A34A0">
        <w:rPr>
          <w:rFonts w:ascii="Calibri" w:eastAsia="Arial" w:hAnsi="Calibri" w:cs="Calibri"/>
          <w:lang w:eastAsia="en-GB"/>
        </w:rPr>
        <w:t>For the Joint Action Program</w:t>
      </w:r>
      <w:r w:rsidR="005F05DA">
        <w:rPr>
          <w:rFonts w:ascii="Calibri" w:eastAsia="Arial" w:hAnsi="Calibri" w:cs="Calibri"/>
          <w:lang w:eastAsia="en-GB"/>
        </w:rPr>
        <w:t>me</w:t>
      </w:r>
      <w:r w:rsidRPr="007A34A0">
        <w:rPr>
          <w:rFonts w:ascii="Calibri" w:eastAsia="Arial" w:hAnsi="Calibri" w:cs="Calibri"/>
          <w:lang w:eastAsia="en-GB"/>
        </w:rPr>
        <w:t>, the stakeholder analysis points to the following priorities:</w:t>
      </w:r>
    </w:p>
    <w:p w14:paraId="2069CEE9" w14:textId="79EA90AA" w:rsidR="0011551C" w:rsidRPr="007A34A0" w:rsidRDefault="005F05DA" w:rsidP="0011551C">
      <w:pPr>
        <w:numPr>
          <w:ilvl w:val="0"/>
          <w:numId w:val="126"/>
        </w:numPr>
        <w:spacing w:after="0" w:line="240" w:lineRule="auto"/>
        <w:jc w:val="both"/>
        <w:rPr>
          <w:rFonts w:ascii="Calibri" w:eastAsia="Arial" w:hAnsi="Calibri" w:cs="Calibri"/>
          <w:lang w:eastAsia="en-GB"/>
        </w:rPr>
      </w:pPr>
      <w:r>
        <w:rPr>
          <w:rFonts w:ascii="Calibri" w:eastAsia="Arial" w:hAnsi="Calibri" w:cs="Calibri"/>
          <w:lang w:eastAsia="en-GB"/>
        </w:rPr>
        <w:t>s</w:t>
      </w:r>
      <w:r w:rsidR="0011551C" w:rsidRPr="007A34A0">
        <w:rPr>
          <w:rFonts w:ascii="Calibri" w:eastAsia="Arial" w:hAnsi="Calibri" w:cs="Calibri"/>
          <w:lang w:eastAsia="en-GB"/>
        </w:rPr>
        <w:t>trengthening the capacity of local and cantonal/county authorities as primary implementation actors for groundwater protection measures</w:t>
      </w:r>
      <w:r>
        <w:rPr>
          <w:rFonts w:ascii="Calibri" w:eastAsia="Arial" w:hAnsi="Calibri" w:cs="Calibri"/>
          <w:lang w:eastAsia="en-GB"/>
        </w:rPr>
        <w:t>;</w:t>
      </w:r>
    </w:p>
    <w:p w14:paraId="16337EEA" w14:textId="03EA50B3" w:rsidR="0011551C" w:rsidRPr="007A34A0" w:rsidRDefault="005F05DA" w:rsidP="0011551C">
      <w:pPr>
        <w:numPr>
          <w:ilvl w:val="0"/>
          <w:numId w:val="126"/>
        </w:numPr>
        <w:spacing w:after="0" w:line="240" w:lineRule="auto"/>
        <w:jc w:val="both"/>
        <w:rPr>
          <w:rFonts w:ascii="Calibri" w:eastAsia="Arial" w:hAnsi="Calibri" w:cs="Calibri"/>
          <w:lang w:eastAsia="en-GB"/>
        </w:rPr>
      </w:pPr>
      <w:r>
        <w:rPr>
          <w:rFonts w:ascii="Calibri" w:eastAsia="Arial" w:hAnsi="Calibri" w:cs="Calibri"/>
          <w:lang w:eastAsia="en-GB"/>
        </w:rPr>
        <w:t>e</w:t>
      </w:r>
      <w:r w:rsidR="0011551C" w:rsidRPr="007A34A0">
        <w:rPr>
          <w:rFonts w:ascii="Calibri" w:eastAsia="Arial" w:hAnsi="Calibri" w:cs="Calibri"/>
          <w:lang w:eastAsia="en-GB"/>
        </w:rPr>
        <w:t>ngaging agricultural producers through practical incentive-based programmes that link farming support to groundwater sustainability criteria</w:t>
      </w:r>
      <w:r>
        <w:rPr>
          <w:rFonts w:ascii="Calibri" w:eastAsia="Arial" w:hAnsi="Calibri" w:cs="Calibri"/>
          <w:lang w:eastAsia="en-GB"/>
        </w:rPr>
        <w:t>;</w:t>
      </w:r>
    </w:p>
    <w:p w14:paraId="5098884F" w14:textId="1900A6AA" w:rsidR="0011551C" w:rsidRPr="007A34A0" w:rsidRDefault="005F05DA" w:rsidP="0011551C">
      <w:pPr>
        <w:numPr>
          <w:ilvl w:val="0"/>
          <w:numId w:val="126"/>
        </w:numPr>
        <w:spacing w:after="0" w:line="240" w:lineRule="auto"/>
        <w:jc w:val="both"/>
        <w:rPr>
          <w:rFonts w:ascii="Calibri" w:eastAsia="Arial" w:hAnsi="Calibri" w:cs="Calibri"/>
          <w:lang w:eastAsia="en-GB"/>
        </w:rPr>
      </w:pPr>
      <w:r>
        <w:rPr>
          <w:rFonts w:ascii="Calibri" w:eastAsia="Arial" w:hAnsi="Calibri" w:cs="Calibri"/>
          <w:lang w:eastAsia="en-GB"/>
        </w:rPr>
        <w:t>i</w:t>
      </w:r>
      <w:r w:rsidR="0011551C" w:rsidRPr="007A34A0">
        <w:rPr>
          <w:rFonts w:ascii="Calibri" w:eastAsia="Arial" w:hAnsi="Calibri" w:cs="Calibri"/>
          <w:lang w:eastAsia="en-GB"/>
        </w:rPr>
        <w:t>mproving coordination between water management, energy, land-use planning and environmental sectors, both within and across borders</w:t>
      </w:r>
      <w:r>
        <w:rPr>
          <w:rFonts w:ascii="Calibri" w:eastAsia="Arial" w:hAnsi="Calibri" w:cs="Calibri"/>
          <w:lang w:eastAsia="en-GB"/>
        </w:rPr>
        <w:t>;</w:t>
      </w:r>
    </w:p>
    <w:p w14:paraId="06B22C79" w14:textId="5B9065D1" w:rsidR="0011551C" w:rsidRPr="007A34A0" w:rsidRDefault="005F05DA" w:rsidP="0011551C">
      <w:pPr>
        <w:numPr>
          <w:ilvl w:val="0"/>
          <w:numId w:val="126"/>
        </w:numPr>
        <w:spacing w:after="0" w:line="240" w:lineRule="auto"/>
        <w:jc w:val="both"/>
        <w:rPr>
          <w:rFonts w:ascii="Calibri" w:eastAsia="Arial" w:hAnsi="Calibri" w:cs="Calibri"/>
          <w:lang w:eastAsia="en-GB"/>
        </w:rPr>
      </w:pPr>
      <w:r>
        <w:rPr>
          <w:rFonts w:ascii="Calibri" w:eastAsia="Arial" w:hAnsi="Calibri" w:cs="Calibri"/>
          <w:lang w:eastAsia="en-GB"/>
        </w:rPr>
        <w:t>e</w:t>
      </w:r>
      <w:r w:rsidR="0011551C" w:rsidRPr="007A34A0">
        <w:rPr>
          <w:rFonts w:ascii="Calibri" w:eastAsia="Arial" w:hAnsi="Calibri" w:cs="Calibri"/>
          <w:lang w:eastAsia="en-GB"/>
        </w:rPr>
        <w:t>stablishing a permanent bilateral coordination platform with structured participation of municipalities, utilities, NGOs, agricultural representatives, tourism operators and energy stakeholders</w:t>
      </w:r>
      <w:r>
        <w:rPr>
          <w:rFonts w:ascii="Calibri" w:eastAsia="Arial" w:hAnsi="Calibri" w:cs="Calibri"/>
          <w:lang w:eastAsia="en-GB"/>
        </w:rPr>
        <w:t>;</w:t>
      </w:r>
    </w:p>
    <w:p w14:paraId="7C60D567" w14:textId="604B8101" w:rsidR="0011551C" w:rsidRPr="007A34A0" w:rsidRDefault="005F05DA" w:rsidP="0011551C">
      <w:pPr>
        <w:numPr>
          <w:ilvl w:val="0"/>
          <w:numId w:val="126"/>
        </w:numPr>
        <w:spacing w:line="240" w:lineRule="auto"/>
        <w:jc w:val="both"/>
        <w:rPr>
          <w:rFonts w:ascii="Calibri" w:eastAsia="Arial" w:hAnsi="Calibri" w:cs="Calibri"/>
          <w:lang w:eastAsia="en-GB"/>
        </w:rPr>
      </w:pPr>
      <w:r>
        <w:rPr>
          <w:rFonts w:ascii="Calibri" w:eastAsia="Arial" w:hAnsi="Calibri" w:cs="Calibri"/>
          <w:lang w:eastAsia="en-GB"/>
        </w:rPr>
        <w:t>d</w:t>
      </w:r>
      <w:r w:rsidR="0011551C" w:rsidRPr="007A34A0">
        <w:rPr>
          <w:rFonts w:ascii="Calibri" w:eastAsia="Arial" w:hAnsi="Calibri" w:cs="Calibri"/>
          <w:lang w:eastAsia="en-GB"/>
        </w:rPr>
        <w:t>eveloping targeted public awareness and community engagement activities, including programmes for schools and youth, to build long-term groundwater stewardship in both countries.</w:t>
      </w:r>
    </w:p>
    <w:p w14:paraId="65315E39" w14:textId="77777777" w:rsidR="005F05DA" w:rsidRDefault="005F05DA" w:rsidP="0011551C">
      <w:pPr>
        <w:rPr>
          <w:rFonts w:eastAsia="Calibri" w:cstheme="minorHAnsi"/>
          <w:b/>
          <w:bCs/>
          <w:color w:val="2F5496"/>
          <w:sz w:val="24"/>
          <w:szCs w:val="24"/>
        </w:rPr>
      </w:pPr>
    </w:p>
    <w:p w14:paraId="29E7BA25" w14:textId="4D9EEE86" w:rsidR="0011551C" w:rsidRPr="003108B4" w:rsidRDefault="0011551C" w:rsidP="005F05DA">
      <w:pPr>
        <w:pStyle w:val="Heading2"/>
        <w:rPr>
          <w:rFonts w:eastAsia="Calibri"/>
          <w:lang w:val="en-GB"/>
        </w:rPr>
      </w:pPr>
      <w:bookmarkStart w:id="45" w:name="_Toc229036180"/>
      <w:r w:rsidRPr="003108B4">
        <w:rPr>
          <w:rFonts w:eastAsia="Calibri"/>
          <w:lang w:val="en-GB"/>
        </w:rPr>
        <w:t>3.4. Gender analysis</w:t>
      </w:r>
      <w:bookmarkEnd w:id="45"/>
    </w:p>
    <w:p w14:paraId="39DCDC4F" w14:textId="0264F902" w:rsidR="0011551C" w:rsidRPr="00D768CA" w:rsidRDefault="0011551C" w:rsidP="005F05DA">
      <w:pPr>
        <w:jc w:val="both"/>
        <w:rPr>
          <w:rFonts w:eastAsia="Calibri" w:cstheme="minorHAnsi"/>
        </w:rPr>
      </w:pPr>
      <w:r>
        <w:rPr>
          <w:rFonts w:eastAsia="Calibri" w:cstheme="minorHAnsi"/>
        </w:rPr>
        <w:t xml:space="preserve">The gender analysis establishes the baseline situation of women and men in the selected rural settlements within the Neretva </w:t>
      </w:r>
      <w:r w:rsidR="006305D8">
        <w:rPr>
          <w:rFonts w:eastAsia="Calibri" w:cstheme="minorHAnsi"/>
        </w:rPr>
        <w:t>TBA</w:t>
      </w:r>
      <w:r>
        <w:rPr>
          <w:rFonts w:eastAsia="Calibri" w:cstheme="minorHAnsi"/>
        </w:rPr>
        <w:t xml:space="preserve"> across Croatia and Bosnia and Herzegovina, with a specific focus on household dynamics, economic participation, access to and management of water resources, and gender-differentiated risks.</w:t>
      </w:r>
    </w:p>
    <w:p w14:paraId="68FC8562" w14:textId="77777777" w:rsidR="0011551C" w:rsidRPr="00D768CA" w:rsidRDefault="0011551C" w:rsidP="005F05DA">
      <w:pPr>
        <w:jc w:val="both"/>
        <w:rPr>
          <w:rFonts w:eastAsia="Calibri" w:cstheme="minorHAnsi"/>
        </w:rPr>
      </w:pPr>
      <w:r>
        <w:rPr>
          <w:rFonts w:eastAsia="Calibri" w:cstheme="minorHAnsi"/>
        </w:rPr>
        <w:t xml:space="preserve">The targeted settlements include rural and peri-urban locations in the </w:t>
      </w:r>
      <w:proofErr w:type="spellStart"/>
      <w:r>
        <w:rPr>
          <w:rFonts w:eastAsia="Calibri" w:cstheme="minorHAnsi"/>
        </w:rPr>
        <w:t>Imotsko</w:t>
      </w:r>
      <w:proofErr w:type="spellEnd"/>
      <w:r>
        <w:rPr>
          <w:rFonts w:eastAsia="Calibri" w:cstheme="minorHAnsi"/>
        </w:rPr>
        <w:t xml:space="preserve"> polje cluster on the Croatian side and municipalities in western Herzegovina and the Neretva-linked karst system on the Bosnia and Herzegovina side, including </w:t>
      </w:r>
      <w:proofErr w:type="spellStart"/>
      <w:r>
        <w:rPr>
          <w:rFonts w:eastAsia="Calibri" w:cstheme="minorHAnsi"/>
        </w:rPr>
        <w:t>Ljubuški</w:t>
      </w:r>
      <w:proofErr w:type="spellEnd"/>
      <w:r>
        <w:rPr>
          <w:rFonts w:eastAsia="Calibri" w:cstheme="minorHAnsi"/>
        </w:rPr>
        <w:t xml:space="preserve">, </w:t>
      </w:r>
      <w:proofErr w:type="spellStart"/>
      <w:r>
        <w:rPr>
          <w:rFonts w:eastAsia="Calibri" w:cstheme="minorHAnsi"/>
        </w:rPr>
        <w:t>Čitluk</w:t>
      </w:r>
      <w:proofErr w:type="spellEnd"/>
      <w:r>
        <w:rPr>
          <w:rFonts w:eastAsia="Calibri" w:cstheme="minorHAnsi"/>
        </w:rPr>
        <w:t xml:space="preserve">, </w:t>
      </w:r>
      <w:proofErr w:type="spellStart"/>
      <w:r>
        <w:rPr>
          <w:rFonts w:eastAsia="Calibri" w:cstheme="minorHAnsi"/>
        </w:rPr>
        <w:t>Posušje</w:t>
      </w:r>
      <w:proofErr w:type="spellEnd"/>
      <w:r>
        <w:rPr>
          <w:rFonts w:eastAsia="Calibri" w:cstheme="minorHAnsi"/>
        </w:rPr>
        <w:t xml:space="preserve"> and surrounding villages. These settlements are characterised by mixed rural livelihoods, seasonal economic structures, demographic ageing, migration-dependent households, and variable water service reliability in smaller settlements.</w:t>
      </w:r>
    </w:p>
    <w:p w14:paraId="3A95F3C4" w14:textId="77777777" w:rsidR="0011551C" w:rsidRPr="00D768CA" w:rsidRDefault="0011551C" w:rsidP="005F05DA">
      <w:pPr>
        <w:jc w:val="both"/>
        <w:rPr>
          <w:rFonts w:eastAsia="Calibri" w:cstheme="minorHAnsi"/>
        </w:rPr>
      </w:pPr>
      <w:r>
        <w:rPr>
          <w:rFonts w:eastAsia="Calibri" w:cstheme="minorHAnsi"/>
        </w:rPr>
        <w:t xml:space="preserve">The broader regional socio-economic patterns correspond to well-documented trends in rural Croatia and Bosnia and Herzegovina, including dual-income livelihood strategies, reliance on agriculture and services, gendered labour division, and uneven water infrastructure performance </w:t>
      </w:r>
      <w:r>
        <w:rPr>
          <w:rFonts w:eastAsia="Calibri" w:cstheme="minorHAnsi"/>
        </w:rPr>
        <w:lastRenderedPageBreak/>
        <w:t>(CBS, 2021; BHAS, 2022; UNDP, 2020). As in comparable rural gender assessments, regional proxy indicators and sectoral studies are applied due to the limited availability of gender-disaggregated data at settlement level (FAO, 2018; UN Women, 2022). While data aggregation represents a methodological limitation, the convergence of demographic, labour, and water-governance evidence provides a reliable baseline for gender analysis.</w:t>
      </w:r>
    </w:p>
    <w:p w14:paraId="25B58703" w14:textId="77777777" w:rsidR="0011551C" w:rsidRPr="003108B4" w:rsidRDefault="0011551C" w:rsidP="005F05DA">
      <w:pPr>
        <w:pStyle w:val="Heading3"/>
        <w:spacing w:after="160"/>
        <w:rPr>
          <w:rFonts w:eastAsia="Calibri"/>
          <w:lang w:val="en-GB"/>
        </w:rPr>
      </w:pPr>
      <w:bookmarkStart w:id="46" w:name="_Toc229036181"/>
      <w:r w:rsidRPr="003108B4">
        <w:rPr>
          <w:rFonts w:eastAsia="Calibri"/>
          <w:lang w:val="en-GB"/>
        </w:rPr>
        <w:t>3.4.1. Women in households</w:t>
      </w:r>
      <w:bookmarkEnd w:id="46"/>
    </w:p>
    <w:p w14:paraId="40094BA4" w14:textId="77777777" w:rsidR="0011551C" w:rsidRPr="00D768CA" w:rsidRDefault="0011551C" w:rsidP="005F05DA">
      <w:pPr>
        <w:jc w:val="both"/>
        <w:rPr>
          <w:rFonts w:eastAsia="Calibri" w:cstheme="minorHAnsi"/>
        </w:rPr>
      </w:pPr>
      <w:r>
        <w:rPr>
          <w:rFonts w:eastAsia="Calibri" w:cstheme="minorHAnsi"/>
        </w:rPr>
        <w:t xml:space="preserve">At baseline, women in the target settlements carry a disproportionate share of unpaid domestic and care work. Across rural Croatia and Bosnia and Herzegovina, women typically perform between 65 and 75 per cent of unpaid household labour, including food preparation, cleaning, childcare, elder care, subsistence production, and routine household water management (UN Women, 2022; FAO, 2023). In the Neretva corridor settlements, this workload is reinforced by migration-driven household structures and commuting labour patterns. Many households combine seasonal employment, small farming, and remittance income, creating situations where men’s work is more mobile while women anchor daily household stability, caregiving, and food systems management. </w:t>
      </w:r>
    </w:p>
    <w:p w14:paraId="3FA7AC58" w14:textId="77777777" w:rsidR="0011551C" w:rsidRPr="00D768CA" w:rsidRDefault="0011551C" w:rsidP="005F05DA">
      <w:pPr>
        <w:jc w:val="both"/>
        <w:rPr>
          <w:rFonts w:eastAsia="Calibri" w:cstheme="minorHAnsi"/>
        </w:rPr>
      </w:pPr>
      <w:r>
        <w:rPr>
          <w:rFonts w:eastAsia="Calibri" w:cstheme="minorHAnsi"/>
        </w:rPr>
        <w:t>In smaller or remote karst settlements, women frequently manage food preservation, household budgeting, water storage, and caregiving responsibilities, particularly in ageing households. Even where women contribute substantially to farm labour or income generation, decision-making authority over land ownership, infrastructure investment, or external institutional engagement often remains male-dominated, reflecting persistent patriarchal rural norms (World Bank, 2020).</w:t>
      </w:r>
    </w:p>
    <w:p w14:paraId="1E8B76AD" w14:textId="77777777" w:rsidR="0011551C" w:rsidRPr="00D768CA" w:rsidRDefault="0011551C" w:rsidP="006305D8">
      <w:r>
        <w:t>Key contextual notes:</w:t>
      </w:r>
    </w:p>
    <w:p w14:paraId="675481FE" w14:textId="3BED557E" w:rsidR="0011551C" w:rsidRPr="005F05DA" w:rsidRDefault="006305D8" w:rsidP="006305D8">
      <w:pPr>
        <w:pStyle w:val="ListParagraph"/>
        <w:numPr>
          <w:ilvl w:val="0"/>
          <w:numId w:val="128"/>
        </w:numPr>
        <w:jc w:val="both"/>
        <w:rPr>
          <w:lang w:eastAsia="en-GB"/>
        </w:rPr>
      </w:pPr>
      <w:r>
        <w:rPr>
          <w:lang w:eastAsia="en-GB"/>
        </w:rPr>
        <w:t>u</w:t>
      </w:r>
      <w:r w:rsidR="0011551C" w:rsidRPr="005F05DA">
        <w:rPr>
          <w:lang w:eastAsia="en-GB"/>
        </w:rPr>
        <w:t>npaid care/household work gap (Europe/Croatia): EU gender statistics consistently show women spend substantially more time on unpaid care and household work than men;</w:t>
      </w:r>
      <w:r>
        <w:rPr>
          <w:lang w:eastAsia="en-GB"/>
        </w:rPr>
        <w:t xml:space="preserve"> </w:t>
      </w:r>
      <w:r w:rsidR="0011551C" w:rsidRPr="005F05DA">
        <w:rPr>
          <w:lang w:eastAsia="en-GB"/>
        </w:rPr>
        <w:t>European Commission gender stats highlight a large weekly gap (women 22 hours vs men 9 hours among working adults, EU-level)</w:t>
      </w:r>
      <w:r>
        <w:rPr>
          <w:lang w:eastAsia="en-GB"/>
        </w:rPr>
        <w:t>;</w:t>
      </w:r>
    </w:p>
    <w:p w14:paraId="300BE17D" w14:textId="591C0083" w:rsidR="0011551C" w:rsidRPr="006305D8" w:rsidRDefault="0011551C" w:rsidP="006305D8">
      <w:pPr>
        <w:pStyle w:val="ListParagraph"/>
        <w:numPr>
          <w:ilvl w:val="0"/>
          <w:numId w:val="128"/>
        </w:numPr>
        <w:jc w:val="both"/>
        <w:rPr>
          <w:rFonts w:eastAsia="Times New Roman" w:cstheme="minorHAnsi"/>
          <w:lang w:eastAsia="en-GB"/>
        </w:rPr>
      </w:pPr>
      <w:r w:rsidRPr="006305D8">
        <w:rPr>
          <w:rFonts w:eastAsia="Times New Roman" w:cstheme="minorHAnsi"/>
          <w:lang w:eastAsia="en-GB"/>
        </w:rPr>
        <w:t>Croatia-specific framing (OECD): OECD reporting on Croatia notes that women spend almost 20 more hours per week on unpaid work than men, reinforcing the baseline assumption of time poverty in rural households (especially where care for elderly is high)</w:t>
      </w:r>
      <w:r w:rsidR="006305D8">
        <w:rPr>
          <w:rFonts w:eastAsia="Times New Roman" w:cstheme="minorHAnsi"/>
          <w:lang w:eastAsia="en-GB"/>
        </w:rPr>
        <w:t>;</w:t>
      </w:r>
      <w:r w:rsidRPr="006305D8">
        <w:rPr>
          <w:rFonts w:eastAsia="Times New Roman" w:cstheme="minorHAnsi"/>
          <w:lang w:eastAsia="en-GB"/>
        </w:rPr>
        <w:t xml:space="preserve"> </w:t>
      </w:r>
    </w:p>
    <w:p w14:paraId="52D647AF" w14:textId="72356208" w:rsidR="0011551C" w:rsidRPr="006305D8" w:rsidRDefault="006305D8" w:rsidP="006305D8">
      <w:pPr>
        <w:pStyle w:val="ListParagraph"/>
        <w:numPr>
          <w:ilvl w:val="0"/>
          <w:numId w:val="128"/>
        </w:numPr>
        <w:jc w:val="both"/>
        <w:rPr>
          <w:rFonts w:eastAsia="Times New Roman" w:cstheme="minorHAnsi"/>
          <w:lang w:eastAsia="en-GB"/>
        </w:rPr>
      </w:pPr>
      <w:r>
        <w:rPr>
          <w:rFonts w:eastAsia="Times New Roman" w:cstheme="minorHAnsi"/>
          <w:lang w:eastAsia="en-GB"/>
        </w:rPr>
        <w:t>a</w:t>
      </w:r>
      <w:r w:rsidR="0011551C" w:rsidRPr="006305D8">
        <w:rPr>
          <w:rFonts w:eastAsia="Times New Roman" w:cstheme="minorHAnsi"/>
          <w:lang w:eastAsia="en-GB"/>
        </w:rPr>
        <w:t xml:space="preserve">geing context (Croatia): Croatia is among Europe’s older populations; official statistics report a higher average age for women than men, which supports the “eldercare burden” pathway (women’s over-representation in older cohorts). </w:t>
      </w:r>
    </w:p>
    <w:p w14:paraId="0188E529" w14:textId="77777777" w:rsidR="0011551C" w:rsidRPr="00D768CA" w:rsidRDefault="0011551C" w:rsidP="005F05DA">
      <w:pPr>
        <w:jc w:val="both"/>
        <w:rPr>
          <w:rFonts w:eastAsia="Calibri" w:cstheme="minorHAnsi"/>
        </w:rPr>
      </w:pPr>
      <w:r>
        <w:rPr>
          <w:rFonts w:eastAsia="Calibri" w:cstheme="minorHAnsi"/>
        </w:rPr>
        <w:t>These demographic and socio-economic dynamics indicate that women function as the primary household stability managers, yet their strategic decision-making authority remains structurally constrained.</w:t>
      </w:r>
    </w:p>
    <w:p w14:paraId="7BCC0E89" w14:textId="77777777" w:rsidR="0011551C" w:rsidRPr="003108B4" w:rsidRDefault="0011551C" w:rsidP="006305D8">
      <w:pPr>
        <w:pStyle w:val="Heading3"/>
        <w:rPr>
          <w:rFonts w:eastAsia="Calibri"/>
          <w:lang w:val="en-GB"/>
        </w:rPr>
      </w:pPr>
      <w:bookmarkStart w:id="47" w:name="_Toc229036182"/>
      <w:r w:rsidRPr="003108B4">
        <w:rPr>
          <w:rFonts w:eastAsia="Calibri"/>
          <w:lang w:val="en-GB"/>
        </w:rPr>
        <w:t>3.4.2. Women in economic activities</w:t>
      </w:r>
      <w:bookmarkEnd w:id="47"/>
    </w:p>
    <w:p w14:paraId="5E56AA42" w14:textId="77777777" w:rsidR="0011551C" w:rsidRPr="00D768CA" w:rsidRDefault="0011551C" w:rsidP="005F05DA">
      <w:pPr>
        <w:jc w:val="both"/>
        <w:rPr>
          <w:rFonts w:eastAsia="Calibri" w:cstheme="minorHAnsi"/>
        </w:rPr>
      </w:pPr>
      <w:r>
        <w:rPr>
          <w:rFonts w:eastAsia="Calibri" w:cstheme="minorHAnsi"/>
        </w:rPr>
        <w:t xml:space="preserve">Women’s economic participation in the target settlements is significant but frequently informal or under-recognised. National labour data indicate that female labour force participation remains substantially lower in Bosnia and Herzegovina than for men (approximately 39% vs 60%), reflecting structural gender inequalities in employment access and labour market integration (BHAS, 2022).  Livelihood structures differ across settlement types. </w:t>
      </w:r>
    </w:p>
    <w:p w14:paraId="3DCEA189" w14:textId="77777777" w:rsidR="0011551C" w:rsidRPr="00D768CA" w:rsidRDefault="0011551C" w:rsidP="005F05DA">
      <w:pPr>
        <w:jc w:val="both"/>
        <w:rPr>
          <w:rFonts w:eastAsia="Calibri" w:cstheme="minorHAnsi"/>
        </w:rPr>
      </w:pPr>
      <w:r>
        <w:rPr>
          <w:rFonts w:eastAsia="Calibri" w:cstheme="minorHAnsi"/>
        </w:rPr>
        <w:lastRenderedPageBreak/>
        <w:t>Key contextual notes:</w:t>
      </w:r>
    </w:p>
    <w:p w14:paraId="3B17CC67" w14:textId="6BA39712" w:rsidR="0011551C" w:rsidRPr="00D768CA" w:rsidRDefault="0011551C" w:rsidP="005F05DA">
      <w:pPr>
        <w:numPr>
          <w:ilvl w:val="0"/>
          <w:numId w:val="112"/>
        </w:numPr>
        <w:ind w:left="426" w:hanging="426"/>
        <w:contextualSpacing/>
        <w:jc w:val="both"/>
        <w:rPr>
          <w:rFonts w:eastAsia="Calibri" w:cstheme="minorHAnsi"/>
        </w:rPr>
      </w:pPr>
      <w:r>
        <w:rPr>
          <w:rFonts w:eastAsia="Calibri" w:cstheme="minorHAnsi"/>
        </w:rPr>
        <w:t>BiH labour force structure (official): Bosnia and Herzegovina Labour Force Survey data show women are ~39% of the labour force (men ~61%), and women constitute ~37% of employed persons in the reported totals—supporting the baseline claim of lower female labour market participation and higher inactivity among women</w:t>
      </w:r>
      <w:r w:rsidR="006305D8">
        <w:rPr>
          <w:rFonts w:eastAsia="Calibri" w:cstheme="minorHAnsi"/>
        </w:rPr>
        <w:t>;</w:t>
      </w:r>
    </w:p>
    <w:p w14:paraId="1B0957C6" w14:textId="33950D78" w:rsidR="0011551C" w:rsidRPr="00D768CA" w:rsidRDefault="0011551C" w:rsidP="005F05DA">
      <w:pPr>
        <w:numPr>
          <w:ilvl w:val="0"/>
          <w:numId w:val="112"/>
        </w:numPr>
        <w:ind w:left="426" w:hanging="426"/>
        <w:contextualSpacing/>
        <w:jc w:val="both"/>
        <w:rPr>
          <w:rFonts w:eastAsia="Calibri" w:cstheme="minorHAnsi"/>
        </w:rPr>
      </w:pPr>
      <w:r>
        <w:rPr>
          <w:rFonts w:eastAsia="Calibri" w:cstheme="minorHAnsi"/>
        </w:rPr>
        <w:t>Gender Equality Index evidence (BiH): The Gender Equality Index reporting for BiH includes a comparable pattern: women’s activity rate around the mid-30s vs men near 60, reinforcing structural gaps in paid work access and exposure to informal/seasonal livelihoods</w:t>
      </w:r>
      <w:r w:rsidR="006305D8">
        <w:rPr>
          <w:rFonts w:eastAsia="Calibri" w:cstheme="minorHAnsi"/>
        </w:rPr>
        <w:t>;</w:t>
      </w:r>
    </w:p>
    <w:p w14:paraId="5078FDED" w14:textId="54B2612B" w:rsidR="0011551C" w:rsidRPr="00D768CA" w:rsidRDefault="006305D8" w:rsidP="005F05DA">
      <w:pPr>
        <w:numPr>
          <w:ilvl w:val="0"/>
          <w:numId w:val="112"/>
        </w:numPr>
        <w:spacing w:before="240"/>
        <w:ind w:left="426" w:hanging="426"/>
        <w:contextualSpacing/>
        <w:jc w:val="both"/>
        <w:rPr>
          <w:rFonts w:eastAsia="Calibri" w:cstheme="minorHAnsi"/>
        </w:rPr>
      </w:pPr>
      <w:r>
        <w:rPr>
          <w:rFonts w:eastAsia="Calibri" w:cstheme="minorHAnsi"/>
        </w:rPr>
        <w:t>r</w:t>
      </w:r>
      <w:r w:rsidR="0011551C">
        <w:rPr>
          <w:rFonts w:eastAsia="Calibri" w:cstheme="minorHAnsi"/>
        </w:rPr>
        <w:t>ural land/property constraints (BiH agriculture &amp; rural livelihoods): FAO’s national gender profile for agriculture/rural livelihoods in Bosnia and Herzegovina discusses persistent constraints around women’s formal property/land rights and registration (a key mechanism limiting access to subsidies/credit and formal producer status).</w:t>
      </w:r>
    </w:p>
    <w:p w14:paraId="4CB25360" w14:textId="77777777" w:rsidR="0011551C" w:rsidRPr="006305D8" w:rsidRDefault="0011551C" w:rsidP="005F05DA">
      <w:pPr>
        <w:spacing w:before="240"/>
        <w:rPr>
          <w:rFonts w:eastAsia="Calibri" w:cstheme="minorHAnsi"/>
          <w:color w:val="0070C0"/>
          <w:u w:val="single"/>
        </w:rPr>
      </w:pPr>
      <w:r w:rsidRPr="006305D8">
        <w:rPr>
          <w:rFonts w:eastAsia="Calibri" w:cstheme="minorHAnsi"/>
          <w:color w:val="0070C0"/>
          <w:u w:val="single"/>
        </w:rPr>
        <w:t>Croatian settlements (</w:t>
      </w:r>
      <w:proofErr w:type="spellStart"/>
      <w:r w:rsidRPr="006305D8">
        <w:rPr>
          <w:rFonts w:eastAsia="Calibri" w:cstheme="minorHAnsi"/>
          <w:color w:val="0070C0"/>
          <w:u w:val="single"/>
        </w:rPr>
        <w:t>Imotsko</w:t>
      </w:r>
      <w:proofErr w:type="spellEnd"/>
      <w:r w:rsidRPr="006305D8">
        <w:rPr>
          <w:rFonts w:eastAsia="Calibri" w:cstheme="minorHAnsi"/>
          <w:color w:val="0070C0"/>
          <w:u w:val="single"/>
        </w:rPr>
        <w:t xml:space="preserve"> polje cluster)</w:t>
      </w:r>
    </w:p>
    <w:p w14:paraId="70356163" w14:textId="77777777" w:rsidR="0011551C" w:rsidRPr="00D768CA" w:rsidRDefault="0011551C" w:rsidP="005F05DA">
      <w:pPr>
        <w:jc w:val="both"/>
        <w:rPr>
          <w:rFonts w:eastAsia="Calibri" w:cstheme="minorHAnsi"/>
        </w:rPr>
      </w:pPr>
      <w:r>
        <w:rPr>
          <w:rFonts w:eastAsia="Calibri" w:cstheme="minorHAnsi"/>
        </w:rPr>
        <w:t>Households typically combine small family farming, vineyards, livestock production, and service-sector employment linked to the broader Dalmatian tourism economy. Women contribute heavily to labour-intensive cultivation, food processing, household food systems, and unpaid agricultural work, while men are more visible in machinery operation, market-facing decisions, transport, and construction work. Dual-economy households are common, combining subsistence farming with commuting employment. Gender differences are visible in mobility patterns: men are more likely to undertake longer-distance or physically intensive employment, while women tend to work locally in shorter-hour or seasonal service roles compatible with care responsibilities.</w:t>
      </w:r>
    </w:p>
    <w:p w14:paraId="4AE61929" w14:textId="77777777" w:rsidR="0011551C" w:rsidRPr="006305D8" w:rsidRDefault="0011551C" w:rsidP="005F05DA">
      <w:pPr>
        <w:rPr>
          <w:rFonts w:eastAsia="Calibri" w:cstheme="minorHAnsi"/>
          <w:color w:val="2F5496"/>
          <w:u w:val="single"/>
        </w:rPr>
      </w:pPr>
      <w:r w:rsidRPr="006305D8">
        <w:rPr>
          <w:rFonts w:eastAsia="Calibri" w:cstheme="minorHAnsi"/>
          <w:color w:val="2F5496"/>
          <w:u w:val="single"/>
        </w:rPr>
        <w:t>Bosnia and Herzegovina settlements</w:t>
      </w:r>
    </w:p>
    <w:p w14:paraId="78602005" w14:textId="77777777" w:rsidR="0011551C" w:rsidRPr="00D768CA" w:rsidRDefault="0011551C" w:rsidP="005F05DA">
      <w:pPr>
        <w:jc w:val="both"/>
        <w:rPr>
          <w:rFonts w:eastAsia="Calibri" w:cstheme="minorHAnsi"/>
        </w:rPr>
      </w:pPr>
      <w:r>
        <w:rPr>
          <w:rFonts w:eastAsia="Calibri" w:cstheme="minorHAnsi"/>
        </w:rPr>
        <w:t xml:space="preserve">Economic life in Herzegovina settlements is based on portfolio livelihoods combining agriculture, tourism services, remittances, and off-farm employment. Tourism-activated settlements such as </w:t>
      </w:r>
      <w:proofErr w:type="spellStart"/>
      <w:r>
        <w:rPr>
          <w:rFonts w:eastAsia="Calibri" w:cstheme="minorHAnsi"/>
        </w:rPr>
        <w:t>Međugorje</w:t>
      </w:r>
      <w:proofErr w:type="spellEnd"/>
      <w:r>
        <w:rPr>
          <w:rFonts w:eastAsia="Calibri" w:cstheme="minorHAnsi"/>
        </w:rPr>
        <w:t xml:space="preserve"> and surrounding areas generate employment in hospitality, accommodation, food services, and retail, where women often gain income opportunities but frequently in seasonal or informal arrangements lacking social protection. Agricultural villages remain strongly shaped by gender disparities in asset ownership. Women represent a minority of registered landowners (around 30%), limiting their access to agricultural subsidies, irrigation investments, and formal producer status (FAO, 2018; World Bank, 2020; UN reporting cited in the gender brief).  Across both countries, extensive unpaid family labour and care responsibilities create significant time poverty, reducing women’s opportunities for entrepreneurship, skills training, and formal employment.</w:t>
      </w:r>
    </w:p>
    <w:p w14:paraId="1AB94FC3" w14:textId="77777777" w:rsidR="0011551C" w:rsidRPr="003108B4" w:rsidRDefault="0011551C" w:rsidP="006305D8">
      <w:pPr>
        <w:pStyle w:val="Heading3"/>
        <w:rPr>
          <w:rFonts w:eastAsia="Calibri"/>
          <w:lang w:val="en-GB"/>
        </w:rPr>
      </w:pPr>
      <w:bookmarkStart w:id="48" w:name="_Toc229036183"/>
      <w:r w:rsidRPr="003108B4">
        <w:rPr>
          <w:rFonts w:eastAsia="Calibri"/>
          <w:lang w:val="en-GB"/>
        </w:rPr>
        <w:t>3.4.3. Women, use of water and water management</w:t>
      </w:r>
      <w:bookmarkEnd w:id="48"/>
    </w:p>
    <w:p w14:paraId="5235ADB3" w14:textId="1D0B6716" w:rsidR="0011551C" w:rsidRPr="00D768CA" w:rsidRDefault="0011551C" w:rsidP="005F05DA">
      <w:pPr>
        <w:jc w:val="both"/>
        <w:rPr>
          <w:rFonts w:eastAsia="Calibri" w:cstheme="minorHAnsi"/>
        </w:rPr>
      </w:pPr>
      <w:r>
        <w:rPr>
          <w:rFonts w:eastAsia="Calibri" w:cstheme="minorHAnsi"/>
        </w:rPr>
        <w:t xml:space="preserve">Women are the primary managers of household water use in </w:t>
      </w:r>
      <w:r w:rsidR="006305D8">
        <w:rPr>
          <w:rFonts w:eastAsia="Calibri" w:cstheme="minorHAnsi"/>
        </w:rPr>
        <w:t>most</w:t>
      </w:r>
      <w:r>
        <w:rPr>
          <w:rFonts w:eastAsia="Calibri" w:cstheme="minorHAnsi"/>
        </w:rPr>
        <w:t xml:space="preserve"> settlements in the Neretva corridor. Responsibilities include ensuring water availability for drinking, hygiene, food preparation, childcare, and small-scale agricultural production. The corridor lies within a complex karst hydrological environment characterised by abundant groundwater resources but high vulnerability to seasonal variability, storage losses, contamination risks, and infrastructure limitations in smaller settlements. </w:t>
      </w:r>
    </w:p>
    <w:p w14:paraId="70559F44" w14:textId="77777777" w:rsidR="0011551C" w:rsidRPr="00D768CA" w:rsidRDefault="0011551C" w:rsidP="005F05DA">
      <w:pPr>
        <w:jc w:val="both"/>
        <w:rPr>
          <w:rFonts w:eastAsia="Calibri" w:cstheme="minorHAnsi"/>
        </w:rPr>
      </w:pPr>
      <w:r>
        <w:rPr>
          <w:rFonts w:eastAsia="Calibri" w:cstheme="minorHAnsi"/>
        </w:rPr>
        <w:lastRenderedPageBreak/>
        <w:t xml:space="preserve">In Croatian settlements around </w:t>
      </w:r>
      <w:proofErr w:type="spellStart"/>
      <w:r>
        <w:rPr>
          <w:rFonts w:eastAsia="Calibri" w:cstheme="minorHAnsi"/>
        </w:rPr>
        <w:t>Imotsko</w:t>
      </w:r>
      <w:proofErr w:type="spellEnd"/>
      <w:r>
        <w:rPr>
          <w:rFonts w:eastAsia="Calibri" w:cstheme="minorHAnsi"/>
        </w:rPr>
        <w:t xml:space="preserve"> polje, irrigation-dependent agriculture relies partly on controlled reservoir releases, while the karst geology causes seepage losses and reduces storage predictability. Seasonal flood–drought oscillations create recurring supply uncertainty.  When water reliability declines, due to pressure drops, restrictions, or tanker dependence, households shift to coping strategies including water storage, rationing, and scheduling hygiene tasks. These adaptive logistics typically become invisible managerial labour carried primarily by women, increasing unpaid workload precisely during stress periods.</w:t>
      </w:r>
    </w:p>
    <w:p w14:paraId="1FCBDB7B" w14:textId="77777777" w:rsidR="0011551C" w:rsidRPr="00D768CA" w:rsidRDefault="0011551C" w:rsidP="005F05DA">
      <w:pPr>
        <w:jc w:val="both"/>
        <w:rPr>
          <w:rFonts w:eastAsia="Calibri" w:cstheme="minorHAnsi"/>
        </w:rPr>
      </w:pPr>
      <w:r>
        <w:rPr>
          <w:rFonts w:eastAsia="Calibri" w:cstheme="minorHAnsi"/>
        </w:rPr>
        <w:t xml:space="preserve">On the Bosnia and Herzegovina side, water service provision operates within a multi-layered institutional system involving municipal utilities and sectoral agencies. Wastewater treatment coverage remains incomplete, with a significant share of wastewater discharged untreated, increasing environmental and public-health risks (BHAS statistics). Women’s participation in formal water governance structures — irrigation planning, utility boards, or infrastructure consultations — remains very limited. Access to irrigation allocation, subsidies, or investment support often follows formal land registration and institutional engagement channels where women are structurally under-represented. </w:t>
      </w:r>
    </w:p>
    <w:p w14:paraId="6AAFC730" w14:textId="77777777" w:rsidR="0011551C" w:rsidRPr="006305D8" w:rsidRDefault="0011551C" w:rsidP="005F05DA">
      <w:pPr>
        <w:jc w:val="both"/>
        <w:rPr>
          <w:rFonts w:eastAsia="Calibri" w:cstheme="minorHAnsi"/>
          <w:color w:val="2F5496"/>
          <w:u w:val="single"/>
        </w:rPr>
      </w:pPr>
      <w:r w:rsidRPr="006305D8">
        <w:rPr>
          <w:rFonts w:eastAsia="Calibri" w:cstheme="minorHAnsi"/>
          <w:color w:val="2F5496"/>
          <w:u w:val="single"/>
        </w:rPr>
        <w:t>Key contextual notes:</w:t>
      </w:r>
    </w:p>
    <w:p w14:paraId="74795D8B" w14:textId="7DB9052B" w:rsidR="0011551C" w:rsidRPr="00D768CA" w:rsidRDefault="006305D8" w:rsidP="005F05DA">
      <w:pPr>
        <w:numPr>
          <w:ilvl w:val="0"/>
          <w:numId w:val="113"/>
        </w:numPr>
        <w:ind w:left="426" w:hanging="426"/>
        <w:contextualSpacing/>
        <w:jc w:val="both"/>
        <w:rPr>
          <w:rFonts w:eastAsia="Calibri" w:cstheme="minorHAnsi"/>
        </w:rPr>
      </w:pPr>
      <w:r>
        <w:rPr>
          <w:rFonts w:eastAsia="Calibri" w:cstheme="minorHAnsi"/>
        </w:rPr>
        <w:t>g</w:t>
      </w:r>
      <w:r w:rsidR="0011551C">
        <w:rPr>
          <w:rFonts w:eastAsia="Calibri" w:cstheme="minorHAnsi"/>
        </w:rPr>
        <w:t>ender and WASH (global): The WHO/UNICEF JMP 2023 update explicitly focuses on gender and documents how inadequate water/sanitation access creates gendered burdens and risks (appropriate as a proxy framework when settlement-level gender-disaggregated WASH data are missing)</w:t>
      </w:r>
      <w:r>
        <w:rPr>
          <w:rFonts w:eastAsia="Calibri" w:cstheme="minorHAnsi"/>
        </w:rPr>
        <w:t>;</w:t>
      </w:r>
    </w:p>
    <w:p w14:paraId="6F0686EB" w14:textId="780E9277" w:rsidR="0011551C" w:rsidRPr="00D768CA" w:rsidRDefault="006305D8" w:rsidP="005F05DA">
      <w:pPr>
        <w:numPr>
          <w:ilvl w:val="0"/>
          <w:numId w:val="113"/>
        </w:numPr>
        <w:ind w:left="426" w:hanging="426"/>
        <w:contextualSpacing/>
        <w:jc w:val="both"/>
        <w:rPr>
          <w:rFonts w:eastAsia="Calibri" w:cstheme="minorHAnsi"/>
        </w:rPr>
      </w:pPr>
      <w:r>
        <w:rPr>
          <w:rFonts w:eastAsia="Calibri" w:cstheme="minorHAnsi"/>
        </w:rPr>
        <w:t>w</w:t>
      </w:r>
      <w:r w:rsidR="0011551C">
        <w:rPr>
          <w:rFonts w:eastAsia="Calibri" w:cstheme="minorHAnsi"/>
        </w:rPr>
        <w:t>astewater treatment baseline (BiH official environment statistics): BiH official environment statistics report that 110 million m³ of wastewater entered public sewerage systems in 2023, and ~50 million m³ (46%) was treated before discharge, relevant to water-quality risk framing and household coping burdens.</w:t>
      </w:r>
    </w:p>
    <w:p w14:paraId="1865A69B" w14:textId="77777777" w:rsidR="0011551C" w:rsidRPr="003108B4" w:rsidRDefault="0011551C" w:rsidP="006305D8">
      <w:pPr>
        <w:pStyle w:val="Heading3"/>
        <w:rPr>
          <w:rFonts w:eastAsia="Calibri"/>
          <w:lang w:val="en-GB"/>
        </w:rPr>
      </w:pPr>
      <w:bookmarkStart w:id="49" w:name="_Toc229036184"/>
      <w:r w:rsidRPr="003108B4">
        <w:rPr>
          <w:rFonts w:eastAsia="Calibri"/>
          <w:lang w:val="en-GB"/>
        </w:rPr>
        <w:t>3.4.4. Risk exposure and vulnerabilities</w:t>
      </w:r>
      <w:bookmarkEnd w:id="49"/>
    </w:p>
    <w:p w14:paraId="0EB53438" w14:textId="77777777" w:rsidR="0011551C" w:rsidRPr="00D768CA" w:rsidRDefault="0011551C" w:rsidP="005F05DA">
      <w:pPr>
        <w:jc w:val="both"/>
        <w:rPr>
          <w:rFonts w:eastAsia="Calibri" w:cstheme="minorHAnsi"/>
        </w:rPr>
      </w:pPr>
      <w:r>
        <w:rPr>
          <w:rFonts w:eastAsia="Calibri" w:cstheme="minorHAnsi"/>
        </w:rPr>
        <w:t>Women in the target settlements face intersecting economic, environmental, and governance risks:</w:t>
      </w:r>
    </w:p>
    <w:p w14:paraId="58A10CC1" w14:textId="56F312D0" w:rsidR="0011551C" w:rsidRPr="00D768CA" w:rsidRDefault="006305D8" w:rsidP="005F05DA">
      <w:pPr>
        <w:numPr>
          <w:ilvl w:val="0"/>
          <w:numId w:val="114"/>
        </w:numPr>
        <w:ind w:left="426" w:hanging="426"/>
        <w:contextualSpacing/>
        <w:jc w:val="both"/>
        <w:rPr>
          <w:rFonts w:eastAsia="Calibri" w:cstheme="minorHAnsi"/>
        </w:rPr>
      </w:pPr>
      <w:r>
        <w:rPr>
          <w:rFonts w:eastAsia="Calibri" w:cstheme="minorHAnsi"/>
        </w:rPr>
        <w:t>c</w:t>
      </w:r>
      <w:r w:rsidR="0011551C">
        <w:rPr>
          <w:rFonts w:eastAsia="Calibri" w:cstheme="minorHAnsi"/>
        </w:rPr>
        <w:t>limate and water risks (authoritative baseline): IPCC AR6 (WGII) assesses observed and projected climate-driven changes in the water cycle and related risks for people and ecosystems - useful to justify drought/flood variability and water-related vulnerability pathways in karst basins</w:t>
      </w:r>
      <w:r>
        <w:rPr>
          <w:rFonts w:eastAsia="Calibri" w:cstheme="minorHAnsi"/>
        </w:rPr>
        <w:t>;</w:t>
      </w:r>
    </w:p>
    <w:p w14:paraId="35731BBC" w14:textId="76B7392B" w:rsidR="0011551C" w:rsidRPr="00D768CA" w:rsidRDefault="006305D8" w:rsidP="005F05DA">
      <w:pPr>
        <w:numPr>
          <w:ilvl w:val="0"/>
          <w:numId w:val="114"/>
        </w:numPr>
        <w:spacing w:before="240"/>
        <w:ind w:left="426" w:hanging="426"/>
        <w:contextualSpacing/>
        <w:jc w:val="both"/>
        <w:rPr>
          <w:rFonts w:eastAsia="Calibri" w:cstheme="minorHAnsi"/>
        </w:rPr>
      </w:pPr>
      <w:r>
        <w:rPr>
          <w:rFonts w:eastAsia="Calibri" w:cstheme="minorHAnsi"/>
        </w:rPr>
        <w:t>c</w:t>
      </w:r>
      <w:r w:rsidR="0011551C">
        <w:rPr>
          <w:rFonts w:eastAsia="Calibri" w:cstheme="minorHAnsi"/>
        </w:rPr>
        <w:t>limate-care pathway (gendered impacts): UN Women’s “climate-care nexus” working paper documents that climate change and environmental degradation increase women’s unpaid care, domestic, and community work, directly supporting the narrative that drought/flood shocks translate into higher unpaid burdens.</w:t>
      </w:r>
    </w:p>
    <w:p w14:paraId="1BFBCA0D" w14:textId="77777777" w:rsidR="0011551C" w:rsidRPr="006305D8" w:rsidRDefault="0011551C" w:rsidP="005F05DA">
      <w:pPr>
        <w:spacing w:before="240"/>
        <w:rPr>
          <w:rFonts w:eastAsia="Calibri" w:cstheme="minorHAnsi"/>
          <w:color w:val="2F5496"/>
          <w:u w:val="single"/>
        </w:rPr>
      </w:pPr>
      <w:r w:rsidRPr="006305D8">
        <w:rPr>
          <w:rFonts w:eastAsia="Calibri" w:cstheme="minorHAnsi"/>
          <w:color w:val="2F5496"/>
          <w:u w:val="single"/>
        </w:rPr>
        <w:t>Economic vulnerability</w:t>
      </w:r>
    </w:p>
    <w:p w14:paraId="12414529" w14:textId="1A380979" w:rsidR="0039215F" w:rsidRPr="00F616D9" w:rsidRDefault="0011551C" w:rsidP="00F616D9">
      <w:pPr>
        <w:jc w:val="both"/>
        <w:rPr>
          <w:rFonts w:eastAsia="Calibri" w:cstheme="minorHAnsi"/>
        </w:rPr>
      </w:pPr>
      <w:r>
        <w:rPr>
          <w:rFonts w:eastAsia="Calibri" w:cstheme="minorHAnsi"/>
        </w:rPr>
        <w:t xml:space="preserve">Reliance on seasonal tourism, smallholder agriculture, and informal labour creates unstable income streams. Women’s concentration in lower-paid service roles, unpaid family farming, or home-based economic activities increases exposure to income shocks, including poor tourist </w:t>
      </w:r>
      <w:r>
        <w:rPr>
          <w:rFonts w:eastAsia="Calibri" w:cstheme="minorHAnsi"/>
        </w:rPr>
        <w:lastRenderedPageBreak/>
        <w:t>seasons, crop losses, or price fluctuations.  Limited childcare services, transport constraints, and commuting patterns further restrict women’s access to stable employment.</w:t>
      </w:r>
    </w:p>
    <w:p w14:paraId="2E51848A" w14:textId="139690E4" w:rsidR="0011551C" w:rsidRPr="006305D8" w:rsidRDefault="0011551C" w:rsidP="005F05DA">
      <w:pPr>
        <w:rPr>
          <w:rFonts w:eastAsia="Calibri" w:cstheme="minorHAnsi"/>
          <w:color w:val="2F5496"/>
          <w:u w:val="single"/>
        </w:rPr>
      </w:pPr>
      <w:r w:rsidRPr="006305D8">
        <w:rPr>
          <w:rFonts w:eastAsia="Calibri" w:cstheme="minorHAnsi"/>
          <w:color w:val="2F5496"/>
          <w:u w:val="single"/>
        </w:rPr>
        <w:t>Climate and environmental risks</w:t>
      </w:r>
    </w:p>
    <w:p w14:paraId="08565F47" w14:textId="77777777" w:rsidR="0011551C" w:rsidRPr="00D768CA" w:rsidRDefault="0011551C" w:rsidP="005F05DA">
      <w:pPr>
        <w:jc w:val="both"/>
        <w:rPr>
          <w:rFonts w:eastAsia="Calibri" w:cstheme="minorHAnsi"/>
        </w:rPr>
      </w:pPr>
      <w:r>
        <w:rPr>
          <w:rFonts w:eastAsia="Calibri" w:cstheme="minorHAnsi"/>
        </w:rPr>
        <w:t xml:space="preserve">The karst hydrological system produces alternating drought and flood pressures, creating risks that are not </w:t>
      </w:r>
      <w:proofErr w:type="gramStart"/>
      <w:r>
        <w:rPr>
          <w:rFonts w:eastAsia="Calibri" w:cstheme="minorHAnsi"/>
        </w:rPr>
        <w:t>gender-neutral</w:t>
      </w:r>
      <w:proofErr w:type="gramEnd"/>
      <w:r>
        <w:rPr>
          <w:rFonts w:eastAsia="Calibri" w:cstheme="minorHAnsi"/>
        </w:rPr>
        <w:t>. During droughts, reduced water availability increases household management workload, rationing tasks, and hygiene management, responsibilities primarily undertaken by women. During flood episodes, contamination of wells or local sources may increase illness risks and caregiving demands. Karst groundwater systems are particularly sensitive to contamination from wastewater leakage, septic failures, or runoff spikes. When water quality becomes uncertain, households must invest additional time in protective measures, water treatment, and health monitoring, again intensifying gendered unpaid labour burdens.</w:t>
      </w:r>
    </w:p>
    <w:p w14:paraId="7491E2A8" w14:textId="77777777" w:rsidR="0011551C" w:rsidRPr="00D768CA" w:rsidRDefault="0011551C" w:rsidP="005F05DA">
      <w:pPr>
        <w:jc w:val="both"/>
        <w:rPr>
          <w:rFonts w:eastAsia="Calibri" w:cstheme="minorHAnsi"/>
        </w:rPr>
      </w:pPr>
      <w:r>
        <w:rPr>
          <w:rFonts w:eastAsia="Calibri" w:cstheme="minorHAnsi"/>
        </w:rPr>
        <w:t>Land ownership disparities, lower access to credit, and limited presence in irrigation governance further constrain women’s ability to invest in climate-resilient agricultural technologies or water storage systems (IPCC, 2022).</w:t>
      </w:r>
    </w:p>
    <w:p w14:paraId="1BB14C42" w14:textId="77777777" w:rsidR="0011551C" w:rsidRPr="003108B4" w:rsidRDefault="0011551C" w:rsidP="006305D8">
      <w:pPr>
        <w:pStyle w:val="Heading3"/>
        <w:rPr>
          <w:rFonts w:eastAsia="Calibri"/>
          <w:lang w:val="en-GB"/>
        </w:rPr>
      </w:pPr>
      <w:bookmarkStart w:id="50" w:name="_Toc229036185"/>
      <w:r w:rsidRPr="003108B4">
        <w:rPr>
          <w:rFonts w:eastAsia="Calibri"/>
          <w:lang w:val="en-GB"/>
        </w:rPr>
        <w:t>3.4.5. Adaptive capacities and decision making</w:t>
      </w:r>
      <w:bookmarkEnd w:id="50"/>
    </w:p>
    <w:p w14:paraId="7BC731F3" w14:textId="1315D0FF" w:rsidR="0011551C" w:rsidRPr="00D768CA" w:rsidRDefault="0011551C" w:rsidP="005F05DA">
      <w:pPr>
        <w:jc w:val="both"/>
        <w:rPr>
          <w:rFonts w:eastAsia="Calibri" w:cstheme="minorHAnsi"/>
        </w:rPr>
      </w:pPr>
      <w:r>
        <w:rPr>
          <w:rFonts w:eastAsia="Calibri" w:cstheme="minorHAnsi"/>
        </w:rPr>
        <w:t xml:space="preserve">Women’s adaptive capacity in the Neretva </w:t>
      </w:r>
      <w:r w:rsidR="006305D8">
        <w:rPr>
          <w:rFonts w:eastAsia="Calibri" w:cstheme="minorHAnsi"/>
        </w:rPr>
        <w:t>TBA</w:t>
      </w:r>
      <w:r>
        <w:rPr>
          <w:rFonts w:eastAsia="Calibri" w:cstheme="minorHAnsi"/>
        </w:rPr>
        <w:t xml:space="preserve"> is constrained by their limited participation in local governance structures, including water utilities, irrigation management, disaster preparedness, and municipal planning processes. Although women possess extensive local knowledge of water availability, seasonal variability, household coping strategies, and agricultural adaptation practices, this knowledge is rarely formally integrated into infrastructure planning or environmental governance frameworks. </w:t>
      </w:r>
    </w:p>
    <w:p w14:paraId="23D43D67" w14:textId="77777777" w:rsidR="0011551C" w:rsidRPr="00D768CA" w:rsidRDefault="0011551C" w:rsidP="005F05DA">
      <w:pPr>
        <w:jc w:val="both"/>
        <w:rPr>
          <w:rFonts w:eastAsia="Calibri" w:cstheme="minorHAnsi"/>
        </w:rPr>
      </w:pPr>
      <w:r>
        <w:rPr>
          <w:rFonts w:eastAsia="Calibri" w:cstheme="minorHAnsi"/>
        </w:rPr>
        <w:t>Strengthening women’s participation in decision-making is therefore not only a gender equality objective but also a prerequisite for effective climate resilience and sustainable water service management (UNDP, 2016; IPCC, 2022).</w:t>
      </w:r>
    </w:p>
    <w:p w14:paraId="7BE0135B" w14:textId="77777777" w:rsidR="0011551C" w:rsidRDefault="0011551C" w:rsidP="00EF05F2">
      <w:pPr>
        <w:spacing w:after="200" w:line="276" w:lineRule="auto"/>
        <w:jc w:val="both"/>
        <w:rPr>
          <w:rFonts w:ascii="Calibri" w:eastAsia="Times New Roman" w:hAnsi="Calibri" w:cs="Times New Roman"/>
        </w:rPr>
      </w:pPr>
    </w:p>
    <w:p w14:paraId="24ED48D3" w14:textId="0177633D" w:rsidR="006305D8" w:rsidRPr="003108B4" w:rsidRDefault="006305D8" w:rsidP="0039215F">
      <w:pPr>
        <w:pStyle w:val="Heading2"/>
        <w:jc w:val="both"/>
        <w:rPr>
          <w:rFonts w:eastAsia="Calibri"/>
          <w:lang w:val="en-GB"/>
        </w:rPr>
      </w:pPr>
      <w:bookmarkStart w:id="51" w:name="_Toc229036186"/>
      <w:r w:rsidRPr="003108B4">
        <w:rPr>
          <w:rFonts w:eastAsia="Calibri"/>
          <w:lang w:val="en-GB"/>
        </w:rPr>
        <w:t>3.5 Role and significance of groundwater and groundwater-dependent ecosystems (GWDE) in Neretva TBA</w:t>
      </w:r>
      <w:bookmarkEnd w:id="51"/>
    </w:p>
    <w:p w14:paraId="3E0F9A59" w14:textId="7F12BD49" w:rsidR="006305D8" w:rsidRPr="00881483" w:rsidRDefault="006305D8" w:rsidP="006305D8">
      <w:pPr>
        <w:jc w:val="both"/>
        <w:rPr>
          <w:rFonts w:ascii="Calibri" w:eastAsia="Calibri" w:hAnsi="Calibri" w:cs="Times New Roman"/>
        </w:rPr>
      </w:pPr>
      <w:r>
        <w:rPr>
          <w:rFonts w:ascii="Calibri" w:eastAsia="Calibri" w:hAnsi="Calibri" w:cs="Times New Roman"/>
        </w:rPr>
        <w:t>Groundwater represents a critical resource in Neretva TBA, underpinning water supply, agricultural production, ecosystem functioning and local livelihoods. Due to the karstic nature of the region, this connectivity increases both the functional importance of groundwater and its vulnerability to anthropogenic pressures.</w:t>
      </w:r>
    </w:p>
    <w:p w14:paraId="77A11E0C" w14:textId="77777777" w:rsidR="006305D8" w:rsidRPr="003108B4" w:rsidRDefault="006305D8" w:rsidP="006305D8">
      <w:pPr>
        <w:pStyle w:val="Heading3"/>
        <w:rPr>
          <w:rFonts w:eastAsia="Calibri"/>
          <w:lang w:val="en-GB"/>
        </w:rPr>
      </w:pPr>
      <w:bookmarkStart w:id="52" w:name="_Toc229036187"/>
      <w:r w:rsidRPr="003108B4">
        <w:rPr>
          <w:rFonts w:eastAsia="Calibri"/>
          <w:lang w:val="en-GB"/>
        </w:rPr>
        <w:t>3.5.1 Groundwater as a socio-economic resource</w:t>
      </w:r>
      <w:bookmarkEnd w:id="52"/>
    </w:p>
    <w:p w14:paraId="7B0AAAC4" w14:textId="77777777" w:rsidR="006305D8" w:rsidRPr="00881483" w:rsidRDefault="006305D8" w:rsidP="006305D8">
      <w:pPr>
        <w:jc w:val="both"/>
        <w:rPr>
          <w:rFonts w:ascii="Calibri" w:eastAsia="Calibri" w:hAnsi="Calibri" w:cs="Times New Roman"/>
        </w:rPr>
      </w:pPr>
      <w:r>
        <w:rPr>
          <w:rFonts w:ascii="Calibri" w:eastAsia="Calibri" w:hAnsi="Calibri" w:cs="Times New Roman"/>
        </w:rPr>
        <w:t>Groundwater plays a central role in meeting basic water needs across the transboundary area. It is the primary source of drinking water for a significant share of the population, particularly in rural and dispersed settlements where access to centralised systems is limited. In such contexts, households often rely on local springs and wells, increasing direct dependence on aquifer conditions.</w:t>
      </w:r>
    </w:p>
    <w:p w14:paraId="63461D82" w14:textId="77777777" w:rsidR="006305D8" w:rsidRPr="00881483" w:rsidRDefault="006305D8" w:rsidP="006305D8">
      <w:pPr>
        <w:jc w:val="both"/>
        <w:rPr>
          <w:rFonts w:ascii="Calibri" w:eastAsia="Calibri" w:hAnsi="Calibri" w:cs="Times New Roman"/>
        </w:rPr>
      </w:pPr>
      <w:r>
        <w:rPr>
          <w:rFonts w:ascii="Calibri" w:eastAsia="Calibri" w:hAnsi="Calibri" w:cs="Times New Roman"/>
        </w:rPr>
        <w:lastRenderedPageBreak/>
        <w:t>In addition to domestic use, groundwater supports agricultural activities, especially in karst fields and valley areas where irrigation is necessary to maintain productivity. Seasonal economic activities, including tourism, further increase demand for water resources during peak periods, placing additional stress on local systems.</w:t>
      </w:r>
    </w:p>
    <w:p w14:paraId="13E6EB42" w14:textId="77777777" w:rsidR="006305D8" w:rsidRPr="00881483" w:rsidRDefault="006305D8" w:rsidP="006305D8">
      <w:pPr>
        <w:jc w:val="both"/>
        <w:rPr>
          <w:rFonts w:ascii="Calibri" w:eastAsia="Calibri" w:hAnsi="Calibri" w:cs="Times New Roman"/>
        </w:rPr>
      </w:pPr>
      <w:r>
        <w:rPr>
          <w:rFonts w:ascii="Calibri" w:eastAsia="Calibri" w:hAnsi="Calibri" w:cs="Times New Roman"/>
        </w:rPr>
        <w:t>The socio-economic importance of groundwater is therefore reflected not only in its role as a resource, but also in its function as a foundation for local development, economic stability and quality of life.</w:t>
      </w:r>
    </w:p>
    <w:p w14:paraId="1CDBED17" w14:textId="77777777" w:rsidR="006305D8" w:rsidRPr="003108B4" w:rsidRDefault="006305D8" w:rsidP="006305D8">
      <w:pPr>
        <w:pStyle w:val="Heading3"/>
        <w:rPr>
          <w:rFonts w:eastAsia="Calibri"/>
          <w:lang w:val="en-GB"/>
        </w:rPr>
      </w:pPr>
      <w:bookmarkStart w:id="53" w:name="_Toc229036188"/>
      <w:r w:rsidRPr="003108B4">
        <w:rPr>
          <w:rFonts w:eastAsia="Calibri"/>
          <w:lang w:val="en-GB"/>
        </w:rPr>
        <w:t>3.5.2 Sectoral dependence on groundwater</w:t>
      </w:r>
      <w:bookmarkEnd w:id="53"/>
    </w:p>
    <w:p w14:paraId="3C2341FB" w14:textId="70B5DA8D" w:rsidR="006305D8" w:rsidRPr="00881483" w:rsidRDefault="006305D8" w:rsidP="006305D8">
      <w:pPr>
        <w:jc w:val="both"/>
        <w:rPr>
          <w:rFonts w:ascii="Calibri" w:eastAsia="Calibri" w:hAnsi="Calibri" w:cs="Times New Roman"/>
        </w:rPr>
      </w:pPr>
      <w:r>
        <w:rPr>
          <w:rFonts w:ascii="Calibri" w:eastAsia="Calibri" w:hAnsi="Calibri" w:cs="Times New Roman"/>
        </w:rPr>
        <w:t>Groundwater dependence in Neretva TBA varies across sectors but remains consistently high.</w:t>
      </w:r>
    </w:p>
    <w:p w14:paraId="2FA6FD9F" w14:textId="77777777" w:rsidR="006305D8" w:rsidRPr="00881483" w:rsidRDefault="006305D8" w:rsidP="006305D8">
      <w:pPr>
        <w:jc w:val="both"/>
        <w:rPr>
          <w:rFonts w:ascii="Calibri" w:eastAsia="Calibri" w:hAnsi="Calibri" w:cs="Times New Roman"/>
        </w:rPr>
      </w:pPr>
      <w:r>
        <w:rPr>
          <w:rFonts w:ascii="Calibri" w:eastAsia="Calibri" w:hAnsi="Calibri" w:cs="Times New Roman"/>
        </w:rPr>
        <w:t>The agricultural sector is one of the main users, relying on groundwater for irrigation. While in the Croatian part this is often associated with small-scale and fragmented production, in Bosnia and Herzegovina more intensive practices are present in certain areas, resulting in higher localised pressures on water quantity.</w:t>
      </w:r>
    </w:p>
    <w:p w14:paraId="345C8285" w14:textId="77777777" w:rsidR="006305D8" w:rsidRPr="00881483" w:rsidRDefault="006305D8" w:rsidP="006305D8">
      <w:pPr>
        <w:jc w:val="both"/>
        <w:rPr>
          <w:rFonts w:ascii="Calibri" w:eastAsia="Calibri" w:hAnsi="Calibri" w:cs="Times New Roman"/>
        </w:rPr>
      </w:pPr>
      <w:r>
        <w:rPr>
          <w:rFonts w:ascii="Calibri" w:eastAsia="Calibri" w:hAnsi="Calibri" w:cs="Times New Roman"/>
        </w:rPr>
        <w:t>Water utilities depend on groundwater as a primary source for public water supply systems. In Croatia, these systems are more integrated and supported by national planning frameworks, whereas in Bosnia and Herzegovina service provision is more variable and often complemented by individual abstraction.</w:t>
      </w:r>
    </w:p>
    <w:p w14:paraId="5C080646" w14:textId="77777777" w:rsidR="006305D8" w:rsidRPr="00881483" w:rsidRDefault="006305D8" w:rsidP="006305D8">
      <w:pPr>
        <w:jc w:val="both"/>
        <w:rPr>
          <w:rFonts w:ascii="Calibri" w:eastAsia="Calibri" w:hAnsi="Calibri" w:cs="Times New Roman"/>
        </w:rPr>
      </w:pPr>
      <w:r>
        <w:rPr>
          <w:rFonts w:ascii="Calibri" w:eastAsia="Calibri" w:hAnsi="Calibri" w:cs="Times New Roman"/>
        </w:rPr>
        <w:t>Households in rural areas across both countries frequently rely on decentralised water sources. This creates a direct link between groundwater quality and public health, while also increasing the risk of unregulated abstraction.</w:t>
      </w:r>
    </w:p>
    <w:p w14:paraId="3AE5A317" w14:textId="77777777" w:rsidR="006305D8" w:rsidRPr="00881483" w:rsidRDefault="006305D8" w:rsidP="006305D8">
      <w:pPr>
        <w:jc w:val="both"/>
        <w:rPr>
          <w:rFonts w:ascii="Calibri" w:eastAsia="Calibri" w:hAnsi="Calibri" w:cs="Times New Roman"/>
        </w:rPr>
      </w:pPr>
      <w:r>
        <w:rPr>
          <w:rFonts w:ascii="Calibri" w:eastAsia="Calibri" w:hAnsi="Calibri" w:cs="Times New Roman"/>
        </w:rPr>
        <w:t>Tourism, although spatially limited, introduces strong seasonal fluctuations in water demand, particularly in areas with natural attractions and recreational use. These short-term increases can exceed the capacity of local systems and contribute to episodic stress on groundwater resources.</w:t>
      </w:r>
    </w:p>
    <w:p w14:paraId="16AE8645" w14:textId="0B8E51EE" w:rsidR="006305D8" w:rsidRPr="003108B4" w:rsidRDefault="006305D8" w:rsidP="006305D8">
      <w:pPr>
        <w:pStyle w:val="Heading3"/>
        <w:rPr>
          <w:rFonts w:eastAsia="Calibri"/>
          <w:lang w:val="en-GB"/>
        </w:rPr>
      </w:pPr>
      <w:bookmarkStart w:id="54" w:name="_Toc229036189"/>
      <w:r w:rsidRPr="003108B4">
        <w:rPr>
          <w:rFonts w:eastAsia="Calibri"/>
          <w:lang w:val="en-GB"/>
        </w:rPr>
        <w:t>3.5.3 Groundwater-dependent ecosystems (GWDE)</w:t>
      </w:r>
      <w:bookmarkEnd w:id="54"/>
    </w:p>
    <w:p w14:paraId="4061C189" w14:textId="7E1CE4C3" w:rsidR="006305D8" w:rsidRPr="00881483" w:rsidRDefault="006305D8" w:rsidP="006305D8">
      <w:pPr>
        <w:jc w:val="both"/>
        <w:rPr>
          <w:rFonts w:ascii="Calibri" w:eastAsia="Calibri" w:hAnsi="Calibri" w:cs="Times New Roman"/>
        </w:rPr>
      </w:pPr>
      <w:r>
        <w:rPr>
          <w:rFonts w:ascii="Calibri" w:eastAsia="Calibri" w:hAnsi="Calibri" w:cs="Times New Roman"/>
        </w:rPr>
        <w:t>Neretva TBA hosts a range of groundwater-dependent ecosystems (GWDE), including wetlands, riverine habitats, karst fields and spring zones. These ecosystems rely on stable groundwater levels and good water quality to maintain their ecological functions and biodiversity.</w:t>
      </w:r>
    </w:p>
    <w:p w14:paraId="014A6EA7" w14:textId="77777777" w:rsidR="006305D8" w:rsidRPr="00881483" w:rsidRDefault="006305D8" w:rsidP="006305D8">
      <w:pPr>
        <w:jc w:val="both"/>
        <w:rPr>
          <w:rFonts w:ascii="Calibri" w:eastAsia="Calibri" w:hAnsi="Calibri" w:cs="Times New Roman"/>
        </w:rPr>
      </w:pPr>
      <w:r>
        <w:rPr>
          <w:rFonts w:ascii="Calibri" w:eastAsia="Calibri" w:hAnsi="Calibri" w:cs="Times New Roman"/>
        </w:rPr>
        <w:t>Particularly sensitive are wetland systems and lowland areas influenced by the Neretva River and its tributaries, where groundwater contributes to hydrological balance and nutrient cycling. Karst fields and associated habitats are also directly linked to groundwater dynamics, making them highly responsive to changes in recharge and abstraction patterns.</w:t>
      </w:r>
    </w:p>
    <w:p w14:paraId="1F83B3E4" w14:textId="77777777" w:rsidR="006305D8" w:rsidRPr="00881483" w:rsidRDefault="006305D8" w:rsidP="006305D8">
      <w:pPr>
        <w:jc w:val="both"/>
        <w:rPr>
          <w:rFonts w:ascii="Calibri" w:eastAsia="Calibri" w:hAnsi="Calibri" w:cs="Times New Roman"/>
        </w:rPr>
      </w:pPr>
      <w:r>
        <w:rPr>
          <w:rFonts w:ascii="Calibri" w:eastAsia="Calibri" w:hAnsi="Calibri" w:cs="Times New Roman"/>
        </w:rPr>
        <w:t>Groundwater-dependent ecosystems provide important ecosystem services, including water regulation, habitat provision, agricultural support and climate buffering. However, their dependence on groundwater makes them vulnerable to changes in quantity and quality, including over-abstraction, pollution and salinisation processes.</w:t>
      </w:r>
    </w:p>
    <w:p w14:paraId="1A9906A7" w14:textId="77777777" w:rsidR="006305D8" w:rsidRPr="003108B4" w:rsidRDefault="006305D8" w:rsidP="006305D8">
      <w:pPr>
        <w:pStyle w:val="Heading3"/>
        <w:rPr>
          <w:rFonts w:eastAsia="Calibri"/>
          <w:lang w:val="en-GB"/>
        </w:rPr>
      </w:pPr>
      <w:bookmarkStart w:id="55" w:name="_Toc229036190"/>
      <w:r w:rsidRPr="003108B4">
        <w:rPr>
          <w:rFonts w:eastAsia="Calibri"/>
          <w:lang w:val="en-GB"/>
        </w:rPr>
        <w:lastRenderedPageBreak/>
        <w:t>3.5.4 Key pressures and vulnerabilities</w:t>
      </w:r>
      <w:bookmarkEnd w:id="55"/>
    </w:p>
    <w:p w14:paraId="7BA0E4F5" w14:textId="39A713F7" w:rsidR="006305D8" w:rsidRPr="00881483" w:rsidRDefault="006305D8" w:rsidP="006305D8">
      <w:pPr>
        <w:jc w:val="both"/>
        <w:rPr>
          <w:rFonts w:ascii="Calibri" w:eastAsia="Calibri" w:hAnsi="Calibri" w:cs="Times New Roman"/>
        </w:rPr>
      </w:pPr>
      <w:r>
        <w:rPr>
          <w:rFonts w:ascii="Calibri" w:eastAsia="Calibri" w:hAnsi="Calibri" w:cs="Times New Roman"/>
        </w:rPr>
        <w:t>The karstic nature of Neretva TBA results in a high level of vulnerability of groundwater systems. The permeability and rapid flow characteristics of karst aquifers limit natural filtration capacity and increase sensitivity to contamination.</w:t>
      </w:r>
    </w:p>
    <w:p w14:paraId="667C7A9C" w14:textId="77777777" w:rsidR="006305D8" w:rsidRPr="00881483" w:rsidRDefault="006305D8" w:rsidP="006305D8">
      <w:pPr>
        <w:jc w:val="both"/>
        <w:rPr>
          <w:rFonts w:ascii="Calibri" w:eastAsia="Calibri" w:hAnsi="Calibri" w:cs="Times New Roman"/>
        </w:rPr>
      </w:pPr>
      <w:r>
        <w:rPr>
          <w:rFonts w:ascii="Calibri" w:eastAsia="Calibri" w:hAnsi="Calibri" w:cs="Times New Roman"/>
        </w:rPr>
        <w:t>Key pressures include:</w:t>
      </w:r>
    </w:p>
    <w:p w14:paraId="50788E9C" w14:textId="59B5C3BE" w:rsidR="006305D8" w:rsidRPr="00881483" w:rsidRDefault="006305D8" w:rsidP="006305D8">
      <w:pPr>
        <w:numPr>
          <w:ilvl w:val="0"/>
          <w:numId w:val="115"/>
        </w:numPr>
        <w:spacing w:after="0"/>
        <w:jc w:val="both"/>
        <w:rPr>
          <w:rFonts w:ascii="Calibri" w:eastAsia="Calibri" w:hAnsi="Calibri" w:cs="Times New Roman"/>
        </w:rPr>
      </w:pPr>
      <w:r>
        <w:rPr>
          <w:rFonts w:ascii="Calibri" w:eastAsia="Calibri" w:hAnsi="Calibri" w:cs="Times New Roman"/>
        </w:rPr>
        <w:t xml:space="preserve">diffuse pollution from agriculture, including nutrients and pesticides; </w:t>
      </w:r>
    </w:p>
    <w:p w14:paraId="3C03CBA4" w14:textId="3D9320B6" w:rsidR="006305D8" w:rsidRPr="00881483" w:rsidRDefault="006305D8" w:rsidP="006305D8">
      <w:pPr>
        <w:numPr>
          <w:ilvl w:val="0"/>
          <w:numId w:val="115"/>
        </w:numPr>
        <w:spacing w:after="0"/>
        <w:jc w:val="both"/>
        <w:rPr>
          <w:rFonts w:ascii="Calibri" w:eastAsia="Calibri" w:hAnsi="Calibri" w:cs="Times New Roman"/>
        </w:rPr>
      </w:pPr>
      <w:r>
        <w:rPr>
          <w:rFonts w:ascii="Calibri" w:eastAsia="Calibri" w:hAnsi="Calibri" w:cs="Times New Roman"/>
        </w:rPr>
        <w:t>inadequate wastewater management in rural and dispersed settlements;</w:t>
      </w:r>
    </w:p>
    <w:p w14:paraId="78A82BAA" w14:textId="422746D6" w:rsidR="006305D8" w:rsidRPr="00881483" w:rsidRDefault="006305D8" w:rsidP="006305D8">
      <w:pPr>
        <w:numPr>
          <w:ilvl w:val="0"/>
          <w:numId w:val="115"/>
        </w:numPr>
        <w:spacing w:after="0"/>
        <w:jc w:val="both"/>
        <w:rPr>
          <w:rFonts w:ascii="Calibri" w:eastAsia="Calibri" w:hAnsi="Calibri" w:cs="Times New Roman"/>
        </w:rPr>
      </w:pPr>
      <w:r>
        <w:rPr>
          <w:rFonts w:ascii="Calibri" w:eastAsia="Calibri" w:hAnsi="Calibri" w:cs="Times New Roman"/>
        </w:rPr>
        <w:t>unregulated or poorly monitored groundwater abstraction;</w:t>
      </w:r>
    </w:p>
    <w:p w14:paraId="66A017D6" w14:textId="77D54832" w:rsidR="006305D8" w:rsidRPr="00881483" w:rsidRDefault="006305D8" w:rsidP="006305D8">
      <w:pPr>
        <w:numPr>
          <w:ilvl w:val="0"/>
          <w:numId w:val="115"/>
        </w:numPr>
        <w:jc w:val="both"/>
        <w:rPr>
          <w:rFonts w:ascii="Calibri" w:eastAsia="Calibri" w:hAnsi="Calibri" w:cs="Times New Roman"/>
        </w:rPr>
      </w:pPr>
      <w:r>
        <w:rPr>
          <w:rFonts w:ascii="Calibri" w:eastAsia="Calibri" w:hAnsi="Calibri" w:cs="Times New Roman"/>
        </w:rPr>
        <w:t xml:space="preserve">seasonal increases in demand linked to tourism and temporary population growth. </w:t>
      </w:r>
    </w:p>
    <w:p w14:paraId="26BF48FB" w14:textId="77777777" w:rsidR="006305D8" w:rsidRPr="00881483" w:rsidRDefault="006305D8" w:rsidP="006305D8">
      <w:pPr>
        <w:jc w:val="both"/>
        <w:rPr>
          <w:rFonts w:ascii="Calibri" w:eastAsia="Calibri" w:hAnsi="Calibri" w:cs="Times New Roman"/>
        </w:rPr>
      </w:pPr>
      <w:r>
        <w:rPr>
          <w:rFonts w:ascii="Calibri" w:eastAsia="Calibri" w:hAnsi="Calibri" w:cs="Times New Roman"/>
        </w:rPr>
        <w:t>In addition, climate variability and changing precipitation patterns may further affect groundwater recharge and availability.</w:t>
      </w:r>
    </w:p>
    <w:p w14:paraId="135F8FAA" w14:textId="77777777" w:rsidR="006305D8" w:rsidRPr="00881483" w:rsidRDefault="006305D8" w:rsidP="006305D8">
      <w:pPr>
        <w:jc w:val="both"/>
        <w:rPr>
          <w:rFonts w:ascii="Calibri" w:eastAsia="Calibri" w:hAnsi="Calibri" w:cs="Times New Roman"/>
        </w:rPr>
      </w:pPr>
      <w:r>
        <w:rPr>
          <w:rFonts w:ascii="Calibri" w:eastAsia="Calibri" w:hAnsi="Calibri" w:cs="Times New Roman"/>
        </w:rPr>
        <w:t>From a transboundary perspective, groundwater systems function as a shared resource, while governance and management frameworks remain nationally structured. Differences in institutional capacity and financial resources between Croatia and Bosnia and Herzegovina contribute to uneven levels of protection and management effectiveness.</w:t>
      </w:r>
    </w:p>
    <w:p w14:paraId="5417355D" w14:textId="64872EE7" w:rsidR="006305D8" w:rsidRPr="00881483" w:rsidRDefault="0085370F" w:rsidP="0085370F">
      <w:pPr>
        <w:pStyle w:val="Caption"/>
        <w:rPr>
          <w:rFonts w:ascii="Calibri" w:eastAsia="Calibri" w:hAnsi="Calibri" w:cs="Times New Roman"/>
          <w:i w:val="0"/>
          <w:iCs w:val="0"/>
          <w:sz w:val="20"/>
          <w:szCs w:val="20"/>
        </w:rPr>
      </w:pPr>
      <w:bookmarkStart w:id="56" w:name="_Toc229037727"/>
      <w:r>
        <w:t xml:space="preserve">Table </w:t>
      </w:r>
      <w:r>
        <w:fldChar w:fldCharType="begin"/>
      </w:r>
      <w:r>
        <w:instrText xml:space="preserve"> SEQ Table \* ARABIC </w:instrText>
      </w:r>
      <w:r>
        <w:fldChar w:fldCharType="separate"/>
      </w:r>
      <w:r w:rsidR="002F4776">
        <w:rPr>
          <w:noProof/>
        </w:rPr>
        <w:t>5</w:t>
      </w:r>
      <w:r>
        <w:fldChar w:fldCharType="end"/>
      </w:r>
      <w:r>
        <w:t xml:space="preserve"> </w:t>
      </w:r>
      <w:r w:rsidRPr="00F2328D">
        <w:t>Sectoral dependence on groundwater and associated pressures</w:t>
      </w:r>
      <w:bookmarkEnd w:id="56"/>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78"/>
        <w:gridCol w:w="1239"/>
        <w:gridCol w:w="1910"/>
        <w:gridCol w:w="2359"/>
        <w:gridCol w:w="1924"/>
      </w:tblGrid>
      <w:tr w:rsidR="006305D8" w:rsidRPr="00F616D9" w14:paraId="504D99A9" w14:textId="77777777" w:rsidTr="00F616D9">
        <w:trPr>
          <w:tblHeader/>
        </w:trPr>
        <w:tc>
          <w:tcPr>
            <w:tcW w:w="0" w:type="auto"/>
            <w:shd w:val="clear" w:color="auto" w:fill="A5C9EB"/>
            <w:hideMark/>
          </w:tcPr>
          <w:p w14:paraId="19670B00" w14:textId="77777777" w:rsidR="006305D8" w:rsidRPr="00F616D9" w:rsidRDefault="006305D8" w:rsidP="00923395">
            <w:pPr>
              <w:spacing w:line="259" w:lineRule="auto"/>
              <w:jc w:val="both"/>
              <w:rPr>
                <w:rFonts w:ascii="Calibri" w:eastAsia="Calibri" w:hAnsi="Calibri" w:cs="Times New Roman"/>
                <w:b/>
                <w:bCs/>
                <w:sz w:val="16"/>
                <w:szCs w:val="16"/>
              </w:rPr>
            </w:pPr>
            <w:r w:rsidRPr="00F616D9">
              <w:rPr>
                <w:rFonts w:ascii="Calibri" w:eastAsia="Calibri" w:hAnsi="Calibri" w:cs="Times New Roman"/>
                <w:b/>
                <w:bCs/>
                <w:sz w:val="16"/>
                <w:szCs w:val="16"/>
              </w:rPr>
              <w:t>Sector</w:t>
            </w:r>
          </w:p>
        </w:tc>
        <w:tc>
          <w:tcPr>
            <w:tcW w:w="0" w:type="auto"/>
            <w:shd w:val="clear" w:color="auto" w:fill="A5C9EB"/>
            <w:hideMark/>
          </w:tcPr>
          <w:p w14:paraId="211DCD27" w14:textId="77777777" w:rsidR="006305D8" w:rsidRPr="00F616D9" w:rsidRDefault="006305D8" w:rsidP="00923395">
            <w:pPr>
              <w:spacing w:line="259" w:lineRule="auto"/>
              <w:jc w:val="both"/>
              <w:rPr>
                <w:rFonts w:ascii="Calibri" w:eastAsia="Calibri" w:hAnsi="Calibri" w:cs="Times New Roman"/>
                <w:b/>
                <w:bCs/>
                <w:sz w:val="16"/>
                <w:szCs w:val="16"/>
              </w:rPr>
            </w:pPr>
            <w:r w:rsidRPr="00F616D9">
              <w:rPr>
                <w:rFonts w:ascii="Calibri" w:eastAsia="Calibri" w:hAnsi="Calibri" w:cs="Times New Roman"/>
                <w:b/>
                <w:bCs/>
                <w:sz w:val="16"/>
                <w:szCs w:val="16"/>
              </w:rPr>
              <w:t>Level of dependence</w:t>
            </w:r>
          </w:p>
        </w:tc>
        <w:tc>
          <w:tcPr>
            <w:tcW w:w="0" w:type="auto"/>
            <w:shd w:val="clear" w:color="auto" w:fill="A5C9EB"/>
            <w:hideMark/>
          </w:tcPr>
          <w:p w14:paraId="0F5415F5" w14:textId="77777777" w:rsidR="006305D8" w:rsidRPr="00F616D9" w:rsidRDefault="006305D8" w:rsidP="00923395">
            <w:pPr>
              <w:tabs>
                <w:tab w:val="right" w:pos="1798"/>
              </w:tabs>
              <w:spacing w:line="259" w:lineRule="auto"/>
              <w:jc w:val="both"/>
              <w:rPr>
                <w:rFonts w:ascii="Calibri" w:eastAsia="Calibri" w:hAnsi="Calibri" w:cs="Times New Roman"/>
                <w:b/>
                <w:bCs/>
                <w:sz w:val="16"/>
                <w:szCs w:val="16"/>
              </w:rPr>
            </w:pPr>
            <w:r w:rsidRPr="00F616D9">
              <w:rPr>
                <w:rFonts w:ascii="Calibri" w:eastAsia="Calibri" w:hAnsi="Calibri" w:cs="Times New Roman"/>
                <w:b/>
                <w:bCs/>
                <w:sz w:val="16"/>
                <w:szCs w:val="16"/>
              </w:rPr>
              <w:t>Type of use</w:t>
            </w:r>
            <w:r w:rsidRPr="00F616D9">
              <w:rPr>
                <w:rFonts w:ascii="Calibri" w:eastAsia="Calibri" w:hAnsi="Calibri" w:cs="Times New Roman"/>
                <w:b/>
                <w:bCs/>
                <w:sz w:val="16"/>
                <w:szCs w:val="16"/>
              </w:rPr>
              <w:tab/>
            </w:r>
          </w:p>
        </w:tc>
        <w:tc>
          <w:tcPr>
            <w:tcW w:w="0" w:type="auto"/>
            <w:shd w:val="clear" w:color="auto" w:fill="A5C9EB"/>
            <w:hideMark/>
          </w:tcPr>
          <w:p w14:paraId="27DB01BE" w14:textId="77777777" w:rsidR="006305D8" w:rsidRPr="00F616D9" w:rsidRDefault="006305D8" w:rsidP="00923395">
            <w:pPr>
              <w:tabs>
                <w:tab w:val="right" w:pos="2193"/>
              </w:tabs>
              <w:spacing w:line="259" w:lineRule="auto"/>
              <w:jc w:val="both"/>
              <w:rPr>
                <w:rFonts w:ascii="Calibri" w:eastAsia="Calibri" w:hAnsi="Calibri" w:cs="Times New Roman"/>
                <w:b/>
                <w:bCs/>
                <w:sz w:val="16"/>
                <w:szCs w:val="16"/>
              </w:rPr>
            </w:pPr>
            <w:r w:rsidRPr="00F616D9">
              <w:rPr>
                <w:rFonts w:ascii="Calibri" w:eastAsia="Calibri" w:hAnsi="Calibri" w:cs="Times New Roman"/>
                <w:b/>
                <w:bCs/>
                <w:sz w:val="16"/>
                <w:szCs w:val="16"/>
              </w:rPr>
              <w:t>Main pressures</w:t>
            </w:r>
            <w:r w:rsidRPr="00F616D9">
              <w:rPr>
                <w:rFonts w:ascii="Calibri" w:eastAsia="Calibri" w:hAnsi="Calibri" w:cs="Times New Roman"/>
                <w:b/>
                <w:bCs/>
                <w:sz w:val="16"/>
                <w:szCs w:val="16"/>
              </w:rPr>
              <w:tab/>
            </w:r>
          </w:p>
        </w:tc>
        <w:tc>
          <w:tcPr>
            <w:tcW w:w="0" w:type="auto"/>
            <w:shd w:val="clear" w:color="auto" w:fill="A5C9EB"/>
            <w:hideMark/>
          </w:tcPr>
          <w:p w14:paraId="17DE902C" w14:textId="77777777" w:rsidR="006305D8" w:rsidRPr="00F616D9" w:rsidRDefault="006305D8" w:rsidP="00923395">
            <w:pPr>
              <w:spacing w:line="259" w:lineRule="auto"/>
              <w:jc w:val="both"/>
              <w:rPr>
                <w:rFonts w:ascii="Calibri" w:eastAsia="Calibri" w:hAnsi="Calibri" w:cs="Times New Roman"/>
                <w:b/>
                <w:bCs/>
                <w:sz w:val="16"/>
                <w:szCs w:val="16"/>
              </w:rPr>
            </w:pPr>
            <w:r w:rsidRPr="00F616D9">
              <w:rPr>
                <w:rFonts w:ascii="Calibri" w:eastAsia="Calibri" w:hAnsi="Calibri" w:cs="Times New Roman"/>
                <w:b/>
                <w:bCs/>
                <w:sz w:val="16"/>
                <w:szCs w:val="16"/>
              </w:rPr>
              <w:t>Link to GWDE</w:t>
            </w:r>
          </w:p>
        </w:tc>
      </w:tr>
      <w:tr w:rsidR="006305D8" w:rsidRPr="00F616D9" w14:paraId="54131310" w14:textId="77777777" w:rsidTr="00923395">
        <w:tc>
          <w:tcPr>
            <w:tcW w:w="0" w:type="auto"/>
            <w:hideMark/>
          </w:tcPr>
          <w:p w14:paraId="4C0CD2A4"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Households</w:t>
            </w:r>
          </w:p>
        </w:tc>
        <w:tc>
          <w:tcPr>
            <w:tcW w:w="0" w:type="auto"/>
            <w:hideMark/>
          </w:tcPr>
          <w:p w14:paraId="22F9CD26"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High</w:t>
            </w:r>
          </w:p>
        </w:tc>
        <w:tc>
          <w:tcPr>
            <w:tcW w:w="0" w:type="auto"/>
            <w:hideMark/>
          </w:tcPr>
          <w:p w14:paraId="643FF009"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Drinking water (public and private systems)</w:t>
            </w:r>
          </w:p>
        </w:tc>
        <w:tc>
          <w:tcPr>
            <w:tcW w:w="0" w:type="auto"/>
            <w:hideMark/>
          </w:tcPr>
          <w:p w14:paraId="03E8832F"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Local over-abstraction; contamination from septic systems</w:t>
            </w:r>
          </w:p>
        </w:tc>
        <w:tc>
          <w:tcPr>
            <w:tcW w:w="0" w:type="auto"/>
            <w:hideMark/>
          </w:tcPr>
          <w:p w14:paraId="09FD437F"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Direct impact on springs and local ecosystems</w:t>
            </w:r>
          </w:p>
        </w:tc>
      </w:tr>
      <w:tr w:rsidR="006305D8" w:rsidRPr="00F616D9" w14:paraId="7C6FA4BF" w14:textId="77777777" w:rsidTr="00923395">
        <w:tc>
          <w:tcPr>
            <w:tcW w:w="0" w:type="auto"/>
            <w:hideMark/>
          </w:tcPr>
          <w:p w14:paraId="7ACF21EE"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Agriculture</w:t>
            </w:r>
          </w:p>
        </w:tc>
        <w:tc>
          <w:tcPr>
            <w:tcW w:w="0" w:type="auto"/>
            <w:hideMark/>
          </w:tcPr>
          <w:p w14:paraId="77558E7C"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High</w:t>
            </w:r>
          </w:p>
        </w:tc>
        <w:tc>
          <w:tcPr>
            <w:tcW w:w="0" w:type="auto"/>
            <w:hideMark/>
          </w:tcPr>
          <w:p w14:paraId="284821F6"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Irrigation</w:t>
            </w:r>
          </w:p>
        </w:tc>
        <w:tc>
          <w:tcPr>
            <w:tcW w:w="0" w:type="auto"/>
            <w:hideMark/>
          </w:tcPr>
          <w:p w14:paraId="724B9808"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Nutrient leaching; pesticide use; water abstraction</w:t>
            </w:r>
          </w:p>
        </w:tc>
        <w:tc>
          <w:tcPr>
            <w:tcW w:w="0" w:type="auto"/>
            <w:hideMark/>
          </w:tcPr>
          <w:p w14:paraId="5914578D"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Impacts on soil-water balance and wetland systems</w:t>
            </w:r>
          </w:p>
        </w:tc>
      </w:tr>
      <w:tr w:rsidR="006305D8" w:rsidRPr="00F616D9" w14:paraId="7C1A7CD1" w14:textId="77777777" w:rsidTr="00923395">
        <w:tc>
          <w:tcPr>
            <w:tcW w:w="0" w:type="auto"/>
            <w:hideMark/>
          </w:tcPr>
          <w:p w14:paraId="62101C22"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Water utilities</w:t>
            </w:r>
          </w:p>
        </w:tc>
        <w:tc>
          <w:tcPr>
            <w:tcW w:w="0" w:type="auto"/>
            <w:hideMark/>
          </w:tcPr>
          <w:p w14:paraId="1F144229"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High</w:t>
            </w:r>
          </w:p>
        </w:tc>
        <w:tc>
          <w:tcPr>
            <w:tcW w:w="0" w:type="auto"/>
            <w:hideMark/>
          </w:tcPr>
          <w:p w14:paraId="673AD165"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Public water supply</w:t>
            </w:r>
          </w:p>
        </w:tc>
        <w:tc>
          <w:tcPr>
            <w:tcW w:w="0" w:type="auto"/>
            <w:hideMark/>
          </w:tcPr>
          <w:p w14:paraId="567FF9DD"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Localised abstraction pressure</w:t>
            </w:r>
          </w:p>
        </w:tc>
        <w:tc>
          <w:tcPr>
            <w:tcW w:w="0" w:type="auto"/>
            <w:hideMark/>
          </w:tcPr>
          <w:p w14:paraId="06A17BE4"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Affects aquifer levels and connected habitats</w:t>
            </w:r>
          </w:p>
        </w:tc>
      </w:tr>
      <w:tr w:rsidR="006305D8" w:rsidRPr="00F616D9" w14:paraId="362CC19F" w14:textId="77777777" w:rsidTr="00923395">
        <w:tc>
          <w:tcPr>
            <w:tcW w:w="0" w:type="auto"/>
            <w:hideMark/>
          </w:tcPr>
          <w:p w14:paraId="1F335776"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Tourism</w:t>
            </w:r>
          </w:p>
        </w:tc>
        <w:tc>
          <w:tcPr>
            <w:tcW w:w="0" w:type="auto"/>
            <w:hideMark/>
          </w:tcPr>
          <w:p w14:paraId="0FAF1553"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Moderate (seasonal)</w:t>
            </w:r>
          </w:p>
        </w:tc>
        <w:tc>
          <w:tcPr>
            <w:tcW w:w="0" w:type="auto"/>
            <w:hideMark/>
          </w:tcPr>
          <w:p w14:paraId="4AD1C142"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Water consumption; services</w:t>
            </w:r>
          </w:p>
        </w:tc>
        <w:tc>
          <w:tcPr>
            <w:tcW w:w="0" w:type="auto"/>
            <w:hideMark/>
          </w:tcPr>
          <w:p w14:paraId="6BEFCBFA"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Seasonal peaks in demand; wastewater pressure</w:t>
            </w:r>
          </w:p>
        </w:tc>
        <w:tc>
          <w:tcPr>
            <w:tcW w:w="0" w:type="auto"/>
            <w:hideMark/>
          </w:tcPr>
          <w:p w14:paraId="69712F34"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Short-term stress on sensitive ecosystems</w:t>
            </w:r>
          </w:p>
        </w:tc>
      </w:tr>
      <w:tr w:rsidR="006305D8" w:rsidRPr="00F616D9" w14:paraId="2BE5B7FE" w14:textId="77777777" w:rsidTr="00923395">
        <w:tc>
          <w:tcPr>
            <w:tcW w:w="0" w:type="auto"/>
            <w:hideMark/>
          </w:tcPr>
          <w:p w14:paraId="6E0CC188"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Ecosystems (GWDE)</w:t>
            </w:r>
          </w:p>
        </w:tc>
        <w:tc>
          <w:tcPr>
            <w:tcW w:w="0" w:type="auto"/>
            <w:hideMark/>
          </w:tcPr>
          <w:p w14:paraId="7A697743"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Dependent</w:t>
            </w:r>
          </w:p>
        </w:tc>
        <w:tc>
          <w:tcPr>
            <w:tcW w:w="0" w:type="auto"/>
            <w:hideMark/>
          </w:tcPr>
          <w:p w14:paraId="3B114518"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Hydrological regulation</w:t>
            </w:r>
          </w:p>
        </w:tc>
        <w:tc>
          <w:tcPr>
            <w:tcW w:w="0" w:type="auto"/>
            <w:hideMark/>
          </w:tcPr>
          <w:p w14:paraId="20947805"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Sensitive to all above pressures</w:t>
            </w:r>
          </w:p>
        </w:tc>
        <w:tc>
          <w:tcPr>
            <w:tcW w:w="0" w:type="auto"/>
            <w:hideMark/>
          </w:tcPr>
          <w:p w14:paraId="7ACD2A89"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Core component of ecological stability</w:t>
            </w:r>
          </w:p>
        </w:tc>
      </w:tr>
    </w:tbl>
    <w:p w14:paraId="26D0463E" w14:textId="77777777" w:rsidR="006305D8" w:rsidRPr="00881483" w:rsidRDefault="006305D8" w:rsidP="006305D8">
      <w:pPr>
        <w:jc w:val="both"/>
        <w:rPr>
          <w:rFonts w:ascii="Calibri" w:eastAsia="Calibri" w:hAnsi="Calibri" w:cs="Times New Roman"/>
        </w:rPr>
      </w:pPr>
    </w:p>
    <w:p w14:paraId="28822C61" w14:textId="33D9BAEC" w:rsidR="006305D8" w:rsidRPr="00D60A13" w:rsidRDefault="006305D8" w:rsidP="006305D8">
      <w:pPr>
        <w:spacing w:after="200" w:line="276" w:lineRule="auto"/>
        <w:jc w:val="both"/>
        <w:rPr>
          <w:rFonts w:ascii="Calibri" w:eastAsia="Times New Roman" w:hAnsi="Calibri" w:cs="Times New Roman"/>
        </w:rPr>
      </w:pPr>
      <w:r>
        <w:rPr>
          <w:rFonts w:ascii="Calibri" w:eastAsia="Calibri" w:hAnsi="Calibri" w:cs="Times New Roman"/>
        </w:rPr>
        <w:t>Groundwater in Neretva TBA functions as a critical socio-ecological resource, linking human activities and ecosystem processes across the transboundary area. High sectoral dependence, combined with the intrinsic vulnerability of karst systems and uneven institutional capacities, results in a system characterised by strong pressures and limited buffering capacity. Groundwater-dependent ecosystems further amplify this interdependence, as their condition directly reflects changes in groundwater quantity and quality. This highlights the need to consider groundwater not only as a resource, but as a central element of an interconnected socio-ecological system.</w:t>
      </w:r>
    </w:p>
    <w:p w14:paraId="140C9DD9" w14:textId="77777777" w:rsidR="00EF05F2" w:rsidRDefault="00EF05F2" w:rsidP="006305D8">
      <w:pPr>
        <w:pStyle w:val="NoSpacing"/>
      </w:pPr>
    </w:p>
    <w:p w14:paraId="3961110A" w14:textId="78FBBC1B" w:rsidR="006305D8" w:rsidRPr="003108B4" w:rsidRDefault="006305D8" w:rsidP="006305D8">
      <w:pPr>
        <w:pStyle w:val="Heading2"/>
        <w:rPr>
          <w:rFonts w:eastAsia="Calibri"/>
          <w:lang w:val="en-GB"/>
        </w:rPr>
      </w:pPr>
      <w:bookmarkStart w:id="57" w:name="_Toc229036191"/>
      <w:r w:rsidRPr="003108B4">
        <w:rPr>
          <w:rFonts w:eastAsia="Calibri"/>
          <w:lang w:val="en-GB"/>
        </w:rPr>
        <w:lastRenderedPageBreak/>
        <w:t>3.6 Water supply and sanitation (</w:t>
      </w:r>
      <w:proofErr w:type="spellStart"/>
      <w:r w:rsidRPr="003108B4">
        <w:rPr>
          <w:rFonts w:eastAsia="Calibri"/>
          <w:lang w:val="en-GB"/>
        </w:rPr>
        <w:t>Ljubuški</w:t>
      </w:r>
      <w:proofErr w:type="spellEnd"/>
      <w:r w:rsidRPr="003108B4">
        <w:rPr>
          <w:rFonts w:eastAsia="Calibri"/>
          <w:lang w:val="en-GB"/>
        </w:rPr>
        <w:t xml:space="preserve">, </w:t>
      </w:r>
      <w:proofErr w:type="spellStart"/>
      <w:r w:rsidRPr="003108B4">
        <w:rPr>
          <w:rFonts w:eastAsia="Calibri"/>
          <w:lang w:val="en-GB"/>
        </w:rPr>
        <w:t>Prud</w:t>
      </w:r>
      <w:proofErr w:type="spellEnd"/>
      <w:r w:rsidRPr="003108B4">
        <w:rPr>
          <w:rFonts w:eastAsia="Calibri"/>
          <w:lang w:val="en-GB"/>
        </w:rPr>
        <w:t xml:space="preserve">, Neretva </w:t>
      </w:r>
      <w:r w:rsidR="003108B4">
        <w:rPr>
          <w:rFonts w:eastAsia="Calibri"/>
          <w:lang w:val="en-GB"/>
        </w:rPr>
        <w:t>Delta</w:t>
      </w:r>
      <w:r w:rsidRPr="003108B4">
        <w:rPr>
          <w:rFonts w:eastAsia="Calibri"/>
          <w:lang w:val="en-GB"/>
        </w:rPr>
        <w:t>)</w:t>
      </w:r>
      <w:bookmarkEnd w:id="57"/>
      <w:r w:rsidRPr="003108B4">
        <w:rPr>
          <w:rFonts w:eastAsia="Calibri"/>
          <w:lang w:val="en-GB"/>
        </w:rPr>
        <w:t xml:space="preserve"> </w:t>
      </w:r>
    </w:p>
    <w:p w14:paraId="5BD77264" w14:textId="77777777" w:rsidR="006305D8" w:rsidRPr="003108B4" w:rsidRDefault="006305D8" w:rsidP="006305D8">
      <w:pPr>
        <w:pStyle w:val="Heading3"/>
        <w:rPr>
          <w:rFonts w:eastAsia="Calibri"/>
          <w:lang w:val="en-GB"/>
        </w:rPr>
      </w:pPr>
      <w:bookmarkStart w:id="58" w:name="_Toc229036192"/>
      <w:r w:rsidRPr="003108B4">
        <w:rPr>
          <w:rFonts w:eastAsia="Calibri"/>
          <w:lang w:val="en-GB"/>
        </w:rPr>
        <w:t>3.6.1 General overview of water supply systems</w:t>
      </w:r>
      <w:bookmarkEnd w:id="58"/>
      <w:r w:rsidRPr="003108B4">
        <w:rPr>
          <w:rFonts w:eastAsia="Calibri"/>
          <w:lang w:val="en-GB"/>
        </w:rPr>
        <w:t xml:space="preserve"> </w:t>
      </w:r>
    </w:p>
    <w:p w14:paraId="734C4449" w14:textId="7E855DE3" w:rsidR="006305D8" w:rsidRPr="003108B4" w:rsidRDefault="006305D8" w:rsidP="006305D8">
      <w:pPr>
        <w:pStyle w:val="NoSpacing"/>
        <w:spacing w:after="160" w:line="259" w:lineRule="auto"/>
        <w:jc w:val="both"/>
        <w:rPr>
          <w:rFonts w:ascii="Calibri" w:eastAsia="Calibri" w:hAnsi="Calibri" w:cs="Times New Roman"/>
          <w:sz w:val="22"/>
          <w:szCs w:val="22"/>
          <w:lang w:val="en-GB"/>
          <w14:ligatures w14:val="none"/>
        </w:rPr>
      </w:pPr>
      <w:r w:rsidRPr="003108B4">
        <w:rPr>
          <w:sz w:val="22"/>
          <w:szCs w:val="22"/>
          <w:lang w:val="en-GB"/>
        </w:rPr>
        <w:t>Across Neretva TBA, groundwater constitutes the primary and, in many locations, the only reliable</w:t>
      </w:r>
      <w:r w:rsidRPr="003108B4">
        <w:rPr>
          <w:rFonts w:ascii="Calibri" w:eastAsia="Calibri" w:hAnsi="Calibri" w:cs="Times New Roman"/>
          <w:sz w:val="22"/>
          <w:szCs w:val="22"/>
          <w:lang w:val="en-GB"/>
          <w14:ligatures w14:val="none"/>
        </w:rPr>
        <w:t xml:space="preserve"> source of water for domestic and economic uses. Water supply is organised through a combination of public water utilities and decentralised systems, including private wells and local springs. Estimated groundwater abstraction for drinking water supply ranges between approximately 1.7 and 2.5 million m³ per year under average conditions, increasing to 2.1–3.2 million m³ during peak demand periods.</w:t>
      </w:r>
    </w:p>
    <w:p w14:paraId="4FE49C2E" w14:textId="77777777" w:rsidR="006305D8" w:rsidRPr="000F365B" w:rsidRDefault="006305D8" w:rsidP="006305D8">
      <w:pPr>
        <w:spacing w:before="240"/>
        <w:jc w:val="both"/>
        <w:rPr>
          <w:rFonts w:ascii="Calibri" w:eastAsia="Calibri" w:hAnsi="Calibri" w:cs="Times New Roman"/>
        </w:rPr>
      </w:pPr>
      <w:r>
        <w:rPr>
          <w:rFonts w:ascii="Calibri" w:eastAsia="Calibri" w:hAnsi="Calibri" w:cs="Times New Roman"/>
        </w:rPr>
        <w:t>The system is characterised by:</w:t>
      </w:r>
    </w:p>
    <w:p w14:paraId="10486DB3" w14:textId="5D6FD5FC" w:rsidR="006305D8" w:rsidRPr="006305D8" w:rsidRDefault="006305D8" w:rsidP="006305D8">
      <w:pPr>
        <w:pStyle w:val="ListParagraph"/>
        <w:numPr>
          <w:ilvl w:val="0"/>
          <w:numId w:val="129"/>
        </w:numPr>
        <w:jc w:val="both"/>
        <w:rPr>
          <w:rFonts w:ascii="Calibri" w:eastAsia="Calibri" w:hAnsi="Calibri" w:cs="Times New Roman"/>
        </w:rPr>
      </w:pPr>
      <w:r w:rsidRPr="006305D8">
        <w:rPr>
          <w:rFonts w:ascii="Calibri" w:eastAsia="Calibri" w:hAnsi="Calibri" w:cs="Times New Roman"/>
        </w:rPr>
        <w:t xml:space="preserve">high dependence on karst groundwater sources; </w:t>
      </w:r>
    </w:p>
    <w:p w14:paraId="45A52F76" w14:textId="2670FC97" w:rsidR="006305D8" w:rsidRPr="006305D8" w:rsidRDefault="006305D8" w:rsidP="006305D8">
      <w:pPr>
        <w:pStyle w:val="ListParagraph"/>
        <w:numPr>
          <w:ilvl w:val="0"/>
          <w:numId w:val="129"/>
        </w:numPr>
        <w:jc w:val="both"/>
        <w:rPr>
          <w:rFonts w:ascii="Calibri" w:eastAsia="Calibri" w:hAnsi="Calibri" w:cs="Times New Roman"/>
        </w:rPr>
      </w:pPr>
      <w:r w:rsidRPr="006305D8">
        <w:rPr>
          <w:rFonts w:ascii="Calibri" w:eastAsia="Calibri" w:hAnsi="Calibri" w:cs="Times New Roman"/>
        </w:rPr>
        <w:t xml:space="preserve">coexistence of centralised and decentralised supply systems; </w:t>
      </w:r>
    </w:p>
    <w:p w14:paraId="6D1AADFC" w14:textId="5796F0BD" w:rsidR="006305D8" w:rsidRPr="006305D8" w:rsidRDefault="006305D8" w:rsidP="006305D8">
      <w:pPr>
        <w:pStyle w:val="ListParagraph"/>
        <w:numPr>
          <w:ilvl w:val="0"/>
          <w:numId w:val="129"/>
        </w:numPr>
        <w:jc w:val="both"/>
        <w:rPr>
          <w:rFonts w:ascii="Calibri" w:eastAsia="Calibri" w:hAnsi="Calibri" w:cs="Times New Roman"/>
        </w:rPr>
      </w:pPr>
      <w:r w:rsidRPr="006305D8">
        <w:rPr>
          <w:rFonts w:ascii="Calibri" w:eastAsia="Calibri" w:hAnsi="Calibri" w:cs="Times New Roman"/>
        </w:rPr>
        <w:t xml:space="preserve">strong seasonal variability in demand. </w:t>
      </w:r>
    </w:p>
    <w:p w14:paraId="3391A0DF" w14:textId="77777777" w:rsidR="006305D8" w:rsidRPr="000F365B" w:rsidRDefault="006305D8" w:rsidP="006305D8">
      <w:pPr>
        <w:spacing w:before="240"/>
        <w:jc w:val="both"/>
        <w:rPr>
          <w:rFonts w:ascii="Calibri" w:eastAsia="Calibri" w:hAnsi="Calibri" w:cs="Times New Roman"/>
        </w:rPr>
      </w:pPr>
      <w:r>
        <w:rPr>
          <w:rFonts w:ascii="Calibri" w:eastAsia="Calibri" w:hAnsi="Calibri" w:cs="Times New Roman"/>
        </w:rPr>
        <w:t>While public systems provide structured supply in urban centres, a significant share of the population, particularly in rural areas, relies on individual abstraction, creating a direct link between groundwater quality and household water security.</w:t>
      </w:r>
    </w:p>
    <w:p w14:paraId="74D55C75" w14:textId="49B85698" w:rsidR="006305D8" w:rsidRPr="000F365B" w:rsidRDefault="006305D8" w:rsidP="006305D8">
      <w:pPr>
        <w:jc w:val="both"/>
        <w:rPr>
          <w:rFonts w:ascii="Calibri" w:eastAsia="Calibri" w:hAnsi="Calibri" w:cs="Times New Roman"/>
        </w:rPr>
      </w:pPr>
      <w:r>
        <w:rPr>
          <w:rFonts w:ascii="Calibri" w:eastAsia="Calibri" w:hAnsi="Calibri" w:cs="Times New Roman"/>
        </w:rPr>
        <w:t xml:space="preserve">In parts of </w:t>
      </w:r>
      <w:r w:rsidR="00F41F7D">
        <w:rPr>
          <w:rFonts w:ascii="Calibri" w:eastAsia="Calibri" w:hAnsi="Calibri" w:cs="Times New Roman"/>
        </w:rPr>
        <w:t xml:space="preserve">Neretva </w:t>
      </w:r>
      <w:r>
        <w:rPr>
          <w:rFonts w:ascii="Calibri" w:eastAsia="Calibri" w:hAnsi="Calibri" w:cs="Times New Roman"/>
        </w:rPr>
        <w:t xml:space="preserve">TBA, particularly in the </w:t>
      </w:r>
      <w:proofErr w:type="spellStart"/>
      <w:r>
        <w:rPr>
          <w:rFonts w:ascii="Calibri" w:eastAsia="Calibri" w:hAnsi="Calibri" w:cs="Times New Roman"/>
        </w:rPr>
        <w:t>Imotski</w:t>
      </w:r>
      <w:proofErr w:type="spellEnd"/>
      <w:r>
        <w:rPr>
          <w:rFonts w:ascii="Calibri" w:eastAsia="Calibri" w:hAnsi="Calibri" w:cs="Times New Roman"/>
        </w:rPr>
        <w:t xml:space="preserve"> region and other dispersed karst settlements, some households still rely on traditional rainwater harvesting systems (cisterns) and, in some cases, water delivery by tanker trucks. While these practices are most pronounced in the Croatian hinterland, similar forms of decentralised water supply exist across the transboundary area, although with varying importance. In the Bosnia and Herzegovina part, reliance is more commonly associated with direct groundwater abstraction through wells and local supply systems rather than rainwater harvesting.</w:t>
      </w:r>
    </w:p>
    <w:p w14:paraId="41C1A28F" w14:textId="02EF940C" w:rsidR="006305D8" w:rsidRPr="003108B4" w:rsidRDefault="006305D8" w:rsidP="006305D8">
      <w:pPr>
        <w:jc w:val="both"/>
        <w:rPr>
          <w:rFonts w:ascii="Calibri" w:eastAsia="Calibri" w:hAnsi="Calibri" w:cs="Times New Roman"/>
        </w:rPr>
      </w:pPr>
      <w:r>
        <w:rPr>
          <w:rFonts w:ascii="Calibri" w:eastAsia="Calibri" w:hAnsi="Calibri" w:cs="Times New Roman"/>
        </w:rPr>
        <w:t>Such practices highlight the persistence of decentralised water management strategies and point to increased vulnerability to climatic variability, particularly during prolonged dry periods when stored rainwater becomes insufficient and external supply is required.</w:t>
      </w:r>
    </w:p>
    <w:p w14:paraId="51EC97D9" w14:textId="242886A1" w:rsidR="006305D8" w:rsidRDefault="006305D8" w:rsidP="006305D8">
      <w:pPr>
        <w:pStyle w:val="Heading3"/>
        <w:rPr>
          <w:rFonts w:eastAsia="Calibri"/>
        </w:rPr>
      </w:pPr>
      <w:bookmarkStart w:id="59" w:name="_Toc229036193"/>
      <w:r>
        <w:rPr>
          <w:rFonts w:eastAsia="Calibri"/>
        </w:rPr>
        <w:t>3.6.2 Ljubuški</w:t>
      </w:r>
      <w:bookmarkEnd w:id="59"/>
    </w:p>
    <w:p w14:paraId="4C8DF521" w14:textId="324E5F8C" w:rsidR="006305D8" w:rsidRPr="006305D8" w:rsidRDefault="006305D8" w:rsidP="006305D8">
      <w:pPr>
        <w:jc w:val="both"/>
        <w:rPr>
          <w:rFonts w:ascii="Calibri" w:eastAsia="Calibri" w:hAnsi="Calibri" w:cs="Times New Roman"/>
          <w:b/>
          <w:bCs/>
          <w:color w:val="2F5496"/>
        </w:rPr>
      </w:pPr>
      <w:proofErr w:type="spellStart"/>
      <w:r>
        <w:rPr>
          <w:rFonts w:ascii="Calibri" w:eastAsia="Calibri" w:hAnsi="Calibri" w:cs="Times New Roman"/>
        </w:rPr>
        <w:t>Ljubuški</w:t>
      </w:r>
      <w:proofErr w:type="spellEnd"/>
      <w:r>
        <w:rPr>
          <w:rFonts w:ascii="Calibri" w:eastAsia="Calibri" w:hAnsi="Calibri" w:cs="Times New Roman"/>
        </w:rPr>
        <w:t xml:space="preserve"> municipality, situated in the </w:t>
      </w:r>
      <w:r w:rsidR="00F41F7D">
        <w:rPr>
          <w:rFonts w:ascii="Calibri" w:eastAsia="Calibri" w:hAnsi="Calibri" w:cs="Times New Roman"/>
        </w:rPr>
        <w:t>“</w:t>
      </w:r>
      <w:proofErr w:type="spellStart"/>
      <w:r>
        <w:rPr>
          <w:rFonts w:ascii="Calibri" w:eastAsia="Calibri" w:hAnsi="Calibri" w:cs="Times New Roman"/>
        </w:rPr>
        <w:t>Zapadnohercegovаčki</w:t>
      </w:r>
      <w:proofErr w:type="spellEnd"/>
      <w:r w:rsidR="00F41F7D">
        <w:rPr>
          <w:rFonts w:ascii="Calibri" w:eastAsia="Calibri" w:hAnsi="Calibri" w:cs="Times New Roman"/>
        </w:rPr>
        <w:t>”</w:t>
      </w:r>
      <w:r>
        <w:rPr>
          <w:rFonts w:ascii="Calibri" w:eastAsia="Calibri" w:hAnsi="Calibri" w:cs="Times New Roman"/>
        </w:rPr>
        <w:t xml:space="preserve"> Canton of the Federation of BiH, represents the primary population centre within the BiH part of </w:t>
      </w:r>
      <w:r w:rsidR="00F41F7D">
        <w:rPr>
          <w:rFonts w:ascii="Calibri" w:eastAsia="Calibri" w:hAnsi="Calibri" w:cs="Times New Roman"/>
        </w:rPr>
        <w:t xml:space="preserve">Neretva </w:t>
      </w:r>
      <w:r>
        <w:rPr>
          <w:rFonts w:ascii="Calibri" w:eastAsia="Calibri" w:hAnsi="Calibri" w:cs="Times New Roman"/>
        </w:rPr>
        <w:t xml:space="preserve">TBA. Water supply in </w:t>
      </w:r>
      <w:proofErr w:type="spellStart"/>
      <w:r>
        <w:rPr>
          <w:rFonts w:ascii="Calibri" w:eastAsia="Calibri" w:hAnsi="Calibri" w:cs="Times New Roman"/>
        </w:rPr>
        <w:t>Ljubuški</w:t>
      </w:r>
      <w:proofErr w:type="spellEnd"/>
      <w:r>
        <w:rPr>
          <w:rFonts w:ascii="Calibri" w:eastAsia="Calibri" w:hAnsi="Calibri" w:cs="Times New Roman"/>
        </w:rPr>
        <w:t xml:space="preserve"> is managed by the public utility company </w:t>
      </w:r>
      <w:r w:rsidR="00F41F7D">
        <w:rPr>
          <w:rFonts w:ascii="Calibri" w:eastAsia="Calibri" w:hAnsi="Calibri" w:cs="Times New Roman"/>
        </w:rPr>
        <w:t>“</w:t>
      </w:r>
      <w:r>
        <w:rPr>
          <w:rFonts w:ascii="Calibri" w:eastAsia="Calibri" w:hAnsi="Calibri" w:cs="Times New Roman"/>
        </w:rPr>
        <w:t xml:space="preserve">JP </w:t>
      </w:r>
      <w:proofErr w:type="spellStart"/>
      <w:r>
        <w:rPr>
          <w:rFonts w:ascii="Calibri" w:eastAsia="Calibri" w:hAnsi="Calibri" w:cs="Times New Roman"/>
        </w:rPr>
        <w:t>Vodovod</w:t>
      </w:r>
      <w:proofErr w:type="spellEnd"/>
      <w:r>
        <w:rPr>
          <w:rFonts w:ascii="Calibri" w:eastAsia="Calibri" w:hAnsi="Calibri" w:cs="Times New Roman"/>
        </w:rPr>
        <w:t xml:space="preserve"> </w:t>
      </w:r>
      <w:proofErr w:type="spellStart"/>
      <w:r>
        <w:rPr>
          <w:rFonts w:ascii="Calibri" w:eastAsia="Calibri" w:hAnsi="Calibri" w:cs="Times New Roman"/>
        </w:rPr>
        <w:t>i</w:t>
      </w:r>
      <w:proofErr w:type="spellEnd"/>
      <w:r>
        <w:rPr>
          <w:rFonts w:ascii="Calibri" w:eastAsia="Calibri" w:hAnsi="Calibri" w:cs="Times New Roman"/>
        </w:rPr>
        <w:t xml:space="preserve"> </w:t>
      </w:r>
      <w:proofErr w:type="spellStart"/>
      <w:r>
        <w:rPr>
          <w:rFonts w:ascii="Calibri" w:eastAsia="Calibri" w:hAnsi="Calibri" w:cs="Times New Roman"/>
        </w:rPr>
        <w:t>kanalizacija</w:t>
      </w:r>
      <w:proofErr w:type="spellEnd"/>
      <w:r>
        <w:rPr>
          <w:rFonts w:ascii="Calibri" w:eastAsia="Calibri" w:hAnsi="Calibri" w:cs="Times New Roman"/>
        </w:rPr>
        <w:t xml:space="preserve"> </w:t>
      </w:r>
      <w:proofErr w:type="spellStart"/>
      <w:r>
        <w:rPr>
          <w:rFonts w:ascii="Calibri" w:eastAsia="Calibri" w:hAnsi="Calibri" w:cs="Times New Roman"/>
        </w:rPr>
        <w:t>Ljubuški</w:t>
      </w:r>
      <w:proofErr w:type="spellEnd"/>
      <w:r w:rsidR="00F41F7D">
        <w:rPr>
          <w:rFonts w:ascii="Calibri" w:eastAsia="Calibri" w:hAnsi="Calibri" w:cs="Times New Roman"/>
        </w:rPr>
        <w:t>”</w:t>
      </w:r>
      <w:r>
        <w:rPr>
          <w:rFonts w:ascii="Calibri" w:eastAsia="Calibri" w:hAnsi="Calibri" w:cs="Times New Roman"/>
        </w:rPr>
        <w:t xml:space="preserve">, which operates the centralised water supply system serving the urban core and a significant share of surrounding settlements. The primary source of drinking water is the </w:t>
      </w:r>
      <w:proofErr w:type="spellStart"/>
      <w:r>
        <w:rPr>
          <w:rFonts w:ascii="Calibri" w:eastAsia="Calibri" w:hAnsi="Calibri" w:cs="Times New Roman"/>
        </w:rPr>
        <w:t>Trebižat</w:t>
      </w:r>
      <w:proofErr w:type="spellEnd"/>
      <w:r>
        <w:rPr>
          <w:rFonts w:ascii="Calibri" w:eastAsia="Calibri" w:hAnsi="Calibri" w:cs="Times New Roman"/>
        </w:rPr>
        <w:t xml:space="preserve"> karst spring system, particularly the </w:t>
      </w:r>
      <w:proofErr w:type="spellStart"/>
      <w:r>
        <w:rPr>
          <w:rFonts w:ascii="Calibri" w:eastAsia="Calibri" w:hAnsi="Calibri" w:cs="Times New Roman"/>
        </w:rPr>
        <w:t>Kladušnica</w:t>
      </w:r>
      <w:proofErr w:type="spellEnd"/>
      <w:r>
        <w:rPr>
          <w:rFonts w:ascii="Calibri" w:eastAsia="Calibri" w:hAnsi="Calibri" w:cs="Times New Roman"/>
        </w:rPr>
        <w:t xml:space="preserve"> and Crveno </w:t>
      </w:r>
      <w:proofErr w:type="spellStart"/>
      <w:r>
        <w:rPr>
          <w:rFonts w:ascii="Calibri" w:eastAsia="Calibri" w:hAnsi="Calibri" w:cs="Times New Roman"/>
        </w:rPr>
        <w:t>jezero</w:t>
      </w:r>
      <w:proofErr w:type="spellEnd"/>
      <w:r>
        <w:rPr>
          <w:rFonts w:ascii="Calibri" w:eastAsia="Calibri" w:hAnsi="Calibri" w:cs="Times New Roman"/>
        </w:rPr>
        <w:t xml:space="preserve"> springs, which feed the municipal distribution network. Groundwater from these springs is characterised by high seasonal variability in flow and turbidity, reflecting the rapid hydraulic response of the karst aquifer to precipitation events. Elevated turbidity episodes following heavy rainfall present a persistent challenge for water treatment, as existing treatment capacity is not always sufficient to manage peak contamination loads.</w:t>
      </w:r>
    </w:p>
    <w:p w14:paraId="7D01C5B5" w14:textId="6D11FBEC" w:rsidR="006305D8" w:rsidRDefault="006305D8" w:rsidP="006305D8">
      <w:pPr>
        <w:jc w:val="both"/>
        <w:rPr>
          <w:rFonts w:ascii="Calibri" w:eastAsia="Calibri" w:hAnsi="Calibri" w:cs="Times New Roman"/>
        </w:rPr>
      </w:pPr>
      <w:r>
        <w:rPr>
          <w:rFonts w:ascii="Calibri" w:eastAsia="Calibri" w:hAnsi="Calibri" w:cs="Times New Roman"/>
        </w:rPr>
        <w:t xml:space="preserve">Centralised water supply coverage in the </w:t>
      </w:r>
      <w:proofErr w:type="spellStart"/>
      <w:r>
        <w:rPr>
          <w:rFonts w:ascii="Calibri" w:eastAsia="Calibri" w:hAnsi="Calibri" w:cs="Times New Roman"/>
        </w:rPr>
        <w:t>Ljubuški</w:t>
      </w:r>
      <w:proofErr w:type="spellEnd"/>
      <w:r>
        <w:rPr>
          <w:rFonts w:ascii="Calibri" w:eastAsia="Calibri" w:hAnsi="Calibri" w:cs="Times New Roman"/>
        </w:rPr>
        <w:t xml:space="preserve"> urban area is relatively high, estimated at approximately 80-85% of the served population. However, coverage in surrounding rural </w:t>
      </w:r>
      <w:r>
        <w:rPr>
          <w:rFonts w:ascii="Calibri" w:eastAsia="Calibri" w:hAnsi="Calibri" w:cs="Times New Roman"/>
        </w:rPr>
        <w:lastRenderedPageBreak/>
        <w:t xml:space="preserve">settlements and dispersed households is considerably lower, with a significant share of rural residents relying on individual abstractions from wells and local springs. These individual abstraction points are largely unregistered and unmonitored, creating data gaps that hinder comprehensive assessment of total groundwater abstraction volumes and quality risks. The distribution network is characterised by ageing infrastructure, with non-revenue water losses estimated in the range of 35-45%. This reduces supply efficiency and increases the risk of contamination through network infiltration. Capital investment for network rehabilitation has been constrained by the limited financial capacity of the utility, which depends primarily on water tariff revenues and intermittent donor-funded projects (BGGDA </w:t>
      </w:r>
      <w:r w:rsidR="00F41F7D">
        <w:rPr>
          <w:rFonts w:ascii="Calibri" w:eastAsia="Calibri" w:hAnsi="Calibri" w:cs="Times New Roman"/>
        </w:rPr>
        <w:t xml:space="preserve">Neretva </w:t>
      </w:r>
      <w:r>
        <w:rPr>
          <w:rFonts w:ascii="Calibri" w:eastAsia="Calibri" w:hAnsi="Calibri" w:cs="Times New Roman"/>
        </w:rPr>
        <w:t>TBA, 2026).</w:t>
      </w:r>
    </w:p>
    <w:p w14:paraId="480A9EF9" w14:textId="77777777" w:rsidR="006305D8" w:rsidRDefault="006305D8" w:rsidP="006305D8">
      <w:pPr>
        <w:jc w:val="both"/>
        <w:rPr>
          <w:rFonts w:ascii="Calibri" w:eastAsia="Calibri" w:hAnsi="Calibri" w:cs="Times New Roman"/>
        </w:rPr>
      </w:pPr>
      <w:r>
        <w:rPr>
          <w:rFonts w:ascii="Calibri" w:eastAsia="Calibri" w:hAnsi="Calibri" w:cs="Times New Roman"/>
        </w:rPr>
        <w:t xml:space="preserve">Wastewater management in </w:t>
      </w:r>
      <w:proofErr w:type="spellStart"/>
      <w:r>
        <w:rPr>
          <w:rFonts w:ascii="Calibri" w:eastAsia="Calibri" w:hAnsi="Calibri" w:cs="Times New Roman"/>
        </w:rPr>
        <w:t>Ljubuški</w:t>
      </w:r>
      <w:proofErr w:type="spellEnd"/>
      <w:r>
        <w:rPr>
          <w:rFonts w:ascii="Calibri" w:eastAsia="Calibri" w:hAnsi="Calibri" w:cs="Times New Roman"/>
        </w:rPr>
        <w:t xml:space="preserve"> is predominantly based on on-site systems, including septic tanks and cesspits, with centralised sewerage coverage limited to the main urban settlement. A wastewater treatment plant exists but does not serve the full urban area; significant volumes of wastewater continue to be discharged without adequate treatment, entering the karst drainage system and posing contamination risks to downstream groundwater bodies, including the </w:t>
      </w:r>
      <w:proofErr w:type="spellStart"/>
      <w:r>
        <w:rPr>
          <w:rFonts w:ascii="Calibri" w:eastAsia="Calibri" w:hAnsi="Calibri" w:cs="Times New Roman"/>
        </w:rPr>
        <w:t>Prud</w:t>
      </w:r>
      <w:proofErr w:type="spellEnd"/>
      <w:r>
        <w:rPr>
          <w:rFonts w:ascii="Calibri" w:eastAsia="Calibri" w:hAnsi="Calibri" w:cs="Times New Roman"/>
        </w:rPr>
        <w:t xml:space="preserve"> spring, which serves as a key drinking water source for Croatian coastal municipalities. The absence of formally demarcated and legally adopted sanitary protection zones for major abstraction points further reduces the effectiveness of source protection. The institutional framework for enforcement is limited by weak inspection capacity at the cantonal level and inconsistent application of regulatory requirements.</w:t>
      </w:r>
    </w:p>
    <w:p w14:paraId="5A8197CA" w14:textId="77777777" w:rsidR="006305D8" w:rsidRPr="008D5734" w:rsidRDefault="006305D8" w:rsidP="00F41F7D">
      <w:pPr>
        <w:pStyle w:val="Heading3"/>
        <w:rPr>
          <w:rFonts w:eastAsia="Calibri"/>
        </w:rPr>
      </w:pPr>
      <w:bookmarkStart w:id="60" w:name="_Toc229036194"/>
      <w:r>
        <w:rPr>
          <w:rFonts w:eastAsia="Calibri"/>
        </w:rPr>
        <w:t>3.6.3 Prud</w:t>
      </w:r>
      <w:bookmarkEnd w:id="60"/>
    </w:p>
    <w:p w14:paraId="38A8F859" w14:textId="5522CE55" w:rsidR="006305D8" w:rsidRDefault="006305D8" w:rsidP="006305D8">
      <w:pPr>
        <w:jc w:val="both"/>
        <w:rPr>
          <w:rFonts w:ascii="Calibri" w:eastAsia="Calibri" w:hAnsi="Calibri" w:cs="Times New Roman"/>
        </w:rPr>
      </w:pPr>
      <w:proofErr w:type="spellStart"/>
      <w:r>
        <w:rPr>
          <w:rFonts w:ascii="Calibri" w:eastAsia="Calibri" w:hAnsi="Calibri" w:cs="Times New Roman"/>
        </w:rPr>
        <w:t>Prud</w:t>
      </w:r>
      <w:proofErr w:type="spellEnd"/>
      <w:r>
        <w:rPr>
          <w:rFonts w:ascii="Calibri" w:eastAsia="Calibri" w:hAnsi="Calibri" w:cs="Times New Roman"/>
        </w:rPr>
        <w:t xml:space="preserve"> is a settlement located in the lower Neretva valley, within the territory of the Municipality of </w:t>
      </w:r>
      <w:proofErr w:type="spellStart"/>
      <w:r>
        <w:rPr>
          <w:rFonts w:ascii="Calibri" w:eastAsia="Calibri" w:hAnsi="Calibri" w:cs="Times New Roman"/>
        </w:rPr>
        <w:t>Čapljina</w:t>
      </w:r>
      <w:proofErr w:type="spellEnd"/>
      <w:r>
        <w:rPr>
          <w:rFonts w:ascii="Calibri" w:eastAsia="Calibri" w:hAnsi="Calibri" w:cs="Times New Roman"/>
        </w:rPr>
        <w:t xml:space="preserve"> in the Federation of BiH. It is situated at the interface of the Neretva River floodplain and the adjacent karst uplands, in a hydrologically sensitive transitional zone where surface water and groundwater interact closely. The </w:t>
      </w:r>
      <w:proofErr w:type="spellStart"/>
      <w:r>
        <w:rPr>
          <w:rFonts w:ascii="Calibri" w:eastAsia="Calibri" w:hAnsi="Calibri" w:cs="Times New Roman"/>
        </w:rPr>
        <w:t>Prud</w:t>
      </w:r>
      <w:proofErr w:type="spellEnd"/>
      <w:r>
        <w:rPr>
          <w:rFonts w:ascii="Calibri" w:eastAsia="Calibri" w:hAnsi="Calibri" w:cs="Times New Roman"/>
        </w:rPr>
        <w:t xml:space="preserve"> spring, fed by the </w:t>
      </w:r>
      <w:proofErr w:type="spellStart"/>
      <w:r>
        <w:rPr>
          <w:rFonts w:ascii="Calibri" w:eastAsia="Calibri" w:hAnsi="Calibri" w:cs="Times New Roman"/>
        </w:rPr>
        <w:t>Ljubuški-Trebižat</w:t>
      </w:r>
      <w:proofErr w:type="spellEnd"/>
      <w:r>
        <w:rPr>
          <w:rFonts w:ascii="Calibri" w:eastAsia="Calibri" w:hAnsi="Calibri" w:cs="Times New Roman"/>
        </w:rPr>
        <w:t xml:space="preserve"> karst system, is of </w:t>
      </w:r>
      <w:r w:rsidR="00F41F7D">
        <w:rPr>
          <w:rFonts w:ascii="Calibri" w:eastAsia="Calibri" w:hAnsi="Calibri" w:cs="Times New Roman"/>
        </w:rPr>
        <w:t>transboundary</w:t>
      </w:r>
      <w:r>
        <w:rPr>
          <w:rFonts w:ascii="Calibri" w:eastAsia="Calibri" w:hAnsi="Calibri" w:cs="Times New Roman"/>
        </w:rPr>
        <w:t xml:space="preserve"> significance: it serves as a key drinking water source for several Croatian coastal municipalities and islands, making its protection a direct concern of both countries. Agricultural pressures originating in </w:t>
      </w:r>
      <w:proofErr w:type="spellStart"/>
      <w:r>
        <w:rPr>
          <w:rFonts w:ascii="Calibri" w:eastAsia="Calibri" w:hAnsi="Calibri" w:cs="Times New Roman"/>
        </w:rPr>
        <w:t>Ljubuško</w:t>
      </w:r>
      <w:proofErr w:type="spellEnd"/>
      <w:r>
        <w:rPr>
          <w:rFonts w:ascii="Calibri" w:eastAsia="Calibri" w:hAnsi="Calibri" w:cs="Times New Roman"/>
        </w:rPr>
        <w:t xml:space="preserve"> Polje, including nutrient leaching from fertilised fields and pesticide runoff, have been identified as a primary contamination risk to this spring (DIKTAS I TDA; BGGDA </w:t>
      </w:r>
      <w:r w:rsidR="00F41F7D">
        <w:rPr>
          <w:rFonts w:ascii="Calibri" w:eastAsia="Calibri" w:hAnsi="Calibri" w:cs="Times New Roman"/>
        </w:rPr>
        <w:t xml:space="preserve">Neretva </w:t>
      </w:r>
      <w:r>
        <w:rPr>
          <w:rFonts w:ascii="Calibri" w:eastAsia="Calibri" w:hAnsi="Calibri" w:cs="Times New Roman"/>
        </w:rPr>
        <w:t>TBA, 2026).</w:t>
      </w:r>
    </w:p>
    <w:p w14:paraId="454C519D" w14:textId="6B9B82EF" w:rsidR="006305D8" w:rsidRDefault="006305D8" w:rsidP="006305D8">
      <w:pPr>
        <w:jc w:val="both"/>
        <w:rPr>
          <w:rFonts w:ascii="Calibri" w:eastAsia="Calibri" w:hAnsi="Calibri" w:cs="Times New Roman"/>
        </w:rPr>
      </w:pPr>
      <w:r>
        <w:rPr>
          <w:rFonts w:ascii="Calibri" w:eastAsia="Calibri" w:hAnsi="Calibri" w:cs="Times New Roman"/>
        </w:rPr>
        <w:t xml:space="preserve">Water supply in </w:t>
      </w:r>
      <w:proofErr w:type="spellStart"/>
      <w:r>
        <w:rPr>
          <w:rFonts w:ascii="Calibri" w:eastAsia="Calibri" w:hAnsi="Calibri" w:cs="Times New Roman"/>
        </w:rPr>
        <w:t>Prud</w:t>
      </w:r>
      <w:proofErr w:type="spellEnd"/>
      <w:r>
        <w:rPr>
          <w:rFonts w:ascii="Calibri" w:eastAsia="Calibri" w:hAnsi="Calibri" w:cs="Times New Roman"/>
        </w:rPr>
        <w:t xml:space="preserve"> is provided through the local distribution network operated by the utility serving the </w:t>
      </w:r>
      <w:proofErr w:type="spellStart"/>
      <w:r>
        <w:rPr>
          <w:rFonts w:ascii="Calibri" w:eastAsia="Calibri" w:hAnsi="Calibri" w:cs="Times New Roman"/>
        </w:rPr>
        <w:t>Čapljina</w:t>
      </w:r>
      <w:proofErr w:type="spellEnd"/>
      <w:r>
        <w:rPr>
          <w:rFonts w:ascii="Calibri" w:eastAsia="Calibri" w:hAnsi="Calibri" w:cs="Times New Roman"/>
        </w:rPr>
        <w:t xml:space="preserve"> municipality area, which sources water from the Neretva alluvial aquifer and connected karst springs. However, a significant share of </w:t>
      </w:r>
      <w:proofErr w:type="gramStart"/>
      <w:r w:rsidR="00F41F7D">
        <w:rPr>
          <w:rFonts w:ascii="Calibri" w:eastAsia="Calibri" w:hAnsi="Calibri" w:cs="Times New Roman"/>
        </w:rPr>
        <w:t>households</w:t>
      </w:r>
      <w:proofErr w:type="gramEnd"/>
      <w:r>
        <w:rPr>
          <w:rFonts w:ascii="Calibri" w:eastAsia="Calibri" w:hAnsi="Calibri" w:cs="Times New Roman"/>
        </w:rPr>
        <w:t xml:space="preserve"> supplements or replaces public supply with individual groundwater abstractions from shallow private wells. These private abstractions are particularly common in the more dispersed portions of the settlement and in adjacent agricultural areas, and they remain largely unregistered and unmonitored. The mixed supply model, combining public network delivery with individual abstraction, is characteristic of rural settlements in the lower Neretva corridor and reflects both incomplete network coverage and the tradition of direct groundwater use in farming households. Sanitation in </w:t>
      </w:r>
      <w:proofErr w:type="spellStart"/>
      <w:r>
        <w:rPr>
          <w:rFonts w:ascii="Calibri" w:eastAsia="Calibri" w:hAnsi="Calibri" w:cs="Times New Roman"/>
        </w:rPr>
        <w:t>Prud</w:t>
      </w:r>
      <w:proofErr w:type="spellEnd"/>
      <w:r>
        <w:rPr>
          <w:rFonts w:ascii="Calibri" w:eastAsia="Calibri" w:hAnsi="Calibri" w:cs="Times New Roman"/>
        </w:rPr>
        <w:t xml:space="preserve"> relies almost entirely on individual on-site systems; centralised sewerage infrastructure is absent. Given the shallow groundwater table in the floodplain zone and direct hydraulic connectivity between surface and subsurface systems, inadequate sanitation and agricultural nutrient loading create an </w:t>
      </w:r>
      <w:r>
        <w:rPr>
          <w:rFonts w:ascii="Calibri" w:eastAsia="Calibri" w:hAnsi="Calibri" w:cs="Times New Roman"/>
        </w:rPr>
        <w:lastRenderedPageBreak/>
        <w:t>elevated risk of microbiological and nitrate contamination of both public and private supply sources.</w:t>
      </w:r>
    </w:p>
    <w:p w14:paraId="1BE3C15D" w14:textId="13D258E8" w:rsidR="006305D8" w:rsidRPr="008D5734" w:rsidRDefault="006305D8" w:rsidP="00F41F7D">
      <w:pPr>
        <w:pStyle w:val="Heading3"/>
        <w:rPr>
          <w:rFonts w:eastAsia="Calibri"/>
        </w:rPr>
      </w:pPr>
      <w:bookmarkStart w:id="61" w:name="_Toc229036195"/>
      <w:r>
        <w:rPr>
          <w:rFonts w:eastAsia="Calibri"/>
        </w:rPr>
        <w:t xml:space="preserve">3.6.4 Neretva </w:t>
      </w:r>
      <w:r w:rsidR="003108B4">
        <w:rPr>
          <w:rFonts w:eastAsia="Calibri"/>
        </w:rPr>
        <w:t>Delta</w:t>
      </w:r>
      <w:bookmarkEnd w:id="61"/>
    </w:p>
    <w:p w14:paraId="0B7DD1A6" w14:textId="3845BCD3" w:rsidR="006305D8" w:rsidRPr="006501B1" w:rsidRDefault="006305D8" w:rsidP="006305D8">
      <w:pPr>
        <w:spacing w:before="240"/>
        <w:jc w:val="both"/>
        <w:rPr>
          <w:rFonts w:ascii="Calibri" w:eastAsia="Calibri" w:hAnsi="Calibri" w:cs="Times New Roman"/>
        </w:rPr>
      </w:pPr>
      <w:r>
        <w:rPr>
          <w:rFonts w:ascii="Calibri" w:eastAsia="Calibri" w:hAnsi="Calibri" w:cs="Times New Roman"/>
        </w:rPr>
        <w:t xml:space="preserve">The Neretva </w:t>
      </w:r>
      <w:r w:rsidR="003108B4">
        <w:rPr>
          <w:rFonts w:ascii="Calibri" w:eastAsia="Calibri" w:hAnsi="Calibri" w:cs="Times New Roman"/>
        </w:rPr>
        <w:t>Delta</w:t>
      </w:r>
      <w:r>
        <w:rPr>
          <w:rFonts w:ascii="Calibri" w:eastAsia="Calibri" w:hAnsi="Calibri" w:cs="Times New Roman"/>
        </w:rPr>
        <w:t xml:space="preserve"> represents one of the most hydrologically sensitive areas within the TBA, where water supply, agriculture and ecosystem processes are closely interconnected. A key issue affecting the </w:t>
      </w:r>
      <w:r w:rsidR="003108B4">
        <w:rPr>
          <w:rFonts w:ascii="Calibri" w:eastAsia="Calibri" w:hAnsi="Calibri" w:cs="Times New Roman"/>
        </w:rPr>
        <w:t>Delta</w:t>
      </w:r>
      <w:r>
        <w:rPr>
          <w:rFonts w:ascii="Calibri" w:eastAsia="Calibri" w:hAnsi="Calibri" w:cs="Times New Roman"/>
        </w:rPr>
        <w:t xml:space="preserve"> is salinisation, driven primarily by seawater intrusion into surface and groundwater systems. This process is particularly pronounced during dry periods, when reduced freshwater inflow allows saline water to penetrate further inland.</w:t>
      </w:r>
    </w:p>
    <w:p w14:paraId="634EEF1C" w14:textId="7FF2067B" w:rsidR="006305D8" w:rsidRDefault="006305D8" w:rsidP="006305D8">
      <w:pPr>
        <w:jc w:val="both"/>
        <w:rPr>
          <w:rFonts w:ascii="Calibri" w:eastAsia="Calibri" w:hAnsi="Calibri" w:cs="Times New Roman"/>
        </w:rPr>
      </w:pPr>
      <w:r>
        <w:rPr>
          <w:rFonts w:ascii="Calibri" w:eastAsia="Calibri" w:hAnsi="Calibri" w:cs="Times New Roman"/>
        </w:rPr>
        <w:t xml:space="preserve">Available studies indicate that approximately 5,000 hectares of agricultural land in the </w:t>
      </w:r>
      <w:r w:rsidR="003108B4">
        <w:rPr>
          <w:rFonts w:ascii="Calibri" w:eastAsia="Calibri" w:hAnsi="Calibri" w:cs="Times New Roman"/>
        </w:rPr>
        <w:t>Delta</w:t>
      </w:r>
      <w:r>
        <w:rPr>
          <w:rFonts w:ascii="Calibri" w:eastAsia="Calibri" w:hAnsi="Calibri" w:cs="Times New Roman"/>
        </w:rPr>
        <w:t xml:space="preserve"> are affected by salinity-related constraints. This has direct implications for agricultural productivity, particularly for sensitive crops such as mandarin, where increased salinity levels can significantly reduce yields. </w:t>
      </w:r>
    </w:p>
    <w:p w14:paraId="66380406" w14:textId="77777777" w:rsidR="006305D8" w:rsidRPr="006501B1" w:rsidRDefault="006305D8" w:rsidP="006305D8">
      <w:pPr>
        <w:jc w:val="both"/>
        <w:rPr>
          <w:rFonts w:ascii="Calibri" w:eastAsia="Calibri" w:hAnsi="Calibri" w:cs="Times New Roman"/>
        </w:rPr>
      </w:pPr>
      <w:r>
        <w:rPr>
          <w:rFonts w:ascii="Calibri" w:eastAsia="Calibri" w:hAnsi="Calibri" w:cs="Times New Roman"/>
        </w:rPr>
        <w:t>Salinisation not only affects soil quality but also increases water demand, as additional irrigation is often required to maintain soil conditions and crop viability. As a result, agricultural water use becomes both more intensive and more dependent on water availability.</w:t>
      </w:r>
    </w:p>
    <w:p w14:paraId="0DFF47E1" w14:textId="75154D1D" w:rsidR="006305D8" w:rsidRPr="006501B1" w:rsidRDefault="006305D8" w:rsidP="006305D8">
      <w:pPr>
        <w:jc w:val="both"/>
        <w:rPr>
          <w:rFonts w:ascii="Calibri" w:eastAsia="Calibri" w:hAnsi="Calibri" w:cs="Times New Roman"/>
        </w:rPr>
      </w:pPr>
      <w:r>
        <w:rPr>
          <w:rFonts w:ascii="Calibri" w:eastAsia="Calibri" w:hAnsi="Calibri" w:cs="Times New Roman"/>
        </w:rPr>
        <w:t xml:space="preserve">At the same time, groundwater in the </w:t>
      </w:r>
      <w:r w:rsidR="003108B4">
        <w:rPr>
          <w:rFonts w:ascii="Calibri" w:eastAsia="Calibri" w:hAnsi="Calibri" w:cs="Times New Roman"/>
        </w:rPr>
        <w:t>Delta</w:t>
      </w:r>
      <w:r>
        <w:rPr>
          <w:rFonts w:ascii="Calibri" w:eastAsia="Calibri" w:hAnsi="Calibri" w:cs="Times New Roman"/>
        </w:rPr>
        <w:t xml:space="preserve"> and surrounding areas serves as a primary source of drinking water. The coexistence of intensive irrigation demand and reliance on groundwater for domestic supply creates increasing pressure on shared water resources. These pressures are particularly evident during summer months, when agricultural demand peaks and water availability is reduced.</w:t>
      </w:r>
    </w:p>
    <w:p w14:paraId="15753338" w14:textId="77777777" w:rsidR="006305D8" w:rsidRDefault="006305D8" w:rsidP="006305D8">
      <w:pPr>
        <w:jc w:val="both"/>
        <w:rPr>
          <w:rFonts w:ascii="Calibri" w:eastAsia="Calibri" w:hAnsi="Calibri" w:cs="Times New Roman"/>
        </w:rPr>
      </w:pPr>
      <w:r>
        <w:rPr>
          <w:rFonts w:ascii="Calibri" w:eastAsia="Calibri" w:hAnsi="Calibri" w:cs="Times New Roman"/>
        </w:rPr>
        <w:t>Although not always manifested as direct conflict, this overlap indicates a structural competition between water uses, highlighting the sensitivity of the system to both quantitative and qualitative changes in water availability.</w:t>
      </w:r>
    </w:p>
    <w:p w14:paraId="4C3AB2D3" w14:textId="77777777" w:rsidR="006305D8" w:rsidRPr="003108B4" w:rsidRDefault="006305D8" w:rsidP="00F41F7D">
      <w:pPr>
        <w:pStyle w:val="Heading3"/>
        <w:rPr>
          <w:rFonts w:eastAsia="Calibri"/>
          <w:lang w:val="en-GB"/>
        </w:rPr>
      </w:pPr>
      <w:bookmarkStart w:id="62" w:name="_Toc229036196"/>
      <w:r w:rsidRPr="003108B4">
        <w:rPr>
          <w:rFonts w:eastAsia="Calibri"/>
          <w:lang w:val="en-GB"/>
        </w:rPr>
        <w:t>3.6.5 Sanitation and wastewater</w:t>
      </w:r>
      <w:bookmarkEnd w:id="62"/>
    </w:p>
    <w:p w14:paraId="02EB2D6F" w14:textId="220FF80D" w:rsidR="006305D8" w:rsidRPr="008F7A6C" w:rsidRDefault="006305D8" w:rsidP="006305D8">
      <w:pPr>
        <w:jc w:val="both"/>
        <w:rPr>
          <w:rFonts w:ascii="Calibri" w:eastAsia="Calibri" w:hAnsi="Calibri" w:cs="Times New Roman"/>
        </w:rPr>
      </w:pPr>
      <w:r>
        <w:rPr>
          <w:rFonts w:ascii="Calibri" w:eastAsia="Calibri" w:hAnsi="Calibri" w:cs="Times New Roman"/>
        </w:rPr>
        <w:t xml:space="preserve">Sanitation infrastructure in </w:t>
      </w:r>
      <w:r w:rsidR="00F41F7D">
        <w:rPr>
          <w:rFonts w:ascii="Calibri" w:eastAsia="Calibri" w:hAnsi="Calibri" w:cs="Times New Roman"/>
        </w:rPr>
        <w:t xml:space="preserve">Neretva </w:t>
      </w:r>
      <w:r>
        <w:rPr>
          <w:rFonts w:ascii="Calibri" w:eastAsia="Calibri" w:hAnsi="Calibri" w:cs="Times New Roman"/>
        </w:rPr>
        <w:t>TBA is characterised by a strong disparity between urban and rural areas. While urban centres are more likely to be connected to centralised wastewater collection systems, coverage remains limited outside these areas. In rural and dispersed settlements, wastewater is predominantly managed through on-site sanitation systems, including septic tanks and other individual solutions. These systems are often inadequately maintained and not subject to systematic monitoring.</w:t>
      </w:r>
    </w:p>
    <w:p w14:paraId="4F140BD8" w14:textId="77777777" w:rsidR="006305D8" w:rsidRPr="008F7A6C" w:rsidRDefault="006305D8" w:rsidP="006305D8">
      <w:pPr>
        <w:jc w:val="both"/>
        <w:rPr>
          <w:rFonts w:ascii="Calibri" w:eastAsia="Calibri" w:hAnsi="Calibri" w:cs="Times New Roman"/>
        </w:rPr>
      </w:pPr>
      <w:r>
        <w:rPr>
          <w:rFonts w:ascii="Calibri" w:eastAsia="Calibri" w:hAnsi="Calibri" w:cs="Times New Roman"/>
        </w:rPr>
        <w:t>This pattern creates a structural mismatch between water supply and sanitation. While groundwater is widely used as a primary source of drinking water, wastewater management systems are frequently insufficient to ensure its protection. In karst environments, this issue is particularly critical. The high permeability of karst terrain enables rapid infiltration of contaminants, reducing natural filtration capacity and increasing the risk of groundwater pollution.</w:t>
      </w:r>
    </w:p>
    <w:p w14:paraId="471975BC" w14:textId="77777777" w:rsidR="006305D8" w:rsidRDefault="006305D8" w:rsidP="006305D8">
      <w:pPr>
        <w:jc w:val="both"/>
        <w:rPr>
          <w:rFonts w:ascii="Calibri" w:eastAsia="Calibri" w:hAnsi="Calibri" w:cs="Times New Roman"/>
        </w:rPr>
      </w:pPr>
      <w:r>
        <w:rPr>
          <w:rFonts w:ascii="Calibri" w:eastAsia="Calibri" w:hAnsi="Calibri" w:cs="Times New Roman"/>
        </w:rPr>
        <w:t>As a result, sanitation practices represent a continuous and diffuse pressure on groundwater systems across both sides of the TBA, particularly in rural areas.</w:t>
      </w:r>
    </w:p>
    <w:p w14:paraId="36C6906E" w14:textId="77777777" w:rsidR="006305D8" w:rsidRPr="003108B4" w:rsidRDefault="006305D8" w:rsidP="00F41F7D">
      <w:pPr>
        <w:pStyle w:val="Heading3"/>
        <w:rPr>
          <w:rFonts w:eastAsia="Calibri"/>
          <w:lang w:val="en-GB"/>
        </w:rPr>
      </w:pPr>
      <w:bookmarkStart w:id="63" w:name="_Toc229036197"/>
      <w:r w:rsidRPr="003108B4">
        <w:rPr>
          <w:rFonts w:eastAsia="Calibri"/>
          <w:lang w:val="en-GB"/>
        </w:rPr>
        <w:lastRenderedPageBreak/>
        <w:t>3.6.6 Key challenges</w:t>
      </w:r>
      <w:bookmarkEnd w:id="63"/>
    </w:p>
    <w:p w14:paraId="7A9F8B59" w14:textId="1E51390A" w:rsidR="006305D8" w:rsidRPr="008F7A6C" w:rsidRDefault="006305D8" w:rsidP="006305D8">
      <w:pPr>
        <w:jc w:val="both"/>
        <w:rPr>
          <w:rFonts w:ascii="Calibri" w:eastAsia="Calibri" w:hAnsi="Calibri" w:cs="Times New Roman"/>
        </w:rPr>
      </w:pPr>
      <w:r>
        <w:rPr>
          <w:rFonts w:ascii="Calibri" w:eastAsia="Calibri" w:hAnsi="Calibri" w:cs="Times New Roman"/>
        </w:rPr>
        <w:t xml:space="preserve">Water supply and sanitation in </w:t>
      </w:r>
      <w:r w:rsidR="00F41F7D">
        <w:rPr>
          <w:rFonts w:ascii="Calibri" w:eastAsia="Calibri" w:hAnsi="Calibri" w:cs="Times New Roman"/>
        </w:rPr>
        <w:t xml:space="preserve">Neretva </w:t>
      </w:r>
      <w:r>
        <w:rPr>
          <w:rFonts w:ascii="Calibri" w:eastAsia="Calibri" w:hAnsi="Calibri" w:cs="Times New Roman"/>
        </w:rPr>
        <w:t>TBA are affected by a set of interconnected structural challenges related to infrastructure, environmental conditions and patterns of water use. One of the key challenges is the mismatch between water supply and sanitation systems. While groundwater is widely used for drinking water supply, wastewater management remains insufficiently developed, particularly in rural areas. This creates continuous pressure on groundwater quality.</w:t>
      </w:r>
    </w:p>
    <w:p w14:paraId="20711081" w14:textId="1C2A27A7" w:rsidR="006305D8" w:rsidRPr="008F7A6C" w:rsidRDefault="006305D8" w:rsidP="006305D8">
      <w:pPr>
        <w:jc w:val="both"/>
        <w:rPr>
          <w:rFonts w:ascii="Calibri" w:eastAsia="Calibri" w:hAnsi="Calibri" w:cs="Times New Roman"/>
        </w:rPr>
      </w:pPr>
      <w:r>
        <w:rPr>
          <w:rFonts w:ascii="Calibri" w:eastAsia="Calibri" w:hAnsi="Calibri" w:cs="Times New Roman"/>
        </w:rPr>
        <w:t xml:space="preserve">Seasonality represents an additional constraint. During summer months, increased water demand associated with tourism and agriculture coincides with reduced groundwater recharge, leading to temporary stress on water supply systems. Water quality is further affected by diffuse pressures, including agricultural activities and inadequate sanitation practices. In the Neretva </w:t>
      </w:r>
      <w:r w:rsidR="003108B4">
        <w:rPr>
          <w:rFonts w:ascii="Calibri" w:eastAsia="Calibri" w:hAnsi="Calibri" w:cs="Times New Roman"/>
        </w:rPr>
        <w:t>Delta</w:t>
      </w:r>
      <w:r>
        <w:rPr>
          <w:rFonts w:ascii="Calibri" w:eastAsia="Calibri" w:hAnsi="Calibri" w:cs="Times New Roman"/>
        </w:rPr>
        <w:t>, these pressures are compounded by salinisation processes, which further reduce water usability. Infrastructure limitations also contribute to system inefficiencies, including potential losses within distribution networks and uneven service coverage across the TBA.</w:t>
      </w:r>
    </w:p>
    <w:p w14:paraId="1AFD96B3" w14:textId="77777777" w:rsidR="006305D8" w:rsidRDefault="006305D8" w:rsidP="006305D8">
      <w:pPr>
        <w:jc w:val="both"/>
        <w:rPr>
          <w:rFonts w:ascii="Calibri" w:eastAsia="Calibri" w:hAnsi="Calibri" w:cs="Times New Roman"/>
        </w:rPr>
      </w:pPr>
      <w:r>
        <w:rPr>
          <w:rFonts w:ascii="Calibri" w:eastAsia="Calibri" w:hAnsi="Calibri" w:cs="Times New Roman"/>
        </w:rPr>
        <w:t>Overall, these challenges reflect a system characterised by high dependence on groundwater, limited infrastructure resilience and strong seasonal variability.</w:t>
      </w:r>
    </w:p>
    <w:p w14:paraId="0D8B0E06" w14:textId="0CB9713E" w:rsidR="006305D8" w:rsidRDefault="0085370F" w:rsidP="0085370F">
      <w:pPr>
        <w:pStyle w:val="Caption"/>
        <w:rPr>
          <w:rFonts w:ascii="Calibri" w:eastAsia="Calibri" w:hAnsi="Calibri" w:cs="Times New Roman"/>
          <w:i w:val="0"/>
          <w:iCs w:val="0"/>
          <w:sz w:val="20"/>
          <w:szCs w:val="20"/>
        </w:rPr>
      </w:pPr>
      <w:bookmarkStart w:id="64" w:name="_Toc229037728"/>
      <w:r>
        <w:t xml:space="preserve">Table </w:t>
      </w:r>
      <w:r>
        <w:fldChar w:fldCharType="begin"/>
      </w:r>
      <w:r>
        <w:instrText xml:space="preserve"> SEQ Table \* ARABIC </w:instrText>
      </w:r>
      <w:r>
        <w:fldChar w:fldCharType="separate"/>
      </w:r>
      <w:r w:rsidR="002F4776">
        <w:rPr>
          <w:noProof/>
        </w:rPr>
        <w:t>6</w:t>
      </w:r>
      <w:r>
        <w:fldChar w:fldCharType="end"/>
      </w:r>
      <w:r>
        <w:t xml:space="preserve"> </w:t>
      </w:r>
      <w:r w:rsidRPr="009A1B59">
        <w:t>Key challenges, drivers and impacts in water supply and sanitation</w:t>
      </w:r>
      <w:bookmarkEnd w:id="64"/>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042"/>
        <w:gridCol w:w="3267"/>
        <w:gridCol w:w="3301"/>
      </w:tblGrid>
      <w:tr w:rsidR="006305D8" w:rsidRPr="00F616D9" w14:paraId="500DBAE0" w14:textId="77777777" w:rsidTr="00F616D9">
        <w:tc>
          <w:tcPr>
            <w:tcW w:w="0" w:type="auto"/>
            <w:shd w:val="clear" w:color="auto" w:fill="A5C9EB"/>
            <w:hideMark/>
          </w:tcPr>
          <w:p w14:paraId="2AA5AA1D" w14:textId="77777777" w:rsidR="006305D8" w:rsidRPr="00F616D9" w:rsidRDefault="006305D8" w:rsidP="00923395">
            <w:pPr>
              <w:spacing w:line="259" w:lineRule="auto"/>
              <w:jc w:val="both"/>
              <w:rPr>
                <w:rFonts w:ascii="Calibri" w:eastAsia="Calibri" w:hAnsi="Calibri" w:cs="Times New Roman"/>
                <w:b/>
                <w:bCs/>
                <w:sz w:val="16"/>
                <w:szCs w:val="16"/>
              </w:rPr>
            </w:pPr>
            <w:r w:rsidRPr="00F616D9">
              <w:rPr>
                <w:rFonts w:ascii="Calibri" w:eastAsia="Calibri" w:hAnsi="Calibri" w:cs="Times New Roman"/>
                <w:b/>
                <w:bCs/>
                <w:sz w:val="16"/>
                <w:szCs w:val="16"/>
              </w:rPr>
              <w:t>Challenge</w:t>
            </w:r>
          </w:p>
        </w:tc>
        <w:tc>
          <w:tcPr>
            <w:tcW w:w="0" w:type="auto"/>
            <w:shd w:val="clear" w:color="auto" w:fill="A5C9EB"/>
            <w:hideMark/>
          </w:tcPr>
          <w:p w14:paraId="307BDB46" w14:textId="77777777" w:rsidR="006305D8" w:rsidRPr="00F616D9" w:rsidRDefault="006305D8" w:rsidP="00923395">
            <w:pPr>
              <w:spacing w:line="259" w:lineRule="auto"/>
              <w:jc w:val="both"/>
              <w:rPr>
                <w:rFonts w:ascii="Calibri" w:eastAsia="Calibri" w:hAnsi="Calibri" w:cs="Times New Roman"/>
                <w:b/>
                <w:bCs/>
                <w:sz w:val="16"/>
                <w:szCs w:val="16"/>
              </w:rPr>
            </w:pPr>
            <w:r w:rsidRPr="00F616D9">
              <w:rPr>
                <w:rFonts w:ascii="Calibri" w:eastAsia="Calibri" w:hAnsi="Calibri" w:cs="Times New Roman"/>
                <w:b/>
                <w:bCs/>
                <w:sz w:val="16"/>
                <w:szCs w:val="16"/>
              </w:rPr>
              <w:t>Key driver</w:t>
            </w:r>
          </w:p>
        </w:tc>
        <w:tc>
          <w:tcPr>
            <w:tcW w:w="0" w:type="auto"/>
            <w:shd w:val="clear" w:color="auto" w:fill="A5C9EB"/>
            <w:hideMark/>
          </w:tcPr>
          <w:p w14:paraId="1A97E3E0" w14:textId="77777777" w:rsidR="006305D8" w:rsidRPr="00F616D9" w:rsidRDefault="006305D8" w:rsidP="00923395">
            <w:pPr>
              <w:spacing w:line="259" w:lineRule="auto"/>
              <w:jc w:val="both"/>
              <w:rPr>
                <w:rFonts w:ascii="Calibri" w:eastAsia="Calibri" w:hAnsi="Calibri" w:cs="Times New Roman"/>
                <w:b/>
                <w:bCs/>
                <w:sz w:val="16"/>
                <w:szCs w:val="16"/>
              </w:rPr>
            </w:pPr>
            <w:r w:rsidRPr="00F616D9">
              <w:rPr>
                <w:rFonts w:ascii="Calibri" w:eastAsia="Calibri" w:hAnsi="Calibri" w:cs="Times New Roman"/>
                <w:b/>
                <w:bCs/>
                <w:sz w:val="16"/>
                <w:szCs w:val="16"/>
              </w:rPr>
              <w:t>Impact on water system</w:t>
            </w:r>
          </w:p>
        </w:tc>
      </w:tr>
      <w:tr w:rsidR="006305D8" w:rsidRPr="00F616D9" w14:paraId="043471E2" w14:textId="77777777" w:rsidTr="00923395">
        <w:tc>
          <w:tcPr>
            <w:tcW w:w="0" w:type="auto"/>
            <w:hideMark/>
          </w:tcPr>
          <w:p w14:paraId="39C70D8D"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Inadequate sanitation infrastructure</w:t>
            </w:r>
          </w:p>
        </w:tc>
        <w:tc>
          <w:tcPr>
            <w:tcW w:w="0" w:type="auto"/>
            <w:hideMark/>
          </w:tcPr>
          <w:p w14:paraId="245F9C76"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Dominance of on-site systems in rural areas; limited wastewater treatment coverage</w:t>
            </w:r>
          </w:p>
        </w:tc>
        <w:tc>
          <w:tcPr>
            <w:tcW w:w="0" w:type="auto"/>
            <w:hideMark/>
          </w:tcPr>
          <w:p w14:paraId="0302243A"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Increased risk of groundwater contamination, particularly in karst environments</w:t>
            </w:r>
          </w:p>
        </w:tc>
      </w:tr>
      <w:tr w:rsidR="006305D8" w:rsidRPr="00F616D9" w14:paraId="05EA2846" w14:textId="77777777" w:rsidTr="00923395">
        <w:tc>
          <w:tcPr>
            <w:tcW w:w="0" w:type="auto"/>
            <w:hideMark/>
          </w:tcPr>
          <w:p w14:paraId="6B01900B"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Mismatch between water supply and sanitation</w:t>
            </w:r>
          </w:p>
        </w:tc>
        <w:tc>
          <w:tcPr>
            <w:tcW w:w="0" w:type="auto"/>
            <w:hideMark/>
          </w:tcPr>
          <w:p w14:paraId="35FFD585"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High dependence on groundwater for drinking water vs insufficient wastewater management</w:t>
            </w:r>
          </w:p>
        </w:tc>
        <w:tc>
          <w:tcPr>
            <w:tcW w:w="0" w:type="auto"/>
            <w:hideMark/>
          </w:tcPr>
          <w:p w14:paraId="32AF30A6"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Long-term pressure on water quality and public health risks</w:t>
            </w:r>
          </w:p>
        </w:tc>
      </w:tr>
      <w:tr w:rsidR="006305D8" w:rsidRPr="00F616D9" w14:paraId="54E0A8AF" w14:textId="77777777" w:rsidTr="00923395">
        <w:tc>
          <w:tcPr>
            <w:tcW w:w="0" w:type="auto"/>
            <w:hideMark/>
          </w:tcPr>
          <w:p w14:paraId="0317C25A"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Seasonal demand peaks</w:t>
            </w:r>
          </w:p>
        </w:tc>
        <w:tc>
          <w:tcPr>
            <w:tcW w:w="0" w:type="auto"/>
            <w:hideMark/>
          </w:tcPr>
          <w:p w14:paraId="41879DA9"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Tourism and irrigation demand during summer months</w:t>
            </w:r>
          </w:p>
        </w:tc>
        <w:tc>
          <w:tcPr>
            <w:tcW w:w="0" w:type="auto"/>
            <w:hideMark/>
          </w:tcPr>
          <w:p w14:paraId="0AB82142"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Temporary overloading of water supply and sanitation systems</w:t>
            </w:r>
          </w:p>
        </w:tc>
      </w:tr>
      <w:tr w:rsidR="006305D8" w:rsidRPr="00F616D9" w14:paraId="6D8B5307" w14:textId="77777777" w:rsidTr="00923395">
        <w:tc>
          <w:tcPr>
            <w:tcW w:w="0" w:type="auto"/>
            <w:hideMark/>
          </w:tcPr>
          <w:p w14:paraId="49B414E5" w14:textId="69FE034E"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 xml:space="preserve">Salinisation (Neretva </w:t>
            </w:r>
            <w:r w:rsidR="003108B4" w:rsidRPr="00F616D9">
              <w:rPr>
                <w:rFonts w:ascii="Calibri" w:eastAsia="Calibri" w:hAnsi="Calibri" w:cs="Times New Roman"/>
                <w:sz w:val="16"/>
                <w:szCs w:val="16"/>
              </w:rPr>
              <w:t>Delta</w:t>
            </w:r>
            <w:r w:rsidRPr="00F616D9">
              <w:rPr>
                <w:rFonts w:ascii="Calibri" w:eastAsia="Calibri" w:hAnsi="Calibri" w:cs="Times New Roman"/>
                <w:sz w:val="16"/>
                <w:szCs w:val="16"/>
              </w:rPr>
              <w:t>)</w:t>
            </w:r>
          </w:p>
        </w:tc>
        <w:tc>
          <w:tcPr>
            <w:tcW w:w="0" w:type="auto"/>
            <w:hideMark/>
          </w:tcPr>
          <w:p w14:paraId="1C926E6F"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Seawater intrusion; reduced freshwater inflow; climate variability</w:t>
            </w:r>
          </w:p>
        </w:tc>
        <w:tc>
          <w:tcPr>
            <w:tcW w:w="0" w:type="auto"/>
            <w:hideMark/>
          </w:tcPr>
          <w:p w14:paraId="38A3589D"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Reduced water quality; increased irrigation demand; constraints on agricultural productivity</w:t>
            </w:r>
          </w:p>
        </w:tc>
      </w:tr>
      <w:tr w:rsidR="006305D8" w:rsidRPr="00F616D9" w14:paraId="26D85ECB" w14:textId="77777777" w:rsidTr="00923395">
        <w:tc>
          <w:tcPr>
            <w:tcW w:w="0" w:type="auto"/>
            <w:hideMark/>
          </w:tcPr>
          <w:p w14:paraId="14FD2523"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Diffuse pollution</w:t>
            </w:r>
          </w:p>
        </w:tc>
        <w:tc>
          <w:tcPr>
            <w:tcW w:w="0" w:type="auto"/>
            <w:hideMark/>
          </w:tcPr>
          <w:p w14:paraId="4E867147"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Agricultural activities (fertilisers, pesticides); inadequate sanitation</w:t>
            </w:r>
          </w:p>
        </w:tc>
        <w:tc>
          <w:tcPr>
            <w:tcW w:w="0" w:type="auto"/>
            <w:hideMark/>
          </w:tcPr>
          <w:p w14:paraId="16B4882A"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Gradual degradation of groundwater quality</w:t>
            </w:r>
          </w:p>
        </w:tc>
      </w:tr>
      <w:tr w:rsidR="006305D8" w:rsidRPr="00F616D9" w14:paraId="7F3CA511" w14:textId="77777777" w:rsidTr="00923395">
        <w:tc>
          <w:tcPr>
            <w:tcW w:w="0" w:type="auto"/>
            <w:hideMark/>
          </w:tcPr>
          <w:p w14:paraId="55B959AD"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Infrastructure limitations</w:t>
            </w:r>
          </w:p>
        </w:tc>
        <w:tc>
          <w:tcPr>
            <w:tcW w:w="0" w:type="auto"/>
            <w:hideMark/>
          </w:tcPr>
          <w:p w14:paraId="42B22A13"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Ageing systems; uneven service coverage; limited investment capacity</w:t>
            </w:r>
          </w:p>
        </w:tc>
        <w:tc>
          <w:tcPr>
            <w:tcW w:w="0" w:type="auto"/>
            <w:hideMark/>
          </w:tcPr>
          <w:p w14:paraId="4804E7C7"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System inefficiencies, including water losses and unequal access</w:t>
            </w:r>
          </w:p>
        </w:tc>
      </w:tr>
      <w:tr w:rsidR="006305D8" w:rsidRPr="00F616D9" w14:paraId="57B6DA16" w14:textId="77777777" w:rsidTr="00923395">
        <w:tc>
          <w:tcPr>
            <w:tcW w:w="0" w:type="auto"/>
            <w:hideMark/>
          </w:tcPr>
          <w:p w14:paraId="54956CF8"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Karst vulnerability</w:t>
            </w:r>
          </w:p>
        </w:tc>
        <w:tc>
          <w:tcPr>
            <w:tcW w:w="0" w:type="auto"/>
            <w:hideMark/>
          </w:tcPr>
          <w:p w14:paraId="0382403D"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High permeability and low natural filtration capacity</w:t>
            </w:r>
          </w:p>
        </w:tc>
        <w:tc>
          <w:tcPr>
            <w:tcW w:w="0" w:type="auto"/>
            <w:hideMark/>
          </w:tcPr>
          <w:p w14:paraId="36E704FB" w14:textId="77777777" w:rsidR="006305D8" w:rsidRPr="00F616D9" w:rsidRDefault="006305D8" w:rsidP="00923395">
            <w:pPr>
              <w:spacing w:line="259" w:lineRule="auto"/>
              <w:jc w:val="both"/>
              <w:rPr>
                <w:rFonts w:ascii="Calibri" w:eastAsia="Calibri" w:hAnsi="Calibri" w:cs="Times New Roman"/>
                <w:sz w:val="16"/>
                <w:szCs w:val="16"/>
              </w:rPr>
            </w:pPr>
            <w:r w:rsidRPr="00F616D9">
              <w:rPr>
                <w:rFonts w:ascii="Calibri" w:eastAsia="Calibri" w:hAnsi="Calibri" w:cs="Times New Roman"/>
                <w:sz w:val="16"/>
                <w:szCs w:val="16"/>
              </w:rPr>
              <w:t>Rapid transmission of pollutants and limited buffering capacity</w:t>
            </w:r>
          </w:p>
        </w:tc>
      </w:tr>
    </w:tbl>
    <w:p w14:paraId="1CD97415" w14:textId="77777777" w:rsidR="006305D8" w:rsidRPr="00152812" w:rsidRDefault="006305D8" w:rsidP="006305D8">
      <w:pPr>
        <w:jc w:val="both"/>
        <w:rPr>
          <w:rFonts w:ascii="Calibri" w:eastAsia="Calibri" w:hAnsi="Calibri" w:cs="Times New Roman"/>
          <w:i/>
          <w:iCs/>
          <w:sz w:val="20"/>
          <w:szCs w:val="20"/>
        </w:rPr>
      </w:pPr>
    </w:p>
    <w:p w14:paraId="16F7056C" w14:textId="77777777" w:rsidR="006305D8" w:rsidRDefault="006305D8" w:rsidP="006305D8">
      <w:pPr>
        <w:pStyle w:val="NoSpacing"/>
      </w:pPr>
    </w:p>
    <w:p w14:paraId="715A96EA" w14:textId="77777777" w:rsidR="00F41F7D" w:rsidRPr="0038014D" w:rsidRDefault="00F41F7D" w:rsidP="00F41F7D">
      <w:pPr>
        <w:pStyle w:val="Heading2"/>
        <w:rPr>
          <w:rFonts w:eastAsia="Calibri"/>
          <w:lang w:val="en-GB"/>
        </w:rPr>
      </w:pPr>
      <w:bookmarkStart w:id="65" w:name="_Toc229036198"/>
      <w:r w:rsidRPr="0038014D">
        <w:rPr>
          <w:rFonts w:eastAsia="Calibri"/>
          <w:lang w:val="en-GB"/>
        </w:rPr>
        <w:t>3.7 Water use by sectors</w:t>
      </w:r>
      <w:bookmarkEnd w:id="65"/>
      <w:r w:rsidRPr="0038014D">
        <w:rPr>
          <w:rFonts w:eastAsia="Calibri"/>
          <w:lang w:val="en-GB"/>
        </w:rPr>
        <w:t xml:space="preserve"> </w:t>
      </w:r>
    </w:p>
    <w:p w14:paraId="02E93302" w14:textId="77777777" w:rsidR="00F41F7D" w:rsidRDefault="00F41F7D" w:rsidP="00F41F7D">
      <w:pPr>
        <w:jc w:val="both"/>
        <w:rPr>
          <w:rFonts w:ascii="Calibri" w:eastAsia="Calibri" w:hAnsi="Calibri" w:cs="Times New Roman"/>
        </w:rPr>
      </w:pPr>
      <w:r>
        <w:rPr>
          <w:rFonts w:ascii="Calibri" w:eastAsia="Calibri" w:hAnsi="Calibri" w:cs="Times New Roman"/>
        </w:rPr>
        <w:t>Sector-specific quantitative water use data are not consistently available at the TBA level; therefore, the analysis is based on relative sectoral importance and documented pressures.</w:t>
      </w:r>
    </w:p>
    <w:p w14:paraId="657F43F0" w14:textId="5341FBAF" w:rsidR="00F41F7D" w:rsidRPr="00071077" w:rsidRDefault="00F41F7D" w:rsidP="00F41F7D">
      <w:pPr>
        <w:jc w:val="both"/>
        <w:rPr>
          <w:rFonts w:ascii="Calibri" w:eastAsia="Calibri" w:hAnsi="Calibri" w:cs="Times New Roman"/>
        </w:rPr>
      </w:pPr>
      <w:r>
        <w:rPr>
          <w:rFonts w:ascii="Calibri" w:eastAsia="Calibri" w:hAnsi="Calibri" w:cs="Times New Roman"/>
        </w:rPr>
        <w:t>Groundwater represents the dominant source of water across all sectors in Neretva TBA, reflecting the hydrogeological characteristics of the karst system and the spatial distribution of settlements and economic activities. Water use is shaped by a combination of structural dependence on groundwater, seasonal variability and sector-specific demand patterns.</w:t>
      </w:r>
    </w:p>
    <w:p w14:paraId="5E5E2999" w14:textId="77777777" w:rsidR="00F41F7D" w:rsidRPr="0038014D" w:rsidRDefault="00F41F7D" w:rsidP="00F41F7D">
      <w:pPr>
        <w:pStyle w:val="Heading3"/>
        <w:rPr>
          <w:rFonts w:eastAsia="Calibri"/>
          <w:lang w:val="en-GB"/>
        </w:rPr>
      </w:pPr>
      <w:bookmarkStart w:id="66" w:name="_Toc229036199"/>
      <w:r w:rsidRPr="0038014D">
        <w:rPr>
          <w:rFonts w:eastAsia="Calibri"/>
          <w:lang w:val="en-GB"/>
        </w:rPr>
        <w:lastRenderedPageBreak/>
        <w:t>3.7.1 Drinking water supply</w:t>
      </w:r>
      <w:bookmarkEnd w:id="66"/>
    </w:p>
    <w:p w14:paraId="5D6EC37F" w14:textId="7D64364C" w:rsidR="00F41F7D" w:rsidRPr="00071077" w:rsidRDefault="00F41F7D" w:rsidP="00F41F7D">
      <w:pPr>
        <w:jc w:val="both"/>
        <w:rPr>
          <w:rFonts w:ascii="Calibri" w:eastAsia="Calibri" w:hAnsi="Calibri" w:cs="Times New Roman"/>
        </w:rPr>
      </w:pPr>
      <w:r>
        <w:rPr>
          <w:rFonts w:ascii="Calibri" w:eastAsia="Calibri" w:hAnsi="Calibri" w:cs="Times New Roman"/>
        </w:rPr>
        <w:t>Drinking water supply represents one of the most socially critical uses of groundwater in Neretva TBA. Water is provided through a combination of public water supply systems and individual abstraction, including wells and springs, particularly in rural and dispersed settlements.</w:t>
      </w:r>
    </w:p>
    <w:p w14:paraId="7D4ED512" w14:textId="77777777" w:rsidR="00F41F7D" w:rsidRPr="00071077" w:rsidRDefault="00F41F7D" w:rsidP="00F41F7D">
      <w:pPr>
        <w:jc w:val="both"/>
        <w:rPr>
          <w:rFonts w:ascii="Calibri" w:eastAsia="Calibri" w:hAnsi="Calibri" w:cs="Times New Roman"/>
        </w:rPr>
      </w:pPr>
      <w:r>
        <w:rPr>
          <w:rFonts w:ascii="Calibri" w:eastAsia="Calibri" w:hAnsi="Calibri" w:cs="Times New Roman"/>
        </w:rPr>
        <w:t>Demand for drinking water is relatively stable throughout the year, but seasonal increases occur during summer months due to tourism and temporary population growth. In such periods, local systems may experience short-term pressure, particularly in areas with limited infrastructure capacity.</w:t>
      </w:r>
    </w:p>
    <w:p w14:paraId="54510FFE" w14:textId="77777777" w:rsidR="00F41F7D" w:rsidRPr="00071077" w:rsidRDefault="00F41F7D" w:rsidP="00F41F7D">
      <w:pPr>
        <w:jc w:val="both"/>
        <w:rPr>
          <w:rFonts w:ascii="Calibri" w:eastAsia="Calibri" w:hAnsi="Calibri" w:cs="Times New Roman"/>
        </w:rPr>
      </w:pPr>
      <w:r>
        <w:rPr>
          <w:rFonts w:ascii="Calibri" w:eastAsia="Calibri" w:hAnsi="Calibri" w:cs="Times New Roman"/>
        </w:rPr>
        <w:t>The reliance on groundwater for drinking purposes creates a direct link between water quality and public health, especially in areas where decentralised systems dominate and monitoring capacity is limited.</w:t>
      </w:r>
    </w:p>
    <w:p w14:paraId="44DF783D" w14:textId="77777777" w:rsidR="00F41F7D" w:rsidRPr="0038014D" w:rsidRDefault="00F41F7D" w:rsidP="00F41F7D">
      <w:pPr>
        <w:pStyle w:val="Heading3"/>
        <w:rPr>
          <w:rFonts w:eastAsia="Calibri"/>
          <w:lang w:val="en-GB"/>
        </w:rPr>
      </w:pPr>
      <w:bookmarkStart w:id="67" w:name="_Toc229036200"/>
      <w:r w:rsidRPr="0038014D">
        <w:rPr>
          <w:rFonts w:eastAsia="Calibri"/>
          <w:lang w:val="en-GB"/>
        </w:rPr>
        <w:t>3.7.2 Agriculture</w:t>
      </w:r>
      <w:bookmarkEnd w:id="67"/>
    </w:p>
    <w:p w14:paraId="4C148464" w14:textId="179C5071" w:rsidR="00F41F7D" w:rsidRPr="00071077" w:rsidRDefault="00F41F7D" w:rsidP="00F41F7D">
      <w:pPr>
        <w:jc w:val="both"/>
        <w:rPr>
          <w:rFonts w:ascii="Calibri" w:eastAsia="Calibri" w:hAnsi="Calibri" w:cs="Times New Roman"/>
        </w:rPr>
      </w:pPr>
      <w:r>
        <w:rPr>
          <w:rFonts w:ascii="Calibri" w:eastAsia="Calibri" w:hAnsi="Calibri" w:cs="Times New Roman"/>
        </w:rPr>
        <w:t xml:space="preserve">Agriculture represents the dominant water-using sector in Neretva TBA in terms of overall pressure on water resources. Irrigation is essential for maintaining agricultural production, particularly in karst fields and in the Neretva </w:t>
      </w:r>
      <w:r w:rsidR="003108B4">
        <w:rPr>
          <w:rFonts w:ascii="Calibri" w:eastAsia="Calibri" w:hAnsi="Calibri" w:cs="Times New Roman"/>
        </w:rPr>
        <w:t>Delta</w:t>
      </w:r>
      <w:r>
        <w:rPr>
          <w:rFonts w:ascii="Calibri" w:eastAsia="Calibri" w:hAnsi="Calibri" w:cs="Times New Roman"/>
        </w:rPr>
        <w:t>, where intensive cultivation is present.</w:t>
      </w:r>
    </w:p>
    <w:p w14:paraId="4A27CE10" w14:textId="77777777" w:rsidR="00F41F7D" w:rsidRPr="00071077" w:rsidRDefault="00F41F7D" w:rsidP="00F41F7D">
      <w:pPr>
        <w:jc w:val="both"/>
        <w:rPr>
          <w:rFonts w:ascii="Calibri" w:eastAsia="Calibri" w:hAnsi="Calibri" w:cs="Times New Roman"/>
        </w:rPr>
      </w:pPr>
      <w:r>
        <w:rPr>
          <w:rFonts w:ascii="Calibri" w:eastAsia="Calibri" w:hAnsi="Calibri" w:cs="Times New Roman"/>
        </w:rPr>
        <w:t>Water demand in agriculture is strongly seasonal, with peak abstraction occurring during dry summer periods, when groundwater recharge is limited. This creates a mismatch between availability and demand, increasing pressure on aquifers.</w:t>
      </w:r>
    </w:p>
    <w:p w14:paraId="74191E91" w14:textId="7D28C649" w:rsidR="00F41F7D" w:rsidRPr="00071077" w:rsidRDefault="00F41F7D" w:rsidP="00F41F7D">
      <w:pPr>
        <w:jc w:val="both"/>
        <w:rPr>
          <w:rFonts w:ascii="Calibri" w:eastAsia="Calibri" w:hAnsi="Calibri" w:cs="Times New Roman"/>
        </w:rPr>
      </w:pPr>
      <w:r>
        <w:rPr>
          <w:rFonts w:ascii="Calibri" w:eastAsia="Calibri" w:hAnsi="Calibri" w:cs="Times New Roman"/>
        </w:rPr>
        <w:t xml:space="preserve">In the Neretva </w:t>
      </w:r>
      <w:r w:rsidR="003108B4">
        <w:rPr>
          <w:rFonts w:ascii="Calibri" w:eastAsia="Calibri" w:hAnsi="Calibri" w:cs="Times New Roman"/>
        </w:rPr>
        <w:t>Delta</w:t>
      </w:r>
      <w:r>
        <w:rPr>
          <w:rFonts w:ascii="Calibri" w:eastAsia="Calibri" w:hAnsi="Calibri" w:cs="Times New Roman"/>
        </w:rPr>
        <w:t>, agricultural production is further constrained by salinisation processes associated with seawater intrusion. These processes affect soil and water quality and can significantly reduce crop yields, particularly for sensitive crops such as citrus. As a result, water use in agriculture is closely linked not only to quantity but also to water quality dynamics.</w:t>
      </w:r>
    </w:p>
    <w:p w14:paraId="02B689F4" w14:textId="77777777" w:rsidR="00F41F7D" w:rsidRPr="00071077" w:rsidRDefault="00F41F7D" w:rsidP="00F41F7D">
      <w:pPr>
        <w:jc w:val="both"/>
        <w:rPr>
          <w:rFonts w:ascii="Calibri" w:eastAsia="Calibri" w:hAnsi="Calibri" w:cs="Times New Roman"/>
        </w:rPr>
      </w:pPr>
      <w:r>
        <w:rPr>
          <w:rFonts w:ascii="Calibri" w:eastAsia="Calibri" w:hAnsi="Calibri" w:cs="Times New Roman"/>
        </w:rPr>
        <w:t>Diffuse pollution from agricultural activities, including nutrients and pesticides, represents an additional pressure on groundwater systems.</w:t>
      </w:r>
    </w:p>
    <w:p w14:paraId="2FD7110F" w14:textId="77777777" w:rsidR="00F41F7D" w:rsidRPr="0038014D" w:rsidRDefault="00F41F7D" w:rsidP="00F41F7D">
      <w:pPr>
        <w:pStyle w:val="Heading3"/>
        <w:rPr>
          <w:rFonts w:eastAsia="Calibri"/>
          <w:lang w:val="en-GB"/>
        </w:rPr>
      </w:pPr>
      <w:bookmarkStart w:id="68" w:name="_Toc229036201"/>
      <w:r w:rsidRPr="0038014D">
        <w:rPr>
          <w:rFonts w:eastAsia="Calibri"/>
          <w:lang w:val="en-GB"/>
        </w:rPr>
        <w:t>3.7.3 Industry</w:t>
      </w:r>
      <w:bookmarkEnd w:id="68"/>
    </w:p>
    <w:p w14:paraId="68B647DD" w14:textId="2D4B31DE" w:rsidR="00F41F7D" w:rsidRPr="00071077" w:rsidRDefault="00F41F7D" w:rsidP="00F41F7D">
      <w:pPr>
        <w:jc w:val="both"/>
        <w:rPr>
          <w:rFonts w:ascii="Calibri" w:eastAsia="Calibri" w:hAnsi="Calibri" w:cs="Times New Roman"/>
        </w:rPr>
      </w:pPr>
      <w:r>
        <w:rPr>
          <w:rFonts w:ascii="Calibri" w:eastAsia="Calibri" w:hAnsi="Calibri" w:cs="Times New Roman"/>
        </w:rPr>
        <w:t>Industrial activity within Neretva TBA is limited in scale and spatially dispersed, reflecting the predominantly rural and agriculture-oriented economic structure of the region. Unlike more industrialised basins, Neretva TBA is characterised by small-scale and resource-based industries rather than large water-intensive sectors.</w:t>
      </w:r>
    </w:p>
    <w:p w14:paraId="33EFCAD8" w14:textId="2E091838" w:rsidR="00F41F7D" w:rsidRPr="00071077" w:rsidRDefault="00F41F7D" w:rsidP="00F41F7D">
      <w:pPr>
        <w:jc w:val="both"/>
        <w:rPr>
          <w:rFonts w:ascii="Calibri" w:eastAsia="Calibri" w:hAnsi="Calibri" w:cs="Times New Roman"/>
        </w:rPr>
      </w:pPr>
      <w:r>
        <w:rPr>
          <w:rFonts w:ascii="Calibri" w:eastAsia="Calibri" w:hAnsi="Calibri" w:cs="Times New Roman"/>
        </w:rPr>
        <w:t xml:space="preserve">The most relevant industrial activities include </w:t>
      </w:r>
      <w:proofErr w:type="spellStart"/>
      <w:r w:rsidR="0038014D">
        <w:rPr>
          <w:rFonts w:ascii="Calibri" w:eastAsia="Calibri" w:hAnsi="Calibri" w:cs="Times New Roman"/>
        </w:rPr>
        <w:t>agro</w:t>
      </w:r>
      <w:proofErr w:type="spellEnd"/>
      <w:r w:rsidR="0038014D">
        <w:rPr>
          <w:rFonts w:ascii="Calibri" w:eastAsia="Calibri" w:hAnsi="Calibri" w:cs="Times New Roman"/>
        </w:rPr>
        <w:t xml:space="preserve"> processing</w:t>
      </w:r>
      <w:r>
        <w:rPr>
          <w:rFonts w:ascii="Calibri" w:eastAsia="Calibri" w:hAnsi="Calibri" w:cs="Times New Roman"/>
        </w:rPr>
        <w:t xml:space="preserve">, particularly in the lower Neretva and </w:t>
      </w:r>
      <w:proofErr w:type="spellStart"/>
      <w:r>
        <w:rPr>
          <w:rFonts w:ascii="Calibri" w:eastAsia="Calibri" w:hAnsi="Calibri" w:cs="Times New Roman"/>
        </w:rPr>
        <w:t>Ljubuški</w:t>
      </w:r>
      <w:proofErr w:type="spellEnd"/>
      <w:r>
        <w:rPr>
          <w:rFonts w:ascii="Calibri" w:eastAsia="Calibri" w:hAnsi="Calibri" w:cs="Times New Roman"/>
        </w:rPr>
        <w:t xml:space="preserve"> areas, where facilities for processing, storage and distribution of agricultural products are present. These activities are closely linked to local agricultural production systems and indirectly contribute to water demand through irrigation dependence.</w:t>
      </w:r>
    </w:p>
    <w:p w14:paraId="114586FB" w14:textId="77777777" w:rsidR="00F41F7D" w:rsidRPr="00071077" w:rsidRDefault="00F41F7D" w:rsidP="00F41F7D">
      <w:pPr>
        <w:jc w:val="both"/>
        <w:rPr>
          <w:rFonts w:ascii="Calibri" w:eastAsia="Calibri" w:hAnsi="Calibri" w:cs="Times New Roman"/>
        </w:rPr>
      </w:pPr>
      <w:r>
        <w:rPr>
          <w:rFonts w:ascii="Calibri" w:eastAsia="Calibri" w:hAnsi="Calibri" w:cs="Times New Roman"/>
        </w:rPr>
        <w:t xml:space="preserve">In the Croatian part of the TBA, extractive activities related to construction materials, particularly stone quarrying, are present in hinterland areas such as </w:t>
      </w:r>
      <w:proofErr w:type="spellStart"/>
      <w:r>
        <w:rPr>
          <w:rFonts w:ascii="Calibri" w:eastAsia="Calibri" w:hAnsi="Calibri" w:cs="Times New Roman"/>
        </w:rPr>
        <w:t>Imotski</w:t>
      </w:r>
      <w:proofErr w:type="spellEnd"/>
      <w:r>
        <w:rPr>
          <w:rFonts w:ascii="Calibri" w:eastAsia="Calibri" w:hAnsi="Calibri" w:cs="Times New Roman"/>
        </w:rPr>
        <w:t xml:space="preserve"> and </w:t>
      </w:r>
      <w:proofErr w:type="spellStart"/>
      <w:r>
        <w:rPr>
          <w:rFonts w:ascii="Calibri" w:eastAsia="Calibri" w:hAnsi="Calibri" w:cs="Times New Roman"/>
        </w:rPr>
        <w:t>Vrgorac</w:t>
      </w:r>
      <w:proofErr w:type="spellEnd"/>
      <w:r>
        <w:rPr>
          <w:rFonts w:ascii="Calibri" w:eastAsia="Calibri" w:hAnsi="Calibri" w:cs="Times New Roman"/>
        </w:rPr>
        <w:t>. While not major water users, these activities may locally influence groundwater recharge and infiltration patterns.</w:t>
      </w:r>
    </w:p>
    <w:p w14:paraId="3357FBBD" w14:textId="77777777" w:rsidR="00F41F7D" w:rsidRPr="00071077" w:rsidRDefault="00F41F7D" w:rsidP="00F41F7D">
      <w:pPr>
        <w:jc w:val="both"/>
        <w:rPr>
          <w:rFonts w:ascii="Calibri" w:eastAsia="Calibri" w:hAnsi="Calibri" w:cs="Times New Roman"/>
        </w:rPr>
      </w:pPr>
      <w:r>
        <w:rPr>
          <w:rFonts w:ascii="Calibri" w:eastAsia="Calibri" w:hAnsi="Calibri" w:cs="Times New Roman"/>
        </w:rPr>
        <w:t>Small-scale manufacturing, including metal and wood processing, is present on both sides of the border but remains limited in terms of overall water demand.</w:t>
      </w:r>
    </w:p>
    <w:p w14:paraId="603F7E92" w14:textId="77777777" w:rsidR="00F41F7D" w:rsidRDefault="00F41F7D" w:rsidP="00F41F7D">
      <w:pPr>
        <w:jc w:val="both"/>
        <w:rPr>
          <w:rFonts w:ascii="Calibri" w:eastAsia="Calibri" w:hAnsi="Calibri" w:cs="Times New Roman"/>
        </w:rPr>
      </w:pPr>
      <w:r>
        <w:rPr>
          <w:rFonts w:ascii="Calibri" w:eastAsia="Calibri" w:hAnsi="Calibri" w:cs="Times New Roman"/>
        </w:rPr>
        <w:lastRenderedPageBreak/>
        <w:t xml:space="preserve">In the Bosnia and Herzegovina part of the TBA, hydropower facilities within the </w:t>
      </w:r>
      <w:proofErr w:type="spellStart"/>
      <w:r>
        <w:rPr>
          <w:rFonts w:ascii="Calibri" w:eastAsia="Calibri" w:hAnsi="Calibri" w:cs="Times New Roman"/>
        </w:rPr>
        <w:t>Trebižat</w:t>
      </w:r>
      <w:proofErr w:type="spellEnd"/>
      <w:r>
        <w:rPr>
          <w:rFonts w:ascii="Calibri" w:eastAsia="Calibri" w:hAnsi="Calibri" w:cs="Times New Roman"/>
        </w:rPr>
        <w:t xml:space="preserve"> system represent an additional form of water-related infrastructure. Although not directly water-consuming in the same way as other sectors, these installations influence hydrological regimes and may affect groundwater-surface water interactions.</w:t>
      </w:r>
    </w:p>
    <w:p w14:paraId="1D4B22D5" w14:textId="72B68CAB" w:rsidR="00F41F7D" w:rsidRPr="00071077" w:rsidRDefault="00F41F7D" w:rsidP="00F41F7D">
      <w:pPr>
        <w:jc w:val="both"/>
        <w:rPr>
          <w:rFonts w:ascii="Calibri" w:eastAsia="Calibri" w:hAnsi="Calibri" w:cs="Times New Roman"/>
        </w:rPr>
      </w:pPr>
      <w:r>
        <w:rPr>
          <w:rFonts w:ascii="Calibri" w:eastAsia="Calibri" w:hAnsi="Calibri" w:cs="Times New Roman"/>
        </w:rPr>
        <w:t>Overall, the industrial sector does not represent a dominant pressure on groundwater resources at the TBA level. Its impact is primarily localised and indirect, in contrast to agriculture and drinking water supply, which remain the principal drivers of water use.</w:t>
      </w:r>
    </w:p>
    <w:p w14:paraId="668404FE" w14:textId="77777777" w:rsidR="00F41F7D" w:rsidRPr="0038014D" w:rsidRDefault="00F41F7D" w:rsidP="00F41F7D">
      <w:pPr>
        <w:pStyle w:val="Heading3"/>
        <w:rPr>
          <w:rFonts w:eastAsia="Calibri"/>
          <w:lang w:val="en-GB"/>
        </w:rPr>
      </w:pPr>
      <w:bookmarkStart w:id="69" w:name="_Toc229036202"/>
      <w:r w:rsidRPr="0038014D">
        <w:rPr>
          <w:rFonts w:eastAsia="Calibri"/>
          <w:lang w:val="en-GB"/>
        </w:rPr>
        <w:t>3.7.4 Tourism</w:t>
      </w:r>
      <w:bookmarkEnd w:id="69"/>
    </w:p>
    <w:p w14:paraId="71C06647" w14:textId="77777777" w:rsidR="00F41F7D" w:rsidRPr="00071077" w:rsidRDefault="00F41F7D" w:rsidP="00F41F7D">
      <w:pPr>
        <w:jc w:val="both"/>
        <w:rPr>
          <w:rFonts w:ascii="Calibri" w:eastAsia="Calibri" w:hAnsi="Calibri" w:cs="Times New Roman"/>
        </w:rPr>
      </w:pPr>
      <w:r>
        <w:rPr>
          <w:rFonts w:ascii="Calibri" w:eastAsia="Calibri" w:hAnsi="Calibri" w:cs="Times New Roman"/>
        </w:rPr>
        <w:t>Tourism introduces a distinct pattern of seasonal water use, characterised by short-term increases in demand during peak periods. Although the spatial extent of tourism-related activities is limited compared to coastal areas, its impact is locally significant, particularly in areas with natural attractions and recreational use.</w:t>
      </w:r>
    </w:p>
    <w:p w14:paraId="7D20A21B" w14:textId="77777777" w:rsidR="00F41F7D" w:rsidRPr="00071077" w:rsidRDefault="00F41F7D" w:rsidP="00F41F7D">
      <w:pPr>
        <w:jc w:val="both"/>
        <w:rPr>
          <w:rFonts w:ascii="Calibri" w:eastAsia="Calibri" w:hAnsi="Calibri" w:cs="Times New Roman"/>
        </w:rPr>
      </w:pPr>
      <w:r>
        <w:rPr>
          <w:rFonts w:ascii="Calibri" w:eastAsia="Calibri" w:hAnsi="Calibri" w:cs="Times New Roman"/>
        </w:rPr>
        <w:t>Tourism-related water demand affects both water supply and wastewater systems. During peak periods, increased consumption may exceed the capacity of local infrastructure, contributing to temporary stress on groundwater resources and sanitation systems.</w:t>
      </w:r>
    </w:p>
    <w:p w14:paraId="67F7F0CC" w14:textId="77777777" w:rsidR="00F41F7D" w:rsidRPr="00071077" w:rsidRDefault="00F41F7D" w:rsidP="00F41F7D">
      <w:pPr>
        <w:jc w:val="both"/>
        <w:rPr>
          <w:rFonts w:ascii="Calibri" w:eastAsia="Calibri" w:hAnsi="Calibri" w:cs="Times New Roman"/>
        </w:rPr>
      </w:pPr>
      <w:r>
        <w:rPr>
          <w:rFonts w:ascii="Calibri" w:eastAsia="Calibri" w:hAnsi="Calibri" w:cs="Times New Roman"/>
        </w:rPr>
        <w:t>The seasonal nature of tourism creates fluctuations in water demand that are not always aligned with system capacity, particularly in smaller settlements.</w:t>
      </w:r>
    </w:p>
    <w:p w14:paraId="2DDDC037" w14:textId="77777777" w:rsidR="00F41F7D" w:rsidRPr="0038014D" w:rsidRDefault="00F41F7D" w:rsidP="00F41F7D">
      <w:pPr>
        <w:pStyle w:val="Heading3"/>
        <w:rPr>
          <w:rFonts w:eastAsia="Calibri"/>
          <w:lang w:val="en-GB"/>
        </w:rPr>
      </w:pPr>
      <w:bookmarkStart w:id="70" w:name="_Toc229036203"/>
      <w:r w:rsidRPr="0038014D">
        <w:rPr>
          <w:rFonts w:eastAsia="Calibri"/>
          <w:lang w:val="en-GB"/>
        </w:rPr>
        <w:t>3.7.5 Sectoral synthesis</w:t>
      </w:r>
      <w:bookmarkEnd w:id="70"/>
    </w:p>
    <w:p w14:paraId="2F23CC5B" w14:textId="0AF3C071" w:rsidR="00F41F7D" w:rsidRPr="00071077" w:rsidRDefault="00F41F7D" w:rsidP="00F41F7D">
      <w:pPr>
        <w:jc w:val="both"/>
        <w:rPr>
          <w:rFonts w:ascii="Calibri" w:eastAsia="Calibri" w:hAnsi="Calibri" w:cs="Times New Roman"/>
        </w:rPr>
      </w:pPr>
      <w:r>
        <w:rPr>
          <w:rFonts w:ascii="Calibri" w:eastAsia="Calibri" w:hAnsi="Calibri" w:cs="Times New Roman"/>
        </w:rPr>
        <w:t>Water use in Neretva TBA is characterised by a high degree of dependence on groundwater across all sectors, combined with significant seasonal variability and spatial heterogeneity.</w:t>
      </w:r>
    </w:p>
    <w:p w14:paraId="0B6398C0" w14:textId="77777777" w:rsidR="00F41F7D" w:rsidRPr="00071077" w:rsidRDefault="00F41F7D" w:rsidP="00F41F7D">
      <w:pPr>
        <w:jc w:val="both"/>
        <w:rPr>
          <w:rFonts w:ascii="Calibri" w:eastAsia="Calibri" w:hAnsi="Calibri" w:cs="Times New Roman"/>
        </w:rPr>
      </w:pPr>
      <w:r>
        <w:rPr>
          <w:rFonts w:ascii="Calibri" w:eastAsia="Calibri" w:hAnsi="Calibri" w:cs="Times New Roman"/>
        </w:rPr>
        <w:t>Agriculture represents the dominant sector in terms of overall pressure on water resources, driven by irrigation needs and seasonal demand peaks. Drinking water supply remains the most critical use from a social perspective, ensuring basic needs and public health. Tourism introduces additional seasonal pressures, while industrial use remains limited and localised.</w:t>
      </w:r>
    </w:p>
    <w:p w14:paraId="03F693AF" w14:textId="442A77A8" w:rsidR="00F41F7D" w:rsidRPr="00071077" w:rsidRDefault="00F41F7D" w:rsidP="00F41F7D">
      <w:pPr>
        <w:jc w:val="both"/>
        <w:rPr>
          <w:rFonts w:ascii="Calibri" w:eastAsia="Calibri" w:hAnsi="Calibri" w:cs="Times New Roman"/>
        </w:rPr>
      </w:pPr>
      <w:r>
        <w:rPr>
          <w:rFonts w:ascii="Calibri" w:eastAsia="Calibri" w:hAnsi="Calibri" w:cs="Times New Roman"/>
        </w:rPr>
        <w:t>The interaction between these sectors results in cumulative pressures on groundwater systems, particularly in periods of low recharge and increased demand. These pressures are further amplified by the vulnerability of karst aquifers and the limited buffering capacity of the system.</w:t>
      </w:r>
    </w:p>
    <w:p w14:paraId="258C47B0" w14:textId="738939DC" w:rsidR="00F41F7D" w:rsidRPr="00071077" w:rsidRDefault="0085370F" w:rsidP="0085370F">
      <w:pPr>
        <w:pStyle w:val="Caption"/>
        <w:rPr>
          <w:rFonts w:ascii="Calibri" w:eastAsia="Calibri" w:hAnsi="Calibri" w:cs="Times New Roman"/>
          <w:i w:val="0"/>
          <w:iCs w:val="0"/>
          <w:sz w:val="20"/>
          <w:szCs w:val="20"/>
        </w:rPr>
      </w:pPr>
      <w:bookmarkStart w:id="71" w:name="_Toc229037729"/>
      <w:r>
        <w:t xml:space="preserve">Table </w:t>
      </w:r>
      <w:r>
        <w:fldChar w:fldCharType="begin"/>
      </w:r>
      <w:r>
        <w:instrText xml:space="preserve"> SEQ Table \* ARABIC </w:instrText>
      </w:r>
      <w:r>
        <w:fldChar w:fldCharType="separate"/>
      </w:r>
      <w:r w:rsidR="002F4776">
        <w:rPr>
          <w:noProof/>
        </w:rPr>
        <w:t>7</w:t>
      </w:r>
      <w:r>
        <w:fldChar w:fldCharType="end"/>
      </w:r>
      <w:r>
        <w:t xml:space="preserve"> </w:t>
      </w:r>
      <w:r w:rsidRPr="00082DE2">
        <w:t>Sectoral water use characteristics in Neretva TBA</w:t>
      </w:r>
      <w:bookmarkEnd w:id="71"/>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065"/>
        <w:gridCol w:w="1310"/>
        <w:gridCol w:w="1996"/>
        <w:gridCol w:w="1715"/>
        <w:gridCol w:w="2524"/>
      </w:tblGrid>
      <w:tr w:rsidR="00F41F7D" w:rsidRPr="00071077" w14:paraId="0D38B3C6" w14:textId="77777777" w:rsidTr="00F616D9">
        <w:trPr>
          <w:tblHeader/>
        </w:trPr>
        <w:tc>
          <w:tcPr>
            <w:tcW w:w="0" w:type="auto"/>
            <w:shd w:val="clear" w:color="auto" w:fill="A5C9EB"/>
            <w:hideMark/>
          </w:tcPr>
          <w:p w14:paraId="11A6FDBD" w14:textId="77777777" w:rsidR="00F41F7D" w:rsidRPr="00071077" w:rsidRDefault="00F41F7D" w:rsidP="00923395">
            <w:pPr>
              <w:spacing w:line="259" w:lineRule="auto"/>
              <w:jc w:val="both"/>
              <w:rPr>
                <w:rFonts w:ascii="Calibri" w:eastAsia="Calibri" w:hAnsi="Calibri" w:cs="Times New Roman"/>
                <w:b/>
                <w:bCs/>
                <w:sz w:val="16"/>
                <w:szCs w:val="16"/>
              </w:rPr>
            </w:pPr>
            <w:r>
              <w:rPr>
                <w:rFonts w:ascii="Calibri" w:eastAsia="Calibri" w:hAnsi="Calibri" w:cs="Times New Roman"/>
                <w:b/>
                <w:bCs/>
                <w:sz w:val="16"/>
                <w:szCs w:val="16"/>
              </w:rPr>
              <w:t>Sector</w:t>
            </w:r>
          </w:p>
        </w:tc>
        <w:tc>
          <w:tcPr>
            <w:tcW w:w="0" w:type="auto"/>
            <w:shd w:val="clear" w:color="auto" w:fill="A5C9EB"/>
            <w:hideMark/>
          </w:tcPr>
          <w:p w14:paraId="4E60E41F" w14:textId="77777777" w:rsidR="00F41F7D" w:rsidRPr="00071077" w:rsidRDefault="00F41F7D" w:rsidP="00923395">
            <w:pPr>
              <w:spacing w:line="259" w:lineRule="auto"/>
              <w:jc w:val="both"/>
              <w:rPr>
                <w:rFonts w:ascii="Calibri" w:eastAsia="Calibri" w:hAnsi="Calibri" w:cs="Times New Roman"/>
                <w:b/>
                <w:bCs/>
                <w:sz w:val="16"/>
                <w:szCs w:val="16"/>
              </w:rPr>
            </w:pPr>
            <w:r>
              <w:rPr>
                <w:rFonts w:ascii="Calibri" w:eastAsia="Calibri" w:hAnsi="Calibri" w:cs="Times New Roman"/>
                <w:b/>
                <w:bCs/>
                <w:sz w:val="16"/>
                <w:szCs w:val="16"/>
              </w:rPr>
              <w:t>Relative importance</w:t>
            </w:r>
          </w:p>
        </w:tc>
        <w:tc>
          <w:tcPr>
            <w:tcW w:w="0" w:type="auto"/>
            <w:shd w:val="clear" w:color="auto" w:fill="A5C9EB"/>
            <w:hideMark/>
          </w:tcPr>
          <w:p w14:paraId="761C5665" w14:textId="77777777" w:rsidR="00F41F7D" w:rsidRPr="00071077" w:rsidRDefault="00F41F7D" w:rsidP="00923395">
            <w:pPr>
              <w:spacing w:line="259" w:lineRule="auto"/>
              <w:jc w:val="both"/>
              <w:rPr>
                <w:rFonts w:ascii="Calibri" w:eastAsia="Calibri" w:hAnsi="Calibri" w:cs="Times New Roman"/>
                <w:b/>
                <w:bCs/>
                <w:sz w:val="16"/>
                <w:szCs w:val="16"/>
              </w:rPr>
            </w:pPr>
            <w:r>
              <w:rPr>
                <w:rFonts w:ascii="Calibri" w:eastAsia="Calibri" w:hAnsi="Calibri" w:cs="Times New Roman"/>
                <w:b/>
                <w:bCs/>
                <w:sz w:val="16"/>
                <w:szCs w:val="16"/>
              </w:rPr>
              <w:t>Type of use</w:t>
            </w:r>
          </w:p>
        </w:tc>
        <w:tc>
          <w:tcPr>
            <w:tcW w:w="0" w:type="auto"/>
            <w:shd w:val="clear" w:color="auto" w:fill="A5C9EB"/>
            <w:hideMark/>
          </w:tcPr>
          <w:p w14:paraId="382B586D" w14:textId="77777777" w:rsidR="00F41F7D" w:rsidRPr="00071077" w:rsidRDefault="00F41F7D" w:rsidP="00923395">
            <w:pPr>
              <w:spacing w:line="259" w:lineRule="auto"/>
              <w:jc w:val="both"/>
              <w:rPr>
                <w:rFonts w:ascii="Calibri" w:eastAsia="Calibri" w:hAnsi="Calibri" w:cs="Times New Roman"/>
                <w:b/>
                <w:bCs/>
                <w:sz w:val="16"/>
                <w:szCs w:val="16"/>
              </w:rPr>
            </w:pPr>
            <w:r>
              <w:rPr>
                <w:rFonts w:ascii="Calibri" w:eastAsia="Calibri" w:hAnsi="Calibri" w:cs="Times New Roman"/>
                <w:b/>
                <w:bCs/>
                <w:sz w:val="16"/>
                <w:szCs w:val="16"/>
              </w:rPr>
              <w:t>Temporal pattern</w:t>
            </w:r>
          </w:p>
        </w:tc>
        <w:tc>
          <w:tcPr>
            <w:tcW w:w="0" w:type="auto"/>
            <w:shd w:val="clear" w:color="auto" w:fill="A5C9EB"/>
            <w:hideMark/>
          </w:tcPr>
          <w:p w14:paraId="71EC31A0" w14:textId="77777777" w:rsidR="00F41F7D" w:rsidRPr="00071077" w:rsidRDefault="00F41F7D" w:rsidP="00923395">
            <w:pPr>
              <w:spacing w:line="259" w:lineRule="auto"/>
              <w:jc w:val="both"/>
              <w:rPr>
                <w:rFonts w:ascii="Calibri" w:eastAsia="Calibri" w:hAnsi="Calibri" w:cs="Times New Roman"/>
                <w:b/>
                <w:bCs/>
                <w:sz w:val="16"/>
                <w:szCs w:val="16"/>
              </w:rPr>
            </w:pPr>
            <w:r>
              <w:rPr>
                <w:rFonts w:ascii="Calibri" w:eastAsia="Calibri" w:hAnsi="Calibri" w:cs="Times New Roman"/>
                <w:b/>
                <w:bCs/>
                <w:sz w:val="16"/>
                <w:szCs w:val="16"/>
              </w:rPr>
              <w:t>Key pressures</w:t>
            </w:r>
          </w:p>
        </w:tc>
      </w:tr>
      <w:tr w:rsidR="00F41F7D" w:rsidRPr="00071077" w14:paraId="2B9B5D06" w14:textId="77777777" w:rsidTr="00923395">
        <w:tc>
          <w:tcPr>
            <w:tcW w:w="0" w:type="auto"/>
            <w:hideMark/>
          </w:tcPr>
          <w:p w14:paraId="53557517"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Drinking water</w:t>
            </w:r>
          </w:p>
        </w:tc>
        <w:tc>
          <w:tcPr>
            <w:tcW w:w="0" w:type="auto"/>
            <w:hideMark/>
          </w:tcPr>
          <w:p w14:paraId="1079DC1C"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High (socially critical)</w:t>
            </w:r>
          </w:p>
        </w:tc>
        <w:tc>
          <w:tcPr>
            <w:tcW w:w="0" w:type="auto"/>
            <w:hideMark/>
          </w:tcPr>
          <w:p w14:paraId="2DFDCF1A"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Public supply and individual abstraction</w:t>
            </w:r>
          </w:p>
        </w:tc>
        <w:tc>
          <w:tcPr>
            <w:tcW w:w="0" w:type="auto"/>
            <w:hideMark/>
          </w:tcPr>
          <w:p w14:paraId="7CFEE35F"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Mostly stable, with seasonal peaks</w:t>
            </w:r>
          </w:p>
        </w:tc>
        <w:tc>
          <w:tcPr>
            <w:tcW w:w="0" w:type="auto"/>
            <w:hideMark/>
          </w:tcPr>
          <w:p w14:paraId="5965A5ED"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Demand increase; dependence on groundwater quality</w:t>
            </w:r>
          </w:p>
        </w:tc>
      </w:tr>
      <w:tr w:rsidR="00F41F7D" w:rsidRPr="00071077" w14:paraId="027ED73C" w14:textId="77777777" w:rsidTr="00923395">
        <w:tc>
          <w:tcPr>
            <w:tcW w:w="0" w:type="auto"/>
            <w:hideMark/>
          </w:tcPr>
          <w:p w14:paraId="024C868D"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Agriculture</w:t>
            </w:r>
          </w:p>
        </w:tc>
        <w:tc>
          <w:tcPr>
            <w:tcW w:w="0" w:type="auto"/>
            <w:hideMark/>
          </w:tcPr>
          <w:p w14:paraId="4CD27AC1"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Very high (dominant)</w:t>
            </w:r>
          </w:p>
        </w:tc>
        <w:tc>
          <w:tcPr>
            <w:tcW w:w="0" w:type="auto"/>
            <w:hideMark/>
          </w:tcPr>
          <w:p w14:paraId="41BC2C69"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Irrigation</w:t>
            </w:r>
          </w:p>
        </w:tc>
        <w:tc>
          <w:tcPr>
            <w:tcW w:w="0" w:type="auto"/>
            <w:hideMark/>
          </w:tcPr>
          <w:p w14:paraId="6B009102"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Strongly seasonal (summer peak)</w:t>
            </w:r>
          </w:p>
        </w:tc>
        <w:tc>
          <w:tcPr>
            <w:tcW w:w="0" w:type="auto"/>
            <w:hideMark/>
          </w:tcPr>
          <w:p w14:paraId="0FC7E3E7"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Over-abstraction; salinisation; diffuse pollution</w:t>
            </w:r>
          </w:p>
        </w:tc>
      </w:tr>
      <w:tr w:rsidR="00F41F7D" w:rsidRPr="00071077" w14:paraId="2C1076F1" w14:textId="77777777" w:rsidTr="00923395">
        <w:tc>
          <w:tcPr>
            <w:tcW w:w="0" w:type="auto"/>
            <w:hideMark/>
          </w:tcPr>
          <w:p w14:paraId="5713C2C1"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Tourism</w:t>
            </w:r>
          </w:p>
        </w:tc>
        <w:tc>
          <w:tcPr>
            <w:tcW w:w="0" w:type="auto"/>
            <w:hideMark/>
          </w:tcPr>
          <w:p w14:paraId="2C235B88"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Moderate (seasonal)</w:t>
            </w:r>
          </w:p>
        </w:tc>
        <w:tc>
          <w:tcPr>
            <w:tcW w:w="0" w:type="auto"/>
            <w:hideMark/>
          </w:tcPr>
          <w:p w14:paraId="637B2CB9"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Consumption and services</w:t>
            </w:r>
          </w:p>
        </w:tc>
        <w:tc>
          <w:tcPr>
            <w:tcW w:w="0" w:type="auto"/>
            <w:hideMark/>
          </w:tcPr>
          <w:p w14:paraId="076F9784"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Highly seasonal</w:t>
            </w:r>
          </w:p>
        </w:tc>
        <w:tc>
          <w:tcPr>
            <w:tcW w:w="0" w:type="auto"/>
            <w:hideMark/>
          </w:tcPr>
          <w:p w14:paraId="5F14626A"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Peak demand; pressure on water supply and sanitation</w:t>
            </w:r>
          </w:p>
        </w:tc>
      </w:tr>
      <w:tr w:rsidR="00F41F7D" w:rsidRPr="00071077" w14:paraId="2C134A21" w14:textId="77777777" w:rsidTr="00923395">
        <w:tc>
          <w:tcPr>
            <w:tcW w:w="0" w:type="auto"/>
            <w:hideMark/>
          </w:tcPr>
          <w:p w14:paraId="0EAFCDC0"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Industry</w:t>
            </w:r>
          </w:p>
        </w:tc>
        <w:tc>
          <w:tcPr>
            <w:tcW w:w="0" w:type="auto"/>
            <w:hideMark/>
          </w:tcPr>
          <w:p w14:paraId="0974FC32"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Low</w:t>
            </w:r>
          </w:p>
        </w:tc>
        <w:tc>
          <w:tcPr>
            <w:tcW w:w="0" w:type="auto"/>
            <w:hideMark/>
          </w:tcPr>
          <w:p w14:paraId="67FBBB8A"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Localised and resource-based activities</w:t>
            </w:r>
          </w:p>
        </w:tc>
        <w:tc>
          <w:tcPr>
            <w:tcW w:w="0" w:type="auto"/>
            <w:hideMark/>
          </w:tcPr>
          <w:p w14:paraId="3F5691DF"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Mostly stable</w:t>
            </w:r>
          </w:p>
        </w:tc>
        <w:tc>
          <w:tcPr>
            <w:tcW w:w="0" w:type="auto"/>
            <w:hideMark/>
          </w:tcPr>
          <w:p w14:paraId="7726F1B3" w14:textId="77777777" w:rsidR="00F41F7D" w:rsidRPr="00071077"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Localised impacts; indirect hydrological effects</w:t>
            </w:r>
          </w:p>
        </w:tc>
      </w:tr>
    </w:tbl>
    <w:p w14:paraId="7B0F8F41" w14:textId="68208E3F" w:rsidR="00F41F7D" w:rsidRPr="00F12C8D" w:rsidRDefault="00F41F7D" w:rsidP="00F41F7D">
      <w:pPr>
        <w:pStyle w:val="Heading2"/>
        <w:rPr>
          <w:rFonts w:eastAsia="Calibri"/>
          <w:lang w:val="en-GB"/>
        </w:rPr>
      </w:pPr>
      <w:bookmarkStart w:id="72" w:name="_Toc229036204"/>
      <w:r w:rsidRPr="00F12C8D">
        <w:rPr>
          <w:rFonts w:eastAsia="Calibri"/>
          <w:lang w:val="en-GB"/>
        </w:rPr>
        <w:lastRenderedPageBreak/>
        <w:t>3.8 Future demand projections</w:t>
      </w:r>
      <w:bookmarkEnd w:id="72"/>
    </w:p>
    <w:p w14:paraId="1EF7A474" w14:textId="53B60CCB" w:rsidR="00F41F7D" w:rsidRPr="00F12C8D" w:rsidRDefault="00F41F7D" w:rsidP="0039215F">
      <w:pPr>
        <w:jc w:val="both"/>
      </w:pPr>
      <w:r w:rsidRPr="00F12C8D">
        <w:t>Future water demand in Neretva TBA is shaped by the interaction of demographic trends, economic activities, climate variability and structural characteristics of the karst system. Given the absence of consistent sector-specific quantitative projections at the TBA level, future demand is assessed through qualitative and scenario-based analysis, building on observed trends and documented pressures.</w:t>
      </w:r>
    </w:p>
    <w:p w14:paraId="1D6CC917" w14:textId="77777777" w:rsidR="00F41F7D" w:rsidRPr="00F12C8D" w:rsidRDefault="00F41F7D" w:rsidP="00F41F7D">
      <w:pPr>
        <w:pStyle w:val="Heading3"/>
        <w:rPr>
          <w:rFonts w:eastAsia="Calibri"/>
          <w:lang w:val="en-GB"/>
        </w:rPr>
      </w:pPr>
      <w:bookmarkStart w:id="73" w:name="_Toc229036205"/>
      <w:r w:rsidRPr="00F12C8D">
        <w:rPr>
          <w:rFonts w:eastAsia="Calibri"/>
          <w:lang w:val="en-GB"/>
        </w:rPr>
        <w:t>3.8.1 Demographic trends and implications</w:t>
      </w:r>
      <w:bookmarkEnd w:id="73"/>
    </w:p>
    <w:p w14:paraId="716B2DC0" w14:textId="77777777" w:rsidR="00F41F7D" w:rsidRPr="0039215F" w:rsidRDefault="00F41F7D" w:rsidP="00F12C8D">
      <w:pPr>
        <w:pStyle w:val="NoSpacing"/>
        <w:spacing w:after="160" w:line="259" w:lineRule="auto"/>
        <w:jc w:val="both"/>
        <w:rPr>
          <w:sz w:val="22"/>
          <w:szCs w:val="22"/>
          <w:lang w:val="en-GB"/>
        </w:rPr>
      </w:pPr>
      <w:r w:rsidRPr="0039215F">
        <w:rPr>
          <w:sz w:val="22"/>
          <w:szCs w:val="22"/>
          <w:lang w:val="en-GB"/>
        </w:rPr>
        <w:t>Demographic projections indicate a continued decline and ageing of the population, particularly in the Croatian part of the TBA. These trends are expected to reduce baseline domestic water demand in the long term. However, the reduction in population does not necessarily translate into reduced pressure on water systems.</w:t>
      </w:r>
    </w:p>
    <w:p w14:paraId="37C71A02" w14:textId="77777777" w:rsidR="00F41F7D" w:rsidRPr="006C69F5" w:rsidRDefault="00F41F7D" w:rsidP="00F41F7D">
      <w:pPr>
        <w:spacing w:before="240"/>
        <w:jc w:val="both"/>
        <w:rPr>
          <w:rFonts w:ascii="Calibri" w:eastAsia="Calibri" w:hAnsi="Calibri" w:cs="Times New Roman"/>
        </w:rPr>
      </w:pPr>
      <w:r>
        <w:rPr>
          <w:rFonts w:ascii="Calibri" w:eastAsia="Calibri" w:hAnsi="Calibri" w:cs="Times New Roman"/>
        </w:rPr>
        <w:t>Ageing populations and depopulated rural areas are typically associated with:</w:t>
      </w:r>
    </w:p>
    <w:p w14:paraId="6C3D90EC" w14:textId="35791B26" w:rsidR="00F41F7D" w:rsidRPr="00F41F7D" w:rsidRDefault="00F41F7D" w:rsidP="00F41F7D">
      <w:pPr>
        <w:pStyle w:val="ListParagraph"/>
        <w:numPr>
          <w:ilvl w:val="0"/>
          <w:numId w:val="130"/>
        </w:numPr>
        <w:jc w:val="both"/>
        <w:rPr>
          <w:rFonts w:ascii="Calibri" w:eastAsia="Calibri" w:hAnsi="Calibri" w:cs="Times New Roman"/>
        </w:rPr>
      </w:pPr>
      <w:r w:rsidRPr="00F41F7D">
        <w:rPr>
          <w:rFonts w:ascii="Calibri" w:eastAsia="Calibri" w:hAnsi="Calibri" w:cs="Times New Roman"/>
        </w:rPr>
        <w:t>increased reliance on decentralised water supply systems</w:t>
      </w:r>
      <w:r>
        <w:rPr>
          <w:rFonts w:ascii="Calibri" w:eastAsia="Calibri" w:hAnsi="Calibri" w:cs="Times New Roman"/>
        </w:rPr>
        <w:t>;</w:t>
      </w:r>
      <w:r w:rsidRPr="00F41F7D">
        <w:rPr>
          <w:rFonts w:ascii="Calibri" w:eastAsia="Calibri" w:hAnsi="Calibri" w:cs="Times New Roman"/>
        </w:rPr>
        <w:t xml:space="preserve"> </w:t>
      </w:r>
    </w:p>
    <w:p w14:paraId="10ED918B" w14:textId="3CCB2F21" w:rsidR="00F41F7D" w:rsidRPr="00F41F7D" w:rsidRDefault="00F41F7D" w:rsidP="00F41F7D">
      <w:pPr>
        <w:pStyle w:val="ListParagraph"/>
        <w:numPr>
          <w:ilvl w:val="0"/>
          <w:numId w:val="130"/>
        </w:numPr>
        <w:jc w:val="both"/>
        <w:rPr>
          <w:rFonts w:ascii="Calibri" w:eastAsia="Calibri" w:hAnsi="Calibri" w:cs="Times New Roman"/>
        </w:rPr>
      </w:pPr>
      <w:r w:rsidRPr="00F41F7D">
        <w:rPr>
          <w:rFonts w:ascii="Calibri" w:eastAsia="Calibri" w:hAnsi="Calibri" w:cs="Times New Roman"/>
        </w:rPr>
        <w:t>reduced capacity for infrastructure maintenance</w:t>
      </w:r>
      <w:r>
        <w:rPr>
          <w:rFonts w:ascii="Calibri" w:eastAsia="Calibri" w:hAnsi="Calibri" w:cs="Times New Roman"/>
        </w:rPr>
        <w:t>;</w:t>
      </w:r>
    </w:p>
    <w:p w14:paraId="04F532E1" w14:textId="62C11689" w:rsidR="00F41F7D" w:rsidRPr="00F41F7D" w:rsidRDefault="00F41F7D" w:rsidP="00F41F7D">
      <w:pPr>
        <w:pStyle w:val="ListParagraph"/>
        <w:numPr>
          <w:ilvl w:val="0"/>
          <w:numId w:val="130"/>
        </w:numPr>
        <w:jc w:val="both"/>
        <w:rPr>
          <w:rFonts w:ascii="Calibri" w:eastAsia="Calibri" w:hAnsi="Calibri" w:cs="Times New Roman"/>
        </w:rPr>
      </w:pPr>
      <w:r w:rsidRPr="00F41F7D">
        <w:rPr>
          <w:rFonts w:ascii="Calibri" w:eastAsia="Calibri" w:hAnsi="Calibri" w:cs="Times New Roman"/>
        </w:rPr>
        <w:t>continued use of individual abstraction and on-site sanitation</w:t>
      </w:r>
      <w:r>
        <w:rPr>
          <w:rFonts w:ascii="Calibri" w:eastAsia="Calibri" w:hAnsi="Calibri" w:cs="Times New Roman"/>
        </w:rPr>
        <w:t>,</w:t>
      </w:r>
    </w:p>
    <w:p w14:paraId="4DAD89C0" w14:textId="77777777" w:rsidR="00F41F7D" w:rsidRDefault="00F41F7D" w:rsidP="00F41F7D">
      <w:pPr>
        <w:spacing w:before="240"/>
        <w:jc w:val="both"/>
        <w:rPr>
          <w:rFonts w:ascii="Calibri" w:eastAsia="Calibri" w:hAnsi="Calibri" w:cs="Times New Roman"/>
        </w:rPr>
      </w:pPr>
      <w:r>
        <w:rPr>
          <w:rFonts w:ascii="Calibri" w:eastAsia="Calibri" w:hAnsi="Calibri" w:cs="Times New Roman"/>
        </w:rPr>
        <w:t>In the Bosnia and Herzegovina part of the TBA, demographic trends are more stable but still characterised by gradual ageing and especially migration. As a result, domestic water demand is expected to remain relatively stable, with local variations.</w:t>
      </w:r>
    </w:p>
    <w:p w14:paraId="793C06C8" w14:textId="77777777" w:rsidR="00F41F7D" w:rsidRPr="00F12C8D" w:rsidRDefault="00F41F7D" w:rsidP="00F41F7D">
      <w:pPr>
        <w:pStyle w:val="Heading3"/>
        <w:rPr>
          <w:rFonts w:eastAsia="Calibri"/>
          <w:lang w:val="en-GB"/>
        </w:rPr>
      </w:pPr>
      <w:bookmarkStart w:id="74" w:name="_Toc229036206"/>
      <w:r w:rsidRPr="00F12C8D">
        <w:rPr>
          <w:rFonts w:eastAsia="Calibri"/>
          <w:lang w:val="en-GB"/>
        </w:rPr>
        <w:t>3.8.2 Agricultural demand</w:t>
      </w:r>
      <w:bookmarkEnd w:id="74"/>
    </w:p>
    <w:p w14:paraId="0EDD2EA8" w14:textId="77777777" w:rsidR="00F41F7D" w:rsidRPr="0039215F" w:rsidRDefault="00F41F7D" w:rsidP="00F12C8D">
      <w:pPr>
        <w:pStyle w:val="NoSpacing"/>
        <w:spacing w:after="160" w:line="259" w:lineRule="auto"/>
        <w:rPr>
          <w:sz w:val="22"/>
          <w:szCs w:val="22"/>
          <w:lang w:val="en-GB"/>
        </w:rPr>
      </w:pPr>
      <w:r w:rsidRPr="0039215F">
        <w:rPr>
          <w:sz w:val="22"/>
          <w:szCs w:val="22"/>
          <w:lang w:val="en-GB"/>
        </w:rPr>
        <w:t>Agriculture is expected to remain the dominant driver of water demand in the TBA Neretva. Future demand will be influenced by:</w:t>
      </w:r>
    </w:p>
    <w:p w14:paraId="56538A38" w14:textId="51B26F47" w:rsidR="00F41F7D" w:rsidRPr="00F41F7D" w:rsidRDefault="00F41F7D" w:rsidP="00F41F7D">
      <w:pPr>
        <w:pStyle w:val="ListParagraph"/>
        <w:numPr>
          <w:ilvl w:val="0"/>
          <w:numId w:val="131"/>
        </w:numPr>
        <w:jc w:val="both"/>
        <w:rPr>
          <w:rFonts w:ascii="Calibri" w:eastAsia="Calibri" w:hAnsi="Calibri" w:cs="Times New Roman"/>
        </w:rPr>
      </w:pPr>
      <w:r w:rsidRPr="00F41F7D">
        <w:rPr>
          <w:rFonts w:ascii="Calibri" w:eastAsia="Calibri" w:hAnsi="Calibri" w:cs="Times New Roman"/>
        </w:rPr>
        <w:t>climatic conditions and irrigation needs</w:t>
      </w:r>
      <w:r>
        <w:rPr>
          <w:rFonts w:ascii="Calibri" w:eastAsia="Calibri" w:hAnsi="Calibri" w:cs="Times New Roman"/>
        </w:rPr>
        <w:t>;</w:t>
      </w:r>
    </w:p>
    <w:p w14:paraId="5DEA601B" w14:textId="23333269" w:rsidR="00F41F7D" w:rsidRPr="00F41F7D" w:rsidRDefault="00F41F7D" w:rsidP="00F41F7D">
      <w:pPr>
        <w:pStyle w:val="ListParagraph"/>
        <w:numPr>
          <w:ilvl w:val="0"/>
          <w:numId w:val="131"/>
        </w:numPr>
        <w:jc w:val="both"/>
        <w:rPr>
          <w:rFonts w:ascii="Calibri" w:eastAsia="Calibri" w:hAnsi="Calibri" w:cs="Times New Roman"/>
        </w:rPr>
      </w:pPr>
      <w:r w:rsidRPr="00F41F7D">
        <w:rPr>
          <w:rFonts w:ascii="Calibri" w:eastAsia="Calibri" w:hAnsi="Calibri" w:cs="Times New Roman"/>
        </w:rPr>
        <w:t>changes in crop patterns</w:t>
      </w:r>
      <w:r>
        <w:rPr>
          <w:rFonts w:ascii="Calibri" w:eastAsia="Calibri" w:hAnsi="Calibri" w:cs="Times New Roman"/>
        </w:rPr>
        <w:t>;</w:t>
      </w:r>
    </w:p>
    <w:p w14:paraId="0375DCE1" w14:textId="6D9E716F" w:rsidR="00F41F7D" w:rsidRPr="00F41F7D" w:rsidRDefault="00F41F7D" w:rsidP="00F41F7D">
      <w:pPr>
        <w:pStyle w:val="ListParagraph"/>
        <w:numPr>
          <w:ilvl w:val="0"/>
          <w:numId w:val="131"/>
        </w:numPr>
        <w:jc w:val="both"/>
        <w:rPr>
          <w:rFonts w:ascii="Calibri" w:eastAsia="Calibri" w:hAnsi="Calibri" w:cs="Times New Roman"/>
        </w:rPr>
      </w:pPr>
      <w:r w:rsidRPr="00F41F7D">
        <w:rPr>
          <w:rFonts w:ascii="Calibri" w:eastAsia="Calibri" w:hAnsi="Calibri" w:cs="Times New Roman"/>
        </w:rPr>
        <w:t>adaptation strategies to water scarcity</w:t>
      </w:r>
      <w:r>
        <w:rPr>
          <w:rFonts w:ascii="Calibri" w:eastAsia="Calibri" w:hAnsi="Calibri" w:cs="Times New Roman"/>
        </w:rPr>
        <w:t>.</w:t>
      </w:r>
    </w:p>
    <w:p w14:paraId="5BA75AE2" w14:textId="77777777" w:rsidR="00F41F7D" w:rsidRPr="006C69F5" w:rsidRDefault="00F41F7D" w:rsidP="00F41F7D">
      <w:pPr>
        <w:spacing w:before="240"/>
        <w:jc w:val="both"/>
        <w:rPr>
          <w:rFonts w:ascii="Calibri" w:eastAsia="Calibri" w:hAnsi="Calibri" w:cs="Times New Roman"/>
        </w:rPr>
      </w:pPr>
      <w:r>
        <w:rPr>
          <w:rFonts w:ascii="Calibri" w:eastAsia="Calibri" w:hAnsi="Calibri" w:cs="Times New Roman"/>
        </w:rPr>
        <w:t>Climate change projections indicate increasing frequency and intensity of drought periods, particularly during summer months. This is expected to increase irrigation demand and intensify pressure on groundwater resources.</w:t>
      </w:r>
    </w:p>
    <w:p w14:paraId="3E568451" w14:textId="1BA8F9FE" w:rsidR="00F41F7D" w:rsidRPr="006C69F5" w:rsidRDefault="00F41F7D" w:rsidP="00F41F7D">
      <w:pPr>
        <w:spacing w:before="240"/>
        <w:jc w:val="both"/>
        <w:rPr>
          <w:rFonts w:ascii="Calibri" w:eastAsia="Calibri" w:hAnsi="Calibri" w:cs="Times New Roman"/>
        </w:rPr>
      </w:pPr>
      <w:r>
        <w:rPr>
          <w:rFonts w:ascii="Calibri" w:eastAsia="Calibri" w:hAnsi="Calibri" w:cs="Times New Roman"/>
        </w:rPr>
        <w:t xml:space="preserve">In the Neretva </w:t>
      </w:r>
      <w:r w:rsidR="003108B4">
        <w:rPr>
          <w:rFonts w:ascii="Calibri" w:eastAsia="Calibri" w:hAnsi="Calibri" w:cs="Times New Roman"/>
        </w:rPr>
        <w:t>Delta</w:t>
      </w:r>
      <w:r>
        <w:rPr>
          <w:rFonts w:ascii="Calibri" w:eastAsia="Calibri" w:hAnsi="Calibri" w:cs="Times New Roman"/>
        </w:rPr>
        <w:t>, salinisation processes may further shape agricultural water demand. Increased salinity may lead to:</w:t>
      </w:r>
    </w:p>
    <w:p w14:paraId="181EE6B4" w14:textId="0E0AA548" w:rsidR="00F41F7D" w:rsidRPr="00F41F7D" w:rsidRDefault="00F41F7D" w:rsidP="00F41F7D">
      <w:pPr>
        <w:pStyle w:val="ListParagraph"/>
        <w:numPr>
          <w:ilvl w:val="0"/>
          <w:numId w:val="132"/>
        </w:numPr>
        <w:jc w:val="both"/>
        <w:rPr>
          <w:rFonts w:ascii="Calibri" w:eastAsia="Calibri" w:hAnsi="Calibri" w:cs="Times New Roman"/>
        </w:rPr>
      </w:pPr>
      <w:r w:rsidRPr="00F41F7D">
        <w:rPr>
          <w:rFonts w:ascii="Calibri" w:eastAsia="Calibri" w:hAnsi="Calibri" w:cs="Times New Roman"/>
        </w:rPr>
        <w:t>changes in crop selection</w:t>
      </w:r>
      <w:r>
        <w:rPr>
          <w:rFonts w:ascii="Calibri" w:eastAsia="Calibri" w:hAnsi="Calibri" w:cs="Times New Roman"/>
        </w:rPr>
        <w:t>;</w:t>
      </w:r>
    </w:p>
    <w:p w14:paraId="7485419B" w14:textId="49737C58" w:rsidR="00F41F7D" w:rsidRPr="00F41F7D" w:rsidRDefault="00F41F7D" w:rsidP="00F41F7D">
      <w:pPr>
        <w:pStyle w:val="ListParagraph"/>
        <w:numPr>
          <w:ilvl w:val="0"/>
          <w:numId w:val="132"/>
        </w:numPr>
        <w:jc w:val="both"/>
        <w:rPr>
          <w:rFonts w:ascii="Calibri" w:eastAsia="Calibri" w:hAnsi="Calibri" w:cs="Times New Roman"/>
        </w:rPr>
      </w:pPr>
      <w:r w:rsidRPr="00F41F7D">
        <w:rPr>
          <w:rFonts w:ascii="Calibri" w:eastAsia="Calibri" w:hAnsi="Calibri" w:cs="Times New Roman"/>
        </w:rPr>
        <w:t>higher water requirements for soil flushing</w:t>
      </w:r>
      <w:r>
        <w:rPr>
          <w:rFonts w:ascii="Calibri" w:eastAsia="Calibri" w:hAnsi="Calibri" w:cs="Times New Roman"/>
        </w:rPr>
        <w:t>;</w:t>
      </w:r>
      <w:r w:rsidRPr="00F41F7D">
        <w:rPr>
          <w:rFonts w:ascii="Calibri" w:eastAsia="Calibri" w:hAnsi="Calibri" w:cs="Times New Roman"/>
        </w:rPr>
        <w:t xml:space="preserve"> </w:t>
      </w:r>
    </w:p>
    <w:p w14:paraId="3732DCAF" w14:textId="6E7616DB" w:rsidR="00F41F7D" w:rsidRPr="00F41F7D" w:rsidRDefault="00F41F7D" w:rsidP="00F41F7D">
      <w:pPr>
        <w:pStyle w:val="ListParagraph"/>
        <w:numPr>
          <w:ilvl w:val="0"/>
          <w:numId w:val="132"/>
        </w:numPr>
        <w:jc w:val="both"/>
        <w:rPr>
          <w:rFonts w:ascii="Calibri" w:eastAsia="Calibri" w:hAnsi="Calibri" w:cs="Times New Roman"/>
        </w:rPr>
      </w:pPr>
      <w:r w:rsidRPr="00F41F7D">
        <w:rPr>
          <w:rFonts w:ascii="Calibri" w:eastAsia="Calibri" w:hAnsi="Calibri" w:cs="Times New Roman"/>
        </w:rPr>
        <w:t>potential decline in productivity in sensitive areas</w:t>
      </w:r>
      <w:r>
        <w:rPr>
          <w:rFonts w:ascii="Calibri" w:eastAsia="Calibri" w:hAnsi="Calibri" w:cs="Times New Roman"/>
        </w:rPr>
        <w:t>.</w:t>
      </w:r>
      <w:r w:rsidRPr="00F41F7D">
        <w:rPr>
          <w:rFonts w:ascii="Calibri" w:eastAsia="Calibri" w:hAnsi="Calibri" w:cs="Times New Roman"/>
        </w:rPr>
        <w:t xml:space="preserve"> </w:t>
      </w:r>
    </w:p>
    <w:p w14:paraId="37AE2CDC" w14:textId="1850A119" w:rsidR="00F41F7D" w:rsidRPr="00F12C8D" w:rsidRDefault="00F41F7D" w:rsidP="00F41F7D">
      <w:pPr>
        <w:spacing w:before="240"/>
        <w:jc w:val="both"/>
        <w:rPr>
          <w:rFonts w:ascii="Calibri" w:eastAsia="Calibri" w:hAnsi="Calibri" w:cs="Times New Roman"/>
        </w:rPr>
      </w:pPr>
      <w:r>
        <w:rPr>
          <w:rFonts w:ascii="Calibri" w:eastAsia="Calibri" w:hAnsi="Calibri" w:cs="Times New Roman"/>
        </w:rPr>
        <w:t>As a result, agricultural water demand is expected to become more variable and potentially increase in peak periods.</w:t>
      </w:r>
    </w:p>
    <w:p w14:paraId="5D5503E7" w14:textId="77777777" w:rsidR="00F41F7D" w:rsidRPr="00F41F7D" w:rsidRDefault="00F41F7D" w:rsidP="00F41F7D">
      <w:pPr>
        <w:pStyle w:val="Heading3"/>
        <w:spacing w:after="160"/>
        <w:rPr>
          <w:rFonts w:eastAsia="Calibri"/>
          <w:lang w:val="en-GB"/>
        </w:rPr>
      </w:pPr>
      <w:bookmarkStart w:id="75" w:name="_Toc229036207"/>
      <w:r w:rsidRPr="00F41F7D">
        <w:rPr>
          <w:rFonts w:eastAsia="Calibri"/>
          <w:lang w:val="en-GB"/>
        </w:rPr>
        <w:lastRenderedPageBreak/>
        <w:t>3.8.3 Drinking water demand</w:t>
      </w:r>
      <w:bookmarkEnd w:id="75"/>
    </w:p>
    <w:p w14:paraId="4B146726" w14:textId="4A092ECB" w:rsidR="00F41F7D" w:rsidRPr="00F41F7D" w:rsidRDefault="00F41F7D" w:rsidP="00F41F7D">
      <w:pPr>
        <w:jc w:val="both"/>
        <w:rPr>
          <w:rFonts w:cstheme="majorBidi"/>
          <w14:ligatures w14:val="standardContextual"/>
        </w:rPr>
      </w:pPr>
      <w:r>
        <w:t>Future demand for drinking water is expected to remain relatively stable at the aggregate level, with opposing trends shaping overall patterns. On one hand, depopulation may reduce long-term demand. On the other hand, seasonal population fluctuations, particularly during summer months, are expected to persist or intensify, leading to continued peak demand pressures.</w:t>
      </w:r>
    </w:p>
    <w:p w14:paraId="68C6021B" w14:textId="77777777" w:rsidR="00F41F7D" w:rsidRPr="006C69F5" w:rsidRDefault="00F41F7D" w:rsidP="00F41F7D">
      <w:pPr>
        <w:spacing w:before="240"/>
        <w:jc w:val="both"/>
        <w:rPr>
          <w:rFonts w:ascii="Calibri" w:eastAsia="Calibri" w:hAnsi="Calibri" w:cs="Times New Roman"/>
        </w:rPr>
      </w:pPr>
      <w:r>
        <w:rPr>
          <w:rFonts w:ascii="Calibri" w:eastAsia="Calibri" w:hAnsi="Calibri" w:cs="Times New Roman"/>
        </w:rPr>
        <w:t>Additional factors influencing future demand include:</w:t>
      </w:r>
    </w:p>
    <w:p w14:paraId="0F4BB5D4" w14:textId="7EEC2F9B" w:rsidR="00F41F7D" w:rsidRPr="00F41F7D" w:rsidRDefault="00F41F7D" w:rsidP="00F41F7D">
      <w:pPr>
        <w:pStyle w:val="ListParagraph"/>
        <w:numPr>
          <w:ilvl w:val="0"/>
          <w:numId w:val="133"/>
        </w:numPr>
        <w:jc w:val="both"/>
        <w:rPr>
          <w:rFonts w:ascii="Calibri" w:eastAsia="Calibri" w:hAnsi="Calibri" w:cs="Times New Roman"/>
        </w:rPr>
      </w:pPr>
      <w:r w:rsidRPr="00F41F7D">
        <w:rPr>
          <w:rFonts w:ascii="Calibri" w:eastAsia="Calibri" w:hAnsi="Calibri" w:cs="Times New Roman"/>
        </w:rPr>
        <w:t>improvements in living standards</w:t>
      </w:r>
      <w:r>
        <w:rPr>
          <w:rFonts w:ascii="Calibri" w:eastAsia="Calibri" w:hAnsi="Calibri" w:cs="Times New Roman"/>
        </w:rPr>
        <w:t>;</w:t>
      </w:r>
    </w:p>
    <w:p w14:paraId="668B4EB2" w14:textId="45EB4F76" w:rsidR="00F41F7D" w:rsidRPr="00F41F7D" w:rsidRDefault="00F41F7D" w:rsidP="00F41F7D">
      <w:pPr>
        <w:pStyle w:val="ListParagraph"/>
        <w:numPr>
          <w:ilvl w:val="0"/>
          <w:numId w:val="133"/>
        </w:numPr>
        <w:jc w:val="both"/>
        <w:rPr>
          <w:rFonts w:ascii="Calibri" w:eastAsia="Calibri" w:hAnsi="Calibri" w:cs="Times New Roman"/>
        </w:rPr>
      </w:pPr>
      <w:r w:rsidRPr="00F41F7D">
        <w:rPr>
          <w:rFonts w:ascii="Calibri" w:eastAsia="Calibri" w:hAnsi="Calibri" w:cs="Times New Roman"/>
        </w:rPr>
        <w:t>potential expansion of water supply infrastructure</w:t>
      </w:r>
      <w:r>
        <w:rPr>
          <w:rFonts w:ascii="Calibri" w:eastAsia="Calibri" w:hAnsi="Calibri" w:cs="Times New Roman"/>
        </w:rPr>
        <w:t>;</w:t>
      </w:r>
      <w:r w:rsidRPr="00F41F7D">
        <w:rPr>
          <w:rFonts w:ascii="Calibri" w:eastAsia="Calibri" w:hAnsi="Calibri" w:cs="Times New Roman"/>
        </w:rPr>
        <w:t xml:space="preserve"> </w:t>
      </w:r>
    </w:p>
    <w:p w14:paraId="0956E3DA" w14:textId="6F5428F9" w:rsidR="00F41F7D" w:rsidRPr="00F41F7D" w:rsidRDefault="00F41F7D" w:rsidP="00F41F7D">
      <w:pPr>
        <w:pStyle w:val="ListParagraph"/>
        <w:numPr>
          <w:ilvl w:val="0"/>
          <w:numId w:val="133"/>
        </w:numPr>
        <w:jc w:val="both"/>
        <w:rPr>
          <w:rFonts w:ascii="Calibri" w:eastAsia="Calibri" w:hAnsi="Calibri" w:cs="Times New Roman"/>
        </w:rPr>
      </w:pPr>
      <w:r w:rsidRPr="00F41F7D">
        <w:rPr>
          <w:rFonts w:ascii="Calibri" w:eastAsia="Calibri" w:hAnsi="Calibri" w:cs="Times New Roman"/>
        </w:rPr>
        <w:t>changes in consumption patterns</w:t>
      </w:r>
      <w:r>
        <w:rPr>
          <w:rFonts w:ascii="Calibri" w:eastAsia="Calibri" w:hAnsi="Calibri" w:cs="Times New Roman"/>
        </w:rPr>
        <w:t>.</w:t>
      </w:r>
      <w:r w:rsidRPr="00F41F7D">
        <w:rPr>
          <w:rFonts w:ascii="Calibri" w:eastAsia="Calibri" w:hAnsi="Calibri" w:cs="Times New Roman"/>
        </w:rPr>
        <w:t xml:space="preserve"> </w:t>
      </w:r>
    </w:p>
    <w:p w14:paraId="656FC5DC" w14:textId="77777777" w:rsidR="00F41F7D" w:rsidRPr="006C69F5" w:rsidRDefault="00F41F7D" w:rsidP="00F41F7D">
      <w:pPr>
        <w:spacing w:before="240"/>
        <w:jc w:val="both"/>
        <w:rPr>
          <w:rFonts w:ascii="Calibri" w:eastAsia="Calibri" w:hAnsi="Calibri" w:cs="Times New Roman"/>
        </w:rPr>
      </w:pPr>
      <w:r>
        <w:rPr>
          <w:rFonts w:ascii="Calibri" w:eastAsia="Calibri" w:hAnsi="Calibri" w:cs="Times New Roman"/>
        </w:rPr>
        <w:t>The reliance on groundwater as the primary source of drinking water is expected to continue, maintaining a strong dependency of water supply systems on aquifer conditions.</w:t>
      </w:r>
    </w:p>
    <w:p w14:paraId="0C067473" w14:textId="77777777" w:rsidR="00F41F7D" w:rsidRPr="00F12C8D" w:rsidRDefault="00F41F7D" w:rsidP="00F41F7D">
      <w:pPr>
        <w:pStyle w:val="Heading3"/>
        <w:rPr>
          <w:rFonts w:eastAsia="Calibri"/>
          <w:lang w:val="en-GB"/>
        </w:rPr>
      </w:pPr>
      <w:bookmarkStart w:id="76" w:name="_Toc229036208"/>
      <w:r w:rsidRPr="00F12C8D">
        <w:rPr>
          <w:rFonts w:eastAsia="Calibri"/>
          <w:lang w:val="en-GB"/>
        </w:rPr>
        <w:t>3.8.4 Tourism and seasonal demand</w:t>
      </w:r>
      <w:bookmarkEnd w:id="76"/>
    </w:p>
    <w:p w14:paraId="6EAE05FD" w14:textId="7C1169D8" w:rsidR="00F41F7D" w:rsidRPr="006C69F5" w:rsidRDefault="00F41F7D" w:rsidP="00F41F7D">
      <w:pPr>
        <w:spacing w:before="240"/>
        <w:jc w:val="both"/>
        <w:rPr>
          <w:rFonts w:ascii="Calibri" w:eastAsia="Calibri" w:hAnsi="Calibri" w:cs="Times New Roman"/>
        </w:rPr>
      </w:pPr>
      <w:r>
        <w:rPr>
          <w:rFonts w:ascii="Calibri" w:eastAsia="Calibri" w:hAnsi="Calibri" w:cs="Times New Roman"/>
        </w:rPr>
        <w:t>Tourism is expected to remain a significant driver of seasonal water demand. Although Neretva TBA is not a mass tourism destination, its attractiveness as a natural and recreational area suggests continued or moderately increasing visitor numbers.</w:t>
      </w:r>
    </w:p>
    <w:p w14:paraId="2528AD2E" w14:textId="77777777" w:rsidR="00F41F7D" w:rsidRPr="006C69F5" w:rsidRDefault="00F41F7D" w:rsidP="00F41F7D">
      <w:pPr>
        <w:spacing w:before="240"/>
        <w:jc w:val="both"/>
        <w:rPr>
          <w:rFonts w:ascii="Calibri" w:eastAsia="Calibri" w:hAnsi="Calibri" w:cs="Times New Roman"/>
        </w:rPr>
      </w:pPr>
      <w:r>
        <w:rPr>
          <w:rFonts w:ascii="Calibri" w:eastAsia="Calibri" w:hAnsi="Calibri" w:cs="Times New Roman"/>
        </w:rPr>
        <w:t>Future demand patterns will likely be characterised by:</w:t>
      </w:r>
    </w:p>
    <w:p w14:paraId="24887157" w14:textId="23D55DD7" w:rsidR="00F41F7D" w:rsidRPr="00F41F7D" w:rsidRDefault="00F41F7D" w:rsidP="00F41F7D">
      <w:pPr>
        <w:pStyle w:val="ListParagraph"/>
        <w:numPr>
          <w:ilvl w:val="0"/>
          <w:numId w:val="134"/>
        </w:numPr>
        <w:jc w:val="both"/>
        <w:rPr>
          <w:rFonts w:ascii="Calibri" w:eastAsia="Calibri" w:hAnsi="Calibri" w:cs="Times New Roman"/>
        </w:rPr>
      </w:pPr>
      <w:r w:rsidRPr="00F41F7D">
        <w:rPr>
          <w:rFonts w:ascii="Calibri" w:eastAsia="Calibri" w:hAnsi="Calibri" w:cs="Times New Roman"/>
        </w:rPr>
        <w:t>short-term peaks in water consumption</w:t>
      </w:r>
      <w:r>
        <w:rPr>
          <w:rFonts w:ascii="Calibri" w:eastAsia="Calibri" w:hAnsi="Calibri" w:cs="Times New Roman"/>
        </w:rPr>
        <w:t>;</w:t>
      </w:r>
    </w:p>
    <w:p w14:paraId="2170CFDA" w14:textId="3351499A" w:rsidR="00F41F7D" w:rsidRPr="00F41F7D" w:rsidRDefault="00F41F7D" w:rsidP="00F41F7D">
      <w:pPr>
        <w:pStyle w:val="ListParagraph"/>
        <w:numPr>
          <w:ilvl w:val="0"/>
          <w:numId w:val="134"/>
        </w:numPr>
        <w:jc w:val="both"/>
        <w:rPr>
          <w:rFonts w:ascii="Calibri" w:eastAsia="Calibri" w:hAnsi="Calibri" w:cs="Times New Roman"/>
        </w:rPr>
      </w:pPr>
      <w:r w:rsidRPr="00F41F7D">
        <w:rPr>
          <w:rFonts w:ascii="Calibri" w:eastAsia="Calibri" w:hAnsi="Calibri" w:cs="Times New Roman"/>
        </w:rPr>
        <w:t>increased pressure on small-scale infrastructure systems</w:t>
      </w:r>
      <w:r>
        <w:rPr>
          <w:rFonts w:ascii="Calibri" w:eastAsia="Calibri" w:hAnsi="Calibri" w:cs="Times New Roman"/>
        </w:rPr>
        <w:t>;</w:t>
      </w:r>
    </w:p>
    <w:p w14:paraId="7FE2AF57" w14:textId="508155A3" w:rsidR="00F41F7D" w:rsidRPr="00F41F7D" w:rsidRDefault="00F41F7D" w:rsidP="00F41F7D">
      <w:pPr>
        <w:pStyle w:val="ListParagraph"/>
        <w:numPr>
          <w:ilvl w:val="0"/>
          <w:numId w:val="134"/>
        </w:numPr>
        <w:jc w:val="both"/>
        <w:rPr>
          <w:rFonts w:ascii="Calibri" w:eastAsia="Calibri" w:hAnsi="Calibri" w:cs="Times New Roman"/>
        </w:rPr>
      </w:pPr>
      <w:r w:rsidRPr="00F41F7D">
        <w:rPr>
          <w:rFonts w:ascii="Calibri" w:eastAsia="Calibri" w:hAnsi="Calibri" w:cs="Times New Roman"/>
        </w:rPr>
        <w:t>higher wastewater generation during peak periods</w:t>
      </w:r>
      <w:r>
        <w:rPr>
          <w:rFonts w:ascii="Calibri" w:eastAsia="Calibri" w:hAnsi="Calibri" w:cs="Times New Roman"/>
        </w:rPr>
        <w:t>.</w:t>
      </w:r>
      <w:r w:rsidRPr="00F41F7D">
        <w:rPr>
          <w:rFonts w:ascii="Calibri" w:eastAsia="Calibri" w:hAnsi="Calibri" w:cs="Times New Roman"/>
        </w:rPr>
        <w:t xml:space="preserve"> </w:t>
      </w:r>
    </w:p>
    <w:p w14:paraId="366D91F2" w14:textId="77777777" w:rsidR="00F41F7D" w:rsidRPr="006C69F5" w:rsidRDefault="00F41F7D" w:rsidP="00F41F7D">
      <w:pPr>
        <w:spacing w:before="240"/>
        <w:jc w:val="both"/>
        <w:rPr>
          <w:rFonts w:ascii="Calibri" w:eastAsia="Calibri" w:hAnsi="Calibri" w:cs="Times New Roman"/>
        </w:rPr>
      </w:pPr>
      <w:r>
        <w:rPr>
          <w:rFonts w:ascii="Calibri" w:eastAsia="Calibri" w:hAnsi="Calibri" w:cs="Times New Roman"/>
        </w:rPr>
        <w:t>These dynamics are particularly relevant in areas with limited infrastructure capacity, where seasonal demand may exceed system limits.</w:t>
      </w:r>
    </w:p>
    <w:p w14:paraId="2484B5C6" w14:textId="77777777" w:rsidR="00F41F7D" w:rsidRPr="00F12C8D" w:rsidRDefault="00F41F7D" w:rsidP="00F41F7D">
      <w:pPr>
        <w:pStyle w:val="Heading3"/>
        <w:rPr>
          <w:rFonts w:eastAsia="Calibri"/>
          <w:lang w:val="en-GB"/>
        </w:rPr>
      </w:pPr>
      <w:bookmarkStart w:id="77" w:name="_Toc229036209"/>
      <w:r w:rsidRPr="00F12C8D">
        <w:rPr>
          <w:rFonts w:eastAsia="Calibri"/>
          <w:lang w:val="en-GB"/>
        </w:rPr>
        <w:t>3.8.5 Climate variability and system pressures</w:t>
      </w:r>
      <w:bookmarkEnd w:id="77"/>
    </w:p>
    <w:p w14:paraId="123E4400" w14:textId="77777777" w:rsidR="00F41F7D" w:rsidRPr="006C69F5" w:rsidRDefault="00F41F7D" w:rsidP="00F41F7D">
      <w:pPr>
        <w:spacing w:before="240"/>
        <w:jc w:val="both"/>
        <w:rPr>
          <w:rFonts w:ascii="Calibri" w:eastAsia="Calibri" w:hAnsi="Calibri" w:cs="Times New Roman"/>
        </w:rPr>
      </w:pPr>
      <w:r>
        <w:rPr>
          <w:rFonts w:ascii="Calibri" w:eastAsia="Calibri" w:hAnsi="Calibri" w:cs="Times New Roman"/>
        </w:rPr>
        <w:t>Climate change represents a key factor influencing future water demand and availability. Projected changes include:</w:t>
      </w:r>
    </w:p>
    <w:p w14:paraId="79C36A05" w14:textId="637E6ECE" w:rsidR="00F41F7D" w:rsidRPr="00F41F7D" w:rsidRDefault="00F41F7D" w:rsidP="00F41F7D">
      <w:pPr>
        <w:pStyle w:val="ListParagraph"/>
        <w:numPr>
          <w:ilvl w:val="0"/>
          <w:numId w:val="135"/>
        </w:numPr>
        <w:jc w:val="both"/>
        <w:rPr>
          <w:rFonts w:ascii="Calibri" w:eastAsia="Calibri" w:hAnsi="Calibri" w:cs="Times New Roman"/>
        </w:rPr>
      </w:pPr>
      <w:r w:rsidRPr="00F41F7D">
        <w:rPr>
          <w:rFonts w:ascii="Calibri" w:eastAsia="Calibri" w:hAnsi="Calibri" w:cs="Times New Roman"/>
        </w:rPr>
        <w:t>reduced precipitation during summer months</w:t>
      </w:r>
      <w:r>
        <w:rPr>
          <w:rFonts w:ascii="Calibri" w:eastAsia="Calibri" w:hAnsi="Calibri" w:cs="Times New Roman"/>
        </w:rPr>
        <w:t>;</w:t>
      </w:r>
    </w:p>
    <w:p w14:paraId="58C74098" w14:textId="367981BC" w:rsidR="00F41F7D" w:rsidRPr="00F41F7D" w:rsidRDefault="00F41F7D" w:rsidP="00F41F7D">
      <w:pPr>
        <w:pStyle w:val="ListParagraph"/>
        <w:numPr>
          <w:ilvl w:val="0"/>
          <w:numId w:val="135"/>
        </w:numPr>
        <w:jc w:val="both"/>
        <w:rPr>
          <w:rFonts w:ascii="Calibri" w:eastAsia="Calibri" w:hAnsi="Calibri" w:cs="Times New Roman"/>
        </w:rPr>
      </w:pPr>
      <w:r w:rsidRPr="00F41F7D">
        <w:rPr>
          <w:rFonts w:ascii="Calibri" w:eastAsia="Calibri" w:hAnsi="Calibri" w:cs="Times New Roman"/>
        </w:rPr>
        <w:t>higher water loss due to evaporation and vegetation processes</w:t>
      </w:r>
      <w:r>
        <w:rPr>
          <w:rFonts w:ascii="Calibri" w:eastAsia="Calibri" w:hAnsi="Calibri" w:cs="Times New Roman"/>
        </w:rPr>
        <w:t>;</w:t>
      </w:r>
    </w:p>
    <w:p w14:paraId="6F05EDF1" w14:textId="6E72DFB0" w:rsidR="00F41F7D" w:rsidRPr="00F41F7D" w:rsidRDefault="00F41F7D" w:rsidP="00F41F7D">
      <w:pPr>
        <w:pStyle w:val="ListParagraph"/>
        <w:numPr>
          <w:ilvl w:val="0"/>
          <w:numId w:val="135"/>
        </w:numPr>
        <w:jc w:val="both"/>
        <w:rPr>
          <w:rFonts w:ascii="Calibri" w:eastAsia="Calibri" w:hAnsi="Calibri" w:cs="Times New Roman"/>
        </w:rPr>
      </w:pPr>
      <w:r w:rsidRPr="00F41F7D">
        <w:rPr>
          <w:rFonts w:ascii="Calibri" w:eastAsia="Calibri" w:hAnsi="Calibri" w:cs="Times New Roman"/>
        </w:rPr>
        <w:t>greater variability in recharge patterns</w:t>
      </w:r>
      <w:r>
        <w:rPr>
          <w:rFonts w:ascii="Calibri" w:eastAsia="Calibri" w:hAnsi="Calibri" w:cs="Times New Roman"/>
        </w:rPr>
        <w:t>.</w:t>
      </w:r>
      <w:r w:rsidRPr="00F41F7D">
        <w:rPr>
          <w:rFonts w:ascii="Calibri" w:eastAsia="Calibri" w:hAnsi="Calibri" w:cs="Times New Roman"/>
        </w:rPr>
        <w:t xml:space="preserve"> </w:t>
      </w:r>
    </w:p>
    <w:p w14:paraId="518637E0" w14:textId="77777777" w:rsidR="00F41F7D" w:rsidRPr="006C69F5" w:rsidRDefault="00F41F7D" w:rsidP="00F41F7D">
      <w:pPr>
        <w:spacing w:before="240"/>
        <w:jc w:val="both"/>
        <w:rPr>
          <w:rFonts w:ascii="Calibri" w:eastAsia="Calibri" w:hAnsi="Calibri" w:cs="Times New Roman"/>
        </w:rPr>
      </w:pPr>
      <w:r>
        <w:rPr>
          <w:rFonts w:ascii="Calibri" w:eastAsia="Calibri" w:hAnsi="Calibri" w:cs="Times New Roman"/>
        </w:rPr>
        <w:t>In karst systems, these changes may lead to:</w:t>
      </w:r>
    </w:p>
    <w:p w14:paraId="251A79FF" w14:textId="49CE7EAE" w:rsidR="00F41F7D" w:rsidRPr="00F41F7D" w:rsidRDefault="00F41F7D" w:rsidP="00F41F7D">
      <w:pPr>
        <w:pStyle w:val="ListParagraph"/>
        <w:numPr>
          <w:ilvl w:val="0"/>
          <w:numId w:val="136"/>
        </w:numPr>
        <w:jc w:val="both"/>
        <w:rPr>
          <w:rFonts w:ascii="Calibri" w:eastAsia="Calibri" w:hAnsi="Calibri" w:cs="Times New Roman"/>
        </w:rPr>
      </w:pPr>
      <w:r w:rsidRPr="00F41F7D">
        <w:rPr>
          <w:rFonts w:ascii="Calibri" w:eastAsia="Calibri" w:hAnsi="Calibri" w:cs="Times New Roman"/>
        </w:rPr>
        <w:t>reduced groundwater availability during critical periods</w:t>
      </w:r>
      <w:r>
        <w:rPr>
          <w:rFonts w:ascii="Calibri" w:eastAsia="Calibri" w:hAnsi="Calibri" w:cs="Times New Roman"/>
        </w:rPr>
        <w:t>;</w:t>
      </w:r>
      <w:r w:rsidRPr="00F41F7D">
        <w:rPr>
          <w:rFonts w:ascii="Calibri" w:eastAsia="Calibri" w:hAnsi="Calibri" w:cs="Times New Roman"/>
        </w:rPr>
        <w:t xml:space="preserve"> </w:t>
      </w:r>
    </w:p>
    <w:p w14:paraId="03C6FB84" w14:textId="28EF1B3B" w:rsidR="00F41F7D" w:rsidRPr="00F41F7D" w:rsidRDefault="00F41F7D" w:rsidP="00F41F7D">
      <w:pPr>
        <w:pStyle w:val="ListParagraph"/>
        <w:numPr>
          <w:ilvl w:val="0"/>
          <w:numId w:val="136"/>
        </w:numPr>
        <w:jc w:val="both"/>
        <w:rPr>
          <w:rFonts w:ascii="Calibri" w:eastAsia="Calibri" w:hAnsi="Calibri" w:cs="Times New Roman"/>
        </w:rPr>
      </w:pPr>
      <w:r w:rsidRPr="00F41F7D">
        <w:rPr>
          <w:rFonts w:ascii="Calibri" w:eastAsia="Calibri" w:hAnsi="Calibri" w:cs="Times New Roman"/>
        </w:rPr>
        <w:t>increased sensitivity to abstraction</w:t>
      </w:r>
      <w:r>
        <w:rPr>
          <w:rFonts w:ascii="Calibri" w:eastAsia="Calibri" w:hAnsi="Calibri" w:cs="Times New Roman"/>
        </w:rPr>
        <w:t>;</w:t>
      </w:r>
    </w:p>
    <w:p w14:paraId="03AB9C32" w14:textId="43E7911A" w:rsidR="00F41F7D" w:rsidRPr="00F41F7D" w:rsidRDefault="00F41F7D" w:rsidP="00F41F7D">
      <w:pPr>
        <w:pStyle w:val="ListParagraph"/>
        <w:numPr>
          <w:ilvl w:val="0"/>
          <w:numId w:val="136"/>
        </w:numPr>
        <w:jc w:val="both"/>
        <w:rPr>
          <w:rFonts w:ascii="Calibri" w:eastAsia="Calibri" w:hAnsi="Calibri" w:cs="Times New Roman"/>
        </w:rPr>
      </w:pPr>
      <w:r w:rsidRPr="00F41F7D">
        <w:rPr>
          <w:rFonts w:ascii="Calibri" w:eastAsia="Calibri" w:hAnsi="Calibri" w:cs="Times New Roman"/>
        </w:rPr>
        <w:t xml:space="preserve">heightened risk of salinisation in coastal and </w:t>
      </w:r>
      <w:r w:rsidR="003108B4">
        <w:rPr>
          <w:rFonts w:ascii="Calibri" w:eastAsia="Calibri" w:hAnsi="Calibri" w:cs="Times New Roman"/>
        </w:rPr>
        <w:t>Delta</w:t>
      </w:r>
      <w:r w:rsidRPr="00F41F7D">
        <w:rPr>
          <w:rFonts w:ascii="Calibri" w:eastAsia="Calibri" w:hAnsi="Calibri" w:cs="Times New Roman"/>
        </w:rPr>
        <w:t xml:space="preserve"> areas</w:t>
      </w:r>
      <w:r>
        <w:rPr>
          <w:rFonts w:ascii="Calibri" w:eastAsia="Calibri" w:hAnsi="Calibri" w:cs="Times New Roman"/>
        </w:rPr>
        <w:t>.</w:t>
      </w:r>
      <w:r w:rsidRPr="00F41F7D">
        <w:rPr>
          <w:rFonts w:ascii="Calibri" w:eastAsia="Calibri" w:hAnsi="Calibri" w:cs="Times New Roman"/>
        </w:rPr>
        <w:t xml:space="preserve"> </w:t>
      </w:r>
    </w:p>
    <w:p w14:paraId="17BA2A12" w14:textId="6840ECEF" w:rsidR="007743F7" w:rsidRPr="00F12C8D" w:rsidRDefault="00F41F7D" w:rsidP="00F41F7D">
      <w:pPr>
        <w:spacing w:before="240"/>
        <w:jc w:val="both"/>
        <w:rPr>
          <w:rFonts w:ascii="Calibri" w:eastAsia="Calibri" w:hAnsi="Calibri" w:cs="Times New Roman"/>
        </w:rPr>
      </w:pPr>
      <w:r>
        <w:rPr>
          <w:rFonts w:ascii="Calibri" w:eastAsia="Calibri" w:hAnsi="Calibri" w:cs="Times New Roman"/>
        </w:rPr>
        <w:t>As a result, future demand must be considered in relation to decreasing system reliability, rather than only increasing consumption.</w:t>
      </w:r>
    </w:p>
    <w:p w14:paraId="6A3FFC03" w14:textId="19817D8C" w:rsidR="00F41F7D" w:rsidRPr="00F12C8D" w:rsidRDefault="00F41F7D" w:rsidP="007743F7">
      <w:pPr>
        <w:pStyle w:val="Heading3"/>
        <w:rPr>
          <w:rFonts w:eastAsia="Calibri"/>
          <w:lang w:val="en-GB"/>
        </w:rPr>
      </w:pPr>
      <w:bookmarkStart w:id="78" w:name="_Toc229036210"/>
      <w:r w:rsidRPr="00F12C8D">
        <w:rPr>
          <w:rFonts w:eastAsia="Calibri"/>
          <w:lang w:val="en-GB"/>
        </w:rPr>
        <w:lastRenderedPageBreak/>
        <w:t>3.8.6 Scenario-based synthesis</w:t>
      </w:r>
      <w:bookmarkEnd w:id="78"/>
    </w:p>
    <w:p w14:paraId="33B3F939" w14:textId="654EB6BE" w:rsidR="00F41F7D" w:rsidRPr="0039215F" w:rsidRDefault="00F41F7D" w:rsidP="0039215F">
      <w:pPr>
        <w:pStyle w:val="NoSpacing"/>
        <w:spacing w:after="160" w:line="259" w:lineRule="auto"/>
        <w:jc w:val="both"/>
        <w:rPr>
          <w:sz w:val="22"/>
          <w:szCs w:val="22"/>
          <w:lang w:val="en-GB"/>
        </w:rPr>
      </w:pPr>
      <w:r w:rsidRPr="0039215F">
        <w:rPr>
          <w:sz w:val="22"/>
          <w:szCs w:val="22"/>
          <w:lang w:val="en-GB"/>
        </w:rPr>
        <w:t xml:space="preserve">Future water demand in </w:t>
      </w:r>
      <w:r w:rsidR="007743F7" w:rsidRPr="0039215F">
        <w:rPr>
          <w:sz w:val="22"/>
          <w:szCs w:val="22"/>
          <w:lang w:val="en-GB"/>
        </w:rPr>
        <w:t xml:space="preserve">Neretva </w:t>
      </w:r>
      <w:r w:rsidRPr="0039215F">
        <w:rPr>
          <w:sz w:val="22"/>
          <w:szCs w:val="22"/>
          <w:lang w:val="en-GB"/>
        </w:rPr>
        <w:t>TBA can be conceptualised through three interacting trajectories:</w:t>
      </w:r>
    </w:p>
    <w:p w14:paraId="1A6CDC65" w14:textId="1EB4468A" w:rsidR="00F41F7D" w:rsidRPr="007743F7" w:rsidRDefault="00F41F7D" w:rsidP="007743F7">
      <w:pPr>
        <w:pStyle w:val="ListParagraph"/>
        <w:numPr>
          <w:ilvl w:val="0"/>
          <w:numId w:val="137"/>
        </w:numPr>
        <w:jc w:val="both"/>
        <w:rPr>
          <w:rFonts w:ascii="Calibri" w:eastAsia="Calibri" w:hAnsi="Calibri" w:cs="Times New Roman"/>
        </w:rPr>
      </w:pPr>
      <w:r w:rsidRPr="007743F7">
        <w:rPr>
          <w:rFonts w:ascii="Calibri" w:eastAsia="Calibri" w:hAnsi="Calibri" w:cs="Times New Roman"/>
        </w:rPr>
        <w:t>Baseline trend: declining or stable demand due to demographic change</w:t>
      </w:r>
      <w:r w:rsidR="007743F7">
        <w:rPr>
          <w:rFonts w:ascii="Calibri" w:eastAsia="Calibri" w:hAnsi="Calibri" w:cs="Times New Roman"/>
        </w:rPr>
        <w:t>;</w:t>
      </w:r>
      <w:r w:rsidRPr="007743F7">
        <w:rPr>
          <w:rFonts w:ascii="Calibri" w:eastAsia="Calibri" w:hAnsi="Calibri" w:cs="Times New Roman"/>
        </w:rPr>
        <w:t xml:space="preserve"> </w:t>
      </w:r>
    </w:p>
    <w:p w14:paraId="63082270" w14:textId="5859400A" w:rsidR="007743F7" w:rsidRPr="007743F7" w:rsidRDefault="00F41F7D" w:rsidP="007743F7">
      <w:pPr>
        <w:pStyle w:val="ListParagraph"/>
        <w:numPr>
          <w:ilvl w:val="0"/>
          <w:numId w:val="137"/>
        </w:numPr>
        <w:jc w:val="both"/>
        <w:rPr>
          <w:rFonts w:ascii="Calibri" w:eastAsia="Calibri" w:hAnsi="Calibri" w:cs="Times New Roman"/>
        </w:rPr>
      </w:pPr>
      <w:r w:rsidRPr="007743F7">
        <w:rPr>
          <w:rFonts w:ascii="Calibri" w:eastAsia="Calibri" w:hAnsi="Calibri" w:cs="Times New Roman"/>
        </w:rPr>
        <w:t>Seasonal intensification: increasing short-term demand linked to tourism and agricultural cycles</w:t>
      </w:r>
      <w:r w:rsidR="007743F7">
        <w:rPr>
          <w:rFonts w:ascii="Calibri" w:eastAsia="Calibri" w:hAnsi="Calibri" w:cs="Times New Roman"/>
        </w:rPr>
        <w:t>;</w:t>
      </w:r>
    </w:p>
    <w:p w14:paraId="5BCF6FA4" w14:textId="72FAAFDF" w:rsidR="00F41F7D" w:rsidRPr="007743F7" w:rsidRDefault="00F41F7D" w:rsidP="007743F7">
      <w:pPr>
        <w:pStyle w:val="ListParagraph"/>
        <w:numPr>
          <w:ilvl w:val="0"/>
          <w:numId w:val="137"/>
        </w:numPr>
        <w:jc w:val="both"/>
        <w:rPr>
          <w:rFonts w:ascii="Calibri" w:eastAsia="Calibri" w:hAnsi="Calibri" w:cs="Times New Roman"/>
        </w:rPr>
      </w:pPr>
      <w:r w:rsidRPr="007743F7">
        <w:rPr>
          <w:rFonts w:ascii="Calibri" w:eastAsia="Calibri" w:hAnsi="Calibri" w:cs="Times New Roman"/>
        </w:rPr>
        <w:t>Climate-driven pressure: reduced availability and increased variability of groundwater resources</w:t>
      </w:r>
      <w:r w:rsidR="007743F7">
        <w:rPr>
          <w:rFonts w:ascii="Calibri" w:eastAsia="Calibri" w:hAnsi="Calibri" w:cs="Times New Roman"/>
        </w:rPr>
        <w:t>.</w:t>
      </w:r>
      <w:r w:rsidRPr="007743F7">
        <w:rPr>
          <w:rFonts w:ascii="Calibri" w:eastAsia="Calibri" w:hAnsi="Calibri" w:cs="Times New Roman"/>
        </w:rPr>
        <w:t xml:space="preserve"> </w:t>
      </w:r>
    </w:p>
    <w:p w14:paraId="3FFAC30A" w14:textId="77777777" w:rsidR="00F41F7D" w:rsidRPr="006C69F5" w:rsidRDefault="00F41F7D" w:rsidP="00F41F7D">
      <w:pPr>
        <w:spacing w:before="240"/>
        <w:jc w:val="both"/>
        <w:rPr>
          <w:rFonts w:ascii="Calibri" w:eastAsia="Calibri" w:hAnsi="Calibri" w:cs="Times New Roman"/>
        </w:rPr>
      </w:pPr>
      <w:r>
        <w:rPr>
          <w:rFonts w:ascii="Calibri" w:eastAsia="Calibri" w:hAnsi="Calibri" w:cs="Times New Roman"/>
        </w:rPr>
        <w:t>These interacting dynamics suggest that future challenges will not arise from overall increases in demand, but from:</w:t>
      </w:r>
    </w:p>
    <w:p w14:paraId="12193605" w14:textId="75896C42" w:rsidR="00F41F7D" w:rsidRPr="007743F7" w:rsidRDefault="00F41F7D" w:rsidP="007743F7">
      <w:pPr>
        <w:pStyle w:val="ListParagraph"/>
        <w:numPr>
          <w:ilvl w:val="0"/>
          <w:numId w:val="138"/>
        </w:numPr>
        <w:jc w:val="both"/>
        <w:rPr>
          <w:rFonts w:ascii="Calibri" w:eastAsia="Calibri" w:hAnsi="Calibri" w:cs="Times New Roman"/>
        </w:rPr>
      </w:pPr>
      <w:r w:rsidRPr="007743F7">
        <w:rPr>
          <w:rFonts w:ascii="Calibri" w:eastAsia="Calibri" w:hAnsi="Calibri" w:cs="Times New Roman"/>
        </w:rPr>
        <w:t>temporal concentration of water use</w:t>
      </w:r>
      <w:r w:rsidR="007743F7">
        <w:rPr>
          <w:rFonts w:ascii="Calibri" w:eastAsia="Calibri" w:hAnsi="Calibri" w:cs="Times New Roman"/>
        </w:rPr>
        <w:t>;</w:t>
      </w:r>
      <w:r w:rsidRPr="007743F7">
        <w:rPr>
          <w:rFonts w:ascii="Calibri" w:eastAsia="Calibri" w:hAnsi="Calibri" w:cs="Times New Roman"/>
        </w:rPr>
        <w:t xml:space="preserve"> </w:t>
      </w:r>
    </w:p>
    <w:p w14:paraId="6C3A1A0E" w14:textId="340B1AA3" w:rsidR="00F41F7D" w:rsidRPr="007743F7" w:rsidRDefault="00F41F7D" w:rsidP="007743F7">
      <w:pPr>
        <w:pStyle w:val="ListParagraph"/>
        <w:numPr>
          <w:ilvl w:val="0"/>
          <w:numId w:val="138"/>
        </w:numPr>
        <w:jc w:val="both"/>
        <w:rPr>
          <w:rFonts w:ascii="Calibri" w:eastAsia="Calibri" w:hAnsi="Calibri" w:cs="Times New Roman"/>
        </w:rPr>
      </w:pPr>
      <w:r w:rsidRPr="007743F7">
        <w:rPr>
          <w:rFonts w:ascii="Calibri" w:eastAsia="Calibri" w:hAnsi="Calibri" w:cs="Times New Roman"/>
        </w:rPr>
        <w:t>spatial mismatches between supply and demand</w:t>
      </w:r>
      <w:r w:rsidR="007743F7">
        <w:rPr>
          <w:rFonts w:ascii="Calibri" w:eastAsia="Calibri" w:hAnsi="Calibri" w:cs="Times New Roman"/>
        </w:rPr>
        <w:t>;</w:t>
      </w:r>
      <w:r w:rsidRPr="007743F7">
        <w:rPr>
          <w:rFonts w:ascii="Calibri" w:eastAsia="Calibri" w:hAnsi="Calibri" w:cs="Times New Roman"/>
        </w:rPr>
        <w:t xml:space="preserve"> </w:t>
      </w:r>
    </w:p>
    <w:p w14:paraId="0C068CCA" w14:textId="714D0AF3" w:rsidR="00F41F7D" w:rsidRPr="007743F7" w:rsidRDefault="00F41F7D" w:rsidP="007743F7">
      <w:pPr>
        <w:pStyle w:val="ListParagraph"/>
        <w:numPr>
          <w:ilvl w:val="0"/>
          <w:numId w:val="138"/>
        </w:numPr>
        <w:jc w:val="both"/>
        <w:rPr>
          <w:rFonts w:ascii="Calibri" w:eastAsia="Calibri" w:hAnsi="Calibri" w:cs="Times New Roman"/>
        </w:rPr>
      </w:pPr>
      <w:r w:rsidRPr="007743F7">
        <w:rPr>
          <w:rFonts w:ascii="Calibri" w:eastAsia="Calibri" w:hAnsi="Calibri" w:cs="Times New Roman"/>
        </w:rPr>
        <w:t>limited adaptive capacity of infrastructure systems</w:t>
      </w:r>
      <w:r w:rsidR="007743F7">
        <w:rPr>
          <w:rFonts w:ascii="Calibri" w:eastAsia="Calibri" w:hAnsi="Calibri" w:cs="Times New Roman"/>
        </w:rPr>
        <w:t>.</w:t>
      </w:r>
    </w:p>
    <w:p w14:paraId="7253E50A" w14:textId="45E8F58C" w:rsidR="00F41F7D" w:rsidRPr="006C69F5" w:rsidRDefault="0085370F" w:rsidP="0085370F">
      <w:pPr>
        <w:pStyle w:val="Caption"/>
        <w:rPr>
          <w:rFonts w:ascii="Calibri" w:eastAsia="Calibri" w:hAnsi="Calibri" w:cs="Times New Roman"/>
          <w:i w:val="0"/>
          <w:iCs w:val="0"/>
          <w:sz w:val="20"/>
          <w:szCs w:val="20"/>
        </w:rPr>
      </w:pPr>
      <w:bookmarkStart w:id="79" w:name="_Toc229037730"/>
      <w:r>
        <w:t xml:space="preserve">Table </w:t>
      </w:r>
      <w:r>
        <w:fldChar w:fldCharType="begin"/>
      </w:r>
      <w:r>
        <w:instrText xml:space="preserve"> SEQ Table \* ARABIC </w:instrText>
      </w:r>
      <w:r>
        <w:fldChar w:fldCharType="separate"/>
      </w:r>
      <w:r w:rsidR="002F4776">
        <w:rPr>
          <w:noProof/>
        </w:rPr>
        <w:t>8</w:t>
      </w:r>
      <w:r>
        <w:fldChar w:fldCharType="end"/>
      </w:r>
      <w:r>
        <w:t xml:space="preserve"> </w:t>
      </w:r>
      <w:r w:rsidRPr="00BE6B67">
        <w:t>Key drivers of future water demand in Neretva TBA</w:t>
      </w:r>
      <w:bookmarkEnd w:id="79"/>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81"/>
        <w:gridCol w:w="2392"/>
        <w:gridCol w:w="2557"/>
        <w:gridCol w:w="2480"/>
      </w:tblGrid>
      <w:tr w:rsidR="00F41F7D" w:rsidRPr="006C69F5" w14:paraId="6BB2A8DF" w14:textId="77777777" w:rsidTr="00F616D9">
        <w:tc>
          <w:tcPr>
            <w:tcW w:w="0" w:type="auto"/>
            <w:shd w:val="clear" w:color="auto" w:fill="A5C9EB"/>
            <w:hideMark/>
          </w:tcPr>
          <w:p w14:paraId="1786B1AA" w14:textId="77777777" w:rsidR="00F41F7D" w:rsidRPr="00F616D9" w:rsidRDefault="00F41F7D" w:rsidP="00923395">
            <w:pPr>
              <w:spacing w:line="259" w:lineRule="auto"/>
              <w:jc w:val="both"/>
              <w:rPr>
                <w:rFonts w:ascii="Calibri" w:eastAsia="Calibri" w:hAnsi="Calibri" w:cs="Times New Roman"/>
                <w:b/>
                <w:bCs/>
                <w:i/>
                <w:iCs/>
                <w:sz w:val="16"/>
                <w:szCs w:val="16"/>
              </w:rPr>
            </w:pPr>
            <w:r w:rsidRPr="00F616D9">
              <w:rPr>
                <w:rFonts w:ascii="Calibri" w:eastAsia="Calibri" w:hAnsi="Calibri" w:cs="Times New Roman"/>
                <w:b/>
                <w:bCs/>
                <w:i/>
                <w:iCs/>
                <w:sz w:val="16"/>
                <w:szCs w:val="16"/>
              </w:rPr>
              <w:t>Driver</w:t>
            </w:r>
          </w:p>
        </w:tc>
        <w:tc>
          <w:tcPr>
            <w:tcW w:w="0" w:type="auto"/>
            <w:shd w:val="clear" w:color="auto" w:fill="A5C9EB"/>
            <w:hideMark/>
          </w:tcPr>
          <w:p w14:paraId="255A7225" w14:textId="77777777" w:rsidR="00F41F7D" w:rsidRPr="00F616D9" w:rsidRDefault="00F41F7D" w:rsidP="00923395">
            <w:pPr>
              <w:spacing w:line="259" w:lineRule="auto"/>
              <w:jc w:val="both"/>
              <w:rPr>
                <w:rFonts w:ascii="Calibri" w:eastAsia="Calibri" w:hAnsi="Calibri" w:cs="Times New Roman"/>
                <w:b/>
                <w:bCs/>
                <w:i/>
                <w:iCs/>
                <w:sz w:val="16"/>
                <w:szCs w:val="16"/>
              </w:rPr>
            </w:pPr>
            <w:r w:rsidRPr="00F616D9">
              <w:rPr>
                <w:rFonts w:ascii="Calibri" w:eastAsia="Calibri" w:hAnsi="Calibri" w:cs="Times New Roman"/>
                <w:b/>
                <w:bCs/>
                <w:i/>
                <w:iCs/>
                <w:sz w:val="16"/>
                <w:szCs w:val="16"/>
              </w:rPr>
              <w:t>Expected trend</w:t>
            </w:r>
          </w:p>
        </w:tc>
        <w:tc>
          <w:tcPr>
            <w:tcW w:w="0" w:type="auto"/>
            <w:shd w:val="clear" w:color="auto" w:fill="A5C9EB"/>
            <w:hideMark/>
          </w:tcPr>
          <w:p w14:paraId="19D9AF70" w14:textId="77777777" w:rsidR="00F41F7D" w:rsidRPr="00F616D9" w:rsidRDefault="00F41F7D" w:rsidP="00923395">
            <w:pPr>
              <w:spacing w:line="259" w:lineRule="auto"/>
              <w:jc w:val="both"/>
              <w:rPr>
                <w:rFonts w:ascii="Calibri" w:eastAsia="Calibri" w:hAnsi="Calibri" w:cs="Times New Roman"/>
                <w:b/>
                <w:bCs/>
                <w:i/>
                <w:iCs/>
                <w:sz w:val="16"/>
                <w:szCs w:val="16"/>
              </w:rPr>
            </w:pPr>
            <w:r w:rsidRPr="00F616D9">
              <w:rPr>
                <w:rFonts w:ascii="Calibri" w:eastAsia="Calibri" w:hAnsi="Calibri" w:cs="Times New Roman"/>
                <w:b/>
                <w:bCs/>
                <w:i/>
                <w:iCs/>
                <w:sz w:val="16"/>
                <w:szCs w:val="16"/>
              </w:rPr>
              <w:t>Impact on demand</w:t>
            </w:r>
          </w:p>
        </w:tc>
        <w:tc>
          <w:tcPr>
            <w:tcW w:w="0" w:type="auto"/>
            <w:shd w:val="clear" w:color="auto" w:fill="A5C9EB"/>
            <w:hideMark/>
          </w:tcPr>
          <w:p w14:paraId="4F2C25CA" w14:textId="77777777" w:rsidR="00F41F7D" w:rsidRPr="00F616D9" w:rsidRDefault="00F41F7D" w:rsidP="00923395">
            <w:pPr>
              <w:spacing w:line="259" w:lineRule="auto"/>
              <w:jc w:val="both"/>
              <w:rPr>
                <w:rFonts w:ascii="Calibri" w:eastAsia="Calibri" w:hAnsi="Calibri" w:cs="Times New Roman"/>
                <w:b/>
                <w:bCs/>
                <w:i/>
                <w:iCs/>
                <w:sz w:val="16"/>
                <w:szCs w:val="16"/>
              </w:rPr>
            </w:pPr>
            <w:r w:rsidRPr="00F616D9">
              <w:rPr>
                <w:rFonts w:ascii="Calibri" w:eastAsia="Calibri" w:hAnsi="Calibri" w:cs="Times New Roman"/>
                <w:b/>
                <w:bCs/>
                <w:i/>
                <w:iCs/>
                <w:sz w:val="16"/>
                <w:szCs w:val="16"/>
              </w:rPr>
              <w:t>Key implications</w:t>
            </w:r>
          </w:p>
        </w:tc>
      </w:tr>
      <w:tr w:rsidR="00F41F7D" w:rsidRPr="006C69F5" w14:paraId="420BA232" w14:textId="77777777" w:rsidTr="00923395">
        <w:tc>
          <w:tcPr>
            <w:tcW w:w="0" w:type="auto"/>
            <w:shd w:val="clear" w:color="auto" w:fill="FFFFFF" w:themeFill="background1"/>
            <w:hideMark/>
          </w:tcPr>
          <w:p w14:paraId="400561D5"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Demography</w:t>
            </w:r>
          </w:p>
        </w:tc>
        <w:tc>
          <w:tcPr>
            <w:tcW w:w="0" w:type="auto"/>
            <w:shd w:val="clear" w:color="auto" w:fill="FFFFFF" w:themeFill="background1"/>
            <w:hideMark/>
          </w:tcPr>
          <w:p w14:paraId="2986F4BC"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Decline and ageing (HR); relative stability (BiH)</w:t>
            </w:r>
          </w:p>
        </w:tc>
        <w:tc>
          <w:tcPr>
            <w:tcW w:w="0" w:type="auto"/>
            <w:shd w:val="clear" w:color="auto" w:fill="FFFFFF" w:themeFill="background1"/>
            <w:hideMark/>
          </w:tcPr>
          <w:p w14:paraId="3967874C"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Decrease in baseline demand</w:t>
            </w:r>
          </w:p>
        </w:tc>
        <w:tc>
          <w:tcPr>
            <w:tcW w:w="0" w:type="auto"/>
            <w:shd w:val="clear" w:color="auto" w:fill="FFFFFF" w:themeFill="background1"/>
            <w:hideMark/>
          </w:tcPr>
          <w:p w14:paraId="53BE2E86"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Increased reliance on decentralised systems</w:t>
            </w:r>
          </w:p>
        </w:tc>
      </w:tr>
      <w:tr w:rsidR="00F41F7D" w:rsidRPr="006C69F5" w14:paraId="61F8D608" w14:textId="77777777" w:rsidTr="00923395">
        <w:tc>
          <w:tcPr>
            <w:tcW w:w="0" w:type="auto"/>
            <w:hideMark/>
          </w:tcPr>
          <w:p w14:paraId="535A37FF"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Agriculture</w:t>
            </w:r>
          </w:p>
        </w:tc>
        <w:tc>
          <w:tcPr>
            <w:tcW w:w="0" w:type="auto"/>
            <w:hideMark/>
          </w:tcPr>
          <w:p w14:paraId="472317B0"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Continued importance</w:t>
            </w:r>
          </w:p>
        </w:tc>
        <w:tc>
          <w:tcPr>
            <w:tcW w:w="0" w:type="auto"/>
            <w:hideMark/>
          </w:tcPr>
          <w:p w14:paraId="2850A3EA"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Increase in seasonal demand</w:t>
            </w:r>
          </w:p>
        </w:tc>
        <w:tc>
          <w:tcPr>
            <w:tcW w:w="0" w:type="auto"/>
            <w:hideMark/>
          </w:tcPr>
          <w:p w14:paraId="38AD0DD7"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Higher irrigation pressure; water quality issues</w:t>
            </w:r>
          </w:p>
        </w:tc>
      </w:tr>
      <w:tr w:rsidR="00F41F7D" w:rsidRPr="006C69F5" w14:paraId="03543D33" w14:textId="77777777" w:rsidTr="00923395">
        <w:tc>
          <w:tcPr>
            <w:tcW w:w="0" w:type="auto"/>
            <w:hideMark/>
          </w:tcPr>
          <w:p w14:paraId="2237E473"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Tourism</w:t>
            </w:r>
          </w:p>
        </w:tc>
        <w:tc>
          <w:tcPr>
            <w:tcW w:w="0" w:type="auto"/>
            <w:hideMark/>
          </w:tcPr>
          <w:p w14:paraId="5543C6B3"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Stable or moderate growth</w:t>
            </w:r>
          </w:p>
        </w:tc>
        <w:tc>
          <w:tcPr>
            <w:tcW w:w="0" w:type="auto"/>
            <w:hideMark/>
          </w:tcPr>
          <w:p w14:paraId="242AA057"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Increase in peak demand</w:t>
            </w:r>
          </w:p>
        </w:tc>
        <w:tc>
          <w:tcPr>
            <w:tcW w:w="0" w:type="auto"/>
            <w:hideMark/>
          </w:tcPr>
          <w:p w14:paraId="1255DEE2"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Seasonal system stress</w:t>
            </w:r>
          </w:p>
        </w:tc>
      </w:tr>
      <w:tr w:rsidR="00F41F7D" w:rsidRPr="006C69F5" w14:paraId="1A22AF71" w14:textId="77777777" w:rsidTr="00923395">
        <w:tc>
          <w:tcPr>
            <w:tcW w:w="0" w:type="auto"/>
            <w:hideMark/>
          </w:tcPr>
          <w:p w14:paraId="51BC90BD"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Climate change</w:t>
            </w:r>
          </w:p>
        </w:tc>
        <w:tc>
          <w:tcPr>
            <w:tcW w:w="0" w:type="auto"/>
            <w:hideMark/>
          </w:tcPr>
          <w:p w14:paraId="4A0979E1"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Increased variability</w:t>
            </w:r>
          </w:p>
        </w:tc>
        <w:tc>
          <w:tcPr>
            <w:tcW w:w="0" w:type="auto"/>
            <w:hideMark/>
          </w:tcPr>
          <w:p w14:paraId="689587B3"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Reduced availability; higher demand in dry periods</w:t>
            </w:r>
          </w:p>
        </w:tc>
        <w:tc>
          <w:tcPr>
            <w:tcW w:w="0" w:type="auto"/>
            <w:hideMark/>
          </w:tcPr>
          <w:p w14:paraId="4B83CB7F"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Increased vulnerability of groundwater systems</w:t>
            </w:r>
          </w:p>
        </w:tc>
      </w:tr>
      <w:tr w:rsidR="00F41F7D" w:rsidRPr="006C69F5" w14:paraId="76A70564" w14:textId="77777777" w:rsidTr="00923395">
        <w:tc>
          <w:tcPr>
            <w:tcW w:w="0" w:type="auto"/>
            <w:hideMark/>
          </w:tcPr>
          <w:p w14:paraId="3FB12F88"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Infrastructure</w:t>
            </w:r>
          </w:p>
        </w:tc>
        <w:tc>
          <w:tcPr>
            <w:tcW w:w="0" w:type="auto"/>
            <w:hideMark/>
          </w:tcPr>
          <w:p w14:paraId="0B795810"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Limited adaptation capacity</w:t>
            </w:r>
          </w:p>
        </w:tc>
        <w:tc>
          <w:tcPr>
            <w:tcW w:w="0" w:type="auto"/>
            <w:hideMark/>
          </w:tcPr>
          <w:p w14:paraId="4934279E"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Uneven response to demand</w:t>
            </w:r>
          </w:p>
        </w:tc>
        <w:tc>
          <w:tcPr>
            <w:tcW w:w="0" w:type="auto"/>
            <w:hideMark/>
          </w:tcPr>
          <w:p w14:paraId="70E0AF03" w14:textId="77777777" w:rsidR="00F41F7D" w:rsidRPr="006C69F5" w:rsidRDefault="00F41F7D" w:rsidP="00923395">
            <w:pPr>
              <w:spacing w:line="259" w:lineRule="auto"/>
              <w:jc w:val="both"/>
              <w:rPr>
                <w:rFonts w:ascii="Calibri" w:eastAsia="Calibri" w:hAnsi="Calibri" w:cs="Times New Roman"/>
                <w:sz w:val="16"/>
                <w:szCs w:val="16"/>
              </w:rPr>
            </w:pPr>
            <w:r>
              <w:rPr>
                <w:rFonts w:ascii="Calibri" w:eastAsia="Calibri" w:hAnsi="Calibri" w:cs="Times New Roman"/>
                <w:sz w:val="16"/>
                <w:szCs w:val="16"/>
              </w:rPr>
              <w:t>Localised shortages and system inefficiencies</w:t>
            </w:r>
          </w:p>
        </w:tc>
      </w:tr>
    </w:tbl>
    <w:p w14:paraId="218114CC" w14:textId="77777777" w:rsidR="00F12C8D" w:rsidRPr="00F12C8D" w:rsidRDefault="00F12C8D" w:rsidP="00F12C8D">
      <w:pPr>
        <w:jc w:val="both"/>
        <w:rPr>
          <w:sz w:val="8"/>
          <w:szCs w:val="8"/>
        </w:rPr>
      </w:pPr>
    </w:p>
    <w:p w14:paraId="57080772" w14:textId="3EF393FD" w:rsidR="00F41F7D" w:rsidRPr="00D60A13" w:rsidRDefault="00F41F7D" w:rsidP="00F12C8D">
      <w:pPr>
        <w:jc w:val="both"/>
      </w:pPr>
      <w:r>
        <w:t xml:space="preserve">Future water demand in </w:t>
      </w:r>
      <w:r w:rsidR="007743F7">
        <w:t xml:space="preserve">Neretva </w:t>
      </w:r>
      <w:r>
        <w:t xml:space="preserve">TBA is not expected to increase uniformly but will become more uneven, seasonal and </w:t>
      </w:r>
      <w:proofErr w:type="gramStart"/>
      <w:r>
        <w:t>system-dependent</w:t>
      </w:r>
      <w:proofErr w:type="gramEnd"/>
      <w:r>
        <w:t>. The combination of demographic decline, agricultural dependence, seasonal tourism and climate variability creates a dynamic in which pressures are concentrated in specific periods and locations. This highlights the importance of understanding demand not only in quantitative terms, but as a function of system resilience and adaptive capacity.</w:t>
      </w:r>
    </w:p>
    <w:bookmarkEnd w:id="18"/>
    <w:p w14:paraId="39A1FFD9" w14:textId="77777777" w:rsidR="009723BA" w:rsidRDefault="009723BA" w:rsidP="0050632C">
      <w:pPr>
        <w:jc w:val="both"/>
        <w:rPr>
          <w:rFonts w:ascii="Calibri" w:hAnsi="Calibri" w:cs="Calibri"/>
        </w:rPr>
      </w:pPr>
    </w:p>
    <w:p w14:paraId="45E9391A" w14:textId="77777777" w:rsidR="007743F7" w:rsidRPr="00F12C8D" w:rsidRDefault="007743F7" w:rsidP="007743F7">
      <w:pPr>
        <w:pStyle w:val="Heading2"/>
        <w:rPr>
          <w:rFonts w:eastAsia="Calibri"/>
          <w:lang w:val="en-GB"/>
        </w:rPr>
      </w:pPr>
      <w:bookmarkStart w:id="80" w:name="_Toc229036211"/>
      <w:r w:rsidRPr="00F12C8D">
        <w:rPr>
          <w:rFonts w:eastAsia="Calibri"/>
          <w:lang w:val="en-GB"/>
        </w:rPr>
        <w:t>3.9 Water balance and sustainability indicators</w:t>
      </w:r>
      <w:bookmarkEnd w:id="80"/>
      <w:r w:rsidRPr="00F12C8D">
        <w:rPr>
          <w:rFonts w:eastAsia="Calibri"/>
          <w:lang w:val="en-GB"/>
        </w:rPr>
        <w:t xml:space="preserve"> </w:t>
      </w:r>
    </w:p>
    <w:p w14:paraId="1F4072DD" w14:textId="77777777" w:rsidR="007743F7" w:rsidRPr="00CB2BBB" w:rsidRDefault="007743F7" w:rsidP="007743F7">
      <w:pPr>
        <w:jc w:val="both"/>
        <w:rPr>
          <w:rFonts w:ascii="Calibri" w:eastAsia="Times New Roman" w:hAnsi="Calibri" w:cs="Times New Roman"/>
        </w:rPr>
      </w:pPr>
      <w:r>
        <w:rPr>
          <w:rFonts w:ascii="Calibri" w:eastAsia="Times New Roman" w:hAnsi="Calibri" w:cs="Times New Roman"/>
        </w:rPr>
        <w:t xml:space="preserve">Highly heterogeneous and vulnerable, karst springs and their underlying aquifers are critical for water supply in the Adriatic coastal region. Estimating the availability of water to meet the increasing demand for potable water is essential, yet it remains a complex and often challenging task. The water balance of the Dinaric karst aquifers has long been debated due to limited measurement data, particularly regarding discharge, although precipitation data are generally more reliable. Karst catchments in Croatia contain substantial water reserves, primarily due to high rainfall in the coastal mountain ranges. About half of the precipitation infiltrates into the karst underground, making these regions relatively water-rich; however, the low retention </w:t>
      </w:r>
      <w:r>
        <w:rPr>
          <w:rFonts w:ascii="Calibri" w:eastAsia="Times New Roman" w:hAnsi="Calibri" w:cs="Times New Roman"/>
        </w:rPr>
        <w:lastRenderedPageBreak/>
        <w:t>capacity of karst aquifers and rapid runoff result in frequent floods during wet periods and prolonged droughts in summer.</w:t>
      </w:r>
    </w:p>
    <w:p w14:paraId="068348A7" w14:textId="77777777" w:rsidR="007743F7" w:rsidRPr="00CB2BBB" w:rsidRDefault="007743F7" w:rsidP="007743F7">
      <w:pPr>
        <w:jc w:val="both"/>
        <w:rPr>
          <w:rFonts w:ascii="Calibri" w:eastAsia="Times New Roman" w:hAnsi="Calibri" w:cs="Times New Roman"/>
        </w:rPr>
      </w:pPr>
      <w:r>
        <w:rPr>
          <w:rFonts w:ascii="Calibri" w:eastAsia="Times New Roman" w:hAnsi="Calibri" w:cs="Times New Roman"/>
        </w:rPr>
        <w:t>Exploitable water reserves have been studied for decades, and technical interventions at springs have shown the potential to significantly increase spring capacity. Consequently, current estimates of exploitable quantities reflect practical, sustainable use rather than theoretical maximums.</w:t>
      </w:r>
    </w:p>
    <w:p w14:paraId="7586E344" w14:textId="7B1D5E8A" w:rsidR="007743F7" w:rsidRPr="00CB2BBB" w:rsidRDefault="007743F7" w:rsidP="007743F7">
      <w:pPr>
        <w:jc w:val="both"/>
        <w:rPr>
          <w:rFonts w:ascii="Calibri" w:eastAsia="Times New Roman" w:hAnsi="Calibri" w:cs="Times New Roman"/>
        </w:rPr>
      </w:pPr>
      <w:r>
        <w:rPr>
          <w:rFonts w:ascii="Calibri" w:eastAsia="Times New Roman" w:hAnsi="Calibri" w:cs="Times New Roman"/>
        </w:rPr>
        <w:t>Groundwater quantitative status in both Croatian RBMPs, as well as in the RBMP for the Adriatic Basin in the Federation of Bosnia and Herzegovina (FBiH), was assessed using the Water Exploitation Index Plus (WEI+). This recommended indicator for assessing pressure on water resources is calculated as the ratio of total water consumption (abstraction) in each area to the renewable water resources of that area. The water exploitation index, calculated on an annual basis, is determined using data from the water use balance for the current year.</w:t>
      </w:r>
    </w:p>
    <w:p w14:paraId="52C9952C" w14:textId="6F79862D" w:rsidR="007743F7" w:rsidRPr="00CB2BBB" w:rsidRDefault="007743F7" w:rsidP="007743F7">
      <w:pPr>
        <w:jc w:val="both"/>
        <w:rPr>
          <w:rFonts w:ascii="Calibri" w:eastAsia="Times New Roman" w:hAnsi="Calibri" w:cs="Times New Roman"/>
        </w:rPr>
      </w:pPr>
      <w:r>
        <w:rPr>
          <w:rFonts w:ascii="Calibri" w:eastAsia="Times New Roman" w:hAnsi="Calibri" w:cs="Times New Roman"/>
        </w:rPr>
        <w:t>In Croatia, the procedure for assessing the quantitative status of groundwater bodies in relation to the water balance test was conducted in a single step based on the following balance criterion: the relationship between the average annual groundwater abstraction and renewable groundwater resources is determined. If groundwater abstraction does not exceed 10% of renewable resources, the groundwater body is in good quantitative status. Otherwise, the groundwater body is classified as being in poor quantitative status. The relatively low threshold of 10% was selected due to the uneven intra-annual distribution of renewable groundwater resources, which are typically lowest during periods when seasonal water demand is highest, particularly at the end of the summer period. Such critical conditions could not be numerically quantified and analysed in detail due to insufficient data on the seasonal distribution of groundwater abstraction for individual groundwater bodies.</w:t>
      </w:r>
    </w:p>
    <w:p w14:paraId="1A6CA15D" w14:textId="1895067E" w:rsidR="007743F7" w:rsidRPr="00CB2BBB" w:rsidRDefault="007743F7" w:rsidP="007743F7">
      <w:pPr>
        <w:jc w:val="both"/>
        <w:rPr>
          <w:rFonts w:ascii="Calibri" w:eastAsia="Times New Roman" w:hAnsi="Calibri" w:cs="Times New Roman"/>
        </w:rPr>
      </w:pPr>
      <w:r>
        <w:rPr>
          <w:rFonts w:ascii="Calibri" w:eastAsia="Times New Roman" w:hAnsi="Calibri" w:cs="Times New Roman"/>
        </w:rPr>
        <w:t>The quantitative status of groundwater bodies in the Adriatic Sea basin within the Federation of Bosnia and Herzegovina is assessed based on groundwater balance estimates, measured spring capacities, and established threshold values (20% of minimum flow and 10% of total estimated quantities). Some water balance data were taken from previous analyses, while others were determined through expert assessment. Groundwater bodies without water abstraction or significant human impacts are in good status. Where minimum spring capacity data exist, a criterion of up to 20% abstraction of the minimum flow is applied. Where such data are unavailable, the criterion allows up to 10% abstraction of the total estimated groundwater quantity. The assessment of quantitative groundwater status is based on information about the average and minimum capacities of major springs and the average quantities of groundwater abstraction, derived from measured data, population-based estimates, and information from institutions managing individual water sources.</w:t>
      </w:r>
    </w:p>
    <w:p w14:paraId="12C5B624" w14:textId="362766FE" w:rsidR="007743F7" w:rsidRDefault="007743F7" w:rsidP="0050632C">
      <w:pPr>
        <w:jc w:val="both"/>
        <w:rPr>
          <w:rFonts w:ascii="Calibri" w:eastAsia="Times New Roman" w:hAnsi="Calibri" w:cs="Times New Roman"/>
        </w:rPr>
      </w:pPr>
      <w:r>
        <w:rPr>
          <w:rFonts w:ascii="Calibri" w:eastAsia="Times New Roman" w:hAnsi="Calibri" w:cs="Times New Roman"/>
        </w:rPr>
        <w:t>However, it should be noted that water consumption data used in the calculation are primarily based on public water supply abstraction, while other water uses are poorly monitored in both countries. In addition, renewable groundwater resources are calculated using outdated precipitation data (for the period 1961–1990 in Croatia).</w:t>
      </w:r>
    </w:p>
    <w:p w14:paraId="46C5E0F5" w14:textId="77777777" w:rsidR="0039215F" w:rsidRPr="00C53B35" w:rsidRDefault="0039215F" w:rsidP="0050632C">
      <w:pPr>
        <w:jc w:val="both"/>
        <w:rPr>
          <w:rFonts w:ascii="Calibri" w:eastAsia="Times New Roman" w:hAnsi="Calibri" w:cs="Times New Roman"/>
        </w:rPr>
      </w:pPr>
    </w:p>
    <w:p w14:paraId="284F745E" w14:textId="77777777" w:rsidR="006A15BF" w:rsidRPr="006A15BF" w:rsidRDefault="006A15BF" w:rsidP="006A15BF">
      <w:pPr>
        <w:pStyle w:val="Heading1"/>
        <w:rPr>
          <w:lang w:val="en-GB"/>
        </w:rPr>
      </w:pPr>
      <w:bookmarkStart w:id="81" w:name="_Toc229036212"/>
      <w:r w:rsidRPr="006A15BF">
        <w:rPr>
          <w:lang w:val="en-GB"/>
        </w:rPr>
        <w:lastRenderedPageBreak/>
        <w:t>4. Hydrogeological and environmental characterization</w:t>
      </w:r>
      <w:bookmarkEnd w:id="81"/>
    </w:p>
    <w:p w14:paraId="0B2FFD10" w14:textId="441F0D3F" w:rsidR="006A15BF" w:rsidRPr="003A7BC5" w:rsidRDefault="006A15BF" w:rsidP="006A15BF">
      <w:pPr>
        <w:jc w:val="both"/>
        <w:rPr>
          <w:rFonts w:ascii="Calibri" w:hAnsi="Calibri" w:cs="Calibri"/>
        </w:rPr>
      </w:pPr>
      <w:r w:rsidRPr="003A7BC5">
        <w:rPr>
          <w:rFonts w:ascii="Calibri" w:hAnsi="Calibri" w:cs="Calibri"/>
        </w:rPr>
        <w:t xml:space="preserve">The hydrogeological system of Neretva </w:t>
      </w:r>
      <w:r>
        <w:rPr>
          <w:rFonts w:ascii="Calibri" w:hAnsi="Calibri" w:cs="Calibri"/>
        </w:rPr>
        <w:t xml:space="preserve">TBA </w:t>
      </w:r>
      <w:r w:rsidRPr="003A7BC5">
        <w:rPr>
          <w:rFonts w:ascii="Calibri" w:hAnsi="Calibri" w:cs="Calibri"/>
        </w:rPr>
        <w:t>is defined by complex karst conditions, characterised by high permeability, rapid groundwater flow and strong connectivity between surface and subsurface components. These features result in a dynamic system in which recharge, flow and discharge processes are closely interlinked and highly sensitive to both natural variability and anthropogenic pressures.</w:t>
      </w:r>
    </w:p>
    <w:p w14:paraId="4B0C0A28" w14:textId="0AC998E4" w:rsidR="006A15BF" w:rsidRPr="003A7BC5" w:rsidRDefault="006A15BF" w:rsidP="006A15BF">
      <w:pPr>
        <w:jc w:val="both"/>
        <w:rPr>
          <w:rFonts w:ascii="Calibri" w:hAnsi="Calibri" w:cs="Calibri"/>
        </w:rPr>
      </w:pPr>
      <w:r w:rsidRPr="003A7BC5">
        <w:rPr>
          <w:rFonts w:ascii="Calibri" w:hAnsi="Calibri" w:cs="Calibri"/>
        </w:rPr>
        <w:t xml:space="preserve">Groundwater circulation is primarily controlled by lithological composition and structural elements, including faults and fractures that define preferential flow pathways. Recharge is concentrated in karst fields and zones of direct infiltration, while discharge occurs through major springs and diffuse outflows toward the lower Neretva basin and the </w:t>
      </w:r>
      <w:r>
        <w:rPr>
          <w:rFonts w:ascii="Calibri" w:hAnsi="Calibri" w:cs="Calibri"/>
        </w:rPr>
        <w:t>D</w:t>
      </w:r>
      <w:r w:rsidRPr="003A7BC5">
        <w:rPr>
          <w:rFonts w:ascii="Calibri" w:hAnsi="Calibri" w:cs="Calibri"/>
        </w:rPr>
        <w:t>elta. The absence of clearly defined hydrogeological boundaries further contributes to the complexity of flow patterns and the wide spatial extent of groundwater connectivity.</w:t>
      </w:r>
    </w:p>
    <w:p w14:paraId="27EE74FA" w14:textId="77777777" w:rsidR="006A15BF" w:rsidRPr="003A7BC5" w:rsidRDefault="006A15BF" w:rsidP="006A15BF">
      <w:pPr>
        <w:jc w:val="both"/>
        <w:rPr>
          <w:rFonts w:ascii="Calibri" w:hAnsi="Calibri" w:cs="Calibri"/>
        </w:rPr>
      </w:pPr>
      <w:r w:rsidRPr="003A7BC5">
        <w:rPr>
          <w:rFonts w:ascii="Calibri" w:hAnsi="Calibri" w:cs="Calibri"/>
        </w:rPr>
        <w:t xml:space="preserve">The hydrogeological characteristics of the system directly influence its environmental behaviour, including the transport of dissolved substances, the interaction between groundwater and surface water, and the functioning of groundwater-dependent ecosystems. Importance is given to key </w:t>
      </w:r>
      <w:proofErr w:type="spellStart"/>
      <w:r w:rsidRPr="003A7BC5">
        <w:rPr>
          <w:rFonts w:ascii="Calibri" w:hAnsi="Calibri" w:cs="Calibri"/>
        </w:rPr>
        <w:t>hydrochemical</w:t>
      </w:r>
      <w:proofErr w:type="spellEnd"/>
      <w:r w:rsidRPr="003A7BC5">
        <w:rPr>
          <w:rFonts w:ascii="Calibri" w:hAnsi="Calibri" w:cs="Calibri"/>
        </w:rPr>
        <w:t xml:space="preserve"> indicators, especially nutrients and pesticides, which reflect the impact of dominant pressures identified within the basin.</w:t>
      </w:r>
    </w:p>
    <w:p w14:paraId="020A6980" w14:textId="267975AA" w:rsidR="006A15BF" w:rsidRPr="003A7BC5" w:rsidRDefault="006A15BF" w:rsidP="006A15BF">
      <w:pPr>
        <w:jc w:val="both"/>
        <w:rPr>
          <w:rFonts w:ascii="Calibri" w:hAnsi="Calibri" w:cs="Calibri"/>
        </w:rPr>
      </w:pPr>
      <w:r w:rsidRPr="003A7BC5">
        <w:rPr>
          <w:rFonts w:ascii="Calibri" w:hAnsi="Calibri" w:cs="Calibri"/>
        </w:rPr>
        <w:t xml:space="preserve">Natural factors also play a significant role in shaping system dynamics and vulnerability. Flood events, salinity intrusion in the </w:t>
      </w:r>
      <w:r>
        <w:rPr>
          <w:rFonts w:ascii="Calibri" w:hAnsi="Calibri" w:cs="Calibri"/>
        </w:rPr>
        <w:t>D</w:t>
      </w:r>
      <w:r w:rsidRPr="003A7BC5">
        <w:rPr>
          <w:rFonts w:ascii="Calibri" w:hAnsi="Calibri" w:cs="Calibri"/>
        </w:rPr>
        <w:t>elta area and climate variability influence both groundwater quantity and quality, often amplifying the effects of anthropogenic pressures. These processes contribute to increased variability in hydrological conditions and create additional challenges for water resource management.</w:t>
      </w:r>
    </w:p>
    <w:p w14:paraId="647DFC56" w14:textId="77777777" w:rsidR="006A15BF" w:rsidRDefault="006A15BF" w:rsidP="006A15BF">
      <w:pPr>
        <w:jc w:val="both"/>
        <w:rPr>
          <w:rFonts w:ascii="Calibri" w:hAnsi="Calibri" w:cs="Calibri"/>
        </w:rPr>
      </w:pPr>
      <w:r w:rsidRPr="003A7BC5">
        <w:rPr>
          <w:rFonts w:ascii="Calibri" w:hAnsi="Calibri" w:cs="Calibri"/>
        </w:rPr>
        <w:t>The combined effect of hydrogeological complexity, environmental sensitivity and external pressures results in a system that is highly vulnerable and requires an integrated approach to assessment and management.</w:t>
      </w:r>
    </w:p>
    <w:p w14:paraId="50AA6B16" w14:textId="77777777" w:rsidR="006A15BF" w:rsidRPr="005D07A5" w:rsidRDefault="006A15BF" w:rsidP="006A15BF">
      <w:pPr>
        <w:jc w:val="both"/>
        <w:rPr>
          <w:rFonts w:ascii="Calibri" w:hAnsi="Calibri" w:cs="Calibri"/>
        </w:rPr>
      </w:pPr>
    </w:p>
    <w:p w14:paraId="504648DC" w14:textId="77777777" w:rsidR="006A15BF" w:rsidRPr="006A15BF" w:rsidRDefault="006A15BF" w:rsidP="006A15BF">
      <w:pPr>
        <w:pStyle w:val="Heading2"/>
        <w:rPr>
          <w:lang w:val="en-GB"/>
        </w:rPr>
      </w:pPr>
      <w:bookmarkStart w:id="82" w:name="_Toc229036213"/>
      <w:r w:rsidRPr="006A15BF">
        <w:rPr>
          <w:lang w:val="en-GB"/>
        </w:rPr>
        <w:t>4.1 Karst aquifer dynamics and vulnerability</w:t>
      </w:r>
      <w:bookmarkEnd w:id="82"/>
    </w:p>
    <w:p w14:paraId="3365F3B1" w14:textId="59DE713D" w:rsidR="006A15BF" w:rsidRPr="003A7BC5" w:rsidRDefault="006A15BF" w:rsidP="006A15BF">
      <w:pPr>
        <w:jc w:val="both"/>
        <w:rPr>
          <w:rFonts w:ascii="Calibri" w:hAnsi="Calibri" w:cs="Calibri"/>
        </w:rPr>
      </w:pPr>
      <w:r w:rsidRPr="003A7BC5">
        <w:rPr>
          <w:rFonts w:ascii="Calibri" w:hAnsi="Calibri" w:cs="Calibri"/>
        </w:rPr>
        <w:t xml:space="preserve">The karst aquifer system within Neretva </w:t>
      </w:r>
      <w:r>
        <w:rPr>
          <w:rFonts w:ascii="Calibri" w:hAnsi="Calibri" w:cs="Calibri"/>
        </w:rPr>
        <w:t xml:space="preserve">TBA </w:t>
      </w:r>
      <w:r w:rsidRPr="003A7BC5">
        <w:rPr>
          <w:rFonts w:ascii="Calibri" w:hAnsi="Calibri" w:cs="Calibri"/>
        </w:rPr>
        <w:t xml:space="preserve">is predominantly developed in thick carbonate sequences composed of limestones and dolomites, characterised by well-developed fissured and conduit porosity and very high permeability. In the recharge areas, particularly within the </w:t>
      </w:r>
      <w:proofErr w:type="spellStart"/>
      <w:r w:rsidRPr="003A7BC5">
        <w:rPr>
          <w:rFonts w:ascii="Calibri" w:hAnsi="Calibri" w:cs="Calibri"/>
        </w:rPr>
        <w:t>Imotsko</w:t>
      </w:r>
      <w:proofErr w:type="spellEnd"/>
      <w:r w:rsidRPr="003A7BC5">
        <w:rPr>
          <w:rFonts w:ascii="Calibri" w:hAnsi="Calibri" w:cs="Calibri"/>
        </w:rPr>
        <w:t xml:space="preserve"> and </w:t>
      </w:r>
      <w:proofErr w:type="spellStart"/>
      <w:r w:rsidRPr="003A7BC5">
        <w:rPr>
          <w:rFonts w:ascii="Calibri" w:hAnsi="Calibri" w:cs="Calibri"/>
        </w:rPr>
        <w:t>Ljubuško</w:t>
      </w:r>
      <w:proofErr w:type="spellEnd"/>
      <w:r w:rsidRPr="003A7BC5">
        <w:rPr>
          <w:rFonts w:ascii="Calibri" w:hAnsi="Calibri" w:cs="Calibri"/>
        </w:rPr>
        <w:t xml:space="preserve"> poljes, the aquifer is formed mainly in highly </w:t>
      </w:r>
      <w:proofErr w:type="spellStart"/>
      <w:r w:rsidRPr="003A7BC5">
        <w:rPr>
          <w:rFonts w:ascii="Calibri" w:hAnsi="Calibri" w:cs="Calibri"/>
        </w:rPr>
        <w:t>karstified</w:t>
      </w:r>
      <w:proofErr w:type="spellEnd"/>
      <w:r w:rsidRPr="003A7BC5">
        <w:rPr>
          <w:rFonts w:ascii="Calibri" w:hAnsi="Calibri" w:cs="Calibri"/>
        </w:rPr>
        <w:t xml:space="preserve"> Cretaceous limestones. Locally, these formations are overlain by less permeable Eocene flysch deposits and Miocene sediments, which influence local flow conditions but do not represent a significant barrier to regional groundwater movement.</w:t>
      </w:r>
    </w:p>
    <w:p w14:paraId="6942A9FC" w14:textId="77777777" w:rsidR="006A15BF" w:rsidRDefault="006A15BF" w:rsidP="006A15BF">
      <w:pPr>
        <w:jc w:val="both"/>
        <w:rPr>
          <w:rFonts w:ascii="Calibri" w:hAnsi="Calibri" w:cs="Calibri"/>
        </w:rPr>
      </w:pPr>
      <w:r w:rsidRPr="003A7BC5">
        <w:rPr>
          <w:rFonts w:ascii="Calibri" w:hAnsi="Calibri" w:cs="Calibri"/>
        </w:rPr>
        <w:t>The hydrogeological system is highly heterogeneous and anisotropic, with groundwater flow occurring through a combination of diffuse movement within the rock matrix and rapid transport through fractures, faults and conduit systems. Groundwater circulation is strongly controlled by geological structures, with faults and tectonic contacts acting as preferential pathways for flow.</w:t>
      </w:r>
    </w:p>
    <w:p w14:paraId="3D801CD6" w14:textId="77777777" w:rsidR="006A15BF" w:rsidRDefault="006A15BF" w:rsidP="006A15BF">
      <w:pPr>
        <w:jc w:val="both"/>
      </w:pPr>
      <w:r w:rsidRPr="003A7BC5">
        <w:rPr>
          <w:rFonts w:ascii="Calibri" w:hAnsi="Calibri" w:cs="Calibri"/>
        </w:rPr>
        <w:lastRenderedPageBreak/>
        <w:t xml:space="preserve">The general direction of groundwater flow is from the northwestern parts of the </w:t>
      </w:r>
      <w:r>
        <w:rPr>
          <w:rFonts w:ascii="Calibri" w:hAnsi="Calibri" w:cs="Calibri"/>
        </w:rPr>
        <w:t>TBA</w:t>
      </w:r>
      <w:r w:rsidRPr="003A7BC5">
        <w:rPr>
          <w:rFonts w:ascii="Calibri" w:hAnsi="Calibri" w:cs="Calibri"/>
        </w:rPr>
        <w:t xml:space="preserve">, including the </w:t>
      </w:r>
      <w:proofErr w:type="spellStart"/>
      <w:r w:rsidRPr="003A7BC5">
        <w:rPr>
          <w:rFonts w:ascii="Calibri" w:hAnsi="Calibri" w:cs="Calibri"/>
        </w:rPr>
        <w:t>Imotsko</w:t>
      </w:r>
      <w:proofErr w:type="spellEnd"/>
      <w:r w:rsidRPr="003A7BC5">
        <w:rPr>
          <w:rFonts w:ascii="Calibri" w:hAnsi="Calibri" w:cs="Calibri"/>
        </w:rPr>
        <w:t xml:space="preserve"> and </w:t>
      </w:r>
      <w:proofErr w:type="spellStart"/>
      <w:r w:rsidRPr="003A7BC5">
        <w:rPr>
          <w:rFonts w:ascii="Calibri" w:hAnsi="Calibri" w:cs="Calibri"/>
        </w:rPr>
        <w:t>Ljubuško</w:t>
      </w:r>
      <w:proofErr w:type="spellEnd"/>
      <w:r w:rsidRPr="003A7BC5">
        <w:rPr>
          <w:rFonts w:ascii="Calibri" w:hAnsi="Calibri" w:cs="Calibri"/>
        </w:rPr>
        <w:t xml:space="preserve"> poljes, toward the southeast, i.e. towards the lower Neretva basin and the </w:t>
      </w:r>
      <w:proofErr w:type="spellStart"/>
      <w:r w:rsidRPr="003A7BC5">
        <w:rPr>
          <w:rFonts w:ascii="Calibri" w:hAnsi="Calibri" w:cs="Calibri"/>
        </w:rPr>
        <w:t>Prud</w:t>
      </w:r>
      <w:proofErr w:type="spellEnd"/>
      <w:r w:rsidRPr="003A7BC5">
        <w:rPr>
          <w:rFonts w:ascii="Calibri" w:hAnsi="Calibri" w:cs="Calibri"/>
        </w:rPr>
        <w:t xml:space="preserve"> spring. This flow pattern is governed by regional geological structure and topographic gradients, with groundwater flow predominantly occurring parallel to structural features. Flow perpendicular to geological structures is significantly slower, which has important implications for groundwater protection and the design of monitoring and remediation measures.</w:t>
      </w:r>
      <w:r w:rsidRPr="003A7BC5">
        <w:t xml:space="preserve"> </w:t>
      </w:r>
    </w:p>
    <w:p w14:paraId="7A3D4282" w14:textId="1263050D" w:rsidR="006A15BF" w:rsidRDefault="006A15BF" w:rsidP="006A15BF">
      <w:pPr>
        <w:jc w:val="both"/>
      </w:pPr>
      <w:r w:rsidRPr="006A15BF">
        <w:t xml:space="preserve">Recharge occurs primarily through direct infiltration of precipitation and losses from surface watercourses, particularly in karst poljes and sinkhole zones. </w:t>
      </w:r>
      <w:proofErr w:type="spellStart"/>
      <w:r w:rsidRPr="006A15BF">
        <w:t>Ljubuško</w:t>
      </w:r>
      <w:proofErr w:type="spellEnd"/>
      <w:r w:rsidRPr="006A15BF">
        <w:t xml:space="preserve"> polje represents one of the most important recharge areas, where thin or absent soil cover enables rapid infiltration into the subsurface. During high-flow conditions, temporary flooding of the polje enhances infiltration through ponors and fractures, significantly increasing groundwater recharge.</w:t>
      </w:r>
    </w:p>
    <w:p w14:paraId="76DF13FB" w14:textId="77777777" w:rsidR="006A15BF" w:rsidRDefault="006A15BF" w:rsidP="006A15BF">
      <w:pPr>
        <w:spacing w:after="0"/>
        <w:jc w:val="center"/>
      </w:pPr>
      <w:r>
        <w:rPr>
          <w:noProof/>
        </w:rPr>
        <w:drawing>
          <wp:inline distT="0" distB="0" distL="0" distR="0" wp14:anchorId="0BFED2F1" wp14:editId="454C1629">
            <wp:extent cx="4489512" cy="4870938"/>
            <wp:effectExtent l="0" t="0" r="6350" b="6350"/>
            <wp:docPr id="191247027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470278" name="Slika 1912470278"/>
                    <pic:cNvPicPr/>
                  </pic:nvPicPr>
                  <pic:blipFill rotWithShape="1">
                    <a:blip r:embed="rId17" cstate="print">
                      <a:extLst>
                        <a:ext uri="{28A0092B-C50C-407E-A947-70E740481C1C}">
                          <a14:useLocalDpi xmlns:a14="http://schemas.microsoft.com/office/drawing/2010/main" val="0"/>
                        </a:ext>
                      </a:extLst>
                    </a:blip>
                    <a:srcRect t="3361" b="2679"/>
                    <a:stretch>
                      <a:fillRect/>
                    </a:stretch>
                  </pic:blipFill>
                  <pic:spPr bwMode="auto">
                    <a:xfrm>
                      <a:off x="0" y="0"/>
                      <a:ext cx="4505503" cy="4888288"/>
                    </a:xfrm>
                    <a:prstGeom prst="rect">
                      <a:avLst/>
                    </a:prstGeom>
                    <a:ln>
                      <a:noFill/>
                    </a:ln>
                    <a:extLst>
                      <a:ext uri="{53640926-AAD7-44D8-BBD7-CCE9431645EC}">
                        <a14:shadowObscured xmlns:a14="http://schemas.microsoft.com/office/drawing/2010/main"/>
                      </a:ext>
                    </a:extLst>
                  </pic:spPr>
                </pic:pic>
              </a:graphicData>
            </a:graphic>
          </wp:inline>
        </w:drawing>
      </w:r>
    </w:p>
    <w:p w14:paraId="670E8702" w14:textId="72498288" w:rsidR="006A15BF" w:rsidRPr="00DD6716" w:rsidRDefault="0085370F" w:rsidP="0085370F">
      <w:pPr>
        <w:pStyle w:val="Caption"/>
        <w:jc w:val="center"/>
        <w:rPr>
          <w:rFonts w:eastAsia="Times New Roman" w:cstheme="minorHAnsi"/>
          <w:color w:val="000000"/>
        </w:rPr>
      </w:pPr>
      <w:bookmarkStart w:id="83" w:name="_Toc229037707"/>
      <w:r>
        <w:t xml:space="preserve">Figure </w:t>
      </w:r>
      <w:r>
        <w:fldChar w:fldCharType="begin"/>
      </w:r>
      <w:r>
        <w:instrText xml:space="preserve"> SEQ Figure \* ARABIC </w:instrText>
      </w:r>
      <w:r>
        <w:fldChar w:fldCharType="separate"/>
      </w:r>
      <w:r w:rsidR="002F4776">
        <w:rPr>
          <w:noProof/>
        </w:rPr>
        <w:t>2</w:t>
      </w:r>
      <w:r>
        <w:fldChar w:fldCharType="end"/>
      </w:r>
      <w:r>
        <w:t xml:space="preserve"> </w:t>
      </w:r>
      <w:r w:rsidRPr="001551ED">
        <w:t>Hydrogeological map with general groundwater flow directions (tracing test)</w:t>
      </w:r>
      <w:bookmarkEnd w:id="83"/>
    </w:p>
    <w:p w14:paraId="4277F469" w14:textId="77777777" w:rsidR="006A15BF" w:rsidRPr="003A7BC5" w:rsidRDefault="006A15BF" w:rsidP="006A15BF">
      <w:pPr>
        <w:jc w:val="both"/>
        <w:rPr>
          <w:rFonts w:ascii="Calibri" w:hAnsi="Calibri" w:cs="Calibri"/>
        </w:rPr>
      </w:pPr>
      <w:r w:rsidRPr="003A7BC5">
        <w:rPr>
          <w:rFonts w:ascii="Calibri" w:hAnsi="Calibri" w:cs="Calibri"/>
        </w:rPr>
        <w:t xml:space="preserve">Surface water systems play an important role in recharge processes. In the northwestern part of the basin, water from the </w:t>
      </w:r>
      <w:proofErr w:type="spellStart"/>
      <w:r w:rsidRPr="003A7BC5">
        <w:rPr>
          <w:rFonts w:ascii="Calibri" w:hAnsi="Calibri" w:cs="Calibri"/>
        </w:rPr>
        <w:t>Vrljika</w:t>
      </w:r>
      <w:proofErr w:type="spellEnd"/>
      <w:r w:rsidRPr="003A7BC5">
        <w:rPr>
          <w:rFonts w:ascii="Calibri" w:hAnsi="Calibri" w:cs="Calibri"/>
        </w:rPr>
        <w:t xml:space="preserve"> River and its tributaries infiltrates into the karst system and continues underground through the </w:t>
      </w:r>
      <w:proofErr w:type="spellStart"/>
      <w:r w:rsidRPr="003A7BC5">
        <w:rPr>
          <w:rFonts w:ascii="Calibri" w:hAnsi="Calibri" w:cs="Calibri"/>
        </w:rPr>
        <w:t>Trebižat</w:t>
      </w:r>
      <w:proofErr w:type="spellEnd"/>
      <w:r w:rsidRPr="003A7BC5">
        <w:rPr>
          <w:rFonts w:ascii="Calibri" w:hAnsi="Calibri" w:cs="Calibri"/>
        </w:rPr>
        <w:t xml:space="preserve"> River system. Along certain stretches of the </w:t>
      </w:r>
      <w:proofErr w:type="spellStart"/>
      <w:r w:rsidRPr="003A7BC5">
        <w:rPr>
          <w:rFonts w:ascii="Calibri" w:hAnsi="Calibri" w:cs="Calibri"/>
        </w:rPr>
        <w:t>Trebižat</w:t>
      </w:r>
      <w:proofErr w:type="spellEnd"/>
      <w:r w:rsidRPr="003A7BC5">
        <w:rPr>
          <w:rFonts w:ascii="Calibri" w:hAnsi="Calibri" w:cs="Calibri"/>
        </w:rPr>
        <w:t xml:space="preserve"> River, part of the flow sinks into the subsurface and continues toward the </w:t>
      </w:r>
      <w:proofErr w:type="spellStart"/>
      <w:r w:rsidRPr="003A7BC5">
        <w:rPr>
          <w:rFonts w:ascii="Calibri" w:hAnsi="Calibri" w:cs="Calibri"/>
        </w:rPr>
        <w:t>Kravica</w:t>
      </w:r>
      <w:proofErr w:type="spellEnd"/>
      <w:r w:rsidRPr="003A7BC5">
        <w:rPr>
          <w:rFonts w:ascii="Calibri" w:hAnsi="Calibri" w:cs="Calibri"/>
        </w:rPr>
        <w:t xml:space="preserve"> watercourse </w:t>
      </w:r>
      <w:r w:rsidRPr="003A7BC5">
        <w:rPr>
          <w:rFonts w:ascii="Calibri" w:hAnsi="Calibri" w:cs="Calibri"/>
        </w:rPr>
        <w:lastRenderedPageBreak/>
        <w:t xml:space="preserve">and further toward the Neretva River. In this part of the basin, groundwater flow is directed from the northwest toward the southeast, following the geological structure toward the </w:t>
      </w:r>
      <w:proofErr w:type="spellStart"/>
      <w:r w:rsidRPr="003A7BC5">
        <w:rPr>
          <w:rFonts w:ascii="Calibri" w:hAnsi="Calibri" w:cs="Calibri"/>
        </w:rPr>
        <w:t>Prud</w:t>
      </w:r>
      <w:proofErr w:type="spellEnd"/>
      <w:r w:rsidRPr="003A7BC5">
        <w:rPr>
          <w:rFonts w:ascii="Calibri" w:hAnsi="Calibri" w:cs="Calibri"/>
        </w:rPr>
        <w:t xml:space="preserve"> spring.</w:t>
      </w:r>
    </w:p>
    <w:p w14:paraId="0EE84AD9" w14:textId="77777777" w:rsidR="006A15BF" w:rsidRPr="003A7BC5" w:rsidRDefault="006A15BF" w:rsidP="006A15BF">
      <w:pPr>
        <w:jc w:val="both"/>
        <w:rPr>
          <w:rFonts w:ascii="Calibri" w:hAnsi="Calibri" w:cs="Calibri"/>
        </w:rPr>
      </w:pPr>
      <w:r w:rsidRPr="003A7BC5">
        <w:rPr>
          <w:rFonts w:ascii="Calibri" w:hAnsi="Calibri" w:cs="Calibri"/>
        </w:rPr>
        <w:t xml:space="preserve">Groundwater discharge occurs through major karst springs, of which </w:t>
      </w:r>
      <w:proofErr w:type="spellStart"/>
      <w:r w:rsidRPr="003A7BC5">
        <w:rPr>
          <w:rFonts w:ascii="Calibri" w:hAnsi="Calibri" w:cs="Calibri"/>
        </w:rPr>
        <w:t>Opačac</w:t>
      </w:r>
      <w:proofErr w:type="spellEnd"/>
      <w:r w:rsidRPr="003A7BC5">
        <w:rPr>
          <w:rFonts w:ascii="Calibri" w:hAnsi="Calibri" w:cs="Calibri"/>
        </w:rPr>
        <w:t xml:space="preserve"> and </w:t>
      </w:r>
      <w:proofErr w:type="spellStart"/>
      <w:r w:rsidRPr="003A7BC5">
        <w:rPr>
          <w:rFonts w:ascii="Calibri" w:hAnsi="Calibri" w:cs="Calibri"/>
        </w:rPr>
        <w:t>Prud</w:t>
      </w:r>
      <w:proofErr w:type="spellEnd"/>
      <w:r w:rsidRPr="003A7BC5">
        <w:rPr>
          <w:rFonts w:ascii="Calibri" w:hAnsi="Calibri" w:cs="Calibri"/>
        </w:rPr>
        <w:t xml:space="preserve"> are the most significant. The </w:t>
      </w:r>
      <w:proofErr w:type="spellStart"/>
      <w:r w:rsidRPr="003A7BC5">
        <w:rPr>
          <w:rFonts w:ascii="Calibri" w:hAnsi="Calibri" w:cs="Calibri"/>
        </w:rPr>
        <w:t>Prud</w:t>
      </w:r>
      <w:proofErr w:type="spellEnd"/>
      <w:r w:rsidRPr="003A7BC5">
        <w:rPr>
          <w:rFonts w:ascii="Calibri" w:hAnsi="Calibri" w:cs="Calibri"/>
        </w:rPr>
        <w:t xml:space="preserve"> spring, forming the Norin River, represents a key discharge point integrating groundwater flow from a large upstream catchment. Tracer tests and hydrogeological investigations confirm direct hydraulic connectivity between recharge zones and the spring, with relatively high groundwater flow velocities, particularly in the northwestern part of the basin.</w:t>
      </w:r>
    </w:p>
    <w:p w14:paraId="008C0D20" w14:textId="77777777" w:rsidR="006A15BF" w:rsidRPr="003A7BC5" w:rsidRDefault="006A15BF" w:rsidP="006A15BF">
      <w:pPr>
        <w:jc w:val="both"/>
        <w:rPr>
          <w:rFonts w:ascii="Calibri" w:hAnsi="Calibri" w:cs="Calibri"/>
        </w:rPr>
      </w:pPr>
      <w:r w:rsidRPr="003A7BC5">
        <w:rPr>
          <w:rFonts w:ascii="Calibri" w:hAnsi="Calibri" w:cs="Calibri"/>
        </w:rPr>
        <w:t xml:space="preserve">The discharge regime of springs is typically karstic, characterised by significant differences between minimum and maximum flows. Total available groundwater resources are estimated at approximately 11 m³/s, while the minimum ecologically acceptable discharge is around 3.82 m³/s. Groundwater abstraction remains relatively limited, with approximately 0.43 m³/s currently tapped, mainly for water supply purposes. The </w:t>
      </w:r>
      <w:proofErr w:type="spellStart"/>
      <w:r w:rsidRPr="003A7BC5">
        <w:rPr>
          <w:rFonts w:ascii="Calibri" w:hAnsi="Calibri" w:cs="Calibri"/>
        </w:rPr>
        <w:t>Opačac</w:t>
      </w:r>
      <w:proofErr w:type="spellEnd"/>
      <w:r w:rsidRPr="003A7BC5">
        <w:rPr>
          <w:rFonts w:ascii="Calibri" w:hAnsi="Calibri" w:cs="Calibri"/>
        </w:rPr>
        <w:t xml:space="preserve"> spring represents the main source for the water supply system of Imotski, while the </w:t>
      </w:r>
      <w:proofErr w:type="spellStart"/>
      <w:r w:rsidRPr="003A7BC5">
        <w:rPr>
          <w:rFonts w:ascii="Calibri" w:hAnsi="Calibri" w:cs="Calibri"/>
        </w:rPr>
        <w:t>Prud</w:t>
      </w:r>
      <w:proofErr w:type="spellEnd"/>
      <w:r w:rsidRPr="003A7BC5">
        <w:rPr>
          <w:rFonts w:ascii="Calibri" w:hAnsi="Calibri" w:cs="Calibri"/>
        </w:rPr>
        <w:t xml:space="preserve"> spring supplies downstream areas.</w:t>
      </w:r>
    </w:p>
    <w:p w14:paraId="17E03123" w14:textId="77777777" w:rsidR="006A15BF" w:rsidRPr="003A7BC5" w:rsidRDefault="006A15BF" w:rsidP="006A15BF">
      <w:pPr>
        <w:jc w:val="both"/>
        <w:rPr>
          <w:rFonts w:ascii="Calibri" w:hAnsi="Calibri" w:cs="Calibri"/>
        </w:rPr>
      </w:pPr>
      <w:r w:rsidRPr="003A7BC5">
        <w:rPr>
          <w:rFonts w:ascii="Calibri" w:hAnsi="Calibri" w:cs="Calibri"/>
        </w:rPr>
        <w:t>The system is characterised by the absence of well-defined hydrogeological boundaries, allowing groundwater to flow in multiple directions depending on hydrological conditions. During periods of intense precipitation, rapid recharge activates conduit flow, resulting in increased flow velocities and reduced residence times. In contrast, during dry periods, flow is dominated by slower movement through the rock matrix, although natural attenuation remains limited.</w:t>
      </w:r>
    </w:p>
    <w:p w14:paraId="0EC9BB26" w14:textId="0FE6BFD2" w:rsidR="006A15BF" w:rsidRPr="003A7BC5" w:rsidRDefault="006A15BF" w:rsidP="006A15BF">
      <w:pPr>
        <w:jc w:val="both"/>
        <w:rPr>
          <w:rFonts w:ascii="Calibri" w:hAnsi="Calibri" w:cs="Calibri"/>
        </w:rPr>
      </w:pPr>
      <w:r w:rsidRPr="003A7BC5">
        <w:rPr>
          <w:rFonts w:ascii="Calibri" w:hAnsi="Calibri" w:cs="Calibri"/>
        </w:rPr>
        <w:t xml:space="preserve">The intrinsic vulnerability of the karst aquifer is very high due to its hydrogeological characteristics. High permeability, well-developed conduit networks, limited soil cover and strong hydraulic connectivity between surface and groundwater systems enable rapid transport of contaminants with minimal filtration. As a result, pollutants introduced in recharge areas can be transported over large distances and may affect key receptors, including the </w:t>
      </w:r>
      <w:proofErr w:type="spellStart"/>
      <w:r w:rsidRPr="003A7BC5">
        <w:rPr>
          <w:rFonts w:ascii="Calibri" w:hAnsi="Calibri" w:cs="Calibri"/>
        </w:rPr>
        <w:t>Prud</w:t>
      </w:r>
      <w:proofErr w:type="spellEnd"/>
      <w:r w:rsidRPr="003A7BC5">
        <w:rPr>
          <w:rFonts w:ascii="Calibri" w:hAnsi="Calibri" w:cs="Calibri"/>
        </w:rPr>
        <w:t xml:space="preserve"> spring and the Neretva </w:t>
      </w:r>
      <w:r>
        <w:rPr>
          <w:rFonts w:ascii="Calibri" w:hAnsi="Calibri" w:cs="Calibri"/>
        </w:rPr>
        <w:t>D</w:t>
      </w:r>
      <w:r w:rsidRPr="003A7BC5">
        <w:rPr>
          <w:rFonts w:ascii="Calibri" w:hAnsi="Calibri" w:cs="Calibri"/>
        </w:rPr>
        <w:t>elta.</w:t>
      </w:r>
    </w:p>
    <w:p w14:paraId="6C1D5EF5" w14:textId="632B0B54" w:rsidR="006A15BF" w:rsidRPr="003A7BC5" w:rsidRDefault="006A15BF" w:rsidP="006A15BF">
      <w:pPr>
        <w:jc w:val="both"/>
        <w:rPr>
          <w:rFonts w:ascii="Calibri" w:hAnsi="Calibri" w:cs="Calibri"/>
        </w:rPr>
      </w:pPr>
      <w:r w:rsidRPr="003A7BC5">
        <w:rPr>
          <w:rFonts w:ascii="Calibri" w:hAnsi="Calibri" w:cs="Calibri"/>
        </w:rPr>
        <w:t xml:space="preserve">In the lower part of the basin, particularly in the </w:t>
      </w:r>
      <w:r>
        <w:rPr>
          <w:rFonts w:ascii="Calibri" w:hAnsi="Calibri" w:cs="Calibri"/>
        </w:rPr>
        <w:t>D</w:t>
      </w:r>
      <w:r w:rsidRPr="003A7BC5">
        <w:rPr>
          <w:rFonts w:ascii="Calibri" w:hAnsi="Calibri" w:cs="Calibri"/>
        </w:rPr>
        <w:t>elta area, additional vulnerability is associated with the risk of salinity intrusion. Reduced freshwater inflow or increased groundwater abstraction may lead to inland movement of saline water, affecting both groundwater quality and agricultural use.</w:t>
      </w:r>
    </w:p>
    <w:p w14:paraId="7F4CA90D" w14:textId="77777777" w:rsidR="00EC5B31" w:rsidRDefault="00EC5B31" w:rsidP="00EC5B31"/>
    <w:p w14:paraId="59796883" w14:textId="52CD654C" w:rsidR="00EC5B31" w:rsidRPr="00EC5B31" w:rsidRDefault="00EC5B31" w:rsidP="00EC5B31">
      <w:pPr>
        <w:pStyle w:val="Heading2"/>
        <w:jc w:val="both"/>
        <w:rPr>
          <w:lang w:val="en-GB"/>
        </w:rPr>
      </w:pPr>
      <w:bookmarkStart w:id="84" w:name="_Toc229036214"/>
      <w:r w:rsidRPr="00EC5B31">
        <w:rPr>
          <w:lang w:val="en-GB"/>
        </w:rPr>
        <w:t xml:space="preserve">4.2 Recharge/discharge zones and flow patterns toward the </w:t>
      </w:r>
      <w:proofErr w:type="spellStart"/>
      <w:r w:rsidRPr="00EC5B31">
        <w:rPr>
          <w:lang w:val="en-GB"/>
        </w:rPr>
        <w:t>Prud</w:t>
      </w:r>
      <w:proofErr w:type="spellEnd"/>
      <w:r w:rsidRPr="00EC5B31">
        <w:rPr>
          <w:lang w:val="en-GB"/>
        </w:rPr>
        <w:t xml:space="preserve"> spring and the Neretva </w:t>
      </w:r>
      <w:r>
        <w:rPr>
          <w:lang w:val="en-GB"/>
        </w:rPr>
        <w:t>D</w:t>
      </w:r>
      <w:r w:rsidRPr="00EC5B31">
        <w:rPr>
          <w:lang w:val="en-GB"/>
        </w:rPr>
        <w:t>elta</w:t>
      </w:r>
      <w:bookmarkEnd w:id="84"/>
    </w:p>
    <w:p w14:paraId="21AB55B7" w14:textId="5FF95DCD" w:rsidR="00EC5B31" w:rsidRPr="00EC5B31" w:rsidRDefault="00EC5B31" w:rsidP="00EC5B31">
      <w:pPr>
        <w:jc w:val="both"/>
        <w:rPr>
          <w:rFonts w:cstheme="minorHAnsi"/>
        </w:rPr>
      </w:pPr>
      <w:r w:rsidRPr="00EC5B31">
        <w:rPr>
          <w:rFonts w:cstheme="minorHAnsi"/>
        </w:rPr>
        <w:t>The karst aquifer system of Neretva TBA is characterized by complex recharge and discharge relationships, controlled by lithological composition, structural features and hydrological conditions. Recharge occurs predominantly in karst poljes and highly permeable carbonate terrains, where direct infiltration of precipitation and losses from surface watercourses represent the main mechanisms of groundwater input.</w:t>
      </w:r>
    </w:p>
    <w:p w14:paraId="45040514" w14:textId="77777777" w:rsidR="00EC5B31" w:rsidRPr="00EC5B31" w:rsidRDefault="00EC5B31" w:rsidP="00EC5B31">
      <w:pPr>
        <w:jc w:val="both"/>
        <w:rPr>
          <w:rFonts w:cstheme="minorHAnsi"/>
        </w:rPr>
      </w:pPr>
      <w:r w:rsidRPr="00EC5B31">
        <w:rPr>
          <w:rFonts w:cstheme="minorHAnsi"/>
        </w:rPr>
        <w:t xml:space="preserve">The principal recharge zones include the </w:t>
      </w:r>
      <w:proofErr w:type="spellStart"/>
      <w:r w:rsidRPr="00EC5B31">
        <w:rPr>
          <w:rFonts w:cstheme="minorHAnsi"/>
        </w:rPr>
        <w:t>Imotsko</w:t>
      </w:r>
      <w:proofErr w:type="spellEnd"/>
      <w:r w:rsidRPr="00EC5B31">
        <w:rPr>
          <w:rFonts w:cstheme="minorHAnsi"/>
        </w:rPr>
        <w:t xml:space="preserve">, </w:t>
      </w:r>
      <w:proofErr w:type="spellStart"/>
      <w:r w:rsidRPr="00EC5B31">
        <w:rPr>
          <w:rFonts w:cstheme="minorHAnsi"/>
        </w:rPr>
        <w:t>Ljubuško</w:t>
      </w:r>
      <w:proofErr w:type="spellEnd"/>
      <w:r w:rsidRPr="00EC5B31">
        <w:rPr>
          <w:rFonts w:cstheme="minorHAnsi"/>
        </w:rPr>
        <w:t xml:space="preserve"> and </w:t>
      </w:r>
      <w:proofErr w:type="spellStart"/>
      <w:r w:rsidRPr="00EC5B31">
        <w:rPr>
          <w:rFonts w:cstheme="minorHAnsi"/>
        </w:rPr>
        <w:t>Rastok</w:t>
      </w:r>
      <w:proofErr w:type="spellEnd"/>
      <w:r w:rsidRPr="00EC5B31">
        <w:rPr>
          <w:rFonts w:cstheme="minorHAnsi"/>
        </w:rPr>
        <w:t xml:space="preserve"> poljes, which form hydraulically connected units within the broader karst system. In these areas, thin or absent soil cover, combined with developed karstification, enables rapid infiltration of water through </w:t>
      </w:r>
      <w:r w:rsidRPr="00EC5B31">
        <w:rPr>
          <w:rFonts w:cstheme="minorHAnsi"/>
        </w:rPr>
        <w:lastRenderedPageBreak/>
        <w:t xml:space="preserve">sinkholes, fractures and ponor zones. During high-flow conditions, temporary flooding of poljes significantly enhances recharge, allowing large volumes of water to enter the subsurface system within short time periods </w:t>
      </w:r>
    </w:p>
    <w:p w14:paraId="4643A190" w14:textId="77777777" w:rsidR="00EC5B31" w:rsidRPr="00EC5B31" w:rsidRDefault="00EC5B31" w:rsidP="00EC5B31">
      <w:pPr>
        <w:jc w:val="both"/>
        <w:rPr>
          <w:rFonts w:cstheme="minorHAnsi"/>
        </w:rPr>
      </w:pPr>
      <w:r w:rsidRPr="00EC5B31">
        <w:rPr>
          <w:rFonts w:cstheme="minorHAnsi"/>
        </w:rPr>
        <w:t xml:space="preserve">Surface watercourses play a major role in recharge processes. The </w:t>
      </w:r>
      <w:proofErr w:type="spellStart"/>
      <w:r w:rsidRPr="00EC5B31">
        <w:rPr>
          <w:rFonts w:cstheme="minorHAnsi"/>
        </w:rPr>
        <w:t>Vrljika</w:t>
      </w:r>
      <w:proofErr w:type="spellEnd"/>
      <w:r w:rsidRPr="00EC5B31">
        <w:rPr>
          <w:rFonts w:cstheme="minorHAnsi"/>
        </w:rPr>
        <w:t xml:space="preserve"> River system and its tributaries lose water into the karst subsurface, while the </w:t>
      </w:r>
      <w:proofErr w:type="spellStart"/>
      <w:r w:rsidRPr="00EC5B31">
        <w:rPr>
          <w:rFonts w:cstheme="minorHAnsi"/>
        </w:rPr>
        <w:t>Trebižat</w:t>
      </w:r>
      <w:proofErr w:type="spellEnd"/>
      <w:r w:rsidRPr="00EC5B31">
        <w:rPr>
          <w:rFonts w:cstheme="minorHAnsi"/>
        </w:rPr>
        <w:t xml:space="preserve"> River represents a key hydrological element linking upstream recharge zones with downstream discharge areas. Along certain sections of its course, particularly downstream of </w:t>
      </w:r>
      <w:proofErr w:type="spellStart"/>
      <w:r w:rsidRPr="00EC5B31">
        <w:rPr>
          <w:rFonts w:cstheme="minorHAnsi"/>
        </w:rPr>
        <w:t>Ljubuško</w:t>
      </w:r>
      <w:proofErr w:type="spellEnd"/>
      <w:r w:rsidRPr="00EC5B31">
        <w:rPr>
          <w:rFonts w:cstheme="minorHAnsi"/>
        </w:rPr>
        <w:t xml:space="preserve"> polje, the </w:t>
      </w:r>
      <w:proofErr w:type="spellStart"/>
      <w:r w:rsidRPr="00EC5B31">
        <w:rPr>
          <w:rFonts w:cstheme="minorHAnsi"/>
        </w:rPr>
        <w:t>Trebižat</w:t>
      </w:r>
      <w:proofErr w:type="spellEnd"/>
      <w:r w:rsidRPr="00EC5B31">
        <w:rPr>
          <w:rFonts w:cstheme="minorHAnsi"/>
        </w:rPr>
        <w:t xml:space="preserve"> River exhibits losing characteristics, with part of its flow infiltrating into the karst aquifer and contributing to groundwater recharge.</w:t>
      </w:r>
    </w:p>
    <w:p w14:paraId="2B99EE3A" w14:textId="77777777" w:rsidR="00EC5B31" w:rsidRPr="00EC5B31" w:rsidRDefault="00EC5B31" w:rsidP="00EC5B31">
      <w:pPr>
        <w:jc w:val="both"/>
        <w:rPr>
          <w:rFonts w:cstheme="minorHAnsi"/>
        </w:rPr>
      </w:pPr>
      <w:r w:rsidRPr="00EC5B31">
        <w:rPr>
          <w:rFonts w:cstheme="minorHAnsi"/>
        </w:rPr>
        <w:t>Groundwater flow is generally directed from the northwestern and central parts of the basin toward the southeast, following the regional geological structure and structural discontinuities. This flow pattern is strongly controlled by faults and tectonic contacts, which act as preferential pathways for groundwater movement. Flow velocities and directions are highly variable and depend on hydrological conditions, with significantly faster transport occurring along structural alignments compared to directions perpendicular to them.</w:t>
      </w:r>
    </w:p>
    <w:p w14:paraId="4B54E389" w14:textId="77777777" w:rsidR="00EC5B31" w:rsidRPr="00EC5B31" w:rsidRDefault="00EC5B31" w:rsidP="00EC5B31">
      <w:pPr>
        <w:jc w:val="both"/>
        <w:rPr>
          <w:rFonts w:cstheme="minorHAnsi"/>
        </w:rPr>
      </w:pPr>
      <w:r w:rsidRPr="00EC5B31">
        <w:rPr>
          <w:rFonts w:cstheme="minorHAnsi"/>
        </w:rPr>
        <w:t xml:space="preserve">Tracer tests conducted in the wider study area provide key evidence of hydraulic connectivity and flow patterns. Although early tracer experiments show varying levels of reliability due to methodological limitations, more recent investigations confirm the existence of complex and multi-directional groundwater flow systems. Tracer tests performed in the </w:t>
      </w:r>
      <w:proofErr w:type="spellStart"/>
      <w:r w:rsidRPr="00EC5B31">
        <w:rPr>
          <w:rFonts w:cstheme="minorHAnsi"/>
        </w:rPr>
        <w:t>Ljubuško</w:t>
      </w:r>
      <w:proofErr w:type="spellEnd"/>
      <w:r w:rsidRPr="00EC5B31">
        <w:rPr>
          <w:rFonts w:cstheme="minorHAnsi"/>
        </w:rPr>
        <w:t xml:space="preserve"> area (e.g. ponor </w:t>
      </w:r>
      <w:proofErr w:type="spellStart"/>
      <w:r w:rsidRPr="00EC5B31">
        <w:rPr>
          <w:rFonts w:cstheme="minorHAnsi"/>
        </w:rPr>
        <w:t>Vrcić</w:t>
      </w:r>
      <w:proofErr w:type="spellEnd"/>
      <w:r w:rsidRPr="00EC5B31">
        <w:rPr>
          <w:rFonts w:cstheme="minorHAnsi"/>
        </w:rPr>
        <w:t xml:space="preserve">) have demonstrated direct hydraulic connections with the </w:t>
      </w:r>
      <w:proofErr w:type="spellStart"/>
      <w:r w:rsidRPr="00EC5B31">
        <w:rPr>
          <w:rFonts w:cstheme="minorHAnsi"/>
        </w:rPr>
        <w:t>Prud</w:t>
      </w:r>
      <w:proofErr w:type="spellEnd"/>
      <w:r w:rsidRPr="00EC5B31">
        <w:rPr>
          <w:rFonts w:cstheme="minorHAnsi"/>
        </w:rPr>
        <w:t xml:space="preserve"> spring, confirming that recharge from this area contributes to the spring discharge (Slišković, 2001). At the same time, other tracer studies indicate connections toward different discharge zones, reflecting the distributed and dynamic nature of the karst system (Terzić et al., 2015).</w:t>
      </w:r>
    </w:p>
    <w:p w14:paraId="12A9EF04" w14:textId="77777777" w:rsidR="00EC5B31" w:rsidRPr="00EC5B31" w:rsidRDefault="00EC5B31" w:rsidP="00EC5B31">
      <w:pPr>
        <w:jc w:val="both"/>
        <w:rPr>
          <w:rFonts w:cstheme="minorHAnsi"/>
        </w:rPr>
      </w:pPr>
      <w:r w:rsidRPr="00EC5B31">
        <w:rPr>
          <w:rFonts w:cstheme="minorHAnsi"/>
        </w:rPr>
        <w:t>Groundwater flow velocities derived from tracer tests typically range from below 1 cm/s to approximately 1–2 cm/s, depending on the location and hydrological conditions. Lower velocities are generally associated with zones of storage and diffuse flow, while higher velocities indicate well-developed conduit flow systems (</w:t>
      </w:r>
      <w:proofErr w:type="spellStart"/>
      <w:r w:rsidRPr="00EC5B31">
        <w:rPr>
          <w:rFonts w:cstheme="minorHAnsi"/>
        </w:rPr>
        <w:t>Ivičić</w:t>
      </w:r>
      <w:proofErr w:type="spellEnd"/>
      <w:r w:rsidRPr="00EC5B31">
        <w:rPr>
          <w:rFonts w:cstheme="minorHAnsi"/>
        </w:rPr>
        <w:t xml:space="preserve"> &amp; Pavičić, 1997). These results confirm the presence of both rapid transport pathways and slower retention zones within the aquifer.</w:t>
      </w:r>
    </w:p>
    <w:p w14:paraId="1C4323AE" w14:textId="77777777" w:rsidR="00EC5B31" w:rsidRPr="00EC5B31" w:rsidRDefault="00EC5B31" w:rsidP="00EC5B31">
      <w:pPr>
        <w:jc w:val="both"/>
        <w:rPr>
          <w:rFonts w:cstheme="minorHAnsi"/>
        </w:rPr>
      </w:pPr>
      <w:r w:rsidRPr="00EC5B31">
        <w:rPr>
          <w:rFonts w:cstheme="minorHAnsi"/>
        </w:rPr>
        <w:t xml:space="preserve">The discharge of groundwater occurs through major karst springs and diffuse outflows. The </w:t>
      </w:r>
      <w:proofErr w:type="spellStart"/>
      <w:r w:rsidRPr="00EC5B31">
        <w:rPr>
          <w:rFonts w:cstheme="minorHAnsi"/>
        </w:rPr>
        <w:t>Prud</w:t>
      </w:r>
      <w:proofErr w:type="spellEnd"/>
      <w:r w:rsidRPr="00EC5B31">
        <w:rPr>
          <w:rFonts w:cstheme="minorHAnsi"/>
        </w:rPr>
        <w:t xml:space="preserve"> spring represents the most significant discharge point in the study area, acting as a regional collector of groundwater originating from a large upstream catchment. The spring is in the lower Neretva basin and forms the Norin River. Hydrogeological investigations indicate that its catchment extends over a wide and complex area, including parts of </w:t>
      </w:r>
      <w:proofErr w:type="spellStart"/>
      <w:r w:rsidRPr="00EC5B31">
        <w:rPr>
          <w:rFonts w:cstheme="minorHAnsi"/>
        </w:rPr>
        <w:t>Ljubuško</w:t>
      </w:r>
      <w:proofErr w:type="spellEnd"/>
      <w:r w:rsidRPr="00EC5B31">
        <w:rPr>
          <w:rFonts w:cstheme="minorHAnsi"/>
        </w:rPr>
        <w:t xml:space="preserve"> polje and the </w:t>
      </w:r>
      <w:proofErr w:type="spellStart"/>
      <w:r w:rsidRPr="00EC5B31">
        <w:rPr>
          <w:rFonts w:cstheme="minorHAnsi"/>
        </w:rPr>
        <w:t>Trebižat</w:t>
      </w:r>
      <w:proofErr w:type="spellEnd"/>
      <w:r w:rsidRPr="00EC5B31">
        <w:rPr>
          <w:rFonts w:cstheme="minorHAnsi"/>
        </w:rPr>
        <w:t xml:space="preserve"> River basin.</w:t>
      </w:r>
    </w:p>
    <w:p w14:paraId="56BC78AA" w14:textId="4C8135E7" w:rsidR="00EC5B31" w:rsidRPr="00EC5B31" w:rsidRDefault="00EC5B31" w:rsidP="00EC5B31">
      <w:pPr>
        <w:jc w:val="both"/>
        <w:rPr>
          <w:rFonts w:cstheme="minorHAnsi"/>
        </w:rPr>
      </w:pPr>
      <w:r w:rsidRPr="00EC5B31">
        <w:rPr>
          <w:rFonts w:cstheme="minorHAnsi"/>
        </w:rPr>
        <w:t xml:space="preserve">The delineation of recharge zones for the </w:t>
      </w:r>
      <w:proofErr w:type="spellStart"/>
      <w:r w:rsidRPr="00EC5B31">
        <w:rPr>
          <w:rFonts w:cstheme="minorHAnsi"/>
        </w:rPr>
        <w:t>Prud</w:t>
      </w:r>
      <w:proofErr w:type="spellEnd"/>
      <w:r w:rsidRPr="00EC5B31">
        <w:rPr>
          <w:rFonts w:cstheme="minorHAnsi"/>
        </w:rPr>
        <w:t xml:space="preserve"> spring is based on hydrogeological analysis and water balance considerations. The direct contribution from the inner protection zones (zones I and II) is estimated at approximately 0.7 m³/s, while additional contributions originate from wider areas (zone III and beyond), where groundwater flow is partially directed toward the </w:t>
      </w:r>
      <w:proofErr w:type="spellStart"/>
      <w:r w:rsidRPr="00EC5B31">
        <w:rPr>
          <w:rFonts w:cstheme="minorHAnsi"/>
        </w:rPr>
        <w:t>Trebižat</w:t>
      </w:r>
      <w:proofErr w:type="spellEnd"/>
      <w:r w:rsidRPr="00EC5B31">
        <w:rPr>
          <w:rFonts w:cstheme="minorHAnsi"/>
        </w:rPr>
        <w:t xml:space="preserve"> River and partially toward the </w:t>
      </w:r>
      <w:proofErr w:type="spellStart"/>
      <w:r w:rsidRPr="00EC5B31">
        <w:rPr>
          <w:rFonts w:cstheme="minorHAnsi"/>
        </w:rPr>
        <w:t>Prud</w:t>
      </w:r>
      <w:proofErr w:type="spellEnd"/>
      <w:r w:rsidRPr="00EC5B31">
        <w:rPr>
          <w:rFonts w:cstheme="minorHAnsi"/>
        </w:rPr>
        <w:t xml:space="preserve"> spring. It is estimated that a portion of these flows (approximately 1 m³/s) contributes directly to the spring, while indirect contributions occur through losses from the </w:t>
      </w:r>
      <w:proofErr w:type="spellStart"/>
      <w:r w:rsidRPr="00EC5B31">
        <w:rPr>
          <w:rFonts w:cstheme="minorHAnsi"/>
        </w:rPr>
        <w:t>Trebižat</w:t>
      </w:r>
      <w:proofErr w:type="spellEnd"/>
      <w:r w:rsidRPr="00EC5B31">
        <w:rPr>
          <w:rFonts w:cstheme="minorHAnsi"/>
        </w:rPr>
        <w:t xml:space="preserve"> River, estimated at around 4.5 m³/s. The total average discharge </w:t>
      </w:r>
      <w:r w:rsidRPr="00EC5B31">
        <w:rPr>
          <w:rFonts w:cstheme="minorHAnsi"/>
        </w:rPr>
        <w:lastRenderedPageBreak/>
        <w:t xml:space="preserve">of the </w:t>
      </w:r>
      <w:proofErr w:type="spellStart"/>
      <w:r w:rsidRPr="00EC5B31">
        <w:rPr>
          <w:rFonts w:cstheme="minorHAnsi"/>
        </w:rPr>
        <w:t>Prud</w:t>
      </w:r>
      <w:proofErr w:type="spellEnd"/>
      <w:r w:rsidRPr="00EC5B31">
        <w:rPr>
          <w:rFonts w:cstheme="minorHAnsi"/>
        </w:rPr>
        <w:t xml:space="preserve"> spring is therefore estimated at approximately 6.2</w:t>
      </w:r>
      <w:r>
        <w:rPr>
          <w:rFonts w:cstheme="minorHAnsi"/>
        </w:rPr>
        <w:t>-</w:t>
      </w:r>
      <w:r w:rsidRPr="00EC5B31">
        <w:rPr>
          <w:rFonts w:cstheme="minorHAnsi"/>
        </w:rPr>
        <w:t>6.3 m³/s, which is consistent with measured values and basin-scale water balance assessments.</w:t>
      </w:r>
    </w:p>
    <w:p w14:paraId="176E0347" w14:textId="77777777" w:rsidR="00EC5B31" w:rsidRPr="00EC5B31" w:rsidRDefault="00EC5B31" w:rsidP="00EC5B31">
      <w:pPr>
        <w:jc w:val="both"/>
        <w:rPr>
          <w:rFonts w:cstheme="minorHAnsi"/>
        </w:rPr>
      </w:pPr>
      <w:r w:rsidRPr="00EC5B31">
        <w:rPr>
          <w:rFonts w:cstheme="minorHAnsi"/>
        </w:rPr>
        <w:t>The broader catchment area contributing to the system, including zone IV, covers a large part of the basin (approximately 894 km²), highlighting the regional scale of groundwater flow processes. Within this system, significant losses from surface watercourses and redistribution of groundwater between sub-basins occur, further increasing the complexity of flow patterns.</w:t>
      </w:r>
    </w:p>
    <w:p w14:paraId="72807562" w14:textId="77777777" w:rsidR="00EC5B31" w:rsidRPr="00EC5B31" w:rsidRDefault="00EC5B31" w:rsidP="00EC5B31">
      <w:pPr>
        <w:jc w:val="both"/>
        <w:rPr>
          <w:rFonts w:cstheme="minorHAnsi"/>
        </w:rPr>
      </w:pPr>
      <w:r w:rsidRPr="00EC5B31">
        <w:rPr>
          <w:rFonts w:cstheme="minorHAnsi"/>
        </w:rPr>
        <w:t>The hydrogeological boundaries of the aquifer are not sharply defined. In karst terrains, watershed divides are typically diffuse and may shift depending on hydrological conditions. As a result, groundwater flow directions and contributing areas may vary over time, particularly during high-flow events. This zonal character of groundwater divides is a key feature of the system and must be considered in water management and protection planning.</w:t>
      </w:r>
    </w:p>
    <w:p w14:paraId="45243274" w14:textId="34105DA8" w:rsidR="00EC5B31" w:rsidRPr="00EC5B31" w:rsidRDefault="00EC5B31" w:rsidP="00EC5B31">
      <w:pPr>
        <w:jc w:val="both"/>
        <w:rPr>
          <w:rFonts w:cstheme="minorHAnsi"/>
        </w:rPr>
      </w:pPr>
      <w:r w:rsidRPr="00EC5B31">
        <w:rPr>
          <w:rFonts w:cstheme="minorHAnsi"/>
        </w:rPr>
        <w:t xml:space="preserve">Downstream, groundwater discharge continues toward the Neretva </w:t>
      </w:r>
      <w:r>
        <w:rPr>
          <w:rFonts w:cstheme="minorHAnsi"/>
        </w:rPr>
        <w:t>D</w:t>
      </w:r>
      <w:r w:rsidRPr="00EC5B31">
        <w:rPr>
          <w:rFonts w:cstheme="minorHAnsi"/>
        </w:rPr>
        <w:t xml:space="preserve">elta, where interactions between freshwater and saline water occur. In this transitional zone, reduced hydraulic gradients and mixing processes influence both groundwater flow and water quality. The </w:t>
      </w:r>
      <w:r>
        <w:rPr>
          <w:rFonts w:cstheme="minorHAnsi"/>
        </w:rPr>
        <w:t>D</w:t>
      </w:r>
      <w:r w:rsidRPr="00EC5B31">
        <w:rPr>
          <w:rFonts w:cstheme="minorHAnsi"/>
        </w:rPr>
        <w:t>elta represents a final integration point of upstream recharge and flow processes, where cumulative impacts of the entire basin are manifested.</w:t>
      </w:r>
    </w:p>
    <w:p w14:paraId="40EC43CB" w14:textId="759DED18" w:rsidR="00EC5B31" w:rsidRDefault="00EC5B31" w:rsidP="00EC5B31">
      <w:pPr>
        <w:jc w:val="both"/>
        <w:rPr>
          <w:rFonts w:cstheme="minorHAnsi"/>
        </w:rPr>
      </w:pPr>
      <w:r w:rsidRPr="00EC5B31">
        <w:rPr>
          <w:rFonts w:cstheme="minorHAnsi"/>
        </w:rPr>
        <w:t xml:space="preserve">These characteristics confirm that the system is dominated by rapid groundwater transport and strong hydraulic connectivity, resulting in limited retention capacity and high sensitivity to contamination originating in recharge areas. This has direct implications for water quality protection, as pressures from upstream zones can be efficiently transferred toward key discharge points such as the </w:t>
      </w:r>
      <w:proofErr w:type="spellStart"/>
      <w:r w:rsidRPr="00EC5B31">
        <w:rPr>
          <w:rFonts w:cstheme="minorHAnsi"/>
        </w:rPr>
        <w:t>Prud</w:t>
      </w:r>
      <w:proofErr w:type="spellEnd"/>
      <w:r w:rsidRPr="00EC5B31">
        <w:rPr>
          <w:rFonts w:cstheme="minorHAnsi"/>
        </w:rPr>
        <w:t xml:space="preserve"> spring and further downstream toward the Neretva </w:t>
      </w:r>
      <w:r>
        <w:rPr>
          <w:rFonts w:cstheme="minorHAnsi"/>
        </w:rPr>
        <w:t>D</w:t>
      </w:r>
      <w:r w:rsidRPr="00EC5B31">
        <w:rPr>
          <w:rFonts w:cstheme="minorHAnsi"/>
        </w:rPr>
        <w:t>elta.</w:t>
      </w:r>
    </w:p>
    <w:p w14:paraId="4F27B15E" w14:textId="77777777" w:rsidR="00EC5B31" w:rsidRDefault="00EC5B31" w:rsidP="00EC5B31">
      <w:pPr>
        <w:jc w:val="both"/>
        <w:rPr>
          <w:rFonts w:cstheme="minorHAnsi"/>
        </w:rPr>
      </w:pPr>
    </w:p>
    <w:p w14:paraId="6CC57400" w14:textId="77777777" w:rsidR="00EC5B31" w:rsidRPr="00F75A45" w:rsidRDefault="00EC5B31" w:rsidP="00F75A45">
      <w:pPr>
        <w:pStyle w:val="Heading2"/>
        <w:rPr>
          <w:lang w:val="en-GB"/>
        </w:rPr>
      </w:pPr>
      <w:bookmarkStart w:id="85" w:name="_Toc229036215"/>
      <w:r w:rsidRPr="00F75A45">
        <w:rPr>
          <w:lang w:val="en-GB"/>
        </w:rPr>
        <w:t>4.3 Groundwater</w:t>
      </w:r>
      <w:r w:rsidRPr="00F75A45">
        <w:rPr>
          <w:rFonts w:ascii="Cambria Math" w:hAnsi="Cambria Math" w:cs="Cambria Math"/>
          <w:lang w:val="en-GB"/>
        </w:rPr>
        <w:t>‑</w:t>
      </w:r>
      <w:r w:rsidRPr="00F75A45">
        <w:rPr>
          <w:lang w:val="en-GB"/>
        </w:rPr>
        <w:t>dependent ecosystems</w:t>
      </w:r>
      <w:bookmarkEnd w:id="85"/>
    </w:p>
    <w:p w14:paraId="6E0010B8" w14:textId="39282D70" w:rsidR="00EC5B31" w:rsidRPr="00F75A45" w:rsidRDefault="00EC5B31" w:rsidP="00F75A45">
      <w:pPr>
        <w:jc w:val="both"/>
        <w:rPr>
          <w:rFonts w:cstheme="minorHAnsi"/>
        </w:rPr>
      </w:pPr>
      <w:r w:rsidRPr="00F75A45">
        <w:rPr>
          <w:rFonts w:cstheme="minorHAnsi"/>
        </w:rPr>
        <w:t>In the karst region</w:t>
      </w:r>
      <w:r w:rsidR="00562C5E">
        <w:rPr>
          <w:rFonts w:cstheme="minorHAnsi"/>
        </w:rPr>
        <w:t>,</w:t>
      </w:r>
      <w:r w:rsidRPr="00F75A45">
        <w:rPr>
          <w:rFonts w:cstheme="minorHAnsi"/>
        </w:rPr>
        <w:t xml:space="preserve"> groundwater is multiply interconnected with surface water. Primarily considers karst aquifers, i.e., caves exclusively dependent on groundwater, as well as all other ecosystems linked to the groundwater base level in karst, such as karst springs, rivers, and lakes.</w:t>
      </w:r>
    </w:p>
    <w:p w14:paraId="138E5244" w14:textId="6511169A" w:rsidR="00EC5B31" w:rsidRPr="00F75A45" w:rsidRDefault="00EC5B31" w:rsidP="00F75A45">
      <w:pPr>
        <w:jc w:val="both"/>
        <w:rPr>
          <w:rFonts w:cstheme="minorHAnsi"/>
        </w:rPr>
      </w:pPr>
      <w:r w:rsidRPr="00F75A45">
        <w:rPr>
          <w:rFonts w:cstheme="minorHAnsi"/>
        </w:rPr>
        <w:t>Surface waters in alluvia</w:t>
      </w:r>
      <w:r w:rsidR="00F75A45">
        <w:rPr>
          <w:rFonts w:cstheme="minorHAnsi"/>
        </w:rPr>
        <w:t>l</w:t>
      </w:r>
      <w:r w:rsidRPr="00F75A45">
        <w:rPr>
          <w:rFonts w:cstheme="minorHAnsi"/>
        </w:rPr>
        <w:t xml:space="preserve"> terrain sections sink into the subsurface, flow underground, and resurface upon encountering less permeable deposits (barriers), forming surface streams. A typical example of such interconnectivity includes groundwater discharge points at contacts with less permeable rocks, the formation of surface streams (e.g., along karst fields), and the sinking of watercourses into the subsurface upon reaching carbonate rocks.</w:t>
      </w:r>
    </w:p>
    <w:p w14:paraId="55F6B213" w14:textId="5563F17C" w:rsidR="00EC5B31" w:rsidRPr="00F75A45" w:rsidRDefault="00EC5B31" w:rsidP="00F75A45">
      <w:pPr>
        <w:jc w:val="both"/>
        <w:rPr>
          <w:rFonts w:cstheme="minorHAnsi"/>
        </w:rPr>
      </w:pPr>
      <w:r w:rsidRPr="00F75A45">
        <w:rPr>
          <w:rFonts w:cstheme="minorHAnsi"/>
        </w:rPr>
        <w:t>The dominant groundwater-dependent ecosystem in Croatia comprises aquatic (freshwater) karst cave habitats (per the National Habitat Classification, NHC), i.e., caves and pits closed to the public (per Natura 2000), many of which are associated with natural groundwater discharge sites (springs). As previously noted, only those speleological features extending to the groundwater level in the saturated zone of the karst aquifer are considered.</w:t>
      </w:r>
    </w:p>
    <w:p w14:paraId="741A65A8" w14:textId="77777777" w:rsidR="00EC5B31" w:rsidRPr="00F75A45" w:rsidRDefault="00EC5B31" w:rsidP="00F75A45">
      <w:pPr>
        <w:jc w:val="both"/>
        <w:rPr>
          <w:rFonts w:cstheme="minorHAnsi"/>
        </w:rPr>
      </w:pPr>
      <w:r w:rsidRPr="00F75A45">
        <w:rPr>
          <w:rFonts w:cstheme="minorHAnsi"/>
        </w:rPr>
        <w:t xml:space="preserve">All features listed in the Natura 2000 habitats of the Republic of Croatia were identified, along with a smaller number not included on that list but featuring records of specific target bioindicator </w:t>
      </w:r>
      <w:r w:rsidRPr="00F75A45">
        <w:rPr>
          <w:rFonts w:cstheme="minorHAnsi"/>
        </w:rPr>
        <w:lastRenderedPageBreak/>
        <w:t>species; these encompass diverse types of groundwater habitats in the Dinaric karst zones of Croatia within aquifer areas or represent anchialine caves with groundwater inflow.</w:t>
      </w:r>
    </w:p>
    <w:p w14:paraId="33BAC74E" w14:textId="705E87AD" w:rsidR="00EC5B31" w:rsidRPr="00562C5E" w:rsidRDefault="00F75A45" w:rsidP="00562C5E">
      <w:pPr>
        <w:pStyle w:val="Heading3"/>
        <w:rPr>
          <w:lang w:val="en-GB"/>
        </w:rPr>
      </w:pPr>
      <w:bookmarkStart w:id="86" w:name="_Toc229036216"/>
      <w:r w:rsidRPr="00562C5E">
        <w:rPr>
          <w:lang w:val="en-GB"/>
        </w:rPr>
        <w:t xml:space="preserve">4.3.1 </w:t>
      </w:r>
      <w:r w:rsidR="00EC5B31" w:rsidRPr="00562C5E">
        <w:rPr>
          <w:lang w:val="en-GB"/>
        </w:rPr>
        <w:t>Key habitats within selected groundwater-dependent ecosystems</w:t>
      </w:r>
      <w:r w:rsidR="00562C5E" w:rsidRPr="00562C5E">
        <w:rPr>
          <w:lang w:val="en-GB"/>
        </w:rPr>
        <w:t xml:space="preserve"> - Croatia</w:t>
      </w:r>
      <w:bookmarkEnd w:id="86"/>
    </w:p>
    <w:p w14:paraId="1F7CDD1F" w14:textId="77777777" w:rsidR="00EC5B31" w:rsidRPr="00F75A45" w:rsidRDefault="00EC5B31" w:rsidP="00F75A45">
      <w:pPr>
        <w:jc w:val="both"/>
        <w:rPr>
          <w:rFonts w:cstheme="minorHAnsi"/>
        </w:rPr>
      </w:pPr>
      <w:r w:rsidRPr="00F75A45">
        <w:rPr>
          <w:rFonts w:cstheme="minorHAnsi"/>
        </w:rPr>
        <w:t>The basic list of habitats forming part of groundwater-dependent ecosystems was developed according to the National Habitat Classification (NHC) of the Republic of Croatia to enable more precise selection of individual habitats, specified by code and name up to Level V (e.g., H.3.2.1.1. Phreatic zone).</w:t>
      </w:r>
    </w:p>
    <w:p w14:paraId="143BA350" w14:textId="77777777" w:rsidR="00EC5B31" w:rsidRPr="00F75A45" w:rsidRDefault="00EC5B31" w:rsidP="00F75A45">
      <w:pPr>
        <w:jc w:val="both"/>
        <w:rPr>
          <w:rFonts w:cstheme="minorHAnsi"/>
        </w:rPr>
      </w:pPr>
      <w:r w:rsidRPr="00F75A45">
        <w:rPr>
          <w:rFonts w:cstheme="minorHAnsi"/>
        </w:rPr>
        <w:t>Subsequently, codes and names of higher-rank habitats corresponding to Level V habitats were selected, allowing their aggregation into distinct ecosystems represented as groundwater-dependent ecosystems. The basis for their consideration was the Natura 2000 network and the National Habitat Classification (NHC).</w:t>
      </w:r>
    </w:p>
    <w:p w14:paraId="4EF4FE9E" w14:textId="689D7BE5" w:rsidR="00EC5B31" w:rsidRPr="00F75A45" w:rsidRDefault="00EC5B31" w:rsidP="00F75A45">
      <w:pPr>
        <w:jc w:val="both"/>
        <w:rPr>
          <w:rFonts w:cstheme="minorHAnsi"/>
        </w:rPr>
      </w:pPr>
      <w:r w:rsidRPr="00F75A45">
        <w:rPr>
          <w:rFonts w:cstheme="minorHAnsi"/>
        </w:rPr>
        <w:t xml:space="preserve">For </w:t>
      </w:r>
      <w:r w:rsidR="00F75A45" w:rsidRPr="00F75A45">
        <w:rPr>
          <w:rFonts w:cstheme="minorHAnsi"/>
        </w:rPr>
        <w:t>analysing</w:t>
      </w:r>
      <w:r w:rsidRPr="00F75A45">
        <w:rPr>
          <w:rFonts w:cstheme="minorHAnsi"/>
        </w:rPr>
        <w:t xml:space="preserve"> the conservation status of all groundwater-dependent ecosystems (GDEs) by habitat types and recorded bioindicator species, the Ecological Network of the Republic of Croatia was used, as proclaimed by the Ordinance on the Ecological Network and Competences of Public Institutions for the Management of Ecological Network Areas (</w:t>
      </w:r>
      <w:r w:rsidR="00F75A45" w:rsidRPr="00D60A13">
        <w:rPr>
          <w:rFonts w:ascii="Calibri" w:hAnsi="Calibri" w:cs="Calibri"/>
        </w:rPr>
        <w:t>Official Gazette of the Republic of Croatia, No.</w:t>
      </w:r>
      <w:r w:rsidRPr="00F75A45">
        <w:rPr>
          <w:rFonts w:cstheme="minorHAnsi"/>
        </w:rPr>
        <w:t xml:space="preserve"> 80/19, 119/23, 87/25), which delineates areas of the European Union's Natura 2000 ecological network (http://natura2000.eea.europa.eu/#; http://www.bioportal.hr/gis/).</w:t>
      </w:r>
    </w:p>
    <w:p w14:paraId="27D8C2F9" w14:textId="21C36B13" w:rsidR="00EC5B31" w:rsidRPr="00F75A45" w:rsidRDefault="00EC5B31" w:rsidP="00F75A45">
      <w:pPr>
        <w:jc w:val="both"/>
        <w:rPr>
          <w:rFonts w:cstheme="minorHAnsi"/>
        </w:rPr>
      </w:pPr>
      <w:r w:rsidRPr="00F75A45">
        <w:rPr>
          <w:rFonts w:cstheme="minorHAnsi"/>
        </w:rPr>
        <w:t xml:space="preserve">The Ecological Network of the </w:t>
      </w:r>
      <w:proofErr w:type="spellStart"/>
      <w:r w:rsidRPr="00F75A45">
        <w:rPr>
          <w:rFonts w:cstheme="minorHAnsi"/>
        </w:rPr>
        <w:t>RoC</w:t>
      </w:r>
      <w:proofErr w:type="spellEnd"/>
      <w:r w:rsidRPr="00F75A45">
        <w:rPr>
          <w:rFonts w:cstheme="minorHAnsi"/>
        </w:rPr>
        <w:t xml:space="preserve"> (Natura 2000 network), pursuant to Article 6 of the Ordinance on the Ecological Network and Competences of Public Institutions for the Management of Ecological Network Areas, comprises Important Bird Areas (IBAs)</w:t>
      </w:r>
      <w:r w:rsidR="00F75A45">
        <w:rPr>
          <w:rFonts w:cstheme="minorHAnsi"/>
        </w:rPr>
        <w:t>-</w:t>
      </w:r>
      <w:r w:rsidRPr="00F75A45">
        <w:rPr>
          <w:rFonts w:cstheme="minorHAnsi"/>
        </w:rPr>
        <w:t xml:space="preserve">POP (areas essential for the conservation and </w:t>
      </w:r>
      <w:r w:rsidR="00F75A45" w:rsidRPr="00F75A45">
        <w:rPr>
          <w:rFonts w:cstheme="minorHAnsi"/>
        </w:rPr>
        <w:t>favourable</w:t>
      </w:r>
      <w:r w:rsidRPr="00F75A45">
        <w:rPr>
          <w:rFonts w:cstheme="minorHAnsi"/>
        </w:rPr>
        <w:t xml:space="preserve"> status of wild bird species of European Union interest, their habitats, and particularly migratory bird species, including wetlands of international importance)</w:t>
      </w:r>
      <w:r w:rsidR="00F75A45">
        <w:rPr>
          <w:rFonts w:cstheme="minorHAnsi"/>
        </w:rPr>
        <w:t xml:space="preserve"> - </w:t>
      </w:r>
      <w:r w:rsidRPr="00F75A45">
        <w:rPr>
          <w:rFonts w:cstheme="minorHAnsi"/>
        </w:rPr>
        <w:t>and Sites of Community Importance for Species and Habitat Types</w:t>
      </w:r>
      <w:r w:rsidR="00F75A45">
        <w:rPr>
          <w:rFonts w:cstheme="minorHAnsi"/>
        </w:rPr>
        <w:t xml:space="preserve"> - </w:t>
      </w:r>
      <w:r w:rsidRPr="00F75A45">
        <w:rPr>
          <w:rFonts w:cstheme="minorHAnsi"/>
        </w:rPr>
        <w:t xml:space="preserve">POVS (areas essential for the conservation and </w:t>
      </w:r>
      <w:r w:rsidR="00F75A45" w:rsidRPr="00F75A45">
        <w:rPr>
          <w:rFonts w:cstheme="minorHAnsi"/>
        </w:rPr>
        <w:t>favourable</w:t>
      </w:r>
      <w:r w:rsidRPr="00F75A45">
        <w:rPr>
          <w:rFonts w:cstheme="minorHAnsi"/>
        </w:rPr>
        <w:t xml:space="preserve"> status of other wild species, their habitats, and natural habitat types of European Union interest).</w:t>
      </w:r>
    </w:p>
    <w:p w14:paraId="41BCA08D" w14:textId="2F3310DF" w:rsidR="00EC5B31" w:rsidRPr="00F75A45" w:rsidRDefault="00EC5B31" w:rsidP="00F75A45">
      <w:pPr>
        <w:jc w:val="both"/>
        <w:rPr>
          <w:rFonts w:cstheme="minorHAnsi"/>
        </w:rPr>
      </w:pPr>
      <w:r w:rsidRPr="00F75A45">
        <w:rPr>
          <w:rFonts w:cstheme="minorHAnsi"/>
        </w:rPr>
        <w:t>Regarding groundwater-dependent ecosystems (GDEs), both aquatic and terrestrial GDEs were identified for Croatia’s 2nd RBMP. In addition, ecosystems directly linked to groundwater, such as surface water bodies relying on groundwater for their ecological functions, were considered. For all these groundwater-dependent ecosystems</w:t>
      </w:r>
      <w:r w:rsidR="00F75A45">
        <w:rPr>
          <w:rFonts w:cstheme="minorHAnsi"/>
        </w:rPr>
        <w:t xml:space="preserve"> - </w:t>
      </w:r>
      <w:r w:rsidRPr="00F75A45">
        <w:rPr>
          <w:rFonts w:cstheme="minorHAnsi"/>
        </w:rPr>
        <w:t>terrestrial, aquatic, and surface waters</w:t>
      </w:r>
      <w:r w:rsidR="00F75A45">
        <w:rPr>
          <w:rFonts w:cstheme="minorHAnsi"/>
        </w:rPr>
        <w:t xml:space="preserve"> - </w:t>
      </w:r>
      <w:r w:rsidRPr="00F75A45">
        <w:rPr>
          <w:rFonts w:cstheme="minorHAnsi"/>
        </w:rPr>
        <w:t>quality standards were established.</w:t>
      </w:r>
    </w:p>
    <w:p w14:paraId="7C680FBF" w14:textId="77777777" w:rsidR="00EC5B31" w:rsidRPr="00F75A45" w:rsidRDefault="00EC5B31" w:rsidP="00F75A45">
      <w:pPr>
        <w:jc w:val="both"/>
        <w:rPr>
          <w:rFonts w:cstheme="minorHAnsi"/>
        </w:rPr>
      </w:pPr>
      <w:r w:rsidRPr="00F75A45">
        <w:rPr>
          <w:rFonts w:cstheme="minorHAnsi"/>
        </w:rPr>
        <w:t xml:space="preserve">Groundwater quality standards (GQS) for ecosystems linked to groundwater (surface water) in Croatia are based on surface water Environmental Quality Standards (EQS) for priority substances. </w:t>
      </w:r>
    </w:p>
    <w:p w14:paraId="3F30FA03" w14:textId="7BB0ED34" w:rsidR="00EC5B31" w:rsidRPr="00F75A45" w:rsidRDefault="00EC5B31" w:rsidP="00F75A45">
      <w:pPr>
        <w:jc w:val="both"/>
        <w:rPr>
          <w:rFonts w:cstheme="minorHAnsi"/>
        </w:rPr>
      </w:pPr>
      <w:r w:rsidRPr="00F75A45">
        <w:rPr>
          <w:rFonts w:cstheme="minorHAnsi"/>
        </w:rPr>
        <w:t>Similarly, because the impacts of groundwater chemistry on terrestrial groundwater-dependent ecosystems (GDE) are not well understood, Croatia also adopts EQS values for priority substances as the reference standard, in line with CIS Guidance No. 18. This approach is also applied to aquatic groundwater-dependent ecosystems (GDTE), including those in karst and cave environments (</w:t>
      </w:r>
      <w:r w:rsidR="00F75A45">
        <w:rPr>
          <w:rFonts w:cstheme="minorHAnsi"/>
        </w:rPr>
        <w:t>Croatian Geological Survey</w:t>
      </w:r>
      <w:r w:rsidRPr="00F75A45">
        <w:rPr>
          <w:rFonts w:cstheme="minorHAnsi"/>
        </w:rPr>
        <w:t>, 2016).</w:t>
      </w:r>
    </w:p>
    <w:p w14:paraId="54F42705" w14:textId="37CD401A" w:rsidR="00EC5B31" w:rsidRPr="00F75A45" w:rsidRDefault="00EC5B31" w:rsidP="00F75A45">
      <w:pPr>
        <w:jc w:val="both"/>
        <w:rPr>
          <w:rFonts w:cstheme="minorHAnsi"/>
        </w:rPr>
      </w:pPr>
      <w:r w:rsidRPr="00F75A45">
        <w:rPr>
          <w:rFonts w:cstheme="minorHAnsi"/>
        </w:rPr>
        <w:t xml:space="preserve">Habitats which belonging to groundwater-dependent ecosystems (GDEs) in Croatia show varying ranges and intensities of sensitivity to quantitative (e.g., level/flow) and qualitative (e.g., chemical) changes in groundwater, defining their vulnerability to potential alterations and </w:t>
      </w:r>
      <w:r w:rsidRPr="00F75A45">
        <w:rPr>
          <w:rFonts w:cstheme="minorHAnsi"/>
        </w:rPr>
        <w:lastRenderedPageBreak/>
        <w:t xml:space="preserve">threats. Table </w:t>
      </w:r>
      <w:r w:rsidR="002F4776">
        <w:rPr>
          <w:rFonts w:cstheme="minorHAnsi"/>
        </w:rPr>
        <w:t xml:space="preserve">9 </w:t>
      </w:r>
      <w:r w:rsidRPr="00F75A45">
        <w:rPr>
          <w:rFonts w:cstheme="minorHAnsi"/>
        </w:rPr>
        <w:t>provides an overview of relevant Natura 2000 habitats and those from Croatia's National Habitat Map (NKS), categorized by terrestrial and aquatic types linked or dependent on groundwater.</w:t>
      </w:r>
    </w:p>
    <w:p w14:paraId="3589D42B" w14:textId="77777777" w:rsidR="00EC5B31" w:rsidRPr="00F75A45" w:rsidRDefault="00EC5B31" w:rsidP="00F75A45">
      <w:pPr>
        <w:jc w:val="both"/>
        <w:rPr>
          <w:rFonts w:cstheme="minorHAnsi"/>
        </w:rPr>
      </w:pPr>
      <w:r w:rsidRPr="00F75A45">
        <w:rPr>
          <w:rFonts w:cstheme="minorHAnsi"/>
        </w:rPr>
        <w:t>Sensitivity of terrestrial ecosystems in Croatia to quantitative changes in groundwater ranges from low to high, while for aquatic ecosystems it ranges from moderate to mostly very high sensitivity.</w:t>
      </w:r>
    </w:p>
    <w:p w14:paraId="039D37F0" w14:textId="460B1DD8" w:rsidR="00EC5B31" w:rsidRPr="00F75A45" w:rsidRDefault="00EC5B31" w:rsidP="00F75A45">
      <w:pPr>
        <w:jc w:val="both"/>
        <w:rPr>
          <w:rFonts w:cstheme="minorHAnsi"/>
        </w:rPr>
      </w:pPr>
      <w:r w:rsidRPr="00F75A45">
        <w:rPr>
          <w:rFonts w:cstheme="minorHAnsi"/>
        </w:rPr>
        <w:t xml:space="preserve">In </w:t>
      </w:r>
      <w:r w:rsidR="00562C5E">
        <w:rPr>
          <w:rFonts w:cstheme="minorHAnsi"/>
        </w:rPr>
        <w:t xml:space="preserve">the </w:t>
      </w:r>
      <w:r w:rsidRPr="00F75A45">
        <w:rPr>
          <w:rFonts w:cstheme="minorHAnsi"/>
        </w:rPr>
        <w:t xml:space="preserve">table </w:t>
      </w:r>
      <w:r w:rsidR="002F4776">
        <w:rPr>
          <w:rFonts w:cstheme="minorHAnsi"/>
        </w:rPr>
        <w:t>10</w:t>
      </w:r>
      <w:r w:rsidRPr="00F75A45">
        <w:rPr>
          <w:rFonts w:cstheme="minorHAnsi"/>
        </w:rPr>
        <w:t xml:space="preserve"> </w:t>
      </w:r>
      <w:r w:rsidR="00F75A45" w:rsidRPr="00F75A45">
        <w:rPr>
          <w:rFonts w:cstheme="minorHAnsi"/>
        </w:rPr>
        <w:t>and</w:t>
      </w:r>
      <w:r w:rsidRPr="00F75A45">
        <w:rPr>
          <w:rFonts w:cstheme="minorHAnsi"/>
        </w:rPr>
        <w:t xml:space="preserve"> figure </w:t>
      </w:r>
      <w:r w:rsidR="002F4776">
        <w:rPr>
          <w:rFonts w:cstheme="minorHAnsi"/>
        </w:rPr>
        <w:t>3</w:t>
      </w:r>
      <w:r w:rsidRPr="00F75A45">
        <w:rPr>
          <w:rFonts w:cstheme="minorHAnsi"/>
        </w:rPr>
        <w:t xml:space="preserve"> are shown aquatic ecosystems dependent on groundwater </w:t>
      </w:r>
      <w:r w:rsidR="00562C5E">
        <w:rPr>
          <w:rFonts w:cstheme="minorHAnsi"/>
        </w:rPr>
        <w:t xml:space="preserve">that </w:t>
      </w:r>
      <w:r w:rsidRPr="00F75A45">
        <w:rPr>
          <w:rFonts w:cstheme="minorHAnsi"/>
        </w:rPr>
        <w:t>have been identified in the Neretva groundwater body in Croatia.</w:t>
      </w:r>
    </w:p>
    <w:p w14:paraId="41779C26" w14:textId="77777777" w:rsidR="00EC5B31" w:rsidRDefault="00EC5B31" w:rsidP="00EC5B31">
      <w:pPr>
        <w:spacing w:after="0"/>
        <w:jc w:val="both"/>
        <w:rPr>
          <w:rFonts w:asciiTheme="majorHAnsi" w:hAnsiTheme="majorHAnsi" w:cstheme="majorHAnsi"/>
        </w:rPr>
      </w:pPr>
    </w:p>
    <w:p w14:paraId="24AE2CDB" w14:textId="77777777" w:rsidR="00EC5B31" w:rsidRDefault="00EC5B31" w:rsidP="00EC5B31">
      <w:pPr>
        <w:spacing w:after="0"/>
        <w:jc w:val="both"/>
        <w:rPr>
          <w:rFonts w:asciiTheme="majorHAnsi" w:hAnsiTheme="majorHAnsi" w:cstheme="majorHAnsi"/>
        </w:rPr>
        <w:sectPr w:rsidR="00EC5B31" w:rsidSect="00F616D9">
          <w:footerReference w:type="default" r:id="rId18"/>
          <w:pgSz w:w="12240" w:h="15840"/>
          <w:pgMar w:top="1440" w:right="1800" w:bottom="1440" w:left="1800" w:header="720" w:footer="720" w:gutter="0"/>
          <w:pgNumType w:start="1"/>
          <w:cols w:space="720"/>
          <w:docGrid w:linePitch="360"/>
        </w:sectPr>
      </w:pPr>
    </w:p>
    <w:tbl>
      <w:tblPr>
        <w:tblpPr w:leftFromText="180" w:rightFromText="180" w:horzAnchor="margin" w:tblpY="360"/>
        <w:tblW w:w="0" w:type="auto"/>
        <w:tblLook w:val="04A0" w:firstRow="1" w:lastRow="0" w:firstColumn="1" w:lastColumn="0" w:noHBand="0" w:noVBand="1"/>
      </w:tblPr>
      <w:tblGrid>
        <w:gridCol w:w="1376"/>
        <w:gridCol w:w="6011"/>
        <w:gridCol w:w="1108"/>
        <w:gridCol w:w="3336"/>
        <w:gridCol w:w="1119"/>
      </w:tblGrid>
      <w:tr w:rsidR="00EC5B31" w:rsidRPr="00562C5E" w14:paraId="671F1C9F" w14:textId="77777777" w:rsidTr="00EC5B31">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77327E2B" w14:textId="19165076" w:rsidR="00EC5B31" w:rsidRPr="00562C5E" w:rsidRDefault="00EC5B31" w:rsidP="00EC5B31">
            <w:pPr>
              <w:jc w:val="both"/>
              <w:rPr>
                <w:rFonts w:cstheme="minorHAnsi"/>
                <w:sz w:val="16"/>
                <w:szCs w:val="16"/>
              </w:rPr>
            </w:pPr>
            <w:r w:rsidRPr="00562C5E">
              <w:rPr>
                <w:rFonts w:cstheme="minorHAnsi"/>
                <w:sz w:val="16"/>
                <w:szCs w:val="16"/>
              </w:rPr>
              <w:lastRenderedPageBreak/>
              <w:tab/>
            </w:r>
            <w:r w:rsidRPr="00562C5E">
              <w:rPr>
                <w:rFonts w:cstheme="minorHAnsi"/>
                <w:b/>
                <w:bCs/>
                <w:sz w:val="16"/>
                <w:szCs w:val="16"/>
              </w:rPr>
              <w:t>Legend explanation:</w:t>
            </w:r>
            <w:r w:rsidRPr="00562C5E">
              <w:rPr>
                <w:rFonts w:cstheme="minorHAnsi"/>
                <w:sz w:val="16"/>
                <w:szCs w:val="16"/>
              </w:rPr>
              <w:t> TEDGW* - terrestrial ecosystem dependent on groundwater, AEDGW* – aquatic ecosystem dependent on groundwater</w:t>
            </w:r>
          </w:p>
        </w:tc>
      </w:tr>
      <w:tr w:rsidR="00EC5B31" w:rsidRPr="00562C5E" w14:paraId="396D73C9" w14:textId="77777777" w:rsidTr="00F75A45">
        <w:tc>
          <w:tcPr>
            <w:tcW w:w="13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99FA45" w14:textId="77777777" w:rsidR="00EC5B31" w:rsidRPr="00562C5E" w:rsidRDefault="00EC5B31" w:rsidP="00EC5B31">
            <w:pPr>
              <w:jc w:val="both"/>
              <w:rPr>
                <w:rFonts w:cstheme="minorHAnsi"/>
                <w:sz w:val="16"/>
                <w:szCs w:val="16"/>
              </w:rPr>
            </w:pPr>
            <w:r w:rsidRPr="00562C5E">
              <w:rPr>
                <w:rFonts w:cstheme="minorHAnsi"/>
                <w:b/>
                <w:bCs/>
                <w:sz w:val="16"/>
                <w:szCs w:val="16"/>
              </w:rPr>
              <w:t>Natura 2000/NKS Code</w:t>
            </w:r>
          </w:p>
        </w:tc>
        <w:tc>
          <w:tcPr>
            <w:tcW w:w="6011" w:type="dxa"/>
            <w:tcBorders>
              <w:top w:val="single" w:sz="2" w:space="0" w:color="auto"/>
              <w:left w:val="single" w:sz="2" w:space="0" w:color="auto"/>
              <w:bottom w:val="single" w:sz="6" w:space="0" w:color="auto"/>
              <w:right w:val="single" w:sz="6" w:space="0" w:color="auto"/>
            </w:tcBorders>
            <w:shd w:val="clear" w:color="auto" w:fill="B4C6E7" w:themeFill="accent1" w:themeFillTint="66"/>
            <w:vAlign w:val="bottom"/>
            <w:hideMark/>
          </w:tcPr>
          <w:p w14:paraId="4123023B" w14:textId="77777777" w:rsidR="00EC5B31" w:rsidRPr="00562C5E" w:rsidRDefault="00EC5B31" w:rsidP="00EC5B31">
            <w:pPr>
              <w:jc w:val="both"/>
              <w:rPr>
                <w:rFonts w:cstheme="minorHAnsi"/>
                <w:sz w:val="16"/>
                <w:szCs w:val="16"/>
              </w:rPr>
            </w:pPr>
            <w:r w:rsidRPr="00562C5E">
              <w:rPr>
                <w:rFonts w:cstheme="minorHAnsi"/>
                <w:b/>
                <w:bCs/>
                <w:sz w:val="16"/>
                <w:szCs w:val="16"/>
              </w:rPr>
              <w:t>Habitat (NHM/NKS) Type</w:t>
            </w:r>
          </w:p>
        </w:tc>
        <w:tc>
          <w:tcPr>
            <w:tcW w:w="0" w:type="auto"/>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719711D" w14:textId="77777777" w:rsidR="00EC5B31" w:rsidRPr="00562C5E" w:rsidRDefault="00EC5B31" w:rsidP="00EC5B31">
            <w:pPr>
              <w:jc w:val="both"/>
              <w:rPr>
                <w:rFonts w:cstheme="minorHAnsi"/>
                <w:sz w:val="16"/>
                <w:szCs w:val="16"/>
              </w:rPr>
            </w:pPr>
            <w:r w:rsidRPr="00562C5E">
              <w:rPr>
                <w:rFonts w:cstheme="minorHAnsi"/>
                <w:b/>
                <w:bCs/>
                <w:sz w:val="16"/>
                <w:szCs w:val="16"/>
              </w:rPr>
              <w:t>NHM/NKS Code</w:t>
            </w:r>
          </w:p>
        </w:tc>
        <w:tc>
          <w:tcPr>
            <w:tcW w:w="0" w:type="auto"/>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6156404" w14:textId="77777777" w:rsidR="00EC5B31" w:rsidRPr="00562C5E" w:rsidRDefault="00EC5B31" w:rsidP="00EC5B31">
            <w:pPr>
              <w:jc w:val="both"/>
              <w:rPr>
                <w:rFonts w:cstheme="minorHAnsi"/>
                <w:sz w:val="16"/>
                <w:szCs w:val="16"/>
              </w:rPr>
            </w:pPr>
            <w:r w:rsidRPr="00562C5E">
              <w:rPr>
                <w:rFonts w:cstheme="minorHAnsi"/>
                <w:b/>
                <w:bCs/>
                <w:sz w:val="16"/>
                <w:szCs w:val="16"/>
              </w:rPr>
              <w:t>Habitat type (NHM/NKS)</w:t>
            </w:r>
          </w:p>
        </w:tc>
        <w:tc>
          <w:tcPr>
            <w:tcW w:w="0" w:type="auto"/>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DAAB84F" w14:textId="77777777" w:rsidR="00EC5B31" w:rsidRPr="00562C5E" w:rsidRDefault="00EC5B31" w:rsidP="00EC5B31">
            <w:pPr>
              <w:jc w:val="both"/>
              <w:rPr>
                <w:rFonts w:cstheme="minorHAnsi"/>
                <w:sz w:val="16"/>
                <w:szCs w:val="16"/>
              </w:rPr>
            </w:pPr>
            <w:r w:rsidRPr="00562C5E">
              <w:rPr>
                <w:rFonts w:cstheme="minorHAnsi"/>
                <w:b/>
                <w:bCs/>
                <w:sz w:val="16"/>
                <w:szCs w:val="16"/>
              </w:rPr>
              <w:t>Type ecosystem</w:t>
            </w:r>
          </w:p>
        </w:tc>
      </w:tr>
      <w:tr w:rsidR="00EC5B31" w:rsidRPr="00562C5E" w14:paraId="00B952AF" w14:textId="77777777" w:rsidTr="00EC5B31">
        <w:tc>
          <w:tcPr>
            <w:tcW w:w="1376" w:type="dxa"/>
            <w:tcBorders>
              <w:top w:val="single" w:sz="4" w:space="0" w:color="auto"/>
              <w:left w:val="single" w:sz="4" w:space="0" w:color="auto"/>
              <w:bottom w:val="single" w:sz="4" w:space="0" w:color="auto"/>
              <w:right w:val="single" w:sz="4" w:space="0" w:color="auto"/>
            </w:tcBorders>
            <w:hideMark/>
          </w:tcPr>
          <w:p w14:paraId="36FFABA1" w14:textId="77777777" w:rsidR="00EC5B31" w:rsidRPr="00562C5E" w:rsidRDefault="00EC5B31" w:rsidP="00EC5B31">
            <w:pPr>
              <w:spacing w:after="0"/>
              <w:jc w:val="both"/>
              <w:rPr>
                <w:rFonts w:cstheme="minorHAnsi"/>
                <w:sz w:val="16"/>
                <w:szCs w:val="16"/>
              </w:rPr>
            </w:pPr>
            <w:r w:rsidRPr="00562C5E">
              <w:rPr>
                <w:rFonts w:cstheme="minorHAnsi"/>
                <w:sz w:val="16"/>
                <w:szCs w:val="16"/>
              </w:rPr>
              <w:t>6410</w:t>
            </w:r>
          </w:p>
        </w:tc>
        <w:tc>
          <w:tcPr>
            <w:tcW w:w="6011" w:type="dxa"/>
            <w:tcBorders>
              <w:top w:val="single" w:sz="4" w:space="0" w:color="auto"/>
              <w:left w:val="single" w:sz="4" w:space="0" w:color="auto"/>
              <w:bottom w:val="single" w:sz="4" w:space="0" w:color="auto"/>
              <w:right w:val="single" w:sz="4" w:space="0" w:color="auto"/>
            </w:tcBorders>
            <w:hideMark/>
          </w:tcPr>
          <w:p w14:paraId="09680F84" w14:textId="77777777" w:rsidR="00EC5B31" w:rsidRPr="00562C5E" w:rsidRDefault="00EC5B31" w:rsidP="00EC5B31">
            <w:pPr>
              <w:spacing w:after="0"/>
              <w:jc w:val="both"/>
              <w:rPr>
                <w:rFonts w:cstheme="minorHAnsi"/>
                <w:i/>
                <w:iCs/>
                <w:sz w:val="16"/>
                <w:szCs w:val="16"/>
              </w:rPr>
            </w:pPr>
            <w:r w:rsidRPr="00562C5E">
              <w:rPr>
                <w:rFonts w:cstheme="minorHAnsi"/>
                <w:sz w:val="16"/>
                <w:szCs w:val="16"/>
              </w:rPr>
              <w:t>Molinia meadows (</w:t>
            </w:r>
            <w:proofErr w:type="spellStart"/>
            <w:r w:rsidRPr="00562C5E">
              <w:rPr>
                <w:rFonts w:cstheme="minorHAnsi"/>
                <w:i/>
                <w:iCs/>
                <w:sz w:val="16"/>
                <w:szCs w:val="16"/>
              </w:rPr>
              <w:t>Molinion</w:t>
            </w:r>
            <w:proofErr w:type="spellEnd"/>
            <w:r w:rsidRPr="00562C5E">
              <w:rPr>
                <w:rFonts w:cstheme="minorHAnsi"/>
                <w:i/>
                <w:iCs/>
                <w:sz w:val="16"/>
                <w:szCs w:val="16"/>
              </w:rPr>
              <w:t xml:space="preserve"> </w:t>
            </w:r>
            <w:proofErr w:type="spellStart"/>
            <w:r w:rsidRPr="00562C5E">
              <w:rPr>
                <w:rFonts w:cstheme="minorHAnsi"/>
                <w:i/>
                <w:iCs/>
                <w:sz w:val="16"/>
                <w:szCs w:val="16"/>
              </w:rPr>
              <w:t>caeruleae</w:t>
            </w:r>
            <w:proofErr w:type="spellEnd"/>
            <w:r w:rsidRPr="00562C5E">
              <w:rPr>
                <w:rFonts w:cstheme="minorHAnsi"/>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827EE20" w14:textId="77777777" w:rsidR="00EC5B31" w:rsidRPr="00562C5E" w:rsidRDefault="00EC5B31" w:rsidP="00EC5B31">
            <w:pPr>
              <w:spacing w:after="0"/>
              <w:jc w:val="both"/>
              <w:rPr>
                <w:rFonts w:cstheme="minorHAnsi"/>
                <w:sz w:val="16"/>
                <w:szCs w:val="16"/>
              </w:rPr>
            </w:pPr>
            <w:r w:rsidRPr="00562C5E">
              <w:rPr>
                <w:rFonts w:cstheme="minorHAnsi"/>
                <w:sz w:val="16"/>
                <w:szCs w:val="16"/>
              </w:rPr>
              <w:t>C.2.2.</w:t>
            </w:r>
          </w:p>
        </w:tc>
        <w:tc>
          <w:tcPr>
            <w:tcW w:w="0" w:type="auto"/>
            <w:tcBorders>
              <w:top w:val="single" w:sz="4" w:space="0" w:color="auto"/>
              <w:left w:val="single" w:sz="4" w:space="0" w:color="auto"/>
              <w:bottom w:val="single" w:sz="4" w:space="0" w:color="auto"/>
              <w:right w:val="single" w:sz="4" w:space="0" w:color="auto"/>
            </w:tcBorders>
            <w:hideMark/>
          </w:tcPr>
          <w:p w14:paraId="2EE74427" w14:textId="77777777" w:rsidR="00EC5B31" w:rsidRPr="00562C5E" w:rsidRDefault="00EC5B31" w:rsidP="00EC5B31">
            <w:pPr>
              <w:spacing w:after="0"/>
              <w:jc w:val="both"/>
              <w:rPr>
                <w:rFonts w:cstheme="minorHAnsi"/>
                <w:sz w:val="16"/>
                <w:szCs w:val="16"/>
              </w:rPr>
            </w:pPr>
            <w:r w:rsidRPr="00562C5E">
              <w:rPr>
                <w:rFonts w:cstheme="minorHAnsi"/>
                <w:sz w:val="16"/>
                <w:szCs w:val="16"/>
              </w:rPr>
              <w:t>Central European wet meadows</w:t>
            </w:r>
          </w:p>
        </w:tc>
        <w:tc>
          <w:tcPr>
            <w:tcW w:w="0" w:type="auto"/>
            <w:tcBorders>
              <w:top w:val="single" w:sz="4" w:space="0" w:color="auto"/>
              <w:left w:val="single" w:sz="4" w:space="0" w:color="auto"/>
              <w:bottom w:val="single" w:sz="4" w:space="0" w:color="auto"/>
              <w:right w:val="single" w:sz="4" w:space="0" w:color="auto"/>
            </w:tcBorders>
            <w:hideMark/>
          </w:tcPr>
          <w:p w14:paraId="792E4FD3" w14:textId="77777777" w:rsidR="00EC5B31" w:rsidRPr="00562C5E" w:rsidRDefault="00EC5B31" w:rsidP="00EC5B31">
            <w:pPr>
              <w:spacing w:after="0"/>
              <w:jc w:val="both"/>
              <w:rPr>
                <w:rFonts w:cstheme="minorHAnsi"/>
                <w:sz w:val="16"/>
                <w:szCs w:val="16"/>
              </w:rPr>
            </w:pPr>
            <w:r w:rsidRPr="00562C5E">
              <w:rPr>
                <w:rFonts w:cstheme="minorHAnsi"/>
                <w:sz w:val="16"/>
                <w:szCs w:val="16"/>
              </w:rPr>
              <w:t>TEDGW*</w:t>
            </w:r>
          </w:p>
        </w:tc>
      </w:tr>
      <w:tr w:rsidR="00EC5B31" w:rsidRPr="00562C5E" w14:paraId="2E81AD2B" w14:textId="77777777" w:rsidTr="00EC5B31">
        <w:tc>
          <w:tcPr>
            <w:tcW w:w="1376" w:type="dxa"/>
            <w:tcBorders>
              <w:top w:val="single" w:sz="4" w:space="0" w:color="auto"/>
              <w:left w:val="single" w:sz="4" w:space="0" w:color="auto"/>
              <w:bottom w:val="single" w:sz="4" w:space="0" w:color="auto"/>
              <w:right w:val="single" w:sz="4" w:space="0" w:color="auto"/>
            </w:tcBorders>
            <w:hideMark/>
          </w:tcPr>
          <w:p w14:paraId="60A5AEF5" w14:textId="77777777" w:rsidR="00EC5B31" w:rsidRPr="00562C5E" w:rsidRDefault="00EC5B31" w:rsidP="00EC5B31">
            <w:pPr>
              <w:spacing w:after="0"/>
              <w:jc w:val="both"/>
              <w:rPr>
                <w:rFonts w:cstheme="minorHAnsi"/>
                <w:sz w:val="16"/>
                <w:szCs w:val="16"/>
              </w:rPr>
            </w:pPr>
            <w:r w:rsidRPr="00562C5E">
              <w:rPr>
                <w:rFonts w:cstheme="minorHAnsi"/>
                <w:sz w:val="16"/>
                <w:szCs w:val="16"/>
              </w:rPr>
              <w:t>6430</w:t>
            </w:r>
          </w:p>
        </w:tc>
        <w:tc>
          <w:tcPr>
            <w:tcW w:w="6011" w:type="dxa"/>
            <w:tcBorders>
              <w:top w:val="single" w:sz="4" w:space="0" w:color="auto"/>
              <w:left w:val="single" w:sz="4" w:space="0" w:color="auto"/>
              <w:bottom w:val="single" w:sz="4" w:space="0" w:color="auto"/>
              <w:right w:val="single" w:sz="4" w:space="0" w:color="auto"/>
            </w:tcBorders>
            <w:hideMark/>
          </w:tcPr>
          <w:p w14:paraId="4F35CD5D" w14:textId="77777777" w:rsidR="00EC5B31" w:rsidRPr="00562C5E" w:rsidRDefault="00EC5B31" w:rsidP="00EC5B31">
            <w:pPr>
              <w:spacing w:after="0"/>
              <w:jc w:val="both"/>
              <w:rPr>
                <w:rFonts w:cstheme="minorHAnsi"/>
                <w:sz w:val="16"/>
                <w:szCs w:val="16"/>
              </w:rPr>
            </w:pPr>
            <w:r w:rsidRPr="00562C5E">
              <w:rPr>
                <w:rFonts w:cstheme="minorHAnsi"/>
                <w:sz w:val="16"/>
                <w:szCs w:val="16"/>
              </w:rPr>
              <w:t>Hydrophilic tall herb fringes along rivers and forest (</w:t>
            </w:r>
            <w:proofErr w:type="spellStart"/>
            <w:r w:rsidRPr="00562C5E">
              <w:rPr>
                <w:rFonts w:cstheme="minorHAnsi"/>
                <w:i/>
                <w:iCs/>
                <w:sz w:val="16"/>
                <w:szCs w:val="16"/>
              </w:rPr>
              <w:t>Convolvulion</w:t>
            </w:r>
            <w:proofErr w:type="spellEnd"/>
            <w:r w:rsidRPr="00562C5E">
              <w:rPr>
                <w:rFonts w:cstheme="minorHAnsi"/>
                <w:i/>
                <w:iCs/>
                <w:sz w:val="16"/>
                <w:szCs w:val="16"/>
              </w:rPr>
              <w:t xml:space="preserve"> </w:t>
            </w:r>
            <w:proofErr w:type="spellStart"/>
            <w:r w:rsidRPr="00562C5E">
              <w:rPr>
                <w:rFonts w:cstheme="minorHAnsi"/>
                <w:i/>
                <w:iCs/>
                <w:sz w:val="16"/>
                <w:szCs w:val="16"/>
              </w:rPr>
              <w:t>sepii</w:t>
            </w:r>
            <w:proofErr w:type="spellEnd"/>
            <w:r w:rsidRPr="00562C5E">
              <w:rPr>
                <w:rFonts w:cstheme="minorHAnsi"/>
                <w:i/>
                <w:iCs/>
                <w:sz w:val="16"/>
                <w:szCs w:val="16"/>
              </w:rPr>
              <w:t>,</w:t>
            </w:r>
            <w:r w:rsidRPr="00562C5E">
              <w:rPr>
                <w:rFonts w:cstheme="minorHAnsi"/>
                <w:sz w:val="16"/>
                <w:szCs w:val="16"/>
              </w:rPr>
              <w:t xml:space="preserve"> </w:t>
            </w:r>
            <w:proofErr w:type="spellStart"/>
            <w:r w:rsidRPr="00562C5E">
              <w:rPr>
                <w:rFonts w:cstheme="minorHAnsi"/>
                <w:i/>
                <w:iCs/>
                <w:sz w:val="16"/>
                <w:szCs w:val="16"/>
              </w:rPr>
              <w:t>Filipendulion</w:t>
            </w:r>
            <w:proofErr w:type="spellEnd"/>
            <w:r w:rsidRPr="00562C5E">
              <w:rPr>
                <w:rFonts w:cstheme="minorHAnsi"/>
                <w:i/>
                <w:iCs/>
                <w:sz w:val="16"/>
                <w:szCs w:val="16"/>
              </w:rPr>
              <w:t xml:space="preserve">, </w:t>
            </w:r>
            <w:proofErr w:type="spellStart"/>
            <w:r w:rsidRPr="00562C5E">
              <w:rPr>
                <w:rFonts w:cstheme="minorHAnsi"/>
                <w:i/>
                <w:iCs/>
                <w:sz w:val="16"/>
                <w:szCs w:val="16"/>
              </w:rPr>
              <w:t>Senecion</w:t>
            </w:r>
            <w:proofErr w:type="spellEnd"/>
            <w:r w:rsidRPr="00562C5E">
              <w:rPr>
                <w:rFonts w:cstheme="minorHAnsi"/>
                <w:i/>
                <w:iCs/>
                <w:sz w:val="16"/>
                <w:szCs w:val="16"/>
              </w:rPr>
              <w:t xml:space="preserve"> fluviatilis</w:t>
            </w:r>
            <w:r w:rsidRPr="00562C5E">
              <w:rPr>
                <w:rFonts w:cstheme="minorHAnsi"/>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E143E5A" w14:textId="77777777" w:rsidR="00EC5B31" w:rsidRPr="00562C5E" w:rsidRDefault="00EC5B31" w:rsidP="00EC5B31">
            <w:pPr>
              <w:spacing w:after="0"/>
              <w:jc w:val="both"/>
              <w:rPr>
                <w:rFonts w:cstheme="minorHAnsi"/>
                <w:sz w:val="16"/>
                <w:szCs w:val="16"/>
              </w:rPr>
            </w:pPr>
            <w:r w:rsidRPr="00562C5E">
              <w:rPr>
                <w:rFonts w:cstheme="minorHAnsi"/>
                <w:sz w:val="16"/>
                <w:szCs w:val="16"/>
              </w:rPr>
              <w:t>C.5.4.</w:t>
            </w:r>
          </w:p>
        </w:tc>
        <w:tc>
          <w:tcPr>
            <w:tcW w:w="0" w:type="auto"/>
            <w:tcBorders>
              <w:top w:val="single" w:sz="4" w:space="0" w:color="auto"/>
              <w:left w:val="single" w:sz="4" w:space="0" w:color="auto"/>
              <w:bottom w:val="single" w:sz="4" w:space="0" w:color="auto"/>
              <w:right w:val="single" w:sz="4" w:space="0" w:color="auto"/>
            </w:tcBorders>
            <w:hideMark/>
          </w:tcPr>
          <w:p w14:paraId="49A8ED2B" w14:textId="77777777" w:rsidR="00EC5B31" w:rsidRPr="00562C5E" w:rsidRDefault="00EC5B31" w:rsidP="00EC5B31">
            <w:pPr>
              <w:spacing w:after="0"/>
              <w:jc w:val="both"/>
              <w:rPr>
                <w:rFonts w:cstheme="minorHAnsi"/>
                <w:sz w:val="16"/>
                <w:szCs w:val="16"/>
              </w:rPr>
            </w:pPr>
            <w:r w:rsidRPr="00562C5E">
              <w:rPr>
                <w:rFonts w:cstheme="minorHAnsi"/>
                <w:sz w:val="16"/>
                <w:szCs w:val="16"/>
              </w:rPr>
              <w:t>Lowland tall herb communities</w:t>
            </w:r>
          </w:p>
        </w:tc>
        <w:tc>
          <w:tcPr>
            <w:tcW w:w="0" w:type="auto"/>
            <w:tcBorders>
              <w:top w:val="single" w:sz="4" w:space="0" w:color="auto"/>
              <w:left w:val="single" w:sz="4" w:space="0" w:color="auto"/>
              <w:bottom w:val="single" w:sz="4" w:space="0" w:color="auto"/>
              <w:right w:val="single" w:sz="4" w:space="0" w:color="auto"/>
            </w:tcBorders>
            <w:hideMark/>
          </w:tcPr>
          <w:p w14:paraId="709F68BA" w14:textId="77777777" w:rsidR="00EC5B31" w:rsidRPr="00562C5E" w:rsidRDefault="00EC5B31" w:rsidP="00EC5B31">
            <w:pPr>
              <w:spacing w:after="0"/>
              <w:jc w:val="both"/>
              <w:rPr>
                <w:rFonts w:cstheme="minorHAnsi"/>
                <w:sz w:val="16"/>
                <w:szCs w:val="16"/>
              </w:rPr>
            </w:pPr>
            <w:r w:rsidRPr="00562C5E">
              <w:rPr>
                <w:rFonts w:cstheme="minorHAnsi"/>
                <w:sz w:val="16"/>
                <w:szCs w:val="16"/>
              </w:rPr>
              <w:t>AEDGW*</w:t>
            </w:r>
          </w:p>
        </w:tc>
      </w:tr>
      <w:tr w:rsidR="00EC5B31" w:rsidRPr="00562C5E" w14:paraId="65AB7AF6" w14:textId="77777777" w:rsidTr="00EC5B31">
        <w:trPr>
          <w:trHeight w:val="403"/>
        </w:trPr>
        <w:tc>
          <w:tcPr>
            <w:tcW w:w="1376" w:type="dxa"/>
            <w:tcBorders>
              <w:top w:val="single" w:sz="4" w:space="0" w:color="auto"/>
              <w:left w:val="single" w:sz="4" w:space="0" w:color="auto"/>
              <w:bottom w:val="single" w:sz="4" w:space="0" w:color="auto"/>
              <w:right w:val="single" w:sz="4" w:space="0" w:color="auto"/>
            </w:tcBorders>
            <w:hideMark/>
          </w:tcPr>
          <w:p w14:paraId="3FDD1F5E" w14:textId="77777777" w:rsidR="00EC5B31" w:rsidRPr="00562C5E" w:rsidRDefault="00EC5B31" w:rsidP="00EC5B31">
            <w:pPr>
              <w:spacing w:after="0"/>
              <w:jc w:val="both"/>
              <w:rPr>
                <w:rFonts w:cstheme="minorHAnsi"/>
                <w:sz w:val="16"/>
                <w:szCs w:val="16"/>
              </w:rPr>
            </w:pPr>
            <w:r w:rsidRPr="00562C5E">
              <w:rPr>
                <w:rFonts w:cstheme="minorHAnsi"/>
                <w:sz w:val="16"/>
                <w:szCs w:val="16"/>
              </w:rPr>
              <w:t>7140</w:t>
            </w:r>
          </w:p>
        </w:tc>
        <w:tc>
          <w:tcPr>
            <w:tcW w:w="6011" w:type="dxa"/>
            <w:tcBorders>
              <w:top w:val="single" w:sz="4" w:space="0" w:color="auto"/>
              <w:left w:val="single" w:sz="4" w:space="0" w:color="auto"/>
              <w:bottom w:val="single" w:sz="4" w:space="0" w:color="auto"/>
              <w:right w:val="single" w:sz="4" w:space="0" w:color="auto"/>
            </w:tcBorders>
            <w:hideMark/>
          </w:tcPr>
          <w:p w14:paraId="21091D56" w14:textId="77777777" w:rsidR="00EC5B31" w:rsidRPr="00562C5E" w:rsidRDefault="00EC5B31" w:rsidP="00EC5B31">
            <w:pPr>
              <w:spacing w:after="0"/>
              <w:jc w:val="both"/>
              <w:rPr>
                <w:rFonts w:cstheme="minorHAnsi"/>
                <w:sz w:val="16"/>
                <w:szCs w:val="16"/>
              </w:rPr>
            </w:pPr>
            <w:r w:rsidRPr="00562C5E">
              <w:rPr>
                <w:rFonts w:cstheme="minorHAnsi"/>
                <w:sz w:val="16"/>
                <w:szCs w:val="16"/>
              </w:rPr>
              <w:t>Transitional bogs</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75B72AF4" w14:textId="77777777" w:rsidR="00EC5B31" w:rsidRPr="00562C5E" w:rsidRDefault="00EC5B31" w:rsidP="00EC5B31">
            <w:pPr>
              <w:spacing w:after="0"/>
              <w:jc w:val="both"/>
              <w:rPr>
                <w:rFonts w:cstheme="minorHAnsi"/>
                <w:sz w:val="16"/>
                <w:szCs w:val="16"/>
              </w:rPr>
            </w:pPr>
            <w:r w:rsidRPr="00562C5E">
              <w:rPr>
                <w:rFonts w:cstheme="minorHAnsi"/>
                <w:sz w:val="16"/>
                <w:szCs w:val="16"/>
              </w:rPr>
              <w:t>C.1.2</w:t>
            </w:r>
          </w:p>
          <w:p w14:paraId="0EF7D41F" w14:textId="77777777" w:rsidR="00EC5B31" w:rsidRPr="00562C5E" w:rsidRDefault="00EC5B31" w:rsidP="00EC5B31">
            <w:pPr>
              <w:spacing w:after="0"/>
              <w:jc w:val="both"/>
              <w:rPr>
                <w:rFonts w:cstheme="minorHAnsi"/>
                <w:sz w:val="16"/>
                <w:szCs w:val="16"/>
              </w:rPr>
            </w:pPr>
          </w:p>
          <w:p w14:paraId="549157F1" w14:textId="77777777" w:rsidR="00EC5B31" w:rsidRPr="00562C5E" w:rsidRDefault="00EC5B31" w:rsidP="00EC5B31">
            <w:pPr>
              <w:spacing w:after="0"/>
              <w:jc w:val="both"/>
              <w:rPr>
                <w:rFonts w:cstheme="minorHAnsi"/>
                <w:sz w:val="16"/>
                <w:szCs w:val="16"/>
              </w:rPr>
            </w:pPr>
          </w:p>
          <w:p w14:paraId="66E7989B" w14:textId="77777777" w:rsidR="00EC5B31" w:rsidRPr="00562C5E" w:rsidRDefault="00EC5B31" w:rsidP="00EC5B31">
            <w:pPr>
              <w:spacing w:after="0"/>
              <w:jc w:val="both"/>
              <w:rPr>
                <w:rFonts w:cstheme="minorHAnsi"/>
                <w:sz w:val="16"/>
                <w:szCs w:val="16"/>
              </w:rPr>
            </w:pPr>
            <w:r w:rsidRPr="00562C5E">
              <w:rPr>
                <w:rFonts w:cstheme="minorHAnsi"/>
                <w:sz w:val="16"/>
                <w:szCs w:val="16"/>
              </w:rPr>
              <w:t>A.2.1.1.3.</w:t>
            </w:r>
          </w:p>
        </w:tc>
        <w:tc>
          <w:tcPr>
            <w:tcW w:w="0" w:type="auto"/>
            <w:vMerge w:val="restart"/>
            <w:tcBorders>
              <w:top w:val="single" w:sz="4" w:space="0" w:color="auto"/>
              <w:left w:val="single" w:sz="4" w:space="0" w:color="auto"/>
              <w:bottom w:val="single" w:sz="4" w:space="0" w:color="auto"/>
              <w:right w:val="single" w:sz="4" w:space="0" w:color="auto"/>
            </w:tcBorders>
          </w:tcPr>
          <w:p w14:paraId="5DD66D44" w14:textId="77777777" w:rsidR="00EC5B31" w:rsidRPr="00562C5E" w:rsidRDefault="00EC5B31" w:rsidP="00EC5B31">
            <w:pPr>
              <w:jc w:val="both"/>
              <w:rPr>
                <w:rFonts w:cstheme="minorHAnsi"/>
                <w:sz w:val="16"/>
                <w:szCs w:val="16"/>
              </w:rPr>
            </w:pPr>
            <w:r w:rsidRPr="00562C5E">
              <w:rPr>
                <w:rFonts w:cstheme="minorHAnsi"/>
                <w:sz w:val="16"/>
                <w:szCs w:val="16"/>
              </w:rPr>
              <w:t>Acidophilous bogs (transitional and raised bogs)</w:t>
            </w:r>
          </w:p>
          <w:p w14:paraId="062AA651" w14:textId="77777777" w:rsidR="00EC5B31" w:rsidRPr="00562C5E" w:rsidRDefault="00EC5B31" w:rsidP="00EC5B31">
            <w:pPr>
              <w:jc w:val="both"/>
              <w:rPr>
                <w:rFonts w:cstheme="minorHAnsi"/>
                <w:sz w:val="16"/>
                <w:szCs w:val="16"/>
              </w:rPr>
            </w:pPr>
          </w:p>
          <w:p w14:paraId="2D3B3862" w14:textId="77777777" w:rsidR="00EC5B31" w:rsidRPr="00562C5E" w:rsidRDefault="00EC5B31" w:rsidP="00EC5B31">
            <w:pPr>
              <w:jc w:val="both"/>
              <w:rPr>
                <w:rFonts w:cstheme="minorHAnsi"/>
                <w:sz w:val="16"/>
                <w:szCs w:val="16"/>
              </w:rPr>
            </w:pPr>
          </w:p>
          <w:p w14:paraId="53EEE1F7" w14:textId="77777777" w:rsidR="00EC5B31" w:rsidRPr="00562C5E" w:rsidRDefault="00EC5B31" w:rsidP="00EC5B31">
            <w:pPr>
              <w:jc w:val="both"/>
              <w:rPr>
                <w:rFonts w:cstheme="minorHAnsi"/>
                <w:sz w:val="16"/>
                <w:szCs w:val="16"/>
              </w:rPr>
            </w:pPr>
            <w:proofErr w:type="spellStart"/>
            <w:r w:rsidRPr="00562C5E">
              <w:rPr>
                <w:rFonts w:cstheme="minorHAnsi"/>
                <w:sz w:val="16"/>
                <w:szCs w:val="16"/>
              </w:rPr>
              <w:t>Helocrenic</w:t>
            </w:r>
            <w:proofErr w:type="spellEnd"/>
            <w:r w:rsidRPr="00562C5E">
              <w:rPr>
                <w:rFonts w:cstheme="minorHAnsi"/>
                <w:sz w:val="16"/>
                <w:szCs w:val="16"/>
              </w:rPr>
              <w:t xml:space="preserve"> spring</w:t>
            </w:r>
          </w:p>
        </w:tc>
        <w:tc>
          <w:tcPr>
            <w:tcW w:w="0" w:type="auto"/>
            <w:vMerge w:val="restart"/>
            <w:tcBorders>
              <w:top w:val="single" w:sz="4" w:space="0" w:color="auto"/>
              <w:left w:val="single" w:sz="4" w:space="0" w:color="auto"/>
              <w:bottom w:val="single" w:sz="4" w:space="0" w:color="auto"/>
              <w:right w:val="single" w:sz="4" w:space="0" w:color="auto"/>
            </w:tcBorders>
          </w:tcPr>
          <w:p w14:paraId="0E5F9CD2" w14:textId="77777777" w:rsidR="00EC5B31" w:rsidRPr="00562C5E" w:rsidRDefault="00EC5B31" w:rsidP="00EC5B31">
            <w:pPr>
              <w:spacing w:after="0"/>
              <w:jc w:val="both"/>
              <w:rPr>
                <w:rFonts w:cstheme="minorHAnsi"/>
                <w:sz w:val="16"/>
                <w:szCs w:val="16"/>
              </w:rPr>
            </w:pPr>
            <w:r w:rsidRPr="00562C5E">
              <w:rPr>
                <w:rFonts w:cstheme="minorHAnsi"/>
                <w:sz w:val="16"/>
                <w:szCs w:val="16"/>
              </w:rPr>
              <w:t>TEDGW*</w:t>
            </w:r>
          </w:p>
          <w:p w14:paraId="050FE0D6" w14:textId="77777777" w:rsidR="00EC5B31" w:rsidRPr="00562C5E" w:rsidRDefault="00EC5B31" w:rsidP="00EC5B31">
            <w:pPr>
              <w:spacing w:after="0"/>
              <w:jc w:val="both"/>
              <w:rPr>
                <w:rFonts w:cstheme="minorHAnsi"/>
                <w:sz w:val="16"/>
                <w:szCs w:val="16"/>
              </w:rPr>
            </w:pPr>
          </w:p>
          <w:p w14:paraId="4D311C3A" w14:textId="77777777" w:rsidR="00EC5B31" w:rsidRPr="00562C5E" w:rsidRDefault="00EC5B31" w:rsidP="00EC5B31">
            <w:pPr>
              <w:spacing w:after="0"/>
              <w:jc w:val="both"/>
              <w:rPr>
                <w:rFonts w:cstheme="minorHAnsi"/>
                <w:sz w:val="16"/>
                <w:szCs w:val="16"/>
              </w:rPr>
            </w:pPr>
          </w:p>
          <w:p w14:paraId="7014B688" w14:textId="77777777" w:rsidR="00EC5B31" w:rsidRPr="00562C5E" w:rsidRDefault="00EC5B31" w:rsidP="00EC5B31">
            <w:pPr>
              <w:spacing w:after="0"/>
              <w:jc w:val="both"/>
              <w:rPr>
                <w:rFonts w:cstheme="minorHAnsi"/>
                <w:sz w:val="16"/>
                <w:szCs w:val="16"/>
              </w:rPr>
            </w:pPr>
            <w:r w:rsidRPr="00562C5E">
              <w:rPr>
                <w:rFonts w:cstheme="minorHAnsi"/>
                <w:sz w:val="16"/>
                <w:szCs w:val="16"/>
              </w:rPr>
              <w:t>AEDGW*</w:t>
            </w:r>
          </w:p>
        </w:tc>
      </w:tr>
      <w:tr w:rsidR="00EC5B31" w:rsidRPr="00562C5E" w14:paraId="06B2B7A1" w14:textId="77777777" w:rsidTr="00EC5B31">
        <w:trPr>
          <w:trHeight w:val="834"/>
        </w:trPr>
        <w:tc>
          <w:tcPr>
            <w:tcW w:w="1376" w:type="dxa"/>
            <w:tcBorders>
              <w:top w:val="single" w:sz="4" w:space="0" w:color="auto"/>
              <w:left w:val="single" w:sz="4" w:space="0" w:color="auto"/>
              <w:bottom w:val="single" w:sz="4" w:space="0" w:color="auto"/>
              <w:right w:val="single" w:sz="4" w:space="0" w:color="auto"/>
            </w:tcBorders>
            <w:hideMark/>
          </w:tcPr>
          <w:p w14:paraId="7E991D6F" w14:textId="77777777" w:rsidR="00EC5B31" w:rsidRPr="00562C5E" w:rsidRDefault="00EC5B31" w:rsidP="00EC5B31">
            <w:pPr>
              <w:spacing w:after="0"/>
              <w:jc w:val="both"/>
              <w:rPr>
                <w:rFonts w:cstheme="minorHAnsi"/>
                <w:sz w:val="16"/>
                <w:szCs w:val="16"/>
              </w:rPr>
            </w:pPr>
            <w:r w:rsidRPr="00562C5E">
              <w:rPr>
                <w:rFonts w:cstheme="minorHAnsi"/>
                <w:sz w:val="16"/>
                <w:szCs w:val="16"/>
              </w:rPr>
              <w:t>7220</w:t>
            </w:r>
          </w:p>
        </w:tc>
        <w:tc>
          <w:tcPr>
            <w:tcW w:w="6011" w:type="dxa"/>
            <w:tcBorders>
              <w:top w:val="single" w:sz="4" w:space="0" w:color="auto"/>
              <w:left w:val="single" w:sz="4" w:space="0" w:color="auto"/>
              <w:bottom w:val="single" w:sz="4" w:space="0" w:color="auto"/>
              <w:right w:val="single" w:sz="4" w:space="0" w:color="auto"/>
            </w:tcBorders>
            <w:hideMark/>
          </w:tcPr>
          <w:p w14:paraId="530B2502" w14:textId="77777777" w:rsidR="00EC5B31" w:rsidRPr="00562C5E" w:rsidRDefault="00EC5B31" w:rsidP="00EC5B31">
            <w:pPr>
              <w:jc w:val="both"/>
              <w:rPr>
                <w:rFonts w:cstheme="minorHAnsi"/>
                <w:sz w:val="16"/>
                <w:szCs w:val="16"/>
              </w:rPr>
            </w:pPr>
            <w:r w:rsidRPr="00562C5E">
              <w:rPr>
                <w:rFonts w:cstheme="minorHAnsi"/>
                <w:sz w:val="16"/>
                <w:szCs w:val="16"/>
              </w:rPr>
              <w:t>Springs with tufa formation (</w:t>
            </w:r>
            <w:proofErr w:type="spellStart"/>
            <w:r w:rsidRPr="00562C5E">
              <w:rPr>
                <w:rFonts w:cstheme="minorHAnsi"/>
                <w:sz w:val="16"/>
                <w:szCs w:val="16"/>
              </w:rPr>
              <w:t>Cratoneurion</w:t>
            </w:r>
            <w:proofErr w:type="spellEnd"/>
            <w:r w:rsidRPr="00562C5E">
              <w:rPr>
                <w:rFonts w:cstheme="minorHAnsi"/>
                <w:sz w:val="16"/>
                <w:szCs w:val="16"/>
              </w:rPr>
              <w:t xml:space="preserve">) – point-like or ribbon-like formations dominated by mosses from the </w:t>
            </w:r>
            <w:proofErr w:type="spellStart"/>
            <w:r w:rsidRPr="00562C5E">
              <w:rPr>
                <w:rFonts w:cstheme="minorHAnsi"/>
                <w:sz w:val="16"/>
                <w:szCs w:val="16"/>
              </w:rPr>
              <w:t>commutati</w:t>
            </w:r>
            <w:proofErr w:type="spellEnd"/>
            <w:r w:rsidRPr="00562C5E">
              <w:rPr>
                <w:rFonts w:cstheme="minorHAnsi"/>
                <w:sz w:val="16"/>
                <w:szCs w:val="16"/>
              </w:rPr>
              <w:t xml:space="preserve"> </w:t>
            </w:r>
            <w:proofErr w:type="spellStart"/>
            <w:r w:rsidRPr="00562C5E">
              <w:rPr>
                <w:rFonts w:cstheme="minorHAnsi"/>
                <w:i/>
                <w:iCs/>
                <w:sz w:val="16"/>
                <w:szCs w:val="16"/>
              </w:rPr>
              <w:t>Cratoneurion</w:t>
            </w:r>
            <w:proofErr w:type="spellEnd"/>
            <w:r w:rsidRPr="00562C5E">
              <w:rPr>
                <w:rFonts w:cstheme="minorHAnsi"/>
                <w:i/>
                <w:iCs/>
                <w:sz w:val="16"/>
                <w:szCs w:val="16"/>
              </w:rPr>
              <w:t xml:space="preserve"> </w:t>
            </w:r>
            <w:proofErr w:type="spellStart"/>
            <w:r w:rsidRPr="00562C5E">
              <w:rPr>
                <w:rFonts w:cstheme="minorHAnsi"/>
                <w:i/>
                <w:iCs/>
                <w:sz w:val="16"/>
                <w:szCs w:val="16"/>
              </w:rPr>
              <w:t>allianc</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9796F7" w14:textId="77777777" w:rsidR="00EC5B31" w:rsidRPr="00562C5E" w:rsidRDefault="00EC5B31" w:rsidP="00EC5B31">
            <w:pPr>
              <w:jc w:val="both"/>
              <w:rPr>
                <w:rFonts w:cstheme="minorHAnsi"/>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876861" w14:textId="77777777" w:rsidR="00EC5B31" w:rsidRPr="00562C5E" w:rsidRDefault="00EC5B31" w:rsidP="00EC5B31">
            <w:pPr>
              <w:jc w:val="both"/>
              <w:rPr>
                <w:rFonts w:cstheme="minorHAnsi"/>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BC4BBF" w14:textId="77777777" w:rsidR="00EC5B31" w:rsidRPr="00562C5E" w:rsidRDefault="00EC5B31" w:rsidP="00EC5B31">
            <w:pPr>
              <w:jc w:val="both"/>
              <w:rPr>
                <w:rFonts w:cstheme="minorHAnsi"/>
                <w:sz w:val="16"/>
                <w:szCs w:val="16"/>
              </w:rPr>
            </w:pPr>
          </w:p>
        </w:tc>
      </w:tr>
      <w:tr w:rsidR="00EC5B31" w:rsidRPr="00562C5E" w14:paraId="1E7224AD" w14:textId="77777777" w:rsidTr="00EC5B31">
        <w:tc>
          <w:tcPr>
            <w:tcW w:w="1376" w:type="dxa"/>
            <w:tcBorders>
              <w:top w:val="single" w:sz="4" w:space="0" w:color="auto"/>
              <w:left w:val="single" w:sz="4" w:space="0" w:color="auto"/>
              <w:bottom w:val="single" w:sz="4" w:space="0" w:color="auto"/>
              <w:right w:val="single" w:sz="4" w:space="0" w:color="auto"/>
            </w:tcBorders>
            <w:hideMark/>
          </w:tcPr>
          <w:p w14:paraId="113B5BC8" w14:textId="77777777" w:rsidR="00EC5B31" w:rsidRPr="00562C5E" w:rsidRDefault="00EC5B31" w:rsidP="00EC5B31">
            <w:pPr>
              <w:spacing w:after="0"/>
              <w:jc w:val="both"/>
              <w:rPr>
                <w:rFonts w:cstheme="minorHAnsi"/>
                <w:sz w:val="16"/>
                <w:szCs w:val="16"/>
              </w:rPr>
            </w:pPr>
            <w:r w:rsidRPr="00562C5E">
              <w:rPr>
                <w:rFonts w:cstheme="minorHAnsi"/>
                <w:sz w:val="16"/>
                <w:szCs w:val="16"/>
              </w:rPr>
              <w:t>8310</w:t>
            </w:r>
          </w:p>
        </w:tc>
        <w:tc>
          <w:tcPr>
            <w:tcW w:w="6011" w:type="dxa"/>
            <w:tcBorders>
              <w:top w:val="single" w:sz="4" w:space="0" w:color="auto"/>
              <w:left w:val="single" w:sz="4" w:space="0" w:color="auto"/>
              <w:bottom w:val="single" w:sz="4" w:space="0" w:color="auto"/>
              <w:right w:val="single" w:sz="4" w:space="0" w:color="auto"/>
            </w:tcBorders>
            <w:hideMark/>
          </w:tcPr>
          <w:p w14:paraId="2D3CB54A" w14:textId="77777777" w:rsidR="00EC5B31" w:rsidRPr="00562C5E" w:rsidRDefault="00EC5B31" w:rsidP="00EC5B31">
            <w:pPr>
              <w:jc w:val="both"/>
              <w:rPr>
                <w:rFonts w:cstheme="minorHAnsi"/>
                <w:sz w:val="16"/>
                <w:szCs w:val="16"/>
              </w:rPr>
            </w:pPr>
            <w:r w:rsidRPr="00562C5E">
              <w:rPr>
                <w:rFonts w:cstheme="minorHAnsi"/>
                <w:sz w:val="16"/>
                <w:szCs w:val="16"/>
              </w:rPr>
              <w:t>Caves and pits closed to the public</w:t>
            </w:r>
          </w:p>
        </w:tc>
        <w:tc>
          <w:tcPr>
            <w:tcW w:w="0" w:type="auto"/>
            <w:tcBorders>
              <w:top w:val="single" w:sz="4" w:space="0" w:color="auto"/>
              <w:left w:val="single" w:sz="4" w:space="0" w:color="auto"/>
              <w:bottom w:val="single" w:sz="4" w:space="0" w:color="auto"/>
              <w:right w:val="single" w:sz="4" w:space="0" w:color="auto"/>
            </w:tcBorders>
            <w:vAlign w:val="center"/>
            <w:hideMark/>
          </w:tcPr>
          <w:p w14:paraId="0D03A31D" w14:textId="77777777" w:rsidR="00EC5B31" w:rsidRPr="00562C5E" w:rsidRDefault="00EC5B31" w:rsidP="00EC5B31">
            <w:pPr>
              <w:spacing w:after="0"/>
              <w:jc w:val="both"/>
              <w:rPr>
                <w:rFonts w:cstheme="minorHAnsi"/>
                <w:sz w:val="16"/>
                <w:szCs w:val="16"/>
              </w:rPr>
            </w:pPr>
            <w:r w:rsidRPr="00562C5E">
              <w:rPr>
                <w:rFonts w:cstheme="minorHAnsi"/>
                <w:sz w:val="16"/>
                <w:szCs w:val="16"/>
              </w:rPr>
              <w:t>H.1.3.</w:t>
            </w:r>
          </w:p>
        </w:tc>
        <w:tc>
          <w:tcPr>
            <w:tcW w:w="0" w:type="auto"/>
            <w:tcBorders>
              <w:top w:val="single" w:sz="4" w:space="0" w:color="auto"/>
              <w:left w:val="single" w:sz="4" w:space="0" w:color="auto"/>
              <w:bottom w:val="single" w:sz="4" w:space="0" w:color="auto"/>
              <w:right w:val="single" w:sz="4" w:space="0" w:color="auto"/>
            </w:tcBorders>
            <w:hideMark/>
          </w:tcPr>
          <w:p w14:paraId="5F955119" w14:textId="77777777" w:rsidR="00EC5B31" w:rsidRPr="00562C5E" w:rsidRDefault="00EC5B31" w:rsidP="00EC5B31">
            <w:pPr>
              <w:spacing w:after="0"/>
              <w:jc w:val="both"/>
              <w:rPr>
                <w:rFonts w:cstheme="minorHAnsi"/>
                <w:sz w:val="16"/>
                <w:szCs w:val="16"/>
              </w:rPr>
            </w:pPr>
            <w:r w:rsidRPr="00562C5E">
              <w:rPr>
                <w:rFonts w:cstheme="minorHAnsi"/>
                <w:sz w:val="16"/>
                <w:szCs w:val="16"/>
              </w:rPr>
              <w:t>Aquatic (freshwater) karst cave habitats.</w:t>
            </w:r>
          </w:p>
        </w:tc>
        <w:tc>
          <w:tcPr>
            <w:tcW w:w="0" w:type="auto"/>
            <w:tcBorders>
              <w:top w:val="single" w:sz="4" w:space="0" w:color="auto"/>
              <w:left w:val="single" w:sz="4" w:space="0" w:color="auto"/>
              <w:bottom w:val="single" w:sz="4" w:space="0" w:color="auto"/>
              <w:right w:val="single" w:sz="4" w:space="0" w:color="auto"/>
            </w:tcBorders>
            <w:hideMark/>
          </w:tcPr>
          <w:p w14:paraId="7E550372" w14:textId="77777777" w:rsidR="00EC5B31" w:rsidRPr="00562C5E" w:rsidRDefault="00EC5B31" w:rsidP="00EC5B31">
            <w:pPr>
              <w:spacing w:after="0"/>
              <w:jc w:val="both"/>
              <w:rPr>
                <w:rFonts w:cstheme="minorHAnsi"/>
                <w:sz w:val="16"/>
                <w:szCs w:val="16"/>
              </w:rPr>
            </w:pPr>
            <w:r w:rsidRPr="00562C5E">
              <w:rPr>
                <w:rFonts w:cstheme="minorHAnsi"/>
                <w:sz w:val="16"/>
                <w:szCs w:val="16"/>
              </w:rPr>
              <w:t>AEDGW*</w:t>
            </w:r>
          </w:p>
        </w:tc>
      </w:tr>
      <w:tr w:rsidR="00EC5B31" w:rsidRPr="00562C5E" w14:paraId="511E7635" w14:textId="77777777" w:rsidTr="00EC5B31">
        <w:tc>
          <w:tcPr>
            <w:tcW w:w="1376" w:type="dxa"/>
            <w:tcBorders>
              <w:top w:val="single" w:sz="4" w:space="0" w:color="auto"/>
              <w:left w:val="single" w:sz="4" w:space="0" w:color="auto"/>
              <w:bottom w:val="single" w:sz="4" w:space="0" w:color="auto"/>
              <w:right w:val="single" w:sz="4" w:space="0" w:color="auto"/>
            </w:tcBorders>
            <w:hideMark/>
          </w:tcPr>
          <w:p w14:paraId="1BF5C8DB" w14:textId="77777777" w:rsidR="00EC5B31" w:rsidRPr="00562C5E" w:rsidRDefault="00EC5B31" w:rsidP="00EC5B31">
            <w:pPr>
              <w:spacing w:after="0"/>
              <w:jc w:val="both"/>
              <w:rPr>
                <w:rFonts w:cstheme="minorHAnsi"/>
                <w:sz w:val="16"/>
                <w:szCs w:val="16"/>
              </w:rPr>
            </w:pPr>
            <w:r w:rsidRPr="00562C5E">
              <w:rPr>
                <w:rFonts w:cstheme="minorHAnsi"/>
                <w:sz w:val="16"/>
                <w:szCs w:val="16"/>
              </w:rPr>
              <w:t>8310</w:t>
            </w:r>
          </w:p>
        </w:tc>
        <w:tc>
          <w:tcPr>
            <w:tcW w:w="6011" w:type="dxa"/>
            <w:tcBorders>
              <w:top w:val="single" w:sz="4" w:space="0" w:color="auto"/>
              <w:left w:val="single" w:sz="4" w:space="0" w:color="auto"/>
              <w:bottom w:val="single" w:sz="4" w:space="0" w:color="auto"/>
              <w:right w:val="single" w:sz="4" w:space="0" w:color="auto"/>
            </w:tcBorders>
            <w:hideMark/>
          </w:tcPr>
          <w:p w14:paraId="3F274264" w14:textId="77777777" w:rsidR="00EC5B31" w:rsidRPr="00562C5E" w:rsidRDefault="00EC5B31" w:rsidP="00EC5B31">
            <w:pPr>
              <w:jc w:val="both"/>
              <w:rPr>
                <w:rFonts w:cstheme="minorHAnsi"/>
                <w:sz w:val="16"/>
                <w:szCs w:val="16"/>
              </w:rPr>
            </w:pPr>
            <w:r w:rsidRPr="00562C5E">
              <w:rPr>
                <w:rFonts w:cstheme="minorHAnsi"/>
                <w:sz w:val="16"/>
                <w:szCs w:val="16"/>
              </w:rPr>
              <w:t>Caves and pits closed to the public</w:t>
            </w:r>
          </w:p>
        </w:tc>
        <w:tc>
          <w:tcPr>
            <w:tcW w:w="0" w:type="auto"/>
            <w:tcBorders>
              <w:top w:val="single" w:sz="4" w:space="0" w:color="auto"/>
              <w:left w:val="single" w:sz="4" w:space="0" w:color="auto"/>
              <w:bottom w:val="single" w:sz="4" w:space="0" w:color="auto"/>
              <w:right w:val="single" w:sz="4" w:space="0" w:color="auto"/>
            </w:tcBorders>
            <w:vAlign w:val="center"/>
            <w:hideMark/>
          </w:tcPr>
          <w:p w14:paraId="602ABF15" w14:textId="77777777" w:rsidR="00EC5B31" w:rsidRPr="00562C5E" w:rsidRDefault="00EC5B31" w:rsidP="00EC5B31">
            <w:pPr>
              <w:spacing w:after="0"/>
              <w:jc w:val="both"/>
              <w:rPr>
                <w:rFonts w:cstheme="minorHAnsi"/>
                <w:sz w:val="16"/>
                <w:szCs w:val="16"/>
              </w:rPr>
            </w:pPr>
            <w:r w:rsidRPr="00562C5E">
              <w:rPr>
                <w:rFonts w:cstheme="minorHAnsi"/>
                <w:sz w:val="16"/>
                <w:szCs w:val="16"/>
              </w:rPr>
              <w:t>H.1.3.1.</w:t>
            </w:r>
          </w:p>
        </w:tc>
        <w:tc>
          <w:tcPr>
            <w:tcW w:w="0" w:type="auto"/>
            <w:tcBorders>
              <w:top w:val="single" w:sz="4" w:space="0" w:color="auto"/>
              <w:left w:val="single" w:sz="4" w:space="0" w:color="auto"/>
              <w:bottom w:val="single" w:sz="4" w:space="0" w:color="auto"/>
              <w:right w:val="single" w:sz="4" w:space="0" w:color="auto"/>
            </w:tcBorders>
            <w:hideMark/>
          </w:tcPr>
          <w:p w14:paraId="62F170C7" w14:textId="77777777" w:rsidR="00EC5B31" w:rsidRPr="00562C5E" w:rsidRDefault="00EC5B31" w:rsidP="00EC5B31">
            <w:pPr>
              <w:spacing w:after="0"/>
              <w:jc w:val="both"/>
              <w:rPr>
                <w:rFonts w:cstheme="minorHAnsi"/>
                <w:sz w:val="16"/>
                <w:szCs w:val="16"/>
              </w:rPr>
            </w:pPr>
            <w:r w:rsidRPr="00562C5E">
              <w:rPr>
                <w:rFonts w:cstheme="minorHAnsi"/>
                <w:sz w:val="16"/>
                <w:szCs w:val="16"/>
              </w:rPr>
              <w:t>Underground streams</w:t>
            </w:r>
          </w:p>
        </w:tc>
        <w:tc>
          <w:tcPr>
            <w:tcW w:w="0" w:type="auto"/>
            <w:tcBorders>
              <w:top w:val="single" w:sz="4" w:space="0" w:color="auto"/>
              <w:left w:val="single" w:sz="4" w:space="0" w:color="auto"/>
              <w:bottom w:val="single" w:sz="4" w:space="0" w:color="auto"/>
              <w:right w:val="single" w:sz="4" w:space="0" w:color="auto"/>
            </w:tcBorders>
            <w:hideMark/>
          </w:tcPr>
          <w:p w14:paraId="63806E90" w14:textId="77777777" w:rsidR="00EC5B31" w:rsidRPr="00562C5E" w:rsidRDefault="00EC5B31" w:rsidP="00EC5B31">
            <w:pPr>
              <w:spacing w:after="0"/>
              <w:jc w:val="both"/>
              <w:rPr>
                <w:rFonts w:cstheme="minorHAnsi"/>
                <w:sz w:val="16"/>
                <w:szCs w:val="16"/>
              </w:rPr>
            </w:pPr>
            <w:r w:rsidRPr="00562C5E">
              <w:rPr>
                <w:rFonts w:cstheme="minorHAnsi"/>
                <w:sz w:val="16"/>
                <w:szCs w:val="16"/>
              </w:rPr>
              <w:t>AEDGW*</w:t>
            </w:r>
          </w:p>
        </w:tc>
      </w:tr>
      <w:tr w:rsidR="00EC5B31" w:rsidRPr="00562C5E" w14:paraId="43F66547" w14:textId="77777777" w:rsidTr="00EC5B31">
        <w:tc>
          <w:tcPr>
            <w:tcW w:w="1376" w:type="dxa"/>
            <w:tcBorders>
              <w:top w:val="single" w:sz="4" w:space="0" w:color="auto"/>
              <w:left w:val="single" w:sz="4" w:space="0" w:color="auto"/>
              <w:bottom w:val="single" w:sz="4" w:space="0" w:color="auto"/>
              <w:right w:val="single" w:sz="4" w:space="0" w:color="auto"/>
            </w:tcBorders>
            <w:hideMark/>
          </w:tcPr>
          <w:p w14:paraId="18A9BEAD" w14:textId="77777777" w:rsidR="00EC5B31" w:rsidRPr="00562C5E" w:rsidRDefault="00EC5B31" w:rsidP="00EC5B31">
            <w:pPr>
              <w:spacing w:after="0"/>
              <w:jc w:val="both"/>
              <w:rPr>
                <w:rFonts w:cstheme="minorHAnsi"/>
                <w:sz w:val="16"/>
                <w:szCs w:val="16"/>
              </w:rPr>
            </w:pPr>
            <w:r w:rsidRPr="00562C5E">
              <w:rPr>
                <w:rFonts w:cstheme="minorHAnsi"/>
                <w:sz w:val="16"/>
                <w:szCs w:val="16"/>
              </w:rPr>
              <w:t>8310</w:t>
            </w:r>
          </w:p>
        </w:tc>
        <w:tc>
          <w:tcPr>
            <w:tcW w:w="6011" w:type="dxa"/>
            <w:tcBorders>
              <w:top w:val="single" w:sz="4" w:space="0" w:color="auto"/>
              <w:left w:val="single" w:sz="4" w:space="0" w:color="auto"/>
              <w:bottom w:val="single" w:sz="4" w:space="0" w:color="auto"/>
              <w:right w:val="single" w:sz="4" w:space="0" w:color="auto"/>
            </w:tcBorders>
            <w:hideMark/>
          </w:tcPr>
          <w:p w14:paraId="4304AA25" w14:textId="77777777" w:rsidR="00EC5B31" w:rsidRPr="00562C5E" w:rsidRDefault="00EC5B31" w:rsidP="00EC5B31">
            <w:pPr>
              <w:jc w:val="both"/>
              <w:rPr>
                <w:rFonts w:cstheme="minorHAnsi"/>
                <w:sz w:val="16"/>
                <w:szCs w:val="16"/>
              </w:rPr>
            </w:pPr>
            <w:r w:rsidRPr="00562C5E">
              <w:rPr>
                <w:rFonts w:cstheme="minorHAnsi"/>
                <w:sz w:val="16"/>
                <w:szCs w:val="16"/>
              </w:rPr>
              <w:t>Caves and pits closed to the public</w:t>
            </w:r>
          </w:p>
        </w:tc>
        <w:tc>
          <w:tcPr>
            <w:tcW w:w="0" w:type="auto"/>
            <w:tcBorders>
              <w:top w:val="single" w:sz="4" w:space="0" w:color="auto"/>
              <w:left w:val="single" w:sz="4" w:space="0" w:color="auto"/>
              <w:bottom w:val="single" w:sz="4" w:space="0" w:color="auto"/>
              <w:right w:val="single" w:sz="4" w:space="0" w:color="auto"/>
            </w:tcBorders>
            <w:vAlign w:val="center"/>
            <w:hideMark/>
          </w:tcPr>
          <w:p w14:paraId="2500293B" w14:textId="77777777" w:rsidR="00EC5B31" w:rsidRPr="00562C5E" w:rsidRDefault="00EC5B31" w:rsidP="00EC5B31">
            <w:pPr>
              <w:spacing w:after="0"/>
              <w:jc w:val="both"/>
              <w:rPr>
                <w:rFonts w:cstheme="minorHAnsi"/>
                <w:sz w:val="16"/>
                <w:szCs w:val="16"/>
              </w:rPr>
            </w:pPr>
            <w:r w:rsidRPr="00562C5E">
              <w:rPr>
                <w:rFonts w:cstheme="minorHAnsi"/>
                <w:sz w:val="16"/>
                <w:szCs w:val="16"/>
              </w:rPr>
              <w:t>H.1.3.2.1.</w:t>
            </w:r>
          </w:p>
        </w:tc>
        <w:tc>
          <w:tcPr>
            <w:tcW w:w="0" w:type="auto"/>
            <w:tcBorders>
              <w:top w:val="single" w:sz="4" w:space="0" w:color="auto"/>
              <w:left w:val="single" w:sz="4" w:space="0" w:color="auto"/>
              <w:bottom w:val="single" w:sz="4" w:space="0" w:color="auto"/>
              <w:right w:val="single" w:sz="4" w:space="0" w:color="auto"/>
            </w:tcBorders>
            <w:hideMark/>
          </w:tcPr>
          <w:p w14:paraId="123A8378" w14:textId="77777777" w:rsidR="00EC5B31" w:rsidRPr="00562C5E" w:rsidRDefault="00EC5B31" w:rsidP="00EC5B31">
            <w:pPr>
              <w:spacing w:after="0"/>
              <w:jc w:val="both"/>
              <w:rPr>
                <w:rFonts w:cstheme="minorHAnsi"/>
                <w:sz w:val="16"/>
                <w:szCs w:val="16"/>
              </w:rPr>
            </w:pPr>
            <w:r w:rsidRPr="00562C5E">
              <w:rPr>
                <w:rFonts w:cstheme="minorHAnsi"/>
                <w:sz w:val="16"/>
                <w:szCs w:val="16"/>
              </w:rPr>
              <w:t>Underground lakes</w:t>
            </w:r>
          </w:p>
        </w:tc>
        <w:tc>
          <w:tcPr>
            <w:tcW w:w="0" w:type="auto"/>
            <w:tcBorders>
              <w:top w:val="single" w:sz="4" w:space="0" w:color="auto"/>
              <w:left w:val="single" w:sz="4" w:space="0" w:color="auto"/>
              <w:bottom w:val="single" w:sz="4" w:space="0" w:color="auto"/>
              <w:right w:val="single" w:sz="4" w:space="0" w:color="auto"/>
            </w:tcBorders>
            <w:hideMark/>
          </w:tcPr>
          <w:p w14:paraId="69D24D8F" w14:textId="77777777" w:rsidR="00EC5B31" w:rsidRPr="00562C5E" w:rsidRDefault="00EC5B31" w:rsidP="00EC5B31">
            <w:pPr>
              <w:spacing w:after="0"/>
              <w:jc w:val="both"/>
              <w:rPr>
                <w:rFonts w:cstheme="minorHAnsi"/>
                <w:sz w:val="16"/>
                <w:szCs w:val="16"/>
              </w:rPr>
            </w:pPr>
            <w:r w:rsidRPr="00562C5E">
              <w:rPr>
                <w:rFonts w:cstheme="minorHAnsi"/>
                <w:sz w:val="16"/>
                <w:szCs w:val="16"/>
              </w:rPr>
              <w:t>AEDGW*</w:t>
            </w:r>
          </w:p>
        </w:tc>
      </w:tr>
      <w:tr w:rsidR="00EC5B31" w:rsidRPr="00562C5E" w14:paraId="28EF0732" w14:textId="77777777" w:rsidTr="00EC5B31">
        <w:tc>
          <w:tcPr>
            <w:tcW w:w="1376" w:type="dxa"/>
            <w:tcBorders>
              <w:top w:val="single" w:sz="4" w:space="0" w:color="auto"/>
              <w:left w:val="single" w:sz="4" w:space="0" w:color="auto"/>
              <w:bottom w:val="single" w:sz="4" w:space="0" w:color="auto"/>
              <w:right w:val="single" w:sz="4" w:space="0" w:color="auto"/>
            </w:tcBorders>
            <w:hideMark/>
          </w:tcPr>
          <w:p w14:paraId="5E983812" w14:textId="77777777" w:rsidR="00EC5B31" w:rsidRPr="00562C5E" w:rsidRDefault="00EC5B31" w:rsidP="00EC5B31">
            <w:pPr>
              <w:spacing w:after="0"/>
              <w:jc w:val="both"/>
              <w:rPr>
                <w:rFonts w:cstheme="minorHAnsi"/>
                <w:sz w:val="16"/>
                <w:szCs w:val="16"/>
              </w:rPr>
            </w:pPr>
            <w:r w:rsidRPr="00562C5E">
              <w:rPr>
                <w:rFonts w:cstheme="minorHAnsi"/>
                <w:sz w:val="16"/>
                <w:szCs w:val="16"/>
              </w:rPr>
              <w:t>8330</w:t>
            </w:r>
          </w:p>
        </w:tc>
        <w:tc>
          <w:tcPr>
            <w:tcW w:w="6011" w:type="dxa"/>
            <w:tcBorders>
              <w:top w:val="single" w:sz="4" w:space="0" w:color="auto"/>
              <w:left w:val="single" w:sz="4" w:space="0" w:color="auto"/>
              <w:bottom w:val="single" w:sz="4" w:space="0" w:color="auto"/>
              <w:right w:val="single" w:sz="4" w:space="0" w:color="auto"/>
            </w:tcBorders>
            <w:hideMark/>
          </w:tcPr>
          <w:p w14:paraId="10ABFE3B" w14:textId="77777777" w:rsidR="00EC5B31" w:rsidRPr="00562C5E" w:rsidRDefault="00EC5B31" w:rsidP="00EC5B31">
            <w:pPr>
              <w:jc w:val="both"/>
              <w:rPr>
                <w:rFonts w:cstheme="minorHAnsi"/>
                <w:sz w:val="16"/>
                <w:szCs w:val="16"/>
              </w:rPr>
            </w:pPr>
            <w:r w:rsidRPr="00562C5E">
              <w:rPr>
                <w:rFonts w:cstheme="minorHAnsi"/>
                <w:sz w:val="16"/>
                <w:szCs w:val="16"/>
              </w:rPr>
              <w:t>Flooded or partially flooded sea caves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144E24B" w14:textId="77777777" w:rsidR="00EC5B31" w:rsidRPr="00562C5E" w:rsidRDefault="00EC5B31" w:rsidP="00EC5B31">
            <w:pPr>
              <w:spacing w:after="0"/>
              <w:jc w:val="both"/>
              <w:rPr>
                <w:rFonts w:cstheme="minorHAnsi"/>
                <w:sz w:val="16"/>
                <w:szCs w:val="16"/>
              </w:rPr>
            </w:pPr>
            <w:r w:rsidRPr="00562C5E">
              <w:rPr>
                <w:rFonts w:cstheme="minorHAnsi"/>
                <w:sz w:val="16"/>
                <w:szCs w:val="16"/>
              </w:rPr>
              <w:t>H.1.4.1.</w:t>
            </w:r>
          </w:p>
        </w:tc>
        <w:tc>
          <w:tcPr>
            <w:tcW w:w="0" w:type="auto"/>
            <w:tcBorders>
              <w:top w:val="single" w:sz="4" w:space="0" w:color="auto"/>
              <w:left w:val="single" w:sz="4" w:space="0" w:color="auto"/>
              <w:bottom w:val="single" w:sz="4" w:space="0" w:color="auto"/>
              <w:right w:val="single" w:sz="4" w:space="0" w:color="auto"/>
            </w:tcBorders>
            <w:hideMark/>
          </w:tcPr>
          <w:p w14:paraId="3AAA2E50" w14:textId="77777777" w:rsidR="00EC5B31" w:rsidRPr="00562C5E" w:rsidRDefault="00EC5B31" w:rsidP="00EC5B31">
            <w:pPr>
              <w:spacing w:after="0"/>
              <w:jc w:val="both"/>
              <w:rPr>
                <w:rFonts w:cstheme="minorHAnsi"/>
                <w:sz w:val="16"/>
                <w:szCs w:val="16"/>
              </w:rPr>
            </w:pPr>
            <w:proofErr w:type="spellStart"/>
            <w:r w:rsidRPr="00562C5E">
              <w:rPr>
                <w:rFonts w:cstheme="minorHAnsi"/>
                <w:sz w:val="16"/>
                <w:szCs w:val="16"/>
              </w:rPr>
              <w:t>Anhydrohaline</w:t>
            </w:r>
            <w:proofErr w:type="spellEnd"/>
            <w:r w:rsidRPr="00562C5E">
              <w:rPr>
                <w:rFonts w:cstheme="minorHAnsi"/>
                <w:sz w:val="16"/>
                <w:szCs w:val="16"/>
              </w:rPr>
              <w:t xml:space="preserve"> karst caves</w:t>
            </w:r>
          </w:p>
        </w:tc>
        <w:tc>
          <w:tcPr>
            <w:tcW w:w="0" w:type="auto"/>
            <w:tcBorders>
              <w:top w:val="single" w:sz="4" w:space="0" w:color="auto"/>
              <w:left w:val="single" w:sz="4" w:space="0" w:color="auto"/>
              <w:bottom w:val="single" w:sz="4" w:space="0" w:color="auto"/>
              <w:right w:val="single" w:sz="4" w:space="0" w:color="auto"/>
            </w:tcBorders>
            <w:hideMark/>
          </w:tcPr>
          <w:p w14:paraId="2DBF8F73" w14:textId="77777777" w:rsidR="00EC5B31" w:rsidRPr="00562C5E" w:rsidRDefault="00EC5B31" w:rsidP="00EC5B31">
            <w:pPr>
              <w:spacing w:after="0"/>
              <w:jc w:val="both"/>
              <w:rPr>
                <w:rFonts w:cstheme="minorHAnsi"/>
                <w:sz w:val="16"/>
                <w:szCs w:val="16"/>
              </w:rPr>
            </w:pPr>
            <w:r w:rsidRPr="00562C5E">
              <w:rPr>
                <w:rFonts w:cstheme="minorHAnsi"/>
                <w:sz w:val="16"/>
                <w:szCs w:val="16"/>
              </w:rPr>
              <w:t>AEDGW*</w:t>
            </w:r>
          </w:p>
        </w:tc>
      </w:tr>
      <w:tr w:rsidR="00EC5B31" w:rsidRPr="00562C5E" w14:paraId="284F9D39" w14:textId="77777777" w:rsidTr="00EC5B31">
        <w:tc>
          <w:tcPr>
            <w:tcW w:w="1376" w:type="dxa"/>
            <w:tcBorders>
              <w:top w:val="single" w:sz="4" w:space="0" w:color="auto"/>
              <w:left w:val="single" w:sz="4" w:space="0" w:color="auto"/>
              <w:bottom w:val="single" w:sz="4" w:space="0" w:color="auto"/>
              <w:right w:val="single" w:sz="4" w:space="0" w:color="auto"/>
            </w:tcBorders>
            <w:hideMark/>
          </w:tcPr>
          <w:p w14:paraId="74F3C986" w14:textId="77777777" w:rsidR="00EC5B31" w:rsidRPr="00562C5E" w:rsidRDefault="00EC5B31" w:rsidP="00EC5B31">
            <w:pPr>
              <w:spacing w:after="0"/>
              <w:jc w:val="both"/>
              <w:rPr>
                <w:rFonts w:cstheme="minorHAnsi"/>
                <w:sz w:val="16"/>
                <w:szCs w:val="16"/>
              </w:rPr>
            </w:pPr>
            <w:r w:rsidRPr="00562C5E">
              <w:rPr>
                <w:rFonts w:cstheme="minorHAnsi"/>
                <w:sz w:val="16"/>
                <w:szCs w:val="16"/>
              </w:rPr>
              <w:t>9160</w:t>
            </w:r>
          </w:p>
        </w:tc>
        <w:tc>
          <w:tcPr>
            <w:tcW w:w="6011" w:type="dxa"/>
            <w:tcBorders>
              <w:top w:val="single" w:sz="4" w:space="0" w:color="auto"/>
              <w:left w:val="single" w:sz="4" w:space="0" w:color="auto"/>
              <w:bottom w:val="single" w:sz="4" w:space="0" w:color="auto"/>
              <w:right w:val="single" w:sz="4" w:space="0" w:color="auto"/>
            </w:tcBorders>
            <w:hideMark/>
          </w:tcPr>
          <w:p w14:paraId="47871B01" w14:textId="77777777" w:rsidR="00EC5B31" w:rsidRPr="00562C5E" w:rsidRDefault="00EC5B31" w:rsidP="00EC5B31">
            <w:pPr>
              <w:jc w:val="both"/>
              <w:rPr>
                <w:rFonts w:cstheme="minorHAnsi"/>
                <w:sz w:val="16"/>
                <w:szCs w:val="16"/>
              </w:rPr>
            </w:pPr>
            <w:r w:rsidRPr="00562C5E">
              <w:rPr>
                <w:rFonts w:cstheme="minorHAnsi"/>
                <w:sz w:val="16"/>
                <w:szCs w:val="16"/>
              </w:rPr>
              <w:t>Sub-Atlantic and medio-European oak and oak-hornbeam forests of the</w:t>
            </w:r>
            <w:r w:rsidRPr="00562C5E">
              <w:rPr>
                <w:rFonts w:cstheme="minorHAnsi"/>
                <w:i/>
                <w:iCs/>
                <w:sz w:val="16"/>
                <w:szCs w:val="16"/>
              </w:rPr>
              <w:t xml:space="preserve"> </w:t>
            </w:r>
            <w:proofErr w:type="spellStart"/>
            <w:r w:rsidRPr="00562C5E">
              <w:rPr>
                <w:rFonts w:cstheme="minorHAnsi"/>
                <w:i/>
                <w:iCs/>
                <w:sz w:val="16"/>
                <w:szCs w:val="16"/>
              </w:rPr>
              <w:t>Carpinion</w:t>
            </w:r>
            <w:proofErr w:type="spellEnd"/>
            <w:r w:rsidRPr="00562C5E">
              <w:rPr>
                <w:rFonts w:cstheme="minorHAnsi"/>
                <w:i/>
                <w:iCs/>
                <w:sz w:val="16"/>
                <w:szCs w:val="16"/>
              </w:rPr>
              <w:t xml:space="preserve"> </w:t>
            </w:r>
            <w:proofErr w:type="spellStart"/>
            <w:r w:rsidRPr="00562C5E">
              <w:rPr>
                <w:rFonts w:cstheme="minorHAnsi"/>
                <w:i/>
                <w:iCs/>
                <w:sz w:val="16"/>
                <w:szCs w:val="16"/>
              </w:rPr>
              <w:t>betuli</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2523E2FC" w14:textId="77777777" w:rsidR="00EC5B31" w:rsidRPr="00562C5E" w:rsidRDefault="00EC5B31" w:rsidP="00EC5B31">
            <w:pPr>
              <w:spacing w:after="0"/>
              <w:jc w:val="both"/>
              <w:rPr>
                <w:rFonts w:cstheme="minorHAnsi"/>
                <w:sz w:val="16"/>
                <w:szCs w:val="16"/>
              </w:rPr>
            </w:pPr>
            <w:r w:rsidRPr="00562C5E">
              <w:rPr>
                <w:rFonts w:cstheme="minorHAnsi"/>
                <w:sz w:val="16"/>
                <w:szCs w:val="16"/>
              </w:rPr>
              <w:t>E.3.1.1.</w:t>
            </w:r>
          </w:p>
        </w:tc>
        <w:tc>
          <w:tcPr>
            <w:tcW w:w="0" w:type="auto"/>
            <w:tcBorders>
              <w:top w:val="single" w:sz="4" w:space="0" w:color="auto"/>
              <w:left w:val="single" w:sz="4" w:space="0" w:color="auto"/>
              <w:bottom w:val="single" w:sz="4" w:space="0" w:color="auto"/>
              <w:right w:val="single" w:sz="4" w:space="0" w:color="auto"/>
            </w:tcBorders>
            <w:hideMark/>
          </w:tcPr>
          <w:p w14:paraId="6CC7AD6B" w14:textId="77777777" w:rsidR="00EC5B31" w:rsidRPr="00562C5E" w:rsidRDefault="00EC5B31" w:rsidP="00EC5B31">
            <w:pPr>
              <w:spacing w:after="0"/>
              <w:jc w:val="both"/>
              <w:rPr>
                <w:rFonts w:cstheme="minorHAnsi"/>
                <w:sz w:val="16"/>
                <w:szCs w:val="16"/>
              </w:rPr>
            </w:pPr>
            <w:r w:rsidRPr="00562C5E">
              <w:rPr>
                <w:rFonts w:cstheme="minorHAnsi"/>
                <w:sz w:val="16"/>
                <w:szCs w:val="16"/>
              </w:rPr>
              <w:t xml:space="preserve">Pedunculate oak and common hornbeam forest (typical </w:t>
            </w:r>
            <w:proofErr w:type="spellStart"/>
            <w:r w:rsidRPr="00562C5E">
              <w:rPr>
                <w:rFonts w:cstheme="minorHAnsi"/>
                <w:sz w:val="16"/>
                <w:szCs w:val="16"/>
              </w:rPr>
              <w:t>subassociation</w:t>
            </w:r>
            <w:proofErr w:type="spellEnd"/>
            <w:r w:rsidRPr="00562C5E">
              <w:rPr>
                <w:rFonts w:cstheme="minorHAnsi"/>
                <w:sz w:val="16"/>
                <w:szCs w:val="16"/>
              </w:rPr>
              <w:t>)</w:t>
            </w:r>
          </w:p>
        </w:tc>
        <w:tc>
          <w:tcPr>
            <w:tcW w:w="0" w:type="auto"/>
            <w:tcBorders>
              <w:top w:val="single" w:sz="4" w:space="0" w:color="auto"/>
              <w:left w:val="single" w:sz="4" w:space="0" w:color="auto"/>
              <w:bottom w:val="single" w:sz="4" w:space="0" w:color="auto"/>
              <w:right w:val="single" w:sz="4" w:space="0" w:color="auto"/>
            </w:tcBorders>
            <w:hideMark/>
          </w:tcPr>
          <w:p w14:paraId="4354D3D6" w14:textId="77777777" w:rsidR="00EC5B31" w:rsidRPr="00562C5E" w:rsidRDefault="00EC5B31" w:rsidP="00EC5B31">
            <w:pPr>
              <w:spacing w:after="0"/>
              <w:jc w:val="both"/>
              <w:rPr>
                <w:rFonts w:cstheme="minorHAnsi"/>
                <w:sz w:val="16"/>
                <w:szCs w:val="16"/>
              </w:rPr>
            </w:pPr>
            <w:r w:rsidRPr="00562C5E">
              <w:rPr>
                <w:rFonts w:cstheme="minorHAnsi"/>
                <w:sz w:val="16"/>
                <w:szCs w:val="16"/>
              </w:rPr>
              <w:t>AEDGW*</w:t>
            </w:r>
          </w:p>
        </w:tc>
      </w:tr>
      <w:tr w:rsidR="00EC5B31" w:rsidRPr="00562C5E" w14:paraId="6B9FDE99" w14:textId="77777777" w:rsidTr="00EC5B31">
        <w:tc>
          <w:tcPr>
            <w:tcW w:w="1376" w:type="dxa"/>
            <w:tcBorders>
              <w:top w:val="single" w:sz="4" w:space="0" w:color="auto"/>
              <w:left w:val="single" w:sz="4" w:space="0" w:color="auto"/>
              <w:bottom w:val="single" w:sz="4" w:space="0" w:color="auto"/>
              <w:right w:val="single" w:sz="4" w:space="0" w:color="auto"/>
            </w:tcBorders>
            <w:hideMark/>
          </w:tcPr>
          <w:p w14:paraId="114F5D71" w14:textId="77777777" w:rsidR="00EC5B31" w:rsidRPr="00562C5E" w:rsidRDefault="00EC5B31" w:rsidP="00EC5B31">
            <w:pPr>
              <w:spacing w:after="0"/>
              <w:jc w:val="both"/>
              <w:rPr>
                <w:rFonts w:cstheme="minorHAnsi"/>
                <w:sz w:val="16"/>
                <w:szCs w:val="16"/>
              </w:rPr>
            </w:pPr>
            <w:r w:rsidRPr="00562C5E">
              <w:rPr>
                <w:rFonts w:cstheme="minorHAnsi"/>
                <w:sz w:val="16"/>
                <w:szCs w:val="16"/>
              </w:rPr>
              <w:t>91EO</w:t>
            </w:r>
          </w:p>
        </w:tc>
        <w:tc>
          <w:tcPr>
            <w:tcW w:w="6011" w:type="dxa"/>
            <w:tcBorders>
              <w:top w:val="single" w:sz="4" w:space="0" w:color="auto"/>
              <w:left w:val="single" w:sz="4" w:space="0" w:color="auto"/>
              <w:bottom w:val="single" w:sz="4" w:space="0" w:color="auto"/>
              <w:right w:val="single" w:sz="4" w:space="0" w:color="auto"/>
            </w:tcBorders>
            <w:hideMark/>
          </w:tcPr>
          <w:p w14:paraId="2CC06156" w14:textId="77777777" w:rsidR="00EC5B31" w:rsidRPr="00562C5E" w:rsidRDefault="00EC5B31" w:rsidP="00EC5B31">
            <w:pPr>
              <w:jc w:val="both"/>
              <w:rPr>
                <w:rFonts w:cstheme="minorHAnsi"/>
                <w:i/>
                <w:iCs/>
                <w:sz w:val="16"/>
                <w:szCs w:val="16"/>
              </w:rPr>
            </w:pPr>
            <w:r w:rsidRPr="00562C5E">
              <w:rPr>
                <w:rFonts w:cstheme="minorHAnsi"/>
                <w:sz w:val="16"/>
                <w:szCs w:val="16"/>
              </w:rPr>
              <w:t>Alluvial forests (</w:t>
            </w:r>
            <w:proofErr w:type="spellStart"/>
            <w:r w:rsidRPr="00562C5E">
              <w:rPr>
                <w:rFonts w:cstheme="minorHAnsi"/>
                <w:i/>
                <w:iCs/>
                <w:sz w:val="16"/>
                <w:szCs w:val="16"/>
              </w:rPr>
              <w:t>Alno-Padion</w:t>
            </w:r>
            <w:proofErr w:type="spellEnd"/>
            <w:r w:rsidRPr="00562C5E">
              <w:rPr>
                <w:rFonts w:cstheme="minorHAnsi"/>
                <w:i/>
                <w:iCs/>
                <w:sz w:val="16"/>
                <w:szCs w:val="16"/>
              </w:rPr>
              <w:t xml:space="preserve">, </w:t>
            </w:r>
            <w:proofErr w:type="spellStart"/>
            <w:r w:rsidRPr="00562C5E">
              <w:rPr>
                <w:rFonts w:cstheme="minorHAnsi"/>
                <w:i/>
                <w:iCs/>
                <w:sz w:val="16"/>
                <w:szCs w:val="16"/>
              </w:rPr>
              <w:t>Alnion</w:t>
            </w:r>
            <w:proofErr w:type="spellEnd"/>
            <w:r w:rsidRPr="00562C5E">
              <w:rPr>
                <w:rFonts w:cstheme="minorHAnsi"/>
                <w:i/>
                <w:iCs/>
                <w:sz w:val="16"/>
                <w:szCs w:val="16"/>
              </w:rPr>
              <w:t xml:space="preserve"> </w:t>
            </w:r>
            <w:proofErr w:type="spellStart"/>
            <w:r w:rsidRPr="00562C5E">
              <w:rPr>
                <w:rFonts w:cstheme="minorHAnsi"/>
                <w:i/>
                <w:iCs/>
                <w:sz w:val="16"/>
                <w:szCs w:val="16"/>
              </w:rPr>
              <w:t>incanae</w:t>
            </w:r>
            <w:proofErr w:type="spellEnd"/>
            <w:r w:rsidRPr="00562C5E">
              <w:rPr>
                <w:rFonts w:cstheme="minorHAnsi"/>
                <w:i/>
                <w:iCs/>
                <w:sz w:val="16"/>
                <w:szCs w:val="16"/>
              </w:rPr>
              <w:t xml:space="preserve">, </w:t>
            </w:r>
            <w:proofErr w:type="spellStart"/>
            <w:r w:rsidRPr="00562C5E">
              <w:rPr>
                <w:rFonts w:cstheme="minorHAnsi"/>
                <w:i/>
                <w:iCs/>
                <w:sz w:val="16"/>
                <w:szCs w:val="16"/>
              </w:rPr>
              <w:t>Salicion</w:t>
            </w:r>
            <w:proofErr w:type="spellEnd"/>
            <w:r w:rsidRPr="00562C5E">
              <w:rPr>
                <w:rFonts w:cstheme="minorHAnsi"/>
                <w:i/>
                <w:iCs/>
                <w:sz w:val="16"/>
                <w:szCs w:val="16"/>
              </w:rPr>
              <w:t xml:space="preserve"> </w:t>
            </w:r>
            <w:proofErr w:type="spellStart"/>
            <w:r w:rsidRPr="00562C5E">
              <w:rPr>
                <w:rFonts w:cstheme="minorHAnsi"/>
                <w:i/>
                <w:iCs/>
                <w:sz w:val="16"/>
                <w:szCs w:val="16"/>
              </w:rPr>
              <w:t>albae</w:t>
            </w:r>
            <w:proofErr w:type="spellEnd"/>
            <w:r w:rsidRPr="00562C5E">
              <w:rPr>
                <w:rFonts w:cstheme="minorHAnsi"/>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B62FD4D" w14:textId="77777777" w:rsidR="00EC5B31" w:rsidRPr="00562C5E" w:rsidRDefault="00EC5B31" w:rsidP="00EC5B31">
            <w:pPr>
              <w:spacing w:after="0"/>
              <w:jc w:val="both"/>
              <w:rPr>
                <w:rFonts w:cstheme="minorHAnsi"/>
                <w:sz w:val="16"/>
                <w:szCs w:val="16"/>
              </w:rPr>
            </w:pPr>
            <w:r w:rsidRPr="00562C5E">
              <w:rPr>
                <w:rFonts w:cstheme="minorHAnsi"/>
                <w:sz w:val="16"/>
                <w:szCs w:val="16"/>
              </w:rPr>
              <w:t>E.2.1.</w:t>
            </w:r>
          </w:p>
        </w:tc>
        <w:tc>
          <w:tcPr>
            <w:tcW w:w="0" w:type="auto"/>
            <w:tcBorders>
              <w:top w:val="single" w:sz="4" w:space="0" w:color="auto"/>
              <w:left w:val="single" w:sz="4" w:space="0" w:color="auto"/>
              <w:bottom w:val="single" w:sz="4" w:space="0" w:color="auto"/>
              <w:right w:val="single" w:sz="4" w:space="0" w:color="auto"/>
            </w:tcBorders>
            <w:hideMark/>
          </w:tcPr>
          <w:p w14:paraId="4F9C63BD" w14:textId="77777777" w:rsidR="00EC5B31" w:rsidRPr="00562C5E" w:rsidRDefault="00EC5B31" w:rsidP="00EC5B31">
            <w:pPr>
              <w:spacing w:after="0"/>
              <w:jc w:val="both"/>
              <w:rPr>
                <w:rFonts w:cstheme="minorHAnsi"/>
                <w:sz w:val="16"/>
                <w:szCs w:val="16"/>
              </w:rPr>
            </w:pPr>
            <w:r w:rsidRPr="00562C5E">
              <w:rPr>
                <w:rFonts w:cstheme="minorHAnsi"/>
                <w:sz w:val="16"/>
                <w:szCs w:val="16"/>
              </w:rPr>
              <w:t>Floodplain forests of black alder and narrow-leaved</w:t>
            </w:r>
          </w:p>
        </w:tc>
        <w:tc>
          <w:tcPr>
            <w:tcW w:w="0" w:type="auto"/>
            <w:tcBorders>
              <w:top w:val="single" w:sz="4" w:space="0" w:color="auto"/>
              <w:left w:val="single" w:sz="4" w:space="0" w:color="auto"/>
              <w:bottom w:val="single" w:sz="4" w:space="0" w:color="auto"/>
              <w:right w:val="single" w:sz="4" w:space="0" w:color="auto"/>
            </w:tcBorders>
            <w:hideMark/>
          </w:tcPr>
          <w:p w14:paraId="3DAB31BC" w14:textId="77777777" w:rsidR="00EC5B31" w:rsidRPr="00562C5E" w:rsidRDefault="00EC5B31" w:rsidP="00EC5B31">
            <w:pPr>
              <w:spacing w:after="0"/>
              <w:jc w:val="both"/>
              <w:rPr>
                <w:rFonts w:cstheme="minorHAnsi"/>
                <w:sz w:val="16"/>
                <w:szCs w:val="16"/>
              </w:rPr>
            </w:pPr>
            <w:r w:rsidRPr="00562C5E">
              <w:rPr>
                <w:rFonts w:cstheme="minorHAnsi"/>
                <w:sz w:val="16"/>
                <w:szCs w:val="16"/>
              </w:rPr>
              <w:t>TEDGW*</w:t>
            </w:r>
          </w:p>
        </w:tc>
      </w:tr>
      <w:tr w:rsidR="00EC5B31" w:rsidRPr="00562C5E" w14:paraId="2BEDFF1A" w14:textId="77777777" w:rsidTr="00EC5B31">
        <w:tc>
          <w:tcPr>
            <w:tcW w:w="1376" w:type="dxa"/>
            <w:tcBorders>
              <w:top w:val="single" w:sz="4" w:space="0" w:color="auto"/>
              <w:left w:val="single" w:sz="4" w:space="0" w:color="auto"/>
              <w:bottom w:val="single" w:sz="4" w:space="0" w:color="auto"/>
              <w:right w:val="single" w:sz="4" w:space="0" w:color="auto"/>
            </w:tcBorders>
          </w:tcPr>
          <w:p w14:paraId="2214660B" w14:textId="2A74334A" w:rsidR="00EC5B31" w:rsidRPr="00562C5E" w:rsidRDefault="00EC5B31" w:rsidP="00EC5B31">
            <w:pPr>
              <w:spacing w:after="0"/>
              <w:jc w:val="both"/>
              <w:rPr>
                <w:rFonts w:cstheme="minorHAnsi"/>
                <w:sz w:val="16"/>
                <w:szCs w:val="16"/>
              </w:rPr>
            </w:pPr>
            <w:r w:rsidRPr="00562C5E">
              <w:rPr>
                <w:sz w:val="16"/>
                <w:szCs w:val="16"/>
              </w:rPr>
              <w:t>91F0</w:t>
            </w:r>
          </w:p>
        </w:tc>
        <w:tc>
          <w:tcPr>
            <w:tcW w:w="6011" w:type="dxa"/>
            <w:tcBorders>
              <w:top w:val="single" w:sz="4" w:space="0" w:color="auto"/>
              <w:left w:val="single" w:sz="4" w:space="0" w:color="auto"/>
              <w:bottom w:val="single" w:sz="4" w:space="0" w:color="auto"/>
              <w:right w:val="single" w:sz="4" w:space="0" w:color="auto"/>
            </w:tcBorders>
          </w:tcPr>
          <w:p w14:paraId="039B7D5B" w14:textId="46E06A3C" w:rsidR="00EC5B31" w:rsidRPr="00562C5E" w:rsidRDefault="00EC5B31" w:rsidP="00EC5B31">
            <w:pPr>
              <w:jc w:val="both"/>
              <w:rPr>
                <w:rFonts w:cstheme="minorHAnsi"/>
                <w:sz w:val="16"/>
                <w:szCs w:val="16"/>
              </w:rPr>
            </w:pPr>
            <w:r w:rsidRPr="00562C5E">
              <w:rPr>
                <w:sz w:val="16"/>
                <w:szCs w:val="16"/>
              </w:rPr>
              <w:t xml:space="preserve">Floodplain mixed forests Quercus </w:t>
            </w:r>
            <w:proofErr w:type="spellStart"/>
            <w:r w:rsidRPr="00562C5E">
              <w:rPr>
                <w:sz w:val="16"/>
                <w:szCs w:val="16"/>
              </w:rPr>
              <w:t>robur</w:t>
            </w:r>
            <w:proofErr w:type="spellEnd"/>
            <w:r w:rsidRPr="00562C5E">
              <w:rPr>
                <w:sz w:val="16"/>
                <w:szCs w:val="16"/>
              </w:rPr>
              <w:t>, Ulmus laevis, Ulmus minor, Fraxinus excelsior or Fraxinus angustifolia</w:t>
            </w:r>
          </w:p>
        </w:tc>
        <w:tc>
          <w:tcPr>
            <w:tcW w:w="0" w:type="auto"/>
            <w:tcBorders>
              <w:top w:val="single" w:sz="4" w:space="0" w:color="auto"/>
              <w:left w:val="single" w:sz="4" w:space="0" w:color="auto"/>
              <w:bottom w:val="single" w:sz="4" w:space="0" w:color="auto"/>
              <w:right w:val="single" w:sz="4" w:space="0" w:color="auto"/>
            </w:tcBorders>
          </w:tcPr>
          <w:p w14:paraId="7F24B8DD" w14:textId="2A585D29" w:rsidR="00EC5B31" w:rsidRPr="00562C5E" w:rsidRDefault="00EC5B31" w:rsidP="00EC5B31">
            <w:pPr>
              <w:spacing w:after="0"/>
              <w:jc w:val="both"/>
              <w:rPr>
                <w:rFonts w:cstheme="minorHAnsi"/>
                <w:sz w:val="16"/>
                <w:szCs w:val="16"/>
              </w:rPr>
            </w:pPr>
            <w:r w:rsidRPr="00562C5E">
              <w:rPr>
                <w:sz w:val="16"/>
                <w:szCs w:val="16"/>
              </w:rPr>
              <w:t>E.2.</w:t>
            </w:r>
          </w:p>
        </w:tc>
        <w:tc>
          <w:tcPr>
            <w:tcW w:w="0" w:type="auto"/>
            <w:tcBorders>
              <w:top w:val="single" w:sz="4" w:space="0" w:color="auto"/>
              <w:left w:val="single" w:sz="4" w:space="0" w:color="auto"/>
              <w:bottom w:val="single" w:sz="4" w:space="0" w:color="auto"/>
              <w:right w:val="single" w:sz="4" w:space="0" w:color="auto"/>
            </w:tcBorders>
          </w:tcPr>
          <w:p w14:paraId="3ED4E7F4" w14:textId="1AFAADD0" w:rsidR="00EC5B31" w:rsidRPr="00562C5E" w:rsidRDefault="00EC5B31" w:rsidP="00EC5B31">
            <w:pPr>
              <w:spacing w:after="0"/>
              <w:jc w:val="both"/>
              <w:rPr>
                <w:rFonts w:cstheme="minorHAnsi"/>
                <w:sz w:val="16"/>
                <w:szCs w:val="16"/>
              </w:rPr>
            </w:pPr>
            <w:r w:rsidRPr="00562C5E">
              <w:rPr>
                <w:sz w:val="16"/>
                <w:szCs w:val="16"/>
              </w:rPr>
              <w:t>Floodplain forests of pedunculate oak, black alder, and narrow-leaved ash</w:t>
            </w:r>
          </w:p>
        </w:tc>
        <w:tc>
          <w:tcPr>
            <w:tcW w:w="0" w:type="auto"/>
            <w:tcBorders>
              <w:top w:val="single" w:sz="4" w:space="0" w:color="auto"/>
              <w:left w:val="single" w:sz="4" w:space="0" w:color="auto"/>
              <w:bottom w:val="single" w:sz="4" w:space="0" w:color="auto"/>
              <w:right w:val="single" w:sz="4" w:space="0" w:color="auto"/>
            </w:tcBorders>
          </w:tcPr>
          <w:p w14:paraId="08D34440" w14:textId="1DEAB5B8" w:rsidR="00EC5B31" w:rsidRPr="00562C5E" w:rsidRDefault="00EC5B31" w:rsidP="00EC5B31">
            <w:pPr>
              <w:spacing w:after="0"/>
              <w:jc w:val="both"/>
              <w:rPr>
                <w:rFonts w:cstheme="minorHAnsi"/>
                <w:sz w:val="16"/>
                <w:szCs w:val="16"/>
              </w:rPr>
            </w:pPr>
            <w:r w:rsidRPr="00562C5E">
              <w:rPr>
                <w:sz w:val="16"/>
                <w:szCs w:val="16"/>
              </w:rPr>
              <w:t>TEDGW*</w:t>
            </w:r>
          </w:p>
        </w:tc>
      </w:tr>
      <w:tr w:rsidR="00EC5B31" w:rsidRPr="00562C5E" w14:paraId="2C8788B1" w14:textId="77777777" w:rsidTr="00EC5B31">
        <w:tc>
          <w:tcPr>
            <w:tcW w:w="1376" w:type="dxa"/>
            <w:tcBorders>
              <w:top w:val="single" w:sz="4" w:space="0" w:color="auto"/>
              <w:left w:val="single" w:sz="4" w:space="0" w:color="auto"/>
              <w:bottom w:val="single" w:sz="4" w:space="0" w:color="auto"/>
              <w:right w:val="single" w:sz="4" w:space="0" w:color="auto"/>
            </w:tcBorders>
          </w:tcPr>
          <w:p w14:paraId="4B11C92E" w14:textId="504A0D50" w:rsidR="00EC5B31" w:rsidRPr="00562C5E" w:rsidRDefault="00EC5B31" w:rsidP="00EC5B31">
            <w:pPr>
              <w:spacing w:after="0"/>
              <w:jc w:val="both"/>
              <w:rPr>
                <w:rFonts w:cstheme="minorHAnsi"/>
                <w:sz w:val="16"/>
                <w:szCs w:val="16"/>
              </w:rPr>
            </w:pPr>
            <w:r w:rsidRPr="00562C5E">
              <w:rPr>
                <w:sz w:val="16"/>
                <w:szCs w:val="16"/>
              </w:rPr>
              <w:t>-</w:t>
            </w:r>
          </w:p>
        </w:tc>
        <w:tc>
          <w:tcPr>
            <w:tcW w:w="6011" w:type="dxa"/>
            <w:tcBorders>
              <w:top w:val="single" w:sz="4" w:space="0" w:color="auto"/>
              <w:left w:val="single" w:sz="4" w:space="0" w:color="auto"/>
              <w:bottom w:val="single" w:sz="4" w:space="0" w:color="auto"/>
              <w:right w:val="single" w:sz="4" w:space="0" w:color="auto"/>
            </w:tcBorders>
          </w:tcPr>
          <w:p w14:paraId="045FD948" w14:textId="77777777" w:rsidR="00EC5B31" w:rsidRPr="00562C5E" w:rsidRDefault="00EC5B31" w:rsidP="00EC5B31">
            <w:pPr>
              <w:jc w:val="both"/>
              <w:rPr>
                <w:rFonts w:cstheme="minorHAnsi"/>
                <w:sz w:val="16"/>
                <w:szCs w:val="16"/>
              </w:rPr>
            </w:pPr>
          </w:p>
        </w:tc>
        <w:tc>
          <w:tcPr>
            <w:tcW w:w="0" w:type="auto"/>
            <w:tcBorders>
              <w:top w:val="single" w:sz="4" w:space="0" w:color="auto"/>
              <w:left w:val="single" w:sz="4" w:space="0" w:color="auto"/>
              <w:bottom w:val="single" w:sz="4" w:space="0" w:color="auto"/>
              <w:right w:val="single" w:sz="4" w:space="0" w:color="auto"/>
            </w:tcBorders>
          </w:tcPr>
          <w:p w14:paraId="6C1F6463" w14:textId="43ED9C1D" w:rsidR="00EC5B31" w:rsidRPr="00562C5E" w:rsidRDefault="00EC5B31" w:rsidP="00EC5B31">
            <w:pPr>
              <w:spacing w:after="0"/>
              <w:jc w:val="both"/>
              <w:rPr>
                <w:rFonts w:cstheme="minorHAnsi"/>
                <w:sz w:val="16"/>
                <w:szCs w:val="16"/>
              </w:rPr>
            </w:pPr>
            <w:r w:rsidRPr="00562C5E">
              <w:rPr>
                <w:sz w:val="16"/>
                <w:szCs w:val="16"/>
              </w:rPr>
              <w:t>A.2.1.1</w:t>
            </w:r>
          </w:p>
        </w:tc>
        <w:tc>
          <w:tcPr>
            <w:tcW w:w="0" w:type="auto"/>
            <w:tcBorders>
              <w:top w:val="single" w:sz="4" w:space="0" w:color="auto"/>
              <w:left w:val="single" w:sz="4" w:space="0" w:color="auto"/>
              <w:bottom w:val="single" w:sz="4" w:space="0" w:color="auto"/>
              <w:right w:val="single" w:sz="4" w:space="0" w:color="auto"/>
            </w:tcBorders>
          </w:tcPr>
          <w:p w14:paraId="0B5B23E0" w14:textId="0D8AED83" w:rsidR="00EC5B31" w:rsidRPr="00562C5E" w:rsidRDefault="00EC5B31" w:rsidP="00EC5B31">
            <w:pPr>
              <w:spacing w:after="0"/>
              <w:jc w:val="both"/>
              <w:rPr>
                <w:rFonts w:cstheme="minorHAnsi"/>
                <w:sz w:val="16"/>
                <w:szCs w:val="16"/>
              </w:rPr>
            </w:pPr>
            <w:proofErr w:type="spellStart"/>
            <w:r w:rsidRPr="00562C5E">
              <w:rPr>
                <w:sz w:val="16"/>
                <w:szCs w:val="16"/>
              </w:rPr>
              <w:t>Spings</w:t>
            </w:r>
            <w:proofErr w:type="spellEnd"/>
          </w:p>
        </w:tc>
        <w:tc>
          <w:tcPr>
            <w:tcW w:w="0" w:type="auto"/>
            <w:tcBorders>
              <w:top w:val="single" w:sz="4" w:space="0" w:color="auto"/>
              <w:left w:val="single" w:sz="4" w:space="0" w:color="auto"/>
              <w:bottom w:val="single" w:sz="4" w:space="0" w:color="auto"/>
              <w:right w:val="single" w:sz="4" w:space="0" w:color="auto"/>
            </w:tcBorders>
          </w:tcPr>
          <w:p w14:paraId="427C103B" w14:textId="25C6806D" w:rsidR="00EC5B31" w:rsidRPr="00562C5E" w:rsidRDefault="00EC5B31" w:rsidP="00EC5B31">
            <w:pPr>
              <w:spacing w:after="0"/>
              <w:jc w:val="both"/>
              <w:rPr>
                <w:rFonts w:cstheme="minorHAnsi"/>
                <w:sz w:val="16"/>
                <w:szCs w:val="16"/>
              </w:rPr>
            </w:pPr>
            <w:r w:rsidRPr="00562C5E">
              <w:rPr>
                <w:sz w:val="16"/>
                <w:szCs w:val="16"/>
              </w:rPr>
              <w:t>AEDGW*</w:t>
            </w:r>
          </w:p>
        </w:tc>
      </w:tr>
      <w:tr w:rsidR="00EC5B31" w:rsidRPr="00562C5E" w14:paraId="7E55C9C8" w14:textId="77777777" w:rsidTr="00EC5B31">
        <w:tc>
          <w:tcPr>
            <w:tcW w:w="1376" w:type="dxa"/>
            <w:tcBorders>
              <w:top w:val="single" w:sz="4" w:space="0" w:color="auto"/>
              <w:left w:val="single" w:sz="4" w:space="0" w:color="auto"/>
              <w:bottom w:val="single" w:sz="4" w:space="0" w:color="auto"/>
              <w:right w:val="single" w:sz="4" w:space="0" w:color="auto"/>
            </w:tcBorders>
          </w:tcPr>
          <w:p w14:paraId="287BD773" w14:textId="4B39942A" w:rsidR="00EC5B31" w:rsidRPr="00562C5E" w:rsidRDefault="00EC5B31" w:rsidP="00EC5B31">
            <w:pPr>
              <w:spacing w:after="0"/>
              <w:jc w:val="both"/>
              <w:rPr>
                <w:rFonts w:cstheme="minorHAnsi"/>
                <w:sz w:val="16"/>
                <w:szCs w:val="16"/>
              </w:rPr>
            </w:pPr>
            <w:r w:rsidRPr="00562C5E">
              <w:rPr>
                <w:sz w:val="16"/>
                <w:szCs w:val="16"/>
              </w:rPr>
              <w:t>-</w:t>
            </w:r>
          </w:p>
        </w:tc>
        <w:tc>
          <w:tcPr>
            <w:tcW w:w="6011" w:type="dxa"/>
            <w:tcBorders>
              <w:top w:val="single" w:sz="4" w:space="0" w:color="auto"/>
              <w:left w:val="single" w:sz="4" w:space="0" w:color="auto"/>
              <w:bottom w:val="single" w:sz="4" w:space="0" w:color="auto"/>
              <w:right w:val="single" w:sz="4" w:space="0" w:color="auto"/>
            </w:tcBorders>
          </w:tcPr>
          <w:p w14:paraId="32052168" w14:textId="77777777" w:rsidR="00EC5B31" w:rsidRPr="00562C5E" w:rsidRDefault="00EC5B31" w:rsidP="00EC5B31">
            <w:pPr>
              <w:jc w:val="both"/>
              <w:rPr>
                <w:rFonts w:cstheme="minorHAnsi"/>
                <w:sz w:val="16"/>
                <w:szCs w:val="16"/>
              </w:rPr>
            </w:pPr>
          </w:p>
        </w:tc>
        <w:tc>
          <w:tcPr>
            <w:tcW w:w="0" w:type="auto"/>
            <w:tcBorders>
              <w:top w:val="single" w:sz="4" w:space="0" w:color="auto"/>
              <w:left w:val="single" w:sz="4" w:space="0" w:color="auto"/>
              <w:bottom w:val="single" w:sz="4" w:space="0" w:color="auto"/>
              <w:right w:val="single" w:sz="4" w:space="0" w:color="auto"/>
            </w:tcBorders>
          </w:tcPr>
          <w:p w14:paraId="09DF6954" w14:textId="7AF5DC6E" w:rsidR="00EC5B31" w:rsidRPr="00562C5E" w:rsidRDefault="00EC5B31" w:rsidP="00EC5B31">
            <w:pPr>
              <w:spacing w:after="0"/>
              <w:jc w:val="both"/>
              <w:rPr>
                <w:rFonts w:cstheme="minorHAnsi"/>
                <w:sz w:val="16"/>
                <w:szCs w:val="16"/>
              </w:rPr>
            </w:pPr>
            <w:r w:rsidRPr="00562C5E">
              <w:rPr>
                <w:sz w:val="16"/>
                <w:szCs w:val="16"/>
              </w:rPr>
              <w:t>A.2.1.1.1.</w:t>
            </w:r>
          </w:p>
        </w:tc>
        <w:tc>
          <w:tcPr>
            <w:tcW w:w="0" w:type="auto"/>
            <w:tcBorders>
              <w:top w:val="single" w:sz="4" w:space="0" w:color="auto"/>
              <w:left w:val="single" w:sz="4" w:space="0" w:color="auto"/>
              <w:bottom w:val="single" w:sz="4" w:space="0" w:color="auto"/>
              <w:right w:val="single" w:sz="4" w:space="0" w:color="auto"/>
            </w:tcBorders>
          </w:tcPr>
          <w:p w14:paraId="5AD8671F" w14:textId="45166B9C" w:rsidR="00EC5B31" w:rsidRPr="00562C5E" w:rsidRDefault="00EC5B31" w:rsidP="00EC5B31">
            <w:pPr>
              <w:spacing w:after="0"/>
              <w:jc w:val="both"/>
              <w:rPr>
                <w:rFonts w:cstheme="minorHAnsi"/>
                <w:sz w:val="16"/>
                <w:szCs w:val="16"/>
              </w:rPr>
            </w:pPr>
            <w:proofErr w:type="spellStart"/>
            <w:r w:rsidRPr="00562C5E">
              <w:rPr>
                <w:sz w:val="16"/>
                <w:szCs w:val="16"/>
              </w:rPr>
              <w:t>Rheocrenic</w:t>
            </w:r>
            <w:proofErr w:type="spellEnd"/>
            <w:r w:rsidRPr="00562C5E">
              <w:rPr>
                <w:sz w:val="16"/>
                <w:szCs w:val="16"/>
              </w:rPr>
              <w:t xml:space="preserve"> springs</w:t>
            </w:r>
          </w:p>
        </w:tc>
        <w:tc>
          <w:tcPr>
            <w:tcW w:w="0" w:type="auto"/>
            <w:tcBorders>
              <w:top w:val="single" w:sz="4" w:space="0" w:color="auto"/>
              <w:left w:val="single" w:sz="4" w:space="0" w:color="auto"/>
              <w:bottom w:val="single" w:sz="4" w:space="0" w:color="auto"/>
              <w:right w:val="single" w:sz="4" w:space="0" w:color="auto"/>
            </w:tcBorders>
          </w:tcPr>
          <w:p w14:paraId="3AF90586" w14:textId="082B1F0F" w:rsidR="00EC5B31" w:rsidRPr="00562C5E" w:rsidRDefault="00EC5B31" w:rsidP="00EC5B31">
            <w:pPr>
              <w:spacing w:after="0"/>
              <w:jc w:val="both"/>
              <w:rPr>
                <w:rFonts w:cstheme="minorHAnsi"/>
                <w:sz w:val="16"/>
                <w:szCs w:val="16"/>
              </w:rPr>
            </w:pPr>
            <w:r w:rsidRPr="00562C5E">
              <w:rPr>
                <w:sz w:val="16"/>
                <w:szCs w:val="16"/>
              </w:rPr>
              <w:t>AEDGW*</w:t>
            </w:r>
          </w:p>
        </w:tc>
      </w:tr>
      <w:tr w:rsidR="00EC5B31" w:rsidRPr="00562C5E" w14:paraId="48AA58C1" w14:textId="77777777" w:rsidTr="00EC5B31">
        <w:tc>
          <w:tcPr>
            <w:tcW w:w="1376" w:type="dxa"/>
            <w:tcBorders>
              <w:top w:val="single" w:sz="4" w:space="0" w:color="auto"/>
              <w:left w:val="single" w:sz="4" w:space="0" w:color="auto"/>
              <w:bottom w:val="single" w:sz="4" w:space="0" w:color="auto"/>
              <w:right w:val="single" w:sz="4" w:space="0" w:color="auto"/>
            </w:tcBorders>
          </w:tcPr>
          <w:p w14:paraId="0EA378C4" w14:textId="79533EB0" w:rsidR="00EC5B31" w:rsidRPr="00562C5E" w:rsidRDefault="00EC5B31" w:rsidP="00EC5B31">
            <w:pPr>
              <w:spacing w:after="0"/>
              <w:jc w:val="both"/>
              <w:rPr>
                <w:rFonts w:cstheme="minorHAnsi"/>
                <w:sz w:val="16"/>
                <w:szCs w:val="16"/>
              </w:rPr>
            </w:pPr>
            <w:r w:rsidRPr="00562C5E">
              <w:rPr>
                <w:sz w:val="16"/>
                <w:szCs w:val="16"/>
              </w:rPr>
              <w:t>-</w:t>
            </w:r>
          </w:p>
        </w:tc>
        <w:tc>
          <w:tcPr>
            <w:tcW w:w="6011" w:type="dxa"/>
            <w:tcBorders>
              <w:top w:val="single" w:sz="4" w:space="0" w:color="auto"/>
              <w:left w:val="single" w:sz="4" w:space="0" w:color="auto"/>
              <w:bottom w:val="single" w:sz="4" w:space="0" w:color="auto"/>
              <w:right w:val="single" w:sz="4" w:space="0" w:color="auto"/>
            </w:tcBorders>
          </w:tcPr>
          <w:p w14:paraId="305CBBC4" w14:textId="77777777" w:rsidR="00EC5B31" w:rsidRPr="00562C5E" w:rsidRDefault="00EC5B31" w:rsidP="00EC5B31">
            <w:pPr>
              <w:jc w:val="both"/>
              <w:rPr>
                <w:rFonts w:cstheme="minorHAnsi"/>
                <w:sz w:val="16"/>
                <w:szCs w:val="16"/>
              </w:rPr>
            </w:pPr>
          </w:p>
        </w:tc>
        <w:tc>
          <w:tcPr>
            <w:tcW w:w="0" w:type="auto"/>
            <w:tcBorders>
              <w:top w:val="single" w:sz="4" w:space="0" w:color="auto"/>
              <w:left w:val="single" w:sz="4" w:space="0" w:color="auto"/>
              <w:bottom w:val="single" w:sz="4" w:space="0" w:color="auto"/>
              <w:right w:val="single" w:sz="4" w:space="0" w:color="auto"/>
            </w:tcBorders>
          </w:tcPr>
          <w:p w14:paraId="709C0965" w14:textId="0998E7A4" w:rsidR="00EC5B31" w:rsidRPr="00562C5E" w:rsidRDefault="00EC5B31" w:rsidP="00EC5B31">
            <w:pPr>
              <w:spacing w:after="0"/>
              <w:jc w:val="both"/>
              <w:rPr>
                <w:rFonts w:cstheme="minorHAnsi"/>
                <w:sz w:val="16"/>
                <w:szCs w:val="16"/>
              </w:rPr>
            </w:pPr>
            <w:r w:rsidRPr="00562C5E">
              <w:rPr>
                <w:sz w:val="16"/>
                <w:szCs w:val="16"/>
              </w:rPr>
              <w:t>A.2.1.1.2.</w:t>
            </w:r>
          </w:p>
        </w:tc>
        <w:tc>
          <w:tcPr>
            <w:tcW w:w="0" w:type="auto"/>
            <w:tcBorders>
              <w:top w:val="single" w:sz="4" w:space="0" w:color="auto"/>
              <w:left w:val="single" w:sz="4" w:space="0" w:color="auto"/>
              <w:bottom w:val="single" w:sz="4" w:space="0" w:color="auto"/>
              <w:right w:val="single" w:sz="4" w:space="0" w:color="auto"/>
            </w:tcBorders>
          </w:tcPr>
          <w:p w14:paraId="2D215490" w14:textId="49FB423D" w:rsidR="00EC5B31" w:rsidRPr="00562C5E" w:rsidRDefault="00EC5B31" w:rsidP="00EC5B31">
            <w:pPr>
              <w:spacing w:after="0"/>
              <w:jc w:val="both"/>
              <w:rPr>
                <w:rFonts w:cstheme="minorHAnsi"/>
                <w:sz w:val="16"/>
                <w:szCs w:val="16"/>
              </w:rPr>
            </w:pPr>
            <w:proofErr w:type="spellStart"/>
            <w:r w:rsidRPr="00562C5E">
              <w:rPr>
                <w:sz w:val="16"/>
                <w:szCs w:val="16"/>
              </w:rPr>
              <w:t>Limnocrenic</w:t>
            </w:r>
            <w:proofErr w:type="spellEnd"/>
            <w:r w:rsidRPr="00562C5E">
              <w:rPr>
                <w:sz w:val="16"/>
                <w:szCs w:val="16"/>
              </w:rPr>
              <w:t xml:space="preserve"> springs</w:t>
            </w:r>
          </w:p>
        </w:tc>
        <w:tc>
          <w:tcPr>
            <w:tcW w:w="0" w:type="auto"/>
            <w:tcBorders>
              <w:top w:val="single" w:sz="4" w:space="0" w:color="auto"/>
              <w:left w:val="single" w:sz="4" w:space="0" w:color="auto"/>
              <w:bottom w:val="single" w:sz="4" w:space="0" w:color="auto"/>
              <w:right w:val="single" w:sz="4" w:space="0" w:color="auto"/>
            </w:tcBorders>
          </w:tcPr>
          <w:p w14:paraId="72B5EF4D" w14:textId="4728F8D3" w:rsidR="00EC5B31" w:rsidRPr="00562C5E" w:rsidRDefault="00EC5B31" w:rsidP="00EC5B31">
            <w:pPr>
              <w:spacing w:after="0"/>
              <w:jc w:val="both"/>
              <w:rPr>
                <w:rFonts w:cstheme="minorHAnsi"/>
                <w:sz w:val="16"/>
                <w:szCs w:val="16"/>
              </w:rPr>
            </w:pPr>
            <w:r w:rsidRPr="00562C5E">
              <w:rPr>
                <w:sz w:val="16"/>
                <w:szCs w:val="16"/>
              </w:rPr>
              <w:t>AEDGW*</w:t>
            </w:r>
          </w:p>
        </w:tc>
      </w:tr>
      <w:tr w:rsidR="00EC5B31" w:rsidRPr="00562C5E" w14:paraId="17D1971F" w14:textId="77777777" w:rsidTr="00EC5B31">
        <w:tc>
          <w:tcPr>
            <w:tcW w:w="1376" w:type="dxa"/>
            <w:tcBorders>
              <w:top w:val="single" w:sz="4" w:space="0" w:color="auto"/>
              <w:left w:val="single" w:sz="4" w:space="0" w:color="auto"/>
              <w:bottom w:val="single" w:sz="4" w:space="0" w:color="auto"/>
              <w:right w:val="single" w:sz="4" w:space="0" w:color="auto"/>
            </w:tcBorders>
          </w:tcPr>
          <w:p w14:paraId="16C3689B" w14:textId="09DE8841" w:rsidR="00EC5B31" w:rsidRPr="00562C5E" w:rsidRDefault="00EC5B31" w:rsidP="00EC5B31">
            <w:pPr>
              <w:spacing w:after="0"/>
              <w:jc w:val="both"/>
              <w:rPr>
                <w:rFonts w:cstheme="minorHAnsi"/>
                <w:sz w:val="16"/>
                <w:szCs w:val="16"/>
              </w:rPr>
            </w:pPr>
            <w:r w:rsidRPr="00562C5E">
              <w:rPr>
                <w:sz w:val="16"/>
                <w:szCs w:val="16"/>
              </w:rPr>
              <w:t>-</w:t>
            </w:r>
          </w:p>
        </w:tc>
        <w:tc>
          <w:tcPr>
            <w:tcW w:w="6011" w:type="dxa"/>
            <w:tcBorders>
              <w:top w:val="single" w:sz="4" w:space="0" w:color="auto"/>
              <w:left w:val="single" w:sz="4" w:space="0" w:color="auto"/>
              <w:bottom w:val="single" w:sz="4" w:space="0" w:color="auto"/>
              <w:right w:val="single" w:sz="4" w:space="0" w:color="auto"/>
            </w:tcBorders>
          </w:tcPr>
          <w:p w14:paraId="6190BA81" w14:textId="77777777" w:rsidR="00EC5B31" w:rsidRPr="00562C5E" w:rsidRDefault="00EC5B31" w:rsidP="00EC5B31">
            <w:pPr>
              <w:jc w:val="both"/>
              <w:rPr>
                <w:rFonts w:cstheme="minorHAnsi"/>
                <w:sz w:val="16"/>
                <w:szCs w:val="16"/>
              </w:rPr>
            </w:pPr>
          </w:p>
        </w:tc>
        <w:tc>
          <w:tcPr>
            <w:tcW w:w="0" w:type="auto"/>
            <w:tcBorders>
              <w:top w:val="single" w:sz="4" w:space="0" w:color="auto"/>
              <w:left w:val="single" w:sz="4" w:space="0" w:color="auto"/>
              <w:bottom w:val="single" w:sz="4" w:space="0" w:color="auto"/>
              <w:right w:val="single" w:sz="4" w:space="0" w:color="auto"/>
            </w:tcBorders>
          </w:tcPr>
          <w:p w14:paraId="084FC98C" w14:textId="391DD1AC" w:rsidR="00EC5B31" w:rsidRPr="00562C5E" w:rsidRDefault="00EC5B31" w:rsidP="00EC5B31">
            <w:pPr>
              <w:spacing w:after="0"/>
              <w:jc w:val="both"/>
              <w:rPr>
                <w:rFonts w:cstheme="minorHAnsi"/>
                <w:sz w:val="16"/>
                <w:szCs w:val="16"/>
              </w:rPr>
            </w:pPr>
            <w:r w:rsidRPr="00562C5E">
              <w:rPr>
                <w:sz w:val="16"/>
                <w:szCs w:val="16"/>
              </w:rPr>
              <w:t>H.3.2.1.2.</w:t>
            </w:r>
          </w:p>
        </w:tc>
        <w:tc>
          <w:tcPr>
            <w:tcW w:w="0" w:type="auto"/>
            <w:tcBorders>
              <w:top w:val="single" w:sz="4" w:space="0" w:color="auto"/>
              <w:left w:val="single" w:sz="4" w:space="0" w:color="auto"/>
              <w:bottom w:val="single" w:sz="4" w:space="0" w:color="auto"/>
              <w:right w:val="single" w:sz="4" w:space="0" w:color="auto"/>
            </w:tcBorders>
          </w:tcPr>
          <w:p w14:paraId="77F3BBCD" w14:textId="480185D5" w:rsidR="00EC5B31" w:rsidRPr="00562C5E" w:rsidRDefault="00EC5B31" w:rsidP="00EC5B31">
            <w:pPr>
              <w:spacing w:after="0"/>
              <w:jc w:val="both"/>
              <w:rPr>
                <w:rFonts w:cstheme="minorHAnsi"/>
                <w:sz w:val="16"/>
                <w:szCs w:val="16"/>
              </w:rPr>
            </w:pPr>
            <w:r w:rsidRPr="00562C5E">
              <w:rPr>
                <w:sz w:val="16"/>
                <w:szCs w:val="16"/>
              </w:rPr>
              <w:t>Hyporheic zone</w:t>
            </w:r>
          </w:p>
        </w:tc>
        <w:tc>
          <w:tcPr>
            <w:tcW w:w="0" w:type="auto"/>
            <w:tcBorders>
              <w:top w:val="single" w:sz="4" w:space="0" w:color="auto"/>
              <w:left w:val="single" w:sz="4" w:space="0" w:color="auto"/>
              <w:bottom w:val="single" w:sz="4" w:space="0" w:color="auto"/>
              <w:right w:val="single" w:sz="4" w:space="0" w:color="auto"/>
            </w:tcBorders>
          </w:tcPr>
          <w:p w14:paraId="5C788D4C" w14:textId="7D7807C1" w:rsidR="00EC5B31" w:rsidRPr="00562C5E" w:rsidRDefault="00EC5B31" w:rsidP="00EC5B31">
            <w:pPr>
              <w:spacing w:after="0"/>
              <w:jc w:val="both"/>
              <w:rPr>
                <w:rFonts w:cstheme="minorHAnsi"/>
                <w:sz w:val="16"/>
                <w:szCs w:val="16"/>
              </w:rPr>
            </w:pPr>
            <w:r w:rsidRPr="00562C5E">
              <w:rPr>
                <w:sz w:val="16"/>
                <w:szCs w:val="16"/>
              </w:rPr>
              <w:t>AEDGW*</w:t>
            </w:r>
          </w:p>
        </w:tc>
      </w:tr>
    </w:tbl>
    <w:p w14:paraId="54E38A6D" w14:textId="42E32CB4" w:rsidR="00EC5B31" w:rsidRPr="00F75A45" w:rsidRDefault="002F4776" w:rsidP="002F4776">
      <w:pPr>
        <w:pStyle w:val="Caption"/>
        <w:rPr>
          <w:rFonts w:cstheme="minorHAnsi"/>
        </w:rPr>
      </w:pPr>
      <w:bookmarkStart w:id="87" w:name="_Toc229037731"/>
      <w:r>
        <w:t xml:space="preserve">Table </w:t>
      </w:r>
      <w:r>
        <w:fldChar w:fldCharType="begin"/>
      </w:r>
      <w:r>
        <w:instrText xml:space="preserve"> SEQ Table \* ARABIC </w:instrText>
      </w:r>
      <w:r>
        <w:fldChar w:fldCharType="separate"/>
      </w:r>
      <w:r>
        <w:rPr>
          <w:noProof/>
        </w:rPr>
        <w:t>9</w:t>
      </w:r>
      <w:r>
        <w:fldChar w:fldCharType="end"/>
      </w:r>
      <w:r>
        <w:t xml:space="preserve"> </w:t>
      </w:r>
      <w:r w:rsidRPr="007F7AEE">
        <w:t>Overview of selected Natura 2000 habitats according to the Croatian NHM/NKS that are associated with or dependent on groundwater</w:t>
      </w:r>
      <w:bookmarkEnd w:id="87"/>
    </w:p>
    <w:p w14:paraId="7E922759" w14:textId="77777777" w:rsidR="00F75A45" w:rsidRDefault="00F75A45" w:rsidP="00EC5B31">
      <w:pPr>
        <w:rPr>
          <w:rFonts w:cstheme="minorHAnsi"/>
          <w:lang w:val="hr-HR"/>
        </w:rPr>
      </w:pPr>
    </w:p>
    <w:p w14:paraId="38426990" w14:textId="3D8C8D3F" w:rsidR="00EC5B31" w:rsidRPr="00F75A45" w:rsidRDefault="002F4776" w:rsidP="002F4776">
      <w:pPr>
        <w:pStyle w:val="Caption"/>
        <w:rPr>
          <w:rFonts w:cstheme="minorHAnsi"/>
        </w:rPr>
      </w:pPr>
      <w:bookmarkStart w:id="88" w:name="_Toc229037732"/>
      <w:r>
        <w:lastRenderedPageBreak/>
        <w:t xml:space="preserve">Table </w:t>
      </w:r>
      <w:r>
        <w:fldChar w:fldCharType="begin"/>
      </w:r>
      <w:r>
        <w:instrText xml:space="preserve"> SEQ Table \* ARABIC </w:instrText>
      </w:r>
      <w:r>
        <w:fldChar w:fldCharType="separate"/>
      </w:r>
      <w:r>
        <w:rPr>
          <w:noProof/>
        </w:rPr>
        <w:t>10</w:t>
      </w:r>
      <w:r>
        <w:fldChar w:fldCharType="end"/>
      </w:r>
      <w:r>
        <w:t xml:space="preserve"> </w:t>
      </w:r>
      <w:r w:rsidRPr="00225820">
        <w:t>Aquatic ecosystem dependent on groundwater on the Neretva groundwater body</w:t>
      </w:r>
      <w:bookmarkEnd w:id="88"/>
    </w:p>
    <w:tbl>
      <w:tblPr>
        <w:tblStyle w:val="TableGrid1"/>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03"/>
        <w:gridCol w:w="2231"/>
        <w:gridCol w:w="1211"/>
        <w:gridCol w:w="2569"/>
        <w:gridCol w:w="5316"/>
      </w:tblGrid>
      <w:tr w:rsidR="00EC5B31" w:rsidRPr="00562C5E" w14:paraId="493F924D" w14:textId="77777777" w:rsidTr="00562C5E">
        <w:trPr>
          <w:tblHeader/>
        </w:trPr>
        <w:tc>
          <w:tcPr>
            <w:tcW w:w="0" w:type="auto"/>
            <w:shd w:val="clear" w:color="auto" w:fill="B4C6E7" w:themeFill="accent1" w:themeFillTint="66"/>
            <w:vAlign w:val="center"/>
          </w:tcPr>
          <w:p w14:paraId="44653414" w14:textId="77777777" w:rsidR="00EC5B31" w:rsidRPr="00562C5E" w:rsidRDefault="00EC5B31" w:rsidP="009919F2">
            <w:pPr>
              <w:jc w:val="center"/>
              <w:rPr>
                <w:rFonts w:cstheme="minorHAnsi"/>
                <w:sz w:val="16"/>
                <w:szCs w:val="16"/>
              </w:rPr>
            </w:pPr>
            <w:r w:rsidRPr="00562C5E">
              <w:rPr>
                <w:rFonts w:cstheme="minorHAnsi"/>
                <w:b/>
                <w:bCs/>
                <w:sz w:val="16"/>
                <w:szCs w:val="16"/>
              </w:rPr>
              <w:t>Natura 2000/NKS Code</w:t>
            </w:r>
          </w:p>
        </w:tc>
        <w:tc>
          <w:tcPr>
            <w:tcW w:w="0" w:type="auto"/>
            <w:shd w:val="clear" w:color="auto" w:fill="B4C6E7" w:themeFill="accent1" w:themeFillTint="66"/>
            <w:vAlign w:val="bottom"/>
          </w:tcPr>
          <w:p w14:paraId="798BBFF3" w14:textId="77777777" w:rsidR="00EC5B31" w:rsidRPr="00562C5E" w:rsidRDefault="00EC5B31" w:rsidP="009919F2">
            <w:pPr>
              <w:jc w:val="center"/>
              <w:rPr>
                <w:rFonts w:cstheme="minorHAnsi"/>
                <w:sz w:val="16"/>
                <w:szCs w:val="16"/>
              </w:rPr>
            </w:pPr>
            <w:r w:rsidRPr="00562C5E">
              <w:rPr>
                <w:rFonts w:cstheme="minorHAnsi"/>
                <w:b/>
                <w:bCs/>
                <w:spacing w:val="-6"/>
                <w:sz w:val="16"/>
                <w:szCs w:val="16"/>
              </w:rPr>
              <w:t>Habitat (NHM/NKS) Type</w:t>
            </w:r>
          </w:p>
        </w:tc>
        <w:tc>
          <w:tcPr>
            <w:tcW w:w="0" w:type="auto"/>
            <w:shd w:val="clear" w:color="auto" w:fill="B4C6E7" w:themeFill="accent1" w:themeFillTint="66"/>
            <w:vAlign w:val="center"/>
          </w:tcPr>
          <w:p w14:paraId="014FC192" w14:textId="77777777" w:rsidR="00EC5B31" w:rsidRPr="00562C5E" w:rsidRDefault="00EC5B31" w:rsidP="009919F2">
            <w:pPr>
              <w:jc w:val="center"/>
              <w:rPr>
                <w:rFonts w:cstheme="minorHAnsi"/>
                <w:sz w:val="16"/>
                <w:szCs w:val="16"/>
              </w:rPr>
            </w:pPr>
            <w:r w:rsidRPr="00562C5E">
              <w:rPr>
                <w:rFonts w:cstheme="minorHAnsi"/>
                <w:b/>
                <w:bCs/>
                <w:sz w:val="16"/>
                <w:szCs w:val="16"/>
              </w:rPr>
              <w:t>NHM/NKS Code</w:t>
            </w:r>
          </w:p>
        </w:tc>
        <w:tc>
          <w:tcPr>
            <w:tcW w:w="0" w:type="auto"/>
            <w:shd w:val="clear" w:color="auto" w:fill="B4C6E7" w:themeFill="accent1" w:themeFillTint="66"/>
            <w:vAlign w:val="center"/>
          </w:tcPr>
          <w:p w14:paraId="6BC1ADEA" w14:textId="77777777" w:rsidR="00EC5B31" w:rsidRPr="00562C5E" w:rsidRDefault="00EC5B31" w:rsidP="009919F2">
            <w:pPr>
              <w:jc w:val="center"/>
              <w:rPr>
                <w:rFonts w:cstheme="minorHAnsi"/>
                <w:sz w:val="16"/>
                <w:szCs w:val="16"/>
              </w:rPr>
            </w:pPr>
            <w:r w:rsidRPr="00562C5E">
              <w:rPr>
                <w:rFonts w:cstheme="minorHAnsi"/>
                <w:b/>
                <w:bCs/>
                <w:sz w:val="16"/>
                <w:szCs w:val="16"/>
              </w:rPr>
              <w:t>Habitat type (NHM/NKS)</w:t>
            </w:r>
          </w:p>
        </w:tc>
        <w:tc>
          <w:tcPr>
            <w:tcW w:w="0" w:type="auto"/>
            <w:shd w:val="clear" w:color="auto" w:fill="B4C6E7" w:themeFill="accent1" w:themeFillTint="66"/>
            <w:vAlign w:val="center"/>
          </w:tcPr>
          <w:p w14:paraId="0039ECD7" w14:textId="77777777" w:rsidR="00EC5B31" w:rsidRPr="00562C5E" w:rsidRDefault="00EC5B31" w:rsidP="009919F2">
            <w:pPr>
              <w:jc w:val="center"/>
              <w:rPr>
                <w:rFonts w:cstheme="minorHAnsi"/>
                <w:sz w:val="16"/>
                <w:szCs w:val="16"/>
              </w:rPr>
            </w:pPr>
            <w:r w:rsidRPr="00562C5E">
              <w:rPr>
                <w:rFonts w:cstheme="minorHAnsi"/>
                <w:b/>
                <w:bCs/>
                <w:sz w:val="16"/>
                <w:szCs w:val="16"/>
              </w:rPr>
              <w:t>NATURA code and site</w:t>
            </w:r>
          </w:p>
        </w:tc>
      </w:tr>
      <w:tr w:rsidR="00EC5B31" w:rsidRPr="00562C5E" w14:paraId="453BB0A6" w14:textId="77777777" w:rsidTr="00F75A45">
        <w:trPr>
          <w:trHeight w:val="376"/>
        </w:trPr>
        <w:tc>
          <w:tcPr>
            <w:tcW w:w="0" w:type="auto"/>
          </w:tcPr>
          <w:p w14:paraId="26DC7588" w14:textId="77777777" w:rsidR="00EC5B31" w:rsidRPr="00562C5E" w:rsidRDefault="00EC5B31" w:rsidP="009919F2">
            <w:pPr>
              <w:jc w:val="both"/>
              <w:rPr>
                <w:rFonts w:cstheme="minorHAnsi"/>
                <w:sz w:val="16"/>
                <w:szCs w:val="16"/>
              </w:rPr>
            </w:pPr>
            <w:r w:rsidRPr="00562C5E">
              <w:rPr>
                <w:rFonts w:cstheme="minorHAnsi"/>
                <w:sz w:val="16"/>
                <w:szCs w:val="16"/>
              </w:rPr>
              <w:t>8310</w:t>
            </w:r>
          </w:p>
        </w:tc>
        <w:tc>
          <w:tcPr>
            <w:tcW w:w="0" w:type="auto"/>
          </w:tcPr>
          <w:p w14:paraId="7295B74C" w14:textId="77777777" w:rsidR="00EC5B31" w:rsidRPr="00562C5E" w:rsidRDefault="00EC5B31" w:rsidP="009919F2">
            <w:pPr>
              <w:jc w:val="both"/>
              <w:rPr>
                <w:rFonts w:cstheme="minorHAnsi"/>
                <w:sz w:val="16"/>
                <w:szCs w:val="16"/>
              </w:rPr>
            </w:pPr>
            <w:r w:rsidRPr="00562C5E">
              <w:rPr>
                <w:rFonts w:cstheme="minorHAnsi"/>
                <w:sz w:val="16"/>
                <w:szCs w:val="16"/>
              </w:rPr>
              <w:t>Caves and pits closed to the public</w:t>
            </w:r>
          </w:p>
        </w:tc>
        <w:tc>
          <w:tcPr>
            <w:tcW w:w="0" w:type="auto"/>
            <w:vAlign w:val="center"/>
          </w:tcPr>
          <w:p w14:paraId="74A5D717" w14:textId="77777777" w:rsidR="00EC5B31" w:rsidRPr="00562C5E" w:rsidRDefault="00EC5B31" w:rsidP="009919F2">
            <w:pPr>
              <w:jc w:val="center"/>
              <w:rPr>
                <w:rFonts w:cstheme="minorHAnsi"/>
                <w:sz w:val="16"/>
                <w:szCs w:val="16"/>
              </w:rPr>
            </w:pPr>
            <w:r w:rsidRPr="00562C5E">
              <w:rPr>
                <w:rFonts w:cstheme="minorHAnsi"/>
                <w:sz w:val="16"/>
                <w:szCs w:val="16"/>
              </w:rPr>
              <w:t>H.1.3.</w:t>
            </w:r>
          </w:p>
        </w:tc>
        <w:tc>
          <w:tcPr>
            <w:tcW w:w="0" w:type="auto"/>
          </w:tcPr>
          <w:p w14:paraId="1939908F" w14:textId="77777777" w:rsidR="00EC5B31" w:rsidRPr="00562C5E" w:rsidRDefault="00EC5B31" w:rsidP="009919F2">
            <w:pPr>
              <w:jc w:val="both"/>
              <w:rPr>
                <w:rFonts w:cstheme="minorHAnsi"/>
                <w:sz w:val="16"/>
                <w:szCs w:val="16"/>
              </w:rPr>
            </w:pPr>
            <w:r w:rsidRPr="00562C5E">
              <w:rPr>
                <w:rFonts w:cstheme="minorHAnsi"/>
                <w:sz w:val="16"/>
                <w:szCs w:val="16"/>
              </w:rPr>
              <w:t>Aquatic (freshwater) karst cave habitats.</w:t>
            </w:r>
          </w:p>
        </w:tc>
        <w:tc>
          <w:tcPr>
            <w:tcW w:w="0" w:type="auto"/>
          </w:tcPr>
          <w:p w14:paraId="506B7386" w14:textId="77777777" w:rsidR="00EC5B31" w:rsidRPr="00562C5E" w:rsidRDefault="00EC5B31" w:rsidP="009919F2">
            <w:pPr>
              <w:jc w:val="both"/>
              <w:rPr>
                <w:rFonts w:cstheme="minorHAnsi"/>
                <w:sz w:val="16"/>
                <w:szCs w:val="16"/>
              </w:rPr>
            </w:pPr>
            <w:r w:rsidRPr="00562C5E">
              <w:rPr>
                <w:rFonts w:cstheme="minorHAnsi"/>
                <w:sz w:val="16"/>
                <w:szCs w:val="16"/>
              </w:rPr>
              <w:t xml:space="preserve">HR2000935 Crveno </w:t>
            </w:r>
            <w:proofErr w:type="spellStart"/>
            <w:r w:rsidRPr="00562C5E">
              <w:rPr>
                <w:rFonts w:cstheme="minorHAnsi"/>
                <w:sz w:val="16"/>
                <w:szCs w:val="16"/>
              </w:rPr>
              <w:t>jezero</w:t>
            </w:r>
            <w:proofErr w:type="spellEnd"/>
          </w:p>
        </w:tc>
      </w:tr>
      <w:tr w:rsidR="00EC5B31" w:rsidRPr="00562C5E" w14:paraId="7BF80831" w14:textId="77777777" w:rsidTr="00F75A45">
        <w:tc>
          <w:tcPr>
            <w:tcW w:w="0" w:type="auto"/>
          </w:tcPr>
          <w:p w14:paraId="1DF4A966" w14:textId="77777777" w:rsidR="00EC5B31" w:rsidRPr="00562C5E" w:rsidRDefault="00EC5B31" w:rsidP="009919F2">
            <w:pPr>
              <w:spacing w:after="120"/>
              <w:jc w:val="both"/>
              <w:rPr>
                <w:rFonts w:cstheme="minorHAnsi"/>
                <w:sz w:val="16"/>
                <w:szCs w:val="16"/>
              </w:rPr>
            </w:pPr>
            <w:r w:rsidRPr="00562C5E">
              <w:rPr>
                <w:rFonts w:cstheme="minorHAnsi"/>
                <w:sz w:val="16"/>
                <w:szCs w:val="16"/>
              </w:rPr>
              <w:t>8310</w:t>
            </w:r>
          </w:p>
        </w:tc>
        <w:tc>
          <w:tcPr>
            <w:tcW w:w="0" w:type="auto"/>
          </w:tcPr>
          <w:p w14:paraId="4E136068" w14:textId="77777777" w:rsidR="00EC5B31" w:rsidRPr="00562C5E" w:rsidRDefault="00EC5B31" w:rsidP="009919F2">
            <w:pPr>
              <w:jc w:val="both"/>
              <w:rPr>
                <w:rFonts w:cstheme="minorHAnsi"/>
                <w:spacing w:val="1"/>
                <w:sz w:val="16"/>
                <w:szCs w:val="16"/>
              </w:rPr>
            </w:pPr>
            <w:r w:rsidRPr="00562C5E">
              <w:rPr>
                <w:rFonts w:cstheme="minorHAnsi"/>
                <w:sz w:val="16"/>
                <w:szCs w:val="16"/>
              </w:rPr>
              <w:t>Caves and pits closed to the public</w:t>
            </w:r>
          </w:p>
        </w:tc>
        <w:tc>
          <w:tcPr>
            <w:tcW w:w="0" w:type="auto"/>
            <w:vAlign w:val="center"/>
          </w:tcPr>
          <w:p w14:paraId="58665204" w14:textId="77777777" w:rsidR="00EC5B31" w:rsidRPr="00562C5E" w:rsidRDefault="00EC5B31" w:rsidP="009919F2">
            <w:pPr>
              <w:spacing w:after="120"/>
              <w:jc w:val="center"/>
              <w:rPr>
                <w:rFonts w:cstheme="minorHAnsi"/>
                <w:sz w:val="16"/>
                <w:szCs w:val="16"/>
              </w:rPr>
            </w:pPr>
            <w:r w:rsidRPr="00562C5E">
              <w:rPr>
                <w:rFonts w:cstheme="minorHAnsi"/>
                <w:sz w:val="16"/>
                <w:szCs w:val="16"/>
              </w:rPr>
              <w:t>H.1.3.</w:t>
            </w:r>
          </w:p>
        </w:tc>
        <w:tc>
          <w:tcPr>
            <w:tcW w:w="0" w:type="auto"/>
          </w:tcPr>
          <w:p w14:paraId="6865544B" w14:textId="77777777" w:rsidR="00EC5B31" w:rsidRPr="00562C5E" w:rsidRDefault="00EC5B31" w:rsidP="009919F2">
            <w:pPr>
              <w:spacing w:after="120"/>
              <w:jc w:val="both"/>
              <w:rPr>
                <w:rFonts w:cstheme="minorHAnsi"/>
                <w:sz w:val="16"/>
                <w:szCs w:val="16"/>
              </w:rPr>
            </w:pPr>
            <w:r w:rsidRPr="00562C5E">
              <w:rPr>
                <w:rFonts w:cstheme="minorHAnsi"/>
                <w:sz w:val="16"/>
                <w:szCs w:val="16"/>
              </w:rPr>
              <w:t>Aquatic (freshwater) karst cave habitats.</w:t>
            </w:r>
          </w:p>
        </w:tc>
        <w:tc>
          <w:tcPr>
            <w:tcW w:w="0" w:type="auto"/>
          </w:tcPr>
          <w:p w14:paraId="125FB038" w14:textId="77777777" w:rsidR="00EC5B31" w:rsidRPr="00562C5E" w:rsidRDefault="00EC5B31" w:rsidP="009919F2">
            <w:pPr>
              <w:spacing w:after="120"/>
              <w:jc w:val="both"/>
              <w:rPr>
                <w:rFonts w:cstheme="minorHAnsi"/>
                <w:sz w:val="16"/>
                <w:szCs w:val="16"/>
              </w:rPr>
            </w:pPr>
            <w:r w:rsidRPr="00562C5E">
              <w:rPr>
                <w:rFonts w:cstheme="minorHAnsi"/>
                <w:sz w:val="16"/>
                <w:szCs w:val="16"/>
              </w:rPr>
              <w:t xml:space="preserve">HR2000934 Modro </w:t>
            </w:r>
            <w:proofErr w:type="spellStart"/>
            <w:r w:rsidRPr="00562C5E">
              <w:rPr>
                <w:rFonts w:cstheme="minorHAnsi"/>
                <w:sz w:val="16"/>
                <w:szCs w:val="16"/>
              </w:rPr>
              <w:t>jezero</w:t>
            </w:r>
            <w:proofErr w:type="spellEnd"/>
          </w:p>
        </w:tc>
      </w:tr>
      <w:tr w:rsidR="00EC5B31" w:rsidRPr="00562C5E" w14:paraId="61081A86" w14:textId="77777777" w:rsidTr="00F75A45">
        <w:tc>
          <w:tcPr>
            <w:tcW w:w="0" w:type="auto"/>
          </w:tcPr>
          <w:p w14:paraId="755F3450" w14:textId="77777777" w:rsidR="00EC5B31" w:rsidRPr="00562C5E" w:rsidRDefault="00EC5B31" w:rsidP="009919F2">
            <w:pPr>
              <w:spacing w:after="120"/>
              <w:jc w:val="both"/>
              <w:rPr>
                <w:rFonts w:cstheme="minorHAnsi"/>
                <w:sz w:val="16"/>
                <w:szCs w:val="16"/>
              </w:rPr>
            </w:pPr>
          </w:p>
        </w:tc>
        <w:tc>
          <w:tcPr>
            <w:tcW w:w="0" w:type="auto"/>
          </w:tcPr>
          <w:p w14:paraId="6066CC49" w14:textId="77777777" w:rsidR="00EC5B31" w:rsidRPr="00562C5E" w:rsidRDefault="00EC5B31" w:rsidP="009919F2">
            <w:pPr>
              <w:jc w:val="both"/>
              <w:rPr>
                <w:rFonts w:cstheme="minorHAnsi"/>
                <w:sz w:val="16"/>
                <w:szCs w:val="16"/>
              </w:rPr>
            </w:pPr>
          </w:p>
        </w:tc>
        <w:tc>
          <w:tcPr>
            <w:tcW w:w="0" w:type="auto"/>
            <w:vAlign w:val="center"/>
          </w:tcPr>
          <w:p w14:paraId="62B7E3A9" w14:textId="77777777" w:rsidR="00EC5B31" w:rsidRPr="00562C5E" w:rsidRDefault="00EC5B31" w:rsidP="009919F2">
            <w:pPr>
              <w:spacing w:after="120"/>
              <w:jc w:val="center"/>
              <w:rPr>
                <w:rFonts w:cstheme="minorHAnsi"/>
                <w:sz w:val="16"/>
                <w:szCs w:val="16"/>
              </w:rPr>
            </w:pPr>
            <w:r w:rsidRPr="00562C5E">
              <w:rPr>
                <w:rFonts w:cstheme="minorHAnsi"/>
                <w:sz w:val="16"/>
                <w:szCs w:val="16"/>
              </w:rPr>
              <w:t>A.2.1.1</w:t>
            </w:r>
          </w:p>
        </w:tc>
        <w:tc>
          <w:tcPr>
            <w:tcW w:w="0" w:type="auto"/>
          </w:tcPr>
          <w:p w14:paraId="43A5ADC0" w14:textId="77777777" w:rsidR="00EC5B31" w:rsidRPr="00562C5E" w:rsidRDefault="00EC5B31" w:rsidP="009919F2">
            <w:pPr>
              <w:jc w:val="both"/>
              <w:rPr>
                <w:rFonts w:cstheme="minorHAnsi"/>
                <w:sz w:val="16"/>
                <w:szCs w:val="16"/>
              </w:rPr>
            </w:pPr>
            <w:r w:rsidRPr="00562C5E">
              <w:rPr>
                <w:rFonts w:cstheme="minorHAnsi"/>
                <w:sz w:val="16"/>
                <w:szCs w:val="16"/>
              </w:rPr>
              <w:t xml:space="preserve">Springs </w:t>
            </w:r>
          </w:p>
          <w:p w14:paraId="4607730B" w14:textId="77777777" w:rsidR="00EC5B31" w:rsidRPr="00562C5E" w:rsidRDefault="00EC5B31" w:rsidP="009919F2">
            <w:pPr>
              <w:jc w:val="both"/>
              <w:rPr>
                <w:rFonts w:cstheme="minorHAnsi"/>
                <w:sz w:val="16"/>
                <w:szCs w:val="16"/>
              </w:rPr>
            </w:pPr>
            <w:r w:rsidRPr="00562C5E">
              <w:rPr>
                <w:rFonts w:cstheme="minorHAnsi"/>
                <w:sz w:val="16"/>
                <w:szCs w:val="16"/>
              </w:rPr>
              <w:t xml:space="preserve">(Spring </w:t>
            </w:r>
            <w:proofErr w:type="spellStart"/>
            <w:r w:rsidRPr="00562C5E">
              <w:rPr>
                <w:rFonts w:cstheme="minorHAnsi"/>
                <w:sz w:val="16"/>
                <w:szCs w:val="16"/>
              </w:rPr>
              <w:t>Vučija</w:t>
            </w:r>
            <w:proofErr w:type="spellEnd"/>
            <w:r w:rsidRPr="00562C5E">
              <w:rPr>
                <w:rFonts w:cstheme="minorHAnsi"/>
                <w:sz w:val="16"/>
                <w:szCs w:val="16"/>
              </w:rPr>
              <w:t>)</w:t>
            </w:r>
          </w:p>
        </w:tc>
        <w:tc>
          <w:tcPr>
            <w:tcW w:w="0" w:type="auto"/>
          </w:tcPr>
          <w:p w14:paraId="26D55419" w14:textId="77777777" w:rsidR="00EC5B31" w:rsidRPr="00562C5E" w:rsidRDefault="00EC5B31" w:rsidP="009919F2">
            <w:pPr>
              <w:spacing w:after="120"/>
              <w:jc w:val="both"/>
              <w:rPr>
                <w:rFonts w:cstheme="minorHAnsi"/>
                <w:sz w:val="16"/>
                <w:szCs w:val="16"/>
              </w:rPr>
            </w:pPr>
          </w:p>
        </w:tc>
      </w:tr>
      <w:tr w:rsidR="00EC5B31" w:rsidRPr="00562C5E" w14:paraId="309782F8" w14:textId="77777777" w:rsidTr="00F75A45">
        <w:tc>
          <w:tcPr>
            <w:tcW w:w="0" w:type="auto"/>
          </w:tcPr>
          <w:p w14:paraId="0EEE5F8C" w14:textId="77777777" w:rsidR="00EC5B31" w:rsidRPr="00562C5E" w:rsidRDefault="00EC5B31" w:rsidP="009919F2">
            <w:pPr>
              <w:spacing w:after="120"/>
              <w:jc w:val="both"/>
              <w:rPr>
                <w:rFonts w:cstheme="minorHAnsi"/>
                <w:sz w:val="16"/>
                <w:szCs w:val="16"/>
              </w:rPr>
            </w:pPr>
          </w:p>
        </w:tc>
        <w:tc>
          <w:tcPr>
            <w:tcW w:w="0" w:type="auto"/>
          </w:tcPr>
          <w:p w14:paraId="69D441AB" w14:textId="77777777" w:rsidR="00EC5B31" w:rsidRPr="00562C5E" w:rsidRDefault="00EC5B31" w:rsidP="009919F2">
            <w:pPr>
              <w:jc w:val="both"/>
              <w:rPr>
                <w:rFonts w:cstheme="minorHAnsi"/>
                <w:sz w:val="16"/>
                <w:szCs w:val="16"/>
              </w:rPr>
            </w:pPr>
          </w:p>
        </w:tc>
        <w:tc>
          <w:tcPr>
            <w:tcW w:w="0" w:type="auto"/>
            <w:vAlign w:val="center"/>
          </w:tcPr>
          <w:p w14:paraId="0EE825B9" w14:textId="77777777" w:rsidR="00EC5B31" w:rsidRPr="00562C5E" w:rsidRDefault="00EC5B31" w:rsidP="009919F2">
            <w:pPr>
              <w:spacing w:after="120"/>
              <w:jc w:val="center"/>
              <w:rPr>
                <w:rFonts w:cstheme="minorHAnsi"/>
                <w:sz w:val="16"/>
                <w:szCs w:val="16"/>
              </w:rPr>
            </w:pPr>
            <w:r w:rsidRPr="00562C5E">
              <w:rPr>
                <w:rFonts w:cstheme="minorHAnsi"/>
                <w:sz w:val="16"/>
                <w:szCs w:val="16"/>
              </w:rPr>
              <w:t>A.2.1.1</w:t>
            </w:r>
          </w:p>
        </w:tc>
        <w:tc>
          <w:tcPr>
            <w:tcW w:w="0" w:type="auto"/>
          </w:tcPr>
          <w:p w14:paraId="7AFBF38F" w14:textId="77777777" w:rsidR="00EC5B31" w:rsidRPr="00562C5E" w:rsidRDefault="00EC5B31" w:rsidP="009919F2">
            <w:pPr>
              <w:jc w:val="both"/>
              <w:rPr>
                <w:rFonts w:cstheme="minorHAnsi"/>
                <w:sz w:val="16"/>
                <w:szCs w:val="16"/>
              </w:rPr>
            </w:pPr>
            <w:r w:rsidRPr="00562C5E">
              <w:rPr>
                <w:rFonts w:cstheme="minorHAnsi"/>
                <w:sz w:val="16"/>
                <w:szCs w:val="16"/>
              </w:rPr>
              <w:t xml:space="preserve">Springs </w:t>
            </w:r>
          </w:p>
          <w:p w14:paraId="2EBBAE7C" w14:textId="77777777" w:rsidR="00EC5B31" w:rsidRPr="00562C5E" w:rsidRDefault="00EC5B31" w:rsidP="009919F2">
            <w:pPr>
              <w:jc w:val="both"/>
              <w:rPr>
                <w:rFonts w:cstheme="minorHAnsi"/>
                <w:sz w:val="16"/>
                <w:szCs w:val="16"/>
              </w:rPr>
            </w:pPr>
            <w:r w:rsidRPr="00562C5E">
              <w:rPr>
                <w:rFonts w:cstheme="minorHAnsi"/>
                <w:sz w:val="16"/>
                <w:szCs w:val="16"/>
              </w:rPr>
              <w:t xml:space="preserve">(Spring </w:t>
            </w:r>
            <w:proofErr w:type="spellStart"/>
            <w:r w:rsidRPr="00562C5E">
              <w:rPr>
                <w:rFonts w:cstheme="minorHAnsi"/>
                <w:sz w:val="16"/>
                <w:szCs w:val="16"/>
              </w:rPr>
              <w:t>Krenica</w:t>
            </w:r>
            <w:proofErr w:type="spellEnd"/>
            <w:r w:rsidRPr="00562C5E">
              <w:rPr>
                <w:rFonts w:cstheme="minorHAnsi"/>
                <w:sz w:val="16"/>
                <w:szCs w:val="16"/>
              </w:rPr>
              <w:t>)</w:t>
            </w:r>
          </w:p>
        </w:tc>
        <w:tc>
          <w:tcPr>
            <w:tcW w:w="0" w:type="auto"/>
          </w:tcPr>
          <w:p w14:paraId="7121967F" w14:textId="77777777" w:rsidR="00EC5B31" w:rsidRPr="00562C5E" w:rsidRDefault="00EC5B31" w:rsidP="009919F2">
            <w:pPr>
              <w:spacing w:after="120"/>
              <w:jc w:val="both"/>
              <w:rPr>
                <w:rFonts w:cstheme="minorHAnsi"/>
                <w:sz w:val="16"/>
                <w:szCs w:val="16"/>
              </w:rPr>
            </w:pPr>
          </w:p>
        </w:tc>
      </w:tr>
      <w:tr w:rsidR="00EC5B31" w:rsidRPr="00562C5E" w14:paraId="61B99E15" w14:textId="77777777" w:rsidTr="00F75A45">
        <w:tc>
          <w:tcPr>
            <w:tcW w:w="0" w:type="auto"/>
          </w:tcPr>
          <w:p w14:paraId="3F882F3F" w14:textId="77777777" w:rsidR="00EC5B31" w:rsidRPr="00562C5E" w:rsidRDefault="00EC5B31" w:rsidP="009919F2">
            <w:pPr>
              <w:spacing w:after="120"/>
              <w:jc w:val="both"/>
              <w:rPr>
                <w:rFonts w:cstheme="minorHAnsi"/>
                <w:sz w:val="16"/>
                <w:szCs w:val="16"/>
              </w:rPr>
            </w:pPr>
          </w:p>
        </w:tc>
        <w:tc>
          <w:tcPr>
            <w:tcW w:w="0" w:type="auto"/>
          </w:tcPr>
          <w:p w14:paraId="668964D8" w14:textId="77777777" w:rsidR="00EC5B31" w:rsidRPr="00562C5E" w:rsidRDefault="00EC5B31" w:rsidP="009919F2">
            <w:pPr>
              <w:jc w:val="both"/>
              <w:rPr>
                <w:rFonts w:cstheme="minorHAnsi"/>
                <w:sz w:val="16"/>
                <w:szCs w:val="16"/>
              </w:rPr>
            </w:pPr>
          </w:p>
        </w:tc>
        <w:tc>
          <w:tcPr>
            <w:tcW w:w="0" w:type="auto"/>
            <w:vAlign w:val="center"/>
          </w:tcPr>
          <w:p w14:paraId="3FEE8DF5" w14:textId="77777777" w:rsidR="00EC5B31" w:rsidRPr="00562C5E" w:rsidRDefault="00EC5B31" w:rsidP="009919F2">
            <w:pPr>
              <w:spacing w:after="120"/>
              <w:jc w:val="center"/>
              <w:rPr>
                <w:rFonts w:cstheme="minorHAnsi"/>
                <w:sz w:val="16"/>
                <w:szCs w:val="16"/>
              </w:rPr>
            </w:pPr>
            <w:r w:rsidRPr="00562C5E">
              <w:rPr>
                <w:rFonts w:cstheme="minorHAnsi"/>
                <w:sz w:val="16"/>
                <w:szCs w:val="16"/>
              </w:rPr>
              <w:t>A.2.1.1</w:t>
            </w:r>
          </w:p>
        </w:tc>
        <w:tc>
          <w:tcPr>
            <w:tcW w:w="0" w:type="auto"/>
          </w:tcPr>
          <w:p w14:paraId="3DC8C187" w14:textId="77777777" w:rsidR="00EC5B31" w:rsidRPr="00562C5E" w:rsidRDefault="00EC5B31" w:rsidP="009919F2">
            <w:pPr>
              <w:jc w:val="both"/>
              <w:rPr>
                <w:rFonts w:cstheme="minorHAnsi"/>
                <w:sz w:val="16"/>
                <w:szCs w:val="16"/>
              </w:rPr>
            </w:pPr>
            <w:r w:rsidRPr="00562C5E">
              <w:rPr>
                <w:rFonts w:cstheme="minorHAnsi"/>
                <w:sz w:val="16"/>
                <w:szCs w:val="16"/>
              </w:rPr>
              <w:t>Springs</w:t>
            </w:r>
          </w:p>
          <w:p w14:paraId="59B5237F" w14:textId="77777777" w:rsidR="00EC5B31" w:rsidRPr="00562C5E" w:rsidRDefault="00EC5B31" w:rsidP="009919F2">
            <w:pPr>
              <w:jc w:val="both"/>
              <w:rPr>
                <w:rFonts w:cstheme="minorHAnsi"/>
                <w:sz w:val="16"/>
                <w:szCs w:val="16"/>
              </w:rPr>
            </w:pPr>
            <w:r w:rsidRPr="00562C5E">
              <w:rPr>
                <w:rFonts w:cstheme="minorHAnsi"/>
                <w:sz w:val="16"/>
                <w:szCs w:val="16"/>
              </w:rPr>
              <w:t xml:space="preserve">(Spring </w:t>
            </w:r>
            <w:proofErr w:type="spellStart"/>
            <w:r w:rsidRPr="00562C5E">
              <w:rPr>
                <w:rFonts w:cstheme="minorHAnsi"/>
                <w:sz w:val="16"/>
                <w:szCs w:val="16"/>
              </w:rPr>
              <w:t>Stinjavac</w:t>
            </w:r>
            <w:proofErr w:type="spellEnd"/>
            <w:r w:rsidRPr="00562C5E">
              <w:rPr>
                <w:rFonts w:cstheme="minorHAnsi"/>
                <w:sz w:val="16"/>
                <w:szCs w:val="16"/>
              </w:rPr>
              <w:t>)</w:t>
            </w:r>
          </w:p>
          <w:p w14:paraId="151F959B" w14:textId="77777777" w:rsidR="00EC5B31" w:rsidRPr="00562C5E" w:rsidRDefault="00EC5B31" w:rsidP="009919F2">
            <w:pPr>
              <w:jc w:val="both"/>
              <w:rPr>
                <w:rFonts w:cstheme="minorHAnsi"/>
                <w:sz w:val="16"/>
                <w:szCs w:val="16"/>
              </w:rPr>
            </w:pPr>
            <w:r w:rsidRPr="00562C5E">
              <w:rPr>
                <w:rFonts w:cstheme="minorHAnsi"/>
                <w:sz w:val="16"/>
                <w:szCs w:val="16"/>
              </w:rPr>
              <w:t>(Spring Butina)</w:t>
            </w:r>
          </w:p>
        </w:tc>
        <w:tc>
          <w:tcPr>
            <w:tcW w:w="0" w:type="auto"/>
          </w:tcPr>
          <w:p w14:paraId="77BB264F" w14:textId="77777777" w:rsidR="00EC5B31" w:rsidRPr="00562C5E" w:rsidRDefault="00EC5B31" w:rsidP="009919F2">
            <w:pPr>
              <w:spacing w:after="120"/>
              <w:jc w:val="both"/>
              <w:rPr>
                <w:rFonts w:cstheme="minorHAnsi"/>
                <w:sz w:val="16"/>
                <w:szCs w:val="16"/>
              </w:rPr>
            </w:pPr>
            <w:r w:rsidRPr="00562C5E">
              <w:rPr>
                <w:rFonts w:cstheme="minorHAnsi"/>
                <w:sz w:val="16"/>
                <w:szCs w:val="16"/>
              </w:rPr>
              <w:t>Part of HR 2001046 Matica-</w:t>
            </w:r>
            <w:proofErr w:type="spellStart"/>
            <w:r w:rsidRPr="00562C5E">
              <w:rPr>
                <w:rFonts w:cstheme="minorHAnsi"/>
                <w:sz w:val="16"/>
                <w:szCs w:val="16"/>
              </w:rPr>
              <w:t>Vrgorac</w:t>
            </w:r>
            <w:proofErr w:type="spellEnd"/>
            <w:r w:rsidRPr="00562C5E">
              <w:rPr>
                <w:rFonts w:cstheme="minorHAnsi"/>
                <w:sz w:val="16"/>
                <w:szCs w:val="16"/>
              </w:rPr>
              <w:t xml:space="preserve"> karst field</w:t>
            </w:r>
          </w:p>
        </w:tc>
      </w:tr>
      <w:tr w:rsidR="00EC5B31" w:rsidRPr="00562C5E" w14:paraId="7AD8EEA3" w14:textId="77777777" w:rsidTr="00F75A45">
        <w:tc>
          <w:tcPr>
            <w:tcW w:w="0" w:type="auto"/>
          </w:tcPr>
          <w:p w14:paraId="28F26F5C" w14:textId="77777777" w:rsidR="00EC5B31" w:rsidRPr="00562C5E" w:rsidRDefault="00EC5B31" w:rsidP="009919F2">
            <w:pPr>
              <w:spacing w:after="120"/>
              <w:jc w:val="both"/>
              <w:rPr>
                <w:rFonts w:cstheme="minorHAnsi"/>
                <w:sz w:val="16"/>
                <w:szCs w:val="16"/>
              </w:rPr>
            </w:pPr>
            <w:r w:rsidRPr="00562C5E">
              <w:rPr>
                <w:rFonts w:cstheme="minorHAnsi"/>
                <w:sz w:val="16"/>
                <w:szCs w:val="16"/>
              </w:rPr>
              <w:t>8310</w:t>
            </w:r>
          </w:p>
        </w:tc>
        <w:tc>
          <w:tcPr>
            <w:tcW w:w="0" w:type="auto"/>
          </w:tcPr>
          <w:p w14:paraId="77A6ED31" w14:textId="77777777" w:rsidR="00EC5B31" w:rsidRPr="00562C5E" w:rsidRDefault="00EC5B31" w:rsidP="009919F2">
            <w:pPr>
              <w:jc w:val="both"/>
              <w:rPr>
                <w:rFonts w:cstheme="minorHAnsi"/>
                <w:sz w:val="16"/>
                <w:szCs w:val="16"/>
              </w:rPr>
            </w:pPr>
            <w:r w:rsidRPr="00562C5E">
              <w:rPr>
                <w:rFonts w:cstheme="minorHAnsi"/>
                <w:spacing w:val="1"/>
                <w:sz w:val="16"/>
                <w:szCs w:val="16"/>
              </w:rPr>
              <w:t>Caves and pits closed to the public</w:t>
            </w:r>
          </w:p>
        </w:tc>
        <w:tc>
          <w:tcPr>
            <w:tcW w:w="0" w:type="auto"/>
            <w:vAlign w:val="center"/>
          </w:tcPr>
          <w:p w14:paraId="59E669A9" w14:textId="77777777" w:rsidR="00EC5B31" w:rsidRPr="00562C5E" w:rsidRDefault="00EC5B31" w:rsidP="009919F2">
            <w:pPr>
              <w:spacing w:after="120"/>
              <w:jc w:val="center"/>
              <w:rPr>
                <w:rFonts w:cstheme="minorHAnsi"/>
                <w:sz w:val="16"/>
                <w:szCs w:val="16"/>
              </w:rPr>
            </w:pPr>
            <w:r w:rsidRPr="00562C5E">
              <w:rPr>
                <w:rFonts w:cstheme="minorHAnsi"/>
                <w:sz w:val="16"/>
                <w:szCs w:val="16"/>
              </w:rPr>
              <w:t>H.1.3.2.1.</w:t>
            </w:r>
          </w:p>
        </w:tc>
        <w:tc>
          <w:tcPr>
            <w:tcW w:w="0" w:type="auto"/>
          </w:tcPr>
          <w:p w14:paraId="777051C8" w14:textId="77777777" w:rsidR="00EC5B31" w:rsidRPr="00562C5E" w:rsidRDefault="00EC5B31" w:rsidP="009919F2">
            <w:pPr>
              <w:spacing w:after="120"/>
              <w:rPr>
                <w:rFonts w:cstheme="minorHAnsi"/>
                <w:sz w:val="16"/>
                <w:szCs w:val="16"/>
              </w:rPr>
            </w:pPr>
            <w:r w:rsidRPr="00562C5E">
              <w:rPr>
                <w:rFonts w:cstheme="minorHAnsi"/>
                <w:sz w:val="16"/>
                <w:szCs w:val="16"/>
              </w:rPr>
              <w:t>Underground lakes</w:t>
            </w:r>
          </w:p>
        </w:tc>
        <w:tc>
          <w:tcPr>
            <w:tcW w:w="0" w:type="auto"/>
          </w:tcPr>
          <w:p w14:paraId="2AFE5A3F" w14:textId="77777777" w:rsidR="00EC5B31" w:rsidRPr="00562C5E" w:rsidRDefault="00EC5B31" w:rsidP="009919F2">
            <w:pPr>
              <w:spacing w:after="120"/>
              <w:jc w:val="both"/>
              <w:rPr>
                <w:rFonts w:cstheme="minorHAnsi"/>
                <w:sz w:val="16"/>
                <w:szCs w:val="16"/>
              </w:rPr>
            </w:pPr>
            <w:r w:rsidRPr="00562C5E">
              <w:rPr>
                <w:rFonts w:cstheme="minorHAnsi"/>
                <w:sz w:val="16"/>
                <w:szCs w:val="16"/>
              </w:rPr>
              <w:t>HR200000 Betina big pit</w:t>
            </w:r>
          </w:p>
        </w:tc>
      </w:tr>
      <w:tr w:rsidR="00EC5B31" w:rsidRPr="00562C5E" w14:paraId="2A4DB850" w14:textId="77777777" w:rsidTr="00F75A45">
        <w:tc>
          <w:tcPr>
            <w:tcW w:w="0" w:type="auto"/>
          </w:tcPr>
          <w:p w14:paraId="6F47D58E" w14:textId="77777777" w:rsidR="00EC5B31" w:rsidRPr="00562C5E" w:rsidRDefault="00EC5B31" w:rsidP="009919F2">
            <w:pPr>
              <w:spacing w:after="120"/>
              <w:jc w:val="both"/>
              <w:rPr>
                <w:rFonts w:cstheme="minorHAnsi"/>
                <w:sz w:val="16"/>
                <w:szCs w:val="16"/>
                <w:highlight w:val="cyan"/>
              </w:rPr>
            </w:pPr>
          </w:p>
        </w:tc>
        <w:tc>
          <w:tcPr>
            <w:tcW w:w="0" w:type="auto"/>
          </w:tcPr>
          <w:p w14:paraId="31D8899F" w14:textId="77777777" w:rsidR="00EC5B31" w:rsidRPr="00562C5E" w:rsidRDefault="00EC5B31" w:rsidP="009919F2">
            <w:pPr>
              <w:jc w:val="both"/>
              <w:rPr>
                <w:rFonts w:cstheme="minorHAnsi"/>
                <w:sz w:val="16"/>
                <w:szCs w:val="16"/>
                <w:highlight w:val="cyan"/>
              </w:rPr>
            </w:pPr>
          </w:p>
        </w:tc>
        <w:tc>
          <w:tcPr>
            <w:tcW w:w="0" w:type="auto"/>
            <w:vAlign w:val="center"/>
          </w:tcPr>
          <w:p w14:paraId="5B2454EE" w14:textId="77777777" w:rsidR="00EC5B31" w:rsidRPr="00562C5E" w:rsidRDefault="00EC5B31" w:rsidP="009919F2">
            <w:pPr>
              <w:spacing w:after="120"/>
              <w:jc w:val="center"/>
              <w:rPr>
                <w:rFonts w:cstheme="minorHAnsi"/>
                <w:sz w:val="16"/>
                <w:szCs w:val="16"/>
                <w:highlight w:val="cyan"/>
              </w:rPr>
            </w:pPr>
            <w:r w:rsidRPr="00562C5E">
              <w:rPr>
                <w:rFonts w:cstheme="minorHAnsi"/>
                <w:sz w:val="16"/>
                <w:szCs w:val="16"/>
              </w:rPr>
              <w:t>A.2.1.1</w:t>
            </w:r>
          </w:p>
        </w:tc>
        <w:tc>
          <w:tcPr>
            <w:tcW w:w="0" w:type="auto"/>
          </w:tcPr>
          <w:p w14:paraId="1BDB02D5" w14:textId="77777777" w:rsidR="00EC5B31" w:rsidRPr="00562C5E" w:rsidRDefault="00EC5B31" w:rsidP="009919F2">
            <w:pPr>
              <w:jc w:val="both"/>
              <w:rPr>
                <w:rFonts w:cstheme="minorHAnsi"/>
                <w:sz w:val="16"/>
                <w:szCs w:val="16"/>
              </w:rPr>
            </w:pPr>
            <w:r w:rsidRPr="00562C5E">
              <w:rPr>
                <w:rFonts w:cstheme="minorHAnsi"/>
                <w:sz w:val="16"/>
                <w:szCs w:val="16"/>
              </w:rPr>
              <w:t xml:space="preserve">Springs </w:t>
            </w:r>
          </w:p>
        </w:tc>
        <w:tc>
          <w:tcPr>
            <w:tcW w:w="0" w:type="auto"/>
          </w:tcPr>
          <w:p w14:paraId="3C086D16" w14:textId="77777777" w:rsidR="00EC5B31" w:rsidRPr="00562C5E" w:rsidRDefault="00EC5B31" w:rsidP="009919F2">
            <w:pPr>
              <w:spacing w:after="120"/>
              <w:jc w:val="both"/>
              <w:rPr>
                <w:rFonts w:cstheme="minorHAnsi"/>
                <w:sz w:val="16"/>
                <w:szCs w:val="16"/>
              </w:rPr>
            </w:pPr>
            <w:r w:rsidRPr="00562C5E">
              <w:rPr>
                <w:rFonts w:cstheme="minorHAnsi"/>
                <w:sz w:val="16"/>
                <w:szCs w:val="16"/>
              </w:rPr>
              <w:t xml:space="preserve">HR 2001449 Spring </w:t>
            </w:r>
            <w:proofErr w:type="spellStart"/>
            <w:r w:rsidRPr="00562C5E">
              <w:rPr>
                <w:rFonts w:cstheme="minorHAnsi"/>
                <w:sz w:val="16"/>
                <w:szCs w:val="16"/>
              </w:rPr>
              <w:t>Deropulića</w:t>
            </w:r>
            <w:proofErr w:type="spellEnd"/>
            <w:r w:rsidRPr="00562C5E">
              <w:rPr>
                <w:rFonts w:cstheme="minorHAnsi"/>
                <w:sz w:val="16"/>
                <w:szCs w:val="16"/>
              </w:rPr>
              <w:t xml:space="preserve"> </w:t>
            </w:r>
            <w:proofErr w:type="spellStart"/>
            <w:r w:rsidRPr="00562C5E">
              <w:rPr>
                <w:rFonts w:cstheme="minorHAnsi"/>
                <w:sz w:val="16"/>
                <w:szCs w:val="16"/>
              </w:rPr>
              <w:t>vrelo</w:t>
            </w:r>
            <w:proofErr w:type="spellEnd"/>
          </w:p>
        </w:tc>
      </w:tr>
      <w:tr w:rsidR="00EC5B31" w:rsidRPr="00562C5E" w14:paraId="3CA03179" w14:textId="77777777" w:rsidTr="00F75A45">
        <w:tc>
          <w:tcPr>
            <w:tcW w:w="0" w:type="auto"/>
          </w:tcPr>
          <w:p w14:paraId="02A4AE4E" w14:textId="77777777" w:rsidR="00EC5B31" w:rsidRPr="00562C5E" w:rsidRDefault="00EC5B31" w:rsidP="009919F2">
            <w:pPr>
              <w:spacing w:after="120"/>
              <w:jc w:val="both"/>
              <w:rPr>
                <w:rFonts w:cstheme="minorHAnsi"/>
                <w:sz w:val="16"/>
                <w:szCs w:val="16"/>
                <w:highlight w:val="cyan"/>
              </w:rPr>
            </w:pPr>
          </w:p>
        </w:tc>
        <w:tc>
          <w:tcPr>
            <w:tcW w:w="0" w:type="auto"/>
          </w:tcPr>
          <w:p w14:paraId="02BFA6A1" w14:textId="77777777" w:rsidR="00EC5B31" w:rsidRPr="00562C5E" w:rsidRDefault="00EC5B31" w:rsidP="009919F2">
            <w:pPr>
              <w:jc w:val="both"/>
              <w:rPr>
                <w:rFonts w:cstheme="minorHAnsi"/>
                <w:sz w:val="16"/>
                <w:szCs w:val="16"/>
                <w:highlight w:val="cyan"/>
              </w:rPr>
            </w:pPr>
          </w:p>
        </w:tc>
        <w:tc>
          <w:tcPr>
            <w:tcW w:w="0" w:type="auto"/>
            <w:vAlign w:val="center"/>
          </w:tcPr>
          <w:p w14:paraId="0D681C20" w14:textId="77777777" w:rsidR="00EC5B31" w:rsidRPr="00562C5E" w:rsidRDefault="00EC5B31" w:rsidP="009919F2">
            <w:pPr>
              <w:spacing w:after="120"/>
              <w:jc w:val="center"/>
              <w:rPr>
                <w:rFonts w:cstheme="minorHAnsi"/>
                <w:sz w:val="16"/>
                <w:szCs w:val="16"/>
              </w:rPr>
            </w:pPr>
            <w:r w:rsidRPr="00562C5E">
              <w:rPr>
                <w:rFonts w:cstheme="minorHAnsi"/>
                <w:sz w:val="16"/>
                <w:szCs w:val="16"/>
              </w:rPr>
              <w:t>A.2.1.1</w:t>
            </w:r>
          </w:p>
        </w:tc>
        <w:tc>
          <w:tcPr>
            <w:tcW w:w="0" w:type="auto"/>
          </w:tcPr>
          <w:p w14:paraId="6E0BB37C" w14:textId="77777777" w:rsidR="00EC5B31" w:rsidRPr="00562C5E" w:rsidRDefault="00EC5B31" w:rsidP="009919F2">
            <w:pPr>
              <w:jc w:val="both"/>
              <w:rPr>
                <w:rFonts w:cstheme="minorHAnsi"/>
                <w:sz w:val="16"/>
                <w:szCs w:val="16"/>
              </w:rPr>
            </w:pPr>
            <w:r w:rsidRPr="00562C5E">
              <w:rPr>
                <w:rFonts w:cstheme="minorHAnsi"/>
                <w:sz w:val="16"/>
                <w:szCs w:val="16"/>
              </w:rPr>
              <w:t xml:space="preserve">Springs </w:t>
            </w:r>
          </w:p>
        </w:tc>
        <w:tc>
          <w:tcPr>
            <w:tcW w:w="0" w:type="auto"/>
          </w:tcPr>
          <w:p w14:paraId="51F199A5" w14:textId="77777777" w:rsidR="00EC5B31" w:rsidRPr="00562C5E" w:rsidRDefault="00EC5B31" w:rsidP="009919F2">
            <w:pPr>
              <w:spacing w:after="120"/>
              <w:jc w:val="both"/>
              <w:rPr>
                <w:rFonts w:cstheme="minorHAnsi"/>
                <w:sz w:val="16"/>
                <w:szCs w:val="16"/>
              </w:rPr>
            </w:pPr>
            <w:r w:rsidRPr="00562C5E">
              <w:rPr>
                <w:rFonts w:cstheme="minorHAnsi"/>
                <w:sz w:val="16"/>
                <w:szCs w:val="16"/>
              </w:rPr>
              <w:t>HR2001242 Spring Vir</w:t>
            </w:r>
          </w:p>
        </w:tc>
      </w:tr>
      <w:tr w:rsidR="00EC5B31" w:rsidRPr="00562C5E" w14:paraId="2EC398E5" w14:textId="77777777" w:rsidTr="00F75A45">
        <w:tc>
          <w:tcPr>
            <w:tcW w:w="0" w:type="auto"/>
          </w:tcPr>
          <w:p w14:paraId="6896C353" w14:textId="77777777" w:rsidR="00EC5B31" w:rsidRPr="00562C5E" w:rsidRDefault="00EC5B31" w:rsidP="009919F2">
            <w:pPr>
              <w:spacing w:after="120"/>
              <w:jc w:val="both"/>
              <w:rPr>
                <w:rFonts w:cstheme="minorHAnsi"/>
                <w:sz w:val="16"/>
                <w:szCs w:val="16"/>
                <w:highlight w:val="cyan"/>
              </w:rPr>
            </w:pPr>
          </w:p>
        </w:tc>
        <w:tc>
          <w:tcPr>
            <w:tcW w:w="0" w:type="auto"/>
          </w:tcPr>
          <w:p w14:paraId="7AD03538" w14:textId="77777777" w:rsidR="00EC5B31" w:rsidRPr="00562C5E" w:rsidRDefault="00EC5B31" w:rsidP="009919F2">
            <w:pPr>
              <w:jc w:val="both"/>
              <w:rPr>
                <w:rFonts w:cstheme="minorHAnsi"/>
                <w:sz w:val="16"/>
                <w:szCs w:val="16"/>
                <w:highlight w:val="cyan"/>
              </w:rPr>
            </w:pPr>
          </w:p>
        </w:tc>
        <w:tc>
          <w:tcPr>
            <w:tcW w:w="0" w:type="auto"/>
            <w:vAlign w:val="center"/>
          </w:tcPr>
          <w:p w14:paraId="20969F08" w14:textId="77777777" w:rsidR="00EC5B31" w:rsidRPr="00562C5E" w:rsidRDefault="00EC5B31" w:rsidP="009919F2">
            <w:pPr>
              <w:spacing w:after="120"/>
              <w:jc w:val="center"/>
              <w:rPr>
                <w:rFonts w:cstheme="minorHAnsi"/>
                <w:sz w:val="16"/>
                <w:szCs w:val="16"/>
              </w:rPr>
            </w:pPr>
            <w:r w:rsidRPr="00562C5E">
              <w:rPr>
                <w:rFonts w:cstheme="minorHAnsi"/>
                <w:sz w:val="16"/>
                <w:szCs w:val="16"/>
              </w:rPr>
              <w:t>A.2.1.1</w:t>
            </w:r>
          </w:p>
        </w:tc>
        <w:tc>
          <w:tcPr>
            <w:tcW w:w="0" w:type="auto"/>
          </w:tcPr>
          <w:p w14:paraId="4D5FA8C8" w14:textId="77777777" w:rsidR="00EC5B31" w:rsidRPr="00562C5E" w:rsidRDefault="00EC5B31" w:rsidP="009919F2">
            <w:pPr>
              <w:jc w:val="both"/>
              <w:rPr>
                <w:rFonts w:cstheme="minorHAnsi"/>
                <w:sz w:val="16"/>
                <w:szCs w:val="16"/>
              </w:rPr>
            </w:pPr>
            <w:r w:rsidRPr="00562C5E">
              <w:rPr>
                <w:rFonts w:cstheme="minorHAnsi"/>
                <w:sz w:val="16"/>
                <w:szCs w:val="16"/>
              </w:rPr>
              <w:t xml:space="preserve">Springs </w:t>
            </w:r>
          </w:p>
          <w:p w14:paraId="69DAE74E" w14:textId="77777777" w:rsidR="00EC5B31" w:rsidRPr="00562C5E" w:rsidRDefault="00EC5B31" w:rsidP="009919F2">
            <w:pPr>
              <w:jc w:val="both"/>
              <w:rPr>
                <w:rFonts w:cstheme="minorHAnsi"/>
                <w:sz w:val="16"/>
                <w:szCs w:val="16"/>
              </w:rPr>
            </w:pPr>
            <w:r w:rsidRPr="00562C5E">
              <w:rPr>
                <w:rFonts w:cstheme="minorHAnsi"/>
                <w:sz w:val="16"/>
                <w:szCs w:val="16"/>
              </w:rPr>
              <w:t xml:space="preserve">(Spring </w:t>
            </w:r>
            <w:proofErr w:type="spellStart"/>
            <w:r w:rsidRPr="00562C5E">
              <w:rPr>
                <w:rFonts w:cstheme="minorHAnsi"/>
                <w:sz w:val="16"/>
                <w:szCs w:val="16"/>
              </w:rPr>
              <w:t>Desne</w:t>
            </w:r>
            <w:proofErr w:type="spellEnd"/>
            <w:r w:rsidRPr="00562C5E">
              <w:rPr>
                <w:rFonts w:cstheme="minorHAnsi"/>
                <w:sz w:val="16"/>
                <w:szCs w:val="16"/>
              </w:rPr>
              <w:t>)</w:t>
            </w:r>
          </w:p>
        </w:tc>
        <w:tc>
          <w:tcPr>
            <w:tcW w:w="0" w:type="auto"/>
          </w:tcPr>
          <w:p w14:paraId="0DE895B2" w14:textId="77777777" w:rsidR="00EC5B31" w:rsidRPr="00562C5E" w:rsidRDefault="00EC5B31" w:rsidP="009919F2">
            <w:pPr>
              <w:spacing w:after="120"/>
              <w:jc w:val="both"/>
              <w:rPr>
                <w:rFonts w:cstheme="minorHAnsi"/>
                <w:sz w:val="16"/>
                <w:szCs w:val="16"/>
              </w:rPr>
            </w:pPr>
          </w:p>
        </w:tc>
      </w:tr>
      <w:tr w:rsidR="00EC5B31" w:rsidRPr="00562C5E" w14:paraId="34843F9E" w14:textId="77777777" w:rsidTr="00F75A45">
        <w:tc>
          <w:tcPr>
            <w:tcW w:w="0" w:type="auto"/>
          </w:tcPr>
          <w:p w14:paraId="20CD4AC2" w14:textId="77777777" w:rsidR="00EC5B31" w:rsidRPr="00562C5E" w:rsidRDefault="00EC5B31" w:rsidP="009919F2">
            <w:pPr>
              <w:spacing w:after="120"/>
              <w:jc w:val="both"/>
              <w:rPr>
                <w:rFonts w:cstheme="minorHAnsi"/>
                <w:sz w:val="16"/>
                <w:szCs w:val="16"/>
              </w:rPr>
            </w:pPr>
            <w:r w:rsidRPr="00562C5E">
              <w:rPr>
                <w:rFonts w:cstheme="minorHAnsi"/>
                <w:sz w:val="16"/>
                <w:szCs w:val="16"/>
              </w:rPr>
              <w:t>8310</w:t>
            </w:r>
          </w:p>
        </w:tc>
        <w:tc>
          <w:tcPr>
            <w:tcW w:w="0" w:type="auto"/>
          </w:tcPr>
          <w:p w14:paraId="7EB9A57A" w14:textId="77777777" w:rsidR="00EC5B31" w:rsidRPr="00562C5E" w:rsidRDefault="00EC5B31" w:rsidP="009919F2">
            <w:pPr>
              <w:jc w:val="both"/>
              <w:rPr>
                <w:rFonts w:cstheme="minorHAnsi"/>
                <w:sz w:val="16"/>
                <w:szCs w:val="16"/>
              </w:rPr>
            </w:pPr>
            <w:r w:rsidRPr="00562C5E">
              <w:rPr>
                <w:rFonts w:cstheme="minorHAnsi"/>
                <w:spacing w:val="1"/>
                <w:sz w:val="16"/>
                <w:szCs w:val="16"/>
              </w:rPr>
              <w:t>Caves and pits closed to the public</w:t>
            </w:r>
          </w:p>
        </w:tc>
        <w:tc>
          <w:tcPr>
            <w:tcW w:w="0" w:type="auto"/>
            <w:vAlign w:val="center"/>
          </w:tcPr>
          <w:p w14:paraId="330E3195" w14:textId="77777777" w:rsidR="00EC5B31" w:rsidRPr="00562C5E" w:rsidRDefault="00EC5B31" w:rsidP="009919F2">
            <w:pPr>
              <w:spacing w:after="120"/>
              <w:jc w:val="center"/>
              <w:rPr>
                <w:rFonts w:cstheme="minorHAnsi"/>
                <w:sz w:val="16"/>
                <w:szCs w:val="16"/>
              </w:rPr>
            </w:pPr>
            <w:r w:rsidRPr="00562C5E">
              <w:rPr>
                <w:rFonts w:cstheme="minorHAnsi"/>
                <w:sz w:val="16"/>
                <w:szCs w:val="16"/>
              </w:rPr>
              <w:t>H.1.3.2.1.</w:t>
            </w:r>
          </w:p>
        </w:tc>
        <w:tc>
          <w:tcPr>
            <w:tcW w:w="0" w:type="auto"/>
          </w:tcPr>
          <w:p w14:paraId="4290E923" w14:textId="77777777" w:rsidR="00EC5B31" w:rsidRPr="00562C5E" w:rsidRDefault="00EC5B31" w:rsidP="009919F2">
            <w:pPr>
              <w:jc w:val="both"/>
              <w:rPr>
                <w:rFonts w:cstheme="minorHAnsi"/>
                <w:sz w:val="16"/>
                <w:szCs w:val="16"/>
              </w:rPr>
            </w:pPr>
            <w:r w:rsidRPr="00562C5E">
              <w:rPr>
                <w:rFonts w:cstheme="minorHAnsi"/>
                <w:sz w:val="16"/>
                <w:szCs w:val="16"/>
              </w:rPr>
              <w:t>Underground lakes</w:t>
            </w:r>
          </w:p>
        </w:tc>
        <w:tc>
          <w:tcPr>
            <w:tcW w:w="0" w:type="auto"/>
          </w:tcPr>
          <w:p w14:paraId="4C4CAC8B" w14:textId="77777777" w:rsidR="00EC5B31" w:rsidRPr="00562C5E" w:rsidRDefault="00EC5B31" w:rsidP="009919F2">
            <w:pPr>
              <w:spacing w:after="120"/>
              <w:jc w:val="both"/>
              <w:rPr>
                <w:rFonts w:cstheme="minorHAnsi"/>
                <w:sz w:val="16"/>
                <w:szCs w:val="16"/>
              </w:rPr>
            </w:pPr>
            <w:r w:rsidRPr="00562C5E">
              <w:rPr>
                <w:rFonts w:cstheme="minorHAnsi"/>
                <w:sz w:val="16"/>
                <w:szCs w:val="16"/>
              </w:rPr>
              <w:t xml:space="preserve">HR2001321 </w:t>
            </w:r>
            <w:proofErr w:type="spellStart"/>
            <w:r w:rsidRPr="00562C5E">
              <w:rPr>
                <w:rFonts w:cstheme="minorHAnsi"/>
                <w:sz w:val="16"/>
                <w:szCs w:val="16"/>
              </w:rPr>
              <w:t>Jasena</w:t>
            </w:r>
            <w:proofErr w:type="spellEnd"/>
            <w:r w:rsidRPr="00562C5E">
              <w:rPr>
                <w:rFonts w:cstheme="minorHAnsi"/>
                <w:sz w:val="16"/>
                <w:szCs w:val="16"/>
              </w:rPr>
              <w:t xml:space="preserve"> ponor</w:t>
            </w:r>
          </w:p>
        </w:tc>
      </w:tr>
      <w:tr w:rsidR="00EC5B31" w:rsidRPr="00562C5E" w14:paraId="7868AE8D" w14:textId="77777777" w:rsidTr="00F75A45">
        <w:trPr>
          <w:trHeight w:val="2965"/>
        </w:trPr>
        <w:tc>
          <w:tcPr>
            <w:tcW w:w="0" w:type="auto"/>
          </w:tcPr>
          <w:p w14:paraId="5089522F" w14:textId="77777777" w:rsidR="00EC5B31" w:rsidRPr="00562C5E" w:rsidRDefault="00EC5B31" w:rsidP="009919F2">
            <w:pPr>
              <w:spacing w:after="120"/>
              <w:jc w:val="both"/>
              <w:rPr>
                <w:rFonts w:cstheme="minorHAnsi"/>
                <w:sz w:val="16"/>
                <w:szCs w:val="16"/>
                <w:highlight w:val="cyan"/>
              </w:rPr>
            </w:pPr>
            <w:r w:rsidRPr="00562C5E">
              <w:rPr>
                <w:rFonts w:cstheme="minorHAnsi"/>
                <w:sz w:val="16"/>
                <w:szCs w:val="16"/>
              </w:rPr>
              <w:t>8310</w:t>
            </w:r>
          </w:p>
        </w:tc>
        <w:tc>
          <w:tcPr>
            <w:tcW w:w="0" w:type="auto"/>
          </w:tcPr>
          <w:p w14:paraId="3F22C159" w14:textId="77777777" w:rsidR="00EC5B31" w:rsidRPr="00562C5E" w:rsidRDefault="00EC5B31" w:rsidP="009919F2">
            <w:pPr>
              <w:jc w:val="both"/>
              <w:rPr>
                <w:rFonts w:cstheme="minorHAnsi"/>
                <w:sz w:val="16"/>
                <w:szCs w:val="16"/>
                <w:highlight w:val="cyan"/>
              </w:rPr>
            </w:pPr>
            <w:r w:rsidRPr="00562C5E">
              <w:rPr>
                <w:rFonts w:cstheme="minorHAnsi"/>
                <w:sz w:val="16"/>
                <w:szCs w:val="16"/>
              </w:rPr>
              <w:t>Caves and pits closed to the public</w:t>
            </w:r>
          </w:p>
        </w:tc>
        <w:tc>
          <w:tcPr>
            <w:tcW w:w="0" w:type="auto"/>
          </w:tcPr>
          <w:p w14:paraId="336038DE" w14:textId="77777777" w:rsidR="00EC5B31" w:rsidRPr="00562C5E" w:rsidRDefault="00EC5B31" w:rsidP="009919F2">
            <w:pPr>
              <w:spacing w:after="120"/>
              <w:jc w:val="center"/>
              <w:rPr>
                <w:rFonts w:cstheme="minorHAnsi"/>
                <w:sz w:val="16"/>
                <w:szCs w:val="16"/>
              </w:rPr>
            </w:pPr>
            <w:r w:rsidRPr="00562C5E">
              <w:rPr>
                <w:rFonts w:cstheme="minorHAnsi"/>
                <w:sz w:val="16"/>
                <w:szCs w:val="16"/>
              </w:rPr>
              <w:t>A.2.1.1.2.</w:t>
            </w:r>
          </w:p>
          <w:p w14:paraId="0D7265B5" w14:textId="77777777" w:rsidR="00EC5B31" w:rsidRPr="00562C5E" w:rsidRDefault="00EC5B31" w:rsidP="009919F2">
            <w:pPr>
              <w:spacing w:after="120"/>
              <w:rPr>
                <w:rFonts w:cstheme="minorHAnsi"/>
                <w:sz w:val="16"/>
                <w:szCs w:val="16"/>
              </w:rPr>
            </w:pPr>
          </w:p>
          <w:p w14:paraId="78B4880C" w14:textId="77777777" w:rsidR="00EC5B31" w:rsidRPr="00562C5E" w:rsidRDefault="00EC5B31" w:rsidP="009919F2">
            <w:pPr>
              <w:spacing w:after="120"/>
              <w:jc w:val="center"/>
              <w:rPr>
                <w:rFonts w:cstheme="minorHAnsi"/>
                <w:sz w:val="16"/>
                <w:szCs w:val="16"/>
              </w:rPr>
            </w:pPr>
            <w:r w:rsidRPr="00562C5E">
              <w:rPr>
                <w:rFonts w:cstheme="minorHAnsi"/>
                <w:sz w:val="16"/>
                <w:szCs w:val="16"/>
              </w:rPr>
              <w:t>A.2.1.1.2</w:t>
            </w:r>
          </w:p>
          <w:p w14:paraId="40D43683" w14:textId="77777777" w:rsidR="00EC5B31" w:rsidRPr="00562C5E" w:rsidRDefault="00EC5B31" w:rsidP="009919F2">
            <w:pPr>
              <w:spacing w:after="120"/>
              <w:jc w:val="center"/>
              <w:rPr>
                <w:rFonts w:cstheme="minorHAnsi"/>
                <w:sz w:val="16"/>
                <w:szCs w:val="16"/>
              </w:rPr>
            </w:pPr>
          </w:p>
          <w:p w14:paraId="283C06B3" w14:textId="77777777" w:rsidR="00EC5B31" w:rsidRPr="00562C5E" w:rsidRDefault="00EC5B31" w:rsidP="009919F2">
            <w:pPr>
              <w:spacing w:after="120"/>
              <w:jc w:val="center"/>
              <w:rPr>
                <w:rFonts w:cstheme="minorHAnsi"/>
                <w:sz w:val="16"/>
                <w:szCs w:val="16"/>
              </w:rPr>
            </w:pPr>
            <w:r w:rsidRPr="00562C5E">
              <w:rPr>
                <w:rFonts w:cstheme="minorHAnsi"/>
                <w:sz w:val="16"/>
                <w:szCs w:val="16"/>
              </w:rPr>
              <w:t>A.2.1.1.2</w:t>
            </w:r>
          </w:p>
          <w:p w14:paraId="21D9C2F7" w14:textId="77777777" w:rsidR="00EC5B31" w:rsidRPr="00562C5E" w:rsidRDefault="00EC5B31" w:rsidP="009919F2">
            <w:pPr>
              <w:spacing w:after="120"/>
              <w:jc w:val="center"/>
              <w:rPr>
                <w:rFonts w:cstheme="minorHAnsi"/>
                <w:sz w:val="16"/>
                <w:szCs w:val="16"/>
              </w:rPr>
            </w:pPr>
          </w:p>
          <w:p w14:paraId="3A195193" w14:textId="77777777" w:rsidR="00EC5B31" w:rsidRPr="00562C5E" w:rsidRDefault="00EC5B31" w:rsidP="009919F2">
            <w:pPr>
              <w:spacing w:after="120"/>
              <w:jc w:val="center"/>
              <w:rPr>
                <w:rFonts w:cstheme="minorHAnsi"/>
                <w:sz w:val="16"/>
                <w:szCs w:val="16"/>
              </w:rPr>
            </w:pPr>
            <w:r w:rsidRPr="00562C5E">
              <w:rPr>
                <w:rFonts w:cstheme="minorHAnsi"/>
                <w:sz w:val="16"/>
                <w:szCs w:val="16"/>
              </w:rPr>
              <w:t>A.2.1.1.2</w:t>
            </w:r>
          </w:p>
        </w:tc>
        <w:tc>
          <w:tcPr>
            <w:tcW w:w="0" w:type="auto"/>
          </w:tcPr>
          <w:p w14:paraId="785B580E" w14:textId="77777777" w:rsidR="00EC5B31" w:rsidRPr="00562C5E" w:rsidRDefault="00EC5B31" w:rsidP="009919F2">
            <w:pPr>
              <w:jc w:val="both"/>
              <w:rPr>
                <w:rFonts w:cstheme="minorHAnsi"/>
                <w:sz w:val="16"/>
                <w:szCs w:val="16"/>
              </w:rPr>
            </w:pPr>
            <w:proofErr w:type="spellStart"/>
            <w:r w:rsidRPr="00562C5E">
              <w:rPr>
                <w:rFonts w:cstheme="minorHAnsi"/>
                <w:sz w:val="16"/>
                <w:szCs w:val="16"/>
              </w:rPr>
              <w:t>Limnocrenic</w:t>
            </w:r>
            <w:proofErr w:type="spellEnd"/>
            <w:r w:rsidRPr="00562C5E">
              <w:rPr>
                <w:rFonts w:cstheme="minorHAnsi"/>
                <w:sz w:val="16"/>
                <w:szCs w:val="16"/>
              </w:rPr>
              <w:t xml:space="preserve"> springs</w:t>
            </w:r>
          </w:p>
          <w:p w14:paraId="634E0140" w14:textId="77777777" w:rsidR="00EC5B31" w:rsidRPr="00562C5E" w:rsidRDefault="00EC5B31" w:rsidP="009919F2">
            <w:pPr>
              <w:jc w:val="both"/>
              <w:rPr>
                <w:rFonts w:cstheme="minorHAnsi"/>
                <w:sz w:val="16"/>
                <w:szCs w:val="16"/>
              </w:rPr>
            </w:pPr>
            <w:r w:rsidRPr="00562C5E">
              <w:rPr>
                <w:rFonts w:cstheme="minorHAnsi"/>
                <w:sz w:val="16"/>
                <w:szCs w:val="16"/>
              </w:rPr>
              <w:t xml:space="preserve">(Spring Modro </w:t>
            </w:r>
            <w:proofErr w:type="spellStart"/>
            <w:r w:rsidRPr="00562C5E">
              <w:rPr>
                <w:rFonts w:cstheme="minorHAnsi"/>
                <w:sz w:val="16"/>
                <w:szCs w:val="16"/>
              </w:rPr>
              <w:t>oko</w:t>
            </w:r>
            <w:proofErr w:type="spellEnd"/>
            <w:r w:rsidRPr="00562C5E">
              <w:rPr>
                <w:rFonts w:cstheme="minorHAnsi"/>
                <w:sz w:val="16"/>
                <w:szCs w:val="16"/>
              </w:rPr>
              <w:t>)</w:t>
            </w:r>
          </w:p>
          <w:p w14:paraId="4292F14E" w14:textId="77777777" w:rsidR="00EC5B31" w:rsidRPr="00562C5E" w:rsidRDefault="00EC5B31" w:rsidP="009919F2">
            <w:pPr>
              <w:jc w:val="both"/>
              <w:rPr>
                <w:rFonts w:cstheme="minorHAnsi"/>
                <w:sz w:val="16"/>
                <w:szCs w:val="16"/>
              </w:rPr>
            </w:pPr>
          </w:p>
          <w:p w14:paraId="1A401D3F" w14:textId="77777777" w:rsidR="00EC5B31" w:rsidRPr="00562C5E" w:rsidRDefault="00EC5B31" w:rsidP="009919F2">
            <w:pPr>
              <w:jc w:val="both"/>
              <w:rPr>
                <w:rFonts w:cstheme="minorHAnsi"/>
                <w:sz w:val="16"/>
                <w:szCs w:val="16"/>
              </w:rPr>
            </w:pPr>
            <w:proofErr w:type="spellStart"/>
            <w:r w:rsidRPr="00562C5E">
              <w:rPr>
                <w:rFonts w:cstheme="minorHAnsi"/>
                <w:sz w:val="16"/>
                <w:szCs w:val="16"/>
              </w:rPr>
              <w:t>Limnocrenic</w:t>
            </w:r>
            <w:proofErr w:type="spellEnd"/>
            <w:r w:rsidRPr="00562C5E">
              <w:rPr>
                <w:rFonts w:cstheme="minorHAnsi"/>
                <w:sz w:val="16"/>
                <w:szCs w:val="16"/>
              </w:rPr>
              <w:t xml:space="preserve"> springs</w:t>
            </w:r>
          </w:p>
          <w:p w14:paraId="28AEC08C" w14:textId="77777777" w:rsidR="00EC5B31" w:rsidRPr="00562C5E" w:rsidRDefault="00EC5B31" w:rsidP="009919F2">
            <w:pPr>
              <w:jc w:val="both"/>
              <w:rPr>
                <w:rFonts w:cstheme="minorHAnsi"/>
                <w:sz w:val="16"/>
                <w:szCs w:val="16"/>
              </w:rPr>
            </w:pPr>
            <w:r w:rsidRPr="00562C5E">
              <w:rPr>
                <w:rFonts w:cstheme="minorHAnsi"/>
                <w:sz w:val="16"/>
                <w:szCs w:val="16"/>
              </w:rPr>
              <w:t xml:space="preserve">(Spring </w:t>
            </w:r>
            <w:proofErr w:type="spellStart"/>
            <w:r w:rsidRPr="00562C5E">
              <w:rPr>
                <w:rFonts w:cstheme="minorHAnsi"/>
                <w:sz w:val="16"/>
                <w:szCs w:val="16"/>
              </w:rPr>
              <w:t>Mislina</w:t>
            </w:r>
            <w:proofErr w:type="spellEnd"/>
            <w:r w:rsidRPr="00562C5E">
              <w:rPr>
                <w:rFonts w:cstheme="minorHAnsi"/>
                <w:sz w:val="16"/>
                <w:szCs w:val="16"/>
              </w:rPr>
              <w:t>)</w:t>
            </w:r>
          </w:p>
          <w:p w14:paraId="531D7959" w14:textId="77777777" w:rsidR="00EC5B31" w:rsidRPr="00562C5E" w:rsidRDefault="00EC5B31" w:rsidP="009919F2">
            <w:pPr>
              <w:jc w:val="both"/>
              <w:rPr>
                <w:rFonts w:cstheme="minorHAnsi"/>
                <w:sz w:val="16"/>
                <w:szCs w:val="16"/>
              </w:rPr>
            </w:pPr>
          </w:p>
          <w:p w14:paraId="2CC537E8" w14:textId="77777777" w:rsidR="00EC5B31" w:rsidRPr="00562C5E" w:rsidRDefault="00EC5B31" w:rsidP="009919F2">
            <w:pPr>
              <w:jc w:val="both"/>
              <w:rPr>
                <w:rFonts w:cstheme="minorHAnsi"/>
                <w:sz w:val="16"/>
                <w:szCs w:val="16"/>
              </w:rPr>
            </w:pPr>
            <w:proofErr w:type="spellStart"/>
            <w:r w:rsidRPr="00562C5E">
              <w:rPr>
                <w:rFonts w:cstheme="minorHAnsi"/>
                <w:sz w:val="16"/>
                <w:szCs w:val="16"/>
              </w:rPr>
              <w:t>Limnocrenic</w:t>
            </w:r>
            <w:proofErr w:type="spellEnd"/>
            <w:r w:rsidRPr="00562C5E">
              <w:rPr>
                <w:rFonts w:cstheme="minorHAnsi"/>
                <w:sz w:val="16"/>
                <w:szCs w:val="16"/>
              </w:rPr>
              <w:t xml:space="preserve"> springs</w:t>
            </w:r>
          </w:p>
          <w:p w14:paraId="24FE7A54" w14:textId="77777777" w:rsidR="00EC5B31" w:rsidRPr="00562C5E" w:rsidRDefault="00EC5B31" w:rsidP="009919F2">
            <w:pPr>
              <w:jc w:val="both"/>
              <w:rPr>
                <w:rFonts w:cstheme="minorHAnsi"/>
                <w:sz w:val="16"/>
                <w:szCs w:val="16"/>
              </w:rPr>
            </w:pPr>
            <w:r w:rsidRPr="00562C5E">
              <w:rPr>
                <w:rFonts w:cstheme="minorHAnsi"/>
                <w:sz w:val="16"/>
                <w:szCs w:val="16"/>
              </w:rPr>
              <w:t>(Spring Norin/</w:t>
            </w:r>
            <w:proofErr w:type="spellStart"/>
            <w:r w:rsidRPr="00562C5E">
              <w:rPr>
                <w:rFonts w:cstheme="minorHAnsi"/>
                <w:sz w:val="16"/>
                <w:szCs w:val="16"/>
              </w:rPr>
              <w:t>Sprud</w:t>
            </w:r>
            <w:proofErr w:type="spellEnd"/>
            <w:r w:rsidRPr="00562C5E">
              <w:rPr>
                <w:rFonts w:cstheme="minorHAnsi"/>
                <w:sz w:val="16"/>
                <w:szCs w:val="16"/>
              </w:rPr>
              <w:t>)</w:t>
            </w:r>
          </w:p>
          <w:p w14:paraId="51A7A116" w14:textId="77777777" w:rsidR="00EC5B31" w:rsidRPr="00562C5E" w:rsidRDefault="00EC5B31" w:rsidP="009919F2">
            <w:pPr>
              <w:jc w:val="both"/>
              <w:rPr>
                <w:rFonts w:cstheme="minorHAnsi"/>
                <w:sz w:val="16"/>
                <w:szCs w:val="16"/>
              </w:rPr>
            </w:pPr>
          </w:p>
          <w:p w14:paraId="26DBA827" w14:textId="77777777" w:rsidR="00EC5B31" w:rsidRPr="00562C5E" w:rsidRDefault="00EC5B31" w:rsidP="009919F2">
            <w:pPr>
              <w:jc w:val="both"/>
              <w:rPr>
                <w:rFonts w:cstheme="minorHAnsi"/>
                <w:sz w:val="16"/>
                <w:szCs w:val="16"/>
              </w:rPr>
            </w:pPr>
            <w:proofErr w:type="spellStart"/>
            <w:r w:rsidRPr="00562C5E">
              <w:rPr>
                <w:rFonts w:cstheme="minorHAnsi"/>
                <w:sz w:val="16"/>
                <w:szCs w:val="16"/>
              </w:rPr>
              <w:t>Limnocrenic</w:t>
            </w:r>
            <w:proofErr w:type="spellEnd"/>
            <w:r w:rsidRPr="00562C5E">
              <w:rPr>
                <w:rFonts w:cstheme="minorHAnsi"/>
                <w:sz w:val="16"/>
                <w:szCs w:val="16"/>
              </w:rPr>
              <w:t xml:space="preserve"> springs</w:t>
            </w:r>
          </w:p>
          <w:p w14:paraId="53CEADDE" w14:textId="77777777" w:rsidR="00EC5B31" w:rsidRPr="00562C5E" w:rsidRDefault="00EC5B31" w:rsidP="009919F2">
            <w:pPr>
              <w:jc w:val="both"/>
              <w:rPr>
                <w:rFonts w:cstheme="minorHAnsi"/>
                <w:sz w:val="16"/>
                <w:szCs w:val="16"/>
              </w:rPr>
            </w:pPr>
            <w:r w:rsidRPr="00562C5E">
              <w:rPr>
                <w:rFonts w:cstheme="minorHAnsi"/>
                <w:sz w:val="16"/>
                <w:szCs w:val="16"/>
              </w:rPr>
              <w:t xml:space="preserve">(Spring </w:t>
            </w:r>
            <w:proofErr w:type="spellStart"/>
            <w:r w:rsidRPr="00562C5E">
              <w:rPr>
                <w:rFonts w:cstheme="minorHAnsi"/>
                <w:sz w:val="16"/>
                <w:szCs w:val="16"/>
              </w:rPr>
              <w:t>Bijeli</w:t>
            </w:r>
            <w:proofErr w:type="spellEnd"/>
            <w:r w:rsidRPr="00562C5E">
              <w:rPr>
                <w:rFonts w:cstheme="minorHAnsi"/>
                <w:sz w:val="16"/>
                <w:szCs w:val="16"/>
              </w:rPr>
              <w:t xml:space="preserve"> Vir)</w:t>
            </w:r>
          </w:p>
        </w:tc>
        <w:tc>
          <w:tcPr>
            <w:tcW w:w="0" w:type="auto"/>
          </w:tcPr>
          <w:p w14:paraId="3AF1055A" w14:textId="77777777" w:rsidR="00EC5B31" w:rsidRPr="00562C5E" w:rsidRDefault="00EC5B31" w:rsidP="009919F2">
            <w:pPr>
              <w:spacing w:after="120"/>
              <w:jc w:val="both"/>
              <w:rPr>
                <w:rFonts w:cstheme="minorHAnsi"/>
                <w:sz w:val="16"/>
                <w:szCs w:val="16"/>
              </w:rPr>
            </w:pPr>
          </w:p>
          <w:p w14:paraId="4B671028" w14:textId="77777777" w:rsidR="00EC5B31" w:rsidRPr="00562C5E" w:rsidRDefault="00EC5B31" w:rsidP="009919F2">
            <w:pPr>
              <w:spacing w:after="120"/>
              <w:jc w:val="both"/>
              <w:rPr>
                <w:rFonts w:cstheme="minorHAnsi"/>
                <w:sz w:val="16"/>
                <w:szCs w:val="16"/>
              </w:rPr>
            </w:pPr>
          </w:p>
          <w:p w14:paraId="4BE3ACCA" w14:textId="77777777" w:rsidR="00EC5B31" w:rsidRPr="00562C5E" w:rsidRDefault="00EC5B31" w:rsidP="009919F2">
            <w:pPr>
              <w:spacing w:after="120"/>
              <w:jc w:val="both"/>
              <w:rPr>
                <w:rFonts w:cstheme="minorHAnsi"/>
                <w:sz w:val="16"/>
                <w:szCs w:val="16"/>
              </w:rPr>
            </w:pPr>
            <w:r w:rsidRPr="00562C5E">
              <w:rPr>
                <w:rFonts w:cstheme="minorHAnsi"/>
                <w:sz w:val="16"/>
                <w:szCs w:val="16"/>
              </w:rPr>
              <w:t xml:space="preserve">Part HR5000031 Delta </w:t>
            </w:r>
            <w:proofErr w:type="spellStart"/>
            <w:r w:rsidRPr="00562C5E">
              <w:rPr>
                <w:rFonts w:cstheme="minorHAnsi"/>
                <w:sz w:val="16"/>
                <w:szCs w:val="16"/>
              </w:rPr>
              <w:t>Neretve</w:t>
            </w:r>
            <w:proofErr w:type="spellEnd"/>
            <w:r w:rsidRPr="00562C5E">
              <w:rPr>
                <w:rFonts w:cstheme="minorHAnsi"/>
                <w:sz w:val="16"/>
                <w:szCs w:val="16"/>
              </w:rPr>
              <w:t xml:space="preserve"> </w:t>
            </w:r>
          </w:p>
        </w:tc>
      </w:tr>
      <w:tr w:rsidR="00EC5B31" w:rsidRPr="00562C5E" w14:paraId="07AF28AA" w14:textId="77777777" w:rsidTr="00F75A45">
        <w:trPr>
          <w:trHeight w:val="251"/>
        </w:trPr>
        <w:tc>
          <w:tcPr>
            <w:tcW w:w="0" w:type="auto"/>
          </w:tcPr>
          <w:p w14:paraId="62FD4A03" w14:textId="77777777" w:rsidR="00EC5B31" w:rsidRPr="00562C5E" w:rsidRDefault="00EC5B31" w:rsidP="009919F2">
            <w:pPr>
              <w:spacing w:after="120"/>
              <w:jc w:val="both"/>
              <w:rPr>
                <w:rFonts w:cstheme="minorHAnsi"/>
                <w:sz w:val="16"/>
                <w:szCs w:val="16"/>
                <w:highlight w:val="cyan"/>
              </w:rPr>
            </w:pPr>
            <w:r w:rsidRPr="00562C5E">
              <w:rPr>
                <w:rFonts w:cstheme="minorHAnsi"/>
                <w:sz w:val="16"/>
                <w:szCs w:val="16"/>
              </w:rPr>
              <w:lastRenderedPageBreak/>
              <w:t>8310</w:t>
            </w:r>
          </w:p>
        </w:tc>
        <w:tc>
          <w:tcPr>
            <w:tcW w:w="0" w:type="auto"/>
          </w:tcPr>
          <w:p w14:paraId="2A0D396C" w14:textId="77777777" w:rsidR="00EC5B31" w:rsidRPr="00562C5E" w:rsidRDefault="00EC5B31" w:rsidP="009919F2">
            <w:pPr>
              <w:jc w:val="both"/>
              <w:rPr>
                <w:rFonts w:cstheme="minorHAnsi"/>
                <w:sz w:val="16"/>
                <w:szCs w:val="16"/>
                <w:highlight w:val="cyan"/>
              </w:rPr>
            </w:pPr>
            <w:r w:rsidRPr="00562C5E">
              <w:rPr>
                <w:rFonts w:cstheme="minorHAnsi"/>
                <w:spacing w:val="1"/>
                <w:sz w:val="16"/>
                <w:szCs w:val="16"/>
              </w:rPr>
              <w:t>Caves and pits closed to the public</w:t>
            </w:r>
          </w:p>
        </w:tc>
        <w:tc>
          <w:tcPr>
            <w:tcW w:w="0" w:type="auto"/>
            <w:vAlign w:val="center"/>
          </w:tcPr>
          <w:p w14:paraId="5860A007" w14:textId="77777777" w:rsidR="00EC5B31" w:rsidRPr="00562C5E" w:rsidRDefault="00EC5B31" w:rsidP="009919F2">
            <w:pPr>
              <w:spacing w:after="120"/>
              <w:jc w:val="center"/>
              <w:rPr>
                <w:rFonts w:cstheme="minorHAnsi"/>
                <w:sz w:val="16"/>
                <w:szCs w:val="16"/>
              </w:rPr>
            </w:pPr>
            <w:r w:rsidRPr="00562C5E">
              <w:rPr>
                <w:rFonts w:cstheme="minorHAnsi"/>
                <w:sz w:val="16"/>
                <w:szCs w:val="16"/>
              </w:rPr>
              <w:t>H.1.3.2.1.</w:t>
            </w:r>
          </w:p>
        </w:tc>
        <w:tc>
          <w:tcPr>
            <w:tcW w:w="0" w:type="auto"/>
          </w:tcPr>
          <w:p w14:paraId="0DE80470" w14:textId="77777777" w:rsidR="00EC5B31" w:rsidRPr="00562C5E" w:rsidRDefault="00EC5B31" w:rsidP="009919F2">
            <w:pPr>
              <w:jc w:val="both"/>
              <w:rPr>
                <w:rFonts w:cstheme="minorHAnsi"/>
                <w:sz w:val="16"/>
                <w:szCs w:val="16"/>
              </w:rPr>
            </w:pPr>
            <w:r w:rsidRPr="00562C5E">
              <w:rPr>
                <w:rFonts w:cstheme="minorHAnsi"/>
                <w:sz w:val="16"/>
                <w:szCs w:val="16"/>
              </w:rPr>
              <w:t>Underground lakes</w:t>
            </w:r>
          </w:p>
        </w:tc>
        <w:tc>
          <w:tcPr>
            <w:tcW w:w="0" w:type="auto"/>
          </w:tcPr>
          <w:p w14:paraId="18FEF2A3" w14:textId="77777777" w:rsidR="00EC5B31" w:rsidRPr="00562C5E" w:rsidRDefault="00EC5B31" w:rsidP="009919F2">
            <w:pPr>
              <w:spacing w:after="120"/>
              <w:jc w:val="both"/>
              <w:rPr>
                <w:rFonts w:cstheme="minorHAnsi"/>
                <w:sz w:val="16"/>
                <w:szCs w:val="16"/>
              </w:rPr>
            </w:pPr>
            <w:r w:rsidRPr="00562C5E">
              <w:rPr>
                <w:rFonts w:cstheme="minorHAnsi"/>
                <w:sz w:val="16"/>
                <w:szCs w:val="16"/>
              </w:rPr>
              <w:t xml:space="preserve">HR200748 Pit in the </w:t>
            </w:r>
            <w:proofErr w:type="spellStart"/>
            <w:r w:rsidRPr="00562C5E">
              <w:rPr>
                <w:rFonts w:cstheme="minorHAnsi"/>
                <w:sz w:val="16"/>
                <w:szCs w:val="16"/>
              </w:rPr>
              <w:t>Predolcu</w:t>
            </w:r>
            <w:proofErr w:type="spellEnd"/>
          </w:p>
        </w:tc>
      </w:tr>
      <w:tr w:rsidR="00EC5B31" w:rsidRPr="00562C5E" w14:paraId="7BA7C65E" w14:textId="77777777" w:rsidTr="00F75A45">
        <w:tc>
          <w:tcPr>
            <w:tcW w:w="0" w:type="auto"/>
          </w:tcPr>
          <w:p w14:paraId="65B7C63E" w14:textId="77777777" w:rsidR="00EC5B31" w:rsidRPr="00562C5E" w:rsidRDefault="00EC5B31" w:rsidP="009919F2">
            <w:pPr>
              <w:spacing w:after="120"/>
              <w:jc w:val="both"/>
              <w:rPr>
                <w:rFonts w:cstheme="minorHAnsi"/>
                <w:sz w:val="16"/>
                <w:szCs w:val="16"/>
                <w:highlight w:val="cyan"/>
              </w:rPr>
            </w:pPr>
          </w:p>
        </w:tc>
        <w:tc>
          <w:tcPr>
            <w:tcW w:w="0" w:type="auto"/>
          </w:tcPr>
          <w:p w14:paraId="563D131C" w14:textId="77777777" w:rsidR="00EC5B31" w:rsidRPr="00562C5E" w:rsidRDefault="00EC5B31" w:rsidP="009919F2">
            <w:pPr>
              <w:jc w:val="both"/>
              <w:rPr>
                <w:rFonts w:cstheme="minorHAnsi"/>
                <w:sz w:val="16"/>
                <w:szCs w:val="16"/>
                <w:highlight w:val="cyan"/>
              </w:rPr>
            </w:pPr>
          </w:p>
        </w:tc>
        <w:tc>
          <w:tcPr>
            <w:tcW w:w="0" w:type="auto"/>
            <w:vAlign w:val="center"/>
          </w:tcPr>
          <w:p w14:paraId="00130A2B" w14:textId="77777777" w:rsidR="00EC5B31" w:rsidRPr="00562C5E" w:rsidRDefault="00EC5B31" w:rsidP="009919F2">
            <w:pPr>
              <w:spacing w:after="120"/>
              <w:jc w:val="center"/>
              <w:rPr>
                <w:rFonts w:cstheme="minorHAnsi"/>
                <w:sz w:val="16"/>
                <w:szCs w:val="16"/>
              </w:rPr>
            </w:pPr>
            <w:r w:rsidRPr="00562C5E">
              <w:rPr>
                <w:rFonts w:cstheme="minorHAnsi"/>
                <w:sz w:val="16"/>
                <w:szCs w:val="16"/>
              </w:rPr>
              <w:t>A.2.1.1</w:t>
            </w:r>
          </w:p>
        </w:tc>
        <w:tc>
          <w:tcPr>
            <w:tcW w:w="0" w:type="auto"/>
          </w:tcPr>
          <w:p w14:paraId="7579C3CC" w14:textId="77777777" w:rsidR="00EC5B31" w:rsidRPr="00562C5E" w:rsidRDefault="00EC5B31" w:rsidP="009919F2">
            <w:pPr>
              <w:jc w:val="both"/>
              <w:rPr>
                <w:rFonts w:cstheme="minorHAnsi"/>
                <w:sz w:val="16"/>
                <w:szCs w:val="16"/>
              </w:rPr>
            </w:pPr>
            <w:r w:rsidRPr="00562C5E">
              <w:rPr>
                <w:rFonts w:cstheme="minorHAnsi"/>
                <w:sz w:val="16"/>
                <w:szCs w:val="16"/>
              </w:rPr>
              <w:t xml:space="preserve">Springs </w:t>
            </w:r>
          </w:p>
          <w:p w14:paraId="5B596172" w14:textId="77777777" w:rsidR="00EC5B31" w:rsidRPr="00562C5E" w:rsidRDefault="00EC5B31" w:rsidP="009919F2">
            <w:pPr>
              <w:jc w:val="both"/>
              <w:rPr>
                <w:rFonts w:cstheme="minorHAnsi"/>
                <w:sz w:val="16"/>
                <w:szCs w:val="16"/>
              </w:rPr>
            </w:pPr>
            <w:r w:rsidRPr="00562C5E">
              <w:rPr>
                <w:rFonts w:cstheme="minorHAnsi"/>
                <w:sz w:val="16"/>
                <w:szCs w:val="16"/>
              </w:rPr>
              <w:t xml:space="preserve">(Spring </w:t>
            </w:r>
            <w:proofErr w:type="spellStart"/>
            <w:r w:rsidRPr="00562C5E">
              <w:rPr>
                <w:rFonts w:cstheme="minorHAnsi"/>
                <w:sz w:val="16"/>
                <w:szCs w:val="16"/>
              </w:rPr>
              <w:t>Ljuta</w:t>
            </w:r>
            <w:proofErr w:type="spellEnd"/>
            <w:r w:rsidRPr="00562C5E">
              <w:rPr>
                <w:rFonts w:cstheme="minorHAnsi"/>
                <w:sz w:val="16"/>
                <w:szCs w:val="16"/>
              </w:rPr>
              <w:t>)</w:t>
            </w:r>
          </w:p>
        </w:tc>
        <w:tc>
          <w:tcPr>
            <w:tcW w:w="0" w:type="auto"/>
          </w:tcPr>
          <w:p w14:paraId="0EFC2F1B" w14:textId="77777777" w:rsidR="00EC5B31" w:rsidRPr="00562C5E" w:rsidRDefault="00EC5B31" w:rsidP="009919F2">
            <w:pPr>
              <w:spacing w:after="120"/>
              <w:jc w:val="both"/>
              <w:rPr>
                <w:rFonts w:cstheme="minorHAnsi"/>
                <w:sz w:val="16"/>
                <w:szCs w:val="16"/>
              </w:rPr>
            </w:pPr>
          </w:p>
        </w:tc>
      </w:tr>
      <w:tr w:rsidR="00EC5B31" w:rsidRPr="00562C5E" w14:paraId="75F42085" w14:textId="77777777" w:rsidTr="00F75A45">
        <w:tc>
          <w:tcPr>
            <w:tcW w:w="0" w:type="auto"/>
          </w:tcPr>
          <w:p w14:paraId="6E7200C0" w14:textId="77777777" w:rsidR="00EC5B31" w:rsidRPr="00562C5E" w:rsidRDefault="00EC5B31" w:rsidP="009919F2">
            <w:pPr>
              <w:spacing w:after="120"/>
              <w:jc w:val="both"/>
              <w:rPr>
                <w:rFonts w:cstheme="minorHAnsi"/>
                <w:sz w:val="16"/>
                <w:szCs w:val="16"/>
                <w:highlight w:val="cyan"/>
              </w:rPr>
            </w:pPr>
            <w:r w:rsidRPr="00562C5E">
              <w:rPr>
                <w:rFonts w:cstheme="minorHAnsi"/>
                <w:sz w:val="16"/>
                <w:szCs w:val="16"/>
              </w:rPr>
              <w:t>8310</w:t>
            </w:r>
          </w:p>
        </w:tc>
        <w:tc>
          <w:tcPr>
            <w:tcW w:w="0" w:type="auto"/>
          </w:tcPr>
          <w:p w14:paraId="2693C8A7" w14:textId="77777777" w:rsidR="00EC5B31" w:rsidRPr="00562C5E" w:rsidRDefault="00EC5B31" w:rsidP="009919F2">
            <w:pPr>
              <w:jc w:val="both"/>
              <w:rPr>
                <w:rFonts w:cstheme="minorHAnsi"/>
                <w:sz w:val="16"/>
                <w:szCs w:val="16"/>
                <w:highlight w:val="cyan"/>
              </w:rPr>
            </w:pPr>
            <w:r w:rsidRPr="00562C5E">
              <w:rPr>
                <w:rFonts w:cstheme="minorHAnsi"/>
                <w:spacing w:val="1"/>
                <w:sz w:val="16"/>
                <w:szCs w:val="16"/>
              </w:rPr>
              <w:t>Caves and pits closed to the public</w:t>
            </w:r>
          </w:p>
        </w:tc>
        <w:tc>
          <w:tcPr>
            <w:tcW w:w="0" w:type="auto"/>
            <w:vAlign w:val="center"/>
          </w:tcPr>
          <w:p w14:paraId="0E856EBC" w14:textId="77777777" w:rsidR="00EC5B31" w:rsidRPr="00562C5E" w:rsidRDefault="00EC5B31" w:rsidP="009919F2">
            <w:pPr>
              <w:jc w:val="center"/>
              <w:rPr>
                <w:rFonts w:cstheme="minorHAnsi"/>
                <w:sz w:val="16"/>
                <w:szCs w:val="16"/>
              </w:rPr>
            </w:pPr>
            <w:r w:rsidRPr="00562C5E">
              <w:rPr>
                <w:rFonts w:cstheme="minorHAnsi"/>
                <w:sz w:val="16"/>
                <w:szCs w:val="16"/>
              </w:rPr>
              <w:t>H.1.3</w:t>
            </w:r>
          </w:p>
          <w:p w14:paraId="2FF5E163" w14:textId="77777777" w:rsidR="00EC5B31" w:rsidRPr="00562C5E" w:rsidRDefault="00EC5B31" w:rsidP="009919F2">
            <w:pPr>
              <w:jc w:val="center"/>
              <w:rPr>
                <w:rFonts w:cstheme="minorHAnsi"/>
                <w:sz w:val="16"/>
                <w:szCs w:val="16"/>
              </w:rPr>
            </w:pPr>
          </w:p>
          <w:p w14:paraId="06D46A8F" w14:textId="77777777" w:rsidR="00EC5B31" w:rsidRPr="00562C5E" w:rsidRDefault="00EC5B31" w:rsidP="009919F2">
            <w:pPr>
              <w:jc w:val="center"/>
              <w:rPr>
                <w:rFonts w:cstheme="minorHAnsi"/>
                <w:sz w:val="16"/>
                <w:szCs w:val="16"/>
              </w:rPr>
            </w:pPr>
            <w:r w:rsidRPr="00562C5E">
              <w:rPr>
                <w:rFonts w:cstheme="minorHAnsi"/>
                <w:sz w:val="16"/>
                <w:szCs w:val="16"/>
              </w:rPr>
              <w:t>A.2.1.1</w:t>
            </w:r>
          </w:p>
        </w:tc>
        <w:tc>
          <w:tcPr>
            <w:tcW w:w="0" w:type="auto"/>
          </w:tcPr>
          <w:p w14:paraId="1E08B064" w14:textId="77777777" w:rsidR="00EC5B31" w:rsidRPr="00562C5E" w:rsidRDefault="00EC5B31" w:rsidP="009919F2">
            <w:pPr>
              <w:jc w:val="both"/>
              <w:rPr>
                <w:rFonts w:cstheme="minorHAnsi"/>
                <w:sz w:val="16"/>
                <w:szCs w:val="16"/>
              </w:rPr>
            </w:pPr>
            <w:r w:rsidRPr="00562C5E">
              <w:rPr>
                <w:rFonts w:cstheme="minorHAnsi"/>
                <w:sz w:val="16"/>
                <w:szCs w:val="16"/>
              </w:rPr>
              <w:t xml:space="preserve">Aquatic (freshwater) karst cave habitats. </w:t>
            </w:r>
          </w:p>
          <w:p w14:paraId="4E63A7E5" w14:textId="77777777" w:rsidR="00EC5B31" w:rsidRPr="00562C5E" w:rsidRDefault="00EC5B31" w:rsidP="009919F2">
            <w:pPr>
              <w:jc w:val="both"/>
              <w:rPr>
                <w:rFonts w:cstheme="minorHAnsi"/>
                <w:sz w:val="16"/>
                <w:szCs w:val="16"/>
              </w:rPr>
            </w:pPr>
          </w:p>
          <w:p w14:paraId="602CE58A" w14:textId="77777777" w:rsidR="00EC5B31" w:rsidRPr="00562C5E" w:rsidRDefault="00EC5B31" w:rsidP="009919F2">
            <w:pPr>
              <w:jc w:val="both"/>
              <w:rPr>
                <w:rFonts w:cstheme="minorHAnsi"/>
                <w:sz w:val="16"/>
                <w:szCs w:val="16"/>
              </w:rPr>
            </w:pPr>
            <w:r w:rsidRPr="00562C5E">
              <w:rPr>
                <w:rFonts w:cstheme="minorHAnsi"/>
                <w:sz w:val="16"/>
                <w:szCs w:val="16"/>
              </w:rPr>
              <w:t>Springs</w:t>
            </w:r>
          </w:p>
        </w:tc>
        <w:tc>
          <w:tcPr>
            <w:tcW w:w="0" w:type="auto"/>
          </w:tcPr>
          <w:p w14:paraId="356EC7CF" w14:textId="77777777" w:rsidR="00EC5B31" w:rsidRPr="00562C5E" w:rsidRDefault="00EC5B31" w:rsidP="009919F2">
            <w:pPr>
              <w:spacing w:after="120"/>
              <w:jc w:val="both"/>
              <w:rPr>
                <w:rFonts w:cstheme="minorHAnsi"/>
                <w:sz w:val="16"/>
                <w:szCs w:val="16"/>
              </w:rPr>
            </w:pPr>
            <w:r w:rsidRPr="00562C5E">
              <w:rPr>
                <w:rFonts w:cstheme="minorHAnsi"/>
                <w:sz w:val="16"/>
                <w:szCs w:val="16"/>
              </w:rPr>
              <w:t xml:space="preserve">HR2001248 (Springs near mill in </w:t>
            </w:r>
            <w:proofErr w:type="spellStart"/>
            <w:r w:rsidRPr="00562C5E">
              <w:rPr>
                <w:rFonts w:cstheme="minorHAnsi"/>
                <w:sz w:val="16"/>
                <w:szCs w:val="16"/>
              </w:rPr>
              <w:t>Zaton</w:t>
            </w:r>
            <w:proofErr w:type="spellEnd"/>
            <w:r w:rsidRPr="00562C5E">
              <w:rPr>
                <w:rFonts w:cstheme="minorHAnsi"/>
                <w:sz w:val="16"/>
                <w:szCs w:val="16"/>
              </w:rPr>
              <w:t xml:space="preserve"> </w:t>
            </w:r>
            <w:proofErr w:type="spellStart"/>
            <w:r w:rsidRPr="00562C5E">
              <w:rPr>
                <w:rFonts w:cstheme="minorHAnsi"/>
                <w:sz w:val="16"/>
                <w:szCs w:val="16"/>
              </w:rPr>
              <w:t>mali</w:t>
            </w:r>
            <w:proofErr w:type="spellEnd"/>
            <w:r w:rsidRPr="00562C5E">
              <w:rPr>
                <w:rFonts w:cstheme="minorHAnsi"/>
                <w:sz w:val="16"/>
                <w:szCs w:val="16"/>
              </w:rPr>
              <w:t>)</w:t>
            </w:r>
          </w:p>
        </w:tc>
      </w:tr>
      <w:tr w:rsidR="00EC5B31" w:rsidRPr="00562C5E" w14:paraId="4383C4F5" w14:textId="77777777" w:rsidTr="00F75A45">
        <w:tc>
          <w:tcPr>
            <w:tcW w:w="0" w:type="auto"/>
          </w:tcPr>
          <w:p w14:paraId="319083BB" w14:textId="77777777" w:rsidR="00EC5B31" w:rsidRPr="00562C5E" w:rsidRDefault="00EC5B31" w:rsidP="009919F2">
            <w:pPr>
              <w:spacing w:after="120"/>
              <w:jc w:val="both"/>
              <w:rPr>
                <w:rFonts w:cstheme="minorHAnsi"/>
                <w:sz w:val="16"/>
                <w:szCs w:val="16"/>
              </w:rPr>
            </w:pPr>
            <w:r w:rsidRPr="00562C5E">
              <w:rPr>
                <w:rFonts w:cstheme="minorHAnsi"/>
                <w:sz w:val="16"/>
                <w:szCs w:val="16"/>
              </w:rPr>
              <w:t>8310</w:t>
            </w:r>
          </w:p>
        </w:tc>
        <w:tc>
          <w:tcPr>
            <w:tcW w:w="0" w:type="auto"/>
          </w:tcPr>
          <w:p w14:paraId="101A68B0" w14:textId="77777777" w:rsidR="00EC5B31" w:rsidRPr="00562C5E" w:rsidRDefault="00EC5B31" w:rsidP="009919F2">
            <w:pPr>
              <w:jc w:val="both"/>
              <w:rPr>
                <w:rFonts w:cstheme="minorHAnsi"/>
                <w:spacing w:val="1"/>
                <w:sz w:val="16"/>
                <w:szCs w:val="16"/>
              </w:rPr>
            </w:pPr>
            <w:r w:rsidRPr="00562C5E">
              <w:rPr>
                <w:rFonts w:cstheme="minorHAnsi"/>
                <w:spacing w:val="1"/>
                <w:sz w:val="16"/>
                <w:szCs w:val="16"/>
              </w:rPr>
              <w:t>Caves and pits closed to the public</w:t>
            </w:r>
          </w:p>
        </w:tc>
        <w:tc>
          <w:tcPr>
            <w:tcW w:w="0" w:type="auto"/>
            <w:vAlign w:val="center"/>
          </w:tcPr>
          <w:p w14:paraId="602EF3EA" w14:textId="77777777" w:rsidR="00EC5B31" w:rsidRPr="00562C5E" w:rsidRDefault="00EC5B31" w:rsidP="009919F2">
            <w:pPr>
              <w:jc w:val="center"/>
              <w:rPr>
                <w:rFonts w:cstheme="minorHAnsi"/>
                <w:sz w:val="16"/>
                <w:szCs w:val="16"/>
              </w:rPr>
            </w:pPr>
            <w:r w:rsidRPr="00562C5E">
              <w:rPr>
                <w:rFonts w:cstheme="minorHAnsi"/>
                <w:sz w:val="16"/>
                <w:szCs w:val="16"/>
              </w:rPr>
              <w:t>H.1.3</w:t>
            </w:r>
          </w:p>
          <w:p w14:paraId="045038E5" w14:textId="77777777" w:rsidR="00EC5B31" w:rsidRPr="00562C5E" w:rsidRDefault="00EC5B31" w:rsidP="009919F2">
            <w:pPr>
              <w:jc w:val="center"/>
              <w:rPr>
                <w:rFonts w:cstheme="minorHAnsi"/>
                <w:sz w:val="16"/>
                <w:szCs w:val="16"/>
              </w:rPr>
            </w:pPr>
          </w:p>
          <w:p w14:paraId="14A3575A" w14:textId="77777777" w:rsidR="00EC5B31" w:rsidRPr="00562C5E" w:rsidRDefault="00EC5B31" w:rsidP="009919F2">
            <w:pPr>
              <w:jc w:val="center"/>
              <w:rPr>
                <w:rFonts w:cstheme="minorHAnsi"/>
                <w:sz w:val="16"/>
                <w:szCs w:val="16"/>
              </w:rPr>
            </w:pPr>
            <w:r w:rsidRPr="00562C5E">
              <w:rPr>
                <w:rFonts w:cstheme="minorHAnsi"/>
                <w:sz w:val="16"/>
                <w:szCs w:val="16"/>
              </w:rPr>
              <w:t>A.2.1.1</w:t>
            </w:r>
          </w:p>
        </w:tc>
        <w:tc>
          <w:tcPr>
            <w:tcW w:w="0" w:type="auto"/>
          </w:tcPr>
          <w:p w14:paraId="595AC6F9" w14:textId="77777777" w:rsidR="00EC5B31" w:rsidRPr="00562C5E" w:rsidRDefault="00EC5B31" w:rsidP="009919F2">
            <w:pPr>
              <w:jc w:val="both"/>
              <w:rPr>
                <w:rFonts w:cstheme="minorHAnsi"/>
                <w:sz w:val="16"/>
                <w:szCs w:val="16"/>
              </w:rPr>
            </w:pPr>
            <w:r w:rsidRPr="00562C5E">
              <w:rPr>
                <w:rFonts w:cstheme="minorHAnsi"/>
                <w:sz w:val="16"/>
                <w:szCs w:val="16"/>
              </w:rPr>
              <w:t xml:space="preserve">Aquatic (freshwater) karst cave habitats. </w:t>
            </w:r>
          </w:p>
          <w:p w14:paraId="0A902FE7" w14:textId="77777777" w:rsidR="00EC5B31" w:rsidRPr="00562C5E" w:rsidRDefault="00EC5B31" w:rsidP="009919F2">
            <w:pPr>
              <w:jc w:val="both"/>
              <w:rPr>
                <w:rFonts w:cstheme="minorHAnsi"/>
                <w:sz w:val="16"/>
                <w:szCs w:val="16"/>
              </w:rPr>
            </w:pPr>
          </w:p>
          <w:p w14:paraId="588A648B" w14:textId="77777777" w:rsidR="00EC5B31" w:rsidRPr="00562C5E" w:rsidRDefault="00EC5B31" w:rsidP="009919F2">
            <w:pPr>
              <w:jc w:val="both"/>
              <w:rPr>
                <w:rFonts w:cstheme="minorHAnsi"/>
                <w:sz w:val="16"/>
                <w:szCs w:val="16"/>
              </w:rPr>
            </w:pPr>
            <w:r w:rsidRPr="00562C5E">
              <w:rPr>
                <w:rFonts w:cstheme="minorHAnsi"/>
                <w:sz w:val="16"/>
                <w:szCs w:val="16"/>
              </w:rPr>
              <w:t>Springs</w:t>
            </w:r>
          </w:p>
        </w:tc>
        <w:tc>
          <w:tcPr>
            <w:tcW w:w="0" w:type="auto"/>
          </w:tcPr>
          <w:p w14:paraId="5040081B" w14:textId="77777777" w:rsidR="00EC5B31" w:rsidRPr="00562C5E" w:rsidRDefault="00EC5B31" w:rsidP="009919F2">
            <w:pPr>
              <w:spacing w:after="120"/>
              <w:jc w:val="both"/>
              <w:rPr>
                <w:rFonts w:cstheme="minorHAnsi"/>
                <w:sz w:val="16"/>
                <w:szCs w:val="16"/>
              </w:rPr>
            </w:pPr>
            <w:r w:rsidRPr="00562C5E">
              <w:rPr>
                <w:rFonts w:cstheme="minorHAnsi"/>
                <w:sz w:val="16"/>
                <w:szCs w:val="16"/>
              </w:rPr>
              <w:t xml:space="preserve">HR2001249 (Spring Duboka </w:t>
            </w:r>
            <w:proofErr w:type="spellStart"/>
            <w:r w:rsidRPr="00562C5E">
              <w:rPr>
                <w:rFonts w:cstheme="minorHAnsi"/>
                <w:sz w:val="16"/>
                <w:szCs w:val="16"/>
              </w:rPr>
              <w:t>Ljuta</w:t>
            </w:r>
            <w:proofErr w:type="spellEnd"/>
            <w:r w:rsidRPr="00562C5E">
              <w:rPr>
                <w:rFonts w:cstheme="minorHAnsi"/>
                <w:sz w:val="16"/>
                <w:szCs w:val="16"/>
              </w:rPr>
              <w:t>)</w:t>
            </w:r>
          </w:p>
        </w:tc>
      </w:tr>
      <w:tr w:rsidR="00EC5B31" w:rsidRPr="00562C5E" w14:paraId="2B35C115" w14:textId="77777777" w:rsidTr="00F75A45">
        <w:tc>
          <w:tcPr>
            <w:tcW w:w="0" w:type="auto"/>
          </w:tcPr>
          <w:p w14:paraId="3127B9FB" w14:textId="77777777" w:rsidR="00EC5B31" w:rsidRPr="00562C5E" w:rsidRDefault="00EC5B31" w:rsidP="009919F2">
            <w:pPr>
              <w:spacing w:after="120"/>
              <w:jc w:val="both"/>
              <w:rPr>
                <w:rFonts w:cstheme="minorHAnsi"/>
                <w:sz w:val="16"/>
                <w:szCs w:val="16"/>
                <w:highlight w:val="cyan"/>
              </w:rPr>
            </w:pPr>
            <w:r w:rsidRPr="00562C5E">
              <w:rPr>
                <w:rFonts w:cstheme="minorHAnsi"/>
                <w:sz w:val="16"/>
                <w:szCs w:val="16"/>
              </w:rPr>
              <w:t>8310</w:t>
            </w:r>
          </w:p>
        </w:tc>
        <w:tc>
          <w:tcPr>
            <w:tcW w:w="0" w:type="auto"/>
          </w:tcPr>
          <w:p w14:paraId="5C1696E4" w14:textId="77777777" w:rsidR="00EC5B31" w:rsidRPr="00562C5E" w:rsidRDefault="00EC5B31" w:rsidP="009919F2">
            <w:pPr>
              <w:jc w:val="both"/>
              <w:rPr>
                <w:rFonts w:cstheme="minorHAnsi"/>
                <w:sz w:val="16"/>
                <w:szCs w:val="16"/>
                <w:highlight w:val="cyan"/>
              </w:rPr>
            </w:pPr>
            <w:r w:rsidRPr="00562C5E">
              <w:rPr>
                <w:rFonts w:cstheme="minorHAnsi"/>
                <w:spacing w:val="1"/>
                <w:sz w:val="16"/>
                <w:szCs w:val="16"/>
              </w:rPr>
              <w:t>Caves and pits closed to the public</w:t>
            </w:r>
          </w:p>
        </w:tc>
        <w:tc>
          <w:tcPr>
            <w:tcW w:w="0" w:type="auto"/>
            <w:vAlign w:val="center"/>
          </w:tcPr>
          <w:p w14:paraId="69A79852" w14:textId="77777777" w:rsidR="00EC5B31" w:rsidRPr="00562C5E" w:rsidRDefault="00EC5B31" w:rsidP="009919F2">
            <w:pPr>
              <w:jc w:val="center"/>
              <w:rPr>
                <w:rFonts w:cstheme="minorHAnsi"/>
                <w:sz w:val="16"/>
                <w:szCs w:val="16"/>
              </w:rPr>
            </w:pPr>
            <w:r w:rsidRPr="00562C5E">
              <w:rPr>
                <w:rFonts w:cstheme="minorHAnsi"/>
                <w:sz w:val="16"/>
                <w:szCs w:val="16"/>
              </w:rPr>
              <w:t>H.1.3</w:t>
            </w:r>
          </w:p>
          <w:p w14:paraId="5D8B666B" w14:textId="77777777" w:rsidR="00EC5B31" w:rsidRPr="00562C5E" w:rsidRDefault="00EC5B31" w:rsidP="009919F2">
            <w:pPr>
              <w:jc w:val="center"/>
              <w:rPr>
                <w:rFonts w:cstheme="minorHAnsi"/>
                <w:sz w:val="16"/>
                <w:szCs w:val="16"/>
              </w:rPr>
            </w:pPr>
          </w:p>
          <w:p w14:paraId="47E4EE89" w14:textId="77777777" w:rsidR="00EC5B31" w:rsidRPr="00562C5E" w:rsidRDefault="00EC5B31" w:rsidP="009919F2">
            <w:pPr>
              <w:spacing w:after="120"/>
              <w:jc w:val="center"/>
              <w:rPr>
                <w:rFonts w:cstheme="minorHAnsi"/>
                <w:sz w:val="16"/>
                <w:szCs w:val="16"/>
              </w:rPr>
            </w:pPr>
            <w:r w:rsidRPr="00562C5E">
              <w:rPr>
                <w:rFonts w:cstheme="minorHAnsi"/>
                <w:sz w:val="16"/>
                <w:szCs w:val="16"/>
              </w:rPr>
              <w:t>A.2.1.1</w:t>
            </w:r>
          </w:p>
        </w:tc>
        <w:tc>
          <w:tcPr>
            <w:tcW w:w="0" w:type="auto"/>
          </w:tcPr>
          <w:p w14:paraId="349FEB8A" w14:textId="77777777" w:rsidR="00EC5B31" w:rsidRPr="00562C5E" w:rsidRDefault="00EC5B31" w:rsidP="009919F2">
            <w:pPr>
              <w:jc w:val="both"/>
              <w:rPr>
                <w:rFonts w:cstheme="minorHAnsi"/>
                <w:sz w:val="16"/>
                <w:szCs w:val="16"/>
              </w:rPr>
            </w:pPr>
            <w:r w:rsidRPr="00562C5E">
              <w:rPr>
                <w:rFonts w:cstheme="minorHAnsi"/>
                <w:sz w:val="16"/>
                <w:szCs w:val="16"/>
              </w:rPr>
              <w:t xml:space="preserve">Aquatic (freshwater) karst cave habitats. </w:t>
            </w:r>
          </w:p>
          <w:p w14:paraId="761BEAF1" w14:textId="77777777" w:rsidR="00EC5B31" w:rsidRPr="00562C5E" w:rsidRDefault="00EC5B31" w:rsidP="009919F2">
            <w:pPr>
              <w:jc w:val="both"/>
              <w:rPr>
                <w:rFonts w:cstheme="minorHAnsi"/>
                <w:sz w:val="16"/>
                <w:szCs w:val="16"/>
              </w:rPr>
            </w:pPr>
          </w:p>
          <w:p w14:paraId="28110947" w14:textId="77777777" w:rsidR="00EC5B31" w:rsidRPr="00562C5E" w:rsidRDefault="00EC5B31" w:rsidP="009919F2">
            <w:pPr>
              <w:jc w:val="both"/>
              <w:rPr>
                <w:rFonts w:cstheme="minorHAnsi"/>
                <w:sz w:val="16"/>
                <w:szCs w:val="16"/>
              </w:rPr>
            </w:pPr>
            <w:r w:rsidRPr="00562C5E">
              <w:rPr>
                <w:rFonts w:cstheme="minorHAnsi"/>
                <w:sz w:val="16"/>
                <w:szCs w:val="16"/>
              </w:rPr>
              <w:t>Springs</w:t>
            </w:r>
          </w:p>
        </w:tc>
        <w:tc>
          <w:tcPr>
            <w:tcW w:w="0" w:type="auto"/>
          </w:tcPr>
          <w:p w14:paraId="309DA7A9" w14:textId="77777777" w:rsidR="00EC5B31" w:rsidRPr="00562C5E" w:rsidRDefault="00EC5B31" w:rsidP="009919F2">
            <w:pPr>
              <w:spacing w:after="120"/>
              <w:jc w:val="both"/>
              <w:rPr>
                <w:rFonts w:cstheme="minorHAnsi"/>
                <w:sz w:val="16"/>
                <w:szCs w:val="16"/>
              </w:rPr>
            </w:pPr>
            <w:r w:rsidRPr="00562C5E">
              <w:rPr>
                <w:rFonts w:cstheme="minorHAnsi"/>
                <w:sz w:val="16"/>
                <w:szCs w:val="16"/>
              </w:rPr>
              <w:t xml:space="preserve">HR2000187 (inside HR2001010) Vilina cave – Spring </w:t>
            </w:r>
            <w:proofErr w:type="spellStart"/>
            <w:r w:rsidRPr="00562C5E">
              <w:rPr>
                <w:rFonts w:cstheme="minorHAnsi"/>
                <w:sz w:val="16"/>
                <w:szCs w:val="16"/>
              </w:rPr>
              <w:t>Ombla</w:t>
            </w:r>
            <w:proofErr w:type="spellEnd"/>
            <w:r w:rsidRPr="00562C5E">
              <w:rPr>
                <w:rFonts w:cstheme="minorHAnsi"/>
                <w:sz w:val="16"/>
                <w:szCs w:val="16"/>
              </w:rPr>
              <w:t xml:space="preserve"> (part </w:t>
            </w:r>
            <w:proofErr w:type="spellStart"/>
            <w:r w:rsidRPr="00562C5E">
              <w:rPr>
                <w:rFonts w:cstheme="minorHAnsi"/>
                <w:sz w:val="16"/>
                <w:szCs w:val="16"/>
              </w:rPr>
              <w:t>od</w:t>
            </w:r>
            <w:proofErr w:type="spellEnd"/>
            <w:r w:rsidRPr="00562C5E">
              <w:rPr>
                <w:rFonts w:cstheme="minorHAnsi"/>
                <w:sz w:val="16"/>
                <w:szCs w:val="16"/>
              </w:rPr>
              <w:t xml:space="preserve"> </w:t>
            </w:r>
            <w:proofErr w:type="spellStart"/>
            <w:r w:rsidRPr="00562C5E">
              <w:rPr>
                <w:rFonts w:cstheme="minorHAnsi"/>
                <w:sz w:val="16"/>
                <w:szCs w:val="16"/>
              </w:rPr>
              <w:t>Paleoommbla</w:t>
            </w:r>
            <w:proofErr w:type="spellEnd"/>
            <w:r w:rsidRPr="00562C5E">
              <w:rPr>
                <w:rFonts w:cstheme="minorHAnsi"/>
                <w:sz w:val="16"/>
                <w:szCs w:val="16"/>
              </w:rPr>
              <w:t xml:space="preserve"> – </w:t>
            </w:r>
            <w:proofErr w:type="spellStart"/>
            <w:r w:rsidRPr="00562C5E">
              <w:rPr>
                <w:rFonts w:cstheme="minorHAnsi"/>
                <w:sz w:val="16"/>
                <w:szCs w:val="16"/>
              </w:rPr>
              <w:t>Ombla</w:t>
            </w:r>
            <w:proofErr w:type="spellEnd"/>
            <w:r w:rsidRPr="00562C5E">
              <w:rPr>
                <w:rFonts w:cstheme="minorHAnsi"/>
                <w:sz w:val="16"/>
                <w:szCs w:val="16"/>
              </w:rPr>
              <w:t>)</w:t>
            </w:r>
          </w:p>
        </w:tc>
      </w:tr>
      <w:tr w:rsidR="00EC5B31" w:rsidRPr="00562C5E" w14:paraId="2329B517" w14:textId="77777777" w:rsidTr="00F75A45">
        <w:tc>
          <w:tcPr>
            <w:tcW w:w="0" w:type="auto"/>
          </w:tcPr>
          <w:p w14:paraId="483D0F6E" w14:textId="77777777" w:rsidR="00EC5B31" w:rsidRPr="00562C5E" w:rsidRDefault="00EC5B31" w:rsidP="009919F2">
            <w:pPr>
              <w:spacing w:after="120"/>
              <w:jc w:val="both"/>
              <w:rPr>
                <w:rFonts w:cstheme="minorHAnsi"/>
                <w:sz w:val="16"/>
                <w:szCs w:val="16"/>
              </w:rPr>
            </w:pPr>
            <w:r w:rsidRPr="00562C5E">
              <w:rPr>
                <w:rFonts w:cstheme="minorHAnsi"/>
                <w:sz w:val="16"/>
                <w:szCs w:val="16"/>
              </w:rPr>
              <w:t>8310</w:t>
            </w:r>
          </w:p>
        </w:tc>
        <w:tc>
          <w:tcPr>
            <w:tcW w:w="0" w:type="auto"/>
          </w:tcPr>
          <w:p w14:paraId="6985CFC4" w14:textId="77777777" w:rsidR="00EC5B31" w:rsidRPr="00562C5E" w:rsidRDefault="00EC5B31" w:rsidP="009919F2">
            <w:pPr>
              <w:jc w:val="both"/>
              <w:rPr>
                <w:rFonts w:cstheme="minorHAnsi"/>
                <w:sz w:val="16"/>
                <w:szCs w:val="16"/>
              </w:rPr>
            </w:pPr>
            <w:r w:rsidRPr="00562C5E">
              <w:rPr>
                <w:rFonts w:cstheme="minorHAnsi"/>
                <w:spacing w:val="1"/>
                <w:sz w:val="16"/>
                <w:szCs w:val="16"/>
              </w:rPr>
              <w:t>Caves and pits closed to the public</w:t>
            </w:r>
          </w:p>
        </w:tc>
        <w:tc>
          <w:tcPr>
            <w:tcW w:w="0" w:type="auto"/>
            <w:vAlign w:val="center"/>
          </w:tcPr>
          <w:p w14:paraId="4D80861E" w14:textId="77777777" w:rsidR="00EC5B31" w:rsidRPr="00562C5E" w:rsidRDefault="00EC5B31" w:rsidP="009919F2">
            <w:pPr>
              <w:spacing w:after="120"/>
              <w:jc w:val="center"/>
              <w:rPr>
                <w:rFonts w:cstheme="minorHAnsi"/>
                <w:sz w:val="16"/>
                <w:szCs w:val="16"/>
              </w:rPr>
            </w:pPr>
            <w:r w:rsidRPr="00562C5E">
              <w:rPr>
                <w:rFonts w:cstheme="minorHAnsi"/>
                <w:sz w:val="16"/>
                <w:szCs w:val="16"/>
              </w:rPr>
              <w:t>H.1.4.1.</w:t>
            </w:r>
          </w:p>
        </w:tc>
        <w:tc>
          <w:tcPr>
            <w:tcW w:w="0" w:type="auto"/>
          </w:tcPr>
          <w:p w14:paraId="56A606A9" w14:textId="77777777" w:rsidR="00EC5B31" w:rsidRPr="00562C5E" w:rsidRDefault="00EC5B31" w:rsidP="009919F2">
            <w:pPr>
              <w:jc w:val="both"/>
              <w:rPr>
                <w:rFonts w:cstheme="minorHAnsi"/>
                <w:sz w:val="16"/>
                <w:szCs w:val="16"/>
              </w:rPr>
            </w:pPr>
            <w:proofErr w:type="spellStart"/>
            <w:r w:rsidRPr="00562C5E">
              <w:rPr>
                <w:rFonts w:cstheme="minorHAnsi"/>
                <w:sz w:val="16"/>
                <w:szCs w:val="16"/>
              </w:rPr>
              <w:t>Anhydrohaline</w:t>
            </w:r>
            <w:proofErr w:type="spellEnd"/>
            <w:r w:rsidRPr="00562C5E">
              <w:rPr>
                <w:rFonts w:cstheme="minorHAnsi"/>
                <w:sz w:val="16"/>
                <w:szCs w:val="16"/>
              </w:rPr>
              <w:t xml:space="preserve"> karst caves </w:t>
            </w:r>
          </w:p>
          <w:p w14:paraId="3A5A7276" w14:textId="77777777" w:rsidR="00EC5B31" w:rsidRPr="00562C5E" w:rsidRDefault="00EC5B31" w:rsidP="009919F2">
            <w:pPr>
              <w:jc w:val="both"/>
              <w:rPr>
                <w:rFonts w:cstheme="minorHAnsi"/>
                <w:sz w:val="16"/>
                <w:szCs w:val="16"/>
              </w:rPr>
            </w:pPr>
            <w:r w:rsidRPr="00562C5E">
              <w:rPr>
                <w:rFonts w:cstheme="minorHAnsi"/>
                <w:sz w:val="16"/>
                <w:szCs w:val="16"/>
              </w:rPr>
              <w:t xml:space="preserve">(Peninsula </w:t>
            </w:r>
            <w:proofErr w:type="spellStart"/>
            <w:r w:rsidRPr="00562C5E">
              <w:rPr>
                <w:rFonts w:cstheme="minorHAnsi"/>
                <w:sz w:val="16"/>
                <w:szCs w:val="16"/>
              </w:rPr>
              <w:t>Pelješac</w:t>
            </w:r>
            <w:proofErr w:type="spellEnd"/>
            <w:r w:rsidRPr="00562C5E">
              <w:rPr>
                <w:rFonts w:cstheme="minorHAnsi"/>
                <w:sz w:val="16"/>
                <w:szCs w:val="16"/>
              </w:rPr>
              <w:t>)</w:t>
            </w:r>
          </w:p>
        </w:tc>
        <w:tc>
          <w:tcPr>
            <w:tcW w:w="0" w:type="auto"/>
          </w:tcPr>
          <w:p w14:paraId="3AE5F661" w14:textId="77777777" w:rsidR="00EC5B31" w:rsidRPr="00562C5E" w:rsidRDefault="00EC5B31" w:rsidP="009919F2">
            <w:pPr>
              <w:spacing w:after="120"/>
              <w:jc w:val="both"/>
              <w:rPr>
                <w:rFonts w:cstheme="minorHAnsi"/>
                <w:sz w:val="16"/>
                <w:szCs w:val="16"/>
              </w:rPr>
            </w:pPr>
            <w:r w:rsidRPr="00562C5E">
              <w:rPr>
                <w:rFonts w:cstheme="minorHAnsi"/>
                <w:sz w:val="16"/>
                <w:szCs w:val="16"/>
              </w:rPr>
              <w:t xml:space="preserve">HR2001203 Spring cave by </w:t>
            </w:r>
            <w:proofErr w:type="spellStart"/>
            <w:r w:rsidRPr="00562C5E">
              <w:rPr>
                <w:rFonts w:cstheme="minorHAnsi"/>
                <w:sz w:val="16"/>
                <w:szCs w:val="16"/>
              </w:rPr>
              <w:t>Jurjevića</w:t>
            </w:r>
            <w:proofErr w:type="spellEnd"/>
          </w:p>
        </w:tc>
      </w:tr>
    </w:tbl>
    <w:p w14:paraId="121502A2" w14:textId="77777777" w:rsidR="00EC5B31" w:rsidRDefault="00EC5B31" w:rsidP="00EC5B31">
      <w:pPr>
        <w:spacing w:after="0"/>
        <w:jc w:val="both"/>
        <w:rPr>
          <w:rFonts w:asciiTheme="majorHAnsi" w:hAnsiTheme="majorHAnsi" w:cstheme="majorHAnsi"/>
        </w:rPr>
      </w:pPr>
    </w:p>
    <w:p w14:paraId="4B12BB12" w14:textId="77777777" w:rsidR="00EC5B31" w:rsidRDefault="00EC5B31" w:rsidP="00EC5B31">
      <w:pPr>
        <w:spacing w:after="0"/>
        <w:jc w:val="both"/>
        <w:rPr>
          <w:rFonts w:asciiTheme="majorHAnsi" w:hAnsiTheme="majorHAnsi" w:cstheme="majorHAnsi"/>
        </w:rPr>
        <w:sectPr w:rsidR="00EC5B31" w:rsidSect="00EC5B31">
          <w:pgSz w:w="15840" w:h="12240" w:orient="landscape"/>
          <w:pgMar w:top="1800" w:right="1440" w:bottom="1800" w:left="1440" w:header="720" w:footer="720" w:gutter="0"/>
          <w:cols w:space="720"/>
          <w:docGrid w:linePitch="360"/>
        </w:sectPr>
      </w:pPr>
    </w:p>
    <w:p w14:paraId="289F808D" w14:textId="77777777" w:rsidR="00EC5B31" w:rsidRDefault="00EC5B31" w:rsidP="00EC5B31">
      <w:pPr>
        <w:spacing w:after="0"/>
        <w:jc w:val="center"/>
        <w:rPr>
          <w:rFonts w:asciiTheme="majorHAnsi" w:hAnsiTheme="majorHAnsi" w:cstheme="majorHAnsi"/>
        </w:rPr>
      </w:pPr>
      <w:r w:rsidRPr="0070741C">
        <w:rPr>
          <w:noProof/>
        </w:rPr>
        <w:lastRenderedPageBreak/>
        <w:drawing>
          <wp:inline distT="0" distB="0" distL="0" distR="0" wp14:anchorId="4EA04244" wp14:editId="7EEF5379">
            <wp:extent cx="5225481" cy="7186246"/>
            <wp:effectExtent l="0" t="0" r="0" b="0"/>
            <wp:docPr id="978330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53111" cy="7224244"/>
                    </a:xfrm>
                    <a:prstGeom prst="rect">
                      <a:avLst/>
                    </a:prstGeom>
                    <a:noFill/>
                    <a:ln>
                      <a:noFill/>
                    </a:ln>
                  </pic:spPr>
                </pic:pic>
              </a:graphicData>
            </a:graphic>
          </wp:inline>
        </w:drawing>
      </w:r>
    </w:p>
    <w:p w14:paraId="0A1360FE" w14:textId="77777777" w:rsidR="00EC5B31" w:rsidRDefault="00EC5B31" w:rsidP="00EC5B31">
      <w:pPr>
        <w:spacing w:after="0"/>
        <w:jc w:val="both"/>
        <w:rPr>
          <w:rFonts w:asciiTheme="majorHAnsi" w:hAnsiTheme="majorHAnsi" w:cstheme="majorHAnsi"/>
        </w:rPr>
      </w:pPr>
    </w:p>
    <w:p w14:paraId="5A330A7C" w14:textId="711CB620" w:rsidR="00EC5B31" w:rsidRDefault="002F4776" w:rsidP="002F4776">
      <w:pPr>
        <w:pStyle w:val="Caption"/>
        <w:jc w:val="center"/>
        <w:rPr>
          <w:rFonts w:asciiTheme="majorHAnsi" w:hAnsiTheme="majorHAnsi" w:cstheme="majorHAnsi"/>
        </w:rPr>
      </w:pPr>
      <w:bookmarkStart w:id="89" w:name="_Toc229037708"/>
      <w:r>
        <w:t xml:space="preserve">Figure </w:t>
      </w:r>
      <w:r>
        <w:fldChar w:fldCharType="begin"/>
      </w:r>
      <w:r>
        <w:instrText xml:space="preserve"> SEQ Figure \* ARABIC </w:instrText>
      </w:r>
      <w:r>
        <w:fldChar w:fldCharType="separate"/>
      </w:r>
      <w:r>
        <w:rPr>
          <w:noProof/>
        </w:rPr>
        <w:t>3</w:t>
      </w:r>
      <w:r>
        <w:fldChar w:fldCharType="end"/>
      </w:r>
      <w:r>
        <w:t xml:space="preserve"> </w:t>
      </w:r>
      <w:r w:rsidRPr="00C266BC">
        <w:t>Aquatic ecosystems dependent on groundwater in the Neretva groundwater body in Croatia</w:t>
      </w:r>
      <w:bookmarkEnd w:id="89"/>
    </w:p>
    <w:p w14:paraId="181A725A" w14:textId="77777777" w:rsidR="00EC5B31" w:rsidRDefault="00EC5B31" w:rsidP="00EC5B31">
      <w:pPr>
        <w:spacing w:after="0"/>
        <w:jc w:val="both"/>
        <w:rPr>
          <w:rFonts w:asciiTheme="majorHAnsi" w:hAnsiTheme="majorHAnsi" w:cstheme="majorHAnsi"/>
        </w:rPr>
      </w:pPr>
    </w:p>
    <w:p w14:paraId="7C8A392A" w14:textId="77777777" w:rsidR="00EC5B31" w:rsidRPr="00562C5E" w:rsidRDefault="00EC5B31" w:rsidP="00562C5E">
      <w:pPr>
        <w:jc w:val="both"/>
        <w:rPr>
          <w:rFonts w:cstheme="minorHAnsi"/>
        </w:rPr>
      </w:pPr>
      <w:r w:rsidRPr="00562C5E">
        <w:rPr>
          <w:rFonts w:cstheme="minorHAnsi"/>
        </w:rPr>
        <w:lastRenderedPageBreak/>
        <w:t>Habitat types for groundwater-dependent systems are often considered indicators or target elements for groundwater-dependent ecosystems (GDEs) in Croatia, according to the 2nd River Basin Management Plan (RBMP) and monitoring efforts.</w:t>
      </w:r>
    </w:p>
    <w:p w14:paraId="5DC00268" w14:textId="0FED3F0D" w:rsidR="00EC5B31" w:rsidRPr="00562C5E" w:rsidRDefault="00EC5B31" w:rsidP="00562C5E">
      <w:pPr>
        <w:jc w:val="both"/>
        <w:rPr>
          <w:rFonts w:cstheme="minorHAnsi"/>
        </w:rPr>
      </w:pPr>
      <w:r w:rsidRPr="00562C5E">
        <w:rPr>
          <w:rFonts w:cstheme="minorHAnsi"/>
        </w:rPr>
        <w:t xml:space="preserve">It is important to emphasize that systematic and regular monitoring of habitats dependent on groundwater is not conducted in Croatia; only individual and occasional monitoring is carried out by </w:t>
      </w:r>
      <w:r w:rsidR="00562C5E">
        <w:rPr>
          <w:rFonts w:cstheme="minorHAnsi"/>
        </w:rPr>
        <w:t>Croatian Waters</w:t>
      </w:r>
      <w:r w:rsidRPr="00562C5E">
        <w:rPr>
          <w:rFonts w:cstheme="minorHAnsi"/>
        </w:rPr>
        <w:t xml:space="preserve"> and the Agency for the Protection of Nature and Environmen</w:t>
      </w:r>
      <w:r w:rsidR="00562C5E">
        <w:rPr>
          <w:rFonts w:cstheme="minorHAnsi"/>
        </w:rPr>
        <w:t>t</w:t>
      </w:r>
      <w:r w:rsidRPr="00562C5E">
        <w:rPr>
          <w:rFonts w:cstheme="minorHAnsi"/>
        </w:rPr>
        <w:t>, which operates under the Ministry of Environmental Protection and Green Transition.</w:t>
      </w:r>
    </w:p>
    <w:p w14:paraId="2A293D41" w14:textId="77777777" w:rsidR="00EC5B31" w:rsidRPr="00562C5E" w:rsidRDefault="00EC5B31" w:rsidP="00562C5E">
      <w:pPr>
        <w:jc w:val="both"/>
        <w:rPr>
          <w:rFonts w:cstheme="minorHAnsi"/>
        </w:rPr>
      </w:pPr>
      <w:r w:rsidRPr="00562C5E">
        <w:rPr>
          <w:rFonts w:cstheme="minorHAnsi"/>
        </w:rPr>
        <w:t xml:space="preserve">In Croatia's karst regions, groundwater is multiply connected to surface waters. Surface waters in </w:t>
      </w:r>
      <w:proofErr w:type="spellStart"/>
      <w:r w:rsidRPr="00562C5E">
        <w:rPr>
          <w:rFonts w:cstheme="minorHAnsi"/>
        </w:rPr>
        <w:t>karstified</w:t>
      </w:r>
      <w:proofErr w:type="spellEnd"/>
      <w:r w:rsidRPr="00562C5E">
        <w:rPr>
          <w:rFonts w:cstheme="minorHAnsi"/>
        </w:rPr>
        <w:t xml:space="preserve"> areas sink into the subsurface, flow underground, and upon encountering less permeable deposits (barriers), they emerge to form surface streams. Typical examples of such connectivity include groundwater discharge points at contacts with less permeable rocks, the formation of surface streams (e.g., along karst fields), and the sinking of watercourses into the subsurface upon encountering </w:t>
      </w:r>
      <w:proofErr w:type="spellStart"/>
      <w:r w:rsidRPr="00562C5E">
        <w:rPr>
          <w:rFonts w:cstheme="minorHAnsi"/>
        </w:rPr>
        <w:t>karstified</w:t>
      </w:r>
      <w:proofErr w:type="spellEnd"/>
      <w:r w:rsidRPr="00562C5E">
        <w:rPr>
          <w:rFonts w:cstheme="minorHAnsi"/>
        </w:rPr>
        <w:t xml:space="preserve"> carbonate rocks.</w:t>
      </w:r>
    </w:p>
    <w:p w14:paraId="0B1FA88E" w14:textId="77777777" w:rsidR="00EC5B31" w:rsidRPr="00562C5E" w:rsidRDefault="00EC5B31" w:rsidP="00562C5E">
      <w:pPr>
        <w:jc w:val="both"/>
        <w:rPr>
          <w:rFonts w:cstheme="minorHAnsi"/>
        </w:rPr>
      </w:pPr>
      <w:r w:rsidRPr="00562C5E">
        <w:rPr>
          <w:rFonts w:cstheme="minorHAnsi"/>
        </w:rPr>
        <w:t>The dominant groundwater-dependent ecosystem in this part of Croatia consists of aquatic (freshwater) karst cave habitats (according to the National Habitat Classification, NKS), or caves and pits closed to the public (Natura 2000 sites), many of which are linked to natural groundwater discharge sites (springs). Springs belong exclusively to ecosystems dependent on groundwater.</w:t>
      </w:r>
    </w:p>
    <w:p w14:paraId="5891FD11" w14:textId="77777777" w:rsidR="00EC5B31" w:rsidRPr="00562C5E" w:rsidRDefault="00EC5B31" w:rsidP="00562C5E">
      <w:pPr>
        <w:jc w:val="both"/>
        <w:rPr>
          <w:rFonts w:cstheme="minorHAnsi"/>
        </w:rPr>
      </w:pPr>
      <w:r w:rsidRPr="00562C5E">
        <w:rPr>
          <w:rFonts w:cstheme="minorHAnsi"/>
        </w:rPr>
        <w:t xml:space="preserve">To define the connectivity of ecosystems with karst groundwater, data on the presence of indicator organisms were used, such as subterranean amphipods from the genera </w:t>
      </w:r>
      <w:proofErr w:type="spellStart"/>
      <w:r w:rsidRPr="00562C5E">
        <w:rPr>
          <w:rFonts w:cstheme="minorHAnsi"/>
        </w:rPr>
        <w:t>Niphargus</w:t>
      </w:r>
      <w:proofErr w:type="spellEnd"/>
      <w:r w:rsidRPr="00562C5E">
        <w:rPr>
          <w:rFonts w:cstheme="minorHAnsi"/>
        </w:rPr>
        <w:t xml:space="preserve">, </w:t>
      </w:r>
      <w:proofErr w:type="spellStart"/>
      <w:r w:rsidRPr="00562C5E">
        <w:rPr>
          <w:rFonts w:cstheme="minorHAnsi"/>
        </w:rPr>
        <w:t>Troglocaris</w:t>
      </w:r>
      <w:proofErr w:type="spellEnd"/>
      <w:r w:rsidRPr="00562C5E">
        <w:rPr>
          <w:rFonts w:cstheme="minorHAnsi"/>
        </w:rPr>
        <w:t xml:space="preserve">, </w:t>
      </w:r>
      <w:proofErr w:type="spellStart"/>
      <w:r w:rsidRPr="00562C5E">
        <w:rPr>
          <w:rFonts w:cstheme="minorHAnsi"/>
        </w:rPr>
        <w:t>Sphaeromides</w:t>
      </w:r>
      <w:proofErr w:type="spellEnd"/>
      <w:r w:rsidRPr="00562C5E">
        <w:rPr>
          <w:rFonts w:cstheme="minorHAnsi"/>
        </w:rPr>
        <w:t xml:space="preserve">, and </w:t>
      </w:r>
      <w:proofErr w:type="spellStart"/>
      <w:r w:rsidRPr="00562C5E">
        <w:rPr>
          <w:rFonts w:cstheme="minorHAnsi"/>
        </w:rPr>
        <w:t>Monolistra</w:t>
      </w:r>
      <w:proofErr w:type="spellEnd"/>
      <w:r w:rsidRPr="00562C5E">
        <w:rPr>
          <w:rFonts w:cstheme="minorHAnsi"/>
        </w:rPr>
        <w:t xml:space="preserve">, sponges from the genus </w:t>
      </w:r>
      <w:proofErr w:type="spellStart"/>
      <w:r w:rsidRPr="00562C5E">
        <w:rPr>
          <w:rFonts w:cstheme="minorHAnsi"/>
        </w:rPr>
        <w:t>Eunapius</w:t>
      </w:r>
      <w:proofErr w:type="spellEnd"/>
      <w:r w:rsidRPr="00562C5E">
        <w:rPr>
          <w:rFonts w:cstheme="minorHAnsi"/>
        </w:rPr>
        <w:t xml:space="preserve">, bivalves from the genus </w:t>
      </w:r>
      <w:proofErr w:type="spellStart"/>
      <w:r w:rsidRPr="00562C5E">
        <w:rPr>
          <w:rFonts w:cstheme="minorHAnsi"/>
        </w:rPr>
        <w:t>Congeria</w:t>
      </w:r>
      <w:proofErr w:type="spellEnd"/>
      <w:r w:rsidRPr="00562C5E">
        <w:rPr>
          <w:rFonts w:cstheme="minorHAnsi"/>
        </w:rPr>
        <w:t>, and the olm (Proteus). GDEs related to subterranean habitats are assessed based on the presence of certain organism species used as bioindicators of good groundwater status.</w:t>
      </w:r>
    </w:p>
    <w:p w14:paraId="73A658D4" w14:textId="2C88D3F6" w:rsidR="00EC5B31" w:rsidRPr="00562C5E" w:rsidRDefault="00EC5B31" w:rsidP="00562C5E">
      <w:pPr>
        <w:jc w:val="both"/>
        <w:rPr>
          <w:rFonts w:cstheme="minorHAnsi"/>
        </w:rPr>
      </w:pPr>
      <w:r w:rsidRPr="00562C5E">
        <w:rPr>
          <w:rFonts w:cstheme="minorHAnsi"/>
        </w:rPr>
        <w:t>Bosnia and Herzegovina, like Croatia, has very similar karst systems, with strong interconnections between groundwater and surface water, including karst aquifers, springs, rivers, and lakes. However, in Bosnia and Herzegovina these interactions are often more complex and dynamic, with more pronounced sinking and re-emergence of watercourses and greater seasonal variability, whereas in Croatia these processes tend to be somewhat more stable and better studied and managed. Surface waters in alluvia</w:t>
      </w:r>
      <w:r w:rsidR="00562C5E">
        <w:rPr>
          <w:rFonts w:cstheme="minorHAnsi"/>
        </w:rPr>
        <w:t>l</w:t>
      </w:r>
      <w:r w:rsidRPr="00562C5E">
        <w:rPr>
          <w:rFonts w:cstheme="minorHAnsi"/>
        </w:rPr>
        <w:t xml:space="preserve"> areas frequently sink into the subsurface, flow through extensive underground karst networks, and re-emerge where less permeable </w:t>
      </w:r>
      <w:proofErr w:type="gramStart"/>
      <w:r w:rsidRPr="00562C5E">
        <w:rPr>
          <w:rFonts w:cstheme="minorHAnsi"/>
        </w:rPr>
        <w:t>layers</w:t>
      </w:r>
      <w:proofErr w:type="gramEnd"/>
      <w:r w:rsidRPr="00562C5E">
        <w:rPr>
          <w:rFonts w:cstheme="minorHAnsi"/>
        </w:rPr>
        <w:t xml:space="preserve"> act as barriers, forming springs and surface streams. This interconnectivity is clearly seen in groundwater discharge at contacts with impermeable rocks, the formation of surface flows across karst poljes, and the sinking of rivers into carbonate terrains followed by their reappearance at distant springs, often with strong seasonal variability.</w:t>
      </w:r>
    </w:p>
    <w:p w14:paraId="4FAAAD2F" w14:textId="77777777" w:rsidR="00EC5B31" w:rsidRPr="00562C5E" w:rsidRDefault="00EC5B31" w:rsidP="00562C5E">
      <w:pPr>
        <w:jc w:val="both"/>
        <w:rPr>
          <w:rFonts w:cstheme="minorHAnsi"/>
        </w:rPr>
      </w:pPr>
      <w:r w:rsidRPr="00562C5E">
        <w:rPr>
          <w:rFonts w:cstheme="minorHAnsi"/>
        </w:rPr>
        <w:t>The dominant groundwater-dependent ecosystems include freshwater karst caves and pits, many of which are linked to natural groundwater discharge points such as springs. Only speleological features that reach the groundwater level in the saturated zone of the karst aquifer are considered.</w:t>
      </w:r>
    </w:p>
    <w:p w14:paraId="002F638A" w14:textId="760CF125" w:rsidR="00562C5E" w:rsidRDefault="00EC5B31" w:rsidP="00562C5E">
      <w:pPr>
        <w:spacing w:after="0"/>
        <w:jc w:val="both"/>
        <w:rPr>
          <w:rFonts w:asciiTheme="majorHAnsi" w:hAnsiTheme="majorHAnsi" w:cstheme="majorHAnsi"/>
          <w:i/>
          <w:iCs/>
        </w:rPr>
      </w:pPr>
      <w:r w:rsidRPr="00562C5E">
        <w:rPr>
          <w:rFonts w:cstheme="minorHAnsi"/>
        </w:rPr>
        <w:t xml:space="preserve">Bosnia and Herzegovina, like Croatia, hosts both protected and unlisted cave habitats with groundwater bioindicator species, including diverse ecosystems within Dinaric karst aquifers and </w:t>
      </w:r>
      <w:r w:rsidRPr="00562C5E">
        <w:rPr>
          <w:rFonts w:cstheme="minorHAnsi"/>
        </w:rPr>
        <w:lastRenderedPageBreak/>
        <w:t>anchialine caves, with water interactions in this more complex karst terrain being more dynamic and seasonally variable than in Croatia.</w:t>
      </w:r>
      <w:r w:rsidR="00562C5E" w:rsidRPr="00562C5E">
        <w:rPr>
          <w:rFonts w:asciiTheme="majorHAnsi" w:hAnsiTheme="majorHAnsi" w:cstheme="majorHAnsi"/>
          <w:i/>
          <w:iCs/>
        </w:rPr>
        <w:t xml:space="preserve"> </w:t>
      </w:r>
    </w:p>
    <w:p w14:paraId="2F7C4A09" w14:textId="70D8CCBF" w:rsidR="00562C5E" w:rsidRPr="000C3852" w:rsidRDefault="000C3852" w:rsidP="000C3852">
      <w:pPr>
        <w:pStyle w:val="Heading3"/>
        <w:rPr>
          <w:lang w:val="en-GB"/>
        </w:rPr>
      </w:pPr>
      <w:bookmarkStart w:id="90" w:name="_Toc229036217"/>
      <w:r w:rsidRPr="000C3852">
        <w:rPr>
          <w:lang w:val="en-GB"/>
        </w:rPr>
        <w:t xml:space="preserve">4.3.2. </w:t>
      </w:r>
      <w:r w:rsidR="00562C5E" w:rsidRPr="000C3852">
        <w:rPr>
          <w:lang w:val="en-GB"/>
        </w:rPr>
        <w:t>Key habitats within selected groundwater-dependent ecosystems</w:t>
      </w:r>
      <w:bookmarkEnd w:id="90"/>
    </w:p>
    <w:p w14:paraId="48774DB6" w14:textId="77777777" w:rsidR="00562C5E" w:rsidRPr="000C3852" w:rsidRDefault="00562C5E" w:rsidP="000C3852">
      <w:pPr>
        <w:jc w:val="both"/>
        <w:rPr>
          <w:rFonts w:cstheme="minorHAnsi"/>
        </w:rPr>
      </w:pPr>
      <w:r w:rsidRPr="000C3852">
        <w:rPr>
          <w:rFonts w:cstheme="minorHAnsi"/>
        </w:rPr>
        <w:t>Bosnia and Herzegovina identifies and studies groundwater-dependent ecosystems through field surveys, speleological research, and species records, but it lacks a formal national habitat classification and EU-style ecological network equivalent to Croatia’s NHC and Natura 2000 system. Conservation status is evaluated case by case through national legislation, research, and international collaborations.</w:t>
      </w:r>
    </w:p>
    <w:p w14:paraId="23ED1669" w14:textId="77777777" w:rsidR="00562C5E" w:rsidRPr="000C3852" w:rsidRDefault="00562C5E" w:rsidP="000C3852">
      <w:pPr>
        <w:jc w:val="both"/>
        <w:rPr>
          <w:rFonts w:cstheme="minorHAnsi"/>
        </w:rPr>
      </w:pPr>
      <w:r w:rsidRPr="000C3852">
        <w:rPr>
          <w:rFonts w:cstheme="minorHAnsi"/>
        </w:rPr>
        <w:t>In Bosnia and Herzegovina, the situation is somewhat different from Croatia due to the absence of a formal EU-aligned ecological network and national habitat classification system:</w:t>
      </w:r>
    </w:p>
    <w:p w14:paraId="59818512" w14:textId="297E025C" w:rsidR="00562C5E" w:rsidRPr="000C3852" w:rsidRDefault="000C3852" w:rsidP="000C3852">
      <w:pPr>
        <w:jc w:val="both"/>
        <w:rPr>
          <w:rFonts w:cstheme="minorHAnsi"/>
        </w:rPr>
      </w:pPr>
      <w:r>
        <w:rPr>
          <w:rFonts w:cstheme="minorHAnsi"/>
        </w:rPr>
        <w:t xml:space="preserve">1. </w:t>
      </w:r>
      <w:r w:rsidR="00562C5E" w:rsidRPr="000C3852">
        <w:rPr>
          <w:rFonts w:cstheme="minorHAnsi"/>
        </w:rPr>
        <w:t xml:space="preserve">Ecological Network / Habitat Classification </w:t>
      </w:r>
    </w:p>
    <w:p w14:paraId="58DAF5F4" w14:textId="4C92C3DB" w:rsidR="00562C5E" w:rsidRPr="000C3852" w:rsidRDefault="00562C5E" w:rsidP="000C3852">
      <w:pPr>
        <w:pStyle w:val="ListParagraph"/>
        <w:numPr>
          <w:ilvl w:val="0"/>
          <w:numId w:val="173"/>
        </w:numPr>
        <w:jc w:val="both"/>
        <w:rPr>
          <w:rFonts w:cstheme="minorHAnsi"/>
        </w:rPr>
      </w:pPr>
      <w:r w:rsidRPr="000C3852">
        <w:rPr>
          <w:rFonts w:cstheme="minorHAnsi"/>
        </w:rPr>
        <w:t>B</w:t>
      </w:r>
      <w:r w:rsidR="000C3852">
        <w:rPr>
          <w:rFonts w:cstheme="minorHAnsi"/>
        </w:rPr>
        <w:t>i</w:t>
      </w:r>
      <w:r w:rsidRPr="000C3852">
        <w:rPr>
          <w:rFonts w:cstheme="minorHAnsi"/>
        </w:rPr>
        <w:t>H does not have a formal Natura 2000 network equivalent or a national habitat classification like Croatia’s NHC</w:t>
      </w:r>
      <w:r w:rsidR="000C3852">
        <w:rPr>
          <w:rFonts w:cstheme="minorHAnsi"/>
        </w:rPr>
        <w:t>.</w:t>
      </w:r>
      <w:r w:rsidRPr="000C3852">
        <w:rPr>
          <w:rFonts w:cstheme="minorHAnsi"/>
        </w:rPr>
        <w:t xml:space="preserve"> </w:t>
      </w:r>
    </w:p>
    <w:p w14:paraId="631A797D" w14:textId="38D14E85" w:rsidR="00562C5E" w:rsidRPr="000C3852" w:rsidRDefault="00562C5E" w:rsidP="000C3852">
      <w:pPr>
        <w:pStyle w:val="ListParagraph"/>
        <w:numPr>
          <w:ilvl w:val="0"/>
          <w:numId w:val="173"/>
        </w:numPr>
        <w:jc w:val="both"/>
        <w:rPr>
          <w:rFonts w:cstheme="minorHAnsi"/>
        </w:rPr>
      </w:pPr>
      <w:r w:rsidRPr="000C3852">
        <w:rPr>
          <w:rFonts w:cstheme="minorHAnsi"/>
        </w:rPr>
        <w:t>Important habitats and species are recognized under national and entity-level nature protection laws (e.g., the Law on Nature Protection in the Federation of B</w:t>
      </w:r>
      <w:r w:rsidR="000C3852">
        <w:rPr>
          <w:rFonts w:cstheme="minorHAnsi"/>
        </w:rPr>
        <w:t>i</w:t>
      </w:r>
      <w:r w:rsidRPr="000C3852">
        <w:rPr>
          <w:rFonts w:cstheme="minorHAnsi"/>
        </w:rPr>
        <w:t xml:space="preserve">H and Republic of Srpska), but there is no unified codified system for habitat types or ecological network management. </w:t>
      </w:r>
    </w:p>
    <w:p w14:paraId="09B3A72D" w14:textId="0D7B45A6" w:rsidR="00562C5E" w:rsidRPr="000C3852" w:rsidRDefault="00562C5E" w:rsidP="000C3852">
      <w:pPr>
        <w:pStyle w:val="ListParagraph"/>
        <w:numPr>
          <w:ilvl w:val="0"/>
          <w:numId w:val="173"/>
        </w:numPr>
        <w:jc w:val="both"/>
        <w:rPr>
          <w:rFonts w:cstheme="minorHAnsi"/>
        </w:rPr>
      </w:pPr>
      <w:r w:rsidRPr="000C3852">
        <w:rPr>
          <w:rFonts w:cstheme="minorHAnsi"/>
        </w:rPr>
        <w:t xml:space="preserve">Some international frameworks, such as Ramsar wetlands, UNESCO geoparks, and regional karst research, are used for identifying and monitoring important ecosystems. </w:t>
      </w:r>
    </w:p>
    <w:p w14:paraId="4C211900" w14:textId="29345C69" w:rsidR="00562C5E" w:rsidRPr="000C3852" w:rsidRDefault="000C3852" w:rsidP="000C3852">
      <w:pPr>
        <w:jc w:val="both"/>
        <w:rPr>
          <w:rFonts w:cstheme="minorHAnsi"/>
        </w:rPr>
      </w:pPr>
      <w:r>
        <w:rPr>
          <w:rFonts w:cstheme="minorHAnsi"/>
        </w:rPr>
        <w:t xml:space="preserve">2. </w:t>
      </w:r>
      <w:r w:rsidR="00562C5E" w:rsidRPr="000C3852">
        <w:rPr>
          <w:rFonts w:cstheme="minorHAnsi"/>
        </w:rPr>
        <w:t xml:space="preserve">Groundwater-Dependent Ecosystems (GDEs) </w:t>
      </w:r>
    </w:p>
    <w:p w14:paraId="2CC902EC" w14:textId="576D8138" w:rsidR="00562C5E" w:rsidRPr="000C3852" w:rsidRDefault="00562C5E" w:rsidP="000C3852">
      <w:pPr>
        <w:pStyle w:val="ListParagraph"/>
        <w:numPr>
          <w:ilvl w:val="0"/>
          <w:numId w:val="174"/>
        </w:numPr>
        <w:jc w:val="both"/>
        <w:rPr>
          <w:rFonts w:cstheme="minorHAnsi"/>
        </w:rPr>
      </w:pPr>
      <w:r w:rsidRPr="000C3852">
        <w:rPr>
          <w:rFonts w:cstheme="minorHAnsi"/>
        </w:rPr>
        <w:t xml:space="preserve">Groundwater-dependent habitats, including karst caves, springs, rivers, and anchialine systems, are studied mainly through field surveys, speleological research, and species inventories. </w:t>
      </w:r>
    </w:p>
    <w:p w14:paraId="3681DD1E" w14:textId="57CBCE00" w:rsidR="00562C5E" w:rsidRPr="000C3852" w:rsidRDefault="00562C5E" w:rsidP="000C3852">
      <w:pPr>
        <w:pStyle w:val="ListParagraph"/>
        <w:numPr>
          <w:ilvl w:val="0"/>
          <w:numId w:val="174"/>
        </w:numPr>
        <w:jc w:val="both"/>
        <w:rPr>
          <w:rFonts w:cstheme="minorHAnsi"/>
        </w:rPr>
      </w:pPr>
      <w:r w:rsidRPr="000C3852">
        <w:rPr>
          <w:rFonts w:cstheme="minorHAnsi"/>
        </w:rPr>
        <w:t xml:space="preserve">Both aquatic and terrestrial GDEs are recognized in studies, but there are no formal groundwater quality standards (GQS) for these ecosystems analogous to Croatia’s use of EQS for priority substances. </w:t>
      </w:r>
    </w:p>
    <w:p w14:paraId="2F0CA962" w14:textId="70C68A27" w:rsidR="00562C5E" w:rsidRPr="000C3852" w:rsidRDefault="00562C5E" w:rsidP="000C3852">
      <w:pPr>
        <w:pStyle w:val="ListParagraph"/>
        <w:numPr>
          <w:ilvl w:val="0"/>
          <w:numId w:val="174"/>
        </w:numPr>
        <w:jc w:val="both"/>
        <w:rPr>
          <w:rFonts w:cstheme="minorHAnsi"/>
        </w:rPr>
      </w:pPr>
      <w:r w:rsidRPr="000C3852">
        <w:rPr>
          <w:rFonts w:cstheme="minorHAnsi"/>
        </w:rPr>
        <w:t xml:space="preserve">Sensitivity assessments of ecosystems to quantitative (e.g., water levels, flow) and qualitative (e.g., chemical composition) changes in groundwater are usually site-specific and based on research data rather than standardized thresholds. </w:t>
      </w:r>
    </w:p>
    <w:p w14:paraId="13CAD425" w14:textId="1058C616" w:rsidR="00562C5E" w:rsidRPr="000C3852" w:rsidRDefault="000C3852" w:rsidP="000C3852">
      <w:pPr>
        <w:jc w:val="both"/>
        <w:rPr>
          <w:rFonts w:cstheme="minorHAnsi"/>
        </w:rPr>
      </w:pPr>
      <w:r>
        <w:rPr>
          <w:rFonts w:cstheme="minorHAnsi"/>
        </w:rPr>
        <w:t xml:space="preserve">3. </w:t>
      </w:r>
      <w:r w:rsidR="00562C5E" w:rsidRPr="000C3852">
        <w:rPr>
          <w:rFonts w:cstheme="minorHAnsi"/>
        </w:rPr>
        <w:t xml:space="preserve">Species and ecosystem monitoring </w:t>
      </w:r>
    </w:p>
    <w:p w14:paraId="6739441D" w14:textId="73BBB0D2" w:rsidR="00562C5E" w:rsidRPr="000C3852" w:rsidRDefault="00562C5E" w:rsidP="000C3852">
      <w:pPr>
        <w:pStyle w:val="ListParagraph"/>
        <w:numPr>
          <w:ilvl w:val="0"/>
          <w:numId w:val="175"/>
        </w:numPr>
        <w:jc w:val="both"/>
        <w:rPr>
          <w:rFonts w:cstheme="minorHAnsi"/>
        </w:rPr>
      </w:pPr>
      <w:r w:rsidRPr="000C3852">
        <w:rPr>
          <w:rFonts w:cstheme="minorHAnsi"/>
        </w:rPr>
        <w:t xml:space="preserve">Species-level monitoring (bioindicators, </w:t>
      </w:r>
      <w:proofErr w:type="spellStart"/>
      <w:r w:rsidRPr="000C3852">
        <w:rPr>
          <w:rFonts w:cstheme="minorHAnsi"/>
        </w:rPr>
        <w:t>stygobionts</w:t>
      </w:r>
      <w:proofErr w:type="spellEnd"/>
      <w:r w:rsidRPr="000C3852">
        <w:rPr>
          <w:rFonts w:cstheme="minorHAnsi"/>
        </w:rPr>
        <w:t xml:space="preserve">, anchialine fauna) is documented in scientific literature and local databases, but not through </w:t>
      </w:r>
      <w:proofErr w:type="gramStart"/>
      <w:r w:rsidR="000C3852">
        <w:rPr>
          <w:rFonts w:cstheme="minorHAnsi"/>
        </w:rPr>
        <w:t>an</w:t>
      </w:r>
      <w:proofErr w:type="gramEnd"/>
      <w:r w:rsidR="000C3852">
        <w:rPr>
          <w:rFonts w:cstheme="minorHAnsi"/>
        </w:rPr>
        <w:t xml:space="preserve"> </w:t>
      </w:r>
      <w:r w:rsidRPr="000C3852">
        <w:rPr>
          <w:rFonts w:cstheme="minorHAnsi"/>
        </w:rPr>
        <w:t xml:space="preserve">unified system like Croatia’s Level V habitat codes. </w:t>
      </w:r>
    </w:p>
    <w:p w14:paraId="58B298A7" w14:textId="529864A0" w:rsidR="00EC5B31" w:rsidRPr="000C3852" w:rsidRDefault="00562C5E" w:rsidP="000C3852">
      <w:pPr>
        <w:pStyle w:val="ListParagraph"/>
        <w:numPr>
          <w:ilvl w:val="0"/>
          <w:numId w:val="175"/>
        </w:numPr>
        <w:jc w:val="both"/>
        <w:rPr>
          <w:rFonts w:cstheme="minorHAnsi"/>
        </w:rPr>
        <w:sectPr w:rsidR="00EC5B31" w:rsidRPr="000C3852" w:rsidSect="00EC5B31">
          <w:pgSz w:w="12240" w:h="15840"/>
          <w:pgMar w:top="1440" w:right="1800" w:bottom="1440" w:left="1800" w:header="720" w:footer="720" w:gutter="0"/>
          <w:cols w:space="720"/>
          <w:docGrid w:linePitch="360"/>
        </w:sectPr>
      </w:pPr>
      <w:r w:rsidRPr="000C3852">
        <w:rPr>
          <w:rFonts w:cstheme="minorHAnsi"/>
        </w:rPr>
        <w:t>Conservation and management decisions are often case-by-case, guided by national law, research findings, and international collaboration</w:t>
      </w:r>
    </w:p>
    <w:p w14:paraId="795A6467" w14:textId="2583DC1E" w:rsidR="00EC5B31" w:rsidRDefault="00EC5B31" w:rsidP="000C3852">
      <w:pPr>
        <w:jc w:val="both"/>
        <w:rPr>
          <w:rFonts w:cstheme="minorHAnsi"/>
        </w:rPr>
      </w:pPr>
      <w:r w:rsidRPr="000C3852">
        <w:rPr>
          <w:rFonts w:cstheme="minorHAnsi"/>
        </w:rPr>
        <w:lastRenderedPageBreak/>
        <w:t>In Bosnia and Herzegovina, systematic and regular monitoring of groundwater-dependent habitats is not established. Monitoring activities are sporadic and primarily project-based, carried out by various institutions at the entity level, research organizations, and through environmental impact assessments. Due to the fragmented institutional framework and lack of standardized methodologies, there is no coordinated national monitoring program for groundwater-dependent ecosystems, and ecological monitoring is generally limited compared to hydrological and chemical observation. Also, there is no unified methodological framework linking habitat types or indicator species to groundwater status assessment, and the use of such approaches remains largely research based.</w:t>
      </w:r>
    </w:p>
    <w:p w14:paraId="6F629737" w14:textId="77777777" w:rsidR="000C3852" w:rsidRDefault="000C3852" w:rsidP="000C3852">
      <w:pPr>
        <w:jc w:val="both"/>
        <w:rPr>
          <w:rFonts w:cstheme="minorHAnsi"/>
        </w:rPr>
      </w:pPr>
    </w:p>
    <w:p w14:paraId="19612B84" w14:textId="77777777" w:rsidR="000C3852" w:rsidRPr="000C3852" w:rsidRDefault="000C3852" w:rsidP="000C3852">
      <w:pPr>
        <w:pStyle w:val="Heading2"/>
        <w:rPr>
          <w:lang w:val="en-GB"/>
        </w:rPr>
      </w:pPr>
      <w:bookmarkStart w:id="91" w:name="_Toc229036218"/>
      <w:r w:rsidRPr="000C3852">
        <w:rPr>
          <w:lang w:val="en-GB"/>
        </w:rPr>
        <w:t>4.4 Water quality indicators (with emphasis on nitrates, pesticides and nutrients)</w:t>
      </w:r>
      <w:bookmarkEnd w:id="91"/>
    </w:p>
    <w:p w14:paraId="3FCF3301" w14:textId="383F9CAC" w:rsidR="000C3852" w:rsidRPr="000C3852" w:rsidRDefault="000C3852" w:rsidP="000C3852">
      <w:pPr>
        <w:jc w:val="both"/>
        <w:rPr>
          <w:rFonts w:cstheme="minorHAnsi"/>
        </w:rPr>
      </w:pPr>
      <w:r w:rsidRPr="000C3852">
        <w:rPr>
          <w:rFonts w:cstheme="minorHAnsi"/>
        </w:rPr>
        <w:t>Water quality within the karst aquifer system of Neretva TBA is primarily assessed through indicators of nutrient and pesticide contamination, which represent the most relevant signals of diffuse agricultural pressure in karst environments. Due to high permeability, rapid infiltration and limited natural attenuation, these indicators directly reflect the vulnerability of groundwater to surface-derived pollution.</w:t>
      </w:r>
    </w:p>
    <w:p w14:paraId="0AE49538" w14:textId="77777777" w:rsidR="000C3852" w:rsidRPr="000C3852" w:rsidRDefault="000C3852" w:rsidP="000C3852">
      <w:pPr>
        <w:jc w:val="both"/>
        <w:rPr>
          <w:rFonts w:cstheme="minorHAnsi"/>
        </w:rPr>
      </w:pPr>
      <w:r w:rsidRPr="000C3852">
        <w:rPr>
          <w:rFonts w:cstheme="minorHAnsi"/>
        </w:rPr>
        <w:t xml:space="preserve">Nitrates (NO₃⁻) are the most important indicator of groundwater contamination, owing to their high mobility and direct link to agricultural activities. Available monitoring data, including detailed analyses from the </w:t>
      </w:r>
      <w:proofErr w:type="spellStart"/>
      <w:r w:rsidRPr="000C3852">
        <w:rPr>
          <w:rFonts w:cstheme="minorHAnsi"/>
        </w:rPr>
        <w:t>Prud</w:t>
      </w:r>
      <w:proofErr w:type="spellEnd"/>
      <w:r w:rsidRPr="000C3852">
        <w:rPr>
          <w:rFonts w:cstheme="minorHAnsi"/>
        </w:rPr>
        <w:t xml:space="preserve"> spring and basin-level assessments, indicate that nitrate concentrations are generally low and stable, typically within natural or slightly elevated background levels (up to approximately 5 mg/L), and significantly below the regulatory threshold of 50 mg/L defined by the Nitrates Directive (91/676/EEC). These results suggest that, at present, diffuse nitrate pollution is not expressed at levels that would compromise groundwater chemical status. However, given the intensity of agricultural activities and estimated nitrogen loads in recharge areas such as </w:t>
      </w:r>
      <w:proofErr w:type="spellStart"/>
      <w:r w:rsidRPr="000C3852">
        <w:rPr>
          <w:rFonts w:cstheme="minorHAnsi"/>
        </w:rPr>
        <w:t>Ljubuško</w:t>
      </w:r>
      <w:proofErr w:type="spellEnd"/>
      <w:r w:rsidRPr="000C3852">
        <w:rPr>
          <w:rFonts w:cstheme="minorHAnsi"/>
        </w:rPr>
        <w:t xml:space="preserve"> polje, the system remains sensitive to potential increases.</w:t>
      </w:r>
    </w:p>
    <w:p w14:paraId="7E3D2F60" w14:textId="77777777" w:rsidR="000C3852" w:rsidRPr="000C3852" w:rsidRDefault="000C3852" w:rsidP="000C3852">
      <w:pPr>
        <w:jc w:val="both"/>
        <w:rPr>
          <w:rFonts w:cstheme="minorHAnsi"/>
        </w:rPr>
      </w:pPr>
      <w:r w:rsidRPr="000C3852">
        <w:rPr>
          <w:rFonts w:cstheme="minorHAnsi"/>
        </w:rPr>
        <w:t>Phosphorus, primarily present as orthophosphates (PO₄³⁻), is detected at very low concentrations in groundwater. Its relatively low mobility limits its occurrence in the aquifer, although transport may occur during high-flow conditions when rapid infiltration bypasses soil retention processes. While phosphorus does not represent a dominant groundwater pollutant, it remains an important indicator of nutrient pressure, particularly in relation to downstream surface and transitional waters such as the Neretva delta.</w:t>
      </w:r>
    </w:p>
    <w:p w14:paraId="0C4F7242" w14:textId="53FE78F9" w:rsidR="000C3852" w:rsidRPr="000C3852" w:rsidRDefault="000C3852" w:rsidP="000C3852">
      <w:pPr>
        <w:jc w:val="both"/>
        <w:rPr>
          <w:rFonts w:cstheme="minorHAnsi"/>
        </w:rPr>
      </w:pPr>
      <w:r w:rsidRPr="000C3852">
        <w:rPr>
          <w:rFonts w:cstheme="minorHAnsi"/>
        </w:rPr>
        <w:t>Pesticides represent a critical group of indicators due to their potential toxicity and persistence. Monitoring results at basin level indicate that concentrations of pesticide active substances are generally below detection limits or close to analytical thresholds. This suggests that widespread contamination is not currently evident. However, due to the characteristics of karst systems, episodic contamination events following pesticide application</w:t>
      </w:r>
      <w:r>
        <w:rPr>
          <w:rFonts w:cstheme="minorHAnsi"/>
        </w:rPr>
        <w:t>-</w:t>
      </w:r>
      <w:r w:rsidRPr="000C3852">
        <w:rPr>
          <w:rFonts w:cstheme="minorHAnsi"/>
        </w:rPr>
        <w:t>especially during rainfall</w:t>
      </w:r>
      <w:r>
        <w:rPr>
          <w:rFonts w:cstheme="minorHAnsi"/>
        </w:rPr>
        <w:t>-</w:t>
      </w:r>
      <w:r w:rsidRPr="000C3852">
        <w:rPr>
          <w:rFonts w:cstheme="minorHAnsi"/>
        </w:rPr>
        <w:t>may occur but remain insufficiently captured by standard monitoring frequencies.</w:t>
      </w:r>
    </w:p>
    <w:p w14:paraId="5EDF1588" w14:textId="7013F683" w:rsidR="000C3852" w:rsidRPr="000C3852" w:rsidRDefault="000C3852" w:rsidP="000C3852">
      <w:pPr>
        <w:jc w:val="both"/>
        <w:rPr>
          <w:rFonts w:cstheme="minorHAnsi"/>
        </w:rPr>
      </w:pPr>
      <w:r w:rsidRPr="000C3852">
        <w:rPr>
          <w:rFonts w:cstheme="minorHAnsi"/>
        </w:rPr>
        <w:t xml:space="preserve">Additional supporting indicators confirm the generally low level of nutrient enrichment in groundwater. Total nitrogen and total phosphorus concentrations remain low, while electrical conductivity shows moderate values (around 500 µS/cm) with a slight increasing trend, indicating stable mineralization without significant anthropogenic deterioration. At the </w:t>
      </w:r>
      <w:proofErr w:type="spellStart"/>
      <w:r w:rsidRPr="000C3852">
        <w:rPr>
          <w:rFonts w:cstheme="minorHAnsi"/>
        </w:rPr>
        <w:t>Prud</w:t>
      </w:r>
      <w:proofErr w:type="spellEnd"/>
      <w:r w:rsidRPr="000C3852">
        <w:rPr>
          <w:rFonts w:cstheme="minorHAnsi"/>
        </w:rPr>
        <w:t xml:space="preserve"> spring, </w:t>
      </w:r>
      <w:proofErr w:type="spellStart"/>
      <w:r w:rsidRPr="000C3852">
        <w:rPr>
          <w:rFonts w:cstheme="minorHAnsi"/>
        </w:rPr>
        <w:t>hydrochemical</w:t>
      </w:r>
      <w:proofErr w:type="spellEnd"/>
      <w:r w:rsidRPr="000C3852">
        <w:rPr>
          <w:rFonts w:cstheme="minorHAnsi"/>
        </w:rPr>
        <w:t xml:space="preserve"> analyses indicate a transition from calcium</w:t>
      </w:r>
      <w:r>
        <w:rPr>
          <w:rFonts w:cstheme="minorHAnsi"/>
        </w:rPr>
        <w:t>-</w:t>
      </w:r>
      <w:r w:rsidRPr="000C3852">
        <w:rPr>
          <w:rFonts w:cstheme="minorHAnsi"/>
        </w:rPr>
        <w:t>bicarbonate to calcium</w:t>
      </w:r>
      <w:r>
        <w:rPr>
          <w:rFonts w:cstheme="minorHAnsi"/>
        </w:rPr>
        <w:t>-</w:t>
      </w:r>
      <w:r w:rsidRPr="000C3852">
        <w:rPr>
          <w:rFonts w:cstheme="minorHAnsi"/>
        </w:rPr>
        <w:t>sulphate facies, with a clear correlation between sulphate concentrations and electrical conductivity. This reflects both natural water–rock interaction processes and potential indirect influence of anthropogenic inputs.</w:t>
      </w:r>
    </w:p>
    <w:p w14:paraId="2F49EE28" w14:textId="77777777" w:rsidR="000C3852" w:rsidRPr="000C3852" w:rsidRDefault="000C3852" w:rsidP="000C3852">
      <w:pPr>
        <w:jc w:val="both"/>
        <w:rPr>
          <w:rFonts w:cstheme="minorHAnsi"/>
        </w:rPr>
      </w:pPr>
      <w:r w:rsidRPr="000C3852">
        <w:rPr>
          <w:rFonts w:cstheme="minorHAnsi"/>
        </w:rPr>
        <w:lastRenderedPageBreak/>
        <w:t>Temporal variability of nutrient indicators is limited, with no significant long-term increasing trends observed for nitrates or phosphorus. Seasonal fluctuations are present, particularly during recharge periods, when rapid infiltration can introduce short-term changes in concentration. These variations are typical for karst systems and do not indicate systematic deterioration of water quality.</w:t>
      </w:r>
    </w:p>
    <w:p w14:paraId="42422FA6" w14:textId="77777777" w:rsidR="000C3852" w:rsidRPr="000C3852" w:rsidRDefault="000C3852" w:rsidP="000C3852">
      <w:pPr>
        <w:jc w:val="both"/>
        <w:rPr>
          <w:rFonts w:cstheme="minorHAnsi"/>
        </w:rPr>
      </w:pPr>
      <w:r w:rsidRPr="000C3852">
        <w:rPr>
          <w:rFonts w:cstheme="minorHAnsi"/>
        </w:rPr>
        <w:t xml:space="preserve">Trace metals (e.g. As, Cd, Pb, Hg) are consistently recorded at very low concentrations, below regulatory limits, indicating no significant contamination from industrial or geogenic sources. In contrast, microbiological indicators occasionally exceed permissible values at spring sources, including </w:t>
      </w:r>
      <w:proofErr w:type="spellStart"/>
      <w:r w:rsidRPr="000C3852">
        <w:rPr>
          <w:rFonts w:cstheme="minorHAnsi"/>
        </w:rPr>
        <w:t>Prud</w:t>
      </w:r>
      <w:proofErr w:type="spellEnd"/>
      <w:r w:rsidRPr="000C3852">
        <w:rPr>
          <w:rFonts w:cstheme="minorHAnsi"/>
        </w:rPr>
        <w:t>, reflecting the rapid transport of contaminants from the surface and the limited natural filtration capacity of the karst aquifer.</w:t>
      </w:r>
    </w:p>
    <w:p w14:paraId="002AD936" w14:textId="77777777" w:rsidR="000C3852" w:rsidRPr="000C3852" w:rsidRDefault="000C3852" w:rsidP="000C3852">
      <w:pPr>
        <w:jc w:val="both"/>
        <w:rPr>
          <w:rFonts w:cstheme="minorHAnsi"/>
        </w:rPr>
      </w:pPr>
      <w:r w:rsidRPr="000C3852">
        <w:rPr>
          <w:rFonts w:cstheme="minorHAnsi"/>
        </w:rPr>
        <w:t>At the basin scale, groundwater bodies are currently classified as being in good chemical status, with no significant exceedance of threshold values for key indicators such as nitrates, pesticides or nutrients. This is consistent with risk assessments based on both monitoring data and pressure analysis, which classify the system as “not at risk”, although with reduced confidence due to transboundary influences and monitoring gaps.</w:t>
      </w:r>
    </w:p>
    <w:p w14:paraId="06DBA14C" w14:textId="77777777" w:rsidR="000C3852" w:rsidRPr="000C3852" w:rsidRDefault="000C3852" w:rsidP="000C3852">
      <w:pPr>
        <w:jc w:val="both"/>
        <w:rPr>
          <w:rFonts w:cstheme="minorHAnsi"/>
        </w:rPr>
      </w:pPr>
      <w:r w:rsidRPr="000C3852">
        <w:rPr>
          <w:rFonts w:cstheme="minorHAnsi"/>
        </w:rPr>
        <w:t>Despite the favourable status, the intrinsic vulnerability of the karst aquifer remains very high. Rapid groundwater flow, strong hydraulic connectivity and limited attenuation capacity create conditions in which even moderate increases in nutrient or pesticide inputs could lead to rapid deterioration of water quality. Continuous monitoring of nitrates, pesticides and nutrient-related indicators therefore remains essential, together with the implementation of preventive measures aimed at controlling agricultural inputs and protecting key recharge areas.</w:t>
      </w:r>
    </w:p>
    <w:p w14:paraId="32C78853" w14:textId="77777777" w:rsidR="000C3852" w:rsidRDefault="000C3852" w:rsidP="000C3852">
      <w:pPr>
        <w:jc w:val="both"/>
        <w:rPr>
          <w:rFonts w:cstheme="minorHAnsi"/>
        </w:rPr>
      </w:pPr>
      <w:r w:rsidRPr="000C3852">
        <w:rPr>
          <w:rFonts w:cstheme="minorHAnsi"/>
        </w:rPr>
        <w:t xml:space="preserve">In addition, periods of intense precipitation are often associated with increased turbidity at karst springs, including </w:t>
      </w:r>
      <w:proofErr w:type="spellStart"/>
      <w:r w:rsidRPr="000C3852">
        <w:rPr>
          <w:rFonts w:cstheme="minorHAnsi"/>
        </w:rPr>
        <w:t>Prud</w:t>
      </w:r>
      <w:proofErr w:type="spellEnd"/>
      <w:r w:rsidRPr="000C3852">
        <w:rPr>
          <w:rFonts w:cstheme="minorHAnsi"/>
        </w:rPr>
        <w:t>, due to rapid transport of suspended material through conduit systems. Such short-term deterioration of water quality is characteristic of karst environments and further reflects the limited natural filtration capacity of the aquifer.</w:t>
      </w:r>
    </w:p>
    <w:p w14:paraId="10C92804" w14:textId="77777777" w:rsidR="000C3852" w:rsidRPr="000C3852" w:rsidRDefault="000C3852" w:rsidP="000C3852">
      <w:pPr>
        <w:jc w:val="both"/>
        <w:rPr>
          <w:rFonts w:cstheme="minorHAnsi"/>
        </w:rPr>
      </w:pPr>
    </w:p>
    <w:p w14:paraId="2BC5A459" w14:textId="77777777" w:rsidR="000C3852" w:rsidRPr="000C3852" w:rsidRDefault="000C3852" w:rsidP="000C3852">
      <w:pPr>
        <w:pStyle w:val="Heading2"/>
        <w:rPr>
          <w:lang w:val="en-GB"/>
        </w:rPr>
      </w:pPr>
      <w:bookmarkStart w:id="92" w:name="_Toc229036219"/>
      <w:r w:rsidRPr="000C3852">
        <w:rPr>
          <w:lang w:val="en-GB"/>
        </w:rPr>
        <w:t>4.5 Natural hazards (floods, salinity intrusion in the delta, climate change)</w:t>
      </w:r>
      <w:bookmarkEnd w:id="92"/>
      <w:r w:rsidRPr="000C3852">
        <w:rPr>
          <w:lang w:val="en-GB"/>
        </w:rPr>
        <w:tab/>
      </w:r>
    </w:p>
    <w:p w14:paraId="583EAA82" w14:textId="37FB5CE9" w:rsidR="000C3852" w:rsidRPr="000C3852" w:rsidRDefault="000C3852" w:rsidP="000C3852">
      <w:pPr>
        <w:jc w:val="both"/>
        <w:rPr>
          <w:rFonts w:cstheme="minorHAnsi"/>
        </w:rPr>
      </w:pPr>
      <w:r w:rsidRPr="000C3852">
        <w:rPr>
          <w:rFonts w:cstheme="minorHAnsi"/>
        </w:rPr>
        <w:t xml:space="preserve">The karst aquifer system of Neretva TBA is exposed to a range of natural hazards that significantly influence both groundwater dynamics and water quality. The most relevant hazards include flooding in karst poljes, salinity intrusion in the Neretva </w:t>
      </w:r>
      <w:r>
        <w:rPr>
          <w:rFonts w:cstheme="minorHAnsi"/>
        </w:rPr>
        <w:t>D</w:t>
      </w:r>
      <w:r w:rsidRPr="000C3852">
        <w:rPr>
          <w:rFonts w:cstheme="minorHAnsi"/>
        </w:rPr>
        <w:t>elta, and climate change impacts, all of which contribute to the increased vulnerability of the hydrogeological system.</w:t>
      </w:r>
    </w:p>
    <w:p w14:paraId="772019F3" w14:textId="77777777" w:rsidR="000C3852" w:rsidRPr="000C3852" w:rsidRDefault="000C3852" w:rsidP="000C3852">
      <w:pPr>
        <w:jc w:val="both"/>
        <w:rPr>
          <w:rFonts w:cstheme="minorHAnsi"/>
        </w:rPr>
      </w:pPr>
      <w:r w:rsidRPr="000C3852">
        <w:rPr>
          <w:rFonts w:cstheme="minorHAnsi"/>
        </w:rPr>
        <w:t xml:space="preserve">Flooding is a characteristic process in karst poljes, including </w:t>
      </w:r>
      <w:proofErr w:type="spellStart"/>
      <w:r w:rsidRPr="000C3852">
        <w:rPr>
          <w:rFonts w:cstheme="minorHAnsi"/>
        </w:rPr>
        <w:t>Ljubuško</w:t>
      </w:r>
      <w:proofErr w:type="spellEnd"/>
      <w:r w:rsidRPr="000C3852">
        <w:rPr>
          <w:rFonts w:cstheme="minorHAnsi"/>
        </w:rPr>
        <w:t xml:space="preserve"> polje, where geomorphological and hydrogeological conditions enable temporary accumulation of surface water. During periods of intense precipitation, the capacity of ponors and underground drainage systems may be exceeded, resulting in surface inundation. These conditions enhance groundwater recharge by increasing infiltration rates, but at the same time facilitate the mobilisation and transport of contaminants from the surface. This is particularly significant in areas under agricultural use, where nutrients and other pollutants can be rapidly flushed into the karst aquifer.</w:t>
      </w:r>
    </w:p>
    <w:p w14:paraId="259063D5" w14:textId="626D8FA4" w:rsidR="000C3852" w:rsidRPr="000C3852" w:rsidRDefault="000C3852" w:rsidP="000C3852">
      <w:pPr>
        <w:jc w:val="both"/>
        <w:rPr>
          <w:rFonts w:cstheme="minorHAnsi"/>
        </w:rPr>
      </w:pPr>
      <w:r w:rsidRPr="000C3852">
        <w:rPr>
          <w:rFonts w:cstheme="minorHAnsi"/>
        </w:rPr>
        <w:t xml:space="preserve">In the lower part of the basin, salinity intrusion represents one of the most critical hydrogeological hazards. The Neretva </w:t>
      </w:r>
      <w:r>
        <w:rPr>
          <w:rFonts w:cstheme="minorHAnsi"/>
        </w:rPr>
        <w:t>D</w:t>
      </w:r>
      <w:r w:rsidRPr="000C3852">
        <w:rPr>
          <w:rFonts w:cstheme="minorHAnsi"/>
        </w:rPr>
        <w:t xml:space="preserve">elta is especially affected by the interaction between freshwater and seawater, with saline influence recorded inland up to the area of </w:t>
      </w:r>
      <w:proofErr w:type="spellStart"/>
      <w:r w:rsidRPr="000C3852">
        <w:rPr>
          <w:rFonts w:cstheme="minorHAnsi"/>
        </w:rPr>
        <w:t>Metković</w:t>
      </w:r>
      <w:proofErr w:type="spellEnd"/>
      <w:r w:rsidRPr="000C3852">
        <w:rPr>
          <w:rFonts w:cstheme="minorHAnsi"/>
        </w:rPr>
        <w:t xml:space="preserve">. The causes of salinisation are complex, including both natural processes and anthropogenic influences within the wider catchment. A monitoring network of piezometers has been established across the </w:t>
      </w:r>
      <w:r>
        <w:rPr>
          <w:rFonts w:cstheme="minorHAnsi"/>
        </w:rPr>
        <w:t>D</w:t>
      </w:r>
      <w:r w:rsidRPr="000C3852">
        <w:rPr>
          <w:rFonts w:cstheme="minorHAnsi"/>
        </w:rPr>
        <w:t xml:space="preserve">elta, from the river mouth to </w:t>
      </w:r>
      <w:proofErr w:type="spellStart"/>
      <w:r w:rsidRPr="000C3852">
        <w:rPr>
          <w:rFonts w:cstheme="minorHAnsi"/>
        </w:rPr>
        <w:lastRenderedPageBreak/>
        <w:t>Metković</w:t>
      </w:r>
      <w:proofErr w:type="spellEnd"/>
      <w:r w:rsidRPr="000C3852">
        <w:rPr>
          <w:rFonts w:cstheme="minorHAnsi"/>
        </w:rPr>
        <w:t xml:space="preserve">, enabling detailed observation of groundwater levels and salinity distribution. Measurements indicate that the saline zone occurs at shallow depths, approximately 2 m near the river mouth, around 2.5 m in the </w:t>
      </w:r>
      <w:proofErr w:type="spellStart"/>
      <w:r w:rsidRPr="000C3852">
        <w:rPr>
          <w:rFonts w:cstheme="minorHAnsi"/>
        </w:rPr>
        <w:t>Opuzen</w:t>
      </w:r>
      <w:proofErr w:type="spellEnd"/>
      <w:r w:rsidRPr="000C3852">
        <w:rPr>
          <w:rFonts w:cstheme="minorHAnsi"/>
        </w:rPr>
        <w:t xml:space="preserve"> area, and approximately 3 m near </w:t>
      </w:r>
      <w:proofErr w:type="spellStart"/>
      <w:r w:rsidRPr="000C3852">
        <w:rPr>
          <w:rFonts w:cstheme="minorHAnsi"/>
        </w:rPr>
        <w:t>Metković</w:t>
      </w:r>
      <w:proofErr w:type="spellEnd"/>
      <w:r w:rsidRPr="000C3852">
        <w:rPr>
          <w:rFonts w:cstheme="minorHAnsi"/>
        </w:rPr>
        <w:t>.</w:t>
      </w:r>
    </w:p>
    <w:p w14:paraId="2F52B33A" w14:textId="22A6979D" w:rsidR="000C3852" w:rsidRPr="000C3852" w:rsidRDefault="000C3852" w:rsidP="000C3852">
      <w:pPr>
        <w:jc w:val="both"/>
        <w:rPr>
          <w:rFonts w:cstheme="minorHAnsi"/>
        </w:rPr>
      </w:pPr>
      <w:r w:rsidRPr="000C3852">
        <w:rPr>
          <w:rFonts w:cstheme="minorHAnsi"/>
        </w:rPr>
        <w:t xml:space="preserve">Salinity processes also affect karst springs located along the margins of the </w:t>
      </w:r>
      <w:r>
        <w:rPr>
          <w:rFonts w:cstheme="minorHAnsi"/>
        </w:rPr>
        <w:t>D</w:t>
      </w:r>
      <w:r w:rsidRPr="000C3852">
        <w:rPr>
          <w:rFonts w:cstheme="minorHAnsi"/>
        </w:rPr>
        <w:t xml:space="preserve">elta. The </w:t>
      </w:r>
      <w:proofErr w:type="spellStart"/>
      <w:r w:rsidRPr="000C3852">
        <w:rPr>
          <w:rFonts w:cstheme="minorHAnsi"/>
        </w:rPr>
        <w:t>Prud</w:t>
      </w:r>
      <w:proofErr w:type="spellEnd"/>
      <w:r w:rsidRPr="000C3852">
        <w:rPr>
          <w:rFonts w:cstheme="minorHAnsi"/>
        </w:rPr>
        <w:t xml:space="preserve"> spring, for example, occasionally exhibits elevated chloride concentrations, which are attributed to saline intrusion propagated through the Neretva River system, as well as the influence of an extensive irrigation canal network. Similarly, the </w:t>
      </w:r>
      <w:proofErr w:type="spellStart"/>
      <w:r w:rsidRPr="000C3852">
        <w:rPr>
          <w:rFonts w:cstheme="minorHAnsi"/>
        </w:rPr>
        <w:t>Žrnovica</w:t>
      </w:r>
      <w:proofErr w:type="spellEnd"/>
      <w:r w:rsidRPr="000C3852">
        <w:rPr>
          <w:rFonts w:cstheme="minorHAnsi"/>
        </w:rPr>
        <w:t xml:space="preserve"> spring near </w:t>
      </w:r>
      <w:proofErr w:type="spellStart"/>
      <w:r w:rsidRPr="000C3852">
        <w:rPr>
          <w:rFonts w:cstheme="minorHAnsi"/>
        </w:rPr>
        <w:t>Gradac</w:t>
      </w:r>
      <w:proofErr w:type="spellEnd"/>
      <w:r w:rsidRPr="000C3852">
        <w:rPr>
          <w:rFonts w:cstheme="minorHAnsi"/>
        </w:rPr>
        <w:t xml:space="preserve"> is characterised by brackish water discharge, with chloride concentrations ranging from approximately 3,000 to 11,000 mg/L. Historical investigations in this area have confirmed the existence of complex subsurface flow pathways and mixing processes between freshwater and saline water.</w:t>
      </w:r>
    </w:p>
    <w:p w14:paraId="12B2918A" w14:textId="77777777" w:rsidR="000C3852" w:rsidRPr="000C3852" w:rsidRDefault="000C3852" w:rsidP="000C3852">
      <w:pPr>
        <w:jc w:val="both"/>
        <w:rPr>
          <w:rFonts w:cstheme="minorHAnsi"/>
        </w:rPr>
      </w:pPr>
      <w:r w:rsidRPr="000C3852">
        <w:rPr>
          <w:rFonts w:cstheme="minorHAnsi"/>
        </w:rPr>
        <w:t>These observations clearly indicate that salinity intrusion is not limited to alluvial aquifers but also affects connected karst systems, particularly in discharge zones. The shallow depth of the saline interface and its dynamic behaviour represent a significant constraint for water use, especially for irrigation and water supply purposes.</w:t>
      </w:r>
    </w:p>
    <w:p w14:paraId="678609F6" w14:textId="77777777" w:rsidR="000C3852" w:rsidRPr="000C3852" w:rsidRDefault="000C3852" w:rsidP="000C3852">
      <w:pPr>
        <w:jc w:val="both"/>
        <w:rPr>
          <w:rFonts w:cstheme="minorHAnsi"/>
        </w:rPr>
      </w:pPr>
      <w:r w:rsidRPr="000C3852">
        <w:rPr>
          <w:rFonts w:cstheme="minorHAnsi"/>
        </w:rPr>
        <w:t>Climate change represents an additional, long-term hazard that affects all components of the hydrological cycle. Changes in precipitation patterns, including increased frequency of intense rainfall events and prolonged drought periods, directly influence recharge dynamics and groundwater flow. Intense rainfall promotes rapid infiltration and activation of fast flow pathways, increasing the transport of contaminants through the aquifer. In contrast, extended dry periods reduce recharge, decrease dilution capacity, and intensify both contamination risks and salinity intrusion.</w:t>
      </w:r>
    </w:p>
    <w:p w14:paraId="1C39105D" w14:textId="77777777" w:rsidR="000C3852" w:rsidRPr="000C3852" w:rsidRDefault="000C3852" w:rsidP="000C3852">
      <w:pPr>
        <w:jc w:val="both"/>
        <w:rPr>
          <w:rFonts w:cstheme="minorHAnsi"/>
        </w:rPr>
      </w:pPr>
      <w:r w:rsidRPr="000C3852">
        <w:rPr>
          <w:rFonts w:cstheme="minorHAnsi"/>
        </w:rPr>
        <w:t>The combined effects of these hazards result in increased variability of the hydrological regime and amplify the sensitivity of the karst system. Flood events enhance contaminant transport, while reduced freshwater inflows during dry periods promote inland migration of saline water. These processes are strongly interconnected and mutually reinforcing.</w:t>
      </w:r>
    </w:p>
    <w:p w14:paraId="7DA40BAF" w14:textId="0BAFD2F7" w:rsidR="000C3852" w:rsidRDefault="000C3852" w:rsidP="000C3852">
      <w:pPr>
        <w:jc w:val="both"/>
        <w:rPr>
          <w:rFonts w:cstheme="minorHAnsi"/>
        </w:rPr>
      </w:pPr>
      <w:r>
        <w:rPr>
          <w:rFonts w:cstheme="minorHAnsi"/>
        </w:rPr>
        <w:t>T</w:t>
      </w:r>
      <w:r w:rsidRPr="000C3852">
        <w:rPr>
          <w:rFonts w:cstheme="minorHAnsi"/>
        </w:rPr>
        <w:t>he impact of natural hazards on the karst aquifer system is assessed as high, particularly in recharge zones and in the lower basin where freshwater–seawater interactions occur. These processes significantly affect both the quantitative and qualitative status of groundwater and must be considered in vulnerability assessment and water management planning.</w:t>
      </w:r>
    </w:p>
    <w:p w14:paraId="1907DDB8" w14:textId="77777777" w:rsidR="000C3852" w:rsidRPr="000C3852" w:rsidRDefault="000C3852" w:rsidP="000C3852">
      <w:pPr>
        <w:jc w:val="both"/>
        <w:rPr>
          <w:rFonts w:cstheme="minorHAnsi"/>
        </w:rPr>
      </w:pPr>
    </w:p>
    <w:p w14:paraId="77DA9975" w14:textId="37ACE7FD" w:rsidR="00970389" w:rsidRPr="00970389" w:rsidRDefault="00970389" w:rsidP="00970389">
      <w:pPr>
        <w:pStyle w:val="Heading1"/>
        <w:rPr>
          <w:lang w:val="en-GB"/>
        </w:rPr>
      </w:pPr>
      <w:bookmarkStart w:id="93" w:name="_Toc229036220"/>
      <w:r w:rsidRPr="00970389">
        <w:rPr>
          <w:lang w:val="en-GB"/>
        </w:rPr>
        <w:t>5. Current monitoring and data management practices</w:t>
      </w:r>
      <w:bookmarkEnd w:id="93"/>
      <w:r w:rsidRPr="00970389">
        <w:rPr>
          <w:lang w:val="en-GB"/>
        </w:rPr>
        <w:t xml:space="preserve"> </w:t>
      </w:r>
    </w:p>
    <w:p w14:paraId="183E08BB" w14:textId="6C32F37E" w:rsidR="00970389" w:rsidRDefault="00970389" w:rsidP="00970389">
      <w:pPr>
        <w:jc w:val="both"/>
      </w:pPr>
      <w:r w:rsidRPr="00012DD9">
        <w:t>Although Croatia is EU member and B</w:t>
      </w:r>
      <w:r>
        <w:t>i</w:t>
      </w:r>
      <w:r w:rsidRPr="00012DD9">
        <w:t>H is a candidate country for EU membership, they both have River Basin Management Plans (RBMP) in force. Two RBMP are relevant for TBA Neretva: the third RBMP until 2027</w:t>
      </w:r>
      <w:r>
        <w:t>,</w:t>
      </w:r>
      <w:r w:rsidRPr="00012DD9">
        <w:t xml:space="preserve"> currently valid in Croatia</w:t>
      </w:r>
      <w:r>
        <w:t>,</w:t>
      </w:r>
      <w:r w:rsidRPr="00012DD9">
        <w:t xml:space="preserve"> and</w:t>
      </w:r>
      <w:r>
        <w:t xml:space="preserve"> the</w:t>
      </w:r>
      <w:r w:rsidRPr="00012DD9">
        <w:t xml:space="preserve"> </w:t>
      </w:r>
      <w:r w:rsidRPr="00191A4D">
        <w:t>second RBMP for Adriatic Basin in the Federation of BiH (2022-2027). All the data in this document regarding the monitoring are provided from this official documentation and relevant institutions.</w:t>
      </w:r>
    </w:p>
    <w:p w14:paraId="1EE19EB7" w14:textId="687FB75C" w:rsidR="00970389" w:rsidRDefault="00970389" w:rsidP="00970389">
      <w:pPr>
        <w:jc w:val="both"/>
      </w:pPr>
      <w:r w:rsidRPr="00253A67">
        <w:t>In Croatia</w:t>
      </w:r>
      <w:r>
        <w:t>,</w:t>
      </w:r>
      <w:r w:rsidRPr="00253A67">
        <w:t xml:space="preserve"> water legislation is fully aligned with the Water Framework Directive (WFD), the Groundwater Directive (GWD), and the Drinking Water Directive (DWD), while in Federation of Bosnia and Herzegovina</w:t>
      </w:r>
      <w:r>
        <w:t xml:space="preserve"> (</w:t>
      </w:r>
      <w:bookmarkStart w:id="94" w:name="_Hlk221993844"/>
      <w:r>
        <w:t>FBiH</w:t>
      </w:r>
      <w:bookmarkEnd w:id="94"/>
      <w:r>
        <w:t>)</w:t>
      </w:r>
      <w:r w:rsidRPr="00253A67">
        <w:t xml:space="preserve"> </w:t>
      </w:r>
      <w:r>
        <w:t>w</w:t>
      </w:r>
      <w:r w:rsidRPr="00253A67">
        <w:t xml:space="preserve">ater legislation is largely aligned with the WFD and partly aligned with the GWD and the DWD; so further harmonisation and implementation are still ongoing. </w:t>
      </w:r>
    </w:p>
    <w:p w14:paraId="50928F79" w14:textId="79EB3C28" w:rsidR="00970389" w:rsidRDefault="00970389" w:rsidP="00970389">
      <w:pPr>
        <w:jc w:val="both"/>
      </w:pPr>
      <w:r w:rsidRPr="00E03F4F">
        <w:t xml:space="preserve">For water status monitoring in support of river basin management planning, the responsible authorities are the Agency </w:t>
      </w:r>
      <w:r w:rsidRPr="00C841E3">
        <w:t>for watershed of the Adriatic Sea</w:t>
      </w:r>
      <w:r w:rsidRPr="00E03F4F">
        <w:t xml:space="preserve"> (FB</w:t>
      </w:r>
      <w:r>
        <w:t>i</w:t>
      </w:r>
      <w:r w:rsidRPr="00E03F4F">
        <w:t>H)</w:t>
      </w:r>
      <w:r>
        <w:t xml:space="preserve">, </w:t>
      </w:r>
      <w:r w:rsidRPr="00E03F4F">
        <w:t xml:space="preserve">Croatian Waters and Josip Juraj </w:t>
      </w:r>
      <w:proofErr w:type="spellStart"/>
      <w:r w:rsidRPr="00E03F4F">
        <w:lastRenderedPageBreak/>
        <w:t>Strossmayer</w:t>
      </w:r>
      <w:proofErr w:type="spellEnd"/>
      <w:r w:rsidRPr="00E03F4F">
        <w:t xml:space="preserve"> Water Institute. In Croatia and </w:t>
      </w:r>
      <w:r w:rsidRPr="00253A67">
        <w:t>B</w:t>
      </w:r>
      <w:r>
        <w:t>i</w:t>
      </w:r>
      <w:r w:rsidRPr="00253A67">
        <w:t>H</w:t>
      </w:r>
      <w:r w:rsidRPr="00E03F4F">
        <w:t>, the Hydrometeorological Institutes handle hydrological and meteorological monitoring and data processing, while the Institutes of Public Health are responsible for drinking water quality monitoring.</w:t>
      </w:r>
    </w:p>
    <w:p w14:paraId="2196E941" w14:textId="3109D155" w:rsidR="00970389" w:rsidRDefault="00970389" w:rsidP="00970389">
      <w:pPr>
        <w:jc w:val="both"/>
      </w:pPr>
      <w:r w:rsidRPr="009F7DA1">
        <w:t>Croatia has fully implemented chemical groundwater monitoring</w:t>
      </w:r>
      <w:r>
        <w:t xml:space="preserve">, while </w:t>
      </w:r>
      <w:r w:rsidRPr="00716A9E">
        <w:t>in the Adriatic basin of</w:t>
      </w:r>
      <w:r>
        <w:t xml:space="preserve"> </w:t>
      </w:r>
      <w:r w:rsidRPr="00C23302">
        <w:t>Federation of Bosnia and Herzegovina (FB</w:t>
      </w:r>
      <w:r>
        <w:t>i</w:t>
      </w:r>
      <w:r w:rsidRPr="00C23302">
        <w:t>H)</w:t>
      </w:r>
      <w:r>
        <w:t xml:space="preserve"> groundwater monitoring is still not fully aligned with EU legislation. However, all water supply springs are covered with both chemical and quantitative monitoring.</w:t>
      </w:r>
      <w:r w:rsidRPr="00AB1026">
        <w:t xml:space="preserve"> Systematic monitoring of spring capacity is lacking, leaving the actual availability and long-term sustainability of groundwater resources largely unassessed. Only the extracted groundwater volumes are measured, while overflow or natural discharge from springs is rarely monitored</w:t>
      </w:r>
      <w:r>
        <w:t xml:space="preserve"> (only on </w:t>
      </w:r>
      <w:proofErr w:type="spellStart"/>
      <w:r w:rsidRPr="00970389">
        <w:rPr>
          <w:i/>
          <w:iCs/>
        </w:rPr>
        <w:t>Prud</w:t>
      </w:r>
      <w:proofErr w:type="spellEnd"/>
      <w:r>
        <w:t xml:space="preserve"> and </w:t>
      </w:r>
      <w:proofErr w:type="spellStart"/>
      <w:r w:rsidRPr="00970389">
        <w:rPr>
          <w:i/>
          <w:iCs/>
        </w:rPr>
        <w:t>Opačac</w:t>
      </w:r>
      <w:proofErr w:type="spellEnd"/>
      <w:r w:rsidRPr="00970389">
        <w:rPr>
          <w:i/>
          <w:iCs/>
        </w:rPr>
        <w:t xml:space="preserve"> spring</w:t>
      </w:r>
      <w:r>
        <w:t xml:space="preserve"> and recently on </w:t>
      </w:r>
      <w:proofErr w:type="spellStart"/>
      <w:r w:rsidRPr="00970389">
        <w:rPr>
          <w:i/>
          <w:iCs/>
        </w:rPr>
        <w:t>Grudsko</w:t>
      </w:r>
      <w:proofErr w:type="spellEnd"/>
      <w:r w:rsidRPr="00970389">
        <w:rPr>
          <w:i/>
          <w:iCs/>
        </w:rPr>
        <w:t xml:space="preserve"> </w:t>
      </w:r>
      <w:proofErr w:type="spellStart"/>
      <w:r w:rsidRPr="00970389">
        <w:rPr>
          <w:i/>
          <w:iCs/>
        </w:rPr>
        <w:t>vrilo</w:t>
      </w:r>
      <w:proofErr w:type="spellEnd"/>
      <w:r>
        <w:t>)</w:t>
      </w:r>
      <w:r w:rsidRPr="00AB1026">
        <w:t>.</w:t>
      </w:r>
    </w:p>
    <w:p w14:paraId="357F235A" w14:textId="07C07175" w:rsidR="00970389" w:rsidRDefault="00970389" w:rsidP="00970389">
      <w:pPr>
        <w:spacing w:after="0"/>
        <w:jc w:val="both"/>
      </w:pPr>
      <w:r w:rsidRPr="00C23302">
        <w:t>Regarding groundwater-dependent ecosystems (GDEs), both aquatic and terrestrial GDEs were identified in Croatia’s 2</w:t>
      </w:r>
      <w:r w:rsidRPr="009472F8">
        <w:rPr>
          <w:vertAlign w:val="superscript"/>
        </w:rPr>
        <w:t>nd</w:t>
      </w:r>
      <w:r w:rsidRPr="00C23302">
        <w:t xml:space="preserve"> River Basin Management Plan (RBMP). In FB</w:t>
      </w:r>
      <w:r>
        <w:t>i</w:t>
      </w:r>
      <w:r w:rsidRPr="00C23302">
        <w:t>H, GDEs are not explicitly defined in water legislation, but their protection is indirectly addressed through broader environmental protection laws.</w:t>
      </w:r>
      <w:r>
        <w:t xml:space="preserve"> </w:t>
      </w:r>
      <w:r w:rsidRPr="009F7DA1">
        <w:t>However, both Croatia and Bosnia and Herzegovina</w:t>
      </w:r>
      <w:r>
        <w:t xml:space="preserve"> </w:t>
      </w:r>
      <w:r w:rsidRPr="009F7DA1">
        <w:t>currently lack a national, systematic monitoring program for GDEs, leaving a significant knowledge gap in assessing and managing the ecological status of these critical ecosystems.</w:t>
      </w:r>
    </w:p>
    <w:p w14:paraId="697C0B22" w14:textId="2B8E8620" w:rsidR="00970389" w:rsidRDefault="00970389" w:rsidP="00970389">
      <w:pPr>
        <w:spacing w:before="120"/>
        <w:jc w:val="both"/>
      </w:pPr>
      <w:r w:rsidRPr="00976781">
        <w:t xml:space="preserve">Regarding cross-border </w:t>
      </w:r>
      <w:r w:rsidR="00D802B3">
        <w:t>groundwater</w:t>
      </w:r>
      <w:r w:rsidRPr="00976781">
        <w:t xml:space="preserve"> monitoring,</w:t>
      </w:r>
      <w:r w:rsidRPr="00AE38CA">
        <w:t xml:space="preserve"> </w:t>
      </w:r>
      <w:r w:rsidRPr="00F45864">
        <w:t>further harmonization of monitoring approaches across transboundary aquifers and groundwater bodies is essential. Such harmonization could be developed and facilitated through the DIKTAS II project.</w:t>
      </w:r>
    </w:p>
    <w:p w14:paraId="748771A6" w14:textId="77777777" w:rsidR="00D802B3" w:rsidRDefault="00D802B3" w:rsidP="00970389">
      <w:pPr>
        <w:pStyle w:val="Heading2"/>
      </w:pPr>
    </w:p>
    <w:p w14:paraId="56C41694" w14:textId="15BC514B" w:rsidR="00970389" w:rsidRPr="00D802B3" w:rsidRDefault="00970389" w:rsidP="00D802B3">
      <w:pPr>
        <w:pStyle w:val="Heading2"/>
      </w:pPr>
      <w:bookmarkStart w:id="95" w:name="_Toc229036221"/>
      <w:r w:rsidRPr="00D802B3">
        <w:t>5.1 Monitoring network design</w:t>
      </w:r>
      <w:bookmarkEnd w:id="95"/>
      <w:r w:rsidRPr="00D802B3">
        <w:t xml:space="preserve"> </w:t>
      </w:r>
    </w:p>
    <w:p w14:paraId="3BA315F1" w14:textId="2C489887" w:rsidR="00970389" w:rsidRPr="00AE38CA" w:rsidRDefault="00970389" w:rsidP="00D802B3">
      <w:pPr>
        <w:jc w:val="both"/>
      </w:pPr>
      <w:r>
        <w:t xml:space="preserve">The monitoring network consists of groundwater monitoring of both quality and quantity, as well as surface water monitoring for chemical and ecological status. </w:t>
      </w:r>
      <w:r w:rsidRPr="00AE38CA">
        <w:t xml:space="preserve">Additionally, the monitoring network includes hydrometeorological measurements and stations distributed across </w:t>
      </w:r>
      <w:r w:rsidR="00D802B3">
        <w:t>Neretva</w:t>
      </w:r>
      <w:r w:rsidR="00D802B3" w:rsidRPr="00AE38CA">
        <w:t xml:space="preserve"> </w:t>
      </w:r>
      <w:r w:rsidRPr="00AE38CA">
        <w:t>TBA.</w:t>
      </w:r>
      <w:bookmarkStart w:id="96" w:name="_Hlk226454386"/>
    </w:p>
    <w:p w14:paraId="7A8D80C9" w14:textId="362EE1C8" w:rsidR="00970389" w:rsidRPr="00D802B3" w:rsidRDefault="00D802B3" w:rsidP="00D802B3">
      <w:pPr>
        <w:pStyle w:val="Heading3"/>
        <w:rPr>
          <w:lang w:val="en-GB"/>
        </w:rPr>
      </w:pPr>
      <w:bookmarkStart w:id="97" w:name="_Toc229036222"/>
      <w:r w:rsidRPr="00D802B3">
        <w:rPr>
          <w:lang w:val="en-GB"/>
        </w:rPr>
        <w:t>5.1.1 Groundwater monitoring</w:t>
      </w:r>
      <w:bookmarkEnd w:id="97"/>
    </w:p>
    <w:p w14:paraId="2E23210E" w14:textId="3A27FF07" w:rsidR="00D802B3" w:rsidRDefault="00D802B3" w:rsidP="00D802B3">
      <w:pPr>
        <w:jc w:val="both"/>
      </w:pPr>
      <w:r>
        <w:t>In Neretva TBA, groundwater quality monitoring is carried out at all springs used for water supply, in accordance with the DWD and national drinking water legislation. However, groundwater monitoring for the assessment of the chemical status of karst aquifers is not yet fully aligned with the requirements of the WFD, GWD, and DWD.</w:t>
      </w:r>
    </w:p>
    <w:p w14:paraId="705B0D41" w14:textId="70186EB9" w:rsidR="00D802B3" w:rsidRDefault="00D802B3" w:rsidP="00D802B3">
      <w:pPr>
        <w:jc w:val="both"/>
      </w:pPr>
      <w:proofErr w:type="gramStart"/>
      <w:r>
        <w:t>With regard to</w:t>
      </w:r>
      <w:proofErr w:type="gramEnd"/>
      <w:r>
        <w:t xml:space="preserve"> quantitative monitoring in the Neretva TBA, almost all springs used for water supply are equipped with measurements of abstracted quantities. However, only the </w:t>
      </w:r>
      <w:proofErr w:type="spellStart"/>
      <w:r>
        <w:t>Prud</w:t>
      </w:r>
      <w:proofErr w:type="spellEnd"/>
      <w:r>
        <w:t xml:space="preserve"> spring has a gauging station for measuring overflow volumes. There are only three groundwater monitoring stations in Neretva TBA, all of which are located within Croatian territory (Table 5.1 and Figure 5.1).</w:t>
      </w:r>
    </w:p>
    <w:p w14:paraId="1587858E" w14:textId="1DFF57BA" w:rsidR="00970389" w:rsidRDefault="00970389" w:rsidP="00D802B3">
      <w:pPr>
        <w:jc w:val="both"/>
      </w:pPr>
      <w:r w:rsidRPr="007D6863">
        <w:rPr>
          <w:color w:val="000000" w:themeColor="text1"/>
        </w:rPr>
        <w:t xml:space="preserve">Table 5.1 provides data on groundwater monitoring stations in the TBA </w:t>
      </w:r>
      <w:r>
        <w:rPr>
          <w:color w:val="000000" w:themeColor="text1"/>
        </w:rPr>
        <w:t>Neretva</w:t>
      </w:r>
      <w:r w:rsidRPr="007D6863">
        <w:rPr>
          <w:color w:val="000000" w:themeColor="text1"/>
        </w:rPr>
        <w:t xml:space="preserve">, including both chemical (quality) and quantitative status. The locations of the stations </w:t>
      </w:r>
      <w:r>
        <w:t xml:space="preserve">are shown in the </w:t>
      </w:r>
      <w:r w:rsidR="00D802B3">
        <w:t>F</w:t>
      </w:r>
      <w:r>
        <w:t>igure 5.1.</w:t>
      </w:r>
    </w:p>
    <w:p w14:paraId="0B1B5D00" w14:textId="2D3A8864" w:rsidR="00970389" w:rsidRDefault="002F4776" w:rsidP="002F4776">
      <w:pPr>
        <w:pStyle w:val="Caption"/>
        <w:rPr>
          <w:color w:val="auto"/>
        </w:rPr>
      </w:pPr>
      <w:bookmarkStart w:id="98" w:name="_Toc229037733"/>
      <w:r>
        <w:t xml:space="preserve">Table </w:t>
      </w:r>
      <w:r>
        <w:fldChar w:fldCharType="begin"/>
      </w:r>
      <w:r>
        <w:instrText xml:space="preserve"> SEQ Table \* ARABIC </w:instrText>
      </w:r>
      <w:r>
        <w:fldChar w:fldCharType="separate"/>
      </w:r>
      <w:r>
        <w:rPr>
          <w:noProof/>
        </w:rPr>
        <w:t>11</w:t>
      </w:r>
      <w:r>
        <w:fldChar w:fldCharType="end"/>
      </w:r>
      <w:r>
        <w:t xml:space="preserve"> </w:t>
      </w:r>
      <w:r w:rsidRPr="008C3492">
        <w:t>Groundwater monitoring stations in Neretva TBA</w:t>
      </w:r>
      <w:bookmarkEnd w:id="98"/>
    </w:p>
    <w:tbl>
      <w:tblPr>
        <w:tblW w:w="889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11"/>
        <w:gridCol w:w="1607"/>
        <w:gridCol w:w="1444"/>
        <w:gridCol w:w="1716"/>
        <w:gridCol w:w="1713"/>
      </w:tblGrid>
      <w:tr w:rsidR="00970389" w:rsidRPr="0039215F" w14:paraId="5BEC18B7" w14:textId="77777777" w:rsidTr="00682BC9">
        <w:trPr>
          <w:trHeight w:val="283"/>
        </w:trPr>
        <w:tc>
          <w:tcPr>
            <w:tcW w:w="2411" w:type="dxa"/>
            <w:shd w:val="clear" w:color="auto" w:fill="A5C9EB"/>
            <w:noWrap/>
            <w:vAlign w:val="center"/>
            <w:hideMark/>
          </w:tcPr>
          <w:p w14:paraId="33CB7642" w14:textId="77777777" w:rsidR="00970389" w:rsidRPr="0039215F" w:rsidRDefault="00970389" w:rsidP="00682BC9">
            <w:pPr>
              <w:spacing w:after="0" w:line="240" w:lineRule="auto"/>
              <w:jc w:val="center"/>
              <w:rPr>
                <w:rFonts w:ascii="Calibri" w:eastAsia="Times New Roman" w:hAnsi="Calibri" w:cs="Calibri"/>
                <w:b/>
                <w:color w:val="000000"/>
                <w:sz w:val="16"/>
                <w:szCs w:val="16"/>
                <w:lang w:val="hr-HR" w:eastAsia="hr-HR"/>
              </w:rPr>
            </w:pPr>
            <w:r w:rsidRPr="0039215F">
              <w:rPr>
                <w:rFonts w:ascii="Calibri" w:eastAsia="Times New Roman" w:hAnsi="Calibri" w:cs="Calibri"/>
                <w:b/>
                <w:color w:val="000000"/>
                <w:sz w:val="16"/>
                <w:szCs w:val="16"/>
                <w:lang w:val="hr-HR" w:eastAsia="hr-HR"/>
              </w:rPr>
              <w:t>NAME</w:t>
            </w:r>
          </w:p>
        </w:tc>
        <w:tc>
          <w:tcPr>
            <w:tcW w:w="1607" w:type="dxa"/>
            <w:shd w:val="clear" w:color="auto" w:fill="A5C9EB"/>
            <w:noWrap/>
            <w:vAlign w:val="center"/>
            <w:hideMark/>
          </w:tcPr>
          <w:p w14:paraId="1F8490BA" w14:textId="77777777" w:rsidR="00970389" w:rsidRPr="0039215F" w:rsidRDefault="00970389" w:rsidP="00682BC9">
            <w:pPr>
              <w:spacing w:after="0" w:line="240" w:lineRule="auto"/>
              <w:jc w:val="center"/>
              <w:rPr>
                <w:rFonts w:ascii="Calibri" w:eastAsia="Times New Roman" w:hAnsi="Calibri" w:cs="Calibri"/>
                <w:b/>
                <w:color w:val="000000"/>
                <w:sz w:val="16"/>
                <w:szCs w:val="16"/>
                <w:lang w:val="hr-HR" w:eastAsia="hr-HR"/>
              </w:rPr>
            </w:pPr>
            <w:r w:rsidRPr="0039215F">
              <w:rPr>
                <w:rFonts w:ascii="Calibri" w:eastAsia="Times New Roman" w:hAnsi="Calibri" w:cs="Calibri"/>
                <w:b/>
                <w:color w:val="000000"/>
                <w:sz w:val="16"/>
                <w:szCs w:val="16"/>
                <w:lang w:val="hr-HR" w:eastAsia="hr-HR"/>
              </w:rPr>
              <w:t>CODE</w:t>
            </w:r>
          </w:p>
        </w:tc>
        <w:tc>
          <w:tcPr>
            <w:tcW w:w="1444" w:type="dxa"/>
            <w:shd w:val="clear" w:color="auto" w:fill="A5C9EB"/>
            <w:noWrap/>
            <w:vAlign w:val="center"/>
            <w:hideMark/>
          </w:tcPr>
          <w:p w14:paraId="3BB105BD" w14:textId="48B3FFCF" w:rsidR="00970389" w:rsidRPr="0039215F" w:rsidRDefault="00D802B3" w:rsidP="00682BC9">
            <w:pPr>
              <w:spacing w:after="0" w:line="240" w:lineRule="auto"/>
              <w:jc w:val="center"/>
              <w:rPr>
                <w:rFonts w:ascii="Calibri" w:eastAsia="Times New Roman" w:hAnsi="Calibri" w:cs="Calibri"/>
                <w:b/>
                <w:color w:val="000000"/>
                <w:sz w:val="16"/>
                <w:szCs w:val="16"/>
                <w:lang w:val="hr-HR" w:eastAsia="hr-HR"/>
              </w:rPr>
            </w:pPr>
            <w:r w:rsidRPr="0039215F">
              <w:rPr>
                <w:rFonts w:ascii="Calibri" w:eastAsia="Times New Roman" w:hAnsi="Calibri" w:cs="Calibri"/>
                <w:b/>
                <w:color w:val="000000"/>
                <w:sz w:val="16"/>
                <w:szCs w:val="16"/>
                <w:lang w:val="hr-HR" w:eastAsia="hr-HR"/>
              </w:rPr>
              <w:t xml:space="preserve">QUALITY </w:t>
            </w:r>
            <w:r w:rsidR="00970389" w:rsidRPr="0039215F">
              <w:rPr>
                <w:rFonts w:ascii="Calibri" w:eastAsia="Times New Roman" w:hAnsi="Calibri" w:cs="Calibri"/>
                <w:b/>
                <w:color w:val="000000"/>
                <w:sz w:val="16"/>
                <w:szCs w:val="16"/>
                <w:lang w:val="hr-HR" w:eastAsia="hr-HR"/>
              </w:rPr>
              <w:t xml:space="preserve">TYPE </w:t>
            </w:r>
          </w:p>
        </w:tc>
        <w:tc>
          <w:tcPr>
            <w:tcW w:w="1716" w:type="dxa"/>
            <w:shd w:val="clear" w:color="auto" w:fill="A5C9EB"/>
            <w:vAlign w:val="center"/>
          </w:tcPr>
          <w:p w14:paraId="1135F928" w14:textId="77777777" w:rsidR="00970389" w:rsidRPr="0039215F" w:rsidRDefault="00970389" w:rsidP="00682BC9">
            <w:pPr>
              <w:spacing w:after="0" w:line="240" w:lineRule="auto"/>
              <w:jc w:val="center"/>
              <w:rPr>
                <w:rFonts w:ascii="Calibri" w:eastAsia="Times New Roman" w:hAnsi="Calibri" w:cs="Calibri"/>
                <w:b/>
                <w:color w:val="000000"/>
                <w:sz w:val="16"/>
                <w:szCs w:val="16"/>
                <w:lang w:val="hr-HR" w:eastAsia="hr-HR"/>
              </w:rPr>
            </w:pPr>
            <w:r w:rsidRPr="0039215F">
              <w:rPr>
                <w:rFonts w:ascii="Calibri" w:eastAsia="Times New Roman" w:hAnsi="Calibri" w:cs="Calibri"/>
                <w:b/>
                <w:color w:val="000000"/>
                <w:sz w:val="16"/>
                <w:szCs w:val="16"/>
                <w:lang w:val="hr-HR" w:eastAsia="hr-HR"/>
              </w:rPr>
              <w:t>QUANTITY</w:t>
            </w:r>
          </w:p>
        </w:tc>
        <w:tc>
          <w:tcPr>
            <w:tcW w:w="1713" w:type="dxa"/>
            <w:shd w:val="clear" w:color="auto" w:fill="A5C9EB"/>
            <w:vAlign w:val="center"/>
          </w:tcPr>
          <w:p w14:paraId="5EA430AC" w14:textId="77777777" w:rsidR="00970389" w:rsidRPr="0039215F" w:rsidRDefault="00970389" w:rsidP="00682BC9">
            <w:pPr>
              <w:spacing w:after="0" w:line="240" w:lineRule="auto"/>
              <w:jc w:val="center"/>
              <w:rPr>
                <w:rFonts w:ascii="Calibri" w:eastAsia="Times New Roman" w:hAnsi="Calibri" w:cs="Calibri"/>
                <w:b/>
                <w:color w:val="000000"/>
                <w:sz w:val="16"/>
                <w:szCs w:val="16"/>
                <w:lang w:val="hr-HR" w:eastAsia="hr-HR"/>
              </w:rPr>
            </w:pPr>
            <w:r w:rsidRPr="0039215F">
              <w:rPr>
                <w:rFonts w:ascii="Calibri" w:eastAsia="Times New Roman" w:hAnsi="Calibri" w:cs="Calibri"/>
                <w:b/>
                <w:color w:val="000000"/>
                <w:sz w:val="16"/>
                <w:szCs w:val="16"/>
                <w:lang w:val="hr-HR" w:eastAsia="hr-HR"/>
              </w:rPr>
              <w:t>COUNTRY</w:t>
            </w:r>
          </w:p>
        </w:tc>
      </w:tr>
      <w:tr w:rsidR="00970389" w:rsidRPr="0039215F" w14:paraId="6B5721A6" w14:textId="77777777" w:rsidTr="00682BC9">
        <w:trPr>
          <w:trHeight w:val="283"/>
        </w:trPr>
        <w:tc>
          <w:tcPr>
            <w:tcW w:w="2411" w:type="dxa"/>
            <w:noWrap/>
            <w:vAlign w:val="bottom"/>
            <w:hideMark/>
          </w:tcPr>
          <w:p w14:paraId="0B7D0358" w14:textId="77777777" w:rsidR="00970389" w:rsidRPr="0039215F" w:rsidRDefault="00970389" w:rsidP="00682BC9">
            <w:pPr>
              <w:spacing w:after="0" w:line="240" w:lineRule="auto"/>
              <w:rPr>
                <w:rFonts w:ascii="Calibri" w:eastAsia="Times New Roman" w:hAnsi="Calibri" w:cs="Calibri"/>
                <w:color w:val="000000"/>
                <w:sz w:val="16"/>
                <w:szCs w:val="16"/>
                <w:lang w:val="hr-HR" w:eastAsia="hr-HR"/>
              </w:rPr>
            </w:pPr>
            <w:r w:rsidRPr="0039215F">
              <w:rPr>
                <w:rFonts w:ascii="Calibri" w:eastAsia="Times New Roman" w:hAnsi="Calibri" w:cs="Calibri"/>
                <w:color w:val="000000"/>
                <w:sz w:val="16"/>
                <w:szCs w:val="16"/>
                <w:lang w:val="hr-HR" w:eastAsia="hr-HR"/>
              </w:rPr>
              <w:t>Banja</w:t>
            </w:r>
          </w:p>
        </w:tc>
        <w:tc>
          <w:tcPr>
            <w:tcW w:w="1607" w:type="dxa"/>
            <w:noWrap/>
            <w:vAlign w:val="bottom"/>
            <w:hideMark/>
          </w:tcPr>
          <w:p w14:paraId="55F5F8CC" w14:textId="77777777" w:rsidR="00970389" w:rsidRPr="0039215F" w:rsidRDefault="00970389" w:rsidP="00682BC9">
            <w:pPr>
              <w:spacing w:after="0" w:line="240" w:lineRule="auto"/>
              <w:jc w:val="center"/>
              <w:rPr>
                <w:rFonts w:ascii="Calibri" w:eastAsia="Times New Roman" w:hAnsi="Calibri" w:cs="Calibri"/>
                <w:color w:val="000000"/>
                <w:sz w:val="16"/>
                <w:szCs w:val="16"/>
                <w:lang w:val="hr-HR" w:eastAsia="hr-HR"/>
              </w:rPr>
            </w:pPr>
            <w:r w:rsidRPr="0039215F">
              <w:rPr>
                <w:rFonts w:ascii="Calibri" w:eastAsia="Times New Roman" w:hAnsi="Calibri" w:cs="Calibri"/>
                <w:color w:val="000000"/>
                <w:sz w:val="16"/>
                <w:szCs w:val="16"/>
                <w:lang w:val="hr-HR" w:eastAsia="hr-HR"/>
              </w:rPr>
              <w:t>40709</w:t>
            </w:r>
          </w:p>
        </w:tc>
        <w:tc>
          <w:tcPr>
            <w:tcW w:w="1444" w:type="dxa"/>
            <w:noWrap/>
            <w:vAlign w:val="bottom"/>
            <w:hideMark/>
          </w:tcPr>
          <w:p w14:paraId="58567BEE" w14:textId="77777777" w:rsidR="00970389" w:rsidRPr="0039215F" w:rsidRDefault="00970389" w:rsidP="00682BC9">
            <w:pPr>
              <w:spacing w:after="0" w:line="240" w:lineRule="auto"/>
              <w:rPr>
                <w:rFonts w:ascii="Calibri" w:eastAsia="Times New Roman" w:hAnsi="Calibri" w:cs="Calibri"/>
                <w:color w:val="000000"/>
                <w:sz w:val="16"/>
                <w:szCs w:val="16"/>
                <w:lang w:val="hr-HR" w:eastAsia="hr-HR"/>
              </w:rPr>
            </w:pPr>
            <w:r w:rsidRPr="0039215F">
              <w:rPr>
                <w:rFonts w:ascii="Calibri" w:hAnsi="Calibri" w:cs="Calibri"/>
                <w:color w:val="000000"/>
                <w:sz w:val="16"/>
                <w:szCs w:val="16"/>
              </w:rPr>
              <w:t>S; DWD</w:t>
            </w:r>
          </w:p>
        </w:tc>
        <w:tc>
          <w:tcPr>
            <w:tcW w:w="1716" w:type="dxa"/>
          </w:tcPr>
          <w:p w14:paraId="08DD40CA" w14:textId="77777777" w:rsidR="00970389" w:rsidRPr="0039215F" w:rsidRDefault="00970389" w:rsidP="00682BC9">
            <w:pPr>
              <w:spacing w:after="0" w:line="240" w:lineRule="auto"/>
              <w:rPr>
                <w:rFonts w:ascii="Calibri" w:eastAsia="Times New Roman" w:hAnsi="Calibri" w:cs="Calibri"/>
                <w:color w:val="000000"/>
                <w:sz w:val="16"/>
                <w:szCs w:val="16"/>
                <w:lang w:val="hr-HR" w:eastAsia="hr-HR"/>
              </w:rPr>
            </w:pPr>
            <w:r w:rsidRPr="0039215F">
              <w:rPr>
                <w:rFonts w:ascii="Calibri" w:eastAsia="Times New Roman" w:hAnsi="Calibri" w:cs="Calibri"/>
                <w:color w:val="000000"/>
                <w:sz w:val="16"/>
                <w:szCs w:val="16"/>
                <w:lang w:val="hr-HR" w:eastAsia="hr-HR"/>
              </w:rPr>
              <w:t>Q</w:t>
            </w:r>
            <w:r w:rsidRPr="0039215F">
              <w:rPr>
                <w:rFonts w:ascii="Calibri" w:eastAsia="Times New Roman" w:hAnsi="Calibri" w:cs="Calibri"/>
                <w:color w:val="000000"/>
                <w:sz w:val="16"/>
                <w:szCs w:val="16"/>
                <w:vertAlign w:val="subscript"/>
                <w:lang w:val="hr-HR" w:eastAsia="hr-HR"/>
              </w:rPr>
              <w:t>A</w:t>
            </w:r>
          </w:p>
        </w:tc>
        <w:tc>
          <w:tcPr>
            <w:tcW w:w="1713" w:type="dxa"/>
            <w:vAlign w:val="bottom"/>
          </w:tcPr>
          <w:p w14:paraId="2B0B4B5E" w14:textId="77777777" w:rsidR="00970389" w:rsidRPr="0039215F" w:rsidRDefault="00970389" w:rsidP="00682BC9">
            <w:pPr>
              <w:spacing w:after="0" w:line="240" w:lineRule="auto"/>
              <w:rPr>
                <w:rFonts w:ascii="Calibri" w:eastAsia="Times New Roman" w:hAnsi="Calibri" w:cs="Calibri"/>
                <w:color w:val="000000"/>
                <w:sz w:val="16"/>
                <w:szCs w:val="16"/>
                <w:lang w:val="hr-HR" w:eastAsia="hr-HR"/>
              </w:rPr>
            </w:pPr>
            <w:r w:rsidRPr="0039215F">
              <w:rPr>
                <w:rFonts w:ascii="Calibri" w:eastAsia="Times New Roman" w:hAnsi="Calibri" w:cs="Calibri"/>
                <w:color w:val="000000"/>
                <w:sz w:val="16"/>
                <w:szCs w:val="16"/>
                <w:lang w:val="hr-HR" w:eastAsia="hr-HR"/>
              </w:rPr>
              <w:t>Croatia</w:t>
            </w:r>
          </w:p>
        </w:tc>
      </w:tr>
      <w:tr w:rsidR="00970389" w:rsidRPr="0039215F" w14:paraId="6E879375" w14:textId="77777777" w:rsidTr="00682BC9">
        <w:trPr>
          <w:trHeight w:val="283"/>
        </w:trPr>
        <w:tc>
          <w:tcPr>
            <w:tcW w:w="2411" w:type="dxa"/>
            <w:noWrap/>
            <w:vAlign w:val="bottom"/>
            <w:hideMark/>
          </w:tcPr>
          <w:p w14:paraId="08B2C89B" w14:textId="77777777" w:rsidR="00970389" w:rsidRPr="0039215F" w:rsidRDefault="00970389" w:rsidP="00682BC9">
            <w:pPr>
              <w:spacing w:after="0" w:line="240" w:lineRule="auto"/>
              <w:rPr>
                <w:rFonts w:ascii="Calibri" w:eastAsia="Times New Roman" w:hAnsi="Calibri" w:cs="Calibri"/>
                <w:color w:val="000000"/>
                <w:sz w:val="16"/>
                <w:szCs w:val="16"/>
                <w:lang w:val="hr-HR" w:eastAsia="hr-HR"/>
              </w:rPr>
            </w:pPr>
            <w:proofErr w:type="spellStart"/>
            <w:r w:rsidRPr="0039215F">
              <w:rPr>
                <w:rFonts w:ascii="Calibri" w:eastAsia="Times New Roman" w:hAnsi="Calibri" w:cs="Calibri"/>
                <w:color w:val="000000"/>
                <w:sz w:val="16"/>
                <w:szCs w:val="16"/>
                <w:lang w:val="hr-HR" w:eastAsia="hr-HR"/>
              </w:rPr>
              <w:t>Opačac</w:t>
            </w:r>
            <w:proofErr w:type="spellEnd"/>
          </w:p>
        </w:tc>
        <w:tc>
          <w:tcPr>
            <w:tcW w:w="1607" w:type="dxa"/>
            <w:noWrap/>
            <w:vAlign w:val="bottom"/>
            <w:hideMark/>
          </w:tcPr>
          <w:p w14:paraId="4DC699FB" w14:textId="77777777" w:rsidR="00970389" w:rsidRPr="0039215F" w:rsidRDefault="00970389" w:rsidP="00682BC9">
            <w:pPr>
              <w:spacing w:after="0" w:line="240" w:lineRule="auto"/>
              <w:jc w:val="center"/>
              <w:rPr>
                <w:rFonts w:ascii="Calibri" w:eastAsia="Times New Roman" w:hAnsi="Calibri" w:cs="Calibri"/>
                <w:color w:val="000000"/>
                <w:sz w:val="16"/>
                <w:szCs w:val="16"/>
                <w:lang w:val="hr-HR" w:eastAsia="hr-HR"/>
              </w:rPr>
            </w:pPr>
            <w:r w:rsidRPr="0039215F">
              <w:rPr>
                <w:rFonts w:ascii="Calibri" w:eastAsia="Times New Roman" w:hAnsi="Calibri" w:cs="Calibri"/>
                <w:color w:val="000000"/>
                <w:sz w:val="16"/>
                <w:szCs w:val="16"/>
                <w:lang w:val="hr-HR" w:eastAsia="hr-HR"/>
              </w:rPr>
              <w:t>40501G</w:t>
            </w:r>
          </w:p>
        </w:tc>
        <w:tc>
          <w:tcPr>
            <w:tcW w:w="1444" w:type="dxa"/>
            <w:noWrap/>
            <w:vAlign w:val="bottom"/>
            <w:hideMark/>
          </w:tcPr>
          <w:p w14:paraId="570E0A73" w14:textId="77777777" w:rsidR="00970389" w:rsidRPr="0039215F" w:rsidRDefault="00970389" w:rsidP="00682BC9">
            <w:pPr>
              <w:spacing w:after="0" w:line="240" w:lineRule="auto"/>
              <w:rPr>
                <w:rFonts w:ascii="Calibri" w:eastAsia="Times New Roman" w:hAnsi="Calibri" w:cs="Calibri"/>
                <w:color w:val="000000"/>
                <w:sz w:val="16"/>
                <w:szCs w:val="16"/>
                <w:lang w:val="hr-HR" w:eastAsia="hr-HR"/>
              </w:rPr>
            </w:pPr>
            <w:r w:rsidRPr="0039215F">
              <w:rPr>
                <w:rFonts w:ascii="Calibri" w:hAnsi="Calibri" w:cs="Calibri"/>
                <w:color w:val="000000"/>
                <w:sz w:val="16"/>
                <w:szCs w:val="16"/>
              </w:rPr>
              <w:t>S; DWD</w:t>
            </w:r>
          </w:p>
        </w:tc>
        <w:tc>
          <w:tcPr>
            <w:tcW w:w="1716" w:type="dxa"/>
          </w:tcPr>
          <w:p w14:paraId="50B3B691" w14:textId="77777777" w:rsidR="00970389" w:rsidRPr="0039215F" w:rsidRDefault="00970389" w:rsidP="00682BC9">
            <w:pPr>
              <w:spacing w:after="0" w:line="240" w:lineRule="auto"/>
              <w:rPr>
                <w:rFonts w:ascii="Calibri" w:eastAsia="Times New Roman" w:hAnsi="Calibri" w:cs="Calibri"/>
                <w:color w:val="000000"/>
                <w:sz w:val="16"/>
                <w:szCs w:val="16"/>
                <w:lang w:val="hr-HR" w:eastAsia="hr-HR"/>
              </w:rPr>
            </w:pPr>
            <w:r w:rsidRPr="0039215F">
              <w:rPr>
                <w:rFonts w:ascii="Calibri" w:eastAsia="Times New Roman" w:hAnsi="Calibri" w:cs="Calibri"/>
                <w:color w:val="000000"/>
                <w:sz w:val="16"/>
                <w:szCs w:val="16"/>
                <w:lang w:val="hr-HR" w:eastAsia="hr-HR"/>
              </w:rPr>
              <w:t>Q</w:t>
            </w:r>
            <w:r w:rsidRPr="0039215F">
              <w:rPr>
                <w:rFonts w:ascii="Calibri" w:eastAsia="Times New Roman" w:hAnsi="Calibri" w:cs="Calibri"/>
                <w:color w:val="000000"/>
                <w:sz w:val="16"/>
                <w:szCs w:val="16"/>
                <w:vertAlign w:val="subscript"/>
                <w:lang w:val="hr-HR" w:eastAsia="hr-HR"/>
              </w:rPr>
              <w:t>A</w:t>
            </w:r>
          </w:p>
        </w:tc>
        <w:tc>
          <w:tcPr>
            <w:tcW w:w="1713" w:type="dxa"/>
            <w:vAlign w:val="bottom"/>
          </w:tcPr>
          <w:p w14:paraId="196FBBE2" w14:textId="77777777" w:rsidR="00970389" w:rsidRPr="0039215F" w:rsidRDefault="00970389" w:rsidP="00682BC9">
            <w:pPr>
              <w:spacing w:after="0" w:line="240" w:lineRule="auto"/>
              <w:rPr>
                <w:rFonts w:ascii="Calibri" w:eastAsia="Times New Roman" w:hAnsi="Calibri" w:cs="Calibri"/>
                <w:color w:val="000000"/>
                <w:sz w:val="16"/>
                <w:szCs w:val="16"/>
                <w:lang w:val="hr-HR" w:eastAsia="hr-HR"/>
              </w:rPr>
            </w:pPr>
            <w:r w:rsidRPr="0039215F">
              <w:rPr>
                <w:rFonts w:ascii="Calibri" w:eastAsia="Times New Roman" w:hAnsi="Calibri" w:cs="Calibri"/>
                <w:color w:val="000000"/>
                <w:sz w:val="16"/>
                <w:szCs w:val="16"/>
                <w:lang w:val="hr-HR" w:eastAsia="hr-HR"/>
              </w:rPr>
              <w:t>Croatia</w:t>
            </w:r>
          </w:p>
        </w:tc>
      </w:tr>
      <w:tr w:rsidR="00970389" w:rsidRPr="0039215F" w14:paraId="0219AC5D" w14:textId="77777777" w:rsidTr="00682BC9">
        <w:trPr>
          <w:trHeight w:val="283"/>
        </w:trPr>
        <w:tc>
          <w:tcPr>
            <w:tcW w:w="2411" w:type="dxa"/>
            <w:noWrap/>
            <w:vAlign w:val="bottom"/>
            <w:hideMark/>
          </w:tcPr>
          <w:p w14:paraId="6230DED8" w14:textId="77777777" w:rsidR="00970389" w:rsidRPr="0039215F" w:rsidRDefault="00970389" w:rsidP="00682BC9">
            <w:pPr>
              <w:spacing w:after="0" w:line="240" w:lineRule="auto"/>
              <w:rPr>
                <w:rFonts w:ascii="Calibri" w:eastAsia="Times New Roman" w:hAnsi="Calibri" w:cs="Calibri"/>
                <w:color w:val="000000"/>
                <w:sz w:val="16"/>
                <w:szCs w:val="16"/>
                <w:lang w:val="hr-HR" w:eastAsia="hr-HR"/>
              </w:rPr>
            </w:pPr>
            <w:r w:rsidRPr="0039215F">
              <w:rPr>
                <w:rFonts w:ascii="Calibri" w:eastAsia="Times New Roman" w:hAnsi="Calibri" w:cs="Calibri"/>
                <w:color w:val="000000"/>
                <w:sz w:val="16"/>
                <w:szCs w:val="16"/>
                <w:lang w:val="hr-HR" w:eastAsia="hr-HR"/>
              </w:rPr>
              <w:t>Prud</w:t>
            </w:r>
          </w:p>
        </w:tc>
        <w:tc>
          <w:tcPr>
            <w:tcW w:w="1607" w:type="dxa"/>
            <w:noWrap/>
            <w:vAlign w:val="bottom"/>
            <w:hideMark/>
          </w:tcPr>
          <w:p w14:paraId="07E201AD" w14:textId="77777777" w:rsidR="00970389" w:rsidRPr="0039215F" w:rsidRDefault="00970389" w:rsidP="00682BC9">
            <w:pPr>
              <w:spacing w:after="0" w:line="240" w:lineRule="auto"/>
              <w:jc w:val="center"/>
              <w:rPr>
                <w:rFonts w:ascii="Calibri" w:eastAsia="Times New Roman" w:hAnsi="Calibri" w:cs="Calibri"/>
                <w:color w:val="000000"/>
                <w:sz w:val="16"/>
                <w:szCs w:val="16"/>
                <w:lang w:val="hr-HR" w:eastAsia="hr-HR"/>
              </w:rPr>
            </w:pPr>
            <w:r w:rsidRPr="0039215F">
              <w:rPr>
                <w:rFonts w:ascii="Calibri" w:eastAsia="Times New Roman" w:hAnsi="Calibri" w:cs="Calibri"/>
                <w:color w:val="000000"/>
                <w:sz w:val="16"/>
                <w:szCs w:val="16"/>
                <w:lang w:val="hr-HR" w:eastAsia="hr-HR"/>
              </w:rPr>
              <w:t>40517G</w:t>
            </w:r>
          </w:p>
        </w:tc>
        <w:tc>
          <w:tcPr>
            <w:tcW w:w="1444" w:type="dxa"/>
            <w:noWrap/>
            <w:vAlign w:val="bottom"/>
            <w:hideMark/>
          </w:tcPr>
          <w:p w14:paraId="04671155" w14:textId="77777777" w:rsidR="00970389" w:rsidRPr="0039215F" w:rsidRDefault="00970389" w:rsidP="00682BC9">
            <w:pPr>
              <w:spacing w:after="0" w:line="240" w:lineRule="auto"/>
              <w:rPr>
                <w:rFonts w:ascii="Calibri" w:eastAsia="Times New Roman" w:hAnsi="Calibri" w:cs="Calibri"/>
                <w:color w:val="000000"/>
                <w:sz w:val="16"/>
                <w:szCs w:val="16"/>
                <w:lang w:val="hr-HR" w:eastAsia="hr-HR"/>
              </w:rPr>
            </w:pPr>
            <w:r w:rsidRPr="0039215F">
              <w:rPr>
                <w:rFonts w:ascii="Calibri" w:hAnsi="Calibri" w:cs="Calibri"/>
                <w:color w:val="000000"/>
                <w:sz w:val="16"/>
                <w:szCs w:val="16"/>
              </w:rPr>
              <w:t>S; DWD</w:t>
            </w:r>
          </w:p>
        </w:tc>
        <w:tc>
          <w:tcPr>
            <w:tcW w:w="1716" w:type="dxa"/>
          </w:tcPr>
          <w:p w14:paraId="0110A84C" w14:textId="77777777" w:rsidR="00970389" w:rsidRPr="0039215F" w:rsidRDefault="00970389" w:rsidP="00682BC9">
            <w:pPr>
              <w:spacing w:after="0" w:line="240" w:lineRule="auto"/>
              <w:rPr>
                <w:rFonts w:ascii="Calibri" w:eastAsia="Times New Roman" w:hAnsi="Calibri" w:cs="Calibri"/>
                <w:color w:val="000000"/>
                <w:sz w:val="16"/>
                <w:szCs w:val="16"/>
                <w:lang w:val="hr-HR" w:eastAsia="hr-HR"/>
              </w:rPr>
            </w:pPr>
            <w:r w:rsidRPr="0039215F">
              <w:rPr>
                <w:rFonts w:ascii="Calibri" w:eastAsia="Times New Roman" w:hAnsi="Calibri" w:cs="Calibri"/>
                <w:color w:val="000000"/>
                <w:sz w:val="16"/>
                <w:szCs w:val="16"/>
                <w:lang w:val="hr-HR" w:eastAsia="hr-HR"/>
              </w:rPr>
              <w:t>Q</w:t>
            </w:r>
            <w:r w:rsidRPr="0039215F">
              <w:rPr>
                <w:rFonts w:ascii="Calibri" w:eastAsia="Times New Roman" w:hAnsi="Calibri" w:cs="Calibri"/>
                <w:color w:val="000000"/>
                <w:sz w:val="16"/>
                <w:szCs w:val="16"/>
                <w:vertAlign w:val="subscript"/>
                <w:lang w:val="hr-HR" w:eastAsia="hr-HR"/>
              </w:rPr>
              <w:t xml:space="preserve">A, </w:t>
            </w:r>
            <w:r w:rsidRPr="0039215F">
              <w:rPr>
                <w:rFonts w:ascii="Calibri" w:eastAsia="Times New Roman" w:hAnsi="Calibri" w:cs="Calibri"/>
                <w:color w:val="000000"/>
                <w:sz w:val="16"/>
                <w:szCs w:val="16"/>
                <w:lang w:val="hr-HR" w:eastAsia="hr-HR"/>
              </w:rPr>
              <w:t>Q</w:t>
            </w:r>
            <w:r w:rsidRPr="0039215F">
              <w:rPr>
                <w:rFonts w:ascii="Calibri" w:eastAsia="Times New Roman" w:hAnsi="Calibri" w:cs="Calibri"/>
                <w:color w:val="000000"/>
                <w:sz w:val="16"/>
                <w:szCs w:val="16"/>
                <w:vertAlign w:val="subscript"/>
                <w:lang w:val="hr-HR" w:eastAsia="hr-HR"/>
              </w:rPr>
              <w:t>H</w:t>
            </w:r>
          </w:p>
        </w:tc>
        <w:tc>
          <w:tcPr>
            <w:tcW w:w="1713" w:type="dxa"/>
            <w:vAlign w:val="bottom"/>
          </w:tcPr>
          <w:p w14:paraId="77152AD9" w14:textId="77777777" w:rsidR="00970389" w:rsidRPr="0039215F" w:rsidRDefault="00970389" w:rsidP="00682BC9">
            <w:pPr>
              <w:spacing w:after="0" w:line="240" w:lineRule="auto"/>
              <w:rPr>
                <w:rFonts w:ascii="Calibri" w:eastAsia="Times New Roman" w:hAnsi="Calibri" w:cs="Calibri"/>
                <w:color w:val="000000"/>
                <w:sz w:val="16"/>
                <w:szCs w:val="16"/>
                <w:lang w:val="hr-HR" w:eastAsia="hr-HR"/>
              </w:rPr>
            </w:pPr>
            <w:r w:rsidRPr="0039215F">
              <w:rPr>
                <w:rFonts w:ascii="Calibri" w:eastAsia="Times New Roman" w:hAnsi="Calibri" w:cs="Calibri"/>
                <w:color w:val="000000"/>
                <w:sz w:val="16"/>
                <w:szCs w:val="16"/>
                <w:lang w:val="hr-HR" w:eastAsia="hr-HR"/>
              </w:rPr>
              <w:t>Croatia</w:t>
            </w:r>
          </w:p>
        </w:tc>
      </w:tr>
    </w:tbl>
    <w:p w14:paraId="2DF62F99" w14:textId="77777777" w:rsidR="00970389" w:rsidRDefault="00970389" w:rsidP="00970389"/>
    <w:p w14:paraId="588CC2D2" w14:textId="77777777" w:rsidR="00970389" w:rsidRDefault="00970389" w:rsidP="00450090">
      <w:pPr>
        <w:jc w:val="center"/>
      </w:pPr>
      <w:r>
        <w:rPr>
          <w:noProof/>
          <w:lang w:val="hr-HR" w:eastAsia="hr-HR"/>
        </w:rPr>
        <w:drawing>
          <wp:inline distT="0" distB="0" distL="0" distR="0" wp14:anchorId="322C3632" wp14:editId="6B5A7AED">
            <wp:extent cx="3854336" cy="3559628"/>
            <wp:effectExtent l="0" t="0" r="0" b="3175"/>
            <wp:docPr id="1399084094" name="Picture 139908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W Monitoring.jpg"/>
                    <pic:cNvPicPr/>
                  </pic:nvPicPr>
                  <pic:blipFill rotWithShape="1">
                    <a:blip r:embed="rId20" cstate="print">
                      <a:extLst>
                        <a:ext uri="{28A0092B-C50C-407E-A947-70E740481C1C}">
                          <a14:useLocalDpi xmlns:a14="http://schemas.microsoft.com/office/drawing/2010/main" val="0"/>
                        </a:ext>
                      </a:extLst>
                    </a:blip>
                    <a:srcRect t="1256" r="444" b="33818"/>
                    <a:stretch/>
                  </pic:blipFill>
                  <pic:spPr bwMode="auto">
                    <a:xfrm>
                      <a:off x="0" y="0"/>
                      <a:ext cx="3857733" cy="3562766"/>
                    </a:xfrm>
                    <a:prstGeom prst="rect">
                      <a:avLst/>
                    </a:prstGeom>
                    <a:ln>
                      <a:noFill/>
                    </a:ln>
                    <a:extLst>
                      <a:ext uri="{53640926-AAD7-44D8-BBD7-CCE9431645EC}">
                        <a14:shadowObscured xmlns:a14="http://schemas.microsoft.com/office/drawing/2010/main"/>
                      </a:ext>
                    </a:extLst>
                  </pic:spPr>
                </pic:pic>
              </a:graphicData>
            </a:graphic>
          </wp:inline>
        </w:drawing>
      </w:r>
    </w:p>
    <w:p w14:paraId="2B1AD2A6" w14:textId="7BF849ED" w:rsidR="00970389" w:rsidRPr="00B01E3E" w:rsidRDefault="002F4776" w:rsidP="002F4776">
      <w:pPr>
        <w:pStyle w:val="Caption"/>
        <w:jc w:val="center"/>
        <w:rPr>
          <w:i w:val="0"/>
          <w:sz w:val="20"/>
          <w:szCs w:val="20"/>
        </w:rPr>
      </w:pPr>
      <w:bookmarkStart w:id="99" w:name="_Toc229037709"/>
      <w:r>
        <w:t xml:space="preserve">Figure </w:t>
      </w:r>
      <w:r>
        <w:fldChar w:fldCharType="begin"/>
      </w:r>
      <w:r>
        <w:instrText xml:space="preserve"> SEQ Figure \* ARABIC </w:instrText>
      </w:r>
      <w:r>
        <w:fldChar w:fldCharType="separate"/>
      </w:r>
      <w:r>
        <w:rPr>
          <w:noProof/>
        </w:rPr>
        <w:t>4</w:t>
      </w:r>
      <w:r>
        <w:fldChar w:fldCharType="end"/>
      </w:r>
      <w:r>
        <w:t xml:space="preserve"> </w:t>
      </w:r>
      <w:r w:rsidRPr="00E42552">
        <w:t>Groundwater monitoring in Neretva TBA</w:t>
      </w:r>
      <w:bookmarkEnd w:id="99"/>
    </w:p>
    <w:p w14:paraId="3F0FF469" w14:textId="09E6BAC0" w:rsidR="00970389" w:rsidRPr="00D802B3" w:rsidRDefault="00D802B3" w:rsidP="00970389">
      <w:pPr>
        <w:pStyle w:val="Heading3"/>
        <w:rPr>
          <w:lang w:val="en-GB"/>
        </w:rPr>
      </w:pPr>
      <w:bookmarkStart w:id="100" w:name="_Toc221882515"/>
      <w:bookmarkStart w:id="101" w:name="_Toc229036223"/>
      <w:r w:rsidRPr="00D802B3">
        <w:rPr>
          <w:lang w:val="en-GB"/>
        </w:rPr>
        <w:t>5.1.2 Surface water monitoring</w:t>
      </w:r>
      <w:bookmarkEnd w:id="100"/>
      <w:bookmarkEnd w:id="101"/>
    </w:p>
    <w:p w14:paraId="7BA66FAF" w14:textId="27A72096" w:rsidR="00450090" w:rsidRPr="00450090" w:rsidRDefault="00450090" w:rsidP="00450090">
      <w:pPr>
        <w:pStyle w:val="Caption"/>
        <w:spacing w:after="160" w:line="259" w:lineRule="auto"/>
        <w:jc w:val="both"/>
        <w:rPr>
          <w:i w:val="0"/>
          <w:iCs w:val="0"/>
          <w:color w:val="auto"/>
          <w:sz w:val="22"/>
          <w:szCs w:val="22"/>
        </w:rPr>
      </w:pPr>
      <w:r w:rsidRPr="00450090">
        <w:rPr>
          <w:i w:val="0"/>
          <w:iCs w:val="0"/>
          <w:color w:val="auto"/>
          <w:sz w:val="22"/>
          <w:szCs w:val="22"/>
        </w:rPr>
        <w:t xml:space="preserve">Unlike groundwater monitoring, surface water monitoring in both countries is largely aligned with the WFD and EU standards. The ecological status of surface waters is assessed based on biological, basic </w:t>
      </w:r>
      <w:proofErr w:type="spellStart"/>
      <w:r w:rsidRPr="00450090">
        <w:rPr>
          <w:i w:val="0"/>
          <w:iCs w:val="0"/>
          <w:color w:val="auto"/>
          <w:sz w:val="22"/>
          <w:szCs w:val="22"/>
        </w:rPr>
        <w:t>physico</w:t>
      </w:r>
      <w:proofErr w:type="spellEnd"/>
      <w:r w:rsidRPr="00450090">
        <w:rPr>
          <w:i w:val="0"/>
          <w:iCs w:val="0"/>
          <w:color w:val="auto"/>
          <w:sz w:val="22"/>
          <w:szCs w:val="22"/>
        </w:rPr>
        <w:t xml:space="preserve">-chemical, and chemical elements, which complement the </w:t>
      </w:r>
      <w:proofErr w:type="spellStart"/>
      <w:r w:rsidRPr="00450090">
        <w:rPr>
          <w:i w:val="0"/>
          <w:iCs w:val="0"/>
          <w:color w:val="auto"/>
          <w:sz w:val="22"/>
          <w:szCs w:val="22"/>
        </w:rPr>
        <w:t>hydromorphological</w:t>
      </w:r>
      <w:proofErr w:type="spellEnd"/>
      <w:r w:rsidRPr="00450090">
        <w:rPr>
          <w:i w:val="0"/>
          <w:iCs w:val="0"/>
          <w:color w:val="auto"/>
          <w:sz w:val="22"/>
          <w:szCs w:val="22"/>
        </w:rPr>
        <w:t xml:space="preserve"> components. The chemical status is assessed with respect to the relevant chemical status indicators.</w:t>
      </w:r>
    </w:p>
    <w:p w14:paraId="3712B7B9" w14:textId="38E82C2F" w:rsidR="00450090" w:rsidRPr="00450090" w:rsidRDefault="00450090" w:rsidP="00450090">
      <w:pPr>
        <w:pStyle w:val="Caption"/>
        <w:spacing w:after="160" w:line="259" w:lineRule="auto"/>
        <w:jc w:val="both"/>
        <w:rPr>
          <w:i w:val="0"/>
          <w:iCs w:val="0"/>
          <w:color w:val="auto"/>
          <w:sz w:val="22"/>
          <w:szCs w:val="22"/>
        </w:rPr>
      </w:pPr>
      <w:r w:rsidRPr="00450090">
        <w:rPr>
          <w:i w:val="0"/>
          <w:iCs w:val="0"/>
          <w:color w:val="auto"/>
          <w:sz w:val="22"/>
          <w:szCs w:val="22"/>
        </w:rPr>
        <w:t xml:space="preserve">According to the definitions set out in the WFD, four biological quality elements are distinguished in rivers and lakes: phytoplankton, macrophytes and </w:t>
      </w:r>
      <w:proofErr w:type="spellStart"/>
      <w:r w:rsidRPr="00450090">
        <w:rPr>
          <w:i w:val="0"/>
          <w:iCs w:val="0"/>
          <w:color w:val="auto"/>
          <w:sz w:val="22"/>
          <w:szCs w:val="22"/>
        </w:rPr>
        <w:t>phytobenthos</w:t>
      </w:r>
      <w:proofErr w:type="spellEnd"/>
      <w:r w:rsidRPr="00450090">
        <w:rPr>
          <w:i w:val="0"/>
          <w:iCs w:val="0"/>
          <w:color w:val="auto"/>
          <w:sz w:val="22"/>
          <w:szCs w:val="22"/>
        </w:rPr>
        <w:t xml:space="preserve">, </w:t>
      </w:r>
      <w:proofErr w:type="spellStart"/>
      <w:r w:rsidRPr="00450090">
        <w:rPr>
          <w:i w:val="0"/>
          <w:iCs w:val="0"/>
          <w:color w:val="auto"/>
          <w:sz w:val="22"/>
          <w:szCs w:val="22"/>
        </w:rPr>
        <w:t>macrozoobenthos</w:t>
      </w:r>
      <w:proofErr w:type="spellEnd"/>
      <w:r w:rsidRPr="00450090">
        <w:rPr>
          <w:i w:val="0"/>
          <w:iCs w:val="0"/>
          <w:color w:val="auto"/>
          <w:sz w:val="22"/>
          <w:szCs w:val="22"/>
        </w:rPr>
        <w:t xml:space="preserve"> (benthic invertebrates), and fish. The basic </w:t>
      </w:r>
      <w:proofErr w:type="spellStart"/>
      <w:r w:rsidRPr="00450090">
        <w:rPr>
          <w:i w:val="0"/>
          <w:iCs w:val="0"/>
          <w:color w:val="auto"/>
          <w:sz w:val="22"/>
          <w:szCs w:val="22"/>
        </w:rPr>
        <w:t>physico</w:t>
      </w:r>
      <w:proofErr w:type="spellEnd"/>
      <w:r w:rsidRPr="00450090">
        <w:rPr>
          <w:i w:val="0"/>
          <w:iCs w:val="0"/>
          <w:color w:val="auto"/>
          <w:sz w:val="22"/>
          <w:szCs w:val="22"/>
        </w:rPr>
        <w:t>-chemical and chemical quality elements in surface freshwater bodies include temperature, salinity, pH, oxygen regime, nutrient concentrations, and specific pollutants (arsenic, copper, zinc, chromium and their compounds, fluorides, and organically bound halogens).</w:t>
      </w:r>
    </w:p>
    <w:p w14:paraId="5244AA90" w14:textId="20996C9B" w:rsidR="00450090" w:rsidRPr="00450090" w:rsidRDefault="00450090" w:rsidP="00450090">
      <w:pPr>
        <w:pStyle w:val="Caption"/>
        <w:spacing w:after="160" w:line="259" w:lineRule="auto"/>
        <w:jc w:val="both"/>
        <w:rPr>
          <w:i w:val="0"/>
          <w:iCs w:val="0"/>
          <w:color w:val="auto"/>
          <w:sz w:val="22"/>
          <w:szCs w:val="22"/>
        </w:rPr>
      </w:pPr>
      <w:proofErr w:type="spellStart"/>
      <w:r w:rsidRPr="00450090">
        <w:rPr>
          <w:i w:val="0"/>
          <w:iCs w:val="0"/>
          <w:color w:val="auto"/>
          <w:sz w:val="22"/>
          <w:szCs w:val="22"/>
        </w:rPr>
        <w:t>Hydromorphological</w:t>
      </w:r>
      <w:proofErr w:type="spellEnd"/>
      <w:r w:rsidRPr="00450090">
        <w:rPr>
          <w:i w:val="0"/>
          <w:iCs w:val="0"/>
          <w:color w:val="auto"/>
          <w:sz w:val="22"/>
          <w:szCs w:val="22"/>
        </w:rPr>
        <w:t xml:space="preserve"> quality elements for rivers comprise elements of the hydrological regime, river continuity, and morphological conditions.</w:t>
      </w:r>
    </w:p>
    <w:p w14:paraId="78C54CDB" w14:textId="78639D60" w:rsidR="00450090" w:rsidRPr="00450090" w:rsidRDefault="00450090" w:rsidP="00450090">
      <w:pPr>
        <w:pStyle w:val="Caption"/>
        <w:spacing w:after="160" w:line="259" w:lineRule="auto"/>
        <w:jc w:val="both"/>
        <w:rPr>
          <w:i w:val="0"/>
          <w:iCs w:val="0"/>
          <w:color w:val="auto"/>
          <w:sz w:val="22"/>
          <w:szCs w:val="22"/>
        </w:rPr>
      </w:pPr>
      <w:r w:rsidRPr="00450090">
        <w:rPr>
          <w:i w:val="0"/>
          <w:iCs w:val="0"/>
          <w:color w:val="auto"/>
          <w:sz w:val="22"/>
          <w:szCs w:val="22"/>
        </w:rPr>
        <w:t>Chemical status elements include priority and hazardous substances, which are assessed against environmental quality standards (EQS) defined for each substance category. A good chemical status is achieved when the measured concentrations do not exceed the established threshold values, expressed as annual average concentrations, maximum allowable concentrations, and biota quality standards for specific substance categories.</w:t>
      </w:r>
    </w:p>
    <w:p w14:paraId="19901B04" w14:textId="77777777" w:rsidR="00450090" w:rsidRDefault="00450090" w:rsidP="00450090">
      <w:pPr>
        <w:pStyle w:val="Caption"/>
        <w:spacing w:after="160" w:line="259" w:lineRule="auto"/>
        <w:jc w:val="both"/>
        <w:rPr>
          <w:i w:val="0"/>
          <w:iCs w:val="0"/>
          <w:color w:val="auto"/>
          <w:sz w:val="22"/>
          <w:szCs w:val="22"/>
        </w:rPr>
      </w:pPr>
      <w:r w:rsidRPr="00450090">
        <w:rPr>
          <w:i w:val="0"/>
          <w:iCs w:val="0"/>
          <w:color w:val="auto"/>
          <w:sz w:val="22"/>
          <w:szCs w:val="22"/>
        </w:rPr>
        <w:t xml:space="preserve">In the Neretva TBA, there are seven surface water monitoring stations within the territory of Croatia and one in Bosnia and Herzegovina. Of the seven stations located in Croatia, only one is designated as </w:t>
      </w:r>
      <w:r w:rsidRPr="00450090">
        <w:rPr>
          <w:i w:val="0"/>
          <w:iCs w:val="0"/>
          <w:color w:val="auto"/>
          <w:sz w:val="22"/>
          <w:szCs w:val="22"/>
        </w:rPr>
        <w:lastRenderedPageBreak/>
        <w:t>a surveillance monitoring station (code 40502), while the remaining stations are classified as operational monitoring sites (Table 5.2).</w:t>
      </w:r>
    </w:p>
    <w:p w14:paraId="03F4DF6D" w14:textId="3F1684BF" w:rsidR="00970389" w:rsidRPr="005135FF" w:rsidRDefault="002F4776" w:rsidP="002F4776">
      <w:pPr>
        <w:pStyle w:val="Caption"/>
        <w:rPr>
          <w:color w:val="auto"/>
        </w:rPr>
      </w:pPr>
      <w:bookmarkStart w:id="102" w:name="_Toc229037734"/>
      <w:r>
        <w:t xml:space="preserve">Table </w:t>
      </w:r>
      <w:r>
        <w:fldChar w:fldCharType="begin"/>
      </w:r>
      <w:r>
        <w:instrText xml:space="preserve"> SEQ Table \* ARABIC </w:instrText>
      </w:r>
      <w:r>
        <w:fldChar w:fldCharType="separate"/>
      </w:r>
      <w:r>
        <w:rPr>
          <w:noProof/>
        </w:rPr>
        <w:t>12</w:t>
      </w:r>
      <w:r>
        <w:fldChar w:fldCharType="end"/>
      </w:r>
      <w:r>
        <w:t xml:space="preserve"> </w:t>
      </w:r>
      <w:r w:rsidRPr="00371F0F">
        <w:t>Surface water monitoring in Neretva TBA</w:t>
      </w:r>
      <w:bookmarkEnd w:id="102"/>
    </w:p>
    <w:tbl>
      <w:tblPr>
        <w:tblW w:w="904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78"/>
        <w:gridCol w:w="3602"/>
        <w:gridCol w:w="1300"/>
        <w:gridCol w:w="1108"/>
        <w:gridCol w:w="938"/>
        <w:gridCol w:w="1116"/>
      </w:tblGrid>
      <w:tr w:rsidR="00970389" w:rsidRPr="00450090" w14:paraId="3719F9B8" w14:textId="77777777" w:rsidTr="00450090">
        <w:trPr>
          <w:trHeight w:val="300"/>
        </w:trPr>
        <w:tc>
          <w:tcPr>
            <w:tcW w:w="978" w:type="dxa"/>
            <w:shd w:val="clear" w:color="auto" w:fill="A5C9EB"/>
            <w:noWrap/>
            <w:vAlign w:val="center"/>
            <w:hideMark/>
          </w:tcPr>
          <w:p w14:paraId="642C1596" w14:textId="77777777" w:rsidR="00970389" w:rsidRPr="00450090" w:rsidRDefault="00970389" w:rsidP="00682BC9">
            <w:pPr>
              <w:spacing w:after="0" w:line="240" w:lineRule="auto"/>
              <w:jc w:val="center"/>
              <w:rPr>
                <w:rFonts w:eastAsia="Times New Roman" w:cstheme="minorHAnsi"/>
                <w:b/>
                <w:bCs/>
                <w:color w:val="000000"/>
                <w:sz w:val="16"/>
                <w:szCs w:val="16"/>
                <w:lang w:val="hr-HR" w:eastAsia="hr-HR"/>
              </w:rPr>
            </w:pPr>
            <w:r w:rsidRPr="00450090">
              <w:rPr>
                <w:rFonts w:eastAsia="Times New Roman" w:cstheme="minorHAnsi"/>
                <w:b/>
                <w:bCs/>
                <w:color w:val="000000"/>
                <w:sz w:val="16"/>
                <w:szCs w:val="16"/>
                <w:lang w:val="hr-HR" w:eastAsia="hr-HR"/>
              </w:rPr>
              <w:t>CODE</w:t>
            </w:r>
          </w:p>
        </w:tc>
        <w:tc>
          <w:tcPr>
            <w:tcW w:w="3602" w:type="dxa"/>
            <w:shd w:val="clear" w:color="auto" w:fill="A5C9EB"/>
            <w:noWrap/>
            <w:vAlign w:val="center"/>
            <w:hideMark/>
          </w:tcPr>
          <w:p w14:paraId="0A451627" w14:textId="77777777" w:rsidR="00970389" w:rsidRPr="00450090" w:rsidRDefault="00970389" w:rsidP="00682BC9">
            <w:pPr>
              <w:spacing w:after="0" w:line="240" w:lineRule="auto"/>
              <w:jc w:val="center"/>
              <w:rPr>
                <w:rFonts w:eastAsia="Times New Roman" w:cstheme="minorHAnsi"/>
                <w:b/>
                <w:bCs/>
                <w:color w:val="000000"/>
                <w:sz w:val="16"/>
                <w:szCs w:val="16"/>
                <w:lang w:val="hr-HR" w:eastAsia="hr-HR"/>
              </w:rPr>
            </w:pPr>
            <w:r w:rsidRPr="00450090">
              <w:rPr>
                <w:rFonts w:eastAsia="Times New Roman" w:cstheme="minorHAnsi"/>
                <w:b/>
                <w:bCs/>
                <w:color w:val="000000"/>
                <w:sz w:val="16"/>
                <w:szCs w:val="16"/>
                <w:lang w:val="hr-HR" w:eastAsia="hr-HR"/>
              </w:rPr>
              <w:t>NAME</w:t>
            </w:r>
          </w:p>
        </w:tc>
        <w:tc>
          <w:tcPr>
            <w:tcW w:w="1300" w:type="dxa"/>
            <w:shd w:val="clear" w:color="auto" w:fill="A5C9EB"/>
            <w:noWrap/>
            <w:vAlign w:val="center"/>
            <w:hideMark/>
          </w:tcPr>
          <w:p w14:paraId="176F96E9" w14:textId="77777777" w:rsidR="00970389" w:rsidRPr="00450090" w:rsidRDefault="00970389" w:rsidP="00682BC9">
            <w:pPr>
              <w:spacing w:after="0" w:line="240" w:lineRule="auto"/>
              <w:jc w:val="center"/>
              <w:rPr>
                <w:rFonts w:eastAsia="Times New Roman" w:cstheme="minorHAnsi"/>
                <w:b/>
                <w:bCs/>
                <w:color w:val="000000"/>
                <w:sz w:val="16"/>
                <w:szCs w:val="16"/>
                <w:lang w:val="hr-HR" w:eastAsia="hr-HR"/>
              </w:rPr>
            </w:pPr>
            <w:r w:rsidRPr="00450090">
              <w:rPr>
                <w:rFonts w:eastAsia="Times New Roman" w:cstheme="minorHAnsi"/>
                <w:b/>
                <w:bCs/>
                <w:color w:val="000000"/>
                <w:sz w:val="16"/>
                <w:szCs w:val="16"/>
                <w:lang w:val="hr-HR" w:eastAsia="hr-HR"/>
              </w:rPr>
              <w:t>LONGITUDE</w:t>
            </w:r>
          </w:p>
        </w:tc>
        <w:tc>
          <w:tcPr>
            <w:tcW w:w="1108" w:type="dxa"/>
            <w:shd w:val="clear" w:color="auto" w:fill="A5C9EB"/>
            <w:noWrap/>
            <w:vAlign w:val="center"/>
            <w:hideMark/>
          </w:tcPr>
          <w:p w14:paraId="2EFD19B9" w14:textId="77777777" w:rsidR="00970389" w:rsidRPr="00450090" w:rsidRDefault="00970389" w:rsidP="00682BC9">
            <w:pPr>
              <w:spacing w:after="0" w:line="240" w:lineRule="auto"/>
              <w:jc w:val="center"/>
              <w:rPr>
                <w:rFonts w:eastAsia="Times New Roman" w:cstheme="minorHAnsi"/>
                <w:b/>
                <w:bCs/>
                <w:color w:val="000000"/>
                <w:sz w:val="16"/>
                <w:szCs w:val="16"/>
                <w:lang w:val="hr-HR" w:eastAsia="hr-HR"/>
              </w:rPr>
            </w:pPr>
            <w:r w:rsidRPr="00450090">
              <w:rPr>
                <w:rFonts w:eastAsia="Times New Roman" w:cstheme="minorHAnsi"/>
                <w:b/>
                <w:bCs/>
                <w:color w:val="000000"/>
                <w:sz w:val="16"/>
                <w:szCs w:val="16"/>
                <w:lang w:val="hr-HR" w:eastAsia="hr-HR"/>
              </w:rPr>
              <w:t>LATITUDE</w:t>
            </w:r>
          </w:p>
        </w:tc>
        <w:tc>
          <w:tcPr>
            <w:tcW w:w="938" w:type="dxa"/>
            <w:shd w:val="clear" w:color="auto" w:fill="A5C9EB"/>
            <w:noWrap/>
            <w:vAlign w:val="center"/>
            <w:hideMark/>
          </w:tcPr>
          <w:p w14:paraId="3ED0A713" w14:textId="77777777" w:rsidR="00970389" w:rsidRPr="00450090" w:rsidRDefault="00970389" w:rsidP="00682BC9">
            <w:pPr>
              <w:spacing w:after="0" w:line="240" w:lineRule="auto"/>
              <w:jc w:val="center"/>
              <w:rPr>
                <w:rFonts w:eastAsia="Times New Roman" w:cstheme="minorHAnsi"/>
                <w:b/>
                <w:bCs/>
                <w:color w:val="000000"/>
                <w:sz w:val="16"/>
                <w:szCs w:val="16"/>
                <w:lang w:val="hr-HR" w:eastAsia="hr-HR"/>
              </w:rPr>
            </w:pPr>
            <w:r w:rsidRPr="00450090">
              <w:rPr>
                <w:rFonts w:eastAsia="Times New Roman" w:cstheme="minorHAnsi"/>
                <w:b/>
                <w:bCs/>
                <w:color w:val="000000"/>
                <w:sz w:val="16"/>
                <w:szCs w:val="16"/>
                <w:lang w:val="hr-HR" w:eastAsia="hr-HR"/>
              </w:rPr>
              <w:t>TYPE</w:t>
            </w:r>
          </w:p>
        </w:tc>
        <w:tc>
          <w:tcPr>
            <w:tcW w:w="1116" w:type="dxa"/>
            <w:shd w:val="clear" w:color="auto" w:fill="A5C9EB"/>
            <w:noWrap/>
            <w:vAlign w:val="center"/>
            <w:hideMark/>
          </w:tcPr>
          <w:p w14:paraId="65A647B6" w14:textId="77777777" w:rsidR="00970389" w:rsidRPr="00450090" w:rsidRDefault="00970389" w:rsidP="00682BC9">
            <w:pPr>
              <w:spacing w:after="0" w:line="240" w:lineRule="auto"/>
              <w:jc w:val="center"/>
              <w:rPr>
                <w:rFonts w:eastAsia="Times New Roman" w:cstheme="minorHAnsi"/>
                <w:b/>
                <w:bCs/>
                <w:color w:val="000000"/>
                <w:sz w:val="16"/>
                <w:szCs w:val="16"/>
                <w:lang w:val="hr-HR" w:eastAsia="hr-HR"/>
              </w:rPr>
            </w:pPr>
            <w:r w:rsidRPr="00450090">
              <w:rPr>
                <w:rFonts w:eastAsia="Times New Roman" w:cstheme="minorHAnsi"/>
                <w:b/>
                <w:bCs/>
                <w:color w:val="000000"/>
                <w:sz w:val="16"/>
                <w:szCs w:val="16"/>
                <w:lang w:val="hr-HR" w:eastAsia="hr-HR"/>
              </w:rPr>
              <w:t>COUNTRY</w:t>
            </w:r>
          </w:p>
        </w:tc>
      </w:tr>
      <w:tr w:rsidR="00970389" w:rsidRPr="00450090" w14:paraId="6666AEF6" w14:textId="77777777" w:rsidTr="00450090">
        <w:trPr>
          <w:trHeight w:val="300"/>
        </w:trPr>
        <w:tc>
          <w:tcPr>
            <w:tcW w:w="978" w:type="dxa"/>
            <w:noWrap/>
            <w:vAlign w:val="bottom"/>
            <w:hideMark/>
          </w:tcPr>
          <w:p w14:paraId="7A8DD132"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40500</w:t>
            </w:r>
          </w:p>
        </w:tc>
        <w:tc>
          <w:tcPr>
            <w:tcW w:w="3602" w:type="dxa"/>
            <w:noWrap/>
            <w:vAlign w:val="bottom"/>
            <w:hideMark/>
          </w:tcPr>
          <w:p w14:paraId="2D9F64B3"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Vrljika (Matica), nizvodno od Runovića</w:t>
            </w:r>
          </w:p>
        </w:tc>
        <w:tc>
          <w:tcPr>
            <w:tcW w:w="1300" w:type="dxa"/>
            <w:noWrap/>
            <w:vAlign w:val="bottom"/>
            <w:hideMark/>
          </w:tcPr>
          <w:p w14:paraId="56E6F27B"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43,374</w:t>
            </w:r>
          </w:p>
        </w:tc>
        <w:tc>
          <w:tcPr>
            <w:tcW w:w="1108" w:type="dxa"/>
            <w:noWrap/>
            <w:vAlign w:val="bottom"/>
            <w:hideMark/>
          </w:tcPr>
          <w:p w14:paraId="74F12F26"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17,265</w:t>
            </w:r>
          </w:p>
        </w:tc>
        <w:tc>
          <w:tcPr>
            <w:tcW w:w="938" w:type="dxa"/>
            <w:noWrap/>
            <w:vAlign w:val="bottom"/>
            <w:hideMark/>
          </w:tcPr>
          <w:p w14:paraId="63AAB62B"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O</w:t>
            </w:r>
          </w:p>
        </w:tc>
        <w:tc>
          <w:tcPr>
            <w:tcW w:w="1116" w:type="dxa"/>
            <w:noWrap/>
            <w:vAlign w:val="bottom"/>
            <w:hideMark/>
          </w:tcPr>
          <w:p w14:paraId="271B8915"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Croatia</w:t>
            </w:r>
          </w:p>
        </w:tc>
      </w:tr>
      <w:tr w:rsidR="00970389" w:rsidRPr="00450090" w14:paraId="446C7678" w14:textId="77777777" w:rsidTr="00450090">
        <w:trPr>
          <w:trHeight w:val="300"/>
        </w:trPr>
        <w:tc>
          <w:tcPr>
            <w:tcW w:w="978" w:type="dxa"/>
            <w:noWrap/>
            <w:vAlign w:val="bottom"/>
            <w:hideMark/>
          </w:tcPr>
          <w:p w14:paraId="0C530663"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40502</w:t>
            </w:r>
          </w:p>
        </w:tc>
        <w:tc>
          <w:tcPr>
            <w:tcW w:w="3602" w:type="dxa"/>
            <w:noWrap/>
            <w:vAlign w:val="bottom"/>
            <w:hideMark/>
          </w:tcPr>
          <w:p w14:paraId="6828B078"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Vrljika, Kamen Most</w:t>
            </w:r>
          </w:p>
        </w:tc>
        <w:tc>
          <w:tcPr>
            <w:tcW w:w="1300" w:type="dxa"/>
            <w:noWrap/>
            <w:vAlign w:val="bottom"/>
            <w:hideMark/>
          </w:tcPr>
          <w:p w14:paraId="7C06E7BF"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43,431</w:t>
            </w:r>
          </w:p>
        </w:tc>
        <w:tc>
          <w:tcPr>
            <w:tcW w:w="1108" w:type="dxa"/>
            <w:noWrap/>
            <w:vAlign w:val="bottom"/>
            <w:hideMark/>
          </w:tcPr>
          <w:p w14:paraId="2FF589C4"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17,195</w:t>
            </w:r>
          </w:p>
        </w:tc>
        <w:tc>
          <w:tcPr>
            <w:tcW w:w="938" w:type="dxa"/>
            <w:noWrap/>
            <w:vAlign w:val="bottom"/>
            <w:hideMark/>
          </w:tcPr>
          <w:p w14:paraId="79B2F5F2"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S</w:t>
            </w:r>
          </w:p>
        </w:tc>
        <w:tc>
          <w:tcPr>
            <w:tcW w:w="1116" w:type="dxa"/>
            <w:noWrap/>
            <w:vAlign w:val="bottom"/>
            <w:hideMark/>
          </w:tcPr>
          <w:p w14:paraId="61924BA2"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Croatia</w:t>
            </w:r>
          </w:p>
        </w:tc>
      </w:tr>
      <w:tr w:rsidR="00970389" w:rsidRPr="00450090" w14:paraId="2ABF6871" w14:textId="77777777" w:rsidTr="00450090">
        <w:trPr>
          <w:trHeight w:val="300"/>
        </w:trPr>
        <w:tc>
          <w:tcPr>
            <w:tcW w:w="978" w:type="dxa"/>
            <w:noWrap/>
            <w:vAlign w:val="bottom"/>
            <w:hideMark/>
          </w:tcPr>
          <w:p w14:paraId="1009B3A9"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40503</w:t>
            </w:r>
          </w:p>
        </w:tc>
        <w:tc>
          <w:tcPr>
            <w:tcW w:w="3602" w:type="dxa"/>
            <w:noWrap/>
            <w:vAlign w:val="bottom"/>
            <w:hideMark/>
          </w:tcPr>
          <w:p w14:paraId="5F3E1A9B"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pritok Vrljike kod Todorića</w:t>
            </w:r>
          </w:p>
        </w:tc>
        <w:tc>
          <w:tcPr>
            <w:tcW w:w="1300" w:type="dxa"/>
            <w:noWrap/>
            <w:vAlign w:val="bottom"/>
            <w:hideMark/>
          </w:tcPr>
          <w:p w14:paraId="6C8F9FB2"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43,400</w:t>
            </w:r>
          </w:p>
        </w:tc>
        <w:tc>
          <w:tcPr>
            <w:tcW w:w="1108" w:type="dxa"/>
            <w:noWrap/>
            <w:vAlign w:val="bottom"/>
            <w:hideMark/>
          </w:tcPr>
          <w:p w14:paraId="5CEE6560"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17,217</w:t>
            </w:r>
          </w:p>
        </w:tc>
        <w:tc>
          <w:tcPr>
            <w:tcW w:w="938" w:type="dxa"/>
            <w:noWrap/>
            <w:vAlign w:val="bottom"/>
            <w:hideMark/>
          </w:tcPr>
          <w:p w14:paraId="40B3FB80"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O</w:t>
            </w:r>
          </w:p>
        </w:tc>
        <w:tc>
          <w:tcPr>
            <w:tcW w:w="1116" w:type="dxa"/>
            <w:noWrap/>
            <w:vAlign w:val="bottom"/>
            <w:hideMark/>
          </w:tcPr>
          <w:p w14:paraId="53C43F5B"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Croatia</w:t>
            </w:r>
          </w:p>
        </w:tc>
      </w:tr>
      <w:tr w:rsidR="00970389" w:rsidRPr="00450090" w14:paraId="0E7F5046" w14:textId="77777777" w:rsidTr="00450090">
        <w:trPr>
          <w:trHeight w:val="300"/>
        </w:trPr>
        <w:tc>
          <w:tcPr>
            <w:tcW w:w="978" w:type="dxa"/>
            <w:noWrap/>
            <w:vAlign w:val="bottom"/>
            <w:hideMark/>
          </w:tcPr>
          <w:p w14:paraId="0C167D7D"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40507</w:t>
            </w:r>
          </w:p>
        </w:tc>
        <w:tc>
          <w:tcPr>
            <w:tcW w:w="3602" w:type="dxa"/>
            <w:noWrap/>
            <w:vAlign w:val="bottom"/>
            <w:hideMark/>
          </w:tcPr>
          <w:p w14:paraId="55D8CDFF"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Jaruga, Jelavića most</w:t>
            </w:r>
          </w:p>
        </w:tc>
        <w:tc>
          <w:tcPr>
            <w:tcW w:w="1300" w:type="dxa"/>
            <w:noWrap/>
            <w:vAlign w:val="bottom"/>
            <w:hideMark/>
          </w:tcPr>
          <w:p w14:paraId="79638234"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43,413</w:t>
            </w:r>
          </w:p>
        </w:tc>
        <w:tc>
          <w:tcPr>
            <w:tcW w:w="1108" w:type="dxa"/>
            <w:noWrap/>
            <w:vAlign w:val="bottom"/>
            <w:hideMark/>
          </w:tcPr>
          <w:p w14:paraId="79870B89"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17,253</w:t>
            </w:r>
          </w:p>
        </w:tc>
        <w:tc>
          <w:tcPr>
            <w:tcW w:w="938" w:type="dxa"/>
            <w:noWrap/>
            <w:vAlign w:val="bottom"/>
            <w:hideMark/>
          </w:tcPr>
          <w:p w14:paraId="4CD27058"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O</w:t>
            </w:r>
          </w:p>
        </w:tc>
        <w:tc>
          <w:tcPr>
            <w:tcW w:w="1116" w:type="dxa"/>
            <w:noWrap/>
            <w:vAlign w:val="bottom"/>
            <w:hideMark/>
          </w:tcPr>
          <w:p w14:paraId="402CB743"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Croatia</w:t>
            </w:r>
          </w:p>
        </w:tc>
      </w:tr>
      <w:tr w:rsidR="00970389" w:rsidRPr="00450090" w14:paraId="77DF12C2" w14:textId="77777777" w:rsidTr="00450090">
        <w:trPr>
          <w:trHeight w:val="300"/>
        </w:trPr>
        <w:tc>
          <w:tcPr>
            <w:tcW w:w="978" w:type="dxa"/>
            <w:noWrap/>
            <w:vAlign w:val="bottom"/>
            <w:hideMark/>
          </w:tcPr>
          <w:p w14:paraId="4537331E"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40510</w:t>
            </w:r>
          </w:p>
        </w:tc>
        <w:tc>
          <w:tcPr>
            <w:tcW w:w="3602" w:type="dxa"/>
            <w:noWrap/>
            <w:vAlign w:val="bottom"/>
            <w:hideMark/>
          </w:tcPr>
          <w:p w14:paraId="71B0EDBF"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proofErr w:type="spellStart"/>
            <w:r w:rsidRPr="00450090">
              <w:rPr>
                <w:rFonts w:eastAsia="Times New Roman" w:cstheme="minorHAnsi"/>
                <w:color w:val="000000"/>
                <w:sz w:val="16"/>
                <w:szCs w:val="16"/>
                <w:lang w:val="hr-HR" w:eastAsia="hr-HR"/>
              </w:rPr>
              <w:t>Suvaja</w:t>
            </w:r>
            <w:proofErr w:type="spellEnd"/>
            <w:r w:rsidRPr="00450090">
              <w:rPr>
                <w:rFonts w:eastAsia="Times New Roman" w:cstheme="minorHAnsi"/>
                <w:color w:val="000000"/>
                <w:sz w:val="16"/>
                <w:szCs w:val="16"/>
                <w:lang w:val="hr-HR" w:eastAsia="hr-HR"/>
              </w:rPr>
              <w:t xml:space="preserve">, nakon ak. </w:t>
            </w:r>
            <w:proofErr w:type="spellStart"/>
            <w:r w:rsidRPr="00450090">
              <w:rPr>
                <w:rFonts w:eastAsia="Times New Roman" w:cstheme="minorHAnsi"/>
                <w:color w:val="000000"/>
                <w:sz w:val="16"/>
                <w:szCs w:val="16"/>
                <w:lang w:val="hr-HR" w:eastAsia="hr-HR"/>
              </w:rPr>
              <w:t>Ričice</w:t>
            </w:r>
            <w:proofErr w:type="spellEnd"/>
          </w:p>
        </w:tc>
        <w:tc>
          <w:tcPr>
            <w:tcW w:w="1300" w:type="dxa"/>
            <w:noWrap/>
            <w:vAlign w:val="bottom"/>
            <w:hideMark/>
          </w:tcPr>
          <w:p w14:paraId="2B9DAF26"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43,496</w:t>
            </w:r>
          </w:p>
        </w:tc>
        <w:tc>
          <w:tcPr>
            <w:tcW w:w="1108" w:type="dxa"/>
            <w:noWrap/>
            <w:vAlign w:val="bottom"/>
            <w:hideMark/>
          </w:tcPr>
          <w:p w14:paraId="5B551AE5"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17,135</w:t>
            </w:r>
          </w:p>
        </w:tc>
        <w:tc>
          <w:tcPr>
            <w:tcW w:w="938" w:type="dxa"/>
            <w:noWrap/>
            <w:vAlign w:val="bottom"/>
            <w:hideMark/>
          </w:tcPr>
          <w:p w14:paraId="6AF5B814"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O</w:t>
            </w:r>
          </w:p>
        </w:tc>
        <w:tc>
          <w:tcPr>
            <w:tcW w:w="1116" w:type="dxa"/>
            <w:noWrap/>
            <w:vAlign w:val="bottom"/>
            <w:hideMark/>
          </w:tcPr>
          <w:p w14:paraId="6FA3BEE4"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Croatia</w:t>
            </w:r>
          </w:p>
        </w:tc>
      </w:tr>
      <w:tr w:rsidR="00970389" w:rsidRPr="00450090" w14:paraId="30B76999" w14:textId="77777777" w:rsidTr="00450090">
        <w:trPr>
          <w:trHeight w:val="300"/>
        </w:trPr>
        <w:tc>
          <w:tcPr>
            <w:tcW w:w="978" w:type="dxa"/>
            <w:noWrap/>
            <w:vAlign w:val="bottom"/>
            <w:hideMark/>
          </w:tcPr>
          <w:p w14:paraId="43DF85E7"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40512</w:t>
            </w:r>
          </w:p>
        </w:tc>
        <w:tc>
          <w:tcPr>
            <w:tcW w:w="3602" w:type="dxa"/>
            <w:noWrap/>
            <w:vAlign w:val="bottom"/>
            <w:hideMark/>
          </w:tcPr>
          <w:p w14:paraId="7120B845"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 xml:space="preserve">Akumulacija </w:t>
            </w:r>
            <w:proofErr w:type="spellStart"/>
            <w:r w:rsidRPr="00450090">
              <w:rPr>
                <w:rFonts w:eastAsia="Times New Roman" w:cstheme="minorHAnsi"/>
                <w:color w:val="000000"/>
                <w:sz w:val="16"/>
                <w:szCs w:val="16"/>
                <w:lang w:val="hr-HR" w:eastAsia="hr-HR"/>
              </w:rPr>
              <w:t>Ričica</w:t>
            </w:r>
            <w:proofErr w:type="spellEnd"/>
          </w:p>
        </w:tc>
        <w:tc>
          <w:tcPr>
            <w:tcW w:w="1300" w:type="dxa"/>
            <w:noWrap/>
            <w:vAlign w:val="bottom"/>
            <w:hideMark/>
          </w:tcPr>
          <w:p w14:paraId="0F4A289A"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43,495</w:t>
            </w:r>
          </w:p>
        </w:tc>
        <w:tc>
          <w:tcPr>
            <w:tcW w:w="1108" w:type="dxa"/>
            <w:noWrap/>
            <w:vAlign w:val="bottom"/>
            <w:hideMark/>
          </w:tcPr>
          <w:p w14:paraId="2B046766"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17,134</w:t>
            </w:r>
          </w:p>
        </w:tc>
        <w:tc>
          <w:tcPr>
            <w:tcW w:w="938" w:type="dxa"/>
            <w:noWrap/>
            <w:vAlign w:val="bottom"/>
            <w:hideMark/>
          </w:tcPr>
          <w:p w14:paraId="62FF8A85"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O</w:t>
            </w:r>
          </w:p>
        </w:tc>
        <w:tc>
          <w:tcPr>
            <w:tcW w:w="1116" w:type="dxa"/>
            <w:noWrap/>
            <w:vAlign w:val="bottom"/>
            <w:hideMark/>
          </w:tcPr>
          <w:p w14:paraId="007201B0"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Croatia</w:t>
            </w:r>
          </w:p>
        </w:tc>
      </w:tr>
      <w:tr w:rsidR="00970389" w:rsidRPr="00450090" w14:paraId="2011EA57" w14:textId="77777777" w:rsidTr="00450090">
        <w:trPr>
          <w:trHeight w:val="300"/>
        </w:trPr>
        <w:tc>
          <w:tcPr>
            <w:tcW w:w="978" w:type="dxa"/>
            <w:noWrap/>
            <w:vAlign w:val="bottom"/>
            <w:hideMark/>
          </w:tcPr>
          <w:p w14:paraId="075ACFF4"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40514</w:t>
            </w:r>
          </w:p>
        </w:tc>
        <w:tc>
          <w:tcPr>
            <w:tcW w:w="3602" w:type="dxa"/>
            <w:noWrap/>
            <w:vAlign w:val="bottom"/>
            <w:hideMark/>
          </w:tcPr>
          <w:p w14:paraId="41E8798D"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Prološko blato</w:t>
            </w:r>
          </w:p>
        </w:tc>
        <w:tc>
          <w:tcPr>
            <w:tcW w:w="1300" w:type="dxa"/>
            <w:noWrap/>
            <w:vAlign w:val="bottom"/>
            <w:hideMark/>
          </w:tcPr>
          <w:p w14:paraId="0E8BF75F"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43,476</w:t>
            </w:r>
          </w:p>
        </w:tc>
        <w:tc>
          <w:tcPr>
            <w:tcW w:w="1108" w:type="dxa"/>
            <w:noWrap/>
            <w:vAlign w:val="bottom"/>
            <w:hideMark/>
          </w:tcPr>
          <w:p w14:paraId="2A9DAAEA"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17,122</w:t>
            </w:r>
          </w:p>
        </w:tc>
        <w:tc>
          <w:tcPr>
            <w:tcW w:w="938" w:type="dxa"/>
            <w:noWrap/>
            <w:vAlign w:val="bottom"/>
            <w:hideMark/>
          </w:tcPr>
          <w:p w14:paraId="7DB29DB5"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O</w:t>
            </w:r>
          </w:p>
        </w:tc>
        <w:tc>
          <w:tcPr>
            <w:tcW w:w="1116" w:type="dxa"/>
            <w:noWrap/>
            <w:vAlign w:val="bottom"/>
            <w:hideMark/>
          </w:tcPr>
          <w:p w14:paraId="48592CA1"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Croatia</w:t>
            </w:r>
          </w:p>
        </w:tc>
      </w:tr>
      <w:tr w:rsidR="00970389" w:rsidRPr="00450090" w14:paraId="3AA13A9A" w14:textId="77777777" w:rsidTr="00450090">
        <w:trPr>
          <w:trHeight w:val="300"/>
        </w:trPr>
        <w:tc>
          <w:tcPr>
            <w:tcW w:w="978" w:type="dxa"/>
            <w:noWrap/>
            <w:vAlign w:val="bottom"/>
            <w:hideMark/>
          </w:tcPr>
          <w:p w14:paraId="6A57DAE1"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40515</w:t>
            </w:r>
          </w:p>
        </w:tc>
        <w:tc>
          <w:tcPr>
            <w:tcW w:w="3602" w:type="dxa"/>
            <w:noWrap/>
            <w:vAlign w:val="bottom"/>
            <w:hideMark/>
          </w:tcPr>
          <w:p w14:paraId="4774CA52"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proofErr w:type="spellStart"/>
            <w:r w:rsidRPr="00450090">
              <w:rPr>
                <w:rFonts w:eastAsia="Times New Roman" w:cstheme="minorHAnsi"/>
                <w:color w:val="000000"/>
                <w:sz w:val="16"/>
                <w:szCs w:val="16"/>
                <w:lang w:val="hr-HR" w:eastAsia="hr-HR"/>
              </w:rPr>
              <w:t>Norin</w:t>
            </w:r>
            <w:proofErr w:type="spellEnd"/>
            <w:r w:rsidRPr="00450090">
              <w:rPr>
                <w:rFonts w:eastAsia="Times New Roman" w:cstheme="minorHAnsi"/>
                <w:color w:val="000000"/>
                <w:sz w:val="16"/>
                <w:szCs w:val="16"/>
                <w:lang w:val="hr-HR" w:eastAsia="hr-HR"/>
              </w:rPr>
              <w:t>, Vid</w:t>
            </w:r>
          </w:p>
        </w:tc>
        <w:tc>
          <w:tcPr>
            <w:tcW w:w="1300" w:type="dxa"/>
            <w:noWrap/>
            <w:vAlign w:val="bottom"/>
            <w:hideMark/>
          </w:tcPr>
          <w:p w14:paraId="66828ACC"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43,080</w:t>
            </w:r>
          </w:p>
        </w:tc>
        <w:tc>
          <w:tcPr>
            <w:tcW w:w="1108" w:type="dxa"/>
            <w:noWrap/>
            <w:vAlign w:val="bottom"/>
            <w:hideMark/>
          </w:tcPr>
          <w:p w14:paraId="39139A3D"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17,629</w:t>
            </w:r>
          </w:p>
        </w:tc>
        <w:tc>
          <w:tcPr>
            <w:tcW w:w="938" w:type="dxa"/>
            <w:noWrap/>
            <w:vAlign w:val="bottom"/>
            <w:hideMark/>
          </w:tcPr>
          <w:p w14:paraId="4010DFBD"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O</w:t>
            </w:r>
          </w:p>
        </w:tc>
        <w:tc>
          <w:tcPr>
            <w:tcW w:w="1116" w:type="dxa"/>
            <w:noWrap/>
            <w:vAlign w:val="bottom"/>
            <w:hideMark/>
          </w:tcPr>
          <w:p w14:paraId="62643DBC"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Croatia</w:t>
            </w:r>
          </w:p>
        </w:tc>
      </w:tr>
      <w:tr w:rsidR="00970389" w:rsidRPr="00450090" w14:paraId="6F933182" w14:textId="77777777" w:rsidTr="00450090">
        <w:trPr>
          <w:trHeight w:val="300"/>
        </w:trPr>
        <w:tc>
          <w:tcPr>
            <w:tcW w:w="978" w:type="dxa"/>
            <w:noWrap/>
            <w:vAlign w:val="bottom"/>
            <w:hideMark/>
          </w:tcPr>
          <w:p w14:paraId="5651EF99"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p>
        </w:tc>
        <w:tc>
          <w:tcPr>
            <w:tcW w:w="3602" w:type="dxa"/>
            <w:noWrap/>
            <w:vAlign w:val="bottom"/>
            <w:hideMark/>
          </w:tcPr>
          <w:p w14:paraId="2061AFA1"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Zuko_1</w:t>
            </w:r>
          </w:p>
        </w:tc>
        <w:tc>
          <w:tcPr>
            <w:tcW w:w="1300" w:type="dxa"/>
            <w:noWrap/>
            <w:vAlign w:val="bottom"/>
            <w:hideMark/>
          </w:tcPr>
          <w:p w14:paraId="5E9B6E4E"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17,21214</w:t>
            </w:r>
          </w:p>
        </w:tc>
        <w:tc>
          <w:tcPr>
            <w:tcW w:w="1108" w:type="dxa"/>
            <w:noWrap/>
            <w:vAlign w:val="bottom"/>
            <w:hideMark/>
          </w:tcPr>
          <w:p w14:paraId="0BE396BB"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43,5255</w:t>
            </w:r>
          </w:p>
        </w:tc>
        <w:tc>
          <w:tcPr>
            <w:tcW w:w="938" w:type="dxa"/>
            <w:noWrap/>
            <w:vAlign w:val="bottom"/>
            <w:hideMark/>
          </w:tcPr>
          <w:p w14:paraId="351A4918"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O'</w:t>
            </w:r>
          </w:p>
        </w:tc>
        <w:tc>
          <w:tcPr>
            <w:tcW w:w="1116" w:type="dxa"/>
            <w:noWrap/>
            <w:vAlign w:val="bottom"/>
            <w:hideMark/>
          </w:tcPr>
          <w:p w14:paraId="4C72EA4C" w14:textId="77777777" w:rsidR="00970389" w:rsidRPr="00450090" w:rsidRDefault="00970389" w:rsidP="00450090">
            <w:pPr>
              <w:spacing w:after="0" w:line="240" w:lineRule="auto"/>
              <w:jc w:val="center"/>
              <w:rPr>
                <w:rFonts w:eastAsia="Times New Roman" w:cstheme="minorHAnsi"/>
                <w:color w:val="000000"/>
                <w:sz w:val="16"/>
                <w:szCs w:val="16"/>
                <w:lang w:val="hr-HR" w:eastAsia="hr-HR"/>
              </w:rPr>
            </w:pPr>
            <w:r w:rsidRPr="00450090">
              <w:rPr>
                <w:rFonts w:eastAsia="Times New Roman" w:cstheme="minorHAnsi"/>
                <w:color w:val="000000"/>
                <w:sz w:val="16"/>
                <w:szCs w:val="16"/>
                <w:lang w:val="hr-HR" w:eastAsia="hr-HR"/>
              </w:rPr>
              <w:t>BIH</w:t>
            </w:r>
          </w:p>
        </w:tc>
      </w:tr>
    </w:tbl>
    <w:p w14:paraId="7CDF4880" w14:textId="506BB021" w:rsidR="00970389" w:rsidRDefault="00970389" w:rsidP="00970389">
      <w:pPr>
        <w:jc w:val="center"/>
        <w:rPr>
          <w:rStyle w:val="Strong"/>
        </w:rPr>
      </w:pPr>
    </w:p>
    <w:p w14:paraId="1B0705D9" w14:textId="00E77EC6" w:rsidR="00450090" w:rsidRDefault="00450090" w:rsidP="00450090">
      <w:pPr>
        <w:pStyle w:val="Caption"/>
        <w:jc w:val="center"/>
        <w:rPr>
          <w:b/>
        </w:rPr>
      </w:pPr>
      <w:r>
        <w:rPr>
          <w:b/>
          <w:bCs/>
          <w:noProof/>
          <w:lang w:val="hr-HR" w:eastAsia="hr-HR"/>
        </w:rPr>
        <w:drawing>
          <wp:inline distT="0" distB="0" distL="0" distR="0" wp14:anchorId="4BF71419" wp14:editId="5D5D9CF0">
            <wp:extent cx="3842839" cy="3601289"/>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W Monitoring.jpg"/>
                    <pic:cNvPicPr/>
                  </pic:nvPicPr>
                  <pic:blipFill rotWithShape="1">
                    <a:blip r:embed="rId21" cstate="print">
                      <a:extLst>
                        <a:ext uri="{28A0092B-C50C-407E-A947-70E740481C1C}">
                          <a14:useLocalDpi xmlns:a14="http://schemas.microsoft.com/office/drawing/2010/main" val="0"/>
                        </a:ext>
                      </a:extLst>
                    </a:blip>
                    <a:srcRect b="33823"/>
                    <a:stretch/>
                  </pic:blipFill>
                  <pic:spPr bwMode="auto">
                    <a:xfrm>
                      <a:off x="0" y="0"/>
                      <a:ext cx="3865278" cy="3622317"/>
                    </a:xfrm>
                    <a:prstGeom prst="rect">
                      <a:avLst/>
                    </a:prstGeom>
                    <a:ln>
                      <a:noFill/>
                    </a:ln>
                    <a:extLst>
                      <a:ext uri="{53640926-AAD7-44D8-BBD7-CCE9431645EC}">
                        <a14:shadowObscured xmlns:a14="http://schemas.microsoft.com/office/drawing/2010/main"/>
                      </a:ext>
                    </a:extLst>
                  </pic:spPr>
                </pic:pic>
              </a:graphicData>
            </a:graphic>
          </wp:inline>
        </w:drawing>
      </w:r>
    </w:p>
    <w:p w14:paraId="2E5475FE" w14:textId="14E33364" w:rsidR="00450090" w:rsidRPr="0039215F" w:rsidRDefault="002F4776" w:rsidP="002F4776">
      <w:pPr>
        <w:pStyle w:val="Caption"/>
        <w:jc w:val="center"/>
      </w:pPr>
      <w:bookmarkStart w:id="103" w:name="_Toc229037710"/>
      <w:r>
        <w:t xml:space="preserve">Figure </w:t>
      </w:r>
      <w:r>
        <w:fldChar w:fldCharType="begin"/>
      </w:r>
      <w:r>
        <w:instrText xml:space="preserve"> SEQ Figure \* ARABIC </w:instrText>
      </w:r>
      <w:r>
        <w:fldChar w:fldCharType="separate"/>
      </w:r>
      <w:r>
        <w:rPr>
          <w:noProof/>
        </w:rPr>
        <w:t>5</w:t>
      </w:r>
      <w:r>
        <w:fldChar w:fldCharType="end"/>
      </w:r>
      <w:r>
        <w:t xml:space="preserve"> </w:t>
      </w:r>
      <w:r w:rsidRPr="00994F10">
        <w:t>Surface water monitoring in Neretva TBA</w:t>
      </w:r>
      <w:bookmarkEnd w:id="103"/>
    </w:p>
    <w:p w14:paraId="57F60B35" w14:textId="0DA9159C" w:rsidR="00970389" w:rsidRPr="00F75A45" w:rsidRDefault="00450090" w:rsidP="00450090">
      <w:pPr>
        <w:pStyle w:val="Heading3"/>
        <w:rPr>
          <w:lang w:val="en-GB"/>
        </w:rPr>
      </w:pPr>
      <w:bookmarkStart w:id="104" w:name="_Toc229036224"/>
      <w:r w:rsidRPr="00F75A45">
        <w:rPr>
          <w:lang w:val="en-GB"/>
        </w:rPr>
        <w:t>5.1.3. Hydrometeorological monitoring</w:t>
      </w:r>
      <w:bookmarkEnd w:id="104"/>
    </w:p>
    <w:p w14:paraId="05F038C7" w14:textId="77777777" w:rsidR="005D33C9" w:rsidRDefault="005D33C9" w:rsidP="005D33C9">
      <w:pPr>
        <w:jc w:val="both"/>
      </w:pPr>
      <w:r w:rsidRPr="005D33C9">
        <w:t>Official data from the national hydrometeorological services were used, namely the Croatian Meteorological and Hydrological Service (DHMZ) and the Federal Hydrometeorological Institute (FHMI). Both institutions are responsible for the collection and management of meteorological and hydrological data.</w:t>
      </w:r>
    </w:p>
    <w:p w14:paraId="0BE9E755" w14:textId="133D0E8B" w:rsidR="005D33C9" w:rsidRPr="005D33C9" w:rsidRDefault="005D33C9" w:rsidP="005D33C9">
      <w:pPr>
        <w:jc w:val="both"/>
      </w:pPr>
      <w:r w:rsidRPr="005D33C9">
        <w:lastRenderedPageBreak/>
        <w:t>Within Neretva TBA, there are currently five active meteorological stations (three climatological stations and two rain gauge stations). All these stations are located within the territory of Croatia, while none are situated in the Federation of Bosnia and Herzegovina (FB</w:t>
      </w:r>
      <w:r>
        <w:t>i</w:t>
      </w:r>
      <w:r w:rsidRPr="005D33C9">
        <w:t>H).</w:t>
      </w:r>
    </w:p>
    <w:p w14:paraId="13561284" w14:textId="2C903175" w:rsidR="00970389" w:rsidRPr="005D33C9" w:rsidRDefault="005D33C9" w:rsidP="005D33C9">
      <w:pPr>
        <w:jc w:val="both"/>
        <w:rPr>
          <w:rStyle w:val="Strong"/>
          <w:b w:val="0"/>
          <w:bCs w:val="0"/>
        </w:rPr>
      </w:pPr>
      <w:r w:rsidRPr="005D33C9">
        <w:t>The locations of the meteorological and hydrological stations in the Neretva TBA are presented in</w:t>
      </w:r>
      <w:r>
        <w:t xml:space="preserve"> </w:t>
      </w:r>
      <w:r w:rsidRPr="005D33C9">
        <w:t>Figure 5.3.</w:t>
      </w:r>
    </w:p>
    <w:p w14:paraId="77B71730" w14:textId="77777777" w:rsidR="005D33C9" w:rsidRDefault="005D33C9" w:rsidP="002F4776">
      <w:pPr>
        <w:pStyle w:val="Caption"/>
        <w:jc w:val="center"/>
        <w:rPr>
          <w:b/>
        </w:rPr>
      </w:pPr>
      <w:r>
        <w:rPr>
          <w:b/>
          <w:bCs/>
          <w:noProof/>
        </w:rPr>
        <w:drawing>
          <wp:inline distT="0" distB="0" distL="0" distR="0" wp14:anchorId="3CD6136F" wp14:editId="7BB46B41">
            <wp:extent cx="4772025" cy="43633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idroMeteoro Monitoring.jpg"/>
                    <pic:cNvPicPr/>
                  </pic:nvPicPr>
                  <pic:blipFill rotWithShape="1">
                    <a:blip r:embed="rId22" cstate="print">
                      <a:extLst>
                        <a:ext uri="{28A0092B-C50C-407E-A947-70E740481C1C}">
                          <a14:useLocalDpi xmlns:a14="http://schemas.microsoft.com/office/drawing/2010/main" val="0"/>
                        </a:ext>
                      </a:extLst>
                    </a:blip>
                    <a:srcRect t="1518" b="33914"/>
                    <a:stretch/>
                  </pic:blipFill>
                  <pic:spPr bwMode="auto">
                    <a:xfrm>
                      <a:off x="0" y="0"/>
                      <a:ext cx="4776415" cy="4367324"/>
                    </a:xfrm>
                    <a:prstGeom prst="rect">
                      <a:avLst/>
                    </a:prstGeom>
                    <a:ln>
                      <a:noFill/>
                    </a:ln>
                    <a:extLst>
                      <a:ext uri="{53640926-AAD7-44D8-BBD7-CCE9431645EC}">
                        <a14:shadowObscured xmlns:a14="http://schemas.microsoft.com/office/drawing/2010/main"/>
                      </a:ext>
                    </a:extLst>
                  </pic:spPr>
                </pic:pic>
              </a:graphicData>
            </a:graphic>
          </wp:inline>
        </w:drawing>
      </w:r>
    </w:p>
    <w:p w14:paraId="13A9E8DC" w14:textId="259211DD" w:rsidR="005D33C9" w:rsidRPr="005D33C9" w:rsidRDefault="002F4776" w:rsidP="002F4776">
      <w:pPr>
        <w:pStyle w:val="Caption"/>
        <w:jc w:val="center"/>
        <w:rPr>
          <w:bCs/>
        </w:rPr>
      </w:pPr>
      <w:bookmarkStart w:id="105" w:name="_Toc221882517"/>
      <w:bookmarkStart w:id="106" w:name="_Toc229037711"/>
      <w:bookmarkEnd w:id="96"/>
      <w:r>
        <w:t xml:space="preserve">Figure </w:t>
      </w:r>
      <w:r>
        <w:fldChar w:fldCharType="begin"/>
      </w:r>
      <w:r>
        <w:instrText xml:space="preserve"> SEQ Figure \* ARABIC </w:instrText>
      </w:r>
      <w:r>
        <w:fldChar w:fldCharType="separate"/>
      </w:r>
      <w:r>
        <w:rPr>
          <w:noProof/>
        </w:rPr>
        <w:t>6</w:t>
      </w:r>
      <w:r>
        <w:fldChar w:fldCharType="end"/>
      </w:r>
      <w:r>
        <w:t xml:space="preserve"> </w:t>
      </w:r>
      <w:r w:rsidRPr="009266C1">
        <w:t>Meteorological and hydrological stations in TBA Neretva</w:t>
      </w:r>
      <w:bookmarkEnd w:id="106"/>
    </w:p>
    <w:p w14:paraId="60066484" w14:textId="77777777" w:rsidR="0039215F" w:rsidRDefault="0039215F" w:rsidP="005D33C9">
      <w:pPr>
        <w:pStyle w:val="Heading2"/>
        <w:rPr>
          <w:lang w:val="en-GB"/>
        </w:rPr>
      </w:pPr>
    </w:p>
    <w:p w14:paraId="6F43C78E" w14:textId="739CC389" w:rsidR="00970389" w:rsidRPr="005D33C9" w:rsidRDefault="00970389" w:rsidP="005D33C9">
      <w:pPr>
        <w:pStyle w:val="Heading2"/>
        <w:rPr>
          <w:lang w:val="en-GB"/>
        </w:rPr>
      </w:pPr>
      <w:bookmarkStart w:id="107" w:name="_Toc229036225"/>
      <w:r w:rsidRPr="005D33C9">
        <w:rPr>
          <w:lang w:val="en-GB"/>
        </w:rPr>
        <w:t>5.2 Parameters and frequencies of monitoring</w:t>
      </w:r>
      <w:bookmarkEnd w:id="105"/>
      <w:bookmarkEnd w:id="107"/>
      <w:r w:rsidRPr="005D33C9">
        <w:rPr>
          <w:lang w:val="en-GB"/>
        </w:rPr>
        <w:t xml:space="preserve"> </w:t>
      </w:r>
    </w:p>
    <w:p w14:paraId="0458569B" w14:textId="77777777" w:rsidR="005D33C9" w:rsidRDefault="005D33C9" w:rsidP="0039215F">
      <w:bookmarkStart w:id="108" w:name="_Toc221882518"/>
      <w:bookmarkStart w:id="109" w:name="_Hlk221458724"/>
      <w:r w:rsidRPr="005D33C9">
        <w:t>A list of parameters used for the assessment of the chemical status of groundwater bodies (GWBs), together with their sampling frequencies, is presented in Tables 5.3 and 5.4. A summarized overview of parameters applied in surface water monitoring (ecological and chemical status) is also provided.</w:t>
      </w:r>
    </w:p>
    <w:p w14:paraId="68D8A8C1" w14:textId="25C06971" w:rsidR="00970389" w:rsidRPr="005D33C9" w:rsidRDefault="005D33C9" w:rsidP="00970389">
      <w:pPr>
        <w:pStyle w:val="Heading3"/>
        <w:rPr>
          <w:lang w:val="en-GB"/>
        </w:rPr>
      </w:pPr>
      <w:bookmarkStart w:id="110" w:name="_Toc229036226"/>
      <w:r w:rsidRPr="005D33C9">
        <w:rPr>
          <w:lang w:val="en-GB"/>
        </w:rPr>
        <w:t>5.2.1 Groundwater monitoring</w:t>
      </w:r>
      <w:bookmarkEnd w:id="108"/>
      <w:bookmarkEnd w:id="110"/>
    </w:p>
    <w:p w14:paraId="5BB98369" w14:textId="0E083563" w:rsidR="005D33C9" w:rsidRDefault="005D33C9" w:rsidP="005D33C9">
      <w:pPr>
        <w:jc w:val="both"/>
      </w:pPr>
      <w:r>
        <w:t>The assessment of chemical status is conducted in accordance with groundwater quality standards for nitrates and pesticides, as well as threshold values for specific pollutants. In Croatia, these standards are laid down in the Regulation on Water Quality Standards (Official Gazette No. 96/2019, 20/2023, and 50/2023, Annex 6), while in the Federation of Bosnia and Herzegovina they are defined by the Decision on the Characterization of Surface and Groundwater, Reference Conditions, and Parameters (Official Gazette of FBiH, No. 1/14, Annex 8).</w:t>
      </w:r>
    </w:p>
    <w:p w14:paraId="4A2808E7" w14:textId="4B5C15CE" w:rsidR="005D33C9" w:rsidRDefault="005D33C9" w:rsidP="005D33C9">
      <w:pPr>
        <w:jc w:val="both"/>
      </w:pPr>
      <w:r>
        <w:lastRenderedPageBreak/>
        <w:t>Monitoring frequencies in both countries are generally comparable, ranging mainly from four to six times per year for surveillance monitoring and from four to twelve times per year for operational monitoring.</w:t>
      </w:r>
    </w:p>
    <w:p w14:paraId="77742554" w14:textId="38B18A02" w:rsidR="00970389" w:rsidRPr="000C5BD5" w:rsidRDefault="005D33C9" w:rsidP="005D33C9">
      <w:pPr>
        <w:jc w:val="both"/>
      </w:pPr>
      <w:r>
        <w:t>Table 5.3 presents the parameters prescribed under Croatian legislation, with the final column indicating parameters that differ in Bosnia and Herzegovina compared to Croatia. Additional parameters listed in Table 5.4 are also considered for the assessment of chemical status in Croatia.</w:t>
      </w:r>
    </w:p>
    <w:p w14:paraId="3DC8F5BC" w14:textId="5FD24529" w:rsidR="00970389" w:rsidRPr="000C5BD5" w:rsidRDefault="002F4776" w:rsidP="002F4776">
      <w:pPr>
        <w:pStyle w:val="Caption"/>
        <w:rPr>
          <w:rFonts w:eastAsia="Aptos"/>
          <w:color w:val="auto"/>
          <w:lang w:val="en-US"/>
        </w:rPr>
      </w:pPr>
      <w:bookmarkStart w:id="111" w:name="_Toc229037735"/>
      <w:bookmarkEnd w:id="109"/>
      <w:r>
        <w:t xml:space="preserve">Table </w:t>
      </w:r>
      <w:r>
        <w:fldChar w:fldCharType="begin"/>
      </w:r>
      <w:r>
        <w:instrText xml:space="preserve"> SEQ Table \* ARABIC </w:instrText>
      </w:r>
      <w:r>
        <w:fldChar w:fldCharType="separate"/>
      </w:r>
      <w:r>
        <w:rPr>
          <w:noProof/>
        </w:rPr>
        <w:t>13</w:t>
      </w:r>
      <w:r>
        <w:fldChar w:fldCharType="end"/>
      </w:r>
      <w:r>
        <w:t xml:space="preserve"> </w:t>
      </w:r>
      <w:r w:rsidRPr="003912F0">
        <w:t>Parameters used for groundwater chemical status assessment and required annual testing frequency- GQS and specific pollutants (modified from Water Institute JJS, 2025)</w:t>
      </w:r>
      <w:bookmarkEnd w:id="111"/>
    </w:p>
    <w:tbl>
      <w:tblPr>
        <w:tblStyle w:val="TableGrid"/>
        <w:tblW w:w="8359"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211"/>
        <w:gridCol w:w="1449"/>
        <w:gridCol w:w="1415"/>
        <w:gridCol w:w="1284"/>
      </w:tblGrid>
      <w:tr w:rsidR="00970389" w:rsidRPr="006B7321" w14:paraId="53110B8F" w14:textId="77777777" w:rsidTr="00682BC9">
        <w:trPr>
          <w:trHeight w:val="262"/>
          <w:jc w:val="center"/>
        </w:trPr>
        <w:tc>
          <w:tcPr>
            <w:tcW w:w="4211" w:type="dxa"/>
            <w:vMerge w:val="restart"/>
            <w:shd w:val="clear" w:color="auto" w:fill="A5C9EB"/>
            <w:vAlign w:val="center"/>
          </w:tcPr>
          <w:p w14:paraId="61880EA1" w14:textId="77777777" w:rsidR="00970389" w:rsidRPr="006B7321" w:rsidRDefault="00970389" w:rsidP="00682BC9">
            <w:pPr>
              <w:spacing w:line="259" w:lineRule="auto"/>
              <w:rPr>
                <w:rFonts w:eastAsia="Aptos" w:cstheme="minorHAnsi"/>
                <w:b/>
                <w:bCs/>
                <w:sz w:val="16"/>
                <w:szCs w:val="16"/>
              </w:rPr>
            </w:pPr>
            <w:r w:rsidRPr="006B7321">
              <w:rPr>
                <w:rFonts w:eastAsia="Aptos" w:cstheme="minorHAnsi"/>
                <w:b/>
                <w:bCs/>
                <w:sz w:val="16"/>
                <w:szCs w:val="16"/>
              </w:rPr>
              <w:t>INDICATOR</w:t>
            </w:r>
          </w:p>
        </w:tc>
        <w:tc>
          <w:tcPr>
            <w:tcW w:w="2864" w:type="dxa"/>
            <w:gridSpan w:val="2"/>
            <w:shd w:val="clear" w:color="auto" w:fill="A5C9EB"/>
            <w:vAlign w:val="center"/>
          </w:tcPr>
          <w:p w14:paraId="3BA60E74"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b/>
                <w:bCs/>
                <w:sz w:val="16"/>
                <w:szCs w:val="16"/>
              </w:rPr>
              <w:t>FREQUENCY</w:t>
            </w:r>
          </w:p>
        </w:tc>
        <w:tc>
          <w:tcPr>
            <w:tcW w:w="1284" w:type="dxa"/>
            <w:vMerge w:val="restart"/>
            <w:shd w:val="clear" w:color="auto" w:fill="A5C9EB"/>
            <w:vAlign w:val="center"/>
          </w:tcPr>
          <w:p w14:paraId="6C855B6B" w14:textId="49BD6881" w:rsidR="00970389" w:rsidRPr="006B7321" w:rsidRDefault="00970389" w:rsidP="00682BC9">
            <w:pPr>
              <w:spacing w:line="259" w:lineRule="auto"/>
              <w:jc w:val="center"/>
              <w:rPr>
                <w:rFonts w:eastAsia="Aptos" w:cstheme="minorHAnsi"/>
                <w:b/>
                <w:bCs/>
                <w:sz w:val="16"/>
                <w:szCs w:val="16"/>
              </w:rPr>
            </w:pPr>
            <w:r w:rsidRPr="006B7321">
              <w:rPr>
                <w:rFonts w:eastAsia="Aptos" w:cstheme="minorHAnsi"/>
                <w:b/>
                <w:bCs/>
                <w:sz w:val="16"/>
                <w:szCs w:val="16"/>
              </w:rPr>
              <w:t>FB</w:t>
            </w:r>
            <w:r w:rsidR="005D33C9">
              <w:rPr>
                <w:rFonts w:eastAsia="Aptos" w:cstheme="minorHAnsi"/>
                <w:b/>
                <w:bCs/>
                <w:sz w:val="16"/>
                <w:szCs w:val="16"/>
              </w:rPr>
              <w:t>i</w:t>
            </w:r>
            <w:r w:rsidRPr="006B7321">
              <w:rPr>
                <w:rFonts w:eastAsia="Aptos" w:cstheme="minorHAnsi"/>
                <w:b/>
                <w:bCs/>
                <w:sz w:val="16"/>
                <w:szCs w:val="16"/>
              </w:rPr>
              <w:t>H</w:t>
            </w:r>
          </w:p>
        </w:tc>
      </w:tr>
      <w:tr w:rsidR="00970389" w:rsidRPr="006B7321" w14:paraId="47118D38" w14:textId="77777777" w:rsidTr="00682BC9">
        <w:trPr>
          <w:trHeight w:val="262"/>
          <w:jc w:val="center"/>
        </w:trPr>
        <w:tc>
          <w:tcPr>
            <w:tcW w:w="4211" w:type="dxa"/>
            <w:vMerge/>
            <w:shd w:val="clear" w:color="auto" w:fill="BFBFBF" w:themeFill="background1" w:themeFillShade="BF"/>
            <w:vAlign w:val="center"/>
          </w:tcPr>
          <w:p w14:paraId="4FF5582C" w14:textId="77777777" w:rsidR="00970389" w:rsidRPr="006B7321" w:rsidRDefault="00970389" w:rsidP="00682BC9">
            <w:pPr>
              <w:spacing w:line="259" w:lineRule="auto"/>
              <w:rPr>
                <w:rFonts w:eastAsia="Aptos" w:cstheme="minorHAnsi"/>
                <w:b/>
                <w:bCs/>
                <w:sz w:val="16"/>
                <w:szCs w:val="16"/>
              </w:rPr>
            </w:pPr>
          </w:p>
        </w:tc>
        <w:tc>
          <w:tcPr>
            <w:tcW w:w="1449" w:type="dxa"/>
            <w:shd w:val="clear" w:color="auto" w:fill="A5C9EB"/>
            <w:vAlign w:val="center"/>
          </w:tcPr>
          <w:p w14:paraId="1244670E"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b/>
                <w:bCs/>
                <w:sz w:val="16"/>
                <w:szCs w:val="16"/>
              </w:rPr>
              <w:t>SURVEILLANCE</w:t>
            </w:r>
          </w:p>
        </w:tc>
        <w:tc>
          <w:tcPr>
            <w:tcW w:w="1415" w:type="dxa"/>
            <w:shd w:val="clear" w:color="auto" w:fill="A5C9EB"/>
            <w:vAlign w:val="center"/>
          </w:tcPr>
          <w:p w14:paraId="65323A1B"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b/>
                <w:bCs/>
                <w:sz w:val="16"/>
                <w:szCs w:val="16"/>
              </w:rPr>
              <w:t>OPERATIONAL</w:t>
            </w:r>
          </w:p>
        </w:tc>
        <w:tc>
          <w:tcPr>
            <w:tcW w:w="1284" w:type="dxa"/>
            <w:vMerge/>
            <w:shd w:val="clear" w:color="auto" w:fill="BFBFBF" w:themeFill="background1" w:themeFillShade="BF"/>
          </w:tcPr>
          <w:p w14:paraId="52EC1C96" w14:textId="77777777" w:rsidR="00970389" w:rsidRPr="006B7321" w:rsidRDefault="00970389" w:rsidP="00682BC9">
            <w:pPr>
              <w:spacing w:line="259" w:lineRule="auto"/>
              <w:rPr>
                <w:rFonts w:eastAsia="Aptos" w:cstheme="minorHAnsi"/>
                <w:b/>
                <w:bCs/>
                <w:sz w:val="16"/>
                <w:szCs w:val="16"/>
              </w:rPr>
            </w:pPr>
          </w:p>
        </w:tc>
      </w:tr>
      <w:tr w:rsidR="00970389" w:rsidRPr="006B7321" w14:paraId="7649239A" w14:textId="77777777" w:rsidTr="00682BC9">
        <w:trPr>
          <w:trHeight w:val="262"/>
          <w:jc w:val="center"/>
        </w:trPr>
        <w:tc>
          <w:tcPr>
            <w:tcW w:w="4211" w:type="dxa"/>
            <w:shd w:val="clear" w:color="auto" w:fill="DEEAF6" w:themeFill="accent5" w:themeFillTint="33"/>
            <w:vAlign w:val="center"/>
          </w:tcPr>
          <w:p w14:paraId="0763784F" w14:textId="77777777" w:rsidR="00970389" w:rsidRPr="006B7321" w:rsidRDefault="00970389" w:rsidP="00682BC9">
            <w:pPr>
              <w:spacing w:line="259" w:lineRule="auto"/>
              <w:rPr>
                <w:rFonts w:eastAsia="Aptos" w:cstheme="minorHAnsi"/>
                <w:b/>
                <w:bCs/>
                <w:sz w:val="16"/>
                <w:szCs w:val="16"/>
              </w:rPr>
            </w:pPr>
            <w:r w:rsidRPr="006B7321">
              <w:rPr>
                <w:rFonts w:eastAsia="Aptos" w:cstheme="minorHAnsi"/>
                <w:b/>
                <w:bCs/>
                <w:sz w:val="16"/>
                <w:szCs w:val="16"/>
              </w:rPr>
              <w:t>CHEMICHAL STATUS</w:t>
            </w:r>
          </w:p>
        </w:tc>
        <w:tc>
          <w:tcPr>
            <w:tcW w:w="1449" w:type="dxa"/>
            <w:shd w:val="clear" w:color="auto" w:fill="DEEAF6" w:themeFill="accent5" w:themeFillTint="33"/>
            <w:vAlign w:val="center"/>
          </w:tcPr>
          <w:p w14:paraId="0E0B35CF" w14:textId="77777777" w:rsidR="00970389" w:rsidRPr="006B7321" w:rsidRDefault="00970389" w:rsidP="00682BC9">
            <w:pPr>
              <w:spacing w:line="259" w:lineRule="auto"/>
              <w:jc w:val="center"/>
              <w:rPr>
                <w:rFonts w:eastAsia="Aptos" w:cstheme="minorHAnsi"/>
                <w:b/>
                <w:bCs/>
                <w:sz w:val="16"/>
                <w:szCs w:val="16"/>
              </w:rPr>
            </w:pPr>
          </w:p>
        </w:tc>
        <w:tc>
          <w:tcPr>
            <w:tcW w:w="1415" w:type="dxa"/>
            <w:shd w:val="clear" w:color="auto" w:fill="DEEAF6" w:themeFill="accent5" w:themeFillTint="33"/>
            <w:vAlign w:val="center"/>
          </w:tcPr>
          <w:p w14:paraId="5F1C0822" w14:textId="77777777" w:rsidR="00970389" w:rsidRPr="006B7321" w:rsidRDefault="00970389" w:rsidP="00682BC9">
            <w:pPr>
              <w:spacing w:line="259" w:lineRule="auto"/>
              <w:jc w:val="center"/>
              <w:rPr>
                <w:rFonts w:eastAsia="Aptos" w:cstheme="minorHAnsi"/>
                <w:b/>
                <w:bCs/>
                <w:sz w:val="16"/>
                <w:szCs w:val="16"/>
              </w:rPr>
            </w:pPr>
          </w:p>
        </w:tc>
        <w:tc>
          <w:tcPr>
            <w:tcW w:w="1284" w:type="dxa"/>
            <w:shd w:val="clear" w:color="auto" w:fill="DEEAF6" w:themeFill="accent5" w:themeFillTint="33"/>
          </w:tcPr>
          <w:p w14:paraId="5170FA8F" w14:textId="77777777" w:rsidR="00970389" w:rsidRPr="006B7321" w:rsidRDefault="00970389" w:rsidP="00682BC9">
            <w:pPr>
              <w:spacing w:line="259" w:lineRule="auto"/>
              <w:jc w:val="center"/>
              <w:rPr>
                <w:rFonts w:eastAsia="Aptos" w:cstheme="minorHAnsi"/>
                <w:b/>
                <w:bCs/>
                <w:sz w:val="16"/>
                <w:szCs w:val="16"/>
              </w:rPr>
            </w:pPr>
          </w:p>
        </w:tc>
      </w:tr>
      <w:tr w:rsidR="00970389" w:rsidRPr="006B7321" w14:paraId="5D2C23D9" w14:textId="77777777" w:rsidTr="00682BC9">
        <w:trPr>
          <w:trHeight w:hRule="exact" w:val="284"/>
          <w:jc w:val="center"/>
        </w:trPr>
        <w:tc>
          <w:tcPr>
            <w:tcW w:w="4211" w:type="dxa"/>
            <w:vAlign w:val="center"/>
          </w:tcPr>
          <w:p w14:paraId="6EE7BB1C" w14:textId="77777777" w:rsidR="00970389" w:rsidRPr="006B7321" w:rsidRDefault="00970389" w:rsidP="00682BC9">
            <w:pPr>
              <w:spacing w:line="259" w:lineRule="auto"/>
              <w:rPr>
                <w:rFonts w:eastAsia="Aptos" w:cstheme="minorHAnsi"/>
                <w:sz w:val="16"/>
                <w:szCs w:val="16"/>
              </w:rPr>
            </w:pPr>
            <w:r w:rsidRPr="006B7321">
              <w:rPr>
                <w:rFonts w:eastAsia="Aptos" w:cstheme="minorHAnsi"/>
                <w:sz w:val="16"/>
                <w:szCs w:val="16"/>
              </w:rPr>
              <w:t xml:space="preserve">Nitrates </w:t>
            </w:r>
          </w:p>
        </w:tc>
        <w:tc>
          <w:tcPr>
            <w:tcW w:w="1449" w:type="dxa"/>
            <w:vAlign w:val="center"/>
          </w:tcPr>
          <w:p w14:paraId="4B021E3A" w14:textId="77777777" w:rsidR="00970389" w:rsidRPr="006B7321" w:rsidRDefault="00970389" w:rsidP="00682BC9">
            <w:pPr>
              <w:spacing w:line="259" w:lineRule="auto"/>
              <w:jc w:val="center"/>
              <w:rPr>
                <w:rFonts w:eastAsia="Aptos" w:cstheme="minorHAnsi"/>
                <w:sz w:val="16"/>
                <w:szCs w:val="16"/>
              </w:rPr>
            </w:pPr>
            <w:r w:rsidRPr="006B7321">
              <w:rPr>
                <w:rFonts w:eastAsia="Aptos" w:cstheme="minorHAnsi"/>
                <w:sz w:val="16"/>
                <w:szCs w:val="16"/>
              </w:rPr>
              <w:t>4/yr-6/yr</w:t>
            </w:r>
          </w:p>
        </w:tc>
        <w:tc>
          <w:tcPr>
            <w:tcW w:w="1415" w:type="dxa"/>
            <w:vAlign w:val="center"/>
          </w:tcPr>
          <w:p w14:paraId="2B4E770E"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284" w:type="dxa"/>
          </w:tcPr>
          <w:p w14:paraId="7C3A21B5"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w:t>
            </w:r>
          </w:p>
        </w:tc>
      </w:tr>
      <w:tr w:rsidR="00970389" w:rsidRPr="006B7321" w14:paraId="7516CEBA" w14:textId="77777777" w:rsidTr="00682BC9">
        <w:trPr>
          <w:trHeight w:val="567"/>
          <w:jc w:val="center"/>
        </w:trPr>
        <w:tc>
          <w:tcPr>
            <w:tcW w:w="4211" w:type="dxa"/>
            <w:vAlign w:val="center"/>
          </w:tcPr>
          <w:p w14:paraId="016828DB" w14:textId="77777777" w:rsidR="00970389" w:rsidRPr="006B7321" w:rsidRDefault="00970389" w:rsidP="00682BC9">
            <w:pPr>
              <w:tabs>
                <w:tab w:val="left" w:pos="264"/>
              </w:tabs>
              <w:spacing w:line="259" w:lineRule="auto"/>
              <w:rPr>
                <w:rFonts w:eastAsia="Aptos" w:cstheme="minorHAnsi"/>
                <w:sz w:val="16"/>
                <w:szCs w:val="16"/>
              </w:rPr>
            </w:pPr>
            <w:r w:rsidRPr="006B7321">
              <w:rPr>
                <w:rFonts w:eastAsia="Aptos" w:cstheme="minorHAnsi"/>
                <w:sz w:val="16"/>
                <w:szCs w:val="16"/>
              </w:rPr>
              <w:t>Pesticide active substances (plant protection products and biocides, in accordance with regulations on permitted active substances) *</w:t>
            </w:r>
          </w:p>
        </w:tc>
        <w:tc>
          <w:tcPr>
            <w:tcW w:w="1449" w:type="dxa"/>
            <w:vAlign w:val="center"/>
          </w:tcPr>
          <w:p w14:paraId="13F4180D"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w:t>
            </w:r>
          </w:p>
        </w:tc>
        <w:tc>
          <w:tcPr>
            <w:tcW w:w="1415" w:type="dxa"/>
            <w:vAlign w:val="center"/>
          </w:tcPr>
          <w:p w14:paraId="164B70EF"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4/yr-6/yr</w:t>
            </w:r>
          </w:p>
        </w:tc>
        <w:tc>
          <w:tcPr>
            <w:tcW w:w="1284" w:type="dxa"/>
            <w:vAlign w:val="center"/>
          </w:tcPr>
          <w:p w14:paraId="6738475E"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b/>
                <w:bCs/>
                <w:sz w:val="16"/>
                <w:szCs w:val="16"/>
              </w:rPr>
              <w:t>+</w:t>
            </w:r>
          </w:p>
        </w:tc>
      </w:tr>
      <w:tr w:rsidR="00970389" w:rsidRPr="006B7321" w14:paraId="52413DC3" w14:textId="77777777" w:rsidTr="00682BC9">
        <w:trPr>
          <w:trHeight w:val="284"/>
          <w:jc w:val="center"/>
        </w:trPr>
        <w:tc>
          <w:tcPr>
            <w:tcW w:w="4211" w:type="dxa"/>
            <w:shd w:val="clear" w:color="auto" w:fill="DEEAF6" w:themeFill="accent5" w:themeFillTint="33"/>
            <w:vAlign w:val="center"/>
          </w:tcPr>
          <w:p w14:paraId="0705BB8C" w14:textId="77777777" w:rsidR="00970389" w:rsidRPr="006B7321" w:rsidRDefault="00970389" w:rsidP="00682BC9">
            <w:pPr>
              <w:spacing w:line="259" w:lineRule="auto"/>
              <w:rPr>
                <w:rFonts w:eastAsia="Aptos" w:cstheme="minorHAnsi"/>
                <w:b/>
                <w:bCs/>
                <w:sz w:val="16"/>
                <w:szCs w:val="16"/>
              </w:rPr>
            </w:pPr>
            <w:r w:rsidRPr="006B7321">
              <w:rPr>
                <w:rFonts w:eastAsia="Aptos" w:cstheme="minorHAnsi"/>
                <w:b/>
                <w:bCs/>
                <w:sz w:val="16"/>
                <w:szCs w:val="16"/>
              </w:rPr>
              <w:t>SPECIFIC POLLUTANTS</w:t>
            </w:r>
          </w:p>
        </w:tc>
        <w:tc>
          <w:tcPr>
            <w:tcW w:w="1449" w:type="dxa"/>
            <w:shd w:val="clear" w:color="auto" w:fill="DEEAF6" w:themeFill="accent5" w:themeFillTint="33"/>
            <w:vAlign w:val="center"/>
          </w:tcPr>
          <w:p w14:paraId="01F894A6" w14:textId="77777777" w:rsidR="00970389" w:rsidRPr="006B7321" w:rsidRDefault="00970389" w:rsidP="00682BC9">
            <w:pPr>
              <w:spacing w:line="259" w:lineRule="auto"/>
              <w:jc w:val="center"/>
              <w:rPr>
                <w:rFonts w:eastAsia="Aptos" w:cstheme="minorHAnsi"/>
                <w:b/>
                <w:bCs/>
                <w:sz w:val="16"/>
                <w:szCs w:val="16"/>
              </w:rPr>
            </w:pPr>
          </w:p>
        </w:tc>
        <w:tc>
          <w:tcPr>
            <w:tcW w:w="1415" w:type="dxa"/>
            <w:shd w:val="clear" w:color="auto" w:fill="DEEAF6" w:themeFill="accent5" w:themeFillTint="33"/>
            <w:vAlign w:val="center"/>
          </w:tcPr>
          <w:p w14:paraId="386B4CEB" w14:textId="77777777" w:rsidR="00970389" w:rsidRPr="006B7321" w:rsidRDefault="00970389" w:rsidP="00682BC9">
            <w:pPr>
              <w:spacing w:line="259" w:lineRule="auto"/>
              <w:jc w:val="center"/>
              <w:rPr>
                <w:rFonts w:eastAsia="Aptos" w:cstheme="minorHAnsi"/>
                <w:b/>
                <w:bCs/>
                <w:sz w:val="16"/>
                <w:szCs w:val="16"/>
              </w:rPr>
            </w:pPr>
          </w:p>
        </w:tc>
        <w:tc>
          <w:tcPr>
            <w:tcW w:w="1284" w:type="dxa"/>
            <w:shd w:val="clear" w:color="auto" w:fill="DEEAF6" w:themeFill="accent5" w:themeFillTint="33"/>
            <w:vAlign w:val="center"/>
          </w:tcPr>
          <w:p w14:paraId="07729816" w14:textId="77777777" w:rsidR="00970389" w:rsidRPr="006B7321" w:rsidRDefault="00970389" w:rsidP="00682BC9">
            <w:pPr>
              <w:spacing w:line="259" w:lineRule="auto"/>
              <w:jc w:val="center"/>
              <w:rPr>
                <w:rFonts w:eastAsia="Aptos" w:cstheme="minorHAnsi"/>
                <w:b/>
                <w:bCs/>
                <w:sz w:val="16"/>
                <w:szCs w:val="16"/>
              </w:rPr>
            </w:pPr>
          </w:p>
        </w:tc>
      </w:tr>
      <w:tr w:rsidR="00970389" w:rsidRPr="006B7321" w14:paraId="5596633D" w14:textId="77777777" w:rsidTr="00682BC9">
        <w:trPr>
          <w:trHeight w:hRule="exact" w:val="284"/>
          <w:jc w:val="center"/>
        </w:trPr>
        <w:tc>
          <w:tcPr>
            <w:tcW w:w="4211" w:type="dxa"/>
            <w:vAlign w:val="center"/>
          </w:tcPr>
          <w:p w14:paraId="2BEB3D67" w14:textId="77777777" w:rsidR="00970389" w:rsidRPr="006B7321" w:rsidRDefault="00970389" w:rsidP="00682BC9">
            <w:pPr>
              <w:spacing w:line="259" w:lineRule="auto"/>
              <w:rPr>
                <w:rFonts w:eastAsia="Aptos" w:cstheme="minorHAnsi"/>
                <w:b/>
                <w:bCs/>
                <w:sz w:val="16"/>
                <w:szCs w:val="16"/>
              </w:rPr>
            </w:pPr>
            <w:r w:rsidRPr="006B7321">
              <w:rPr>
                <w:rFonts w:eastAsia="Aptos" w:cstheme="minorHAnsi"/>
                <w:sz w:val="16"/>
                <w:szCs w:val="16"/>
              </w:rPr>
              <w:t xml:space="preserve">Arsenic (µg/l </w:t>
            </w:r>
            <w:proofErr w:type="gramStart"/>
            <w:r w:rsidRPr="006B7321">
              <w:rPr>
                <w:rFonts w:eastAsia="Aptos" w:cstheme="minorHAnsi"/>
                <w:sz w:val="16"/>
                <w:szCs w:val="16"/>
              </w:rPr>
              <w:t>As</w:t>
            </w:r>
            <w:proofErr w:type="gramEnd"/>
            <w:r w:rsidRPr="006B7321">
              <w:rPr>
                <w:rFonts w:eastAsia="Aptos" w:cstheme="minorHAnsi"/>
                <w:sz w:val="16"/>
                <w:szCs w:val="16"/>
              </w:rPr>
              <w:t>)</w:t>
            </w:r>
          </w:p>
        </w:tc>
        <w:tc>
          <w:tcPr>
            <w:tcW w:w="1449" w:type="dxa"/>
            <w:vAlign w:val="center"/>
          </w:tcPr>
          <w:p w14:paraId="7A9F70E8"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415" w:type="dxa"/>
            <w:vAlign w:val="center"/>
          </w:tcPr>
          <w:p w14:paraId="51BB61FA"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284" w:type="dxa"/>
            <w:vAlign w:val="center"/>
          </w:tcPr>
          <w:p w14:paraId="1CAA8AAA" w14:textId="77777777" w:rsidR="00970389" w:rsidRPr="006B7321" w:rsidRDefault="00970389" w:rsidP="00682BC9">
            <w:pPr>
              <w:spacing w:line="259" w:lineRule="auto"/>
              <w:jc w:val="center"/>
              <w:rPr>
                <w:rFonts w:eastAsia="Aptos" w:cstheme="minorHAnsi"/>
                <w:sz w:val="16"/>
                <w:szCs w:val="16"/>
              </w:rPr>
            </w:pPr>
            <w:r w:rsidRPr="006B7321">
              <w:rPr>
                <w:rFonts w:eastAsia="Aptos" w:cstheme="minorHAnsi"/>
                <w:sz w:val="16"/>
                <w:szCs w:val="16"/>
              </w:rPr>
              <w:t>+</w:t>
            </w:r>
          </w:p>
        </w:tc>
      </w:tr>
      <w:tr w:rsidR="00970389" w:rsidRPr="006B7321" w14:paraId="152327B9" w14:textId="77777777" w:rsidTr="00682BC9">
        <w:trPr>
          <w:trHeight w:val="284"/>
          <w:jc w:val="center"/>
        </w:trPr>
        <w:tc>
          <w:tcPr>
            <w:tcW w:w="4211" w:type="dxa"/>
            <w:vAlign w:val="center"/>
          </w:tcPr>
          <w:p w14:paraId="0569FFF1" w14:textId="77777777" w:rsidR="00970389" w:rsidRPr="006B7321" w:rsidRDefault="00970389" w:rsidP="00682BC9">
            <w:pPr>
              <w:spacing w:line="259" w:lineRule="auto"/>
              <w:rPr>
                <w:rFonts w:eastAsia="Aptos" w:cstheme="minorHAnsi"/>
                <w:b/>
                <w:bCs/>
                <w:sz w:val="16"/>
                <w:szCs w:val="16"/>
              </w:rPr>
            </w:pPr>
            <w:r w:rsidRPr="006B7321">
              <w:rPr>
                <w:rFonts w:eastAsia="Aptos" w:cstheme="minorHAnsi"/>
                <w:sz w:val="16"/>
                <w:szCs w:val="16"/>
              </w:rPr>
              <w:t>Cadmium (µg/l Cd)</w:t>
            </w:r>
          </w:p>
        </w:tc>
        <w:tc>
          <w:tcPr>
            <w:tcW w:w="1449" w:type="dxa"/>
            <w:vAlign w:val="center"/>
          </w:tcPr>
          <w:p w14:paraId="4E8C7FCA"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415" w:type="dxa"/>
            <w:vAlign w:val="center"/>
          </w:tcPr>
          <w:p w14:paraId="7F0F4DE8"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284" w:type="dxa"/>
            <w:vAlign w:val="center"/>
          </w:tcPr>
          <w:p w14:paraId="092CC235" w14:textId="77777777" w:rsidR="00970389" w:rsidRPr="006B7321" w:rsidRDefault="00970389" w:rsidP="00682BC9">
            <w:pPr>
              <w:spacing w:line="259" w:lineRule="auto"/>
              <w:jc w:val="center"/>
              <w:rPr>
                <w:rFonts w:eastAsia="Aptos" w:cstheme="minorHAnsi"/>
                <w:sz w:val="16"/>
                <w:szCs w:val="16"/>
              </w:rPr>
            </w:pPr>
            <w:r w:rsidRPr="006B7321">
              <w:rPr>
                <w:rFonts w:eastAsia="Aptos" w:cstheme="minorHAnsi"/>
                <w:sz w:val="16"/>
                <w:szCs w:val="16"/>
              </w:rPr>
              <w:t>+</w:t>
            </w:r>
          </w:p>
        </w:tc>
      </w:tr>
      <w:tr w:rsidR="00970389" w:rsidRPr="006B7321" w14:paraId="09335517" w14:textId="77777777" w:rsidTr="00682BC9">
        <w:trPr>
          <w:trHeight w:val="284"/>
          <w:jc w:val="center"/>
        </w:trPr>
        <w:tc>
          <w:tcPr>
            <w:tcW w:w="4211" w:type="dxa"/>
            <w:vAlign w:val="center"/>
          </w:tcPr>
          <w:p w14:paraId="00B7AE17" w14:textId="77777777" w:rsidR="00970389" w:rsidRPr="006B7321" w:rsidRDefault="00970389" w:rsidP="00682BC9">
            <w:pPr>
              <w:spacing w:line="259" w:lineRule="auto"/>
              <w:rPr>
                <w:rFonts w:eastAsia="Aptos" w:cstheme="minorHAnsi"/>
                <w:sz w:val="16"/>
                <w:szCs w:val="16"/>
              </w:rPr>
            </w:pPr>
            <w:r w:rsidRPr="006B7321">
              <w:rPr>
                <w:rFonts w:eastAsia="Aptos" w:cstheme="minorHAnsi"/>
                <w:sz w:val="16"/>
                <w:szCs w:val="16"/>
              </w:rPr>
              <w:t>Lead (µg/l Pb)</w:t>
            </w:r>
          </w:p>
        </w:tc>
        <w:tc>
          <w:tcPr>
            <w:tcW w:w="1449" w:type="dxa"/>
            <w:vAlign w:val="center"/>
          </w:tcPr>
          <w:p w14:paraId="219E5F94"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415" w:type="dxa"/>
            <w:vAlign w:val="center"/>
          </w:tcPr>
          <w:p w14:paraId="53C58596"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284" w:type="dxa"/>
            <w:vAlign w:val="center"/>
          </w:tcPr>
          <w:p w14:paraId="5BA2A225" w14:textId="77777777" w:rsidR="00970389" w:rsidRPr="006B7321" w:rsidRDefault="00970389" w:rsidP="00682BC9">
            <w:pPr>
              <w:spacing w:line="259" w:lineRule="auto"/>
              <w:jc w:val="center"/>
              <w:rPr>
                <w:rFonts w:eastAsia="Aptos" w:cstheme="minorHAnsi"/>
                <w:sz w:val="16"/>
                <w:szCs w:val="16"/>
              </w:rPr>
            </w:pPr>
            <w:r w:rsidRPr="006B7321">
              <w:rPr>
                <w:rFonts w:eastAsia="Aptos" w:cstheme="minorHAnsi"/>
                <w:sz w:val="16"/>
                <w:szCs w:val="16"/>
              </w:rPr>
              <w:t>+</w:t>
            </w:r>
          </w:p>
        </w:tc>
      </w:tr>
      <w:tr w:rsidR="00970389" w:rsidRPr="006B7321" w14:paraId="1B747870" w14:textId="77777777" w:rsidTr="00682BC9">
        <w:trPr>
          <w:trHeight w:val="284"/>
          <w:jc w:val="center"/>
        </w:trPr>
        <w:tc>
          <w:tcPr>
            <w:tcW w:w="4211" w:type="dxa"/>
            <w:vAlign w:val="center"/>
          </w:tcPr>
          <w:p w14:paraId="1153F933" w14:textId="77777777" w:rsidR="00970389" w:rsidRPr="006B7321" w:rsidRDefault="00970389" w:rsidP="00682BC9">
            <w:pPr>
              <w:spacing w:line="259" w:lineRule="auto"/>
              <w:rPr>
                <w:rFonts w:eastAsia="Aptos" w:cstheme="minorHAnsi"/>
                <w:sz w:val="16"/>
                <w:szCs w:val="16"/>
              </w:rPr>
            </w:pPr>
            <w:r w:rsidRPr="006B7321">
              <w:rPr>
                <w:rFonts w:eastAsia="Aptos" w:cstheme="minorHAnsi"/>
                <w:sz w:val="16"/>
                <w:szCs w:val="16"/>
              </w:rPr>
              <w:t>Mercury (µg/l Hg)</w:t>
            </w:r>
          </w:p>
        </w:tc>
        <w:tc>
          <w:tcPr>
            <w:tcW w:w="1449" w:type="dxa"/>
            <w:vAlign w:val="center"/>
          </w:tcPr>
          <w:p w14:paraId="5D8BC296"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415" w:type="dxa"/>
            <w:vAlign w:val="center"/>
          </w:tcPr>
          <w:p w14:paraId="55B4E303"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284" w:type="dxa"/>
            <w:vAlign w:val="center"/>
          </w:tcPr>
          <w:p w14:paraId="1775C0DC" w14:textId="77777777" w:rsidR="00970389" w:rsidRPr="006B7321" w:rsidRDefault="00970389" w:rsidP="00682BC9">
            <w:pPr>
              <w:spacing w:line="259" w:lineRule="auto"/>
              <w:jc w:val="center"/>
              <w:rPr>
                <w:rFonts w:eastAsia="Aptos" w:cstheme="minorHAnsi"/>
                <w:sz w:val="16"/>
                <w:szCs w:val="16"/>
              </w:rPr>
            </w:pPr>
            <w:r w:rsidRPr="006B7321">
              <w:rPr>
                <w:rFonts w:eastAsia="Aptos" w:cstheme="minorHAnsi"/>
                <w:sz w:val="16"/>
                <w:szCs w:val="16"/>
              </w:rPr>
              <w:t>+</w:t>
            </w:r>
          </w:p>
        </w:tc>
      </w:tr>
      <w:tr w:rsidR="00970389" w:rsidRPr="006B7321" w14:paraId="61D7C427" w14:textId="77777777" w:rsidTr="00682BC9">
        <w:trPr>
          <w:trHeight w:val="284"/>
          <w:jc w:val="center"/>
        </w:trPr>
        <w:tc>
          <w:tcPr>
            <w:tcW w:w="4211" w:type="dxa"/>
            <w:vAlign w:val="center"/>
          </w:tcPr>
          <w:p w14:paraId="5E3D2339" w14:textId="77777777" w:rsidR="00970389" w:rsidRPr="006B7321" w:rsidRDefault="00970389" w:rsidP="00682BC9">
            <w:pPr>
              <w:spacing w:line="259" w:lineRule="auto"/>
              <w:ind w:left="30"/>
              <w:rPr>
                <w:rFonts w:eastAsia="Aptos" w:cstheme="minorHAnsi"/>
                <w:sz w:val="16"/>
                <w:szCs w:val="16"/>
              </w:rPr>
            </w:pPr>
            <w:r w:rsidRPr="006B7321">
              <w:rPr>
                <w:rFonts w:eastAsia="Aptos" w:cstheme="minorHAnsi"/>
                <w:sz w:val="16"/>
                <w:szCs w:val="16"/>
              </w:rPr>
              <w:t>Ammonium (mg/l NH₄⁺)</w:t>
            </w:r>
          </w:p>
        </w:tc>
        <w:tc>
          <w:tcPr>
            <w:tcW w:w="1449" w:type="dxa"/>
            <w:vAlign w:val="center"/>
          </w:tcPr>
          <w:p w14:paraId="6A7D26EF"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4/yr-6/yr</w:t>
            </w:r>
          </w:p>
        </w:tc>
        <w:tc>
          <w:tcPr>
            <w:tcW w:w="1415" w:type="dxa"/>
            <w:vAlign w:val="center"/>
          </w:tcPr>
          <w:p w14:paraId="5E4B87DF"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284" w:type="dxa"/>
            <w:vAlign w:val="center"/>
          </w:tcPr>
          <w:p w14:paraId="12A8692E" w14:textId="77777777" w:rsidR="00970389" w:rsidRPr="006B7321" w:rsidRDefault="00970389" w:rsidP="00682BC9">
            <w:pPr>
              <w:spacing w:line="259" w:lineRule="auto"/>
              <w:jc w:val="center"/>
              <w:rPr>
                <w:rFonts w:eastAsia="Aptos" w:cstheme="minorHAnsi"/>
                <w:sz w:val="16"/>
                <w:szCs w:val="16"/>
              </w:rPr>
            </w:pPr>
            <w:r w:rsidRPr="006B7321">
              <w:rPr>
                <w:rFonts w:eastAsia="Aptos" w:cstheme="minorHAnsi"/>
                <w:sz w:val="16"/>
                <w:szCs w:val="16"/>
              </w:rPr>
              <w:t>Ammonia (NH₃)</w:t>
            </w:r>
          </w:p>
        </w:tc>
      </w:tr>
      <w:tr w:rsidR="00970389" w:rsidRPr="006B7321" w14:paraId="74CBA8BD" w14:textId="77777777" w:rsidTr="00682BC9">
        <w:trPr>
          <w:trHeight w:val="284"/>
          <w:jc w:val="center"/>
        </w:trPr>
        <w:tc>
          <w:tcPr>
            <w:tcW w:w="4211" w:type="dxa"/>
            <w:vAlign w:val="center"/>
          </w:tcPr>
          <w:p w14:paraId="2D8D0015" w14:textId="77777777" w:rsidR="00970389" w:rsidRPr="006B7321" w:rsidRDefault="00970389" w:rsidP="00682BC9">
            <w:pPr>
              <w:spacing w:line="259" w:lineRule="auto"/>
              <w:ind w:left="30"/>
              <w:rPr>
                <w:rFonts w:eastAsia="Aptos" w:cstheme="minorHAnsi"/>
                <w:sz w:val="16"/>
                <w:szCs w:val="16"/>
              </w:rPr>
            </w:pPr>
            <w:r w:rsidRPr="006B7321">
              <w:rPr>
                <w:rFonts w:eastAsia="Aptos" w:cstheme="minorHAnsi"/>
                <w:sz w:val="16"/>
                <w:szCs w:val="16"/>
              </w:rPr>
              <w:t>Chloride (mg/l Cl⁻)</w:t>
            </w:r>
          </w:p>
        </w:tc>
        <w:tc>
          <w:tcPr>
            <w:tcW w:w="1449" w:type="dxa"/>
            <w:vAlign w:val="center"/>
          </w:tcPr>
          <w:p w14:paraId="1548FF65"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4/yr-6/yr</w:t>
            </w:r>
          </w:p>
        </w:tc>
        <w:tc>
          <w:tcPr>
            <w:tcW w:w="1415" w:type="dxa"/>
            <w:vAlign w:val="center"/>
          </w:tcPr>
          <w:p w14:paraId="2C7A9065"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4/yr-6/yr</w:t>
            </w:r>
          </w:p>
        </w:tc>
        <w:tc>
          <w:tcPr>
            <w:tcW w:w="1284" w:type="dxa"/>
            <w:vAlign w:val="center"/>
          </w:tcPr>
          <w:p w14:paraId="75025033" w14:textId="77777777" w:rsidR="00970389" w:rsidRPr="006B7321" w:rsidRDefault="00970389" w:rsidP="00682BC9">
            <w:pPr>
              <w:spacing w:line="259" w:lineRule="auto"/>
              <w:jc w:val="center"/>
              <w:rPr>
                <w:rFonts w:eastAsia="Aptos" w:cstheme="minorHAnsi"/>
                <w:sz w:val="16"/>
                <w:szCs w:val="16"/>
              </w:rPr>
            </w:pPr>
            <w:r w:rsidRPr="006B7321">
              <w:rPr>
                <w:rFonts w:eastAsia="Aptos" w:cstheme="minorHAnsi"/>
                <w:sz w:val="16"/>
                <w:szCs w:val="16"/>
              </w:rPr>
              <w:t>+</w:t>
            </w:r>
          </w:p>
        </w:tc>
      </w:tr>
      <w:tr w:rsidR="00970389" w:rsidRPr="006B7321" w14:paraId="32C8FC22" w14:textId="77777777" w:rsidTr="00682BC9">
        <w:trPr>
          <w:trHeight w:val="284"/>
          <w:jc w:val="center"/>
        </w:trPr>
        <w:tc>
          <w:tcPr>
            <w:tcW w:w="4211" w:type="dxa"/>
            <w:vAlign w:val="center"/>
          </w:tcPr>
          <w:p w14:paraId="4415505F" w14:textId="77777777" w:rsidR="00970389" w:rsidRPr="006B7321" w:rsidRDefault="00970389" w:rsidP="00682BC9">
            <w:pPr>
              <w:spacing w:line="259" w:lineRule="auto"/>
              <w:ind w:left="30"/>
              <w:rPr>
                <w:rFonts w:eastAsia="Aptos" w:cstheme="minorHAnsi"/>
                <w:sz w:val="16"/>
                <w:szCs w:val="16"/>
              </w:rPr>
            </w:pPr>
            <w:proofErr w:type="spellStart"/>
            <w:r w:rsidRPr="006B7321">
              <w:rPr>
                <w:rFonts w:eastAsia="Aptos" w:cstheme="minorHAnsi"/>
                <w:sz w:val="16"/>
                <w:szCs w:val="16"/>
              </w:rPr>
              <w:t>Sulfate</w:t>
            </w:r>
            <w:proofErr w:type="spellEnd"/>
            <w:r w:rsidRPr="006B7321">
              <w:rPr>
                <w:rFonts w:eastAsia="Aptos" w:cstheme="minorHAnsi"/>
                <w:sz w:val="16"/>
                <w:szCs w:val="16"/>
              </w:rPr>
              <w:t xml:space="preserve"> (mg/l SO₄²⁻)</w:t>
            </w:r>
          </w:p>
        </w:tc>
        <w:tc>
          <w:tcPr>
            <w:tcW w:w="1449" w:type="dxa"/>
            <w:vAlign w:val="center"/>
          </w:tcPr>
          <w:p w14:paraId="00B93424"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4/yr-6/yr</w:t>
            </w:r>
          </w:p>
        </w:tc>
        <w:tc>
          <w:tcPr>
            <w:tcW w:w="1415" w:type="dxa"/>
            <w:vAlign w:val="center"/>
          </w:tcPr>
          <w:p w14:paraId="5C120492"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4/yr-6/yr</w:t>
            </w:r>
          </w:p>
        </w:tc>
        <w:tc>
          <w:tcPr>
            <w:tcW w:w="1284" w:type="dxa"/>
            <w:vAlign w:val="center"/>
          </w:tcPr>
          <w:p w14:paraId="3A46376C" w14:textId="77777777" w:rsidR="00970389" w:rsidRPr="006B7321" w:rsidRDefault="00970389" w:rsidP="00682BC9">
            <w:pPr>
              <w:spacing w:line="259" w:lineRule="auto"/>
              <w:jc w:val="center"/>
              <w:rPr>
                <w:rFonts w:eastAsia="Aptos" w:cstheme="minorHAnsi"/>
                <w:sz w:val="16"/>
                <w:szCs w:val="16"/>
              </w:rPr>
            </w:pPr>
            <w:r w:rsidRPr="006B7321">
              <w:rPr>
                <w:rFonts w:eastAsia="Aptos" w:cstheme="minorHAnsi"/>
                <w:sz w:val="16"/>
                <w:szCs w:val="16"/>
              </w:rPr>
              <w:t>+</w:t>
            </w:r>
          </w:p>
        </w:tc>
      </w:tr>
      <w:tr w:rsidR="00970389" w:rsidRPr="006B7321" w14:paraId="1E04FA84" w14:textId="77777777" w:rsidTr="00682BC9">
        <w:trPr>
          <w:trHeight w:val="284"/>
          <w:jc w:val="center"/>
        </w:trPr>
        <w:tc>
          <w:tcPr>
            <w:tcW w:w="4211" w:type="dxa"/>
            <w:vAlign w:val="center"/>
          </w:tcPr>
          <w:p w14:paraId="637D6C48" w14:textId="77777777" w:rsidR="00970389" w:rsidRPr="006B7321" w:rsidRDefault="00970389" w:rsidP="00682BC9">
            <w:pPr>
              <w:spacing w:line="259" w:lineRule="auto"/>
              <w:ind w:left="30"/>
              <w:rPr>
                <w:rFonts w:eastAsia="Aptos" w:cstheme="minorHAnsi"/>
                <w:sz w:val="16"/>
                <w:szCs w:val="16"/>
              </w:rPr>
            </w:pPr>
            <w:r w:rsidRPr="006B7321">
              <w:rPr>
                <w:rFonts w:eastAsia="Aptos" w:cstheme="minorHAnsi"/>
                <w:sz w:val="16"/>
                <w:szCs w:val="16"/>
              </w:rPr>
              <w:t>Orthophosphate (mg/l P)</w:t>
            </w:r>
          </w:p>
        </w:tc>
        <w:tc>
          <w:tcPr>
            <w:tcW w:w="1449" w:type="dxa"/>
            <w:vAlign w:val="center"/>
          </w:tcPr>
          <w:p w14:paraId="5DAFEE61"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4/yr-6/yr</w:t>
            </w:r>
          </w:p>
        </w:tc>
        <w:tc>
          <w:tcPr>
            <w:tcW w:w="1415" w:type="dxa"/>
            <w:vAlign w:val="center"/>
          </w:tcPr>
          <w:p w14:paraId="4158F27A"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284" w:type="dxa"/>
            <w:vAlign w:val="center"/>
          </w:tcPr>
          <w:p w14:paraId="0C5B1A19"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b/>
                <w:bCs/>
                <w:sz w:val="16"/>
                <w:szCs w:val="16"/>
              </w:rPr>
              <w:t>-</w:t>
            </w:r>
          </w:p>
        </w:tc>
      </w:tr>
      <w:tr w:rsidR="00970389" w:rsidRPr="006B7321" w14:paraId="44F924FB" w14:textId="77777777" w:rsidTr="00682BC9">
        <w:trPr>
          <w:trHeight w:val="284"/>
          <w:jc w:val="center"/>
        </w:trPr>
        <w:tc>
          <w:tcPr>
            <w:tcW w:w="4211" w:type="dxa"/>
            <w:vAlign w:val="center"/>
          </w:tcPr>
          <w:p w14:paraId="400B4DBB" w14:textId="77777777" w:rsidR="00970389" w:rsidRPr="006B7321" w:rsidRDefault="00970389" w:rsidP="00682BC9">
            <w:pPr>
              <w:spacing w:line="259" w:lineRule="auto"/>
              <w:ind w:left="30"/>
              <w:rPr>
                <w:rFonts w:eastAsia="Aptos" w:cstheme="minorHAnsi"/>
                <w:sz w:val="16"/>
                <w:szCs w:val="16"/>
              </w:rPr>
            </w:pPr>
            <w:r w:rsidRPr="006B7321">
              <w:rPr>
                <w:rFonts w:eastAsia="Aptos" w:cstheme="minorHAnsi"/>
                <w:sz w:val="16"/>
                <w:szCs w:val="16"/>
              </w:rPr>
              <w:t>Nitrites (mg/l NO₂⁻)</w:t>
            </w:r>
          </w:p>
        </w:tc>
        <w:tc>
          <w:tcPr>
            <w:tcW w:w="1449" w:type="dxa"/>
            <w:vAlign w:val="center"/>
          </w:tcPr>
          <w:p w14:paraId="0CB1C61E"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4/yr-6/yr</w:t>
            </w:r>
          </w:p>
        </w:tc>
        <w:tc>
          <w:tcPr>
            <w:tcW w:w="1415" w:type="dxa"/>
            <w:vAlign w:val="center"/>
          </w:tcPr>
          <w:p w14:paraId="1B0A35CE"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284" w:type="dxa"/>
            <w:vAlign w:val="center"/>
          </w:tcPr>
          <w:p w14:paraId="71BEEF8F"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b/>
                <w:bCs/>
                <w:sz w:val="16"/>
                <w:szCs w:val="16"/>
              </w:rPr>
              <w:t>-</w:t>
            </w:r>
          </w:p>
        </w:tc>
      </w:tr>
      <w:tr w:rsidR="00970389" w:rsidRPr="006B7321" w14:paraId="23E67CA9" w14:textId="77777777" w:rsidTr="00682BC9">
        <w:trPr>
          <w:trHeight w:val="284"/>
          <w:jc w:val="center"/>
        </w:trPr>
        <w:tc>
          <w:tcPr>
            <w:tcW w:w="4211" w:type="dxa"/>
            <w:vAlign w:val="center"/>
          </w:tcPr>
          <w:p w14:paraId="250C778B" w14:textId="77777777" w:rsidR="00970389" w:rsidRPr="006B7321" w:rsidRDefault="00970389" w:rsidP="00682BC9">
            <w:pPr>
              <w:spacing w:line="259" w:lineRule="auto"/>
              <w:ind w:left="30"/>
              <w:rPr>
                <w:rFonts w:eastAsia="Aptos" w:cstheme="minorHAnsi"/>
                <w:sz w:val="16"/>
                <w:szCs w:val="16"/>
              </w:rPr>
            </w:pPr>
            <w:r w:rsidRPr="006B7321">
              <w:rPr>
                <w:rFonts w:eastAsia="Aptos" w:cstheme="minorHAnsi"/>
                <w:sz w:val="16"/>
                <w:szCs w:val="16"/>
              </w:rPr>
              <w:t>Total phosphorus (mg/l P)</w:t>
            </w:r>
          </w:p>
        </w:tc>
        <w:tc>
          <w:tcPr>
            <w:tcW w:w="1449" w:type="dxa"/>
            <w:vAlign w:val="center"/>
          </w:tcPr>
          <w:p w14:paraId="6A52D879"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4/yr-6/yr</w:t>
            </w:r>
          </w:p>
        </w:tc>
        <w:tc>
          <w:tcPr>
            <w:tcW w:w="1415" w:type="dxa"/>
            <w:vAlign w:val="center"/>
          </w:tcPr>
          <w:p w14:paraId="07479704"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284" w:type="dxa"/>
            <w:vAlign w:val="center"/>
          </w:tcPr>
          <w:p w14:paraId="60792DFF"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b/>
                <w:bCs/>
                <w:sz w:val="16"/>
                <w:szCs w:val="16"/>
              </w:rPr>
              <w:t>-</w:t>
            </w:r>
          </w:p>
        </w:tc>
      </w:tr>
      <w:tr w:rsidR="00970389" w:rsidRPr="006B7321" w14:paraId="60501B12" w14:textId="77777777" w:rsidTr="00682BC9">
        <w:trPr>
          <w:trHeight w:val="284"/>
          <w:jc w:val="center"/>
        </w:trPr>
        <w:tc>
          <w:tcPr>
            <w:tcW w:w="4211" w:type="dxa"/>
            <w:vAlign w:val="center"/>
          </w:tcPr>
          <w:p w14:paraId="5C491DE2" w14:textId="77777777" w:rsidR="00970389" w:rsidRPr="006B7321" w:rsidRDefault="00970389" w:rsidP="00682BC9">
            <w:pPr>
              <w:spacing w:line="259" w:lineRule="auto"/>
              <w:ind w:left="30"/>
              <w:rPr>
                <w:rFonts w:eastAsia="Aptos" w:cstheme="minorHAnsi"/>
                <w:sz w:val="16"/>
                <w:szCs w:val="16"/>
              </w:rPr>
            </w:pPr>
            <w:r w:rsidRPr="006B7321">
              <w:rPr>
                <w:rFonts w:eastAsia="Aptos" w:cstheme="minorHAnsi"/>
                <w:sz w:val="16"/>
                <w:szCs w:val="16"/>
              </w:rPr>
              <w:t>Trichloroethylene (µg/l TCE)</w:t>
            </w:r>
          </w:p>
        </w:tc>
        <w:tc>
          <w:tcPr>
            <w:tcW w:w="1449" w:type="dxa"/>
            <w:vAlign w:val="center"/>
          </w:tcPr>
          <w:p w14:paraId="7C0C53AB"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4/yr-6/yr</w:t>
            </w:r>
          </w:p>
        </w:tc>
        <w:tc>
          <w:tcPr>
            <w:tcW w:w="1415" w:type="dxa"/>
            <w:vAlign w:val="center"/>
          </w:tcPr>
          <w:p w14:paraId="7FF2CEE3"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284" w:type="dxa"/>
            <w:vAlign w:val="center"/>
          </w:tcPr>
          <w:p w14:paraId="20F7DFC4" w14:textId="77777777" w:rsidR="00970389" w:rsidRPr="006B7321" w:rsidRDefault="00970389" w:rsidP="00682BC9">
            <w:pPr>
              <w:spacing w:line="259" w:lineRule="auto"/>
              <w:jc w:val="center"/>
              <w:rPr>
                <w:rFonts w:eastAsia="Aptos" w:cstheme="minorHAnsi"/>
                <w:sz w:val="16"/>
                <w:szCs w:val="16"/>
              </w:rPr>
            </w:pPr>
            <w:r w:rsidRPr="006B7321">
              <w:rPr>
                <w:rFonts w:eastAsia="Aptos" w:cstheme="minorHAnsi"/>
                <w:sz w:val="16"/>
                <w:szCs w:val="16"/>
              </w:rPr>
              <w:t>+</w:t>
            </w:r>
          </w:p>
        </w:tc>
      </w:tr>
      <w:tr w:rsidR="00970389" w:rsidRPr="006B7321" w14:paraId="0CB90A40" w14:textId="77777777" w:rsidTr="00682BC9">
        <w:trPr>
          <w:trHeight w:val="284"/>
          <w:jc w:val="center"/>
        </w:trPr>
        <w:tc>
          <w:tcPr>
            <w:tcW w:w="4211" w:type="dxa"/>
            <w:vAlign w:val="center"/>
          </w:tcPr>
          <w:p w14:paraId="7C2B7C91" w14:textId="77777777" w:rsidR="00970389" w:rsidRPr="006B7321" w:rsidRDefault="00970389" w:rsidP="00682BC9">
            <w:pPr>
              <w:spacing w:line="259" w:lineRule="auto"/>
              <w:ind w:left="30"/>
              <w:rPr>
                <w:rFonts w:eastAsia="Aptos" w:cstheme="minorHAnsi"/>
                <w:sz w:val="16"/>
                <w:szCs w:val="16"/>
              </w:rPr>
            </w:pPr>
            <w:r w:rsidRPr="006B7321">
              <w:rPr>
                <w:rFonts w:eastAsia="Aptos" w:cstheme="minorHAnsi"/>
                <w:sz w:val="16"/>
                <w:szCs w:val="16"/>
              </w:rPr>
              <w:t>Tetrachloroethylene (µg/l PCE)</w:t>
            </w:r>
          </w:p>
        </w:tc>
        <w:tc>
          <w:tcPr>
            <w:tcW w:w="1449" w:type="dxa"/>
            <w:vAlign w:val="center"/>
          </w:tcPr>
          <w:p w14:paraId="2B56D09F"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4/yr-6/yr</w:t>
            </w:r>
          </w:p>
        </w:tc>
        <w:tc>
          <w:tcPr>
            <w:tcW w:w="1415" w:type="dxa"/>
            <w:vAlign w:val="center"/>
          </w:tcPr>
          <w:p w14:paraId="3C8E26AC"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4/yr-12/yr</w:t>
            </w:r>
          </w:p>
        </w:tc>
        <w:tc>
          <w:tcPr>
            <w:tcW w:w="1284" w:type="dxa"/>
            <w:vAlign w:val="center"/>
          </w:tcPr>
          <w:p w14:paraId="346E7631" w14:textId="77777777" w:rsidR="00970389" w:rsidRPr="006B7321" w:rsidRDefault="00970389" w:rsidP="00682BC9">
            <w:pPr>
              <w:spacing w:line="259" w:lineRule="auto"/>
              <w:jc w:val="center"/>
              <w:rPr>
                <w:rFonts w:eastAsia="Aptos" w:cstheme="minorHAnsi"/>
                <w:sz w:val="16"/>
                <w:szCs w:val="16"/>
              </w:rPr>
            </w:pPr>
            <w:r w:rsidRPr="006B7321">
              <w:rPr>
                <w:rFonts w:eastAsia="Aptos" w:cstheme="minorHAnsi"/>
                <w:sz w:val="16"/>
                <w:szCs w:val="16"/>
              </w:rPr>
              <w:t>+</w:t>
            </w:r>
          </w:p>
        </w:tc>
      </w:tr>
      <w:tr w:rsidR="00970389" w:rsidRPr="006B7321" w14:paraId="74E10E91" w14:textId="77777777" w:rsidTr="00682BC9">
        <w:trPr>
          <w:trHeight w:val="284"/>
          <w:jc w:val="center"/>
        </w:trPr>
        <w:tc>
          <w:tcPr>
            <w:tcW w:w="4211" w:type="dxa"/>
            <w:vAlign w:val="center"/>
          </w:tcPr>
          <w:p w14:paraId="31CAE190" w14:textId="77777777" w:rsidR="00970389" w:rsidRPr="006B7321" w:rsidRDefault="00970389" w:rsidP="00682BC9">
            <w:pPr>
              <w:spacing w:line="259" w:lineRule="auto"/>
              <w:ind w:left="30"/>
              <w:rPr>
                <w:rFonts w:eastAsia="Aptos" w:cstheme="minorHAnsi"/>
                <w:sz w:val="16"/>
                <w:szCs w:val="16"/>
              </w:rPr>
            </w:pPr>
            <w:r w:rsidRPr="006B7321">
              <w:rPr>
                <w:rFonts w:eastAsia="Aptos" w:cstheme="minorHAnsi"/>
                <w:sz w:val="16"/>
                <w:szCs w:val="16"/>
              </w:rPr>
              <w:t>Electrical conductivity (µS/cm)</w:t>
            </w:r>
          </w:p>
        </w:tc>
        <w:tc>
          <w:tcPr>
            <w:tcW w:w="1449" w:type="dxa"/>
            <w:vAlign w:val="center"/>
          </w:tcPr>
          <w:p w14:paraId="4F3C2083"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4/yr-6/yr</w:t>
            </w:r>
          </w:p>
        </w:tc>
        <w:tc>
          <w:tcPr>
            <w:tcW w:w="1415" w:type="dxa"/>
            <w:vAlign w:val="center"/>
          </w:tcPr>
          <w:p w14:paraId="50B81B34"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6/yr-12/yr</w:t>
            </w:r>
          </w:p>
        </w:tc>
        <w:tc>
          <w:tcPr>
            <w:tcW w:w="1284" w:type="dxa"/>
            <w:vAlign w:val="center"/>
          </w:tcPr>
          <w:p w14:paraId="41F87D05" w14:textId="77777777" w:rsidR="00970389" w:rsidRPr="006B7321" w:rsidRDefault="00970389" w:rsidP="00682BC9">
            <w:pPr>
              <w:spacing w:line="259" w:lineRule="auto"/>
              <w:jc w:val="center"/>
              <w:rPr>
                <w:rFonts w:eastAsia="Aptos" w:cstheme="minorHAnsi"/>
                <w:b/>
                <w:bCs/>
                <w:sz w:val="16"/>
                <w:szCs w:val="16"/>
              </w:rPr>
            </w:pPr>
          </w:p>
        </w:tc>
      </w:tr>
      <w:tr w:rsidR="00970389" w:rsidRPr="006B7321" w14:paraId="2EE7F2A0" w14:textId="77777777" w:rsidTr="00682BC9">
        <w:trPr>
          <w:trHeight w:val="284"/>
          <w:jc w:val="center"/>
        </w:trPr>
        <w:tc>
          <w:tcPr>
            <w:tcW w:w="4211" w:type="dxa"/>
            <w:vAlign w:val="center"/>
          </w:tcPr>
          <w:p w14:paraId="78F8C423" w14:textId="77777777" w:rsidR="00970389" w:rsidRPr="006B7321" w:rsidRDefault="00970389" w:rsidP="00682BC9">
            <w:pPr>
              <w:spacing w:line="259" w:lineRule="auto"/>
              <w:ind w:left="30"/>
              <w:rPr>
                <w:rFonts w:eastAsia="Aptos" w:cstheme="minorHAnsi"/>
                <w:sz w:val="16"/>
                <w:szCs w:val="16"/>
              </w:rPr>
            </w:pPr>
            <w:r w:rsidRPr="006B7321">
              <w:rPr>
                <w:rFonts w:eastAsia="Aptos" w:cstheme="minorHAnsi"/>
                <w:sz w:val="16"/>
                <w:szCs w:val="16"/>
              </w:rPr>
              <w:t>Cyanides (CN⁻)</w:t>
            </w:r>
          </w:p>
        </w:tc>
        <w:tc>
          <w:tcPr>
            <w:tcW w:w="1449" w:type="dxa"/>
            <w:vAlign w:val="center"/>
          </w:tcPr>
          <w:p w14:paraId="7A896F78" w14:textId="77777777" w:rsidR="00970389" w:rsidRPr="006B7321" w:rsidRDefault="00970389" w:rsidP="00682BC9">
            <w:pPr>
              <w:spacing w:line="259" w:lineRule="auto"/>
              <w:jc w:val="center"/>
              <w:rPr>
                <w:rFonts w:eastAsia="Aptos" w:cstheme="minorHAnsi"/>
                <w:sz w:val="16"/>
                <w:szCs w:val="16"/>
              </w:rPr>
            </w:pPr>
            <w:r w:rsidRPr="006B7321">
              <w:rPr>
                <w:rFonts w:eastAsia="Aptos" w:cstheme="minorHAnsi"/>
                <w:sz w:val="16"/>
                <w:szCs w:val="16"/>
              </w:rPr>
              <w:t>-</w:t>
            </w:r>
          </w:p>
        </w:tc>
        <w:tc>
          <w:tcPr>
            <w:tcW w:w="1415" w:type="dxa"/>
            <w:vAlign w:val="center"/>
          </w:tcPr>
          <w:p w14:paraId="05863912" w14:textId="77777777" w:rsidR="00970389" w:rsidRPr="006B7321" w:rsidRDefault="00970389" w:rsidP="00682BC9">
            <w:pPr>
              <w:spacing w:line="259" w:lineRule="auto"/>
              <w:jc w:val="center"/>
              <w:rPr>
                <w:rFonts w:eastAsia="Aptos" w:cstheme="minorHAnsi"/>
                <w:sz w:val="16"/>
                <w:szCs w:val="16"/>
              </w:rPr>
            </w:pPr>
            <w:r w:rsidRPr="006B7321">
              <w:rPr>
                <w:rFonts w:eastAsia="Aptos" w:cstheme="minorHAnsi"/>
                <w:sz w:val="16"/>
                <w:szCs w:val="16"/>
              </w:rPr>
              <w:t>-</w:t>
            </w:r>
          </w:p>
        </w:tc>
        <w:tc>
          <w:tcPr>
            <w:tcW w:w="1284" w:type="dxa"/>
            <w:vAlign w:val="center"/>
          </w:tcPr>
          <w:p w14:paraId="09481F5D" w14:textId="77777777" w:rsidR="00970389" w:rsidRPr="006B7321" w:rsidRDefault="00970389" w:rsidP="00682BC9">
            <w:pPr>
              <w:spacing w:line="259" w:lineRule="auto"/>
              <w:jc w:val="center"/>
              <w:rPr>
                <w:rFonts w:eastAsia="Aptos" w:cstheme="minorHAnsi"/>
                <w:b/>
                <w:bCs/>
                <w:sz w:val="16"/>
                <w:szCs w:val="16"/>
              </w:rPr>
            </w:pPr>
            <w:r w:rsidRPr="006B7321">
              <w:rPr>
                <w:rFonts w:eastAsia="Aptos" w:cstheme="minorHAnsi"/>
                <w:sz w:val="16"/>
                <w:szCs w:val="16"/>
              </w:rPr>
              <w:t>+</w:t>
            </w:r>
          </w:p>
        </w:tc>
      </w:tr>
    </w:tbl>
    <w:p w14:paraId="1353B4AD" w14:textId="77777777" w:rsidR="00970389" w:rsidRPr="007D6863" w:rsidRDefault="00970389" w:rsidP="00970389">
      <w:pPr>
        <w:spacing w:after="0"/>
        <w:rPr>
          <w:rFonts w:eastAsia="Aptos" w:cstheme="minorHAnsi"/>
          <w:color w:val="000000" w:themeColor="text1"/>
          <w:sz w:val="18"/>
          <w:szCs w:val="18"/>
        </w:rPr>
      </w:pPr>
    </w:p>
    <w:p w14:paraId="0D470E71" w14:textId="4E66581F" w:rsidR="00970389" w:rsidRDefault="00970389" w:rsidP="00970389">
      <w:pPr>
        <w:rPr>
          <w:color w:val="000000" w:themeColor="text1"/>
          <w:sz w:val="18"/>
          <w:szCs w:val="18"/>
        </w:rPr>
      </w:pPr>
      <w:r w:rsidRPr="007D6863">
        <w:rPr>
          <w:color w:val="000000" w:themeColor="text1"/>
          <w:sz w:val="18"/>
          <w:szCs w:val="18"/>
        </w:rPr>
        <w:t xml:space="preserve">*In Croatia 4 groups of </w:t>
      </w:r>
      <w:r w:rsidR="005D33C9" w:rsidRPr="007D6863">
        <w:rPr>
          <w:color w:val="000000" w:themeColor="text1"/>
          <w:sz w:val="18"/>
          <w:szCs w:val="18"/>
        </w:rPr>
        <w:t>pesticides</w:t>
      </w:r>
      <w:r w:rsidRPr="007D6863">
        <w:rPr>
          <w:color w:val="000000" w:themeColor="text1"/>
          <w:sz w:val="18"/>
          <w:szCs w:val="18"/>
        </w:rPr>
        <w:t xml:space="preserve"> are listed </w:t>
      </w:r>
    </w:p>
    <w:p w14:paraId="7A01C45D" w14:textId="0A33939F" w:rsidR="00970389" w:rsidRDefault="002F4776" w:rsidP="002F4776">
      <w:pPr>
        <w:pStyle w:val="Caption"/>
        <w:rPr>
          <w:rFonts w:eastAsia="Aptos"/>
          <w:lang w:val="en-US"/>
        </w:rPr>
      </w:pPr>
      <w:bookmarkStart w:id="112" w:name="_Toc229037736"/>
      <w:r>
        <w:t xml:space="preserve">Table </w:t>
      </w:r>
      <w:r>
        <w:fldChar w:fldCharType="begin"/>
      </w:r>
      <w:r>
        <w:instrText xml:space="preserve"> SEQ Table \* ARABIC </w:instrText>
      </w:r>
      <w:r>
        <w:fldChar w:fldCharType="separate"/>
      </w:r>
      <w:r>
        <w:rPr>
          <w:noProof/>
        </w:rPr>
        <w:t>14</w:t>
      </w:r>
      <w:r>
        <w:fldChar w:fldCharType="end"/>
      </w:r>
      <w:r>
        <w:t xml:space="preserve"> </w:t>
      </w:r>
      <w:r w:rsidRPr="008E7C15">
        <w:t>Additional parameters used for groundwater chemical status assessment and required annual testing frequency (Water Institute JJS)</w:t>
      </w:r>
      <w:bookmarkEnd w:id="112"/>
    </w:p>
    <w:tbl>
      <w:tblPr>
        <w:tblStyle w:val="TableGrid"/>
        <w:tblW w:w="84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824"/>
        <w:gridCol w:w="889"/>
        <w:gridCol w:w="1398"/>
        <w:gridCol w:w="1295"/>
      </w:tblGrid>
      <w:tr w:rsidR="00970389" w:rsidRPr="00356F45" w14:paraId="76563933" w14:textId="77777777" w:rsidTr="00DB1744">
        <w:trPr>
          <w:trHeight w:hRule="exact" w:val="284"/>
          <w:tblHeader/>
          <w:jc w:val="center"/>
        </w:trPr>
        <w:tc>
          <w:tcPr>
            <w:tcW w:w="4824" w:type="dxa"/>
            <w:vMerge w:val="restart"/>
            <w:shd w:val="clear" w:color="auto" w:fill="A5C9EB"/>
            <w:vAlign w:val="center"/>
          </w:tcPr>
          <w:p w14:paraId="30D71048" w14:textId="77777777" w:rsidR="00970389" w:rsidRPr="00356F45" w:rsidRDefault="00970389" w:rsidP="00682BC9">
            <w:pPr>
              <w:spacing w:line="259" w:lineRule="auto"/>
              <w:rPr>
                <w:rFonts w:eastAsia="Aptos" w:cstheme="minorHAnsi"/>
                <w:b/>
                <w:bCs/>
                <w:sz w:val="16"/>
                <w:szCs w:val="16"/>
              </w:rPr>
            </w:pPr>
            <w:r w:rsidRPr="00356F45">
              <w:rPr>
                <w:rFonts w:eastAsia="Aptos" w:cstheme="minorHAnsi"/>
                <w:b/>
                <w:bCs/>
                <w:sz w:val="16"/>
                <w:szCs w:val="16"/>
              </w:rPr>
              <w:t>INDICATOR</w:t>
            </w:r>
          </w:p>
        </w:tc>
        <w:tc>
          <w:tcPr>
            <w:tcW w:w="889" w:type="dxa"/>
            <w:vMerge w:val="restart"/>
            <w:shd w:val="clear" w:color="auto" w:fill="A5C9EB"/>
          </w:tcPr>
          <w:p w14:paraId="45987498"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b/>
                <w:bCs/>
                <w:sz w:val="16"/>
                <w:szCs w:val="16"/>
              </w:rPr>
              <w:t xml:space="preserve">DWD </w:t>
            </w:r>
          </w:p>
          <w:p w14:paraId="04BDCE47"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b/>
                <w:bCs/>
                <w:sz w:val="16"/>
                <w:szCs w:val="16"/>
              </w:rPr>
              <w:t>Indicator</w:t>
            </w:r>
          </w:p>
        </w:tc>
        <w:tc>
          <w:tcPr>
            <w:tcW w:w="2693" w:type="dxa"/>
            <w:gridSpan w:val="2"/>
            <w:shd w:val="clear" w:color="auto" w:fill="A5C9EB"/>
            <w:vAlign w:val="center"/>
          </w:tcPr>
          <w:p w14:paraId="009F3238"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b/>
                <w:bCs/>
                <w:sz w:val="16"/>
                <w:szCs w:val="16"/>
              </w:rPr>
              <w:t>FREQUENCY</w:t>
            </w:r>
          </w:p>
        </w:tc>
      </w:tr>
      <w:tr w:rsidR="00970389" w:rsidRPr="00356F45" w14:paraId="4B8D9D9B" w14:textId="77777777" w:rsidTr="00DB1744">
        <w:trPr>
          <w:trHeight w:hRule="exact" w:val="284"/>
          <w:tblHeader/>
          <w:jc w:val="center"/>
        </w:trPr>
        <w:tc>
          <w:tcPr>
            <w:tcW w:w="4824" w:type="dxa"/>
            <w:vMerge/>
            <w:shd w:val="clear" w:color="auto" w:fill="A5C9EB"/>
            <w:vAlign w:val="center"/>
          </w:tcPr>
          <w:p w14:paraId="64DD55D5" w14:textId="77777777" w:rsidR="00970389" w:rsidRPr="00356F45" w:rsidRDefault="00970389" w:rsidP="00682BC9">
            <w:pPr>
              <w:spacing w:line="259" w:lineRule="auto"/>
              <w:rPr>
                <w:rFonts w:eastAsia="Aptos" w:cstheme="minorHAnsi"/>
                <w:b/>
                <w:bCs/>
                <w:sz w:val="16"/>
                <w:szCs w:val="16"/>
              </w:rPr>
            </w:pPr>
          </w:p>
        </w:tc>
        <w:tc>
          <w:tcPr>
            <w:tcW w:w="889" w:type="dxa"/>
            <w:vMerge/>
            <w:shd w:val="clear" w:color="auto" w:fill="A5C9EB"/>
          </w:tcPr>
          <w:p w14:paraId="1A32BEF2" w14:textId="77777777" w:rsidR="00970389" w:rsidRPr="00356F45" w:rsidRDefault="00970389" w:rsidP="00682BC9">
            <w:pPr>
              <w:spacing w:line="259" w:lineRule="auto"/>
              <w:jc w:val="center"/>
              <w:rPr>
                <w:rFonts w:eastAsia="Aptos" w:cstheme="minorHAnsi"/>
                <w:b/>
                <w:bCs/>
                <w:sz w:val="16"/>
                <w:szCs w:val="16"/>
              </w:rPr>
            </w:pPr>
          </w:p>
        </w:tc>
        <w:tc>
          <w:tcPr>
            <w:tcW w:w="1398" w:type="dxa"/>
            <w:shd w:val="clear" w:color="auto" w:fill="A5C9EB"/>
            <w:vAlign w:val="center"/>
          </w:tcPr>
          <w:p w14:paraId="27D41957"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b/>
                <w:bCs/>
                <w:sz w:val="16"/>
                <w:szCs w:val="16"/>
              </w:rPr>
              <w:t>SURVEILLANCE</w:t>
            </w:r>
          </w:p>
        </w:tc>
        <w:tc>
          <w:tcPr>
            <w:tcW w:w="1295" w:type="dxa"/>
            <w:shd w:val="clear" w:color="auto" w:fill="A5C9EB"/>
            <w:vAlign w:val="center"/>
          </w:tcPr>
          <w:p w14:paraId="0EDCE6C4"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b/>
                <w:bCs/>
                <w:sz w:val="16"/>
                <w:szCs w:val="16"/>
              </w:rPr>
              <w:t>OPERATIONAL</w:t>
            </w:r>
          </w:p>
        </w:tc>
      </w:tr>
      <w:tr w:rsidR="00970389" w:rsidRPr="00356F45" w14:paraId="1D5CC6EE" w14:textId="77777777" w:rsidTr="00DB1744">
        <w:trPr>
          <w:trHeight w:hRule="exact" w:val="284"/>
          <w:jc w:val="center"/>
        </w:trPr>
        <w:tc>
          <w:tcPr>
            <w:tcW w:w="4824" w:type="dxa"/>
            <w:shd w:val="clear" w:color="auto" w:fill="DEEAF6" w:themeFill="accent5" w:themeFillTint="33"/>
            <w:vAlign w:val="center"/>
          </w:tcPr>
          <w:p w14:paraId="12E42A30" w14:textId="77777777" w:rsidR="00970389" w:rsidRPr="00356F45" w:rsidRDefault="00970389" w:rsidP="00682BC9">
            <w:pPr>
              <w:spacing w:line="259" w:lineRule="auto"/>
              <w:rPr>
                <w:rFonts w:eastAsia="Aptos" w:cstheme="minorHAnsi"/>
                <w:b/>
                <w:bCs/>
                <w:sz w:val="16"/>
                <w:szCs w:val="16"/>
              </w:rPr>
            </w:pPr>
            <w:r w:rsidRPr="00356F45">
              <w:rPr>
                <w:rFonts w:eastAsia="Aptos" w:cstheme="minorHAnsi"/>
                <w:b/>
                <w:bCs/>
                <w:sz w:val="16"/>
                <w:szCs w:val="16"/>
              </w:rPr>
              <w:t>BASIC PHYSICO-CHEMICAL INDICATORS</w:t>
            </w:r>
          </w:p>
        </w:tc>
        <w:tc>
          <w:tcPr>
            <w:tcW w:w="889" w:type="dxa"/>
            <w:shd w:val="clear" w:color="auto" w:fill="DEEAF6" w:themeFill="accent5" w:themeFillTint="33"/>
          </w:tcPr>
          <w:p w14:paraId="563335F9" w14:textId="77777777" w:rsidR="00970389" w:rsidRPr="00356F45" w:rsidRDefault="00970389" w:rsidP="00682BC9">
            <w:pPr>
              <w:spacing w:line="259" w:lineRule="auto"/>
              <w:jc w:val="center"/>
              <w:rPr>
                <w:rFonts w:eastAsia="Aptos" w:cstheme="minorHAnsi"/>
                <w:b/>
                <w:bCs/>
                <w:sz w:val="16"/>
                <w:szCs w:val="16"/>
              </w:rPr>
            </w:pPr>
          </w:p>
        </w:tc>
        <w:tc>
          <w:tcPr>
            <w:tcW w:w="1398" w:type="dxa"/>
            <w:shd w:val="clear" w:color="auto" w:fill="DEEAF6" w:themeFill="accent5" w:themeFillTint="33"/>
            <w:vAlign w:val="center"/>
          </w:tcPr>
          <w:p w14:paraId="05AA76B0" w14:textId="77777777" w:rsidR="00970389" w:rsidRPr="00356F45" w:rsidRDefault="00970389" w:rsidP="00682BC9">
            <w:pPr>
              <w:spacing w:line="259" w:lineRule="auto"/>
              <w:jc w:val="center"/>
              <w:rPr>
                <w:rFonts w:eastAsia="Aptos" w:cstheme="minorHAnsi"/>
                <w:b/>
                <w:bCs/>
                <w:sz w:val="16"/>
                <w:szCs w:val="16"/>
              </w:rPr>
            </w:pPr>
          </w:p>
        </w:tc>
        <w:tc>
          <w:tcPr>
            <w:tcW w:w="1295" w:type="dxa"/>
            <w:shd w:val="clear" w:color="auto" w:fill="DEEAF6" w:themeFill="accent5" w:themeFillTint="33"/>
            <w:vAlign w:val="center"/>
          </w:tcPr>
          <w:p w14:paraId="7798009F" w14:textId="77777777" w:rsidR="00970389" w:rsidRPr="00356F45" w:rsidRDefault="00970389" w:rsidP="00682BC9">
            <w:pPr>
              <w:spacing w:line="259" w:lineRule="auto"/>
              <w:jc w:val="center"/>
              <w:rPr>
                <w:rFonts w:eastAsia="Aptos" w:cstheme="minorHAnsi"/>
                <w:b/>
                <w:bCs/>
                <w:sz w:val="16"/>
                <w:szCs w:val="16"/>
              </w:rPr>
            </w:pPr>
          </w:p>
        </w:tc>
      </w:tr>
      <w:tr w:rsidR="00970389" w:rsidRPr="00356F45" w14:paraId="51F9D231" w14:textId="77777777" w:rsidTr="00DB1744">
        <w:trPr>
          <w:trHeight w:hRule="exact" w:val="284"/>
          <w:jc w:val="center"/>
        </w:trPr>
        <w:tc>
          <w:tcPr>
            <w:tcW w:w="4824" w:type="dxa"/>
            <w:vAlign w:val="center"/>
          </w:tcPr>
          <w:p w14:paraId="0B4852FC"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t>Temperature °C</w:t>
            </w:r>
          </w:p>
        </w:tc>
        <w:tc>
          <w:tcPr>
            <w:tcW w:w="889" w:type="dxa"/>
          </w:tcPr>
          <w:p w14:paraId="70A43BB3"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67933E08"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16BFAA6D"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6A9E9D93" w14:textId="77777777" w:rsidTr="00DB1744">
        <w:trPr>
          <w:trHeight w:hRule="exact" w:val="284"/>
          <w:jc w:val="center"/>
        </w:trPr>
        <w:tc>
          <w:tcPr>
            <w:tcW w:w="4824" w:type="dxa"/>
            <w:vAlign w:val="center"/>
          </w:tcPr>
          <w:p w14:paraId="78017D49"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t>pH</w:t>
            </w:r>
          </w:p>
        </w:tc>
        <w:tc>
          <w:tcPr>
            <w:tcW w:w="889" w:type="dxa"/>
          </w:tcPr>
          <w:p w14:paraId="6C305167"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14AFCE3D"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3787AA57"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4745665E" w14:textId="77777777" w:rsidTr="00DB1744">
        <w:trPr>
          <w:trHeight w:hRule="exact" w:val="284"/>
          <w:jc w:val="center"/>
        </w:trPr>
        <w:tc>
          <w:tcPr>
            <w:tcW w:w="4824" w:type="dxa"/>
            <w:vAlign w:val="center"/>
          </w:tcPr>
          <w:p w14:paraId="621005AA"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t>Redox potential (Mv)</w:t>
            </w:r>
          </w:p>
        </w:tc>
        <w:tc>
          <w:tcPr>
            <w:tcW w:w="889" w:type="dxa"/>
          </w:tcPr>
          <w:p w14:paraId="1BB62EDD"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3730A189"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5FB1E906"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5460DAF3" w14:textId="77777777" w:rsidTr="00DB1744">
        <w:trPr>
          <w:trHeight w:hRule="exact" w:val="284"/>
          <w:jc w:val="center"/>
        </w:trPr>
        <w:tc>
          <w:tcPr>
            <w:tcW w:w="4824" w:type="dxa"/>
            <w:vAlign w:val="center"/>
          </w:tcPr>
          <w:p w14:paraId="4C750029"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t>Total suspended solids (TSS)</w:t>
            </w:r>
          </w:p>
        </w:tc>
        <w:tc>
          <w:tcPr>
            <w:tcW w:w="889" w:type="dxa"/>
          </w:tcPr>
          <w:p w14:paraId="3F9400D5"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2BF0C059"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4/yr</w:t>
            </w:r>
          </w:p>
        </w:tc>
        <w:tc>
          <w:tcPr>
            <w:tcW w:w="1295" w:type="dxa"/>
            <w:vAlign w:val="center"/>
          </w:tcPr>
          <w:p w14:paraId="4E0FEF6C" w14:textId="77777777" w:rsidR="00970389" w:rsidRPr="00356F45" w:rsidRDefault="00970389" w:rsidP="00682BC9">
            <w:pPr>
              <w:spacing w:line="259" w:lineRule="auto"/>
              <w:jc w:val="center"/>
              <w:rPr>
                <w:rFonts w:eastAsia="Aptos" w:cstheme="minorHAnsi"/>
                <w:b/>
                <w:bCs/>
                <w:sz w:val="16"/>
                <w:szCs w:val="16"/>
              </w:rPr>
            </w:pPr>
          </w:p>
        </w:tc>
      </w:tr>
      <w:tr w:rsidR="00970389" w:rsidRPr="00356F45" w14:paraId="4691BAFF" w14:textId="77777777" w:rsidTr="00DB1744">
        <w:trPr>
          <w:trHeight w:hRule="exact" w:val="284"/>
          <w:jc w:val="center"/>
        </w:trPr>
        <w:tc>
          <w:tcPr>
            <w:tcW w:w="4824" w:type="dxa"/>
            <w:vAlign w:val="center"/>
          </w:tcPr>
          <w:p w14:paraId="22BC7884"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t>Alkalinity (mg/l CaCO</w:t>
            </w:r>
            <w:r w:rsidRPr="00356F45">
              <w:rPr>
                <w:rFonts w:eastAsia="Aptos" w:cstheme="minorHAnsi"/>
                <w:sz w:val="16"/>
                <w:szCs w:val="16"/>
                <w:vertAlign w:val="subscript"/>
              </w:rPr>
              <w:t>3</w:t>
            </w:r>
            <w:r w:rsidRPr="00356F45">
              <w:rPr>
                <w:rFonts w:eastAsia="Aptos" w:cstheme="minorHAnsi"/>
                <w:sz w:val="16"/>
                <w:szCs w:val="16"/>
              </w:rPr>
              <w:t>)</w:t>
            </w:r>
          </w:p>
        </w:tc>
        <w:tc>
          <w:tcPr>
            <w:tcW w:w="889" w:type="dxa"/>
          </w:tcPr>
          <w:p w14:paraId="33682A6F"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3E30ACEE"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6C6700AC"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642A37E8" w14:textId="77777777" w:rsidTr="00DB1744">
        <w:trPr>
          <w:trHeight w:hRule="exact" w:val="284"/>
          <w:jc w:val="center"/>
        </w:trPr>
        <w:tc>
          <w:tcPr>
            <w:tcW w:w="4824" w:type="dxa"/>
            <w:vAlign w:val="center"/>
          </w:tcPr>
          <w:p w14:paraId="5FBFB3DC"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t>Total hardness (mg/l CaCO</w:t>
            </w:r>
            <w:r w:rsidRPr="00356F45">
              <w:rPr>
                <w:rFonts w:eastAsia="Aptos" w:cstheme="minorHAnsi"/>
                <w:sz w:val="16"/>
                <w:szCs w:val="16"/>
                <w:vertAlign w:val="subscript"/>
              </w:rPr>
              <w:t>3</w:t>
            </w:r>
            <w:r w:rsidRPr="00356F45">
              <w:rPr>
                <w:rFonts w:eastAsia="Aptos" w:cstheme="minorHAnsi"/>
                <w:sz w:val="16"/>
                <w:szCs w:val="16"/>
              </w:rPr>
              <w:t>)</w:t>
            </w:r>
          </w:p>
        </w:tc>
        <w:tc>
          <w:tcPr>
            <w:tcW w:w="889" w:type="dxa"/>
          </w:tcPr>
          <w:p w14:paraId="5863D5FD"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0915274D"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0B916707"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3718688B" w14:textId="77777777" w:rsidTr="00DB1744">
        <w:trPr>
          <w:trHeight w:hRule="exact" w:val="284"/>
          <w:jc w:val="center"/>
        </w:trPr>
        <w:tc>
          <w:tcPr>
            <w:tcW w:w="4824" w:type="dxa"/>
            <w:vAlign w:val="center"/>
          </w:tcPr>
          <w:p w14:paraId="42AF9A3F"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t>Turbidity (NTU)</w:t>
            </w:r>
          </w:p>
        </w:tc>
        <w:tc>
          <w:tcPr>
            <w:tcW w:w="889" w:type="dxa"/>
          </w:tcPr>
          <w:p w14:paraId="65BD29FE"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2500DD93"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2D412440"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6D3C7C17" w14:textId="77777777" w:rsidTr="00DB1744">
        <w:trPr>
          <w:trHeight w:hRule="exact" w:val="284"/>
          <w:jc w:val="center"/>
        </w:trPr>
        <w:tc>
          <w:tcPr>
            <w:tcW w:w="4824" w:type="dxa"/>
            <w:vAlign w:val="center"/>
          </w:tcPr>
          <w:p w14:paraId="3E6F664D"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t>Dissolved oxygen (DO) (mg/l O</w:t>
            </w:r>
            <w:r w:rsidRPr="00356F45">
              <w:rPr>
                <w:rFonts w:eastAsia="Aptos" w:cstheme="minorHAnsi"/>
                <w:sz w:val="16"/>
                <w:szCs w:val="16"/>
                <w:vertAlign w:val="subscript"/>
              </w:rPr>
              <w:t>2</w:t>
            </w:r>
            <w:r w:rsidRPr="00356F45">
              <w:rPr>
                <w:rFonts w:eastAsia="Aptos" w:cstheme="minorHAnsi"/>
                <w:sz w:val="16"/>
                <w:szCs w:val="16"/>
              </w:rPr>
              <w:t>)</w:t>
            </w:r>
          </w:p>
        </w:tc>
        <w:tc>
          <w:tcPr>
            <w:tcW w:w="889" w:type="dxa"/>
          </w:tcPr>
          <w:p w14:paraId="52B46E97"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6F036FCB"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71E4AFE3"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75FCEC50" w14:textId="77777777" w:rsidTr="00DB1744">
        <w:trPr>
          <w:trHeight w:hRule="exact" w:val="284"/>
          <w:jc w:val="center"/>
        </w:trPr>
        <w:tc>
          <w:tcPr>
            <w:tcW w:w="4824" w:type="dxa"/>
            <w:vAlign w:val="center"/>
          </w:tcPr>
          <w:p w14:paraId="44717C76"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lastRenderedPageBreak/>
              <w:t>COD Mn (mg O₂/l)</w:t>
            </w:r>
          </w:p>
        </w:tc>
        <w:tc>
          <w:tcPr>
            <w:tcW w:w="889" w:type="dxa"/>
          </w:tcPr>
          <w:p w14:paraId="50C08951"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0560C916"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6D0F109B"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6224597C" w14:textId="77777777" w:rsidTr="00DB1744">
        <w:trPr>
          <w:trHeight w:hRule="exact" w:val="284"/>
          <w:jc w:val="center"/>
        </w:trPr>
        <w:tc>
          <w:tcPr>
            <w:tcW w:w="4824" w:type="dxa"/>
            <w:vAlign w:val="center"/>
          </w:tcPr>
          <w:p w14:paraId="0302A962"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t>Total Organic Carbon (TOC) (mg/l C)</w:t>
            </w:r>
          </w:p>
        </w:tc>
        <w:tc>
          <w:tcPr>
            <w:tcW w:w="889" w:type="dxa"/>
          </w:tcPr>
          <w:p w14:paraId="1828D2DF"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712E6650"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1C180FD7"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51992B4F" w14:textId="77777777" w:rsidTr="00DB1744">
        <w:trPr>
          <w:trHeight w:hRule="exact" w:val="284"/>
          <w:jc w:val="center"/>
        </w:trPr>
        <w:tc>
          <w:tcPr>
            <w:tcW w:w="4824" w:type="dxa"/>
            <w:vAlign w:val="center"/>
          </w:tcPr>
          <w:p w14:paraId="2789D499"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t>Total Nitrogen (mg/l N)</w:t>
            </w:r>
          </w:p>
        </w:tc>
        <w:tc>
          <w:tcPr>
            <w:tcW w:w="889" w:type="dxa"/>
          </w:tcPr>
          <w:p w14:paraId="6DADB04B"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3B512EB9"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347A4440"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6529E088" w14:textId="77777777" w:rsidTr="00DB1744">
        <w:trPr>
          <w:trHeight w:hRule="exact" w:val="284"/>
          <w:jc w:val="center"/>
        </w:trPr>
        <w:tc>
          <w:tcPr>
            <w:tcW w:w="4824" w:type="dxa"/>
            <w:vAlign w:val="center"/>
          </w:tcPr>
          <w:p w14:paraId="7C1F4A4A" w14:textId="77777777" w:rsidR="00970389" w:rsidRPr="00356F45" w:rsidRDefault="00970389" w:rsidP="00682BC9">
            <w:pPr>
              <w:spacing w:line="259" w:lineRule="auto"/>
              <w:rPr>
                <w:rFonts w:eastAsia="Aptos" w:cstheme="minorHAnsi"/>
                <w:sz w:val="16"/>
                <w:szCs w:val="16"/>
              </w:rPr>
            </w:pPr>
            <w:proofErr w:type="spellStart"/>
            <w:r w:rsidRPr="00356F45">
              <w:rPr>
                <w:rFonts w:eastAsia="Aptos" w:cstheme="minorHAnsi"/>
                <w:sz w:val="16"/>
                <w:szCs w:val="16"/>
              </w:rPr>
              <w:t>Color</w:t>
            </w:r>
            <w:proofErr w:type="spellEnd"/>
          </w:p>
        </w:tc>
        <w:tc>
          <w:tcPr>
            <w:tcW w:w="889" w:type="dxa"/>
          </w:tcPr>
          <w:p w14:paraId="5771FBDB" w14:textId="77777777" w:rsidR="00970389" w:rsidRPr="00356F45" w:rsidRDefault="00970389" w:rsidP="00682BC9">
            <w:pPr>
              <w:jc w:val="center"/>
              <w:rPr>
                <w:rFonts w:eastAsia="Aptos" w:cstheme="minorHAnsi"/>
                <w:b/>
                <w:sz w:val="16"/>
                <w:szCs w:val="16"/>
              </w:rPr>
            </w:pPr>
          </w:p>
        </w:tc>
        <w:tc>
          <w:tcPr>
            <w:tcW w:w="1398" w:type="dxa"/>
            <w:vAlign w:val="center"/>
          </w:tcPr>
          <w:p w14:paraId="4AD7EDE1" w14:textId="77777777" w:rsidR="00970389" w:rsidRPr="00356F45" w:rsidRDefault="00970389" w:rsidP="00682BC9">
            <w:pPr>
              <w:jc w:val="center"/>
              <w:rPr>
                <w:rFonts w:cstheme="minorHAnsi"/>
                <w:sz w:val="16"/>
                <w:szCs w:val="16"/>
              </w:rPr>
            </w:pPr>
            <w:r w:rsidRPr="00356F45">
              <w:rPr>
                <w:rFonts w:eastAsia="Aptos" w:cstheme="minorHAnsi"/>
                <w:sz w:val="16"/>
                <w:szCs w:val="16"/>
              </w:rPr>
              <w:t>4/yr-12/yr</w:t>
            </w:r>
          </w:p>
        </w:tc>
        <w:tc>
          <w:tcPr>
            <w:tcW w:w="1295" w:type="dxa"/>
            <w:vAlign w:val="center"/>
          </w:tcPr>
          <w:p w14:paraId="58CDAB1A" w14:textId="77777777" w:rsidR="00970389" w:rsidRPr="00356F45" w:rsidRDefault="00970389" w:rsidP="00682BC9">
            <w:pPr>
              <w:jc w:val="center"/>
              <w:rPr>
                <w:rFonts w:cstheme="minorHAnsi"/>
                <w:sz w:val="16"/>
                <w:szCs w:val="16"/>
              </w:rPr>
            </w:pPr>
            <w:r w:rsidRPr="00356F45">
              <w:rPr>
                <w:rFonts w:eastAsia="Aptos" w:cstheme="minorHAnsi"/>
                <w:sz w:val="16"/>
                <w:szCs w:val="16"/>
              </w:rPr>
              <w:t>4/yr-12/yr</w:t>
            </w:r>
          </w:p>
        </w:tc>
      </w:tr>
      <w:tr w:rsidR="00970389" w:rsidRPr="00356F45" w14:paraId="5EF631C7" w14:textId="77777777" w:rsidTr="00DB1744">
        <w:trPr>
          <w:trHeight w:hRule="exact" w:val="284"/>
          <w:jc w:val="center"/>
        </w:trPr>
        <w:tc>
          <w:tcPr>
            <w:tcW w:w="4824" w:type="dxa"/>
            <w:vAlign w:val="center"/>
          </w:tcPr>
          <w:p w14:paraId="1297A451"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t>Odor / Smell</w:t>
            </w:r>
          </w:p>
        </w:tc>
        <w:tc>
          <w:tcPr>
            <w:tcW w:w="889" w:type="dxa"/>
          </w:tcPr>
          <w:p w14:paraId="5E8761E9" w14:textId="77777777" w:rsidR="00970389" w:rsidRPr="00356F45" w:rsidRDefault="00970389" w:rsidP="00682BC9">
            <w:pPr>
              <w:jc w:val="center"/>
              <w:rPr>
                <w:rFonts w:eastAsia="Aptos" w:cstheme="minorHAnsi"/>
                <w:b/>
                <w:sz w:val="16"/>
                <w:szCs w:val="16"/>
              </w:rPr>
            </w:pPr>
          </w:p>
        </w:tc>
        <w:tc>
          <w:tcPr>
            <w:tcW w:w="1398" w:type="dxa"/>
            <w:vAlign w:val="center"/>
          </w:tcPr>
          <w:p w14:paraId="0AC4011D" w14:textId="77777777" w:rsidR="00970389" w:rsidRPr="00356F45" w:rsidRDefault="00970389" w:rsidP="00682BC9">
            <w:pPr>
              <w:jc w:val="center"/>
              <w:rPr>
                <w:rFonts w:cstheme="minorHAnsi"/>
                <w:sz w:val="16"/>
                <w:szCs w:val="16"/>
              </w:rPr>
            </w:pPr>
            <w:r w:rsidRPr="00356F45">
              <w:rPr>
                <w:rFonts w:eastAsia="Aptos" w:cstheme="minorHAnsi"/>
                <w:sz w:val="16"/>
                <w:szCs w:val="16"/>
              </w:rPr>
              <w:t>4/yr-12/yr</w:t>
            </w:r>
          </w:p>
        </w:tc>
        <w:tc>
          <w:tcPr>
            <w:tcW w:w="1295" w:type="dxa"/>
            <w:vAlign w:val="center"/>
          </w:tcPr>
          <w:p w14:paraId="1C6B645E" w14:textId="77777777" w:rsidR="00970389" w:rsidRPr="00356F45" w:rsidRDefault="00970389" w:rsidP="00682BC9">
            <w:pPr>
              <w:jc w:val="center"/>
              <w:rPr>
                <w:rFonts w:cstheme="minorHAnsi"/>
                <w:sz w:val="16"/>
                <w:szCs w:val="16"/>
              </w:rPr>
            </w:pPr>
            <w:r w:rsidRPr="00356F45">
              <w:rPr>
                <w:rFonts w:eastAsia="Aptos" w:cstheme="minorHAnsi"/>
                <w:sz w:val="16"/>
                <w:szCs w:val="16"/>
              </w:rPr>
              <w:t>4/yr-12/yr</w:t>
            </w:r>
          </w:p>
        </w:tc>
      </w:tr>
      <w:tr w:rsidR="00970389" w:rsidRPr="00356F45" w14:paraId="5B2B2FF6" w14:textId="77777777" w:rsidTr="00DB1744">
        <w:trPr>
          <w:trHeight w:hRule="exact" w:val="284"/>
          <w:jc w:val="center"/>
        </w:trPr>
        <w:tc>
          <w:tcPr>
            <w:tcW w:w="4824" w:type="dxa"/>
            <w:shd w:val="clear" w:color="auto" w:fill="DEEAF6" w:themeFill="accent5" w:themeFillTint="33"/>
            <w:vAlign w:val="center"/>
          </w:tcPr>
          <w:p w14:paraId="25E09203" w14:textId="77777777" w:rsidR="00970389" w:rsidRPr="00356F45" w:rsidRDefault="00970389" w:rsidP="00682BC9">
            <w:pPr>
              <w:spacing w:line="259" w:lineRule="auto"/>
              <w:rPr>
                <w:rFonts w:eastAsia="Aptos" w:cstheme="minorHAnsi"/>
                <w:b/>
                <w:bCs/>
                <w:sz w:val="16"/>
                <w:szCs w:val="16"/>
              </w:rPr>
            </w:pPr>
            <w:r w:rsidRPr="00356F45">
              <w:rPr>
                <w:rFonts w:eastAsia="Aptos" w:cstheme="minorHAnsi"/>
                <w:b/>
                <w:bCs/>
                <w:sz w:val="16"/>
                <w:szCs w:val="16"/>
              </w:rPr>
              <w:t>IONS</w:t>
            </w:r>
          </w:p>
        </w:tc>
        <w:tc>
          <w:tcPr>
            <w:tcW w:w="889" w:type="dxa"/>
            <w:shd w:val="clear" w:color="auto" w:fill="DEEAF6" w:themeFill="accent5" w:themeFillTint="33"/>
          </w:tcPr>
          <w:p w14:paraId="334E3417" w14:textId="77777777" w:rsidR="00970389" w:rsidRPr="00356F45" w:rsidRDefault="00970389" w:rsidP="00682BC9">
            <w:pPr>
              <w:spacing w:line="259" w:lineRule="auto"/>
              <w:jc w:val="center"/>
              <w:rPr>
                <w:rFonts w:eastAsia="Aptos" w:cstheme="minorHAnsi"/>
                <w:b/>
                <w:bCs/>
                <w:sz w:val="16"/>
                <w:szCs w:val="16"/>
              </w:rPr>
            </w:pPr>
          </w:p>
        </w:tc>
        <w:tc>
          <w:tcPr>
            <w:tcW w:w="1398" w:type="dxa"/>
            <w:shd w:val="clear" w:color="auto" w:fill="DEEAF6" w:themeFill="accent5" w:themeFillTint="33"/>
            <w:vAlign w:val="center"/>
          </w:tcPr>
          <w:p w14:paraId="5A311645" w14:textId="77777777" w:rsidR="00970389" w:rsidRPr="00356F45" w:rsidRDefault="00970389" w:rsidP="00682BC9">
            <w:pPr>
              <w:spacing w:line="259" w:lineRule="auto"/>
              <w:jc w:val="center"/>
              <w:rPr>
                <w:rFonts w:eastAsia="Aptos" w:cstheme="minorHAnsi"/>
                <w:b/>
                <w:bCs/>
                <w:sz w:val="16"/>
                <w:szCs w:val="16"/>
              </w:rPr>
            </w:pPr>
          </w:p>
        </w:tc>
        <w:tc>
          <w:tcPr>
            <w:tcW w:w="1295" w:type="dxa"/>
            <w:shd w:val="clear" w:color="auto" w:fill="DEEAF6" w:themeFill="accent5" w:themeFillTint="33"/>
            <w:vAlign w:val="center"/>
          </w:tcPr>
          <w:p w14:paraId="28302C96" w14:textId="77777777" w:rsidR="00970389" w:rsidRPr="00356F45" w:rsidRDefault="00970389" w:rsidP="00682BC9">
            <w:pPr>
              <w:spacing w:line="259" w:lineRule="auto"/>
              <w:jc w:val="center"/>
              <w:rPr>
                <w:rFonts w:eastAsia="Aptos" w:cstheme="minorHAnsi"/>
                <w:b/>
                <w:bCs/>
                <w:sz w:val="16"/>
                <w:szCs w:val="16"/>
              </w:rPr>
            </w:pPr>
          </w:p>
        </w:tc>
      </w:tr>
      <w:tr w:rsidR="00970389" w:rsidRPr="00356F45" w14:paraId="15A8D81E" w14:textId="77777777" w:rsidTr="00DB1744">
        <w:trPr>
          <w:trHeight w:hRule="exact" w:val="284"/>
          <w:jc w:val="center"/>
        </w:trPr>
        <w:tc>
          <w:tcPr>
            <w:tcW w:w="4824" w:type="dxa"/>
            <w:vAlign w:val="center"/>
          </w:tcPr>
          <w:p w14:paraId="22DBD66C" w14:textId="77777777" w:rsidR="00970389" w:rsidRPr="00356F45" w:rsidRDefault="00970389" w:rsidP="00682BC9">
            <w:pPr>
              <w:spacing w:line="259" w:lineRule="auto"/>
              <w:rPr>
                <w:rFonts w:eastAsia="Aptos" w:cstheme="minorHAnsi"/>
                <w:bCs/>
                <w:sz w:val="16"/>
                <w:szCs w:val="16"/>
              </w:rPr>
            </w:pPr>
            <w:r w:rsidRPr="00356F45">
              <w:rPr>
                <w:rFonts w:eastAsia="Aptos" w:cstheme="minorHAnsi"/>
                <w:bCs/>
                <w:sz w:val="16"/>
                <w:szCs w:val="16"/>
              </w:rPr>
              <w:t>Calcium (mg/l)</w:t>
            </w:r>
          </w:p>
        </w:tc>
        <w:tc>
          <w:tcPr>
            <w:tcW w:w="889" w:type="dxa"/>
          </w:tcPr>
          <w:p w14:paraId="66BDAFD8"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160FDDAB"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79B7A7AF"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3ABB68C9" w14:textId="77777777" w:rsidTr="00DB1744">
        <w:trPr>
          <w:trHeight w:hRule="exact" w:val="284"/>
          <w:jc w:val="center"/>
        </w:trPr>
        <w:tc>
          <w:tcPr>
            <w:tcW w:w="4824" w:type="dxa"/>
            <w:vAlign w:val="center"/>
          </w:tcPr>
          <w:p w14:paraId="0977ADF9" w14:textId="77777777" w:rsidR="00970389" w:rsidRPr="00356F45" w:rsidRDefault="00970389" w:rsidP="00682BC9">
            <w:pPr>
              <w:spacing w:line="259" w:lineRule="auto"/>
              <w:rPr>
                <w:rFonts w:eastAsia="Aptos" w:cstheme="minorHAnsi"/>
                <w:bCs/>
                <w:sz w:val="16"/>
                <w:szCs w:val="16"/>
              </w:rPr>
            </w:pPr>
            <w:r w:rsidRPr="00356F45">
              <w:rPr>
                <w:rFonts w:eastAsia="Aptos" w:cstheme="minorHAnsi"/>
                <w:bCs/>
                <w:sz w:val="16"/>
                <w:szCs w:val="16"/>
              </w:rPr>
              <w:t>Magnesium (mg/l)</w:t>
            </w:r>
          </w:p>
        </w:tc>
        <w:tc>
          <w:tcPr>
            <w:tcW w:w="889" w:type="dxa"/>
          </w:tcPr>
          <w:p w14:paraId="4F59F057"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48660D00"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0E0D9936"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0E0BDC60" w14:textId="77777777" w:rsidTr="00DB1744">
        <w:trPr>
          <w:trHeight w:hRule="exact" w:val="284"/>
          <w:jc w:val="center"/>
        </w:trPr>
        <w:tc>
          <w:tcPr>
            <w:tcW w:w="4824" w:type="dxa"/>
            <w:vAlign w:val="center"/>
          </w:tcPr>
          <w:p w14:paraId="42AFBB64"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t xml:space="preserve">Sodium </w:t>
            </w:r>
            <w:r w:rsidRPr="00356F45">
              <w:rPr>
                <w:rFonts w:eastAsia="Aptos" w:cstheme="minorHAnsi"/>
                <w:bCs/>
                <w:sz w:val="16"/>
                <w:szCs w:val="16"/>
              </w:rPr>
              <w:t>(mg/l)</w:t>
            </w:r>
          </w:p>
        </w:tc>
        <w:tc>
          <w:tcPr>
            <w:tcW w:w="889" w:type="dxa"/>
          </w:tcPr>
          <w:p w14:paraId="6AB4B308"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31453397"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46D90118"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4938D164" w14:textId="77777777" w:rsidTr="00DB1744">
        <w:trPr>
          <w:trHeight w:hRule="exact" w:val="284"/>
          <w:jc w:val="center"/>
        </w:trPr>
        <w:tc>
          <w:tcPr>
            <w:tcW w:w="4824" w:type="dxa"/>
            <w:vAlign w:val="center"/>
          </w:tcPr>
          <w:p w14:paraId="7811FC81" w14:textId="77777777" w:rsidR="00970389" w:rsidRPr="00356F45" w:rsidRDefault="00970389" w:rsidP="00682BC9">
            <w:pPr>
              <w:spacing w:line="259" w:lineRule="auto"/>
              <w:rPr>
                <w:rFonts w:eastAsia="Aptos" w:cstheme="minorHAnsi"/>
                <w:sz w:val="16"/>
                <w:szCs w:val="16"/>
              </w:rPr>
            </w:pPr>
            <w:r w:rsidRPr="00356F45">
              <w:rPr>
                <w:rFonts w:eastAsia="Aptos" w:cstheme="minorHAnsi"/>
                <w:sz w:val="16"/>
                <w:szCs w:val="16"/>
              </w:rPr>
              <w:t xml:space="preserve">Potassium </w:t>
            </w:r>
            <w:r w:rsidRPr="00356F45">
              <w:rPr>
                <w:rFonts w:eastAsia="Aptos" w:cstheme="minorHAnsi"/>
                <w:bCs/>
                <w:sz w:val="16"/>
                <w:szCs w:val="16"/>
              </w:rPr>
              <w:t>(mg/l)</w:t>
            </w:r>
          </w:p>
        </w:tc>
        <w:tc>
          <w:tcPr>
            <w:tcW w:w="889" w:type="dxa"/>
          </w:tcPr>
          <w:p w14:paraId="6510D274"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51669411"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674B278A"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7ABA5D5A" w14:textId="77777777" w:rsidTr="00DB1744">
        <w:trPr>
          <w:trHeight w:hRule="exact" w:val="284"/>
          <w:jc w:val="center"/>
        </w:trPr>
        <w:tc>
          <w:tcPr>
            <w:tcW w:w="4824" w:type="dxa"/>
            <w:vAlign w:val="center"/>
          </w:tcPr>
          <w:p w14:paraId="23C5D7A0" w14:textId="77777777" w:rsidR="00970389" w:rsidRPr="00356F45" w:rsidRDefault="00970389" w:rsidP="00682BC9">
            <w:pPr>
              <w:spacing w:line="259" w:lineRule="auto"/>
              <w:ind w:left="30"/>
              <w:rPr>
                <w:rFonts w:eastAsia="Aptos" w:cstheme="minorHAnsi"/>
                <w:sz w:val="16"/>
                <w:szCs w:val="16"/>
              </w:rPr>
            </w:pPr>
            <w:r w:rsidRPr="00356F45">
              <w:rPr>
                <w:rFonts w:eastAsia="Aptos" w:cstheme="minorHAnsi"/>
                <w:sz w:val="16"/>
                <w:szCs w:val="16"/>
              </w:rPr>
              <w:t xml:space="preserve">Cyanides </w:t>
            </w:r>
            <w:r w:rsidRPr="00356F45">
              <w:rPr>
                <w:rFonts w:eastAsia="Aptos" w:cstheme="minorHAnsi"/>
                <w:bCs/>
                <w:sz w:val="16"/>
                <w:szCs w:val="16"/>
              </w:rPr>
              <w:t>(mg/l)</w:t>
            </w:r>
          </w:p>
        </w:tc>
        <w:tc>
          <w:tcPr>
            <w:tcW w:w="889" w:type="dxa"/>
          </w:tcPr>
          <w:p w14:paraId="77EDD6FC"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7A5D74C9"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6E562AF1"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6D8B213E" w14:textId="77777777" w:rsidTr="00DB1744">
        <w:trPr>
          <w:trHeight w:hRule="exact" w:val="284"/>
          <w:jc w:val="center"/>
        </w:trPr>
        <w:tc>
          <w:tcPr>
            <w:tcW w:w="4824" w:type="dxa"/>
            <w:vAlign w:val="center"/>
          </w:tcPr>
          <w:p w14:paraId="5A9C44FF" w14:textId="77777777" w:rsidR="00970389" w:rsidRPr="00356F45" w:rsidRDefault="00970389" w:rsidP="00682BC9">
            <w:pPr>
              <w:spacing w:line="259" w:lineRule="auto"/>
              <w:ind w:left="30"/>
              <w:rPr>
                <w:rFonts w:eastAsia="Aptos" w:cstheme="minorHAnsi"/>
                <w:sz w:val="16"/>
                <w:szCs w:val="16"/>
              </w:rPr>
            </w:pPr>
            <w:r w:rsidRPr="00356F45">
              <w:rPr>
                <w:rFonts w:eastAsia="Aptos" w:cstheme="minorHAnsi"/>
                <w:sz w:val="16"/>
                <w:szCs w:val="16"/>
              </w:rPr>
              <w:t xml:space="preserve">Fluorides </w:t>
            </w:r>
            <w:r w:rsidRPr="00356F45">
              <w:rPr>
                <w:rFonts w:eastAsia="Aptos" w:cstheme="minorHAnsi"/>
                <w:bCs/>
                <w:sz w:val="16"/>
                <w:szCs w:val="16"/>
              </w:rPr>
              <w:t>(mg/l)</w:t>
            </w:r>
          </w:p>
        </w:tc>
        <w:tc>
          <w:tcPr>
            <w:tcW w:w="889" w:type="dxa"/>
          </w:tcPr>
          <w:p w14:paraId="380FDBDB"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537225A4"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5D1AF08C"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46AAA647" w14:textId="77777777" w:rsidTr="00DB1744">
        <w:trPr>
          <w:trHeight w:hRule="exact" w:val="284"/>
          <w:jc w:val="center"/>
        </w:trPr>
        <w:tc>
          <w:tcPr>
            <w:tcW w:w="4824" w:type="dxa"/>
            <w:vAlign w:val="center"/>
          </w:tcPr>
          <w:p w14:paraId="0D87476E" w14:textId="77777777" w:rsidR="00970389" w:rsidRPr="00356F45" w:rsidRDefault="00970389" w:rsidP="00682BC9">
            <w:pPr>
              <w:spacing w:line="259" w:lineRule="auto"/>
              <w:ind w:left="30"/>
              <w:rPr>
                <w:rFonts w:eastAsia="Aptos" w:cstheme="minorHAnsi"/>
                <w:sz w:val="16"/>
                <w:szCs w:val="16"/>
              </w:rPr>
            </w:pPr>
            <w:r w:rsidRPr="00356F45">
              <w:rPr>
                <w:rFonts w:eastAsia="Aptos" w:cstheme="minorHAnsi"/>
                <w:sz w:val="16"/>
                <w:szCs w:val="16"/>
              </w:rPr>
              <w:t xml:space="preserve">Bromates </w:t>
            </w:r>
            <w:r w:rsidRPr="00356F45">
              <w:rPr>
                <w:rFonts w:eastAsia="Aptos" w:cstheme="minorHAnsi"/>
                <w:bCs/>
                <w:sz w:val="16"/>
                <w:szCs w:val="16"/>
              </w:rPr>
              <w:t>(mg/l)</w:t>
            </w:r>
          </w:p>
        </w:tc>
        <w:tc>
          <w:tcPr>
            <w:tcW w:w="889" w:type="dxa"/>
          </w:tcPr>
          <w:p w14:paraId="19CBFCD6"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41AF6839"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013E1B51"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67CA6D6A" w14:textId="77777777" w:rsidTr="00DB1744">
        <w:trPr>
          <w:trHeight w:hRule="exact" w:val="284"/>
          <w:jc w:val="center"/>
        </w:trPr>
        <w:tc>
          <w:tcPr>
            <w:tcW w:w="4824" w:type="dxa"/>
            <w:vAlign w:val="center"/>
          </w:tcPr>
          <w:p w14:paraId="1BB9BFF2" w14:textId="77777777" w:rsidR="00970389" w:rsidRPr="00356F45" w:rsidRDefault="00970389" w:rsidP="00682BC9">
            <w:pPr>
              <w:spacing w:line="259" w:lineRule="auto"/>
              <w:ind w:left="30"/>
              <w:rPr>
                <w:rFonts w:eastAsia="Aptos" w:cstheme="minorHAnsi"/>
                <w:sz w:val="16"/>
                <w:szCs w:val="16"/>
              </w:rPr>
            </w:pPr>
            <w:r w:rsidRPr="00356F45">
              <w:rPr>
                <w:rFonts w:eastAsia="Aptos" w:cstheme="minorHAnsi"/>
                <w:sz w:val="16"/>
                <w:szCs w:val="16"/>
              </w:rPr>
              <w:t xml:space="preserve">Hydrogen carbonates </w:t>
            </w:r>
            <w:r w:rsidRPr="00356F45">
              <w:rPr>
                <w:rFonts w:eastAsia="Aptos" w:cstheme="minorHAnsi"/>
                <w:bCs/>
                <w:sz w:val="16"/>
                <w:szCs w:val="16"/>
              </w:rPr>
              <w:t>(mg/l)</w:t>
            </w:r>
          </w:p>
        </w:tc>
        <w:tc>
          <w:tcPr>
            <w:tcW w:w="889" w:type="dxa"/>
          </w:tcPr>
          <w:p w14:paraId="4005772A"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2CB94E57"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5BFF2F67"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49CC8F8D" w14:textId="77777777" w:rsidTr="00DB1744">
        <w:trPr>
          <w:trHeight w:hRule="exact" w:val="284"/>
          <w:jc w:val="center"/>
        </w:trPr>
        <w:tc>
          <w:tcPr>
            <w:tcW w:w="4824" w:type="dxa"/>
            <w:vAlign w:val="center"/>
          </w:tcPr>
          <w:p w14:paraId="5BD46408" w14:textId="77777777" w:rsidR="00970389" w:rsidRPr="00356F45" w:rsidRDefault="00970389" w:rsidP="00682BC9">
            <w:pPr>
              <w:spacing w:line="259" w:lineRule="auto"/>
              <w:ind w:left="30"/>
              <w:rPr>
                <w:rFonts w:eastAsia="Aptos" w:cstheme="minorHAnsi"/>
                <w:sz w:val="16"/>
                <w:szCs w:val="16"/>
              </w:rPr>
            </w:pPr>
            <w:r w:rsidRPr="00356F45">
              <w:rPr>
                <w:rFonts w:eastAsia="Aptos" w:cstheme="minorHAnsi"/>
                <w:sz w:val="16"/>
                <w:szCs w:val="16"/>
              </w:rPr>
              <w:t xml:space="preserve">Hydrogen </w:t>
            </w:r>
            <w:proofErr w:type="spellStart"/>
            <w:r w:rsidRPr="00356F45">
              <w:rPr>
                <w:rFonts w:eastAsia="Aptos" w:cstheme="minorHAnsi"/>
                <w:sz w:val="16"/>
                <w:szCs w:val="16"/>
              </w:rPr>
              <w:t>sulfide</w:t>
            </w:r>
            <w:proofErr w:type="spellEnd"/>
            <w:r w:rsidRPr="00356F45">
              <w:rPr>
                <w:rFonts w:eastAsia="Aptos" w:cstheme="minorHAnsi"/>
                <w:sz w:val="16"/>
                <w:szCs w:val="16"/>
              </w:rPr>
              <w:t xml:space="preserve"> </w:t>
            </w:r>
            <w:r w:rsidRPr="00356F45">
              <w:rPr>
                <w:rFonts w:eastAsia="Aptos" w:cstheme="minorHAnsi"/>
                <w:bCs/>
                <w:sz w:val="16"/>
                <w:szCs w:val="16"/>
              </w:rPr>
              <w:t>(mg/l)</w:t>
            </w:r>
          </w:p>
        </w:tc>
        <w:tc>
          <w:tcPr>
            <w:tcW w:w="889" w:type="dxa"/>
          </w:tcPr>
          <w:p w14:paraId="7E0E6FA7"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0ADE5754"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0EC8D629"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05692679" w14:textId="77777777" w:rsidTr="00DB1744">
        <w:trPr>
          <w:trHeight w:hRule="exact" w:val="284"/>
          <w:jc w:val="center"/>
        </w:trPr>
        <w:tc>
          <w:tcPr>
            <w:tcW w:w="4824" w:type="dxa"/>
            <w:vAlign w:val="center"/>
          </w:tcPr>
          <w:p w14:paraId="47ABF7F4" w14:textId="77777777" w:rsidR="00970389" w:rsidRPr="00356F45" w:rsidRDefault="00970389" w:rsidP="00682BC9">
            <w:pPr>
              <w:spacing w:line="259" w:lineRule="auto"/>
              <w:ind w:left="30"/>
              <w:rPr>
                <w:rFonts w:eastAsia="Aptos" w:cstheme="minorHAnsi"/>
                <w:sz w:val="16"/>
                <w:szCs w:val="16"/>
              </w:rPr>
            </w:pPr>
            <w:r w:rsidRPr="00356F45">
              <w:rPr>
                <w:rFonts w:eastAsia="Aptos" w:cstheme="minorHAnsi"/>
                <w:sz w:val="16"/>
                <w:szCs w:val="16"/>
              </w:rPr>
              <w:t xml:space="preserve">Silicates </w:t>
            </w:r>
            <w:r w:rsidRPr="00356F45">
              <w:rPr>
                <w:rFonts w:eastAsia="Aptos" w:cstheme="minorHAnsi"/>
                <w:bCs/>
                <w:sz w:val="16"/>
                <w:szCs w:val="16"/>
              </w:rPr>
              <w:t>(mg/l)</w:t>
            </w:r>
          </w:p>
        </w:tc>
        <w:tc>
          <w:tcPr>
            <w:tcW w:w="889" w:type="dxa"/>
          </w:tcPr>
          <w:p w14:paraId="2B541C6A" w14:textId="77777777" w:rsidR="00970389" w:rsidRPr="00356F45" w:rsidRDefault="00970389" w:rsidP="00682BC9">
            <w:pPr>
              <w:jc w:val="center"/>
              <w:rPr>
                <w:rFonts w:eastAsia="Aptos" w:cstheme="minorHAnsi"/>
                <w:b/>
                <w:sz w:val="16"/>
                <w:szCs w:val="16"/>
              </w:rPr>
            </w:pPr>
          </w:p>
        </w:tc>
        <w:tc>
          <w:tcPr>
            <w:tcW w:w="1398" w:type="dxa"/>
            <w:vAlign w:val="center"/>
          </w:tcPr>
          <w:p w14:paraId="54D2E101"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390EBCAE"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1670813F" w14:textId="77777777" w:rsidTr="00DB1744">
        <w:trPr>
          <w:trHeight w:hRule="exact" w:val="284"/>
          <w:jc w:val="center"/>
        </w:trPr>
        <w:tc>
          <w:tcPr>
            <w:tcW w:w="4824" w:type="dxa"/>
            <w:shd w:val="clear" w:color="auto" w:fill="DEEAF6" w:themeFill="accent5" w:themeFillTint="33"/>
            <w:vAlign w:val="center"/>
          </w:tcPr>
          <w:p w14:paraId="2DF59978" w14:textId="77777777" w:rsidR="00970389" w:rsidRPr="00356F45" w:rsidRDefault="00970389" w:rsidP="00682BC9">
            <w:pPr>
              <w:spacing w:line="259" w:lineRule="auto"/>
              <w:rPr>
                <w:rFonts w:eastAsia="Aptos" w:cstheme="minorHAnsi"/>
                <w:sz w:val="16"/>
                <w:szCs w:val="16"/>
              </w:rPr>
            </w:pPr>
            <w:r w:rsidRPr="00356F45">
              <w:rPr>
                <w:rFonts w:eastAsia="Aptos" w:cstheme="minorHAnsi"/>
                <w:b/>
                <w:bCs/>
                <w:sz w:val="16"/>
                <w:szCs w:val="16"/>
              </w:rPr>
              <w:t>MICROBIOLOGICAL INDICATORS</w:t>
            </w:r>
          </w:p>
        </w:tc>
        <w:tc>
          <w:tcPr>
            <w:tcW w:w="889" w:type="dxa"/>
            <w:shd w:val="clear" w:color="auto" w:fill="DEEAF6" w:themeFill="accent5" w:themeFillTint="33"/>
          </w:tcPr>
          <w:p w14:paraId="420D5C32" w14:textId="77777777" w:rsidR="00970389" w:rsidRPr="00356F45" w:rsidRDefault="00970389" w:rsidP="00682BC9">
            <w:pPr>
              <w:spacing w:line="259" w:lineRule="auto"/>
              <w:jc w:val="center"/>
              <w:rPr>
                <w:rFonts w:eastAsia="Aptos" w:cstheme="minorHAnsi"/>
                <w:b/>
                <w:bCs/>
                <w:sz w:val="16"/>
                <w:szCs w:val="16"/>
              </w:rPr>
            </w:pPr>
          </w:p>
        </w:tc>
        <w:tc>
          <w:tcPr>
            <w:tcW w:w="1398" w:type="dxa"/>
            <w:shd w:val="clear" w:color="auto" w:fill="DEEAF6" w:themeFill="accent5" w:themeFillTint="33"/>
            <w:vAlign w:val="center"/>
          </w:tcPr>
          <w:p w14:paraId="1596CE92" w14:textId="77777777" w:rsidR="00970389" w:rsidRPr="00356F45" w:rsidRDefault="00970389" w:rsidP="00682BC9">
            <w:pPr>
              <w:spacing w:line="259" w:lineRule="auto"/>
              <w:jc w:val="center"/>
              <w:rPr>
                <w:rFonts w:eastAsia="Aptos" w:cstheme="minorHAnsi"/>
                <w:b/>
                <w:bCs/>
                <w:sz w:val="16"/>
                <w:szCs w:val="16"/>
              </w:rPr>
            </w:pPr>
          </w:p>
        </w:tc>
        <w:tc>
          <w:tcPr>
            <w:tcW w:w="1295" w:type="dxa"/>
            <w:shd w:val="clear" w:color="auto" w:fill="DEEAF6" w:themeFill="accent5" w:themeFillTint="33"/>
            <w:vAlign w:val="center"/>
          </w:tcPr>
          <w:p w14:paraId="557F79CD" w14:textId="77777777" w:rsidR="00970389" w:rsidRPr="00356F45" w:rsidRDefault="00970389" w:rsidP="00682BC9">
            <w:pPr>
              <w:spacing w:line="259" w:lineRule="auto"/>
              <w:jc w:val="center"/>
              <w:rPr>
                <w:rFonts w:eastAsia="Aptos" w:cstheme="minorHAnsi"/>
                <w:b/>
                <w:bCs/>
                <w:sz w:val="16"/>
                <w:szCs w:val="16"/>
              </w:rPr>
            </w:pPr>
          </w:p>
        </w:tc>
      </w:tr>
      <w:tr w:rsidR="00970389" w:rsidRPr="00356F45" w14:paraId="26ECCECC" w14:textId="77777777" w:rsidTr="00DB1744">
        <w:trPr>
          <w:trHeight w:hRule="exact" w:val="284"/>
          <w:jc w:val="center"/>
        </w:trPr>
        <w:tc>
          <w:tcPr>
            <w:tcW w:w="4824" w:type="dxa"/>
            <w:vAlign w:val="center"/>
          </w:tcPr>
          <w:p w14:paraId="751B0435" w14:textId="77777777" w:rsidR="00970389" w:rsidRPr="00356F45" w:rsidRDefault="00970389" w:rsidP="00682BC9">
            <w:pPr>
              <w:spacing w:line="259" w:lineRule="auto"/>
              <w:ind w:left="30"/>
              <w:rPr>
                <w:rFonts w:eastAsia="Aptos" w:cstheme="minorHAnsi"/>
                <w:sz w:val="16"/>
                <w:szCs w:val="16"/>
              </w:rPr>
            </w:pPr>
            <w:r w:rsidRPr="00356F45">
              <w:rPr>
                <w:rFonts w:eastAsia="Aptos" w:cstheme="minorHAnsi"/>
                <w:sz w:val="16"/>
                <w:szCs w:val="16"/>
              </w:rPr>
              <w:t>Total coliform bacteria (count/100 ml)</w:t>
            </w:r>
          </w:p>
        </w:tc>
        <w:tc>
          <w:tcPr>
            <w:tcW w:w="889" w:type="dxa"/>
          </w:tcPr>
          <w:p w14:paraId="287D598B"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6BE0FFBC"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31BFD21F"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124916F8" w14:textId="77777777" w:rsidTr="00DB1744">
        <w:trPr>
          <w:trHeight w:hRule="exact" w:val="284"/>
          <w:jc w:val="center"/>
        </w:trPr>
        <w:tc>
          <w:tcPr>
            <w:tcW w:w="4824" w:type="dxa"/>
            <w:vAlign w:val="center"/>
          </w:tcPr>
          <w:p w14:paraId="65C63249" w14:textId="12E3A23A" w:rsidR="00970389" w:rsidRPr="00356F45" w:rsidRDefault="00356F45" w:rsidP="00682BC9">
            <w:pPr>
              <w:spacing w:line="259" w:lineRule="auto"/>
              <w:ind w:left="30"/>
              <w:rPr>
                <w:rFonts w:eastAsia="Aptos" w:cstheme="minorHAnsi"/>
                <w:sz w:val="16"/>
                <w:szCs w:val="16"/>
              </w:rPr>
            </w:pPr>
            <w:r w:rsidRPr="00356F45">
              <w:rPr>
                <w:rFonts w:eastAsia="Aptos" w:cstheme="minorHAnsi"/>
                <w:sz w:val="16"/>
                <w:szCs w:val="16"/>
              </w:rPr>
              <w:t>Faecal</w:t>
            </w:r>
            <w:r w:rsidR="00970389" w:rsidRPr="00356F45">
              <w:rPr>
                <w:rFonts w:eastAsia="Aptos" w:cstheme="minorHAnsi"/>
                <w:sz w:val="16"/>
                <w:szCs w:val="16"/>
              </w:rPr>
              <w:t xml:space="preserve"> coliform bacteria (count/100 ml)</w:t>
            </w:r>
          </w:p>
        </w:tc>
        <w:tc>
          <w:tcPr>
            <w:tcW w:w="889" w:type="dxa"/>
          </w:tcPr>
          <w:p w14:paraId="7F8413FA"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08FF4886"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448DE2F8"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3753E11E" w14:textId="77777777" w:rsidTr="00DB1744">
        <w:trPr>
          <w:trHeight w:hRule="exact" w:val="284"/>
          <w:jc w:val="center"/>
        </w:trPr>
        <w:tc>
          <w:tcPr>
            <w:tcW w:w="4824" w:type="dxa"/>
            <w:vAlign w:val="center"/>
          </w:tcPr>
          <w:p w14:paraId="1902D787" w14:textId="73AD5E0E" w:rsidR="00970389" w:rsidRPr="00356F45" w:rsidRDefault="00970389" w:rsidP="00682BC9">
            <w:pPr>
              <w:spacing w:line="259" w:lineRule="auto"/>
              <w:ind w:left="30"/>
              <w:rPr>
                <w:rFonts w:eastAsia="Aptos" w:cstheme="minorHAnsi"/>
                <w:sz w:val="16"/>
                <w:szCs w:val="16"/>
              </w:rPr>
            </w:pPr>
            <w:r w:rsidRPr="00356F45">
              <w:rPr>
                <w:rFonts w:eastAsia="Aptos" w:cstheme="minorHAnsi"/>
                <w:sz w:val="16"/>
                <w:szCs w:val="16"/>
              </w:rPr>
              <w:t>F</w:t>
            </w:r>
            <w:r w:rsidR="00356F45" w:rsidRPr="00356F45">
              <w:rPr>
                <w:rFonts w:eastAsia="Aptos" w:cstheme="minorHAnsi"/>
                <w:sz w:val="16"/>
                <w:szCs w:val="16"/>
              </w:rPr>
              <w:t>a</w:t>
            </w:r>
            <w:r w:rsidRPr="00356F45">
              <w:rPr>
                <w:rFonts w:eastAsia="Aptos" w:cstheme="minorHAnsi"/>
                <w:sz w:val="16"/>
                <w:szCs w:val="16"/>
              </w:rPr>
              <w:t xml:space="preserve">ecal streptococci – intestinal </w:t>
            </w:r>
            <w:r w:rsidR="00356F45" w:rsidRPr="00356F45">
              <w:rPr>
                <w:rFonts w:eastAsia="Aptos" w:cstheme="minorHAnsi"/>
                <w:sz w:val="16"/>
                <w:szCs w:val="16"/>
              </w:rPr>
              <w:t>Enterococcus</w:t>
            </w:r>
            <w:r w:rsidRPr="00356F45">
              <w:rPr>
                <w:rFonts w:eastAsia="Aptos" w:cstheme="minorHAnsi"/>
                <w:sz w:val="16"/>
                <w:szCs w:val="16"/>
              </w:rPr>
              <w:t xml:space="preserve"> (count/100 ml)</w:t>
            </w:r>
          </w:p>
        </w:tc>
        <w:tc>
          <w:tcPr>
            <w:tcW w:w="889" w:type="dxa"/>
          </w:tcPr>
          <w:p w14:paraId="1D1308B2"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7E416668"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2E02AA81"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36179F1B" w14:textId="77777777" w:rsidTr="00DB1744">
        <w:trPr>
          <w:trHeight w:hRule="exact" w:val="284"/>
          <w:jc w:val="center"/>
        </w:trPr>
        <w:tc>
          <w:tcPr>
            <w:tcW w:w="4824" w:type="dxa"/>
            <w:vAlign w:val="center"/>
          </w:tcPr>
          <w:p w14:paraId="27F015F7" w14:textId="77777777" w:rsidR="00970389" w:rsidRPr="00356F45" w:rsidRDefault="00970389" w:rsidP="00682BC9">
            <w:pPr>
              <w:spacing w:line="259" w:lineRule="auto"/>
              <w:ind w:left="30"/>
              <w:rPr>
                <w:rFonts w:eastAsia="Aptos" w:cstheme="minorHAnsi"/>
                <w:sz w:val="16"/>
                <w:szCs w:val="16"/>
              </w:rPr>
            </w:pPr>
            <w:r w:rsidRPr="00356F45">
              <w:rPr>
                <w:rFonts w:eastAsia="Aptos" w:cstheme="minorHAnsi"/>
                <w:sz w:val="16"/>
                <w:szCs w:val="16"/>
              </w:rPr>
              <w:t>Aerobic bacteria (22°C) (count/1 ml)</w:t>
            </w:r>
          </w:p>
        </w:tc>
        <w:tc>
          <w:tcPr>
            <w:tcW w:w="889" w:type="dxa"/>
          </w:tcPr>
          <w:p w14:paraId="408764F2"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253864F1"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7F8540E5"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05F81E00" w14:textId="77777777" w:rsidTr="00DB1744">
        <w:trPr>
          <w:trHeight w:hRule="exact" w:val="284"/>
          <w:jc w:val="center"/>
        </w:trPr>
        <w:tc>
          <w:tcPr>
            <w:tcW w:w="4824" w:type="dxa"/>
            <w:vAlign w:val="center"/>
          </w:tcPr>
          <w:p w14:paraId="433FA9D9" w14:textId="77777777" w:rsidR="00970389" w:rsidRPr="00356F45" w:rsidRDefault="00970389" w:rsidP="00682BC9">
            <w:pPr>
              <w:spacing w:line="259" w:lineRule="auto"/>
              <w:ind w:left="30"/>
              <w:rPr>
                <w:rFonts w:eastAsia="Aptos" w:cstheme="minorHAnsi"/>
                <w:sz w:val="16"/>
                <w:szCs w:val="16"/>
              </w:rPr>
            </w:pPr>
            <w:r w:rsidRPr="00356F45">
              <w:rPr>
                <w:rFonts w:eastAsia="Aptos" w:cstheme="minorHAnsi"/>
                <w:sz w:val="16"/>
                <w:szCs w:val="16"/>
              </w:rPr>
              <w:t>Aerobic bacteria (36°C) (count/1 ml)</w:t>
            </w:r>
          </w:p>
        </w:tc>
        <w:tc>
          <w:tcPr>
            <w:tcW w:w="889" w:type="dxa"/>
          </w:tcPr>
          <w:p w14:paraId="7C63B7E7"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18932377"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5FC43A29"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3AC9C57E" w14:textId="77777777" w:rsidTr="00DB1744">
        <w:trPr>
          <w:trHeight w:hRule="exact" w:val="284"/>
          <w:jc w:val="center"/>
        </w:trPr>
        <w:tc>
          <w:tcPr>
            <w:tcW w:w="4824" w:type="dxa"/>
            <w:vAlign w:val="center"/>
          </w:tcPr>
          <w:p w14:paraId="1AA39715" w14:textId="77777777" w:rsidR="00970389" w:rsidRPr="00356F45" w:rsidRDefault="00970389" w:rsidP="00682BC9">
            <w:pPr>
              <w:spacing w:line="259" w:lineRule="auto"/>
              <w:ind w:left="30"/>
              <w:rPr>
                <w:rFonts w:eastAsia="Aptos" w:cstheme="minorHAnsi"/>
                <w:sz w:val="16"/>
                <w:szCs w:val="16"/>
              </w:rPr>
            </w:pPr>
            <w:r w:rsidRPr="00356F45">
              <w:rPr>
                <w:rFonts w:eastAsia="Aptos" w:cstheme="minorHAnsi"/>
                <w:sz w:val="16"/>
                <w:szCs w:val="16"/>
              </w:rPr>
              <w:t>Clostridium perfringens, including spores (count/100 ml)</w:t>
            </w:r>
          </w:p>
        </w:tc>
        <w:tc>
          <w:tcPr>
            <w:tcW w:w="889" w:type="dxa"/>
          </w:tcPr>
          <w:p w14:paraId="10E7B322"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23CFE32A"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w:t>
            </w:r>
          </w:p>
        </w:tc>
        <w:tc>
          <w:tcPr>
            <w:tcW w:w="1295" w:type="dxa"/>
            <w:vAlign w:val="center"/>
          </w:tcPr>
          <w:p w14:paraId="794A847E"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r>
      <w:tr w:rsidR="00970389" w:rsidRPr="00356F45" w14:paraId="3C05FD67" w14:textId="77777777" w:rsidTr="00DB1744">
        <w:trPr>
          <w:trHeight w:hRule="exact" w:val="284"/>
          <w:jc w:val="center"/>
        </w:trPr>
        <w:tc>
          <w:tcPr>
            <w:tcW w:w="4824" w:type="dxa"/>
            <w:vAlign w:val="center"/>
          </w:tcPr>
          <w:p w14:paraId="69AA4604" w14:textId="77777777" w:rsidR="00970389" w:rsidRPr="00356F45" w:rsidRDefault="00970389" w:rsidP="00682BC9">
            <w:pPr>
              <w:spacing w:line="259" w:lineRule="auto"/>
              <w:ind w:left="30"/>
              <w:rPr>
                <w:rFonts w:eastAsia="Aptos" w:cstheme="minorHAnsi"/>
                <w:i/>
                <w:sz w:val="16"/>
                <w:szCs w:val="16"/>
              </w:rPr>
            </w:pPr>
            <w:r w:rsidRPr="00356F45">
              <w:rPr>
                <w:rFonts w:eastAsia="Aptos" w:cstheme="minorHAnsi"/>
                <w:i/>
                <w:sz w:val="16"/>
                <w:szCs w:val="16"/>
              </w:rPr>
              <w:t xml:space="preserve">Escherichia coli </w:t>
            </w:r>
            <w:r w:rsidRPr="00356F45">
              <w:rPr>
                <w:rFonts w:eastAsia="Aptos" w:cstheme="minorHAnsi"/>
                <w:sz w:val="16"/>
                <w:szCs w:val="16"/>
              </w:rPr>
              <w:t>(count/100 ml)</w:t>
            </w:r>
          </w:p>
        </w:tc>
        <w:tc>
          <w:tcPr>
            <w:tcW w:w="889" w:type="dxa"/>
          </w:tcPr>
          <w:p w14:paraId="444D0016"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590936C4"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5186D0D3"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45B3AB80" w14:textId="77777777" w:rsidTr="00DB1744">
        <w:trPr>
          <w:trHeight w:hRule="exact" w:val="284"/>
          <w:jc w:val="center"/>
        </w:trPr>
        <w:tc>
          <w:tcPr>
            <w:tcW w:w="4824" w:type="dxa"/>
            <w:vAlign w:val="center"/>
          </w:tcPr>
          <w:p w14:paraId="4CD72E96" w14:textId="77777777" w:rsidR="00970389" w:rsidRPr="00356F45" w:rsidRDefault="00970389" w:rsidP="00682BC9">
            <w:pPr>
              <w:spacing w:line="259" w:lineRule="auto"/>
              <w:ind w:left="30"/>
              <w:rPr>
                <w:rFonts w:eastAsia="Aptos" w:cstheme="minorHAnsi"/>
                <w:i/>
                <w:sz w:val="16"/>
                <w:szCs w:val="16"/>
              </w:rPr>
            </w:pPr>
            <w:r w:rsidRPr="00356F45">
              <w:rPr>
                <w:rFonts w:eastAsia="Aptos" w:cstheme="minorHAnsi"/>
                <w:i/>
                <w:sz w:val="16"/>
                <w:szCs w:val="16"/>
              </w:rPr>
              <w:t xml:space="preserve">Pseudomonas aeruginosa </w:t>
            </w:r>
            <w:r w:rsidRPr="00356F45">
              <w:rPr>
                <w:rFonts w:eastAsia="Aptos" w:cstheme="minorHAnsi"/>
                <w:sz w:val="16"/>
                <w:szCs w:val="16"/>
              </w:rPr>
              <w:t>(count/100 ml)</w:t>
            </w:r>
          </w:p>
        </w:tc>
        <w:tc>
          <w:tcPr>
            <w:tcW w:w="889" w:type="dxa"/>
          </w:tcPr>
          <w:p w14:paraId="762305FB"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38A9780D"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586F6CF4" w14:textId="77777777" w:rsidR="00970389" w:rsidRPr="00356F45" w:rsidRDefault="00970389" w:rsidP="00682BC9">
            <w:pPr>
              <w:spacing w:line="259" w:lineRule="auto"/>
              <w:jc w:val="center"/>
              <w:rPr>
                <w:rFonts w:eastAsia="Aptos" w:cstheme="minorHAnsi"/>
                <w:b/>
                <w:bCs/>
                <w:sz w:val="16"/>
                <w:szCs w:val="16"/>
              </w:rPr>
            </w:pPr>
            <w:r w:rsidRPr="00356F45">
              <w:rPr>
                <w:rFonts w:eastAsia="Aptos" w:cstheme="minorHAnsi"/>
                <w:sz w:val="16"/>
                <w:szCs w:val="16"/>
              </w:rPr>
              <w:t>6/yr-12/yr</w:t>
            </w:r>
          </w:p>
        </w:tc>
      </w:tr>
      <w:tr w:rsidR="00970389" w:rsidRPr="00356F45" w14:paraId="284CEB9C" w14:textId="77777777" w:rsidTr="00DB1744">
        <w:trPr>
          <w:trHeight w:hRule="exact" w:val="284"/>
          <w:jc w:val="center"/>
        </w:trPr>
        <w:tc>
          <w:tcPr>
            <w:tcW w:w="4824" w:type="dxa"/>
            <w:shd w:val="clear" w:color="auto" w:fill="DEEAF6" w:themeFill="accent5" w:themeFillTint="33"/>
            <w:vAlign w:val="center"/>
          </w:tcPr>
          <w:p w14:paraId="18C725B1" w14:textId="77777777" w:rsidR="00970389" w:rsidRPr="00356F45" w:rsidRDefault="00970389" w:rsidP="00682BC9">
            <w:pPr>
              <w:spacing w:line="259" w:lineRule="auto"/>
              <w:rPr>
                <w:rFonts w:eastAsia="Aptos" w:cstheme="minorHAnsi"/>
                <w:sz w:val="16"/>
                <w:szCs w:val="16"/>
              </w:rPr>
            </w:pPr>
            <w:r w:rsidRPr="00356F45">
              <w:rPr>
                <w:rFonts w:eastAsia="Aptos" w:cstheme="minorHAnsi"/>
                <w:b/>
                <w:bCs/>
                <w:sz w:val="16"/>
                <w:szCs w:val="16"/>
              </w:rPr>
              <w:t>METALS</w:t>
            </w:r>
          </w:p>
        </w:tc>
        <w:tc>
          <w:tcPr>
            <w:tcW w:w="889" w:type="dxa"/>
            <w:shd w:val="clear" w:color="auto" w:fill="DEEAF6" w:themeFill="accent5" w:themeFillTint="33"/>
          </w:tcPr>
          <w:p w14:paraId="2AFDC920" w14:textId="77777777" w:rsidR="00970389" w:rsidRPr="00356F45" w:rsidRDefault="00970389" w:rsidP="00682BC9">
            <w:pPr>
              <w:spacing w:line="259" w:lineRule="auto"/>
              <w:jc w:val="center"/>
              <w:rPr>
                <w:rFonts w:eastAsia="Aptos" w:cstheme="minorHAnsi"/>
                <w:b/>
                <w:sz w:val="16"/>
                <w:szCs w:val="16"/>
              </w:rPr>
            </w:pPr>
          </w:p>
        </w:tc>
        <w:tc>
          <w:tcPr>
            <w:tcW w:w="1398" w:type="dxa"/>
            <w:shd w:val="clear" w:color="auto" w:fill="DEEAF6" w:themeFill="accent5" w:themeFillTint="33"/>
            <w:vAlign w:val="center"/>
          </w:tcPr>
          <w:p w14:paraId="65199196" w14:textId="77777777" w:rsidR="00970389" w:rsidRPr="00356F45" w:rsidRDefault="00970389" w:rsidP="00682BC9">
            <w:pPr>
              <w:spacing w:line="259" w:lineRule="auto"/>
              <w:jc w:val="center"/>
              <w:rPr>
                <w:rFonts w:eastAsia="Aptos" w:cstheme="minorHAnsi"/>
                <w:sz w:val="16"/>
                <w:szCs w:val="16"/>
              </w:rPr>
            </w:pPr>
          </w:p>
        </w:tc>
        <w:tc>
          <w:tcPr>
            <w:tcW w:w="1295" w:type="dxa"/>
            <w:shd w:val="clear" w:color="auto" w:fill="DEEAF6" w:themeFill="accent5" w:themeFillTint="33"/>
            <w:vAlign w:val="center"/>
          </w:tcPr>
          <w:p w14:paraId="20F313D7" w14:textId="77777777" w:rsidR="00970389" w:rsidRPr="00356F45" w:rsidRDefault="00970389" w:rsidP="00682BC9">
            <w:pPr>
              <w:spacing w:line="259" w:lineRule="auto"/>
              <w:jc w:val="center"/>
              <w:rPr>
                <w:rFonts w:eastAsia="Aptos" w:cstheme="minorHAnsi"/>
                <w:sz w:val="16"/>
                <w:szCs w:val="16"/>
              </w:rPr>
            </w:pPr>
          </w:p>
        </w:tc>
      </w:tr>
      <w:tr w:rsidR="00970389" w:rsidRPr="00356F45" w14:paraId="02D19FC7" w14:textId="77777777" w:rsidTr="00DB1744">
        <w:trPr>
          <w:trHeight w:hRule="exact" w:val="284"/>
          <w:jc w:val="center"/>
        </w:trPr>
        <w:tc>
          <w:tcPr>
            <w:tcW w:w="4824" w:type="dxa"/>
            <w:vAlign w:val="center"/>
          </w:tcPr>
          <w:p w14:paraId="29F7849C" w14:textId="77777777" w:rsidR="00970389" w:rsidRPr="00356F45" w:rsidRDefault="00970389" w:rsidP="00682BC9">
            <w:pPr>
              <w:spacing w:line="259" w:lineRule="auto"/>
              <w:ind w:left="30"/>
              <w:rPr>
                <w:rFonts w:eastAsia="Aptos" w:cstheme="minorHAnsi"/>
                <w:sz w:val="16"/>
                <w:szCs w:val="16"/>
              </w:rPr>
            </w:pPr>
            <w:r w:rsidRPr="00356F45">
              <w:rPr>
                <w:rStyle w:val="Strong"/>
                <w:rFonts w:cstheme="minorHAnsi"/>
                <w:b w:val="0"/>
                <w:bCs w:val="0"/>
                <w:sz w:val="16"/>
                <w:szCs w:val="16"/>
              </w:rPr>
              <w:t>Iron</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17A70C59"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7E91643B"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c>
          <w:tcPr>
            <w:tcW w:w="1295" w:type="dxa"/>
            <w:vAlign w:val="center"/>
          </w:tcPr>
          <w:p w14:paraId="2ABF2A97"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r>
      <w:tr w:rsidR="00970389" w:rsidRPr="00356F45" w14:paraId="07567858" w14:textId="77777777" w:rsidTr="00DB1744">
        <w:trPr>
          <w:trHeight w:hRule="exact" w:val="284"/>
          <w:jc w:val="center"/>
        </w:trPr>
        <w:tc>
          <w:tcPr>
            <w:tcW w:w="4824" w:type="dxa"/>
            <w:vAlign w:val="center"/>
          </w:tcPr>
          <w:p w14:paraId="3EEB3C42" w14:textId="77777777" w:rsidR="00970389" w:rsidRPr="00356F45" w:rsidRDefault="00970389" w:rsidP="00682BC9">
            <w:pPr>
              <w:spacing w:line="259" w:lineRule="auto"/>
              <w:ind w:left="30"/>
              <w:rPr>
                <w:rFonts w:eastAsia="Aptos" w:cstheme="minorHAnsi"/>
                <w:sz w:val="16"/>
                <w:szCs w:val="16"/>
              </w:rPr>
            </w:pPr>
            <w:r w:rsidRPr="00356F45">
              <w:rPr>
                <w:rStyle w:val="Strong"/>
                <w:rFonts w:cstheme="minorHAnsi"/>
                <w:b w:val="0"/>
                <w:bCs w:val="0"/>
                <w:sz w:val="16"/>
                <w:szCs w:val="16"/>
              </w:rPr>
              <w:t>Manganese</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617374D6"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255623D0"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c>
          <w:tcPr>
            <w:tcW w:w="1295" w:type="dxa"/>
            <w:vAlign w:val="center"/>
          </w:tcPr>
          <w:p w14:paraId="74A8B5E1"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r>
      <w:tr w:rsidR="00970389" w:rsidRPr="00356F45" w14:paraId="517A881B" w14:textId="77777777" w:rsidTr="00DB1744">
        <w:trPr>
          <w:trHeight w:hRule="exact" w:val="284"/>
          <w:jc w:val="center"/>
        </w:trPr>
        <w:tc>
          <w:tcPr>
            <w:tcW w:w="4824" w:type="dxa"/>
            <w:vAlign w:val="center"/>
          </w:tcPr>
          <w:p w14:paraId="1B538856" w14:textId="77777777" w:rsidR="00970389" w:rsidRPr="00356F45" w:rsidRDefault="00970389" w:rsidP="00682BC9">
            <w:pPr>
              <w:spacing w:line="259" w:lineRule="auto"/>
              <w:ind w:left="30"/>
              <w:rPr>
                <w:rFonts w:eastAsia="Aptos" w:cstheme="minorHAnsi"/>
                <w:sz w:val="16"/>
                <w:szCs w:val="16"/>
              </w:rPr>
            </w:pPr>
            <w:r w:rsidRPr="00356F45">
              <w:rPr>
                <w:rStyle w:val="Strong"/>
                <w:rFonts w:cstheme="minorHAnsi"/>
                <w:b w:val="0"/>
                <w:bCs w:val="0"/>
                <w:sz w:val="16"/>
                <w:szCs w:val="16"/>
              </w:rPr>
              <w:t>Copper</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6EA1FFD7"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57E0C893"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c>
          <w:tcPr>
            <w:tcW w:w="1295" w:type="dxa"/>
            <w:vAlign w:val="center"/>
          </w:tcPr>
          <w:p w14:paraId="657B97C7"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r>
      <w:tr w:rsidR="00970389" w:rsidRPr="00356F45" w14:paraId="6F556D43" w14:textId="77777777" w:rsidTr="00DB1744">
        <w:trPr>
          <w:trHeight w:hRule="exact" w:val="284"/>
          <w:jc w:val="center"/>
        </w:trPr>
        <w:tc>
          <w:tcPr>
            <w:tcW w:w="4824" w:type="dxa"/>
            <w:vAlign w:val="center"/>
          </w:tcPr>
          <w:p w14:paraId="64C45357" w14:textId="77777777" w:rsidR="00970389" w:rsidRPr="00356F45" w:rsidRDefault="00970389" w:rsidP="00682BC9">
            <w:pPr>
              <w:spacing w:line="259" w:lineRule="auto"/>
              <w:ind w:left="30"/>
              <w:rPr>
                <w:rFonts w:eastAsia="Aptos" w:cstheme="minorHAnsi"/>
                <w:sz w:val="16"/>
                <w:szCs w:val="16"/>
              </w:rPr>
            </w:pPr>
            <w:r w:rsidRPr="00356F45">
              <w:rPr>
                <w:rStyle w:val="Strong"/>
                <w:rFonts w:cstheme="minorHAnsi"/>
                <w:b w:val="0"/>
                <w:bCs w:val="0"/>
                <w:sz w:val="16"/>
                <w:szCs w:val="16"/>
              </w:rPr>
              <w:t>Zinc</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5ABE2125"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4B0A81E6"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6D263F40"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r>
      <w:tr w:rsidR="00970389" w:rsidRPr="00356F45" w14:paraId="27E2AA6F" w14:textId="77777777" w:rsidTr="00DB1744">
        <w:trPr>
          <w:trHeight w:hRule="exact" w:val="284"/>
          <w:jc w:val="center"/>
        </w:trPr>
        <w:tc>
          <w:tcPr>
            <w:tcW w:w="4824" w:type="dxa"/>
            <w:vAlign w:val="center"/>
          </w:tcPr>
          <w:p w14:paraId="3B4D9CA6" w14:textId="77777777" w:rsidR="00970389" w:rsidRPr="00356F45" w:rsidRDefault="00970389" w:rsidP="00682BC9">
            <w:pPr>
              <w:spacing w:line="259" w:lineRule="auto"/>
              <w:ind w:left="30"/>
              <w:rPr>
                <w:rFonts w:eastAsia="Aptos" w:cstheme="minorHAnsi"/>
                <w:sz w:val="16"/>
                <w:szCs w:val="16"/>
              </w:rPr>
            </w:pPr>
            <w:r w:rsidRPr="00356F45">
              <w:rPr>
                <w:rStyle w:val="Strong"/>
                <w:rFonts w:cstheme="minorHAnsi"/>
                <w:b w:val="0"/>
                <w:bCs w:val="0"/>
                <w:sz w:val="16"/>
                <w:szCs w:val="16"/>
              </w:rPr>
              <w:t>Chromium</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2B7F6924"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51F165F0"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c>
          <w:tcPr>
            <w:tcW w:w="1295" w:type="dxa"/>
            <w:vAlign w:val="center"/>
          </w:tcPr>
          <w:p w14:paraId="34E09C8D"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r>
      <w:tr w:rsidR="00970389" w:rsidRPr="00356F45" w14:paraId="13BA219C" w14:textId="77777777" w:rsidTr="00DB1744">
        <w:trPr>
          <w:trHeight w:hRule="exact" w:val="284"/>
          <w:jc w:val="center"/>
        </w:trPr>
        <w:tc>
          <w:tcPr>
            <w:tcW w:w="4824" w:type="dxa"/>
            <w:vAlign w:val="center"/>
          </w:tcPr>
          <w:p w14:paraId="3DB13CAA" w14:textId="77777777" w:rsidR="00970389" w:rsidRPr="00356F45" w:rsidRDefault="00970389" w:rsidP="00682BC9">
            <w:pPr>
              <w:spacing w:line="259" w:lineRule="auto"/>
              <w:ind w:left="30"/>
              <w:rPr>
                <w:rFonts w:eastAsia="Aptos" w:cstheme="minorHAnsi"/>
                <w:sz w:val="16"/>
                <w:szCs w:val="16"/>
              </w:rPr>
            </w:pPr>
            <w:r w:rsidRPr="00356F45">
              <w:rPr>
                <w:rStyle w:val="Strong"/>
                <w:rFonts w:cstheme="minorHAnsi"/>
                <w:b w:val="0"/>
                <w:bCs w:val="0"/>
                <w:sz w:val="16"/>
                <w:szCs w:val="16"/>
              </w:rPr>
              <w:t>Nickel</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53712584"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36B9180A"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c>
          <w:tcPr>
            <w:tcW w:w="1295" w:type="dxa"/>
            <w:vAlign w:val="center"/>
          </w:tcPr>
          <w:p w14:paraId="75DBFE5D"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r>
      <w:tr w:rsidR="00970389" w:rsidRPr="00356F45" w14:paraId="69557D0B" w14:textId="77777777" w:rsidTr="00DB1744">
        <w:trPr>
          <w:trHeight w:hRule="exact" w:val="284"/>
          <w:jc w:val="center"/>
        </w:trPr>
        <w:tc>
          <w:tcPr>
            <w:tcW w:w="4824" w:type="dxa"/>
            <w:vAlign w:val="center"/>
          </w:tcPr>
          <w:p w14:paraId="66A81FD5" w14:textId="77777777" w:rsidR="00970389" w:rsidRPr="00356F45" w:rsidRDefault="00970389" w:rsidP="00682BC9">
            <w:pPr>
              <w:spacing w:line="259" w:lineRule="auto"/>
              <w:ind w:left="30"/>
              <w:rPr>
                <w:rFonts w:eastAsia="Aptos" w:cstheme="minorHAnsi"/>
                <w:sz w:val="16"/>
                <w:szCs w:val="16"/>
              </w:rPr>
            </w:pPr>
            <w:r w:rsidRPr="00356F45">
              <w:rPr>
                <w:rStyle w:val="Strong"/>
                <w:rFonts w:cstheme="minorHAnsi"/>
                <w:b w:val="0"/>
                <w:bCs w:val="0"/>
                <w:sz w:val="16"/>
                <w:szCs w:val="16"/>
              </w:rPr>
              <w:t>Aluminium</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5ADA1721"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7BB62447"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c>
          <w:tcPr>
            <w:tcW w:w="1295" w:type="dxa"/>
            <w:vAlign w:val="center"/>
          </w:tcPr>
          <w:p w14:paraId="159AA916"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r>
      <w:tr w:rsidR="00970389" w:rsidRPr="00356F45" w14:paraId="1BC7D16A" w14:textId="77777777" w:rsidTr="00DB1744">
        <w:trPr>
          <w:trHeight w:hRule="exact" w:val="284"/>
          <w:jc w:val="center"/>
        </w:trPr>
        <w:tc>
          <w:tcPr>
            <w:tcW w:w="4824" w:type="dxa"/>
            <w:vAlign w:val="center"/>
          </w:tcPr>
          <w:p w14:paraId="0FAAF6DA" w14:textId="77777777" w:rsidR="00970389" w:rsidRPr="00356F45" w:rsidRDefault="00970389" w:rsidP="00682BC9">
            <w:pPr>
              <w:spacing w:line="259" w:lineRule="auto"/>
              <w:ind w:left="30"/>
              <w:rPr>
                <w:rFonts w:eastAsia="Aptos" w:cstheme="minorHAnsi"/>
                <w:sz w:val="16"/>
                <w:szCs w:val="16"/>
              </w:rPr>
            </w:pPr>
            <w:r w:rsidRPr="00356F45">
              <w:rPr>
                <w:rStyle w:val="Strong"/>
                <w:rFonts w:cstheme="minorHAnsi"/>
                <w:b w:val="0"/>
                <w:bCs w:val="0"/>
                <w:sz w:val="16"/>
                <w:szCs w:val="16"/>
              </w:rPr>
              <w:t>Barium</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2CCCB33B"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4404B474"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038B8DB3"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w:t>
            </w:r>
          </w:p>
        </w:tc>
      </w:tr>
      <w:tr w:rsidR="00970389" w:rsidRPr="00356F45" w14:paraId="481451F1" w14:textId="77777777" w:rsidTr="00DB1744">
        <w:trPr>
          <w:trHeight w:hRule="exact" w:val="284"/>
          <w:jc w:val="center"/>
        </w:trPr>
        <w:tc>
          <w:tcPr>
            <w:tcW w:w="4824" w:type="dxa"/>
            <w:vAlign w:val="center"/>
          </w:tcPr>
          <w:p w14:paraId="5BB98AA0" w14:textId="77777777" w:rsidR="00970389" w:rsidRPr="00356F45" w:rsidRDefault="00970389" w:rsidP="00682BC9">
            <w:pPr>
              <w:spacing w:line="259" w:lineRule="auto"/>
              <w:ind w:left="30"/>
              <w:rPr>
                <w:rFonts w:eastAsia="Aptos" w:cstheme="minorHAnsi"/>
                <w:sz w:val="16"/>
                <w:szCs w:val="16"/>
              </w:rPr>
            </w:pPr>
            <w:r w:rsidRPr="00356F45">
              <w:rPr>
                <w:rStyle w:val="Strong"/>
                <w:rFonts w:cstheme="minorHAnsi"/>
                <w:b w:val="0"/>
                <w:bCs w:val="0"/>
                <w:sz w:val="16"/>
                <w:szCs w:val="16"/>
              </w:rPr>
              <w:t>Beryllium</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78080206" w14:textId="77777777" w:rsidR="00970389" w:rsidRPr="00356F45" w:rsidRDefault="00970389" w:rsidP="00682BC9">
            <w:pPr>
              <w:jc w:val="center"/>
              <w:rPr>
                <w:rFonts w:eastAsia="Aptos" w:cstheme="minorHAnsi"/>
                <w:b/>
                <w:sz w:val="16"/>
                <w:szCs w:val="16"/>
              </w:rPr>
            </w:pPr>
          </w:p>
        </w:tc>
        <w:tc>
          <w:tcPr>
            <w:tcW w:w="1398" w:type="dxa"/>
            <w:vAlign w:val="center"/>
          </w:tcPr>
          <w:p w14:paraId="6642A194"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253D9F48"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r>
      <w:tr w:rsidR="00970389" w:rsidRPr="00356F45" w14:paraId="5BF5225E" w14:textId="77777777" w:rsidTr="00DB1744">
        <w:trPr>
          <w:trHeight w:hRule="exact" w:val="284"/>
          <w:jc w:val="center"/>
        </w:trPr>
        <w:tc>
          <w:tcPr>
            <w:tcW w:w="4824" w:type="dxa"/>
            <w:vAlign w:val="center"/>
          </w:tcPr>
          <w:p w14:paraId="4E985AA6" w14:textId="77777777" w:rsidR="00970389" w:rsidRPr="00356F45" w:rsidRDefault="00970389" w:rsidP="00682BC9">
            <w:pPr>
              <w:spacing w:line="259" w:lineRule="auto"/>
              <w:ind w:left="30"/>
              <w:rPr>
                <w:rStyle w:val="Strong"/>
                <w:rFonts w:cstheme="minorHAnsi"/>
                <w:sz w:val="16"/>
                <w:szCs w:val="16"/>
              </w:rPr>
            </w:pPr>
            <w:r w:rsidRPr="00356F45">
              <w:rPr>
                <w:rStyle w:val="Strong"/>
                <w:rFonts w:cstheme="minorHAnsi"/>
                <w:b w:val="0"/>
                <w:bCs w:val="0"/>
                <w:sz w:val="16"/>
                <w:szCs w:val="16"/>
              </w:rPr>
              <w:t>Vanadium</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45DA72D0" w14:textId="77777777" w:rsidR="00970389" w:rsidRPr="00356F45" w:rsidRDefault="00970389" w:rsidP="00682BC9">
            <w:pPr>
              <w:jc w:val="center"/>
              <w:rPr>
                <w:rFonts w:eastAsia="Aptos" w:cstheme="minorHAnsi"/>
                <w:b/>
                <w:sz w:val="16"/>
                <w:szCs w:val="16"/>
              </w:rPr>
            </w:pPr>
          </w:p>
        </w:tc>
        <w:tc>
          <w:tcPr>
            <w:tcW w:w="1398" w:type="dxa"/>
            <w:vAlign w:val="center"/>
          </w:tcPr>
          <w:p w14:paraId="68736D9A"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2F409732"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r>
      <w:tr w:rsidR="00970389" w:rsidRPr="00356F45" w14:paraId="33D0FAB4" w14:textId="77777777" w:rsidTr="00DB1744">
        <w:trPr>
          <w:trHeight w:hRule="exact" w:val="284"/>
          <w:jc w:val="center"/>
        </w:trPr>
        <w:tc>
          <w:tcPr>
            <w:tcW w:w="4824" w:type="dxa"/>
            <w:vAlign w:val="center"/>
          </w:tcPr>
          <w:p w14:paraId="66345BBE" w14:textId="77777777" w:rsidR="00970389" w:rsidRPr="00356F45" w:rsidRDefault="00970389" w:rsidP="00682BC9">
            <w:pPr>
              <w:spacing w:line="259" w:lineRule="auto"/>
              <w:ind w:left="30"/>
              <w:rPr>
                <w:rStyle w:val="Strong"/>
                <w:rFonts w:cstheme="minorHAnsi"/>
                <w:sz w:val="16"/>
                <w:szCs w:val="16"/>
              </w:rPr>
            </w:pPr>
            <w:r w:rsidRPr="00356F45">
              <w:rPr>
                <w:rStyle w:val="Strong"/>
                <w:rFonts w:cstheme="minorHAnsi"/>
                <w:b w:val="0"/>
                <w:bCs w:val="0"/>
                <w:sz w:val="16"/>
                <w:szCs w:val="16"/>
              </w:rPr>
              <w:t>Antimony</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01B081F0"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6B75759A"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142D959A"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r>
      <w:tr w:rsidR="00970389" w:rsidRPr="00356F45" w14:paraId="1598A00E" w14:textId="77777777" w:rsidTr="00DB1744">
        <w:trPr>
          <w:trHeight w:hRule="exact" w:val="284"/>
          <w:jc w:val="center"/>
        </w:trPr>
        <w:tc>
          <w:tcPr>
            <w:tcW w:w="4824" w:type="dxa"/>
            <w:vAlign w:val="center"/>
          </w:tcPr>
          <w:p w14:paraId="732EA959" w14:textId="77777777" w:rsidR="00970389" w:rsidRPr="00356F45" w:rsidRDefault="00970389" w:rsidP="00682BC9">
            <w:pPr>
              <w:spacing w:line="259" w:lineRule="auto"/>
              <w:ind w:left="30"/>
              <w:rPr>
                <w:rStyle w:val="Strong"/>
                <w:rFonts w:cstheme="minorHAnsi"/>
                <w:sz w:val="16"/>
                <w:szCs w:val="16"/>
              </w:rPr>
            </w:pPr>
            <w:r w:rsidRPr="00356F45">
              <w:rPr>
                <w:rStyle w:val="Strong"/>
                <w:rFonts w:cstheme="minorHAnsi"/>
                <w:b w:val="0"/>
                <w:bCs w:val="0"/>
                <w:sz w:val="16"/>
                <w:szCs w:val="16"/>
              </w:rPr>
              <w:t>Boron</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6023B2FE"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54969742"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3035A8C7"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r>
      <w:tr w:rsidR="00970389" w:rsidRPr="00356F45" w14:paraId="4611A58E" w14:textId="77777777" w:rsidTr="00DB1744">
        <w:trPr>
          <w:trHeight w:hRule="exact" w:val="284"/>
          <w:jc w:val="center"/>
        </w:trPr>
        <w:tc>
          <w:tcPr>
            <w:tcW w:w="4824" w:type="dxa"/>
            <w:vAlign w:val="center"/>
          </w:tcPr>
          <w:p w14:paraId="1B40F0AF" w14:textId="77777777" w:rsidR="00970389" w:rsidRPr="00356F45" w:rsidRDefault="00970389" w:rsidP="00682BC9">
            <w:pPr>
              <w:spacing w:line="259" w:lineRule="auto"/>
              <w:ind w:left="30"/>
              <w:rPr>
                <w:rStyle w:val="Strong"/>
                <w:rFonts w:cstheme="minorHAnsi"/>
                <w:sz w:val="16"/>
                <w:szCs w:val="16"/>
              </w:rPr>
            </w:pPr>
            <w:r w:rsidRPr="00356F45">
              <w:rPr>
                <w:rStyle w:val="Strong"/>
                <w:rFonts w:cstheme="minorHAnsi"/>
                <w:b w:val="0"/>
                <w:bCs w:val="0"/>
                <w:sz w:val="16"/>
                <w:szCs w:val="16"/>
              </w:rPr>
              <w:t>Selenium</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255E3AE0"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2B0559ED"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07579592"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r>
      <w:tr w:rsidR="00970389" w:rsidRPr="00356F45" w14:paraId="63B04522" w14:textId="77777777" w:rsidTr="00DB1744">
        <w:trPr>
          <w:trHeight w:hRule="exact" w:val="284"/>
          <w:jc w:val="center"/>
        </w:trPr>
        <w:tc>
          <w:tcPr>
            <w:tcW w:w="4824" w:type="dxa"/>
            <w:vAlign w:val="center"/>
          </w:tcPr>
          <w:p w14:paraId="2E09162C" w14:textId="77777777" w:rsidR="00970389" w:rsidRPr="00356F45" w:rsidRDefault="00970389" w:rsidP="00682BC9">
            <w:pPr>
              <w:spacing w:line="259" w:lineRule="auto"/>
              <w:ind w:left="30"/>
              <w:rPr>
                <w:rStyle w:val="Strong"/>
                <w:rFonts w:cstheme="minorHAnsi"/>
                <w:sz w:val="16"/>
                <w:szCs w:val="16"/>
              </w:rPr>
            </w:pPr>
            <w:r w:rsidRPr="00356F45">
              <w:rPr>
                <w:rStyle w:val="Strong"/>
                <w:rFonts w:cstheme="minorHAnsi"/>
                <w:b w:val="0"/>
                <w:bCs w:val="0"/>
                <w:sz w:val="16"/>
                <w:szCs w:val="16"/>
              </w:rPr>
              <w:t>Cobalt</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Pr>
          <w:p w14:paraId="2DA46ACE"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17A22BFE"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437E69DE"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5C207C90" w14:textId="77777777" w:rsidTr="00DB1744">
        <w:trPr>
          <w:trHeight w:hRule="exact" w:val="284"/>
          <w:jc w:val="center"/>
        </w:trPr>
        <w:tc>
          <w:tcPr>
            <w:tcW w:w="4824" w:type="dxa"/>
            <w:tcBorders>
              <w:bottom w:val="double" w:sz="2" w:space="0" w:color="auto"/>
            </w:tcBorders>
            <w:vAlign w:val="center"/>
          </w:tcPr>
          <w:p w14:paraId="7C59213C" w14:textId="77777777" w:rsidR="00970389" w:rsidRPr="00356F45" w:rsidRDefault="00970389" w:rsidP="00682BC9">
            <w:pPr>
              <w:spacing w:line="259" w:lineRule="auto"/>
              <w:ind w:left="30"/>
              <w:rPr>
                <w:rStyle w:val="Strong"/>
                <w:rFonts w:cstheme="minorHAnsi"/>
                <w:sz w:val="16"/>
                <w:szCs w:val="16"/>
              </w:rPr>
            </w:pPr>
            <w:r w:rsidRPr="00356F45">
              <w:rPr>
                <w:rStyle w:val="Strong"/>
                <w:rFonts w:cstheme="minorHAnsi"/>
                <w:b w:val="0"/>
                <w:bCs w:val="0"/>
                <w:sz w:val="16"/>
                <w:szCs w:val="16"/>
              </w:rPr>
              <w:t>Silver</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Borders>
              <w:bottom w:val="double" w:sz="2" w:space="0" w:color="auto"/>
            </w:tcBorders>
          </w:tcPr>
          <w:p w14:paraId="025CEC9E"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tcBorders>
              <w:bottom w:val="double" w:sz="2" w:space="0" w:color="auto"/>
            </w:tcBorders>
            <w:vAlign w:val="center"/>
          </w:tcPr>
          <w:p w14:paraId="41EE1994"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tcBorders>
              <w:bottom w:val="double" w:sz="2" w:space="0" w:color="auto"/>
            </w:tcBorders>
            <w:vAlign w:val="center"/>
          </w:tcPr>
          <w:p w14:paraId="665814BD"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79522F70" w14:textId="77777777" w:rsidTr="00DB1744">
        <w:trPr>
          <w:trHeight w:hRule="exact" w:val="284"/>
          <w:jc w:val="center"/>
        </w:trPr>
        <w:tc>
          <w:tcPr>
            <w:tcW w:w="4824" w:type="dxa"/>
            <w:tcBorders>
              <w:top w:val="double" w:sz="2" w:space="0" w:color="auto"/>
              <w:left w:val="double" w:sz="2" w:space="0" w:color="auto"/>
              <w:bottom w:val="double" w:sz="2" w:space="0" w:color="auto"/>
            </w:tcBorders>
            <w:vAlign w:val="center"/>
          </w:tcPr>
          <w:p w14:paraId="65577B59" w14:textId="77777777" w:rsidR="00970389" w:rsidRPr="00356F45" w:rsidRDefault="00970389" w:rsidP="00682BC9">
            <w:pPr>
              <w:spacing w:line="259" w:lineRule="auto"/>
              <w:ind w:left="30"/>
              <w:rPr>
                <w:rStyle w:val="Strong"/>
                <w:rFonts w:cstheme="minorHAnsi"/>
                <w:sz w:val="16"/>
                <w:szCs w:val="16"/>
              </w:rPr>
            </w:pPr>
            <w:r w:rsidRPr="00356F45">
              <w:rPr>
                <w:rStyle w:val="Strong"/>
                <w:rFonts w:cstheme="minorHAnsi"/>
                <w:b w:val="0"/>
                <w:bCs w:val="0"/>
                <w:sz w:val="16"/>
                <w:szCs w:val="16"/>
              </w:rPr>
              <w:t>Uranium</w:t>
            </w:r>
            <w:r w:rsidRPr="00356F45">
              <w:rPr>
                <w:rStyle w:val="Strong"/>
                <w:rFonts w:cstheme="minorHAnsi"/>
                <w:sz w:val="16"/>
                <w:szCs w:val="16"/>
              </w:rPr>
              <w:t xml:space="preserve"> </w:t>
            </w:r>
            <w:r w:rsidRPr="00356F45">
              <w:rPr>
                <w:rFonts w:eastAsia="Aptos" w:cstheme="minorHAnsi"/>
                <w:sz w:val="16"/>
                <w:szCs w:val="16"/>
              </w:rPr>
              <w:t>(</w:t>
            </w:r>
            <w:proofErr w:type="spellStart"/>
            <w:r w:rsidRPr="00356F45">
              <w:rPr>
                <w:rFonts w:eastAsia="Aptos" w:cstheme="minorHAnsi"/>
                <w:sz w:val="16"/>
                <w:szCs w:val="16"/>
              </w:rPr>
              <w:t>μg</w:t>
            </w:r>
            <w:proofErr w:type="spellEnd"/>
            <w:r w:rsidRPr="00356F45">
              <w:rPr>
                <w:rFonts w:eastAsia="Aptos" w:cstheme="minorHAnsi"/>
                <w:sz w:val="16"/>
                <w:szCs w:val="16"/>
              </w:rPr>
              <w:t>/l)</w:t>
            </w:r>
          </w:p>
        </w:tc>
        <w:tc>
          <w:tcPr>
            <w:tcW w:w="889" w:type="dxa"/>
            <w:tcBorders>
              <w:top w:val="double" w:sz="2" w:space="0" w:color="auto"/>
              <w:bottom w:val="double" w:sz="2" w:space="0" w:color="auto"/>
            </w:tcBorders>
          </w:tcPr>
          <w:p w14:paraId="6823F9C5" w14:textId="77777777" w:rsidR="00970389" w:rsidRPr="00356F45" w:rsidRDefault="00970389" w:rsidP="00682BC9">
            <w:pPr>
              <w:spacing w:line="259" w:lineRule="auto"/>
              <w:jc w:val="center"/>
              <w:rPr>
                <w:rFonts w:eastAsia="Aptos" w:cstheme="minorHAnsi"/>
                <w:b/>
                <w:sz w:val="16"/>
                <w:szCs w:val="16"/>
              </w:rPr>
            </w:pPr>
            <w:r w:rsidRPr="00356F45">
              <w:rPr>
                <w:rFonts w:eastAsia="Aptos" w:cstheme="minorHAnsi"/>
                <w:b/>
                <w:sz w:val="16"/>
                <w:szCs w:val="16"/>
              </w:rPr>
              <w:t>+</w:t>
            </w:r>
          </w:p>
        </w:tc>
        <w:tc>
          <w:tcPr>
            <w:tcW w:w="1398" w:type="dxa"/>
            <w:tcBorders>
              <w:top w:val="double" w:sz="2" w:space="0" w:color="auto"/>
              <w:bottom w:val="double" w:sz="2" w:space="0" w:color="auto"/>
            </w:tcBorders>
            <w:vAlign w:val="center"/>
          </w:tcPr>
          <w:p w14:paraId="4731DEBF"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tcBorders>
              <w:top w:val="double" w:sz="2" w:space="0" w:color="auto"/>
              <w:bottom w:val="double" w:sz="2" w:space="0" w:color="auto"/>
              <w:right w:val="double" w:sz="2" w:space="0" w:color="auto"/>
            </w:tcBorders>
            <w:vAlign w:val="center"/>
          </w:tcPr>
          <w:p w14:paraId="5F3B199B"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4/yr-12/yr</w:t>
            </w:r>
          </w:p>
        </w:tc>
      </w:tr>
      <w:tr w:rsidR="00970389" w:rsidRPr="00356F45" w14:paraId="6A9E89BB" w14:textId="77777777" w:rsidTr="00DB1744">
        <w:trPr>
          <w:trHeight w:hRule="exact" w:val="284"/>
          <w:jc w:val="center"/>
        </w:trPr>
        <w:tc>
          <w:tcPr>
            <w:tcW w:w="4824" w:type="dxa"/>
            <w:tcBorders>
              <w:top w:val="double" w:sz="2" w:space="0" w:color="auto"/>
            </w:tcBorders>
            <w:shd w:val="clear" w:color="auto" w:fill="DEEAF6" w:themeFill="accent5" w:themeFillTint="33"/>
            <w:vAlign w:val="center"/>
          </w:tcPr>
          <w:p w14:paraId="60F2DD9D" w14:textId="77777777" w:rsidR="00970389" w:rsidRPr="00356F45" w:rsidRDefault="00970389" w:rsidP="00682BC9">
            <w:pPr>
              <w:spacing w:line="259" w:lineRule="auto"/>
              <w:ind w:left="30"/>
              <w:rPr>
                <w:rStyle w:val="Strong"/>
                <w:rFonts w:cstheme="minorHAnsi"/>
                <w:sz w:val="16"/>
                <w:szCs w:val="16"/>
              </w:rPr>
            </w:pPr>
            <w:r w:rsidRPr="00356F45">
              <w:rPr>
                <w:rStyle w:val="Strong"/>
                <w:rFonts w:cstheme="minorHAnsi"/>
                <w:sz w:val="16"/>
                <w:szCs w:val="16"/>
              </w:rPr>
              <w:t>PHARMACEUTICAL COMPOUNDS</w:t>
            </w:r>
          </w:p>
        </w:tc>
        <w:tc>
          <w:tcPr>
            <w:tcW w:w="889" w:type="dxa"/>
            <w:tcBorders>
              <w:top w:val="double" w:sz="2" w:space="0" w:color="auto"/>
            </w:tcBorders>
            <w:shd w:val="clear" w:color="auto" w:fill="DEEAF6" w:themeFill="accent5" w:themeFillTint="33"/>
          </w:tcPr>
          <w:p w14:paraId="602CA8AC" w14:textId="77777777" w:rsidR="00970389" w:rsidRPr="00356F45" w:rsidRDefault="00970389" w:rsidP="00682BC9">
            <w:pPr>
              <w:spacing w:line="259" w:lineRule="auto"/>
              <w:jc w:val="center"/>
              <w:rPr>
                <w:rFonts w:eastAsia="Aptos" w:cstheme="minorHAnsi"/>
                <w:b/>
                <w:sz w:val="16"/>
                <w:szCs w:val="16"/>
              </w:rPr>
            </w:pPr>
          </w:p>
        </w:tc>
        <w:tc>
          <w:tcPr>
            <w:tcW w:w="1398" w:type="dxa"/>
            <w:tcBorders>
              <w:top w:val="double" w:sz="2" w:space="0" w:color="auto"/>
            </w:tcBorders>
            <w:shd w:val="clear" w:color="auto" w:fill="DEEAF6" w:themeFill="accent5" w:themeFillTint="33"/>
            <w:vAlign w:val="center"/>
          </w:tcPr>
          <w:p w14:paraId="2C4FCA1E" w14:textId="77777777" w:rsidR="00970389" w:rsidRPr="00356F45" w:rsidRDefault="00970389" w:rsidP="00682BC9">
            <w:pPr>
              <w:spacing w:line="259" w:lineRule="auto"/>
              <w:jc w:val="center"/>
              <w:rPr>
                <w:rFonts w:eastAsia="Aptos" w:cstheme="minorHAnsi"/>
                <w:sz w:val="16"/>
                <w:szCs w:val="16"/>
              </w:rPr>
            </w:pPr>
          </w:p>
        </w:tc>
        <w:tc>
          <w:tcPr>
            <w:tcW w:w="1295" w:type="dxa"/>
            <w:tcBorders>
              <w:top w:val="double" w:sz="2" w:space="0" w:color="auto"/>
            </w:tcBorders>
            <w:shd w:val="clear" w:color="auto" w:fill="DEEAF6" w:themeFill="accent5" w:themeFillTint="33"/>
            <w:vAlign w:val="center"/>
          </w:tcPr>
          <w:p w14:paraId="0C09AF80" w14:textId="77777777" w:rsidR="00970389" w:rsidRPr="00356F45" w:rsidRDefault="00970389" w:rsidP="00682BC9">
            <w:pPr>
              <w:spacing w:line="259" w:lineRule="auto"/>
              <w:jc w:val="center"/>
              <w:rPr>
                <w:rFonts w:eastAsia="Aptos" w:cstheme="minorHAnsi"/>
                <w:sz w:val="16"/>
                <w:szCs w:val="16"/>
              </w:rPr>
            </w:pPr>
          </w:p>
        </w:tc>
      </w:tr>
      <w:tr w:rsidR="00970389" w:rsidRPr="00356F45" w14:paraId="4288548A" w14:textId="77777777" w:rsidTr="00DB1744">
        <w:trPr>
          <w:trHeight w:hRule="exact" w:val="284"/>
          <w:jc w:val="center"/>
        </w:trPr>
        <w:tc>
          <w:tcPr>
            <w:tcW w:w="4824" w:type="dxa"/>
            <w:vAlign w:val="center"/>
          </w:tcPr>
          <w:p w14:paraId="5F16A8AB" w14:textId="77777777" w:rsidR="00970389" w:rsidRPr="00356F45" w:rsidRDefault="00970389"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t>Erythromycin</w:t>
            </w:r>
            <w:r w:rsidRPr="00356F45">
              <w:rPr>
                <w:rStyle w:val="Strong"/>
                <w:rFonts w:cstheme="minorHAnsi"/>
                <w:sz w:val="16"/>
                <w:szCs w:val="16"/>
              </w:rPr>
              <w:t xml:space="preserve">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Pr>
          <w:p w14:paraId="03518AE1" w14:textId="77777777" w:rsidR="00970389" w:rsidRPr="00356F45" w:rsidRDefault="00970389" w:rsidP="00682BC9">
            <w:pPr>
              <w:jc w:val="center"/>
              <w:rPr>
                <w:rFonts w:eastAsia="Aptos" w:cstheme="minorHAnsi"/>
                <w:b/>
                <w:sz w:val="16"/>
                <w:szCs w:val="16"/>
              </w:rPr>
            </w:pPr>
          </w:p>
        </w:tc>
        <w:tc>
          <w:tcPr>
            <w:tcW w:w="1398" w:type="dxa"/>
            <w:vAlign w:val="center"/>
          </w:tcPr>
          <w:p w14:paraId="6A499CA6"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250B6E04"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r>
      <w:tr w:rsidR="00970389" w:rsidRPr="00356F45" w14:paraId="6BBE96B9" w14:textId="77777777" w:rsidTr="00DB1744">
        <w:trPr>
          <w:trHeight w:hRule="exact" w:val="284"/>
          <w:jc w:val="center"/>
        </w:trPr>
        <w:tc>
          <w:tcPr>
            <w:tcW w:w="4824" w:type="dxa"/>
            <w:vAlign w:val="center"/>
          </w:tcPr>
          <w:p w14:paraId="031FF7BF" w14:textId="77777777" w:rsidR="00970389" w:rsidRPr="00356F45" w:rsidRDefault="00970389"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t>Azithromycin</w:t>
            </w:r>
            <w:r w:rsidRPr="00356F45">
              <w:rPr>
                <w:rStyle w:val="Strong"/>
                <w:rFonts w:cstheme="minorHAnsi"/>
                <w:sz w:val="16"/>
                <w:szCs w:val="16"/>
              </w:rPr>
              <w:t xml:space="preserve">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Pr>
          <w:p w14:paraId="7C70040B" w14:textId="77777777" w:rsidR="00970389" w:rsidRPr="00356F45" w:rsidRDefault="00970389" w:rsidP="00682BC9">
            <w:pPr>
              <w:jc w:val="center"/>
              <w:rPr>
                <w:rFonts w:eastAsia="Aptos" w:cstheme="minorHAnsi"/>
                <w:b/>
                <w:sz w:val="16"/>
                <w:szCs w:val="16"/>
              </w:rPr>
            </w:pPr>
          </w:p>
        </w:tc>
        <w:tc>
          <w:tcPr>
            <w:tcW w:w="1398" w:type="dxa"/>
            <w:vAlign w:val="center"/>
          </w:tcPr>
          <w:p w14:paraId="705819E6"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7EE67FB7"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45B736CB" w14:textId="77777777" w:rsidTr="00DB1744">
        <w:trPr>
          <w:trHeight w:hRule="exact" w:val="284"/>
          <w:jc w:val="center"/>
        </w:trPr>
        <w:tc>
          <w:tcPr>
            <w:tcW w:w="4824" w:type="dxa"/>
            <w:vAlign w:val="center"/>
          </w:tcPr>
          <w:p w14:paraId="09A9322B" w14:textId="77777777" w:rsidR="00970389" w:rsidRPr="00356F45" w:rsidRDefault="00970389"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t>Sulfamethoxazole</w:t>
            </w:r>
            <w:r w:rsidRPr="00356F45">
              <w:rPr>
                <w:rStyle w:val="Strong"/>
                <w:rFonts w:cstheme="minorHAnsi"/>
                <w:sz w:val="16"/>
                <w:szCs w:val="16"/>
              </w:rPr>
              <w:t xml:space="preserve">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r w:rsidRPr="00356F45">
              <w:rPr>
                <w:rStyle w:val="Strong"/>
                <w:rFonts w:cstheme="minorHAnsi"/>
                <w:sz w:val="16"/>
                <w:szCs w:val="16"/>
              </w:rPr>
              <w:t xml:space="preserve"> </w:t>
            </w:r>
          </w:p>
        </w:tc>
        <w:tc>
          <w:tcPr>
            <w:tcW w:w="889" w:type="dxa"/>
          </w:tcPr>
          <w:p w14:paraId="3AF651F2" w14:textId="77777777" w:rsidR="00970389" w:rsidRPr="00356F45" w:rsidRDefault="00970389" w:rsidP="00682BC9">
            <w:pPr>
              <w:jc w:val="center"/>
              <w:rPr>
                <w:rFonts w:eastAsia="Aptos" w:cstheme="minorHAnsi"/>
                <w:b/>
                <w:sz w:val="16"/>
                <w:szCs w:val="16"/>
              </w:rPr>
            </w:pPr>
          </w:p>
        </w:tc>
        <w:tc>
          <w:tcPr>
            <w:tcW w:w="1398" w:type="dxa"/>
            <w:vAlign w:val="center"/>
          </w:tcPr>
          <w:p w14:paraId="16B27ED8"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58B8D459"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r>
      <w:tr w:rsidR="00970389" w:rsidRPr="00356F45" w14:paraId="7A2AB776" w14:textId="77777777" w:rsidTr="00DB1744">
        <w:trPr>
          <w:trHeight w:hRule="exact" w:val="284"/>
          <w:jc w:val="center"/>
        </w:trPr>
        <w:tc>
          <w:tcPr>
            <w:tcW w:w="4824" w:type="dxa"/>
            <w:vAlign w:val="center"/>
          </w:tcPr>
          <w:p w14:paraId="20BDE922" w14:textId="1DC98E7F" w:rsidR="00970389" w:rsidRPr="00356F45" w:rsidRDefault="00356F45"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lastRenderedPageBreak/>
              <w:t>Torsemide</w:t>
            </w:r>
            <w:r w:rsidR="00970389" w:rsidRPr="00356F45">
              <w:rPr>
                <w:rStyle w:val="Strong"/>
                <w:rFonts w:cstheme="minorHAnsi"/>
                <w:sz w:val="16"/>
                <w:szCs w:val="16"/>
              </w:rPr>
              <w:t xml:space="preserve"> </w:t>
            </w:r>
            <w:r w:rsidR="00970389" w:rsidRPr="00356F45">
              <w:rPr>
                <w:rFonts w:eastAsia="Aptos" w:cstheme="minorHAnsi"/>
                <w:bCs/>
                <w:sz w:val="16"/>
                <w:szCs w:val="16"/>
              </w:rPr>
              <w:t>(</w:t>
            </w:r>
            <w:proofErr w:type="spellStart"/>
            <w:r w:rsidR="00970389" w:rsidRPr="00356F45">
              <w:rPr>
                <w:rFonts w:eastAsia="Aptos" w:cstheme="minorHAnsi"/>
                <w:bCs/>
                <w:sz w:val="16"/>
                <w:szCs w:val="16"/>
              </w:rPr>
              <w:t>μg</w:t>
            </w:r>
            <w:proofErr w:type="spellEnd"/>
            <w:r w:rsidR="00970389" w:rsidRPr="00356F45">
              <w:rPr>
                <w:rFonts w:eastAsia="Aptos" w:cstheme="minorHAnsi"/>
                <w:bCs/>
                <w:sz w:val="16"/>
                <w:szCs w:val="16"/>
              </w:rPr>
              <w:t>/l)</w:t>
            </w:r>
          </w:p>
        </w:tc>
        <w:tc>
          <w:tcPr>
            <w:tcW w:w="889" w:type="dxa"/>
          </w:tcPr>
          <w:p w14:paraId="30A57998" w14:textId="77777777" w:rsidR="00970389" w:rsidRPr="00356F45" w:rsidRDefault="00970389" w:rsidP="00682BC9">
            <w:pPr>
              <w:jc w:val="center"/>
              <w:rPr>
                <w:rFonts w:eastAsia="Aptos" w:cstheme="minorHAnsi"/>
                <w:b/>
                <w:sz w:val="16"/>
                <w:szCs w:val="16"/>
              </w:rPr>
            </w:pPr>
          </w:p>
        </w:tc>
        <w:tc>
          <w:tcPr>
            <w:tcW w:w="1398" w:type="dxa"/>
            <w:vAlign w:val="center"/>
          </w:tcPr>
          <w:p w14:paraId="5736978E"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64610C88"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r>
      <w:tr w:rsidR="00970389" w:rsidRPr="00356F45" w14:paraId="2572AE7D" w14:textId="77777777" w:rsidTr="00DB1744">
        <w:trPr>
          <w:trHeight w:hRule="exact" w:val="284"/>
          <w:jc w:val="center"/>
        </w:trPr>
        <w:tc>
          <w:tcPr>
            <w:tcW w:w="4824" w:type="dxa"/>
            <w:vAlign w:val="center"/>
          </w:tcPr>
          <w:p w14:paraId="53CD25F3" w14:textId="77777777" w:rsidR="00970389" w:rsidRPr="00356F45" w:rsidRDefault="00970389"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t>Azithromycin N-</w:t>
            </w:r>
            <w:proofErr w:type="spellStart"/>
            <w:r w:rsidRPr="00356F45">
              <w:rPr>
                <w:rStyle w:val="Strong"/>
                <w:rFonts w:cstheme="minorHAnsi"/>
                <w:b w:val="0"/>
                <w:bCs w:val="0"/>
                <w:sz w:val="16"/>
                <w:szCs w:val="16"/>
              </w:rPr>
              <w:t>desmethylazithromycin</w:t>
            </w:r>
            <w:proofErr w:type="spellEnd"/>
            <w:r w:rsidRPr="00356F45">
              <w:rPr>
                <w:rStyle w:val="Strong"/>
                <w:rFonts w:cstheme="minorHAnsi"/>
                <w:sz w:val="16"/>
                <w:szCs w:val="16"/>
              </w:rPr>
              <w:t xml:space="preserve">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Pr>
          <w:p w14:paraId="0035AD54" w14:textId="77777777" w:rsidR="00970389" w:rsidRPr="00356F45" w:rsidRDefault="00970389" w:rsidP="00682BC9">
            <w:pPr>
              <w:jc w:val="center"/>
              <w:rPr>
                <w:rFonts w:eastAsia="Aptos" w:cstheme="minorHAnsi"/>
                <w:b/>
                <w:sz w:val="16"/>
                <w:szCs w:val="16"/>
              </w:rPr>
            </w:pPr>
          </w:p>
        </w:tc>
        <w:tc>
          <w:tcPr>
            <w:tcW w:w="1398" w:type="dxa"/>
            <w:vAlign w:val="center"/>
          </w:tcPr>
          <w:p w14:paraId="26471F06"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117DE2CE"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r>
      <w:tr w:rsidR="00970389" w:rsidRPr="00356F45" w14:paraId="6105CF5A" w14:textId="77777777" w:rsidTr="00DB1744">
        <w:trPr>
          <w:trHeight w:hRule="exact" w:val="284"/>
          <w:jc w:val="center"/>
        </w:trPr>
        <w:tc>
          <w:tcPr>
            <w:tcW w:w="4824" w:type="dxa"/>
            <w:vAlign w:val="center"/>
          </w:tcPr>
          <w:p w14:paraId="3B9CA6FC" w14:textId="77777777" w:rsidR="00970389" w:rsidRPr="00356F45" w:rsidRDefault="00970389"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t>Memantine</w:t>
            </w:r>
            <w:r w:rsidRPr="00356F45">
              <w:rPr>
                <w:rStyle w:val="Strong"/>
                <w:rFonts w:cstheme="minorHAnsi"/>
                <w:sz w:val="16"/>
                <w:szCs w:val="16"/>
              </w:rPr>
              <w:t xml:space="preserve">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Pr>
          <w:p w14:paraId="03BEE685" w14:textId="77777777" w:rsidR="00970389" w:rsidRPr="00356F45" w:rsidRDefault="00970389" w:rsidP="00682BC9">
            <w:pPr>
              <w:jc w:val="center"/>
              <w:rPr>
                <w:rFonts w:eastAsia="Aptos" w:cstheme="minorHAnsi"/>
                <w:b/>
                <w:sz w:val="16"/>
                <w:szCs w:val="16"/>
              </w:rPr>
            </w:pPr>
          </w:p>
        </w:tc>
        <w:tc>
          <w:tcPr>
            <w:tcW w:w="1398" w:type="dxa"/>
            <w:vAlign w:val="center"/>
          </w:tcPr>
          <w:p w14:paraId="4D9E2F0B"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487F91B6"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r>
      <w:tr w:rsidR="00970389" w:rsidRPr="00356F45" w14:paraId="028CFCD5" w14:textId="77777777" w:rsidTr="00DB1744">
        <w:trPr>
          <w:trHeight w:hRule="exact" w:val="284"/>
          <w:jc w:val="center"/>
        </w:trPr>
        <w:tc>
          <w:tcPr>
            <w:tcW w:w="4824" w:type="dxa"/>
            <w:vAlign w:val="center"/>
          </w:tcPr>
          <w:p w14:paraId="36F0A08A" w14:textId="77777777" w:rsidR="00970389" w:rsidRPr="00356F45" w:rsidRDefault="00970389"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t>Warfarin</w:t>
            </w:r>
            <w:r w:rsidRPr="00356F45">
              <w:rPr>
                <w:rStyle w:val="Strong"/>
                <w:rFonts w:cstheme="minorHAnsi"/>
                <w:sz w:val="16"/>
                <w:szCs w:val="16"/>
              </w:rPr>
              <w:t xml:space="preserve">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Pr>
          <w:p w14:paraId="484B96BD" w14:textId="77777777" w:rsidR="00970389" w:rsidRPr="00356F45" w:rsidRDefault="00970389" w:rsidP="00682BC9">
            <w:pPr>
              <w:jc w:val="center"/>
              <w:rPr>
                <w:rFonts w:eastAsia="Aptos" w:cstheme="minorHAnsi"/>
                <w:b/>
                <w:sz w:val="16"/>
                <w:szCs w:val="16"/>
              </w:rPr>
            </w:pPr>
          </w:p>
        </w:tc>
        <w:tc>
          <w:tcPr>
            <w:tcW w:w="1398" w:type="dxa"/>
            <w:vAlign w:val="center"/>
          </w:tcPr>
          <w:p w14:paraId="16E2AAE0"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10C22187"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r>
      <w:tr w:rsidR="00970389" w:rsidRPr="00356F45" w14:paraId="112B70D9" w14:textId="77777777" w:rsidTr="00DB1744">
        <w:trPr>
          <w:trHeight w:hRule="exact" w:val="284"/>
          <w:jc w:val="center"/>
        </w:trPr>
        <w:tc>
          <w:tcPr>
            <w:tcW w:w="4824" w:type="dxa"/>
            <w:vAlign w:val="center"/>
          </w:tcPr>
          <w:p w14:paraId="75CC211C" w14:textId="77777777" w:rsidR="00970389" w:rsidRPr="00356F45" w:rsidRDefault="00970389"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t>Carbamazepine</w:t>
            </w:r>
            <w:r w:rsidRPr="00356F45">
              <w:rPr>
                <w:rStyle w:val="Strong"/>
                <w:rFonts w:cstheme="minorHAnsi"/>
                <w:sz w:val="16"/>
                <w:szCs w:val="16"/>
              </w:rPr>
              <w:t xml:space="preserve">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Pr>
          <w:p w14:paraId="331F360C" w14:textId="77777777" w:rsidR="00970389" w:rsidRPr="00356F45" w:rsidRDefault="00970389" w:rsidP="00682BC9">
            <w:pPr>
              <w:jc w:val="center"/>
              <w:rPr>
                <w:rFonts w:eastAsia="Aptos" w:cstheme="minorHAnsi"/>
                <w:b/>
                <w:sz w:val="16"/>
                <w:szCs w:val="16"/>
              </w:rPr>
            </w:pPr>
          </w:p>
        </w:tc>
        <w:tc>
          <w:tcPr>
            <w:tcW w:w="1398" w:type="dxa"/>
            <w:vAlign w:val="center"/>
          </w:tcPr>
          <w:p w14:paraId="4F69331D"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11DAC7B0"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r>
      <w:tr w:rsidR="00970389" w:rsidRPr="00356F45" w14:paraId="44288020" w14:textId="77777777" w:rsidTr="00DB1744">
        <w:trPr>
          <w:trHeight w:hRule="exact" w:val="284"/>
          <w:jc w:val="center"/>
        </w:trPr>
        <w:tc>
          <w:tcPr>
            <w:tcW w:w="4824" w:type="dxa"/>
            <w:shd w:val="clear" w:color="auto" w:fill="DEEAF6" w:themeFill="accent5" w:themeFillTint="33"/>
            <w:vAlign w:val="center"/>
          </w:tcPr>
          <w:p w14:paraId="4A94FA5D" w14:textId="77777777" w:rsidR="00970389" w:rsidRPr="00356F45" w:rsidRDefault="00970389" w:rsidP="00682BC9">
            <w:pPr>
              <w:spacing w:line="259" w:lineRule="auto"/>
              <w:ind w:left="30"/>
              <w:rPr>
                <w:rStyle w:val="Strong"/>
                <w:rFonts w:cstheme="minorHAnsi"/>
                <w:b w:val="0"/>
                <w:sz w:val="16"/>
                <w:szCs w:val="16"/>
              </w:rPr>
            </w:pPr>
            <w:r w:rsidRPr="00356F45">
              <w:rPr>
                <w:rFonts w:cstheme="minorHAnsi"/>
                <w:b/>
                <w:sz w:val="16"/>
                <w:szCs w:val="16"/>
              </w:rPr>
              <w:t>HYDROCARBONS</w:t>
            </w:r>
          </w:p>
        </w:tc>
        <w:tc>
          <w:tcPr>
            <w:tcW w:w="889" w:type="dxa"/>
            <w:shd w:val="clear" w:color="auto" w:fill="DEEAF6" w:themeFill="accent5" w:themeFillTint="33"/>
          </w:tcPr>
          <w:p w14:paraId="5055B134" w14:textId="77777777" w:rsidR="00970389" w:rsidRPr="00356F45" w:rsidRDefault="00970389" w:rsidP="00682BC9">
            <w:pPr>
              <w:spacing w:line="259" w:lineRule="auto"/>
              <w:jc w:val="center"/>
              <w:rPr>
                <w:rFonts w:eastAsia="Aptos" w:cstheme="minorHAnsi"/>
                <w:b/>
                <w:sz w:val="16"/>
                <w:szCs w:val="16"/>
              </w:rPr>
            </w:pPr>
          </w:p>
        </w:tc>
        <w:tc>
          <w:tcPr>
            <w:tcW w:w="1398" w:type="dxa"/>
            <w:shd w:val="clear" w:color="auto" w:fill="DEEAF6" w:themeFill="accent5" w:themeFillTint="33"/>
            <w:vAlign w:val="center"/>
          </w:tcPr>
          <w:p w14:paraId="027BF58E" w14:textId="77777777" w:rsidR="00970389" w:rsidRPr="00356F45" w:rsidRDefault="00970389" w:rsidP="00682BC9">
            <w:pPr>
              <w:spacing w:line="259" w:lineRule="auto"/>
              <w:jc w:val="center"/>
              <w:rPr>
                <w:rFonts w:eastAsia="Aptos" w:cstheme="minorHAnsi"/>
                <w:sz w:val="16"/>
                <w:szCs w:val="16"/>
              </w:rPr>
            </w:pPr>
          </w:p>
        </w:tc>
        <w:tc>
          <w:tcPr>
            <w:tcW w:w="1295" w:type="dxa"/>
            <w:shd w:val="clear" w:color="auto" w:fill="DEEAF6" w:themeFill="accent5" w:themeFillTint="33"/>
            <w:vAlign w:val="center"/>
          </w:tcPr>
          <w:p w14:paraId="6887FE02" w14:textId="77777777" w:rsidR="00970389" w:rsidRPr="00356F45" w:rsidRDefault="00970389" w:rsidP="00682BC9">
            <w:pPr>
              <w:spacing w:line="259" w:lineRule="auto"/>
              <w:jc w:val="center"/>
              <w:rPr>
                <w:rFonts w:eastAsia="Aptos" w:cstheme="minorHAnsi"/>
                <w:sz w:val="16"/>
                <w:szCs w:val="16"/>
              </w:rPr>
            </w:pPr>
          </w:p>
        </w:tc>
      </w:tr>
      <w:tr w:rsidR="00970389" w:rsidRPr="00356F45" w14:paraId="0535701C" w14:textId="77777777" w:rsidTr="00DB1744">
        <w:trPr>
          <w:trHeight w:hRule="exact" w:val="1019"/>
          <w:jc w:val="center"/>
        </w:trPr>
        <w:tc>
          <w:tcPr>
            <w:tcW w:w="4824" w:type="dxa"/>
            <w:vAlign w:val="center"/>
          </w:tcPr>
          <w:p w14:paraId="60C81D98" w14:textId="77777777" w:rsidR="00970389" w:rsidRPr="00356F45" w:rsidRDefault="00970389"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t>Halogenated hydrocarbons (1,1,1-Tetrachloroethane,</w:t>
            </w:r>
            <w:r w:rsidRPr="00356F45">
              <w:rPr>
                <w:rStyle w:val="Strong"/>
                <w:rFonts w:cstheme="minorHAnsi"/>
                <w:sz w:val="16"/>
                <w:szCs w:val="16"/>
              </w:rPr>
              <w:t xml:space="preserve"> </w:t>
            </w:r>
            <w:r w:rsidRPr="00356F45">
              <w:rPr>
                <w:rStyle w:val="Strong"/>
                <w:rFonts w:cstheme="minorHAnsi"/>
                <w:b w:val="0"/>
                <w:bCs w:val="0"/>
                <w:sz w:val="16"/>
                <w:szCs w:val="16"/>
              </w:rPr>
              <w:t xml:space="preserve">Trichloroethylene, 1,1,2-Trichloroethane, 1,2-Dichloroethane, Hexachlorobutadiene, Tetrachloromethane (Carbon tetrachloride), Trichloromethane (Chloroform), Dichloromethane)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Pr>
          <w:p w14:paraId="7824457A" w14:textId="77777777" w:rsidR="00970389" w:rsidRPr="00356F45" w:rsidRDefault="00970389" w:rsidP="00682BC9">
            <w:pPr>
              <w:jc w:val="center"/>
              <w:rPr>
                <w:rFonts w:eastAsia="Aptos" w:cstheme="minorHAnsi"/>
                <w:b/>
                <w:sz w:val="16"/>
                <w:szCs w:val="16"/>
              </w:rPr>
            </w:pPr>
          </w:p>
        </w:tc>
        <w:tc>
          <w:tcPr>
            <w:tcW w:w="1398" w:type="dxa"/>
            <w:vAlign w:val="center"/>
          </w:tcPr>
          <w:p w14:paraId="228A63CA"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322309A3"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454D69DD" w14:textId="77777777" w:rsidTr="00DB1744">
        <w:trPr>
          <w:trHeight w:hRule="exact" w:val="270"/>
          <w:jc w:val="center"/>
        </w:trPr>
        <w:tc>
          <w:tcPr>
            <w:tcW w:w="4824" w:type="dxa"/>
            <w:vAlign w:val="center"/>
          </w:tcPr>
          <w:p w14:paraId="6E1A96FE" w14:textId="77777777" w:rsidR="00970389" w:rsidRPr="00356F45" w:rsidRDefault="00970389"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t>Aromatic hydrocarbons (benzene, total xylenes, toluene)</w:t>
            </w:r>
            <w:r w:rsidRPr="00356F45">
              <w:rPr>
                <w:rFonts w:eastAsia="Aptos" w:cstheme="minorHAnsi"/>
                <w:bCs/>
                <w:sz w:val="16"/>
                <w:szCs w:val="16"/>
              </w:rPr>
              <w:t xml:space="preserve"> (</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Pr>
          <w:p w14:paraId="0D1F90A7"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0EFD0C3F"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1CCB7B7F"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600A5749" w14:textId="77777777" w:rsidTr="00DB1744">
        <w:trPr>
          <w:trHeight w:hRule="exact" w:val="859"/>
          <w:jc w:val="center"/>
        </w:trPr>
        <w:tc>
          <w:tcPr>
            <w:tcW w:w="4824" w:type="dxa"/>
            <w:vAlign w:val="center"/>
          </w:tcPr>
          <w:p w14:paraId="45E31C00" w14:textId="4E60326E" w:rsidR="00970389" w:rsidRPr="00356F45" w:rsidRDefault="00970389"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t>Polycyclic aromatic hydrocarbons (PAHs: benzo(a)pyrene, benzo(b)fluoranthene, benzo(k)fluoranthene, benzo(</w:t>
            </w:r>
            <w:proofErr w:type="spellStart"/>
            <w:r w:rsidRPr="00356F45">
              <w:rPr>
                <w:rStyle w:val="Strong"/>
                <w:rFonts w:cstheme="minorHAnsi"/>
                <w:b w:val="0"/>
                <w:bCs w:val="0"/>
                <w:sz w:val="16"/>
                <w:szCs w:val="16"/>
              </w:rPr>
              <w:t>ghi</w:t>
            </w:r>
            <w:proofErr w:type="spellEnd"/>
            <w:r w:rsidRPr="00356F45">
              <w:rPr>
                <w:rStyle w:val="Strong"/>
                <w:rFonts w:cstheme="minorHAnsi"/>
                <w:b w:val="0"/>
                <w:bCs w:val="0"/>
                <w:sz w:val="16"/>
                <w:szCs w:val="16"/>
              </w:rPr>
              <w:t xml:space="preserve">)perylene, </w:t>
            </w:r>
            <w:proofErr w:type="spellStart"/>
            <w:proofErr w:type="gramStart"/>
            <w:r w:rsidRPr="00356F45">
              <w:rPr>
                <w:rStyle w:val="Strong"/>
                <w:rFonts w:cstheme="minorHAnsi"/>
                <w:b w:val="0"/>
                <w:bCs w:val="0"/>
                <w:sz w:val="16"/>
                <w:szCs w:val="16"/>
              </w:rPr>
              <w:t>indeno</w:t>
            </w:r>
            <w:proofErr w:type="spellEnd"/>
            <w:r w:rsidRPr="00356F45">
              <w:rPr>
                <w:rStyle w:val="Strong"/>
                <w:rFonts w:cstheme="minorHAnsi"/>
                <w:b w:val="0"/>
                <w:bCs w:val="0"/>
                <w:sz w:val="16"/>
                <w:szCs w:val="16"/>
              </w:rPr>
              <w:t>(</w:t>
            </w:r>
            <w:proofErr w:type="gramEnd"/>
            <w:r w:rsidRPr="00356F45">
              <w:rPr>
                <w:rStyle w:val="Strong"/>
                <w:rFonts w:cstheme="minorHAnsi"/>
                <w:b w:val="0"/>
                <w:bCs w:val="0"/>
                <w:sz w:val="16"/>
                <w:szCs w:val="16"/>
              </w:rPr>
              <w:t>1,2,3-cd</w:t>
            </w:r>
            <w:r w:rsidR="00356F45" w:rsidRPr="00356F45">
              <w:rPr>
                <w:rStyle w:val="Strong"/>
                <w:rFonts w:cstheme="minorHAnsi"/>
                <w:b w:val="0"/>
                <w:bCs w:val="0"/>
                <w:sz w:val="16"/>
                <w:szCs w:val="16"/>
              </w:rPr>
              <w:t xml:space="preserve"> </w:t>
            </w:r>
            <w:r w:rsidRPr="00356F45">
              <w:rPr>
                <w:rStyle w:val="Strong"/>
                <w:rFonts w:cstheme="minorHAnsi"/>
                <w:b w:val="0"/>
                <w:bCs w:val="0"/>
                <w:sz w:val="16"/>
                <w:szCs w:val="16"/>
              </w:rPr>
              <w:t>pyrene)</w:t>
            </w:r>
            <w:r w:rsidRPr="00356F45">
              <w:rPr>
                <w:rStyle w:val="Strong"/>
                <w:rFonts w:cstheme="minorHAnsi"/>
                <w:sz w:val="16"/>
                <w:szCs w:val="16"/>
              </w:rPr>
              <w:t xml:space="preserve">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Pr>
          <w:p w14:paraId="34B6083D"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4666D6A4"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72451A2E"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45D0721D" w14:textId="77777777" w:rsidTr="00DB1744">
        <w:trPr>
          <w:trHeight w:hRule="exact" w:val="284"/>
          <w:jc w:val="center"/>
        </w:trPr>
        <w:tc>
          <w:tcPr>
            <w:tcW w:w="4824" w:type="dxa"/>
            <w:shd w:val="clear" w:color="auto" w:fill="DEEAF6" w:themeFill="accent5" w:themeFillTint="33"/>
            <w:vAlign w:val="center"/>
          </w:tcPr>
          <w:p w14:paraId="07C38009" w14:textId="77777777" w:rsidR="00970389" w:rsidRPr="00356F45" w:rsidRDefault="00970389" w:rsidP="00682BC9">
            <w:pPr>
              <w:spacing w:line="259" w:lineRule="auto"/>
              <w:ind w:left="30"/>
              <w:rPr>
                <w:rStyle w:val="Strong"/>
                <w:rFonts w:cstheme="minorHAnsi"/>
                <w:b w:val="0"/>
                <w:sz w:val="16"/>
                <w:szCs w:val="16"/>
              </w:rPr>
            </w:pPr>
            <w:r w:rsidRPr="00356F45">
              <w:rPr>
                <w:rFonts w:cstheme="minorHAnsi"/>
                <w:b/>
                <w:sz w:val="16"/>
                <w:szCs w:val="16"/>
              </w:rPr>
              <w:t>ORGANIC COMPOUNDS – DETERGENTS</w:t>
            </w:r>
          </w:p>
        </w:tc>
        <w:tc>
          <w:tcPr>
            <w:tcW w:w="889" w:type="dxa"/>
            <w:shd w:val="clear" w:color="auto" w:fill="DEEAF6" w:themeFill="accent5" w:themeFillTint="33"/>
          </w:tcPr>
          <w:p w14:paraId="72139E0D" w14:textId="77777777" w:rsidR="00970389" w:rsidRPr="00356F45" w:rsidRDefault="00970389" w:rsidP="00682BC9">
            <w:pPr>
              <w:spacing w:line="259" w:lineRule="auto"/>
              <w:jc w:val="center"/>
              <w:rPr>
                <w:rFonts w:eastAsia="Aptos" w:cstheme="minorHAnsi"/>
                <w:b/>
                <w:sz w:val="16"/>
                <w:szCs w:val="16"/>
              </w:rPr>
            </w:pPr>
          </w:p>
        </w:tc>
        <w:tc>
          <w:tcPr>
            <w:tcW w:w="1398" w:type="dxa"/>
            <w:shd w:val="clear" w:color="auto" w:fill="DEEAF6" w:themeFill="accent5" w:themeFillTint="33"/>
            <w:vAlign w:val="center"/>
          </w:tcPr>
          <w:p w14:paraId="75A34F2E" w14:textId="77777777" w:rsidR="00970389" w:rsidRPr="00356F45" w:rsidRDefault="00970389" w:rsidP="00682BC9">
            <w:pPr>
              <w:spacing w:line="259" w:lineRule="auto"/>
              <w:jc w:val="center"/>
              <w:rPr>
                <w:rFonts w:eastAsia="Aptos" w:cstheme="minorHAnsi"/>
                <w:sz w:val="16"/>
                <w:szCs w:val="16"/>
              </w:rPr>
            </w:pPr>
          </w:p>
        </w:tc>
        <w:tc>
          <w:tcPr>
            <w:tcW w:w="1295" w:type="dxa"/>
            <w:shd w:val="clear" w:color="auto" w:fill="DEEAF6" w:themeFill="accent5" w:themeFillTint="33"/>
            <w:vAlign w:val="center"/>
          </w:tcPr>
          <w:p w14:paraId="15219EA9" w14:textId="77777777" w:rsidR="00970389" w:rsidRPr="00356F45" w:rsidRDefault="00970389" w:rsidP="00682BC9">
            <w:pPr>
              <w:spacing w:line="259" w:lineRule="auto"/>
              <w:jc w:val="center"/>
              <w:rPr>
                <w:rFonts w:eastAsia="Aptos" w:cstheme="minorHAnsi"/>
                <w:sz w:val="16"/>
                <w:szCs w:val="16"/>
              </w:rPr>
            </w:pPr>
          </w:p>
        </w:tc>
      </w:tr>
      <w:tr w:rsidR="00970389" w:rsidRPr="00356F45" w14:paraId="79CCCEE7" w14:textId="77777777" w:rsidTr="00DB1744">
        <w:trPr>
          <w:trHeight w:hRule="exact" w:val="284"/>
          <w:jc w:val="center"/>
        </w:trPr>
        <w:tc>
          <w:tcPr>
            <w:tcW w:w="4824" w:type="dxa"/>
            <w:vAlign w:val="center"/>
          </w:tcPr>
          <w:p w14:paraId="68B6AFA1" w14:textId="77777777" w:rsidR="00970389" w:rsidRPr="00356F45" w:rsidRDefault="00970389"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t>Anionic detergents</w:t>
            </w:r>
            <w:r w:rsidRPr="00356F45">
              <w:rPr>
                <w:rStyle w:val="Strong"/>
                <w:rFonts w:cstheme="minorHAnsi"/>
                <w:sz w:val="16"/>
                <w:szCs w:val="16"/>
              </w:rPr>
              <w:t xml:space="preserve">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Pr>
          <w:p w14:paraId="437C9F4F"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1EF88227"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3EA5CD96"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1F3645F0" w14:textId="77777777" w:rsidTr="00DB1744">
        <w:trPr>
          <w:trHeight w:hRule="exact" w:val="284"/>
          <w:jc w:val="center"/>
        </w:trPr>
        <w:tc>
          <w:tcPr>
            <w:tcW w:w="4824" w:type="dxa"/>
            <w:vAlign w:val="center"/>
          </w:tcPr>
          <w:p w14:paraId="412A64D6" w14:textId="77777777" w:rsidR="00970389" w:rsidRPr="00356F45" w:rsidRDefault="00970389"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t>Non-ionic detergents</w:t>
            </w:r>
            <w:r w:rsidRPr="00356F45">
              <w:rPr>
                <w:rStyle w:val="Strong"/>
                <w:rFonts w:cstheme="minorHAnsi"/>
                <w:sz w:val="16"/>
                <w:szCs w:val="16"/>
              </w:rPr>
              <w:t xml:space="preserve">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Pr>
          <w:p w14:paraId="126B3565"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35EC1A64"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3DBD38BB"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37BE4BCC" w14:textId="77777777" w:rsidTr="00DB1744">
        <w:trPr>
          <w:trHeight w:hRule="exact" w:val="284"/>
          <w:jc w:val="center"/>
        </w:trPr>
        <w:tc>
          <w:tcPr>
            <w:tcW w:w="4824" w:type="dxa"/>
            <w:vAlign w:val="center"/>
          </w:tcPr>
          <w:p w14:paraId="0025C02A" w14:textId="77777777" w:rsidR="00970389" w:rsidRPr="00356F45" w:rsidRDefault="00970389" w:rsidP="00682BC9">
            <w:pPr>
              <w:spacing w:line="259" w:lineRule="auto"/>
              <w:ind w:left="30"/>
              <w:rPr>
                <w:rStyle w:val="Strong"/>
                <w:rFonts w:cstheme="minorHAnsi"/>
                <w:b w:val="0"/>
                <w:sz w:val="16"/>
                <w:szCs w:val="16"/>
              </w:rPr>
            </w:pPr>
            <w:r w:rsidRPr="00356F45">
              <w:rPr>
                <w:rStyle w:val="Strong"/>
                <w:rFonts w:cstheme="minorHAnsi"/>
                <w:b w:val="0"/>
                <w:bCs w:val="0"/>
                <w:sz w:val="16"/>
                <w:szCs w:val="16"/>
              </w:rPr>
              <w:t>Total phenols</w:t>
            </w:r>
            <w:r w:rsidRPr="00356F45">
              <w:rPr>
                <w:rStyle w:val="Strong"/>
                <w:rFonts w:cstheme="minorHAnsi"/>
                <w:sz w:val="16"/>
                <w:szCs w:val="16"/>
              </w:rPr>
              <w:t xml:space="preserve">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Pr>
          <w:p w14:paraId="4349B2AC" w14:textId="77777777" w:rsidR="00970389" w:rsidRPr="00356F45" w:rsidRDefault="00970389" w:rsidP="00682BC9">
            <w:pPr>
              <w:jc w:val="center"/>
              <w:rPr>
                <w:rFonts w:eastAsia="Aptos" w:cstheme="minorHAnsi"/>
                <w:b/>
                <w:sz w:val="16"/>
                <w:szCs w:val="16"/>
              </w:rPr>
            </w:pPr>
            <w:r w:rsidRPr="00356F45">
              <w:rPr>
                <w:rFonts w:eastAsia="Aptos" w:cstheme="minorHAnsi"/>
                <w:b/>
                <w:sz w:val="16"/>
                <w:szCs w:val="16"/>
              </w:rPr>
              <w:t>+</w:t>
            </w:r>
          </w:p>
        </w:tc>
        <w:tc>
          <w:tcPr>
            <w:tcW w:w="1398" w:type="dxa"/>
            <w:vAlign w:val="center"/>
          </w:tcPr>
          <w:p w14:paraId="7D5838CA"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c>
          <w:tcPr>
            <w:tcW w:w="1295" w:type="dxa"/>
            <w:vAlign w:val="center"/>
          </w:tcPr>
          <w:p w14:paraId="3C879079" w14:textId="77777777" w:rsidR="00970389" w:rsidRPr="00356F45" w:rsidRDefault="00970389" w:rsidP="00682BC9">
            <w:pPr>
              <w:jc w:val="center"/>
              <w:rPr>
                <w:rFonts w:cstheme="minorHAnsi"/>
                <w:sz w:val="16"/>
                <w:szCs w:val="16"/>
              </w:rPr>
            </w:pPr>
            <w:r w:rsidRPr="00356F45">
              <w:rPr>
                <w:rFonts w:eastAsia="Aptos" w:cstheme="minorHAnsi"/>
                <w:sz w:val="16"/>
                <w:szCs w:val="16"/>
              </w:rPr>
              <w:t>4/yr-6/yr</w:t>
            </w:r>
          </w:p>
        </w:tc>
      </w:tr>
      <w:tr w:rsidR="00970389" w:rsidRPr="00356F45" w14:paraId="08D9F0DE" w14:textId="77777777" w:rsidTr="00DB1744">
        <w:trPr>
          <w:trHeight w:hRule="exact" w:val="284"/>
          <w:jc w:val="center"/>
        </w:trPr>
        <w:tc>
          <w:tcPr>
            <w:tcW w:w="4824" w:type="dxa"/>
            <w:shd w:val="clear" w:color="auto" w:fill="DEEAF6" w:themeFill="accent5" w:themeFillTint="33"/>
            <w:vAlign w:val="center"/>
          </w:tcPr>
          <w:p w14:paraId="1A6EA2C9" w14:textId="77777777" w:rsidR="00970389" w:rsidRPr="00356F45" w:rsidRDefault="00970389" w:rsidP="00682BC9">
            <w:pPr>
              <w:spacing w:line="259" w:lineRule="auto"/>
              <w:ind w:left="30"/>
              <w:rPr>
                <w:rStyle w:val="Strong"/>
                <w:rFonts w:cstheme="minorHAnsi"/>
                <w:b w:val="0"/>
                <w:sz w:val="16"/>
                <w:szCs w:val="16"/>
              </w:rPr>
            </w:pPr>
            <w:r w:rsidRPr="00356F45">
              <w:rPr>
                <w:rFonts w:cstheme="minorHAnsi"/>
                <w:b/>
                <w:sz w:val="16"/>
                <w:szCs w:val="16"/>
              </w:rPr>
              <w:t>OTHER ORGANIC COMPOUNDS</w:t>
            </w:r>
          </w:p>
        </w:tc>
        <w:tc>
          <w:tcPr>
            <w:tcW w:w="889" w:type="dxa"/>
            <w:shd w:val="clear" w:color="auto" w:fill="DEEAF6" w:themeFill="accent5" w:themeFillTint="33"/>
          </w:tcPr>
          <w:p w14:paraId="2167AC0C" w14:textId="77777777" w:rsidR="00970389" w:rsidRPr="00356F45" w:rsidRDefault="00970389" w:rsidP="00682BC9">
            <w:pPr>
              <w:spacing w:line="259" w:lineRule="auto"/>
              <w:jc w:val="center"/>
              <w:rPr>
                <w:rFonts w:eastAsia="Aptos" w:cstheme="minorHAnsi"/>
                <w:b/>
                <w:sz w:val="16"/>
                <w:szCs w:val="16"/>
              </w:rPr>
            </w:pPr>
          </w:p>
        </w:tc>
        <w:tc>
          <w:tcPr>
            <w:tcW w:w="1398" w:type="dxa"/>
            <w:shd w:val="clear" w:color="auto" w:fill="DEEAF6" w:themeFill="accent5" w:themeFillTint="33"/>
            <w:vAlign w:val="center"/>
          </w:tcPr>
          <w:p w14:paraId="21401696" w14:textId="77777777" w:rsidR="00970389" w:rsidRPr="00356F45" w:rsidRDefault="00970389" w:rsidP="00682BC9">
            <w:pPr>
              <w:spacing w:line="259" w:lineRule="auto"/>
              <w:jc w:val="center"/>
              <w:rPr>
                <w:rFonts w:eastAsia="Aptos" w:cstheme="minorHAnsi"/>
                <w:sz w:val="16"/>
                <w:szCs w:val="16"/>
              </w:rPr>
            </w:pPr>
          </w:p>
        </w:tc>
        <w:tc>
          <w:tcPr>
            <w:tcW w:w="1295" w:type="dxa"/>
            <w:shd w:val="clear" w:color="auto" w:fill="DEEAF6" w:themeFill="accent5" w:themeFillTint="33"/>
            <w:vAlign w:val="center"/>
          </w:tcPr>
          <w:p w14:paraId="32AF443F" w14:textId="77777777" w:rsidR="00970389" w:rsidRPr="00356F45" w:rsidRDefault="00970389" w:rsidP="00682BC9">
            <w:pPr>
              <w:spacing w:line="259" w:lineRule="auto"/>
              <w:jc w:val="center"/>
              <w:rPr>
                <w:rFonts w:eastAsia="Aptos" w:cstheme="minorHAnsi"/>
                <w:sz w:val="16"/>
                <w:szCs w:val="16"/>
              </w:rPr>
            </w:pPr>
          </w:p>
        </w:tc>
      </w:tr>
      <w:tr w:rsidR="00970389" w:rsidRPr="00356F45" w14:paraId="30C30582" w14:textId="77777777" w:rsidTr="00DB1744">
        <w:trPr>
          <w:trHeight w:hRule="exact" w:val="284"/>
          <w:jc w:val="center"/>
        </w:trPr>
        <w:tc>
          <w:tcPr>
            <w:tcW w:w="4824" w:type="dxa"/>
            <w:vAlign w:val="center"/>
          </w:tcPr>
          <w:p w14:paraId="2BFA2F2B" w14:textId="77777777" w:rsidR="00970389" w:rsidRPr="00356F45" w:rsidRDefault="00970389" w:rsidP="00682BC9">
            <w:pPr>
              <w:spacing w:line="259" w:lineRule="auto"/>
              <w:ind w:left="30"/>
              <w:rPr>
                <w:rFonts w:cstheme="minorHAnsi"/>
                <w:sz w:val="16"/>
                <w:szCs w:val="16"/>
              </w:rPr>
            </w:pPr>
            <w:r w:rsidRPr="00356F45">
              <w:rPr>
                <w:rFonts w:cstheme="minorHAnsi"/>
                <w:sz w:val="16"/>
                <w:szCs w:val="16"/>
              </w:rPr>
              <w:t xml:space="preserve">Bisphenol A (BPA)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Pr>
          <w:p w14:paraId="37F05924" w14:textId="77777777" w:rsidR="00970389" w:rsidRPr="00356F45" w:rsidRDefault="00970389" w:rsidP="00682BC9">
            <w:pPr>
              <w:spacing w:line="259" w:lineRule="auto"/>
              <w:jc w:val="center"/>
              <w:rPr>
                <w:rFonts w:eastAsia="Aptos" w:cstheme="minorHAnsi"/>
                <w:b/>
                <w:sz w:val="16"/>
                <w:szCs w:val="16"/>
              </w:rPr>
            </w:pPr>
          </w:p>
        </w:tc>
        <w:tc>
          <w:tcPr>
            <w:tcW w:w="1398" w:type="dxa"/>
            <w:vAlign w:val="center"/>
          </w:tcPr>
          <w:p w14:paraId="1A988FB9"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4/yr-6/yr</w:t>
            </w:r>
          </w:p>
        </w:tc>
        <w:tc>
          <w:tcPr>
            <w:tcW w:w="1295" w:type="dxa"/>
            <w:vAlign w:val="center"/>
          </w:tcPr>
          <w:p w14:paraId="69CE7748" w14:textId="77777777" w:rsidR="00970389" w:rsidRPr="00356F45" w:rsidRDefault="00970389" w:rsidP="00682BC9">
            <w:pPr>
              <w:spacing w:line="259" w:lineRule="auto"/>
              <w:jc w:val="center"/>
              <w:rPr>
                <w:rFonts w:eastAsia="Aptos" w:cstheme="minorHAnsi"/>
                <w:sz w:val="16"/>
                <w:szCs w:val="16"/>
              </w:rPr>
            </w:pPr>
          </w:p>
        </w:tc>
      </w:tr>
      <w:tr w:rsidR="00970389" w:rsidRPr="00356F45" w14:paraId="4B2C00FD" w14:textId="77777777" w:rsidTr="00DB1744">
        <w:trPr>
          <w:trHeight w:hRule="exact" w:val="284"/>
          <w:jc w:val="center"/>
        </w:trPr>
        <w:tc>
          <w:tcPr>
            <w:tcW w:w="4824" w:type="dxa"/>
            <w:vAlign w:val="center"/>
          </w:tcPr>
          <w:p w14:paraId="44B72BD6" w14:textId="2F580550" w:rsidR="00970389" w:rsidRPr="00356F45" w:rsidRDefault="00356F45" w:rsidP="00682BC9">
            <w:pPr>
              <w:spacing w:line="259" w:lineRule="auto"/>
              <w:ind w:left="30"/>
              <w:rPr>
                <w:rFonts w:cstheme="minorHAnsi"/>
                <w:sz w:val="16"/>
                <w:szCs w:val="16"/>
              </w:rPr>
            </w:pPr>
            <w:r w:rsidRPr="00356F45">
              <w:rPr>
                <w:rFonts w:cstheme="minorHAnsi"/>
                <w:sz w:val="16"/>
                <w:szCs w:val="16"/>
              </w:rPr>
              <w:t>Chloroacetamide</w:t>
            </w:r>
            <w:r w:rsidR="00970389" w:rsidRPr="00356F45">
              <w:rPr>
                <w:rFonts w:eastAsia="Aptos" w:cstheme="minorHAnsi"/>
                <w:bCs/>
                <w:sz w:val="16"/>
                <w:szCs w:val="16"/>
              </w:rPr>
              <w:t xml:space="preserve"> </w:t>
            </w:r>
            <w:proofErr w:type="spellStart"/>
            <w:r w:rsidR="00970389" w:rsidRPr="00356F45">
              <w:rPr>
                <w:rFonts w:eastAsia="Aptos" w:cstheme="minorHAnsi"/>
                <w:bCs/>
                <w:sz w:val="16"/>
                <w:szCs w:val="16"/>
              </w:rPr>
              <w:t>μg</w:t>
            </w:r>
            <w:proofErr w:type="spellEnd"/>
            <w:r w:rsidR="00970389" w:rsidRPr="00356F45">
              <w:rPr>
                <w:rFonts w:eastAsia="Aptos" w:cstheme="minorHAnsi"/>
                <w:bCs/>
                <w:sz w:val="16"/>
                <w:szCs w:val="16"/>
              </w:rPr>
              <w:t>/l)</w:t>
            </w:r>
          </w:p>
        </w:tc>
        <w:tc>
          <w:tcPr>
            <w:tcW w:w="889" w:type="dxa"/>
          </w:tcPr>
          <w:p w14:paraId="421981E4" w14:textId="77777777" w:rsidR="00970389" w:rsidRPr="00356F45" w:rsidRDefault="00970389" w:rsidP="00682BC9">
            <w:pPr>
              <w:jc w:val="center"/>
              <w:rPr>
                <w:rFonts w:eastAsia="Aptos" w:cstheme="minorHAnsi"/>
                <w:b/>
                <w:sz w:val="16"/>
                <w:szCs w:val="16"/>
              </w:rPr>
            </w:pPr>
          </w:p>
        </w:tc>
        <w:tc>
          <w:tcPr>
            <w:tcW w:w="1398" w:type="dxa"/>
            <w:vAlign w:val="center"/>
          </w:tcPr>
          <w:p w14:paraId="6798D6CD"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vAlign w:val="center"/>
          </w:tcPr>
          <w:p w14:paraId="6D75618B" w14:textId="77777777" w:rsidR="00970389" w:rsidRPr="00356F45" w:rsidRDefault="00970389" w:rsidP="00682BC9">
            <w:pPr>
              <w:spacing w:line="259" w:lineRule="auto"/>
              <w:jc w:val="center"/>
              <w:rPr>
                <w:rFonts w:eastAsia="Aptos" w:cstheme="minorHAnsi"/>
                <w:sz w:val="16"/>
                <w:szCs w:val="16"/>
              </w:rPr>
            </w:pPr>
          </w:p>
        </w:tc>
      </w:tr>
      <w:tr w:rsidR="00970389" w:rsidRPr="00356F45" w14:paraId="184A575E" w14:textId="77777777" w:rsidTr="00DB1744">
        <w:trPr>
          <w:trHeight w:hRule="exact" w:val="284"/>
          <w:jc w:val="center"/>
        </w:trPr>
        <w:tc>
          <w:tcPr>
            <w:tcW w:w="4824" w:type="dxa"/>
            <w:tcBorders>
              <w:bottom w:val="double" w:sz="2" w:space="0" w:color="auto"/>
            </w:tcBorders>
            <w:vAlign w:val="center"/>
          </w:tcPr>
          <w:p w14:paraId="722ECE89" w14:textId="77777777" w:rsidR="00970389" w:rsidRPr="00356F45" w:rsidRDefault="00970389" w:rsidP="00682BC9">
            <w:pPr>
              <w:spacing w:line="259" w:lineRule="auto"/>
              <w:ind w:left="30"/>
              <w:rPr>
                <w:rFonts w:cstheme="minorHAnsi"/>
                <w:sz w:val="16"/>
                <w:szCs w:val="16"/>
              </w:rPr>
            </w:pPr>
            <w:r w:rsidRPr="00356F45">
              <w:rPr>
                <w:rFonts w:cstheme="minorHAnsi"/>
                <w:sz w:val="16"/>
                <w:szCs w:val="16"/>
              </w:rPr>
              <w:t xml:space="preserve">Acetochlor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Borders>
              <w:bottom w:val="double" w:sz="2" w:space="0" w:color="auto"/>
            </w:tcBorders>
          </w:tcPr>
          <w:p w14:paraId="08B65BCD" w14:textId="77777777" w:rsidR="00970389" w:rsidRPr="00356F45" w:rsidRDefault="00970389" w:rsidP="00682BC9">
            <w:pPr>
              <w:jc w:val="center"/>
              <w:rPr>
                <w:rFonts w:eastAsia="Aptos" w:cstheme="minorHAnsi"/>
                <w:b/>
                <w:sz w:val="16"/>
                <w:szCs w:val="16"/>
              </w:rPr>
            </w:pPr>
          </w:p>
        </w:tc>
        <w:tc>
          <w:tcPr>
            <w:tcW w:w="1398" w:type="dxa"/>
            <w:tcBorders>
              <w:bottom w:val="double" w:sz="2" w:space="0" w:color="auto"/>
            </w:tcBorders>
            <w:vAlign w:val="center"/>
          </w:tcPr>
          <w:p w14:paraId="56EC8F07" w14:textId="77777777" w:rsidR="00970389" w:rsidRPr="00356F45" w:rsidRDefault="00970389" w:rsidP="00682BC9">
            <w:pPr>
              <w:jc w:val="center"/>
              <w:rPr>
                <w:rFonts w:cstheme="minorHAnsi"/>
                <w:sz w:val="16"/>
                <w:szCs w:val="16"/>
              </w:rPr>
            </w:pPr>
            <w:r w:rsidRPr="00356F45">
              <w:rPr>
                <w:rFonts w:eastAsia="Aptos" w:cstheme="minorHAnsi"/>
                <w:sz w:val="16"/>
                <w:szCs w:val="16"/>
              </w:rPr>
              <w:t>4/yr</w:t>
            </w:r>
          </w:p>
        </w:tc>
        <w:tc>
          <w:tcPr>
            <w:tcW w:w="1295" w:type="dxa"/>
            <w:tcBorders>
              <w:bottom w:val="double" w:sz="2" w:space="0" w:color="auto"/>
            </w:tcBorders>
            <w:vAlign w:val="center"/>
          </w:tcPr>
          <w:p w14:paraId="4C37EB4A" w14:textId="77777777" w:rsidR="00970389" w:rsidRPr="00356F45" w:rsidRDefault="00970389" w:rsidP="00682BC9">
            <w:pPr>
              <w:spacing w:line="259" w:lineRule="auto"/>
              <w:jc w:val="center"/>
              <w:rPr>
                <w:rFonts w:eastAsia="Aptos" w:cstheme="minorHAnsi"/>
                <w:sz w:val="16"/>
                <w:szCs w:val="16"/>
              </w:rPr>
            </w:pPr>
            <w:r w:rsidRPr="00356F45">
              <w:rPr>
                <w:rFonts w:eastAsia="Aptos" w:cstheme="minorHAnsi"/>
                <w:sz w:val="16"/>
                <w:szCs w:val="16"/>
              </w:rPr>
              <w:t>4/yr</w:t>
            </w:r>
          </w:p>
        </w:tc>
      </w:tr>
      <w:tr w:rsidR="00DB1744" w:rsidRPr="00356F45" w14:paraId="064B5B6E" w14:textId="77777777" w:rsidTr="00DB1744">
        <w:trPr>
          <w:trHeight w:hRule="exact" w:val="284"/>
          <w:jc w:val="center"/>
        </w:trPr>
        <w:tc>
          <w:tcPr>
            <w:tcW w:w="4824" w:type="dxa"/>
            <w:tcBorders>
              <w:top w:val="double" w:sz="2" w:space="0" w:color="auto"/>
              <w:left w:val="double" w:sz="2" w:space="0" w:color="auto"/>
              <w:bottom w:val="double" w:sz="2" w:space="0" w:color="auto"/>
              <w:right w:val="double" w:sz="2" w:space="0" w:color="auto"/>
            </w:tcBorders>
            <w:vAlign w:val="center"/>
          </w:tcPr>
          <w:p w14:paraId="4742A982" w14:textId="6291B57C" w:rsidR="00DB1744" w:rsidRPr="00356F45" w:rsidRDefault="00DB1744" w:rsidP="00DB1744">
            <w:pPr>
              <w:ind w:left="30"/>
              <w:rPr>
                <w:rFonts w:cstheme="minorHAnsi"/>
                <w:sz w:val="16"/>
                <w:szCs w:val="16"/>
              </w:rPr>
            </w:pPr>
            <w:r w:rsidRPr="00356F45">
              <w:rPr>
                <w:rFonts w:cstheme="minorHAnsi"/>
                <w:sz w:val="16"/>
                <w:szCs w:val="16"/>
              </w:rPr>
              <w:t xml:space="preserve">S-metolachlor </w:t>
            </w:r>
            <w:r w:rsidRPr="00356F45">
              <w:rPr>
                <w:rFonts w:eastAsia="Aptos" w:cstheme="minorHAnsi"/>
                <w:bCs/>
                <w:sz w:val="16"/>
                <w:szCs w:val="16"/>
              </w:rPr>
              <w:t>(</w:t>
            </w:r>
            <w:proofErr w:type="spellStart"/>
            <w:r w:rsidRPr="00356F45">
              <w:rPr>
                <w:rFonts w:eastAsia="Aptos" w:cstheme="minorHAnsi"/>
                <w:bCs/>
                <w:sz w:val="16"/>
                <w:szCs w:val="16"/>
              </w:rPr>
              <w:t>μg</w:t>
            </w:r>
            <w:proofErr w:type="spellEnd"/>
            <w:r w:rsidRPr="00356F45">
              <w:rPr>
                <w:rFonts w:eastAsia="Aptos" w:cstheme="minorHAnsi"/>
                <w:bCs/>
                <w:sz w:val="16"/>
                <w:szCs w:val="16"/>
              </w:rPr>
              <w:t>/l)</w:t>
            </w:r>
          </w:p>
        </w:tc>
        <w:tc>
          <w:tcPr>
            <w:tcW w:w="889" w:type="dxa"/>
            <w:tcBorders>
              <w:top w:val="double" w:sz="2" w:space="0" w:color="auto"/>
              <w:left w:val="double" w:sz="2" w:space="0" w:color="auto"/>
              <w:bottom w:val="double" w:sz="2" w:space="0" w:color="auto"/>
              <w:right w:val="double" w:sz="2" w:space="0" w:color="auto"/>
            </w:tcBorders>
          </w:tcPr>
          <w:p w14:paraId="636DC202" w14:textId="77777777" w:rsidR="00DB1744" w:rsidRPr="00356F45" w:rsidRDefault="00DB1744" w:rsidP="00DB1744">
            <w:pPr>
              <w:jc w:val="center"/>
              <w:rPr>
                <w:rFonts w:eastAsia="Aptos" w:cstheme="minorHAnsi"/>
                <w:b/>
                <w:sz w:val="16"/>
                <w:szCs w:val="16"/>
              </w:rPr>
            </w:pPr>
          </w:p>
        </w:tc>
        <w:tc>
          <w:tcPr>
            <w:tcW w:w="1398" w:type="dxa"/>
            <w:tcBorders>
              <w:top w:val="double" w:sz="2" w:space="0" w:color="auto"/>
              <w:left w:val="double" w:sz="2" w:space="0" w:color="auto"/>
              <w:bottom w:val="double" w:sz="2" w:space="0" w:color="auto"/>
              <w:right w:val="double" w:sz="2" w:space="0" w:color="auto"/>
            </w:tcBorders>
            <w:vAlign w:val="center"/>
          </w:tcPr>
          <w:p w14:paraId="04B8A225" w14:textId="0AEC4193" w:rsidR="00DB1744" w:rsidRPr="00356F45" w:rsidRDefault="00DB1744" w:rsidP="00DB1744">
            <w:pPr>
              <w:jc w:val="center"/>
              <w:rPr>
                <w:rFonts w:eastAsia="Aptos" w:cstheme="minorHAnsi"/>
                <w:sz w:val="16"/>
                <w:szCs w:val="16"/>
              </w:rPr>
            </w:pPr>
            <w:r w:rsidRPr="00356F45">
              <w:rPr>
                <w:rFonts w:eastAsia="Aptos" w:cstheme="minorHAnsi"/>
                <w:sz w:val="16"/>
                <w:szCs w:val="16"/>
              </w:rPr>
              <w:t>4/yr</w:t>
            </w:r>
          </w:p>
        </w:tc>
        <w:tc>
          <w:tcPr>
            <w:tcW w:w="1295" w:type="dxa"/>
            <w:tcBorders>
              <w:top w:val="double" w:sz="2" w:space="0" w:color="auto"/>
              <w:left w:val="double" w:sz="2" w:space="0" w:color="auto"/>
              <w:bottom w:val="double" w:sz="2" w:space="0" w:color="auto"/>
              <w:right w:val="double" w:sz="2" w:space="0" w:color="auto"/>
            </w:tcBorders>
            <w:vAlign w:val="center"/>
          </w:tcPr>
          <w:p w14:paraId="3A3109A2" w14:textId="249C4A9E" w:rsidR="00DB1744" w:rsidRPr="00356F45" w:rsidRDefault="00DB1744" w:rsidP="00DB1744">
            <w:pPr>
              <w:jc w:val="center"/>
              <w:rPr>
                <w:rFonts w:eastAsia="Aptos" w:cstheme="minorHAnsi"/>
                <w:sz w:val="16"/>
                <w:szCs w:val="16"/>
              </w:rPr>
            </w:pPr>
            <w:r w:rsidRPr="00356F45">
              <w:rPr>
                <w:rFonts w:eastAsia="Aptos" w:cstheme="minorHAnsi"/>
                <w:sz w:val="16"/>
                <w:szCs w:val="16"/>
              </w:rPr>
              <w:t>4/yr</w:t>
            </w:r>
          </w:p>
        </w:tc>
      </w:tr>
    </w:tbl>
    <w:p w14:paraId="50890145" w14:textId="072F138E" w:rsidR="00970389" w:rsidRPr="00DB1744" w:rsidRDefault="00DB1744" w:rsidP="00DB1744">
      <w:pPr>
        <w:pStyle w:val="Heading3"/>
        <w:rPr>
          <w:lang w:val="en-GB"/>
        </w:rPr>
      </w:pPr>
      <w:bookmarkStart w:id="113" w:name="_Toc221882519"/>
      <w:bookmarkStart w:id="114" w:name="_Toc229036227"/>
      <w:r w:rsidRPr="00DB1744">
        <w:rPr>
          <w:lang w:val="en-GB"/>
        </w:rPr>
        <w:t>5.2.2 Surface water monitoring</w:t>
      </w:r>
      <w:bookmarkEnd w:id="113"/>
      <w:bookmarkEnd w:id="114"/>
    </w:p>
    <w:p w14:paraId="6F3C7D08" w14:textId="1064A0BE" w:rsidR="00DB1744" w:rsidRDefault="00DB1744" w:rsidP="00DB1744">
      <w:pPr>
        <w:jc w:val="both"/>
      </w:pPr>
      <w:bookmarkStart w:id="115" w:name="_Toc221882520"/>
      <w:r w:rsidRPr="00DB1744">
        <w:t xml:space="preserve">According to the 2025 Monitoring Plan for Croatia, surveillance monitoring of ecological and chemical status elements of surface waters is carried out annually throughout the River Basin Management Plan cycle until 2027. Exceptions apply to the biological quality elements of macrophytes and fish, which are monitored every third year, and to </w:t>
      </w:r>
      <w:proofErr w:type="spellStart"/>
      <w:r w:rsidRPr="00DB1744">
        <w:t>hydromorphological</w:t>
      </w:r>
      <w:proofErr w:type="spellEnd"/>
      <w:r w:rsidRPr="00DB1744">
        <w:t xml:space="preserve"> elements, which are assessed once per planning cycle. Operational monitoring is conducted every third year for biological quality elements, and annually for </w:t>
      </w:r>
      <w:proofErr w:type="spellStart"/>
      <w:r w:rsidRPr="00DB1744">
        <w:t>physico</w:t>
      </w:r>
      <w:proofErr w:type="spellEnd"/>
      <w:r w:rsidRPr="00DB1744">
        <w:t>-chemical elements, specific pollutants, and priority or priority hazardous substances.</w:t>
      </w:r>
    </w:p>
    <w:p w14:paraId="1D93A9A0" w14:textId="1041C35D" w:rsidR="00DB1744" w:rsidRDefault="00DB1744" w:rsidP="00DB1744">
      <w:pPr>
        <w:spacing w:after="120" w:line="240" w:lineRule="auto"/>
        <w:jc w:val="both"/>
      </w:pPr>
      <w:r w:rsidRPr="00DB1744">
        <w:t xml:space="preserve">A similar monitoring scheme is applied in the Federation of Bosnia and Herzegovina, based on the Decision on the Characterization of Surface and Groundwaters (Official Gazette of FBiH, No. 1/14, Annex 11). Surveillance monitoring follows the same general principles, with biological quality elements assessed at intervals of up to three years, </w:t>
      </w:r>
      <w:proofErr w:type="spellStart"/>
      <w:r w:rsidRPr="00DB1744">
        <w:t>physico</w:t>
      </w:r>
      <w:proofErr w:type="spellEnd"/>
      <w:r w:rsidRPr="00DB1744">
        <w:t xml:space="preserve">-chemical parameters monitored throughout the year, and </w:t>
      </w:r>
      <w:proofErr w:type="spellStart"/>
      <w:r w:rsidRPr="00DB1744">
        <w:t>hydromorphological</w:t>
      </w:r>
      <w:proofErr w:type="spellEnd"/>
      <w:r w:rsidRPr="00DB1744">
        <w:t xml:space="preserve"> elements assessed once per planning cycle. Operational monitoring focuses on water bodies at risk, with biological elements monitored every three years and </w:t>
      </w:r>
      <w:proofErr w:type="spellStart"/>
      <w:r w:rsidRPr="00DB1744">
        <w:t>physico</w:t>
      </w:r>
      <w:proofErr w:type="spellEnd"/>
      <w:r w:rsidRPr="00DB1744">
        <w:t>-chemical and chemical pollutants monitored periodically throughout the year, depending on identified pressures and risks.</w:t>
      </w:r>
    </w:p>
    <w:p w14:paraId="7F4CE9A5" w14:textId="77777777" w:rsidR="00DB1744" w:rsidRDefault="00DB1744" w:rsidP="00DB1744">
      <w:pPr>
        <w:spacing w:after="120" w:line="240" w:lineRule="auto"/>
        <w:jc w:val="both"/>
      </w:pPr>
    </w:p>
    <w:p w14:paraId="571852A7" w14:textId="3D047655" w:rsidR="00970389" w:rsidRDefault="00970389" w:rsidP="00970389">
      <w:pPr>
        <w:pStyle w:val="Heading2"/>
        <w:rPr>
          <w:lang w:val="en-GB"/>
        </w:rPr>
      </w:pPr>
      <w:bookmarkStart w:id="116" w:name="_Toc229036228"/>
      <w:r>
        <w:rPr>
          <w:lang w:val="en-GB"/>
        </w:rPr>
        <w:t>5</w:t>
      </w:r>
      <w:r w:rsidRPr="00794F12">
        <w:rPr>
          <w:lang w:val="en-GB"/>
        </w:rPr>
        <w:t xml:space="preserve">.3 </w:t>
      </w:r>
      <w:r w:rsidRPr="00E94C41">
        <w:t>Quality</w:t>
      </w:r>
      <w:r w:rsidRPr="00794F12">
        <w:rPr>
          <w:lang w:val="en-GB"/>
        </w:rPr>
        <w:t xml:space="preserve"> Assurance (QA) / Quality Control (QC) of data</w:t>
      </w:r>
      <w:bookmarkEnd w:id="115"/>
      <w:bookmarkEnd w:id="116"/>
    </w:p>
    <w:p w14:paraId="3D032630" w14:textId="4F7F0E21" w:rsidR="00DB1744" w:rsidRDefault="00DB1744" w:rsidP="00DB1744">
      <w:pPr>
        <w:jc w:val="both"/>
      </w:pPr>
      <w:r>
        <w:t xml:space="preserve">Quality assurance and quality control (QA/QC) in water monitoring are ensured through the application of standardized sampling procedures and accredited analytical methods. These measures </w:t>
      </w:r>
      <w:r>
        <w:lastRenderedPageBreak/>
        <w:t>cover groundwater chemical status monitoring as well as surface water chemical and ecological monitoring.</w:t>
      </w:r>
    </w:p>
    <w:p w14:paraId="7C18B209" w14:textId="584DE6D9" w:rsidR="00DB1744" w:rsidRPr="00DB1744" w:rsidRDefault="00DB1744" w:rsidP="00DB1744">
      <w:pPr>
        <w:jc w:val="both"/>
        <w:rPr>
          <w:u w:val="single"/>
        </w:rPr>
      </w:pPr>
      <w:r w:rsidRPr="00DB1744">
        <w:rPr>
          <w:u w:val="single"/>
        </w:rPr>
        <w:t>Federation of Bosnia and Herzegovina (FBiH)</w:t>
      </w:r>
    </w:p>
    <w:p w14:paraId="088A1405" w14:textId="3F9DEB06" w:rsidR="00DB1744" w:rsidRDefault="00DB1744" w:rsidP="00DB1744">
      <w:pPr>
        <w:jc w:val="both"/>
      </w:pPr>
      <w:r>
        <w:t>In the Federation of Bosnia and Herzegovina, QA/QC in water monitoring is defined in Annex 12 of the Decision on the Characterization of Surface and Groundwaters (Official Gazette of FBiH, No. 1/14, Annex 11). All analytical methods, including laboratory, in situ, and online techniques, must be validated, properly documented, and compliant with BAS ISO 17025 or other internationally recognized equivalent standards. This framework ensures the reliability of monitoring results and provides a robust basis for chemical status assessment and trend analysis.</w:t>
      </w:r>
    </w:p>
    <w:p w14:paraId="7EADB040" w14:textId="284E1701" w:rsidR="00DB1744" w:rsidRPr="00DB1744" w:rsidRDefault="00DB1744" w:rsidP="00DB1744">
      <w:pPr>
        <w:jc w:val="both"/>
        <w:rPr>
          <w:u w:val="single"/>
        </w:rPr>
      </w:pPr>
      <w:r w:rsidRPr="00DB1744">
        <w:rPr>
          <w:u w:val="single"/>
        </w:rPr>
        <w:t>Croatia</w:t>
      </w:r>
    </w:p>
    <w:p w14:paraId="65783348" w14:textId="684F911E" w:rsidR="00970389" w:rsidRPr="00D97EF6" w:rsidRDefault="00DB1744" w:rsidP="00DB1744">
      <w:pPr>
        <w:jc w:val="both"/>
      </w:pPr>
      <w:r>
        <w:t>In Croatia, QA/QC requirements are addressed separately for chemical and biological quality elements of groundwater and surface water within the National Monitoring Plan (Water Institute JJS, 2025).</w:t>
      </w:r>
    </w:p>
    <w:p w14:paraId="4F54382F" w14:textId="5B6DFF8F" w:rsidR="00970389" w:rsidRPr="00DB1744" w:rsidRDefault="00DB1744" w:rsidP="00DB1744">
      <w:pPr>
        <w:pStyle w:val="Heading3"/>
        <w:rPr>
          <w:lang w:val="en-GB"/>
        </w:rPr>
      </w:pPr>
      <w:bookmarkStart w:id="117" w:name="_Toc221882523"/>
      <w:bookmarkStart w:id="118" w:name="_Toc229036229"/>
      <w:r w:rsidRPr="00DB1744">
        <w:rPr>
          <w:lang w:val="en-GB"/>
        </w:rPr>
        <w:t>5.3.1 Groundwater monitoring</w:t>
      </w:r>
      <w:bookmarkEnd w:id="117"/>
      <w:bookmarkEnd w:id="118"/>
    </w:p>
    <w:p w14:paraId="6CFC338B" w14:textId="7299C4BD" w:rsidR="00970389" w:rsidRPr="009F0846" w:rsidRDefault="00ED2B7C" w:rsidP="00970389">
      <w:pPr>
        <w:jc w:val="both"/>
      </w:pPr>
      <w:r w:rsidRPr="00ED2B7C">
        <w:t>Sampling and storage of water samples for chemical analyses are carried out in accordance with Croatian standards, namely the Guidelines for Groundwater Sampling (HRN ISO 5667-11:2001) and the Guidelines for Sample Preservation and Handling (HRN EN ISO 5667-3:2018). Sampling and analytical testing are performed using methods accredited by the Croatian Accreditation Agency, in compliance with the standard General Requirements for the Competence of Testing and Calibration Laboratories (HRN EN ISO/IEC 17025:2017).</w:t>
      </w:r>
    </w:p>
    <w:p w14:paraId="22525ED9" w14:textId="0238D0F4" w:rsidR="00970389" w:rsidRPr="00ED2B7C" w:rsidRDefault="00ED2B7C" w:rsidP="00ED2B7C">
      <w:pPr>
        <w:pStyle w:val="Heading3"/>
        <w:rPr>
          <w:lang w:val="en-GB"/>
        </w:rPr>
      </w:pPr>
      <w:bookmarkStart w:id="119" w:name="_Toc221882524"/>
      <w:bookmarkStart w:id="120" w:name="_Toc229036230"/>
      <w:r w:rsidRPr="00ED2B7C">
        <w:rPr>
          <w:lang w:val="en-GB"/>
        </w:rPr>
        <w:t>5.3.2 Surface water monitoring</w:t>
      </w:r>
      <w:bookmarkEnd w:id="119"/>
      <w:bookmarkEnd w:id="120"/>
    </w:p>
    <w:p w14:paraId="53929D7A" w14:textId="2D4A5546" w:rsidR="00ED2B7C" w:rsidRDefault="00ED2B7C" w:rsidP="00ED2B7C">
      <w:pPr>
        <w:jc w:val="both"/>
      </w:pPr>
      <w:r>
        <w:t>Sampling and storage of water samples for chemical analyses are carried out in accordance with Croatian standards, including the Guidelines for Sampling River and Stream Water (HRN EN ISO 5667-6:2016), the Guidelines for Sampling Natural and Artificial Lakes (HRN ISO 5667-4:2016), and the Guidelines for Sample Preservation and Handling (HRN EN ISO 5667-3:2018). Sampling and analytical testing are performed using methods accredited by the Croatian Accreditation Agency, in accordance with the standard General Requirements for the Competence of Testing and Calibration Laboratories (HRN EN ISO/IEC 17025:2017). Where non-accredited methods are applied, they must be fully documented and validated in accordance with HRN EN ISO/IEC 17025:2017 or other equivalent internationally recognized standards.</w:t>
      </w:r>
    </w:p>
    <w:p w14:paraId="2D25E4B1" w14:textId="415C5684" w:rsidR="00ED2B7C" w:rsidRDefault="00ED2B7C" w:rsidP="00ED2B7C">
      <w:pPr>
        <w:jc w:val="both"/>
      </w:pPr>
      <w:r>
        <w:t>Sampling, storage, and both quantitative and qualitative analyses of samples for biological quality elements are conducted in accordance with the standards prescribed in the Methodology for Sampling, Laboratory Analyses, and Determination of Ecological Quality Ratios, as set out in Article 19 of the Regulation on Water Quality Standards (Official Gazette of the Republic of Croatia, No. 96/2019, 20/2023, and 50/2023 – corrigendum).</w:t>
      </w:r>
    </w:p>
    <w:p w14:paraId="1539C220" w14:textId="08D8A36F" w:rsidR="00ED2B7C" w:rsidRDefault="00ED2B7C" w:rsidP="00ED2B7C">
      <w:pPr>
        <w:jc w:val="both"/>
      </w:pPr>
      <w:r>
        <w:t>The calculation of indices, indicators, and ecological quality ratios is performed in accordance with classification methods defined in the reports of completed intercalibration exercises, pursuant to Article 50, paragraph 5 of the Water Act (Official Gazette of the Republic of Croatia, No. 66/2019, 84/2021, and 47/2023), and following the procedure described in CIS Guidance No. 30 – Procedure to Fit New or Updated Classification Methods to the Results of a Completed Intercalibration (European Commission, 2015).</w:t>
      </w:r>
    </w:p>
    <w:p w14:paraId="5AE0943F" w14:textId="37BEC9A3" w:rsidR="00ED2B7C" w:rsidRDefault="00ED2B7C" w:rsidP="00ED2B7C">
      <w:pPr>
        <w:jc w:val="both"/>
      </w:pPr>
      <w:r>
        <w:lastRenderedPageBreak/>
        <w:t>For common intercalibration types for which no intercalibration exercise has been carried out at the level of Geographic Intercalibration Groups (GIGs), classification methods have been developed that comply with the normative definitions of the WFD and address the relevant pressures. For national water body types that do not correspond to any established intercalibration type for ecological status assessment, the existing national classification system has been retained, with minor adjustments.</w:t>
      </w:r>
    </w:p>
    <w:p w14:paraId="32DE5CBB" w14:textId="74A41A90" w:rsidR="00970389" w:rsidRDefault="00ED2B7C" w:rsidP="00ED2B7C">
      <w:pPr>
        <w:jc w:val="both"/>
      </w:pPr>
      <w:r>
        <w:t>This structured QA/QC approach ensures that monitoring data are accurate, comparable, and suitable for chemical status assessments, trend analyses, and ecological quality evaluations across both the Federation of Bosnia and Herzegovina and Croatia.</w:t>
      </w:r>
    </w:p>
    <w:p w14:paraId="4F2B22C8" w14:textId="77777777" w:rsidR="00ED2B7C" w:rsidRDefault="00ED2B7C" w:rsidP="00ED2B7C">
      <w:pPr>
        <w:jc w:val="both"/>
        <w:rPr>
          <w:rFonts w:ascii="Calibri" w:hAnsi="Calibri" w:cs="Calibri"/>
        </w:rPr>
      </w:pPr>
    </w:p>
    <w:p w14:paraId="5C08C29A" w14:textId="77777777" w:rsidR="00EB363E" w:rsidRPr="00EB363E" w:rsidRDefault="00EB363E" w:rsidP="00EB363E">
      <w:pPr>
        <w:pStyle w:val="Heading1"/>
        <w:rPr>
          <w:lang w:val="en-GB"/>
        </w:rPr>
      </w:pPr>
      <w:bookmarkStart w:id="121" w:name="_Toc226984821"/>
      <w:bookmarkStart w:id="122" w:name="_Toc229036231"/>
      <w:r w:rsidRPr="00EB363E">
        <w:rPr>
          <w:lang w:val="en-GB"/>
        </w:rPr>
        <w:t>6. Current approach for groundwater status &amp; risk assessment</w:t>
      </w:r>
      <w:bookmarkEnd w:id="121"/>
      <w:bookmarkEnd w:id="122"/>
      <w:r w:rsidRPr="00EB363E">
        <w:rPr>
          <w:lang w:val="en-GB"/>
        </w:rPr>
        <w:t xml:space="preserve"> </w:t>
      </w:r>
    </w:p>
    <w:p w14:paraId="571E6BAE" w14:textId="77777777" w:rsidR="00EB363E" w:rsidRPr="00B71981" w:rsidRDefault="00EB363E" w:rsidP="00EB363E">
      <w:pPr>
        <w:jc w:val="both"/>
      </w:pPr>
      <w:r w:rsidRPr="00337931">
        <w:t xml:space="preserve">There is no officially prescribed approach for groundwater status and risk assessment in the Federation of Bosnia and Herzegovina. Nevertheless, the legal framework aligned with EU standards is implemented through the Adriatic Sea River Basin Management Plan (Adriatic Sea RBMP), which provides methodology for groundwater status assessment. The plan outlines procedures for establishing background concentrations </w:t>
      </w:r>
      <w:r w:rsidRPr="00B71981">
        <w:t>and threshold values, based on available monitoring data and expert judgment. Within the Adriatic Sea RBMP, a risk assessment and a detailed m</w:t>
      </w:r>
      <w:r>
        <w:t>ethodology were not carried out</w:t>
      </w:r>
      <w:r w:rsidRPr="00B71981">
        <w:t>.</w:t>
      </w:r>
    </w:p>
    <w:p w14:paraId="4515D4F7" w14:textId="0898746A" w:rsidR="00EB363E" w:rsidRPr="00B71981" w:rsidRDefault="00EB363E" w:rsidP="00EB363E">
      <w:pPr>
        <w:jc w:val="both"/>
      </w:pPr>
      <w:r w:rsidRPr="00B71981">
        <w:t xml:space="preserve">The methodology for groundwater status and risk assessment in Croatia was developed in two studies prepared for the 2nd RBMP in Croatia: </w:t>
      </w:r>
      <w:r>
        <w:t>“</w:t>
      </w:r>
      <w:r w:rsidRPr="00B71981">
        <w:t>Definition of Trends and Assessment of Groundwater Status in the Karst Area of Croatia</w:t>
      </w:r>
      <w:r>
        <w:t>”</w:t>
      </w:r>
      <w:r w:rsidRPr="00B71981">
        <w:t xml:space="preserve"> (</w:t>
      </w:r>
      <w:r>
        <w:t>Faculty of geotechnical engineering</w:t>
      </w:r>
      <w:r w:rsidRPr="00B71981">
        <w:t xml:space="preserve">, 2016) and </w:t>
      </w:r>
      <w:r>
        <w:t>“</w:t>
      </w:r>
      <w:r w:rsidRPr="00B71981">
        <w:t>Assessment of Groundwater Status in Areas Directly Connected to Surface Waters and Terrestrial Groundwater</w:t>
      </w:r>
      <w:r w:rsidRPr="00337931">
        <w:t>-Dependent Ecosystems</w:t>
      </w:r>
      <w:r>
        <w:t>”</w:t>
      </w:r>
      <w:r w:rsidRPr="00337931">
        <w:t xml:space="preserve"> (</w:t>
      </w:r>
      <w:r>
        <w:t>Croatian Geological Survey</w:t>
      </w:r>
      <w:r w:rsidRPr="00B71981">
        <w:t xml:space="preserve">, 2016). </w:t>
      </w:r>
    </w:p>
    <w:p w14:paraId="7197F101" w14:textId="1772C67A" w:rsidR="00EB363E" w:rsidRDefault="00EB363E" w:rsidP="00EB363E">
      <w:pPr>
        <w:jc w:val="both"/>
      </w:pPr>
      <w:r w:rsidRPr="00B71981">
        <w:t>In Croatia’s 2</w:t>
      </w:r>
      <w:r w:rsidRPr="00B71981">
        <w:rPr>
          <w:vertAlign w:val="superscript"/>
        </w:rPr>
        <w:t>nd</w:t>
      </w:r>
      <w:r w:rsidRPr="00B71981">
        <w:t xml:space="preserve"> River Basin Management Plan (RBMP), both aquatic and terrestrial groundwater-dependent ecosystems (GDEs) were identified (</w:t>
      </w:r>
      <w:r>
        <w:t>Croatian Geological Survey</w:t>
      </w:r>
      <w:r w:rsidRPr="00B71981">
        <w:t>, 2016), largely corresponding to Natura 2000 sites. In addition, ecosystems directly linked to groundwater</w:t>
      </w:r>
      <w:r>
        <w:t xml:space="preserve"> - </w:t>
      </w:r>
      <w:r w:rsidRPr="00B71981">
        <w:t>such as surface water bodies that rely on groundwater inputs to sustain their ecological functions</w:t>
      </w:r>
      <w:r>
        <w:t xml:space="preserve"> - </w:t>
      </w:r>
      <w:r w:rsidRPr="00B71981">
        <w:t xml:space="preserve">were also considered. For these groundwater-dependent ecosystems, including terrestrial, aquatic, and connected surface waters, quality standards were defined and a methodology for status and risk assessment was proposed. However, the main purpose of this approach was not to assess the ecosystems individually, but rather to support assessment at the groundwater body (GWB, or group of GWBs) scale, particularly </w:t>
      </w:r>
      <w:r w:rsidRPr="00B71981">
        <w:t>regarding</w:t>
      </w:r>
      <w:r w:rsidRPr="00B71981">
        <w:t xml:space="preserve"> their hydraulic and ecological connections to surface waters and dependent terrestrial or aquatic ecosystems.</w:t>
      </w:r>
    </w:p>
    <w:p w14:paraId="70D9E7AC" w14:textId="77777777" w:rsidR="00EB363E" w:rsidRPr="00B71981" w:rsidRDefault="00EB363E" w:rsidP="00EB363E">
      <w:pPr>
        <w:jc w:val="both"/>
      </w:pPr>
    </w:p>
    <w:p w14:paraId="6D059511" w14:textId="77777777" w:rsidR="00EB363E" w:rsidRPr="00EB363E" w:rsidRDefault="00EB363E" w:rsidP="00EB363E">
      <w:pPr>
        <w:pStyle w:val="Heading2"/>
        <w:rPr>
          <w:lang w:val="en-GB"/>
        </w:rPr>
      </w:pPr>
      <w:bookmarkStart w:id="123" w:name="_Toc226984822"/>
      <w:bookmarkStart w:id="124" w:name="_Toc229036232"/>
      <w:r w:rsidRPr="00EB363E">
        <w:rPr>
          <w:lang w:val="en-GB"/>
        </w:rPr>
        <w:t>6.1 Standards, criteria &amp; threshold values</w:t>
      </w:r>
      <w:bookmarkEnd w:id="123"/>
      <w:bookmarkEnd w:id="124"/>
      <w:r w:rsidRPr="00EB363E">
        <w:rPr>
          <w:lang w:val="en-GB"/>
        </w:rPr>
        <w:t xml:space="preserve"> </w:t>
      </w:r>
    </w:p>
    <w:p w14:paraId="0A34A7FD" w14:textId="53F43D31" w:rsidR="00EB363E" w:rsidRPr="00226ABF" w:rsidRDefault="00EB363E" w:rsidP="00EB363E">
      <w:pPr>
        <w:jc w:val="both"/>
      </w:pPr>
      <w:r w:rsidRPr="00226ABF">
        <w:t xml:space="preserve">The assessment of </w:t>
      </w:r>
      <w:r>
        <w:t>groundwater (GW)</w:t>
      </w:r>
      <w:r w:rsidRPr="00226ABF">
        <w:t xml:space="preserve"> chemical status is conducted according to groundwater quality standards (GQS</w:t>
      </w:r>
      <w:r>
        <w:t>) for</w:t>
      </w:r>
      <w:r w:rsidRPr="00226ABF">
        <w:t xml:space="preserve"> nitrates and pesticides and threshold values for specific pollutants. In Croatia, these standards are established under the Regulation on Water Quality Standards (Official Gazette, No. 96/2019, 20/2023, and 50/2023, Annex 6), while in the Federation of Bosnia and Herzegovina, they are defined by the Decision on the Characterization of Surface and Groundwater, Reference Conditions, and Parameters (Official Gazette FBiH, No. 1/14, Annex 8).</w:t>
      </w:r>
    </w:p>
    <w:p w14:paraId="211D3D4C" w14:textId="35A64DED" w:rsidR="00EB363E" w:rsidRPr="00180AAB" w:rsidRDefault="00EB363E" w:rsidP="00EB363E">
      <w:pPr>
        <w:jc w:val="both"/>
      </w:pPr>
      <w:r w:rsidRPr="00180AAB">
        <w:lastRenderedPageBreak/>
        <w:t xml:space="preserve">All parameters used for chemical status assessment: GQD and specific pollutants, are </w:t>
      </w:r>
      <w:r>
        <w:t>provided</w:t>
      </w:r>
      <w:r w:rsidRPr="00041CC3">
        <w:t xml:space="preserve"> in</w:t>
      </w:r>
      <w:r w:rsidRPr="00180AAB">
        <w:t xml:space="preserve"> the previous chapter 5.</w:t>
      </w:r>
    </w:p>
    <w:p w14:paraId="79C562C6" w14:textId="77777777" w:rsidR="00EB363E" w:rsidRDefault="00EB363E" w:rsidP="00EB363E">
      <w:pPr>
        <w:jc w:val="both"/>
      </w:pPr>
      <w:r w:rsidRPr="00C5553F">
        <w:t xml:space="preserve">Within the proposed methodology for groundwater status and risk assessment in Croatia’s 2nd RBMP, the determination of Background Levels (BL) and Threshold Values (TV) was crucial for evaluating chemical status and identifying groundwater bodies at risk of failing to meet good status due to pollution pressures. </w:t>
      </w:r>
    </w:p>
    <w:p w14:paraId="246B41CA" w14:textId="305BA3D6" w:rsidR="00EB363E" w:rsidRPr="00EB363E" w:rsidRDefault="00EB363E" w:rsidP="00EB363E">
      <w:pPr>
        <w:pStyle w:val="Heading3"/>
        <w:rPr>
          <w:lang w:val="en-GB"/>
        </w:rPr>
      </w:pPr>
      <w:bookmarkStart w:id="125" w:name="_Toc229036233"/>
      <w:r w:rsidRPr="00EB363E">
        <w:rPr>
          <w:lang w:val="en-GB"/>
        </w:rPr>
        <w:t xml:space="preserve">6.1.3 </w:t>
      </w:r>
      <w:r w:rsidRPr="00EB363E">
        <w:rPr>
          <w:lang w:val="en-GB"/>
        </w:rPr>
        <w:t>Determination of Background Levels (BL) and Threshold Values (TV)</w:t>
      </w:r>
      <w:bookmarkEnd w:id="125"/>
    </w:p>
    <w:p w14:paraId="41C79F99" w14:textId="77777777" w:rsidR="00EB363E" w:rsidRPr="00C5553F" w:rsidRDefault="00EB363E" w:rsidP="00EB363E">
      <w:pPr>
        <w:spacing w:before="60"/>
        <w:jc w:val="both"/>
      </w:pPr>
      <w:r w:rsidRPr="00C5553F">
        <w:t>The first step in assessing groundwater chemical status under the Water Framework Directive (WFD) involves establishing background levels (BL) and threshold values (TV):</w:t>
      </w:r>
    </w:p>
    <w:p w14:paraId="224299C9" w14:textId="77777777" w:rsidR="00EB363E" w:rsidRPr="00C5553F" w:rsidRDefault="00EB363E" w:rsidP="00041DA3">
      <w:pPr>
        <w:pStyle w:val="ListParagraph"/>
        <w:numPr>
          <w:ilvl w:val="0"/>
          <w:numId w:val="183"/>
        </w:numPr>
        <w:spacing w:before="60"/>
        <w:jc w:val="both"/>
      </w:pPr>
      <w:r w:rsidRPr="00041DA3">
        <w:rPr>
          <w:i/>
          <w:iCs/>
        </w:rPr>
        <w:t>Background Levels (BL)</w:t>
      </w:r>
      <w:r w:rsidRPr="00C5553F">
        <w:t xml:space="preserve"> represent the concentration of a groundwater quality parameter under natural conditions, i.e., not influenced or only minimally affected by human activity.</w:t>
      </w:r>
    </w:p>
    <w:p w14:paraId="70126864" w14:textId="77777777" w:rsidR="00EB363E" w:rsidRPr="00C5553F" w:rsidRDefault="00EB363E" w:rsidP="00041DA3">
      <w:pPr>
        <w:pStyle w:val="ListParagraph"/>
        <w:numPr>
          <w:ilvl w:val="0"/>
          <w:numId w:val="183"/>
        </w:numPr>
        <w:spacing w:before="60"/>
        <w:jc w:val="both"/>
      </w:pPr>
      <w:r w:rsidRPr="00041DA3">
        <w:rPr>
          <w:i/>
          <w:iCs/>
        </w:rPr>
        <w:t>Threshold Values (TV)</w:t>
      </w:r>
      <w:r w:rsidRPr="00C5553F">
        <w:t xml:space="preserve"> correspond to national groundwater quality standards defined in accordance with the Groundwater Directive (GWD).</w:t>
      </w:r>
    </w:p>
    <w:p w14:paraId="0D3BC343" w14:textId="77777777" w:rsidR="00EB363E" w:rsidRPr="00C5553F" w:rsidRDefault="00EB363E" w:rsidP="00EB363E">
      <w:pPr>
        <w:spacing w:before="60"/>
        <w:jc w:val="both"/>
      </w:pPr>
      <w:r w:rsidRPr="00C5553F">
        <w:t xml:space="preserve">In the Croatian karst region, due to broadly similar aquifer characteristics and the limited number of available observation points, BL and TV were determined on a </w:t>
      </w:r>
      <w:r w:rsidRPr="00EB363E">
        <w:t xml:space="preserve">regional </w:t>
      </w:r>
      <w:r w:rsidRPr="00EB363E">
        <w:rPr>
          <w:b/>
          <w:bCs/>
        </w:rPr>
        <w:t>basis</w:t>
      </w:r>
      <w:r w:rsidRPr="00C5553F">
        <w:t>, rather than individually for each grouped groundwater body (GGWB).</w:t>
      </w:r>
    </w:p>
    <w:p w14:paraId="48BE896D" w14:textId="1C244087" w:rsidR="00EB363E" w:rsidRPr="00EB363E" w:rsidRDefault="00EB363E" w:rsidP="00EB363E">
      <w:pPr>
        <w:pStyle w:val="Heading4"/>
        <w:spacing w:after="160"/>
        <w:rPr>
          <w:lang w:val="en-GB"/>
        </w:rPr>
      </w:pPr>
      <w:r w:rsidRPr="00EB363E">
        <w:rPr>
          <w:lang w:val="en-GB"/>
        </w:rPr>
        <w:t xml:space="preserve">6.1.3.1 </w:t>
      </w:r>
      <w:r w:rsidRPr="00EB363E">
        <w:rPr>
          <w:lang w:val="en-GB"/>
        </w:rPr>
        <w:t>Determination of Background Levels (BL)</w:t>
      </w:r>
    </w:p>
    <w:p w14:paraId="50AAFB41" w14:textId="77777777" w:rsidR="00EB363E" w:rsidRPr="00C5553F" w:rsidRDefault="00EB363E" w:rsidP="00EB363E">
      <w:pPr>
        <w:spacing w:before="60"/>
      </w:pPr>
      <w:r w:rsidRPr="00C5553F">
        <w:t>Background levels were calculated using chemical analyses from all monitoring stations fulfilling the defined selection criteria. Data sources included:</w:t>
      </w:r>
    </w:p>
    <w:p w14:paraId="4A75D297" w14:textId="77777777" w:rsidR="00EB363E" w:rsidRPr="00C5553F" w:rsidRDefault="00EB363E" w:rsidP="00041DA3">
      <w:pPr>
        <w:pStyle w:val="ListParagraph"/>
        <w:numPr>
          <w:ilvl w:val="0"/>
          <w:numId w:val="184"/>
        </w:numPr>
        <w:spacing w:before="60"/>
        <w:jc w:val="both"/>
      </w:pPr>
      <w:r w:rsidRPr="00C5553F">
        <w:t>national surveillance monitoring networks, and</w:t>
      </w:r>
    </w:p>
    <w:p w14:paraId="251CCCDD" w14:textId="77777777" w:rsidR="00EB363E" w:rsidRPr="00C5553F" w:rsidRDefault="00EB363E" w:rsidP="00041DA3">
      <w:pPr>
        <w:pStyle w:val="ListParagraph"/>
        <w:numPr>
          <w:ilvl w:val="0"/>
          <w:numId w:val="184"/>
        </w:numPr>
        <w:spacing w:before="60"/>
        <w:jc w:val="both"/>
      </w:pPr>
      <w:r w:rsidRPr="00C5553F">
        <w:t>raw water monitoring from springs and wells used for public water supply.</w:t>
      </w:r>
    </w:p>
    <w:p w14:paraId="5CEC043D" w14:textId="77777777" w:rsidR="00EB363E" w:rsidRPr="00C5553F" w:rsidRDefault="00EB363E" w:rsidP="00EB363E">
      <w:pPr>
        <w:spacing w:before="60"/>
      </w:pPr>
      <w:r w:rsidRPr="00C5553F">
        <w:t>BLs were derived only for those parameters that met the required standards for data quality, representativeness, and spatial coverage.</w:t>
      </w:r>
    </w:p>
    <w:p w14:paraId="656B7CB6" w14:textId="78948325" w:rsidR="00EB363E" w:rsidRPr="002F4776" w:rsidRDefault="00EB363E" w:rsidP="00EB363E">
      <w:pPr>
        <w:pStyle w:val="Heading4"/>
        <w:spacing w:after="160"/>
        <w:rPr>
          <w:lang w:val="en-GB"/>
        </w:rPr>
      </w:pPr>
      <w:r w:rsidRPr="002F4776">
        <w:rPr>
          <w:lang w:val="en-GB"/>
        </w:rPr>
        <w:t xml:space="preserve">6.1.3.2 </w:t>
      </w:r>
      <w:r w:rsidRPr="002F4776">
        <w:rPr>
          <w:lang w:val="en-GB"/>
        </w:rPr>
        <w:t>Determination of Reference Criteria (CV) and Threshold Values (TV)</w:t>
      </w:r>
    </w:p>
    <w:p w14:paraId="679C492D" w14:textId="4BD61E35" w:rsidR="00EB363E" w:rsidRPr="00C5553F" w:rsidRDefault="00EB363E" w:rsidP="00EB363E">
      <w:r w:rsidRPr="00C5553F">
        <w:t xml:space="preserve">The next step consisted of defining </w:t>
      </w:r>
      <w:r w:rsidRPr="00EB363E">
        <w:t>reference criteria (CV)</w:t>
      </w:r>
      <w:r w:rsidRPr="00C5553F">
        <w:t xml:space="preserve"> based on national legislation, </w:t>
      </w:r>
      <w:r w:rsidRPr="00C5553F">
        <w:t>considering</w:t>
      </w:r>
      <w:r w:rsidRPr="00C5553F">
        <w:t xml:space="preserve"> both environmental protection and groundwater use requirements. Where multiple criteria applied, the stricter value was selected as the reference.</w:t>
      </w:r>
    </w:p>
    <w:p w14:paraId="71B0353C" w14:textId="77777777" w:rsidR="00EB363E" w:rsidRPr="00EB363E" w:rsidRDefault="00EB363E" w:rsidP="00EB363E">
      <w:pPr>
        <w:rPr>
          <w:u w:val="single"/>
        </w:rPr>
      </w:pPr>
      <w:r w:rsidRPr="00EB363E">
        <w:rPr>
          <w:u w:val="single"/>
        </w:rPr>
        <w:t>Environmental criteria included:</w:t>
      </w:r>
    </w:p>
    <w:p w14:paraId="0FF74299" w14:textId="77777777" w:rsidR="00EB363E" w:rsidRPr="00C5553F" w:rsidRDefault="00EB363E" w:rsidP="00041DA3">
      <w:pPr>
        <w:pStyle w:val="ListParagraph"/>
        <w:numPr>
          <w:ilvl w:val="0"/>
          <w:numId w:val="185"/>
        </w:numPr>
        <w:jc w:val="both"/>
      </w:pPr>
      <w:r w:rsidRPr="00C5553F">
        <w:t>seawater or other saline intrusions,</w:t>
      </w:r>
    </w:p>
    <w:p w14:paraId="1BC2AE8B" w14:textId="77777777" w:rsidR="00EB363E" w:rsidRPr="00C5553F" w:rsidRDefault="00EB363E" w:rsidP="00041DA3">
      <w:pPr>
        <w:pStyle w:val="ListParagraph"/>
        <w:numPr>
          <w:ilvl w:val="0"/>
          <w:numId w:val="185"/>
        </w:numPr>
        <w:jc w:val="both"/>
      </w:pPr>
      <w:r w:rsidRPr="00C5553F">
        <w:t>interactions with surface waters, and</w:t>
      </w:r>
    </w:p>
    <w:p w14:paraId="16AEBE80" w14:textId="77777777" w:rsidR="00EB363E" w:rsidRPr="00C5553F" w:rsidRDefault="00EB363E" w:rsidP="00041DA3">
      <w:pPr>
        <w:pStyle w:val="ListParagraph"/>
        <w:numPr>
          <w:ilvl w:val="0"/>
          <w:numId w:val="185"/>
        </w:numPr>
        <w:jc w:val="both"/>
      </w:pPr>
      <w:r w:rsidRPr="00C5553F">
        <w:t>protection of terrestrial and aquatic groundwater-dependent ecosystems (GDEs).</w:t>
      </w:r>
    </w:p>
    <w:p w14:paraId="48CEEA39" w14:textId="77777777" w:rsidR="00EB363E" w:rsidRPr="00EB363E" w:rsidRDefault="00EB363E" w:rsidP="00EB363E">
      <w:pPr>
        <w:rPr>
          <w:u w:val="single"/>
        </w:rPr>
      </w:pPr>
      <w:r w:rsidRPr="00EB363E">
        <w:rPr>
          <w:u w:val="single"/>
        </w:rPr>
        <w:t>Use criteria included:</w:t>
      </w:r>
    </w:p>
    <w:p w14:paraId="44FC6F9D" w14:textId="77777777" w:rsidR="00EB363E" w:rsidRPr="00C5553F" w:rsidRDefault="00EB363E" w:rsidP="00041DA3">
      <w:pPr>
        <w:pStyle w:val="ListParagraph"/>
        <w:numPr>
          <w:ilvl w:val="0"/>
          <w:numId w:val="186"/>
        </w:numPr>
        <w:jc w:val="both"/>
      </w:pPr>
      <w:r w:rsidRPr="00C5553F">
        <w:t>drinking water abstraction in protected areas (sanitary protection zones), and</w:t>
      </w:r>
    </w:p>
    <w:p w14:paraId="2352AAE3" w14:textId="77777777" w:rsidR="00EB363E" w:rsidRPr="00C5553F" w:rsidRDefault="00EB363E" w:rsidP="00041DA3">
      <w:pPr>
        <w:pStyle w:val="ListParagraph"/>
        <w:numPr>
          <w:ilvl w:val="0"/>
          <w:numId w:val="186"/>
        </w:numPr>
        <w:jc w:val="both"/>
      </w:pPr>
      <w:r w:rsidRPr="00C5553F">
        <w:t>other groundwater uses (e.g., irrigation, industrial supply).</w:t>
      </w:r>
    </w:p>
    <w:p w14:paraId="35727991" w14:textId="07A2274D" w:rsidR="00EB363E" w:rsidRPr="00C5553F" w:rsidRDefault="00EB363E" w:rsidP="00EB363E">
      <w:pPr>
        <w:jc w:val="both"/>
      </w:pPr>
      <w:r w:rsidRPr="00C5553F">
        <w:t xml:space="preserve">For the Croatian karst region, the </w:t>
      </w:r>
      <w:r w:rsidRPr="00C5553F">
        <w:t>focus</w:t>
      </w:r>
      <w:r w:rsidRPr="00C5553F">
        <w:t xml:space="preserve"> was placed on criteria related to seawater intrusion and groundwater use, with drinking water standards generally representing the strictest use criterion.</w:t>
      </w:r>
    </w:p>
    <w:p w14:paraId="03AE84E0" w14:textId="6E7101A7" w:rsidR="00EB363E" w:rsidRPr="002F4776" w:rsidRDefault="00EB363E" w:rsidP="00EB363E">
      <w:pPr>
        <w:pStyle w:val="Heading4"/>
        <w:spacing w:after="160"/>
        <w:rPr>
          <w:lang w:val="en-GB"/>
        </w:rPr>
      </w:pPr>
      <w:r w:rsidRPr="002F4776">
        <w:rPr>
          <w:lang w:val="en-GB"/>
        </w:rPr>
        <w:lastRenderedPageBreak/>
        <w:t xml:space="preserve">6.1.3.3 </w:t>
      </w:r>
      <w:r w:rsidRPr="002F4776">
        <w:rPr>
          <w:lang w:val="en-GB"/>
        </w:rPr>
        <w:t>Establishing Threshold Values (TV)</w:t>
      </w:r>
    </w:p>
    <w:p w14:paraId="592C26A4" w14:textId="77777777" w:rsidR="00EB363E" w:rsidRPr="00C5553F" w:rsidRDefault="00EB363E" w:rsidP="00EB363E">
      <w:pPr>
        <w:spacing w:before="60" w:afterLines="60" w:after="144"/>
      </w:pPr>
      <w:r w:rsidRPr="00C5553F">
        <w:t>Threshold values were determined through comparison of BL and CV, following two possible cases:</w:t>
      </w:r>
    </w:p>
    <w:p w14:paraId="0DD3544C" w14:textId="7F772BB7" w:rsidR="00EB363E" w:rsidRPr="00C5553F" w:rsidRDefault="00EB363E" w:rsidP="00041DA3">
      <w:pPr>
        <w:pStyle w:val="ListParagraph"/>
        <w:numPr>
          <w:ilvl w:val="0"/>
          <w:numId w:val="187"/>
        </w:numPr>
        <w:spacing w:before="60" w:afterLines="60" w:after="144"/>
        <w:jc w:val="both"/>
      </w:pPr>
      <w:r w:rsidRPr="00EB363E">
        <w:t>If BL &lt; CV</w:t>
      </w:r>
      <w:r w:rsidRPr="00C5553F">
        <w:t xml:space="preserve">, then TV may be set equal to CV, or alternatively </w:t>
      </w:r>
      <w:r w:rsidRPr="00EB363E">
        <w:t>TV = 0.75 × CV</w:t>
      </w:r>
      <w:r w:rsidRPr="00C5553F">
        <w:t xml:space="preserve">, </w:t>
      </w:r>
      <w:r w:rsidRPr="00C5553F">
        <w:t>to</w:t>
      </w:r>
      <w:r w:rsidRPr="00C5553F">
        <w:t xml:space="preserve"> trigger earlier preventive measures.</w:t>
      </w:r>
    </w:p>
    <w:p w14:paraId="7F559E9A" w14:textId="77777777" w:rsidR="00EB363E" w:rsidRPr="00C5553F" w:rsidRDefault="00EB363E" w:rsidP="00041DA3">
      <w:pPr>
        <w:pStyle w:val="ListParagraph"/>
        <w:numPr>
          <w:ilvl w:val="0"/>
          <w:numId w:val="187"/>
        </w:numPr>
        <w:spacing w:before="60" w:afterLines="60" w:after="144"/>
        <w:jc w:val="both"/>
      </w:pPr>
      <w:r w:rsidRPr="00EB363E">
        <w:t>If BL &gt; CV, then TV = BL,</w:t>
      </w:r>
      <w:r w:rsidRPr="00C5553F">
        <w:t xml:space="preserve"> although no such cases were identified in the Croatian karst region.</w:t>
      </w:r>
    </w:p>
    <w:p w14:paraId="12B28697" w14:textId="1A9BC804" w:rsidR="00EB363E" w:rsidRDefault="00EB363E" w:rsidP="00EB363E">
      <w:pPr>
        <w:spacing w:before="60" w:afterLines="60" w:after="144"/>
        <w:jc w:val="both"/>
      </w:pPr>
      <w:r w:rsidRPr="00C5553F">
        <w:t xml:space="preserve">In practice, </w:t>
      </w:r>
      <w:r w:rsidRPr="00EB363E">
        <w:t xml:space="preserve">TV = CV was generally applied in Croatian karst aquifers, </w:t>
      </w:r>
      <w:r w:rsidRPr="00EB363E">
        <w:t>except for</w:t>
      </w:r>
      <w:r w:rsidRPr="00EB363E">
        <w:t xml:space="preserve"> nitrates, for which TV = 0.75 × CV</w:t>
      </w:r>
      <w:r w:rsidRPr="00C5553F">
        <w:t xml:space="preserve"> was adopted to anticipate potential future increases and support early preventive action.</w:t>
      </w:r>
    </w:p>
    <w:p w14:paraId="65E20015" w14:textId="75F1629F" w:rsidR="00EB363E" w:rsidRDefault="00EB363E" w:rsidP="00041DA3">
      <w:pPr>
        <w:spacing w:before="60" w:afterLines="60" w:after="144"/>
        <w:jc w:val="both"/>
      </w:pPr>
      <w:r w:rsidRPr="00C5553F">
        <w:t xml:space="preserve">The calculated threshold values are presented in </w:t>
      </w:r>
      <w:r w:rsidR="00041DA3" w:rsidRPr="00041DA3">
        <w:t>the following chapter</w:t>
      </w:r>
      <w:r>
        <w:t xml:space="preserve"> together with the threshold values used for RBMP of </w:t>
      </w:r>
      <w:r w:rsidR="00041DA3">
        <w:t>Adriatic Sea</w:t>
      </w:r>
      <w:r>
        <w:t xml:space="preserve"> basin in FBIH.</w:t>
      </w:r>
    </w:p>
    <w:p w14:paraId="59E76F61" w14:textId="77777777" w:rsidR="00041DA3" w:rsidRDefault="00041DA3" w:rsidP="00EB363E">
      <w:pPr>
        <w:pStyle w:val="Heading2"/>
      </w:pPr>
    </w:p>
    <w:p w14:paraId="2A2A0C6F" w14:textId="48615ADB" w:rsidR="00EB363E" w:rsidRPr="00041DA3" w:rsidRDefault="00EB363E" w:rsidP="00041DA3">
      <w:pPr>
        <w:pStyle w:val="Heading2"/>
        <w:rPr>
          <w:lang w:val="en-GB"/>
        </w:rPr>
      </w:pPr>
      <w:bookmarkStart w:id="126" w:name="_Toc229036234"/>
      <w:r w:rsidRPr="00041DA3">
        <w:rPr>
          <w:lang w:val="en-GB"/>
        </w:rPr>
        <w:t>6.2 Chemical and quantitative status assessment</w:t>
      </w:r>
      <w:bookmarkEnd w:id="126"/>
    </w:p>
    <w:p w14:paraId="2A2BB9E5" w14:textId="402666A8" w:rsidR="00EB363E" w:rsidRDefault="00041DA3" w:rsidP="00041DA3">
      <w:pPr>
        <w:jc w:val="both"/>
      </w:pPr>
      <w:r>
        <w:t xml:space="preserve">The </w:t>
      </w:r>
      <w:r w:rsidR="00EB363E" w:rsidRPr="00360191">
        <w:t xml:space="preserve">study </w:t>
      </w:r>
      <w:r>
        <w:t>“</w:t>
      </w:r>
      <w:r w:rsidR="00EB363E" w:rsidRPr="00360191">
        <w:t>Definition of Trends and Assessment of Groundwater Status in the Karst Area of Croatia</w:t>
      </w:r>
      <w:r>
        <w:t>”</w:t>
      </w:r>
      <w:r w:rsidR="00EB363E" w:rsidRPr="00360191">
        <w:t xml:space="preserve"> (</w:t>
      </w:r>
      <w:r>
        <w:t>Faculty of geotechnical engineering</w:t>
      </w:r>
      <w:r w:rsidR="00EB363E" w:rsidRPr="00360191">
        <w:t>, 2016)</w:t>
      </w:r>
      <w:r>
        <w:t xml:space="preserve"> </w:t>
      </w:r>
      <w:r w:rsidR="00EB363E" w:rsidRPr="00360191">
        <w:t>proposed a methodology for assessing the chemical status of groundwater bodies, including procedures for determining background and threshold values, performing chemical status evaluations, and identifying statistically significant trends as well as trend reversal points. Within this study</w:t>
      </w:r>
      <w:r w:rsidR="00EB363E" w:rsidRPr="00E63924">
        <w:t xml:space="preserve">, four out of six tests </w:t>
      </w:r>
      <w:r w:rsidR="00EB363E" w:rsidRPr="00360191">
        <w:t>were proposed and performed for GWB status assessment, namely: Water balance test, General Quality</w:t>
      </w:r>
      <w:r w:rsidR="00EB363E" w:rsidRPr="00180AAB">
        <w:t xml:space="preserve"> Assessment test, Salinization and Other Intrusions test and Sanitary Protection Zone test. The other two tests: Surface Water test and Groundwater-Dependent Ecosystem test were proposed and performed within the Assessment of Groundwater Status in Areas Directly Connected to Surface Waters and Terrestrial Groundwater-Dependent Ecosystems (</w:t>
      </w:r>
      <w:r>
        <w:t>Croatian Geological Survey</w:t>
      </w:r>
      <w:r w:rsidR="00EB363E" w:rsidRPr="00180AAB">
        <w:t xml:space="preserve">, 2016). </w:t>
      </w:r>
    </w:p>
    <w:p w14:paraId="6A87492D" w14:textId="3A3ACB16" w:rsidR="00EB363E" w:rsidRPr="00C5553F" w:rsidRDefault="002F4776" w:rsidP="002F4776">
      <w:pPr>
        <w:pStyle w:val="Caption"/>
      </w:pPr>
      <w:bookmarkStart w:id="127" w:name="_Toc229037737"/>
      <w:r>
        <w:t xml:space="preserve">Table </w:t>
      </w:r>
      <w:r>
        <w:fldChar w:fldCharType="begin"/>
      </w:r>
      <w:r>
        <w:instrText xml:space="preserve"> SEQ Table \* ARABIC </w:instrText>
      </w:r>
      <w:r>
        <w:fldChar w:fldCharType="separate"/>
      </w:r>
      <w:r>
        <w:rPr>
          <w:noProof/>
        </w:rPr>
        <w:t>15</w:t>
      </w:r>
      <w:r>
        <w:fldChar w:fldCharType="end"/>
      </w:r>
      <w:r>
        <w:t xml:space="preserve"> </w:t>
      </w:r>
      <w:r w:rsidRPr="001F64B1">
        <w:t>Critical and Threshold Values for karst areas in Croatia, and Adriatic Sea basin in FBIH</w:t>
      </w:r>
      <w:bookmarkEnd w:id="127"/>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247"/>
        <w:gridCol w:w="1313"/>
        <w:gridCol w:w="1900"/>
        <w:gridCol w:w="1035"/>
        <w:gridCol w:w="987"/>
        <w:gridCol w:w="2514"/>
      </w:tblGrid>
      <w:tr w:rsidR="00041DA3" w:rsidRPr="00041DA3" w14:paraId="3C036076" w14:textId="77777777" w:rsidTr="00041DA3">
        <w:trPr>
          <w:trHeight w:val="332"/>
        </w:trPr>
        <w:tc>
          <w:tcPr>
            <w:tcW w:w="2560" w:type="dxa"/>
            <w:gridSpan w:val="2"/>
            <w:shd w:val="clear" w:color="auto" w:fill="A5C9EB"/>
            <w:vAlign w:val="center"/>
          </w:tcPr>
          <w:p w14:paraId="5818B280" w14:textId="7D4F7D08" w:rsidR="00041DA3" w:rsidRPr="00041DA3" w:rsidRDefault="00041DA3" w:rsidP="000C1F71">
            <w:pPr>
              <w:rPr>
                <w:sz w:val="16"/>
                <w:szCs w:val="16"/>
              </w:rPr>
            </w:pPr>
            <w:r w:rsidRPr="00041DA3">
              <w:rPr>
                <w:b/>
                <w:bCs/>
                <w:sz w:val="16"/>
                <w:szCs w:val="16"/>
              </w:rPr>
              <w:t>CRITERIA</w:t>
            </w:r>
          </w:p>
        </w:tc>
        <w:tc>
          <w:tcPr>
            <w:tcW w:w="1900" w:type="dxa"/>
            <w:shd w:val="clear" w:color="auto" w:fill="A5C9EB"/>
            <w:vAlign w:val="center"/>
          </w:tcPr>
          <w:p w14:paraId="4684CDEA" w14:textId="77777777" w:rsidR="00041DA3" w:rsidRPr="00041DA3" w:rsidRDefault="00041DA3" w:rsidP="000C1F71">
            <w:pPr>
              <w:rPr>
                <w:b/>
                <w:bCs/>
                <w:sz w:val="16"/>
                <w:szCs w:val="16"/>
              </w:rPr>
            </w:pPr>
            <w:r w:rsidRPr="00041DA3">
              <w:rPr>
                <w:b/>
                <w:bCs/>
                <w:sz w:val="16"/>
                <w:szCs w:val="16"/>
              </w:rPr>
              <w:t>PARAMETER</w:t>
            </w:r>
          </w:p>
        </w:tc>
        <w:tc>
          <w:tcPr>
            <w:tcW w:w="1035" w:type="dxa"/>
            <w:shd w:val="clear" w:color="auto" w:fill="A5C9EB"/>
            <w:vAlign w:val="center"/>
          </w:tcPr>
          <w:p w14:paraId="6FDC55AF" w14:textId="77777777" w:rsidR="00041DA3" w:rsidRPr="00041DA3" w:rsidRDefault="00041DA3" w:rsidP="000C1F71">
            <w:pPr>
              <w:rPr>
                <w:b/>
                <w:bCs/>
                <w:sz w:val="16"/>
                <w:szCs w:val="16"/>
              </w:rPr>
            </w:pPr>
            <w:r w:rsidRPr="00041DA3">
              <w:rPr>
                <w:b/>
                <w:bCs/>
                <w:sz w:val="16"/>
                <w:szCs w:val="16"/>
              </w:rPr>
              <w:t>CV</w:t>
            </w:r>
          </w:p>
        </w:tc>
        <w:tc>
          <w:tcPr>
            <w:tcW w:w="987" w:type="dxa"/>
            <w:shd w:val="clear" w:color="auto" w:fill="A5C9EB"/>
            <w:vAlign w:val="center"/>
          </w:tcPr>
          <w:p w14:paraId="72D005F2" w14:textId="77777777" w:rsidR="00041DA3" w:rsidRPr="00041DA3" w:rsidRDefault="00041DA3" w:rsidP="000C1F71">
            <w:pPr>
              <w:rPr>
                <w:b/>
                <w:bCs/>
                <w:sz w:val="16"/>
                <w:szCs w:val="16"/>
              </w:rPr>
            </w:pPr>
            <w:r w:rsidRPr="00041DA3">
              <w:rPr>
                <w:b/>
                <w:bCs/>
                <w:sz w:val="16"/>
                <w:szCs w:val="16"/>
              </w:rPr>
              <w:t>TV</w:t>
            </w:r>
          </w:p>
        </w:tc>
        <w:tc>
          <w:tcPr>
            <w:tcW w:w="2514" w:type="dxa"/>
            <w:shd w:val="clear" w:color="auto" w:fill="A5C9EB"/>
            <w:vAlign w:val="center"/>
          </w:tcPr>
          <w:p w14:paraId="3180F9FE" w14:textId="77777777" w:rsidR="00041DA3" w:rsidRPr="00041DA3" w:rsidRDefault="00041DA3" w:rsidP="000C1F71">
            <w:pPr>
              <w:jc w:val="center"/>
              <w:rPr>
                <w:b/>
                <w:bCs/>
                <w:sz w:val="16"/>
                <w:szCs w:val="16"/>
              </w:rPr>
            </w:pPr>
            <w:r w:rsidRPr="00041DA3">
              <w:rPr>
                <w:b/>
                <w:bCs/>
                <w:sz w:val="16"/>
                <w:szCs w:val="16"/>
              </w:rPr>
              <w:t>TV BIH</w:t>
            </w:r>
          </w:p>
        </w:tc>
      </w:tr>
      <w:tr w:rsidR="00EB363E" w:rsidRPr="00041DA3" w14:paraId="72F564DB" w14:textId="77777777" w:rsidTr="00041DA3">
        <w:tc>
          <w:tcPr>
            <w:tcW w:w="1247" w:type="dxa"/>
            <w:shd w:val="clear" w:color="auto" w:fill="D9E2F3" w:themeFill="accent1" w:themeFillTint="33"/>
            <w:vAlign w:val="center"/>
          </w:tcPr>
          <w:p w14:paraId="68986AE1" w14:textId="77777777" w:rsidR="00EB363E" w:rsidRPr="00041DA3" w:rsidRDefault="00EB363E" w:rsidP="000C1F71">
            <w:pPr>
              <w:rPr>
                <w:b/>
                <w:bCs/>
                <w:sz w:val="16"/>
                <w:szCs w:val="16"/>
              </w:rPr>
            </w:pPr>
            <w:r w:rsidRPr="00041DA3">
              <w:rPr>
                <w:b/>
                <w:bCs/>
                <w:sz w:val="16"/>
                <w:szCs w:val="16"/>
              </w:rPr>
              <w:t>Environmental</w:t>
            </w:r>
          </w:p>
        </w:tc>
        <w:tc>
          <w:tcPr>
            <w:tcW w:w="1313" w:type="dxa"/>
            <w:shd w:val="clear" w:color="auto" w:fill="D9E2F3" w:themeFill="accent1" w:themeFillTint="33"/>
            <w:vAlign w:val="center"/>
          </w:tcPr>
          <w:p w14:paraId="3A4915AD" w14:textId="77777777" w:rsidR="00EB363E" w:rsidRPr="00041DA3" w:rsidRDefault="00EB363E" w:rsidP="000C1F71">
            <w:pPr>
              <w:rPr>
                <w:sz w:val="16"/>
                <w:szCs w:val="16"/>
              </w:rPr>
            </w:pPr>
            <w:r w:rsidRPr="00041DA3">
              <w:rPr>
                <w:sz w:val="16"/>
                <w:szCs w:val="16"/>
              </w:rPr>
              <w:t>Seawater or other saline intrusions</w:t>
            </w:r>
          </w:p>
        </w:tc>
        <w:tc>
          <w:tcPr>
            <w:tcW w:w="1900" w:type="dxa"/>
            <w:shd w:val="clear" w:color="auto" w:fill="D9E2F3" w:themeFill="accent1" w:themeFillTint="33"/>
            <w:vAlign w:val="center"/>
          </w:tcPr>
          <w:p w14:paraId="20D162D2" w14:textId="77777777" w:rsidR="00EB363E" w:rsidRPr="00041DA3" w:rsidRDefault="00EB363E" w:rsidP="000C1F71">
            <w:pPr>
              <w:rPr>
                <w:sz w:val="16"/>
                <w:szCs w:val="16"/>
              </w:rPr>
            </w:pPr>
            <w:r w:rsidRPr="00041DA3">
              <w:rPr>
                <w:sz w:val="16"/>
                <w:szCs w:val="16"/>
              </w:rPr>
              <w:t>Electrical conductivity (µS/cm)</w:t>
            </w:r>
          </w:p>
        </w:tc>
        <w:tc>
          <w:tcPr>
            <w:tcW w:w="2022" w:type="dxa"/>
            <w:gridSpan w:val="2"/>
            <w:shd w:val="clear" w:color="auto" w:fill="D9E2F3" w:themeFill="accent1" w:themeFillTint="33"/>
            <w:vAlign w:val="center"/>
          </w:tcPr>
          <w:p w14:paraId="1BC8C505" w14:textId="77777777" w:rsidR="00EB363E" w:rsidRPr="00041DA3" w:rsidRDefault="00EB363E" w:rsidP="000C1F71">
            <w:pPr>
              <w:rPr>
                <w:sz w:val="16"/>
                <w:szCs w:val="16"/>
              </w:rPr>
            </w:pPr>
            <w:r w:rsidRPr="00041DA3">
              <w:rPr>
                <w:sz w:val="16"/>
                <w:szCs w:val="16"/>
              </w:rPr>
              <w:t>1250</w:t>
            </w:r>
          </w:p>
        </w:tc>
        <w:tc>
          <w:tcPr>
            <w:tcW w:w="2514" w:type="dxa"/>
            <w:shd w:val="clear" w:color="auto" w:fill="D9E2F3" w:themeFill="accent1" w:themeFillTint="33"/>
            <w:vAlign w:val="center"/>
          </w:tcPr>
          <w:p w14:paraId="003B032C" w14:textId="77777777" w:rsidR="00EB363E" w:rsidRPr="00041DA3" w:rsidRDefault="00EB363E" w:rsidP="000C1F71">
            <w:pPr>
              <w:rPr>
                <w:sz w:val="16"/>
                <w:szCs w:val="16"/>
              </w:rPr>
            </w:pPr>
          </w:p>
        </w:tc>
      </w:tr>
      <w:tr w:rsidR="00EB363E" w:rsidRPr="00041DA3" w14:paraId="5051118F" w14:textId="77777777" w:rsidTr="00041DA3">
        <w:tc>
          <w:tcPr>
            <w:tcW w:w="1247" w:type="dxa"/>
            <w:vMerge w:val="restart"/>
            <w:shd w:val="clear" w:color="auto" w:fill="D9E2F3" w:themeFill="accent1" w:themeFillTint="33"/>
            <w:vAlign w:val="center"/>
          </w:tcPr>
          <w:p w14:paraId="4B2B1667" w14:textId="77777777" w:rsidR="00EB363E" w:rsidRPr="00041DA3" w:rsidRDefault="00EB363E" w:rsidP="000C1F71">
            <w:pPr>
              <w:rPr>
                <w:b/>
                <w:bCs/>
                <w:sz w:val="16"/>
                <w:szCs w:val="16"/>
              </w:rPr>
            </w:pPr>
            <w:r w:rsidRPr="00041DA3">
              <w:rPr>
                <w:b/>
                <w:bCs/>
                <w:sz w:val="16"/>
                <w:szCs w:val="16"/>
              </w:rPr>
              <w:t>Use</w:t>
            </w:r>
          </w:p>
        </w:tc>
        <w:tc>
          <w:tcPr>
            <w:tcW w:w="1313" w:type="dxa"/>
            <w:vMerge w:val="restart"/>
            <w:shd w:val="clear" w:color="auto" w:fill="D9E2F3" w:themeFill="accent1" w:themeFillTint="33"/>
            <w:vAlign w:val="center"/>
          </w:tcPr>
          <w:p w14:paraId="4F074469" w14:textId="77777777" w:rsidR="00EB363E" w:rsidRPr="00041DA3" w:rsidRDefault="00EB363E" w:rsidP="000C1F71">
            <w:pPr>
              <w:rPr>
                <w:sz w:val="16"/>
                <w:szCs w:val="16"/>
              </w:rPr>
            </w:pPr>
            <w:r w:rsidRPr="00041DA3">
              <w:rPr>
                <w:sz w:val="16"/>
                <w:szCs w:val="16"/>
              </w:rPr>
              <w:t>Drinking water</w:t>
            </w:r>
          </w:p>
        </w:tc>
        <w:tc>
          <w:tcPr>
            <w:tcW w:w="1900" w:type="dxa"/>
            <w:shd w:val="clear" w:color="auto" w:fill="FFFFFF" w:themeFill="background1"/>
            <w:vAlign w:val="center"/>
          </w:tcPr>
          <w:p w14:paraId="64D84590" w14:textId="77777777" w:rsidR="00EB363E" w:rsidRPr="00041DA3" w:rsidRDefault="00EB363E" w:rsidP="000C1F71">
            <w:pPr>
              <w:rPr>
                <w:sz w:val="16"/>
                <w:szCs w:val="16"/>
              </w:rPr>
            </w:pPr>
            <w:r w:rsidRPr="00041DA3">
              <w:rPr>
                <w:sz w:val="16"/>
                <w:szCs w:val="16"/>
              </w:rPr>
              <w:t xml:space="preserve">Dissolved OXYGEN </w:t>
            </w:r>
          </w:p>
        </w:tc>
        <w:tc>
          <w:tcPr>
            <w:tcW w:w="2022" w:type="dxa"/>
            <w:gridSpan w:val="2"/>
            <w:shd w:val="clear" w:color="auto" w:fill="FFFFFF" w:themeFill="background1"/>
            <w:vAlign w:val="center"/>
          </w:tcPr>
          <w:p w14:paraId="57F181D9" w14:textId="77777777" w:rsidR="00EB363E" w:rsidRPr="00041DA3" w:rsidRDefault="00EB363E" w:rsidP="000C1F71">
            <w:pPr>
              <w:rPr>
                <w:sz w:val="16"/>
                <w:szCs w:val="16"/>
              </w:rPr>
            </w:pPr>
            <w:r w:rsidRPr="00041DA3">
              <w:rPr>
                <w:sz w:val="16"/>
                <w:szCs w:val="16"/>
              </w:rPr>
              <w:t>No significant change</w:t>
            </w:r>
          </w:p>
        </w:tc>
        <w:tc>
          <w:tcPr>
            <w:tcW w:w="2514" w:type="dxa"/>
            <w:shd w:val="clear" w:color="auto" w:fill="FFFFFF" w:themeFill="background1"/>
            <w:vAlign w:val="center"/>
          </w:tcPr>
          <w:p w14:paraId="670F482F" w14:textId="77777777" w:rsidR="00EB363E" w:rsidRPr="00041DA3" w:rsidRDefault="00EB363E" w:rsidP="000C1F71">
            <w:pPr>
              <w:rPr>
                <w:sz w:val="16"/>
                <w:szCs w:val="16"/>
              </w:rPr>
            </w:pPr>
          </w:p>
        </w:tc>
      </w:tr>
      <w:tr w:rsidR="00EB363E" w:rsidRPr="00041DA3" w14:paraId="5AD3F4AC" w14:textId="77777777" w:rsidTr="00041DA3">
        <w:tc>
          <w:tcPr>
            <w:tcW w:w="1247" w:type="dxa"/>
            <w:vMerge/>
            <w:vAlign w:val="center"/>
          </w:tcPr>
          <w:p w14:paraId="511B76A9" w14:textId="77777777" w:rsidR="00EB363E" w:rsidRPr="00041DA3" w:rsidRDefault="00EB363E" w:rsidP="000C1F71">
            <w:pPr>
              <w:rPr>
                <w:sz w:val="16"/>
                <w:szCs w:val="16"/>
              </w:rPr>
            </w:pPr>
          </w:p>
        </w:tc>
        <w:tc>
          <w:tcPr>
            <w:tcW w:w="1313" w:type="dxa"/>
            <w:vMerge/>
            <w:vAlign w:val="center"/>
          </w:tcPr>
          <w:p w14:paraId="25A417D3" w14:textId="77777777" w:rsidR="00EB363E" w:rsidRPr="00041DA3" w:rsidRDefault="00EB363E" w:rsidP="000C1F71">
            <w:pPr>
              <w:rPr>
                <w:sz w:val="16"/>
                <w:szCs w:val="16"/>
              </w:rPr>
            </w:pPr>
          </w:p>
        </w:tc>
        <w:tc>
          <w:tcPr>
            <w:tcW w:w="1900" w:type="dxa"/>
            <w:vAlign w:val="center"/>
          </w:tcPr>
          <w:p w14:paraId="2332B8BE" w14:textId="77777777" w:rsidR="00EB363E" w:rsidRPr="00041DA3" w:rsidRDefault="00EB363E" w:rsidP="000C1F71">
            <w:pPr>
              <w:rPr>
                <w:sz w:val="16"/>
                <w:szCs w:val="16"/>
              </w:rPr>
            </w:pPr>
            <w:r w:rsidRPr="00041DA3">
              <w:rPr>
                <w:sz w:val="16"/>
                <w:szCs w:val="16"/>
              </w:rPr>
              <w:t>pH</w:t>
            </w:r>
          </w:p>
        </w:tc>
        <w:tc>
          <w:tcPr>
            <w:tcW w:w="2022" w:type="dxa"/>
            <w:gridSpan w:val="2"/>
            <w:vAlign w:val="center"/>
          </w:tcPr>
          <w:p w14:paraId="6BE6289D" w14:textId="77777777" w:rsidR="00EB363E" w:rsidRPr="00041DA3" w:rsidRDefault="00EB363E" w:rsidP="000C1F71">
            <w:pPr>
              <w:rPr>
                <w:sz w:val="16"/>
                <w:szCs w:val="16"/>
              </w:rPr>
            </w:pPr>
            <w:r w:rsidRPr="00041DA3">
              <w:rPr>
                <w:sz w:val="16"/>
                <w:szCs w:val="16"/>
              </w:rPr>
              <w:t>6,5-9,5</w:t>
            </w:r>
          </w:p>
        </w:tc>
        <w:tc>
          <w:tcPr>
            <w:tcW w:w="2514" w:type="dxa"/>
            <w:vAlign w:val="center"/>
          </w:tcPr>
          <w:p w14:paraId="77B0F5D5" w14:textId="77777777" w:rsidR="00EB363E" w:rsidRPr="00041DA3" w:rsidRDefault="00EB363E" w:rsidP="000C1F71">
            <w:pPr>
              <w:rPr>
                <w:sz w:val="16"/>
                <w:szCs w:val="16"/>
              </w:rPr>
            </w:pPr>
            <w:r w:rsidRPr="00041DA3">
              <w:rPr>
                <w:sz w:val="16"/>
                <w:szCs w:val="16"/>
              </w:rPr>
              <w:t>6,5-8,5</w:t>
            </w:r>
          </w:p>
        </w:tc>
      </w:tr>
      <w:tr w:rsidR="00EB363E" w:rsidRPr="00041DA3" w14:paraId="154E8663" w14:textId="77777777" w:rsidTr="00041DA3">
        <w:tc>
          <w:tcPr>
            <w:tcW w:w="1247" w:type="dxa"/>
            <w:vMerge/>
            <w:vAlign w:val="center"/>
          </w:tcPr>
          <w:p w14:paraId="105E53E9" w14:textId="77777777" w:rsidR="00EB363E" w:rsidRPr="00041DA3" w:rsidRDefault="00EB363E" w:rsidP="000C1F71">
            <w:pPr>
              <w:rPr>
                <w:sz w:val="16"/>
                <w:szCs w:val="16"/>
              </w:rPr>
            </w:pPr>
          </w:p>
        </w:tc>
        <w:tc>
          <w:tcPr>
            <w:tcW w:w="1313" w:type="dxa"/>
            <w:vMerge/>
            <w:vAlign w:val="center"/>
          </w:tcPr>
          <w:p w14:paraId="0DC5DAEE" w14:textId="77777777" w:rsidR="00EB363E" w:rsidRPr="00041DA3" w:rsidRDefault="00EB363E" w:rsidP="000C1F71">
            <w:pPr>
              <w:rPr>
                <w:sz w:val="16"/>
                <w:szCs w:val="16"/>
              </w:rPr>
            </w:pPr>
          </w:p>
        </w:tc>
        <w:tc>
          <w:tcPr>
            <w:tcW w:w="1900" w:type="dxa"/>
            <w:vAlign w:val="center"/>
          </w:tcPr>
          <w:p w14:paraId="7A6C824C" w14:textId="77777777" w:rsidR="00EB363E" w:rsidRPr="00041DA3" w:rsidRDefault="00EB363E" w:rsidP="000C1F71">
            <w:pPr>
              <w:rPr>
                <w:sz w:val="16"/>
                <w:szCs w:val="16"/>
              </w:rPr>
            </w:pPr>
            <w:r w:rsidRPr="00041DA3">
              <w:rPr>
                <w:sz w:val="16"/>
                <w:szCs w:val="16"/>
              </w:rPr>
              <w:t xml:space="preserve">Electrical conductivity </w:t>
            </w:r>
          </w:p>
        </w:tc>
        <w:tc>
          <w:tcPr>
            <w:tcW w:w="2022" w:type="dxa"/>
            <w:gridSpan w:val="2"/>
            <w:vAlign w:val="center"/>
          </w:tcPr>
          <w:p w14:paraId="2FCF9366" w14:textId="77777777" w:rsidR="00EB363E" w:rsidRPr="00041DA3" w:rsidRDefault="00EB363E" w:rsidP="000C1F71">
            <w:pPr>
              <w:rPr>
                <w:sz w:val="16"/>
                <w:szCs w:val="16"/>
              </w:rPr>
            </w:pPr>
            <w:r w:rsidRPr="00041DA3">
              <w:rPr>
                <w:sz w:val="16"/>
                <w:szCs w:val="16"/>
              </w:rPr>
              <w:t>2500 (µS/cm)</w:t>
            </w:r>
          </w:p>
        </w:tc>
        <w:tc>
          <w:tcPr>
            <w:tcW w:w="2514" w:type="dxa"/>
            <w:vAlign w:val="center"/>
          </w:tcPr>
          <w:p w14:paraId="49567836" w14:textId="77777777" w:rsidR="00EB363E" w:rsidRPr="00041DA3" w:rsidRDefault="00EB363E" w:rsidP="000C1F71">
            <w:pPr>
              <w:rPr>
                <w:sz w:val="16"/>
                <w:szCs w:val="16"/>
              </w:rPr>
            </w:pPr>
          </w:p>
        </w:tc>
      </w:tr>
      <w:tr w:rsidR="00EB363E" w:rsidRPr="00041DA3" w14:paraId="406B8BEC" w14:textId="77777777" w:rsidTr="00041DA3">
        <w:tc>
          <w:tcPr>
            <w:tcW w:w="1247" w:type="dxa"/>
            <w:vMerge/>
            <w:vAlign w:val="center"/>
          </w:tcPr>
          <w:p w14:paraId="0086447B" w14:textId="77777777" w:rsidR="00EB363E" w:rsidRPr="00041DA3" w:rsidRDefault="00EB363E" w:rsidP="000C1F71">
            <w:pPr>
              <w:rPr>
                <w:sz w:val="16"/>
                <w:szCs w:val="16"/>
              </w:rPr>
            </w:pPr>
          </w:p>
        </w:tc>
        <w:tc>
          <w:tcPr>
            <w:tcW w:w="1313" w:type="dxa"/>
            <w:vMerge/>
            <w:vAlign w:val="center"/>
          </w:tcPr>
          <w:p w14:paraId="39FDE538" w14:textId="77777777" w:rsidR="00EB363E" w:rsidRPr="00041DA3" w:rsidRDefault="00EB363E" w:rsidP="000C1F71">
            <w:pPr>
              <w:rPr>
                <w:sz w:val="16"/>
                <w:szCs w:val="16"/>
              </w:rPr>
            </w:pPr>
          </w:p>
        </w:tc>
        <w:tc>
          <w:tcPr>
            <w:tcW w:w="1900" w:type="dxa"/>
            <w:vAlign w:val="center"/>
          </w:tcPr>
          <w:p w14:paraId="5C4F7A92" w14:textId="77777777" w:rsidR="00EB363E" w:rsidRPr="00041DA3" w:rsidRDefault="00EB363E" w:rsidP="000C1F71">
            <w:pPr>
              <w:rPr>
                <w:sz w:val="16"/>
                <w:szCs w:val="16"/>
              </w:rPr>
            </w:pPr>
            <w:r w:rsidRPr="00041DA3">
              <w:rPr>
                <w:rFonts w:eastAsia="Aptos" w:cstheme="minorHAnsi"/>
                <w:sz w:val="16"/>
                <w:szCs w:val="16"/>
              </w:rPr>
              <w:t xml:space="preserve">Nitrates </w:t>
            </w:r>
          </w:p>
        </w:tc>
        <w:tc>
          <w:tcPr>
            <w:tcW w:w="1035" w:type="dxa"/>
            <w:vAlign w:val="center"/>
          </w:tcPr>
          <w:p w14:paraId="701E278D" w14:textId="77777777" w:rsidR="00EB363E" w:rsidRPr="00041DA3" w:rsidRDefault="00EB363E" w:rsidP="000C1F71">
            <w:pPr>
              <w:rPr>
                <w:sz w:val="16"/>
                <w:szCs w:val="16"/>
              </w:rPr>
            </w:pPr>
            <w:r w:rsidRPr="00041DA3">
              <w:rPr>
                <w:sz w:val="16"/>
                <w:szCs w:val="16"/>
              </w:rPr>
              <w:t xml:space="preserve">50 </w:t>
            </w:r>
            <w:r w:rsidRPr="00041DA3">
              <w:rPr>
                <w:rFonts w:eastAsia="Aptos" w:cstheme="minorHAnsi"/>
                <w:sz w:val="16"/>
                <w:szCs w:val="16"/>
              </w:rPr>
              <w:t>(mg/l)</w:t>
            </w:r>
          </w:p>
        </w:tc>
        <w:tc>
          <w:tcPr>
            <w:tcW w:w="987" w:type="dxa"/>
            <w:vAlign w:val="center"/>
          </w:tcPr>
          <w:p w14:paraId="4FE0375F" w14:textId="77777777" w:rsidR="00EB363E" w:rsidRPr="00041DA3" w:rsidRDefault="00EB363E" w:rsidP="000C1F71">
            <w:pPr>
              <w:rPr>
                <w:sz w:val="16"/>
                <w:szCs w:val="16"/>
              </w:rPr>
            </w:pPr>
            <w:r w:rsidRPr="00041DA3">
              <w:rPr>
                <w:sz w:val="16"/>
                <w:szCs w:val="16"/>
              </w:rPr>
              <w:t xml:space="preserve">37,5 </w:t>
            </w:r>
            <w:r w:rsidRPr="00041DA3">
              <w:rPr>
                <w:rFonts w:eastAsia="Aptos" w:cstheme="minorHAnsi"/>
                <w:sz w:val="16"/>
                <w:szCs w:val="16"/>
              </w:rPr>
              <w:t>(mg/l)</w:t>
            </w:r>
          </w:p>
        </w:tc>
        <w:tc>
          <w:tcPr>
            <w:tcW w:w="2514" w:type="dxa"/>
            <w:vAlign w:val="center"/>
          </w:tcPr>
          <w:p w14:paraId="67B907C2" w14:textId="77777777" w:rsidR="00EB363E" w:rsidRPr="00041DA3" w:rsidRDefault="00EB363E" w:rsidP="000C1F71">
            <w:pPr>
              <w:rPr>
                <w:sz w:val="16"/>
                <w:szCs w:val="16"/>
              </w:rPr>
            </w:pPr>
            <w:r w:rsidRPr="00041DA3">
              <w:rPr>
                <w:sz w:val="16"/>
                <w:szCs w:val="16"/>
              </w:rPr>
              <w:t xml:space="preserve">50 </w:t>
            </w:r>
            <w:r w:rsidRPr="00041DA3">
              <w:rPr>
                <w:rFonts w:eastAsia="Aptos" w:cstheme="minorHAnsi"/>
                <w:sz w:val="16"/>
                <w:szCs w:val="16"/>
              </w:rPr>
              <w:t>(mg/l) 11,25</w:t>
            </w:r>
          </w:p>
        </w:tc>
      </w:tr>
      <w:tr w:rsidR="00EB363E" w:rsidRPr="00041DA3" w14:paraId="07A2E9A3" w14:textId="77777777" w:rsidTr="00041DA3">
        <w:tc>
          <w:tcPr>
            <w:tcW w:w="1247" w:type="dxa"/>
            <w:vMerge/>
            <w:vAlign w:val="center"/>
          </w:tcPr>
          <w:p w14:paraId="78E3AC88" w14:textId="77777777" w:rsidR="00EB363E" w:rsidRPr="00041DA3" w:rsidRDefault="00EB363E" w:rsidP="000C1F71">
            <w:pPr>
              <w:rPr>
                <w:sz w:val="16"/>
                <w:szCs w:val="16"/>
              </w:rPr>
            </w:pPr>
          </w:p>
        </w:tc>
        <w:tc>
          <w:tcPr>
            <w:tcW w:w="1313" w:type="dxa"/>
            <w:vMerge/>
            <w:vAlign w:val="center"/>
          </w:tcPr>
          <w:p w14:paraId="515EC867" w14:textId="77777777" w:rsidR="00EB363E" w:rsidRPr="00041DA3" w:rsidRDefault="00EB363E" w:rsidP="000C1F71">
            <w:pPr>
              <w:rPr>
                <w:sz w:val="16"/>
                <w:szCs w:val="16"/>
              </w:rPr>
            </w:pPr>
          </w:p>
        </w:tc>
        <w:tc>
          <w:tcPr>
            <w:tcW w:w="1900" w:type="dxa"/>
            <w:vAlign w:val="center"/>
          </w:tcPr>
          <w:p w14:paraId="3C3AFFF2" w14:textId="77777777" w:rsidR="00EB363E" w:rsidRPr="00041DA3" w:rsidRDefault="00EB363E" w:rsidP="000C1F71">
            <w:pPr>
              <w:rPr>
                <w:sz w:val="16"/>
                <w:szCs w:val="16"/>
              </w:rPr>
            </w:pPr>
            <w:r w:rsidRPr="00041DA3">
              <w:rPr>
                <w:rFonts w:eastAsia="Aptos" w:cstheme="minorHAnsi"/>
                <w:sz w:val="16"/>
                <w:szCs w:val="16"/>
              </w:rPr>
              <w:t>Ammonium (mg/l NH₄⁺)</w:t>
            </w:r>
          </w:p>
        </w:tc>
        <w:tc>
          <w:tcPr>
            <w:tcW w:w="2022" w:type="dxa"/>
            <w:gridSpan w:val="2"/>
            <w:vAlign w:val="center"/>
          </w:tcPr>
          <w:p w14:paraId="3E79A94D" w14:textId="77777777" w:rsidR="00EB363E" w:rsidRPr="00041DA3" w:rsidRDefault="00EB363E" w:rsidP="000C1F71">
            <w:pPr>
              <w:rPr>
                <w:sz w:val="16"/>
                <w:szCs w:val="16"/>
              </w:rPr>
            </w:pPr>
            <w:r w:rsidRPr="00041DA3">
              <w:rPr>
                <w:sz w:val="16"/>
                <w:szCs w:val="16"/>
              </w:rPr>
              <w:t xml:space="preserve">0,5 </w:t>
            </w:r>
            <w:r w:rsidRPr="00041DA3">
              <w:rPr>
                <w:rFonts w:eastAsia="Aptos" w:cstheme="minorHAnsi"/>
                <w:sz w:val="16"/>
                <w:szCs w:val="16"/>
              </w:rPr>
              <w:t>(mg/l)</w:t>
            </w:r>
          </w:p>
        </w:tc>
        <w:tc>
          <w:tcPr>
            <w:tcW w:w="2514" w:type="dxa"/>
            <w:vAlign w:val="center"/>
          </w:tcPr>
          <w:p w14:paraId="5C60C643" w14:textId="77777777" w:rsidR="00EB363E" w:rsidRPr="00041DA3" w:rsidRDefault="00EB363E" w:rsidP="000C1F71">
            <w:pPr>
              <w:rPr>
                <w:sz w:val="16"/>
                <w:szCs w:val="16"/>
              </w:rPr>
            </w:pPr>
            <w:r w:rsidRPr="00041DA3">
              <w:rPr>
                <w:sz w:val="16"/>
                <w:szCs w:val="16"/>
              </w:rPr>
              <w:t xml:space="preserve">0,5 </w:t>
            </w:r>
            <w:r w:rsidRPr="00041DA3">
              <w:rPr>
                <w:rFonts w:eastAsia="Aptos" w:cstheme="minorHAnsi"/>
                <w:sz w:val="16"/>
                <w:szCs w:val="16"/>
              </w:rPr>
              <w:t>(mg/l)</w:t>
            </w:r>
          </w:p>
        </w:tc>
      </w:tr>
      <w:tr w:rsidR="00EB363E" w:rsidRPr="00041DA3" w14:paraId="0A5ABA14" w14:textId="77777777" w:rsidTr="00041DA3">
        <w:tc>
          <w:tcPr>
            <w:tcW w:w="1247" w:type="dxa"/>
            <w:vMerge/>
            <w:vAlign w:val="center"/>
          </w:tcPr>
          <w:p w14:paraId="0FE9B7E8" w14:textId="77777777" w:rsidR="00EB363E" w:rsidRPr="00041DA3" w:rsidRDefault="00EB363E" w:rsidP="000C1F71">
            <w:pPr>
              <w:rPr>
                <w:sz w:val="16"/>
                <w:szCs w:val="16"/>
              </w:rPr>
            </w:pPr>
          </w:p>
        </w:tc>
        <w:tc>
          <w:tcPr>
            <w:tcW w:w="1313" w:type="dxa"/>
            <w:vMerge/>
            <w:vAlign w:val="center"/>
          </w:tcPr>
          <w:p w14:paraId="144100C6" w14:textId="77777777" w:rsidR="00EB363E" w:rsidRPr="00041DA3" w:rsidRDefault="00EB363E" w:rsidP="000C1F71">
            <w:pPr>
              <w:rPr>
                <w:sz w:val="16"/>
                <w:szCs w:val="16"/>
              </w:rPr>
            </w:pPr>
          </w:p>
        </w:tc>
        <w:tc>
          <w:tcPr>
            <w:tcW w:w="1900" w:type="dxa"/>
            <w:vAlign w:val="center"/>
          </w:tcPr>
          <w:p w14:paraId="1CC755F8" w14:textId="77777777" w:rsidR="00EB363E" w:rsidRPr="00041DA3" w:rsidRDefault="00EB363E" w:rsidP="000C1F71">
            <w:pPr>
              <w:rPr>
                <w:sz w:val="16"/>
                <w:szCs w:val="16"/>
              </w:rPr>
            </w:pPr>
            <w:r w:rsidRPr="00041DA3">
              <w:rPr>
                <w:sz w:val="16"/>
                <w:szCs w:val="16"/>
              </w:rPr>
              <w:t>Pesticides</w:t>
            </w:r>
          </w:p>
        </w:tc>
        <w:tc>
          <w:tcPr>
            <w:tcW w:w="2022" w:type="dxa"/>
            <w:gridSpan w:val="2"/>
            <w:vAlign w:val="center"/>
          </w:tcPr>
          <w:p w14:paraId="2639BAC0" w14:textId="77777777" w:rsidR="00EB363E" w:rsidRPr="00041DA3" w:rsidRDefault="00EB363E" w:rsidP="000C1F71">
            <w:pPr>
              <w:rPr>
                <w:rFonts w:eastAsia="Aptos" w:cstheme="minorHAnsi"/>
                <w:sz w:val="16"/>
                <w:szCs w:val="16"/>
              </w:rPr>
            </w:pPr>
            <w:r w:rsidRPr="00041DA3">
              <w:rPr>
                <w:sz w:val="16"/>
                <w:szCs w:val="16"/>
              </w:rPr>
              <w:t xml:space="preserve">0,5 </w:t>
            </w:r>
            <w:r w:rsidRPr="00041DA3">
              <w:rPr>
                <w:rFonts w:eastAsia="Aptos" w:cstheme="minorHAnsi"/>
                <w:sz w:val="16"/>
                <w:szCs w:val="16"/>
              </w:rPr>
              <w:t>(µg/l) (total)</w:t>
            </w:r>
          </w:p>
          <w:p w14:paraId="0FBE1F4F" w14:textId="77777777" w:rsidR="00EB363E" w:rsidRPr="00041DA3" w:rsidRDefault="00EB363E" w:rsidP="000C1F71">
            <w:pPr>
              <w:rPr>
                <w:sz w:val="16"/>
                <w:szCs w:val="16"/>
              </w:rPr>
            </w:pPr>
            <w:r w:rsidRPr="00041DA3">
              <w:rPr>
                <w:sz w:val="16"/>
                <w:szCs w:val="16"/>
              </w:rPr>
              <w:t xml:space="preserve">0,1 </w:t>
            </w:r>
            <w:r w:rsidRPr="00041DA3">
              <w:rPr>
                <w:rFonts w:eastAsia="Aptos" w:cstheme="minorHAnsi"/>
                <w:sz w:val="16"/>
                <w:szCs w:val="16"/>
              </w:rPr>
              <w:t>(µg/l) (individual)</w:t>
            </w:r>
          </w:p>
        </w:tc>
        <w:tc>
          <w:tcPr>
            <w:tcW w:w="2514" w:type="dxa"/>
            <w:vAlign w:val="center"/>
          </w:tcPr>
          <w:p w14:paraId="0BC3DF16" w14:textId="77777777" w:rsidR="00EB363E" w:rsidRPr="00041DA3" w:rsidRDefault="00EB363E" w:rsidP="000C1F71">
            <w:pPr>
              <w:rPr>
                <w:rFonts w:eastAsia="Aptos" w:cstheme="minorHAnsi"/>
                <w:sz w:val="16"/>
                <w:szCs w:val="16"/>
              </w:rPr>
            </w:pPr>
            <w:r w:rsidRPr="00041DA3">
              <w:rPr>
                <w:sz w:val="16"/>
                <w:szCs w:val="16"/>
              </w:rPr>
              <w:t xml:space="preserve">0,5 </w:t>
            </w:r>
            <w:r w:rsidRPr="00041DA3">
              <w:rPr>
                <w:rFonts w:eastAsia="Aptos" w:cstheme="minorHAnsi"/>
                <w:sz w:val="16"/>
                <w:szCs w:val="16"/>
              </w:rPr>
              <w:t>(µg/l) (total)</w:t>
            </w:r>
          </w:p>
          <w:p w14:paraId="74520A1C" w14:textId="77777777" w:rsidR="00EB363E" w:rsidRPr="00041DA3" w:rsidRDefault="00EB363E" w:rsidP="000C1F71">
            <w:pPr>
              <w:rPr>
                <w:sz w:val="16"/>
                <w:szCs w:val="16"/>
              </w:rPr>
            </w:pPr>
            <w:r w:rsidRPr="00041DA3">
              <w:rPr>
                <w:sz w:val="16"/>
                <w:szCs w:val="16"/>
              </w:rPr>
              <w:t xml:space="preserve">0,1 </w:t>
            </w:r>
            <w:r w:rsidRPr="00041DA3">
              <w:rPr>
                <w:rFonts w:eastAsia="Aptos" w:cstheme="minorHAnsi"/>
                <w:sz w:val="16"/>
                <w:szCs w:val="16"/>
              </w:rPr>
              <w:t>(µg/l) (individual)</w:t>
            </w:r>
          </w:p>
        </w:tc>
      </w:tr>
      <w:tr w:rsidR="00EB363E" w:rsidRPr="00041DA3" w14:paraId="0FAC4F69" w14:textId="77777777" w:rsidTr="00041DA3">
        <w:tc>
          <w:tcPr>
            <w:tcW w:w="1247" w:type="dxa"/>
            <w:vMerge/>
            <w:vAlign w:val="center"/>
          </w:tcPr>
          <w:p w14:paraId="55A145F0" w14:textId="77777777" w:rsidR="00EB363E" w:rsidRPr="00041DA3" w:rsidRDefault="00EB363E" w:rsidP="000C1F71">
            <w:pPr>
              <w:rPr>
                <w:sz w:val="16"/>
                <w:szCs w:val="16"/>
              </w:rPr>
            </w:pPr>
          </w:p>
        </w:tc>
        <w:tc>
          <w:tcPr>
            <w:tcW w:w="1313" w:type="dxa"/>
            <w:vMerge/>
            <w:vAlign w:val="center"/>
          </w:tcPr>
          <w:p w14:paraId="2704FCA1" w14:textId="77777777" w:rsidR="00EB363E" w:rsidRPr="00041DA3" w:rsidRDefault="00EB363E" w:rsidP="000C1F71">
            <w:pPr>
              <w:rPr>
                <w:sz w:val="16"/>
                <w:szCs w:val="16"/>
              </w:rPr>
            </w:pPr>
          </w:p>
        </w:tc>
        <w:tc>
          <w:tcPr>
            <w:tcW w:w="1900" w:type="dxa"/>
            <w:vAlign w:val="center"/>
          </w:tcPr>
          <w:p w14:paraId="055C6A4F" w14:textId="77777777" w:rsidR="00EB363E" w:rsidRPr="00041DA3" w:rsidRDefault="00EB363E" w:rsidP="000C1F71">
            <w:pPr>
              <w:rPr>
                <w:sz w:val="16"/>
                <w:szCs w:val="16"/>
              </w:rPr>
            </w:pPr>
            <w:r w:rsidRPr="00041DA3">
              <w:rPr>
                <w:rFonts w:eastAsia="Aptos" w:cstheme="minorHAnsi"/>
                <w:sz w:val="16"/>
                <w:szCs w:val="16"/>
              </w:rPr>
              <w:t xml:space="preserve">Arsenic (µg/l </w:t>
            </w:r>
            <w:proofErr w:type="gramStart"/>
            <w:r w:rsidRPr="00041DA3">
              <w:rPr>
                <w:rFonts w:eastAsia="Aptos" w:cstheme="minorHAnsi"/>
                <w:sz w:val="16"/>
                <w:szCs w:val="16"/>
              </w:rPr>
              <w:t>As</w:t>
            </w:r>
            <w:proofErr w:type="gramEnd"/>
            <w:r w:rsidRPr="00041DA3">
              <w:rPr>
                <w:rFonts w:eastAsia="Aptos" w:cstheme="minorHAnsi"/>
                <w:sz w:val="16"/>
                <w:szCs w:val="16"/>
              </w:rPr>
              <w:t>)</w:t>
            </w:r>
          </w:p>
        </w:tc>
        <w:tc>
          <w:tcPr>
            <w:tcW w:w="2022" w:type="dxa"/>
            <w:gridSpan w:val="2"/>
            <w:vAlign w:val="center"/>
          </w:tcPr>
          <w:p w14:paraId="4567068E" w14:textId="77777777" w:rsidR="00EB363E" w:rsidRPr="00041DA3" w:rsidRDefault="00EB363E" w:rsidP="000C1F71">
            <w:pPr>
              <w:rPr>
                <w:sz w:val="16"/>
                <w:szCs w:val="16"/>
              </w:rPr>
            </w:pPr>
            <w:r w:rsidRPr="00041DA3">
              <w:rPr>
                <w:sz w:val="16"/>
                <w:szCs w:val="16"/>
              </w:rPr>
              <w:t xml:space="preserve">10 </w:t>
            </w:r>
            <w:r w:rsidRPr="00041DA3">
              <w:rPr>
                <w:rFonts w:eastAsia="Aptos" w:cstheme="minorHAnsi"/>
                <w:sz w:val="16"/>
                <w:szCs w:val="16"/>
              </w:rPr>
              <w:t>(µg/l)</w:t>
            </w:r>
          </w:p>
        </w:tc>
        <w:tc>
          <w:tcPr>
            <w:tcW w:w="2514" w:type="dxa"/>
            <w:vAlign w:val="center"/>
          </w:tcPr>
          <w:p w14:paraId="1C7355B9" w14:textId="77777777" w:rsidR="00EB363E" w:rsidRPr="00041DA3" w:rsidRDefault="00EB363E" w:rsidP="000C1F71">
            <w:pPr>
              <w:rPr>
                <w:sz w:val="16"/>
                <w:szCs w:val="16"/>
              </w:rPr>
            </w:pPr>
            <w:r w:rsidRPr="00041DA3">
              <w:rPr>
                <w:sz w:val="16"/>
                <w:szCs w:val="16"/>
              </w:rPr>
              <w:t xml:space="preserve">10 </w:t>
            </w:r>
            <w:r w:rsidRPr="00041DA3">
              <w:rPr>
                <w:rFonts w:eastAsia="Aptos" w:cstheme="minorHAnsi"/>
                <w:sz w:val="16"/>
                <w:szCs w:val="16"/>
              </w:rPr>
              <w:t>(µg/l)</w:t>
            </w:r>
          </w:p>
        </w:tc>
      </w:tr>
      <w:tr w:rsidR="00EB363E" w:rsidRPr="00041DA3" w14:paraId="118D11E4" w14:textId="77777777" w:rsidTr="00041DA3">
        <w:tc>
          <w:tcPr>
            <w:tcW w:w="1247" w:type="dxa"/>
            <w:vMerge/>
            <w:vAlign w:val="center"/>
          </w:tcPr>
          <w:p w14:paraId="606F2145" w14:textId="77777777" w:rsidR="00EB363E" w:rsidRPr="00041DA3" w:rsidRDefault="00EB363E" w:rsidP="000C1F71">
            <w:pPr>
              <w:rPr>
                <w:sz w:val="16"/>
                <w:szCs w:val="16"/>
              </w:rPr>
            </w:pPr>
          </w:p>
        </w:tc>
        <w:tc>
          <w:tcPr>
            <w:tcW w:w="1313" w:type="dxa"/>
            <w:vMerge/>
            <w:vAlign w:val="center"/>
          </w:tcPr>
          <w:p w14:paraId="225C41C3" w14:textId="77777777" w:rsidR="00EB363E" w:rsidRPr="00041DA3" w:rsidRDefault="00EB363E" w:rsidP="000C1F71">
            <w:pPr>
              <w:rPr>
                <w:sz w:val="16"/>
                <w:szCs w:val="16"/>
              </w:rPr>
            </w:pPr>
          </w:p>
        </w:tc>
        <w:tc>
          <w:tcPr>
            <w:tcW w:w="1900" w:type="dxa"/>
            <w:vAlign w:val="center"/>
          </w:tcPr>
          <w:p w14:paraId="4853ACAE" w14:textId="77777777" w:rsidR="00EB363E" w:rsidRPr="00041DA3" w:rsidRDefault="00EB363E" w:rsidP="000C1F71">
            <w:pPr>
              <w:rPr>
                <w:sz w:val="16"/>
                <w:szCs w:val="16"/>
              </w:rPr>
            </w:pPr>
            <w:r w:rsidRPr="00041DA3">
              <w:rPr>
                <w:rFonts w:eastAsia="Aptos" w:cstheme="minorHAnsi"/>
                <w:sz w:val="16"/>
                <w:szCs w:val="16"/>
              </w:rPr>
              <w:t>Lead (µg/l Pb)</w:t>
            </w:r>
          </w:p>
        </w:tc>
        <w:tc>
          <w:tcPr>
            <w:tcW w:w="2022" w:type="dxa"/>
            <w:gridSpan w:val="2"/>
            <w:vAlign w:val="center"/>
          </w:tcPr>
          <w:p w14:paraId="4D147D0E" w14:textId="77777777" w:rsidR="00EB363E" w:rsidRPr="00041DA3" w:rsidRDefault="00EB363E" w:rsidP="000C1F71">
            <w:pPr>
              <w:rPr>
                <w:sz w:val="16"/>
                <w:szCs w:val="16"/>
              </w:rPr>
            </w:pPr>
            <w:r w:rsidRPr="00041DA3">
              <w:rPr>
                <w:sz w:val="16"/>
                <w:szCs w:val="16"/>
              </w:rPr>
              <w:t xml:space="preserve">10 </w:t>
            </w:r>
            <w:r w:rsidRPr="00041DA3">
              <w:rPr>
                <w:rFonts w:eastAsia="Aptos" w:cstheme="minorHAnsi"/>
                <w:sz w:val="16"/>
                <w:szCs w:val="16"/>
              </w:rPr>
              <w:t>(µg/l)</w:t>
            </w:r>
          </w:p>
        </w:tc>
        <w:tc>
          <w:tcPr>
            <w:tcW w:w="2514" w:type="dxa"/>
            <w:vAlign w:val="center"/>
          </w:tcPr>
          <w:p w14:paraId="260E66DE" w14:textId="77777777" w:rsidR="00EB363E" w:rsidRPr="00041DA3" w:rsidRDefault="00EB363E" w:rsidP="000C1F71">
            <w:pPr>
              <w:rPr>
                <w:sz w:val="16"/>
                <w:szCs w:val="16"/>
              </w:rPr>
            </w:pPr>
            <w:r w:rsidRPr="00041DA3">
              <w:rPr>
                <w:sz w:val="16"/>
                <w:szCs w:val="16"/>
              </w:rPr>
              <w:t xml:space="preserve">7 </w:t>
            </w:r>
            <w:r w:rsidRPr="00041DA3">
              <w:rPr>
                <w:rFonts w:eastAsia="Aptos" w:cstheme="minorHAnsi"/>
                <w:sz w:val="16"/>
                <w:szCs w:val="16"/>
              </w:rPr>
              <w:t>(µg/l)</w:t>
            </w:r>
          </w:p>
        </w:tc>
      </w:tr>
      <w:tr w:rsidR="00EB363E" w:rsidRPr="00041DA3" w14:paraId="288AD9C5" w14:textId="77777777" w:rsidTr="00041DA3">
        <w:tc>
          <w:tcPr>
            <w:tcW w:w="1247" w:type="dxa"/>
            <w:vMerge/>
            <w:vAlign w:val="center"/>
          </w:tcPr>
          <w:p w14:paraId="6BF416FE" w14:textId="77777777" w:rsidR="00EB363E" w:rsidRPr="00041DA3" w:rsidRDefault="00EB363E" w:rsidP="000C1F71">
            <w:pPr>
              <w:rPr>
                <w:sz w:val="16"/>
                <w:szCs w:val="16"/>
              </w:rPr>
            </w:pPr>
          </w:p>
        </w:tc>
        <w:tc>
          <w:tcPr>
            <w:tcW w:w="1313" w:type="dxa"/>
            <w:vMerge/>
            <w:vAlign w:val="center"/>
          </w:tcPr>
          <w:p w14:paraId="0E22ECD6" w14:textId="77777777" w:rsidR="00EB363E" w:rsidRPr="00041DA3" w:rsidRDefault="00EB363E" w:rsidP="000C1F71">
            <w:pPr>
              <w:rPr>
                <w:sz w:val="16"/>
                <w:szCs w:val="16"/>
              </w:rPr>
            </w:pPr>
          </w:p>
        </w:tc>
        <w:tc>
          <w:tcPr>
            <w:tcW w:w="1900" w:type="dxa"/>
            <w:vAlign w:val="center"/>
          </w:tcPr>
          <w:p w14:paraId="6CE48A35" w14:textId="77777777" w:rsidR="00EB363E" w:rsidRPr="00041DA3" w:rsidRDefault="00EB363E" w:rsidP="000C1F71">
            <w:pPr>
              <w:rPr>
                <w:sz w:val="16"/>
                <w:szCs w:val="16"/>
              </w:rPr>
            </w:pPr>
            <w:r w:rsidRPr="00041DA3">
              <w:rPr>
                <w:rFonts w:eastAsia="Aptos" w:cstheme="minorHAnsi"/>
                <w:sz w:val="16"/>
                <w:szCs w:val="16"/>
              </w:rPr>
              <w:t>Mercury (µg/l Hg)</w:t>
            </w:r>
          </w:p>
        </w:tc>
        <w:tc>
          <w:tcPr>
            <w:tcW w:w="2022" w:type="dxa"/>
            <w:gridSpan w:val="2"/>
            <w:vAlign w:val="center"/>
          </w:tcPr>
          <w:p w14:paraId="16970380" w14:textId="77777777" w:rsidR="00EB363E" w:rsidRPr="00041DA3" w:rsidRDefault="00EB363E" w:rsidP="000C1F71">
            <w:pPr>
              <w:rPr>
                <w:sz w:val="16"/>
                <w:szCs w:val="16"/>
              </w:rPr>
            </w:pPr>
            <w:r w:rsidRPr="00041DA3">
              <w:rPr>
                <w:sz w:val="16"/>
                <w:szCs w:val="16"/>
              </w:rPr>
              <w:t xml:space="preserve">1 </w:t>
            </w:r>
            <w:r w:rsidRPr="00041DA3">
              <w:rPr>
                <w:rFonts w:eastAsia="Aptos" w:cstheme="minorHAnsi"/>
                <w:sz w:val="16"/>
                <w:szCs w:val="16"/>
              </w:rPr>
              <w:t>(µg/l)</w:t>
            </w:r>
          </w:p>
        </w:tc>
        <w:tc>
          <w:tcPr>
            <w:tcW w:w="2514" w:type="dxa"/>
            <w:vAlign w:val="center"/>
          </w:tcPr>
          <w:p w14:paraId="3A6DFCDF" w14:textId="77777777" w:rsidR="00EB363E" w:rsidRPr="00041DA3" w:rsidRDefault="00EB363E" w:rsidP="000C1F71">
            <w:pPr>
              <w:rPr>
                <w:sz w:val="16"/>
                <w:szCs w:val="16"/>
              </w:rPr>
            </w:pPr>
            <w:r w:rsidRPr="00041DA3">
              <w:rPr>
                <w:sz w:val="16"/>
                <w:szCs w:val="16"/>
              </w:rPr>
              <w:t xml:space="preserve">0,2 </w:t>
            </w:r>
            <w:r w:rsidRPr="00041DA3">
              <w:rPr>
                <w:rFonts w:eastAsia="Aptos" w:cstheme="minorHAnsi"/>
                <w:sz w:val="16"/>
                <w:szCs w:val="16"/>
              </w:rPr>
              <w:t>(µg/l)</w:t>
            </w:r>
          </w:p>
        </w:tc>
      </w:tr>
      <w:tr w:rsidR="00EB363E" w:rsidRPr="00041DA3" w14:paraId="494329AD" w14:textId="77777777" w:rsidTr="00041DA3">
        <w:tc>
          <w:tcPr>
            <w:tcW w:w="1247" w:type="dxa"/>
            <w:vMerge/>
            <w:vAlign w:val="center"/>
          </w:tcPr>
          <w:p w14:paraId="71D11D7A" w14:textId="77777777" w:rsidR="00EB363E" w:rsidRPr="00041DA3" w:rsidRDefault="00EB363E" w:rsidP="000C1F71">
            <w:pPr>
              <w:rPr>
                <w:sz w:val="16"/>
                <w:szCs w:val="16"/>
              </w:rPr>
            </w:pPr>
          </w:p>
        </w:tc>
        <w:tc>
          <w:tcPr>
            <w:tcW w:w="1313" w:type="dxa"/>
            <w:vMerge/>
            <w:vAlign w:val="center"/>
          </w:tcPr>
          <w:p w14:paraId="7E64B306" w14:textId="77777777" w:rsidR="00EB363E" w:rsidRPr="00041DA3" w:rsidRDefault="00EB363E" w:rsidP="000C1F71">
            <w:pPr>
              <w:rPr>
                <w:sz w:val="16"/>
                <w:szCs w:val="16"/>
              </w:rPr>
            </w:pPr>
          </w:p>
        </w:tc>
        <w:tc>
          <w:tcPr>
            <w:tcW w:w="1900" w:type="dxa"/>
            <w:vAlign w:val="center"/>
          </w:tcPr>
          <w:p w14:paraId="7834E7FC" w14:textId="77777777" w:rsidR="00EB363E" w:rsidRPr="00041DA3" w:rsidRDefault="00EB363E" w:rsidP="000C1F71">
            <w:pPr>
              <w:rPr>
                <w:rFonts w:eastAsia="Aptos" w:cstheme="minorHAnsi"/>
                <w:sz w:val="16"/>
                <w:szCs w:val="16"/>
              </w:rPr>
            </w:pPr>
            <w:r w:rsidRPr="00041DA3">
              <w:rPr>
                <w:rFonts w:eastAsia="Aptos" w:cstheme="minorHAnsi"/>
                <w:sz w:val="16"/>
                <w:szCs w:val="16"/>
              </w:rPr>
              <w:t>Cadmium (µg/l Cd</w:t>
            </w:r>
          </w:p>
        </w:tc>
        <w:tc>
          <w:tcPr>
            <w:tcW w:w="2022" w:type="dxa"/>
            <w:gridSpan w:val="2"/>
            <w:vAlign w:val="center"/>
          </w:tcPr>
          <w:p w14:paraId="20B4A3A9" w14:textId="77777777" w:rsidR="00EB363E" w:rsidRPr="00041DA3" w:rsidRDefault="00EB363E" w:rsidP="000C1F71">
            <w:pPr>
              <w:rPr>
                <w:sz w:val="16"/>
                <w:szCs w:val="16"/>
              </w:rPr>
            </w:pPr>
            <w:r w:rsidRPr="00041DA3">
              <w:rPr>
                <w:sz w:val="16"/>
                <w:szCs w:val="16"/>
              </w:rPr>
              <w:t xml:space="preserve">5 </w:t>
            </w:r>
            <w:r w:rsidRPr="00041DA3">
              <w:rPr>
                <w:rFonts w:eastAsia="Aptos" w:cstheme="minorHAnsi"/>
                <w:sz w:val="16"/>
                <w:szCs w:val="16"/>
              </w:rPr>
              <w:t>(µg/l)</w:t>
            </w:r>
          </w:p>
        </w:tc>
        <w:tc>
          <w:tcPr>
            <w:tcW w:w="2514" w:type="dxa"/>
            <w:vAlign w:val="center"/>
          </w:tcPr>
          <w:p w14:paraId="4CF760A3" w14:textId="77777777" w:rsidR="00EB363E" w:rsidRPr="00041DA3" w:rsidRDefault="00EB363E" w:rsidP="000C1F71">
            <w:pPr>
              <w:rPr>
                <w:sz w:val="16"/>
                <w:szCs w:val="16"/>
              </w:rPr>
            </w:pPr>
            <w:r w:rsidRPr="00041DA3">
              <w:rPr>
                <w:sz w:val="16"/>
                <w:szCs w:val="16"/>
              </w:rPr>
              <w:t xml:space="preserve">0,5 </w:t>
            </w:r>
            <w:r w:rsidRPr="00041DA3">
              <w:rPr>
                <w:rFonts w:eastAsia="Aptos" w:cstheme="minorHAnsi"/>
                <w:sz w:val="16"/>
                <w:szCs w:val="16"/>
              </w:rPr>
              <w:t>(µg/l)</w:t>
            </w:r>
          </w:p>
        </w:tc>
      </w:tr>
      <w:tr w:rsidR="00EB363E" w:rsidRPr="00041DA3" w14:paraId="177FE7EA" w14:textId="77777777" w:rsidTr="00041DA3">
        <w:tc>
          <w:tcPr>
            <w:tcW w:w="1247" w:type="dxa"/>
            <w:vMerge/>
            <w:vAlign w:val="center"/>
          </w:tcPr>
          <w:p w14:paraId="30A2B13C" w14:textId="77777777" w:rsidR="00EB363E" w:rsidRPr="00041DA3" w:rsidRDefault="00EB363E" w:rsidP="000C1F71">
            <w:pPr>
              <w:rPr>
                <w:sz w:val="16"/>
                <w:szCs w:val="16"/>
              </w:rPr>
            </w:pPr>
          </w:p>
        </w:tc>
        <w:tc>
          <w:tcPr>
            <w:tcW w:w="1313" w:type="dxa"/>
            <w:vMerge/>
            <w:vAlign w:val="center"/>
          </w:tcPr>
          <w:p w14:paraId="6C760709" w14:textId="77777777" w:rsidR="00EB363E" w:rsidRPr="00041DA3" w:rsidRDefault="00EB363E" w:rsidP="000C1F71">
            <w:pPr>
              <w:rPr>
                <w:sz w:val="16"/>
                <w:szCs w:val="16"/>
              </w:rPr>
            </w:pPr>
          </w:p>
        </w:tc>
        <w:tc>
          <w:tcPr>
            <w:tcW w:w="1900" w:type="dxa"/>
            <w:vAlign w:val="center"/>
          </w:tcPr>
          <w:p w14:paraId="06F8E5F9" w14:textId="77777777" w:rsidR="00EB363E" w:rsidRPr="00041DA3" w:rsidRDefault="00EB363E" w:rsidP="000C1F71">
            <w:pPr>
              <w:rPr>
                <w:rFonts w:eastAsia="Aptos" w:cstheme="minorHAnsi"/>
                <w:sz w:val="16"/>
                <w:szCs w:val="16"/>
              </w:rPr>
            </w:pPr>
            <w:r w:rsidRPr="00041DA3">
              <w:rPr>
                <w:rFonts w:eastAsia="Aptos" w:cstheme="minorHAnsi"/>
                <w:sz w:val="16"/>
                <w:szCs w:val="16"/>
              </w:rPr>
              <w:t>Chloride (mg/l Cl⁻)</w:t>
            </w:r>
          </w:p>
        </w:tc>
        <w:tc>
          <w:tcPr>
            <w:tcW w:w="2022" w:type="dxa"/>
            <w:gridSpan w:val="2"/>
            <w:vAlign w:val="center"/>
          </w:tcPr>
          <w:p w14:paraId="159B451F" w14:textId="77777777" w:rsidR="00EB363E" w:rsidRPr="00041DA3" w:rsidRDefault="00EB363E" w:rsidP="000C1F71">
            <w:pPr>
              <w:rPr>
                <w:sz w:val="16"/>
                <w:szCs w:val="16"/>
              </w:rPr>
            </w:pPr>
            <w:r w:rsidRPr="00041DA3">
              <w:rPr>
                <w:sz w:val="16"/>
                <w:szCs w:val="16"/>
              </w:rPr>
              <w:t xml:space="preserve">250 </w:t>
            </w:r>
            <w:r w:rsidRPr="00041DA3">
              <w:rPr>
                <w:rFonts w:eastAsia="Aptos" w:cstheme="minorHAnsi"/>
                <w:sz w:val="16"/>
                <w:szCs w:val="16"/>
              </w:rPr>
              <w:t>(mg/l)</w:t>
            </w:r>
          </w:p>
        </w:tc>
        <w:tc>
          <w:tcPr>
            <w:tcW w:w="2514" w:type="dxa"/>
            <w:vAlign w:val="center"/>
          </w:tcPr>
          <w:p w14:paraId="00B76A91" w14:textId="77777777" w:rsidR="00EB363E" w:rsidRPr="00041DA3" w:rsidRDefault="00EB363E" w:rsidP="000C1F71">
            <w:pPr>
              <w:rPr>
                <w:sz w:val="16"/>
                <w:szCs w:val="16"/>
              </w:rPr>
            </w:pPr>
            <w:r w:rsidRPr="00041DA3">
              <w:rPr>
                <w:sz w:val="16"/>
                <w:szCs w:val="16"/>
              </w:rPr>
              <w:t xml:space="preserve">250 </w:t>
            </w:r>
            <w:r w:rsidRPr="00041DA3">
              <w:rPr>
                <w:rFonts w:eastAsia="Aptos" w:cstheme="minorHAnsi"/>
                <w:sz w:val="16"/>
                <w:szCs w:val="16"/>
              </w:rPr>
              <w:t>(mg/l)</w:t>
            </w:r>
          </w:p>
        </w:tc>
      </w:tr>
      <w:tr w:rsidR="00EB363E" w:rsidRPr="00041DA3" w14:paraId="22178943" w14:textId="77777777" w:rsidTr="00041DA3">
        <w:tc>
          <w:tcPr>
            <w:tcW w:w="1247" w:type="dxa"/>
            <w:vMerge/>
            <w:vAlign w:val="center"/>
          </w:tcPr>
          <w:p w14:paraId="20F0A812" w14:textId="77777777" w:rsidR="00EB363E" w:rsidRPr="00041DA3" w:rsidRDefault="00EB363E" w:rsidP="000C1F71">
            <w:pPr>
              <w:rPr>
                <w:sz w:val="16"/>
                <w:szCs w:val="16"/>
              </w:rPr>
            </w:pPr>
          </w:p>
        </w:tc>
        <w:tc>
          <w:tcPr>
            <w:tcW w:w="1313" w:type="dxa"/>
            <w:vMerge/>
            <w:vAlign w:val="center"/>
          </w:tcPr>
          <w:p w14:paraId="4B6C7206" w14:textId="77777777" w:rsidR="00EB363E" w:rsidRPr="00041DA3" w:rsidRDefault="00EB363E" w:rsidP="000C1F71">
            <w:pPr>
              <w:rPr>
                <w:sz w:val="16"/>
                <w:szCs w:val="16"/>
              </w:rPr>
            </w:pPr>
          </w:p>
        </w:tc>
        <w:tc>
          <w:tcPr>
            <w:tcW w:w="1900" w:type="dxa"/>
            <w:vAlign w:val="center"/>
          </w:tcPr>
          <w:p w14:paraId="1A5F2A35" w14:textId="77777777" w:rsidR="00EB363E" w:rsidRPr="00041DA3" w:rsidRDefault="00EB363E" w:rsidP="000C1F71">
            <w:pPr>
              <w:rPr>
                <w:rFonts w:eastAsia="Aptos" w:cstheme="minorHAnsi"/>
                <w:sz w:val="16"/>
                <w:szCs w:val="16"/>
              </w:rPr>
            </w:pPr>
            <w:proofErr w:type="spellStart"/>
            <w:r w:rsidRPr="00041DA3">
              <w:rPr>
                <w:rFonts w:eastAsia="Aptos" w:cstheme="minorHAnsi"/>
                <w:sz w:val="16"/>
                <w:szCs w:val="16"/>
              </w:rPr>
              <w:t>Sulfate</w:t>
            </w:r>
            <w:proofErr w:type="spellEnd"/>
            <w:r w:rsidRPr="00041DA3">
              <w:rPr>
                <w:rFonts w:eastAsia="Aptos" w:cstheme="minorHAnsi"/>
                <w:sz w:val="16"/>
                <w:szCs w:val="16"/>
              </w:rPr>
              <w:t xml:space="preserve"> (mg/l SO₄²⁻)</w:t>
            </w:r>
          </w:p>
        </w:tc>
        <w:tc>
          <w:tcPr>
            <w:tcW w:w="2022" w:type="dxa"/>
            <w:gridSpan w:val="2"/>
            <w:vAlign w:val="center"/>
          </w:tcPr>
          <w:p w14:paraId="4FE30320" w14:textId="77777777" w:rsidR="00EB363E" w:rsidRPr="00041DA3" w:rsidRDefault="00EB363E" w:rsidP="000C1F71">
            <w:pPr>
              <w:rPr>
                <w:sz w:val="16"/>
                <w:szCs w:val="16"/>
              </w:rPr>
            </w:pPr>
            <w:r w:rsidRPr="00041DA3">
              <w:rPr>
                <w:sz w:val="16"/>
                <w:szCs w:val="16"/>
              </w:rPr>
              <w:t xml:space="preserve">250 </w:t>
            </w:r>
            <w:r w:rsidRPr="00041DA3">
              <w:rPr>
                <w:rFonts w:eastAsia="Aptos" w:cstheme="minorHAnsi"/>
                <w:sz w:val="16"/>
                <w:szCs w:val="16"/>
              </w:rPr>
              <w:t>(mg/l)</w:t>
            </w:r>
          </w:p>
        </w:tc>
        <w:tc>
          <w:tcPr>
            <w:tcW w:w="2514" w:type="dxa"/>
            <w:vAlign w:val="center"/>
          </w:tcPr>
          <w:p w14:paraId="52FBD497" w14:textId="77777777" w:rsidR="00EB363E" w:rsidRPr="00041DA3" w:rsidRDefault="00EB363E" w:rsidP="000C1F71">
            <w:pPr>
              <w:rPr>
                <w:sz w:val="16"/>
                <w:szCs w:val="16"/>
              </w:rPr>
            </w:pPr>
            <w:r w:rsidRPr="00041DA3">
              <w:rPr>
                <w:sz w:val="16"/>
                <w:szCs w:val="16"/>
              </w:rPr>
              <w:t xml:space="preserve">240 </w:t>
            </w:r>
            <w:r w:rsidRPr="00041DA3">
              <w:rPr>
                <w:rFonts w:eastAsia="Aptos" w:cstheme="minorHAnsi"/>
                <w:sz w:val="16"/>
                <w:szCs w:val="16"/>
              </w:rPr>
              <w:t>(mg/l)</w:t>
            </w:r>
          </w:p>
        </w:tc>
      </w:tr>
      <w:tr w:rsidR="00EB363E" w:rsidRPr="00041DA3" w14:paraId="12953DA2" w14:textId="77777777" w:rsidTr="00041DA3">
        <w:tc>
          <w:tcPr>
            <w:tcW w:w="1247" w:type="dxa"/>
            <w:vMerge/>
            <w:vAlign w:val="center"/>
          </w:tcPr>
          <w:p w14:paraId="7BF99219" w14:textId="77777777" w:rsidR="00EB363E" w:rsidRPr="00041DA3" w:rsidRDefault="00EB363E" w:rsidP="000C1F71">
            <w:pPr>
              <w:rPr>
                <w:sz w:val="16"/>
                <w:szCs w:val="16"/>
              </w:rPr>
            </w:pPr>
          </w:p>
        </w:tc>
        <w:tc>
          <w:tcPr>
            <w:tcW w:w="1313" w:type="dxa"/>
            <w:vMerge/>
            <w:vAlign w:val="center"/>
          </w:tcPr>
          <w:p w14:paraId="3066C337" w14:textId="77777777" w:rsidR="00EB363E" w:rsidRPr="00041DA3" w:rsidRDefault="00EB363E" w:rsidP="000C1F71">
            <w:pPr>
              <w:rPr>
                <w:sz w:val="16"/>
                <w:szCs w:val="16"/>
              </w:rPr>
            </w:pPr>
          </w:p>
        </w:tc>
        <w:tc>
          <w:tcPr>
            <w:tcW w:w="1900" w:type="dxa"/>
            <w:vAlign w:val="center"/>
          </w:tcPr>
          <w:p w14:paraId="715BF1D0" w14:textId="77777777" w:rsidR="00EB363E" w:rsidRPr="00041DA3" w:rsidRDefault="00EB363E" w:rsidP="000C1F71">
            <w:pPr>
              <w:rPr>
                <w:rFonts w:eastAsia="Aptos" w:cstheme="minorHAnsi"/>
                <w:sz w:val="16"/>
                <w:szCs w:val="16"/>
              </w:rPr>
            </w:pPr>
            <w:r w:rsidRPr="00041DA3">
              <w:rPr>
                <w:rFonts w:eastAsia="Aptos" w:cstheme="minorHAnsi"/>
                <w:sz w:val="16"/>
                <w:szCs w:val="16"/>
              </w:rPr>
              <w:t>Orthophosphate (mg/l P)</w:t>
            </w:r>
          </w:p>
        </w:tc>
        <w:tc>
          <w:tcPr>
            <w:tcW w:w="2022" w:type="dxa"/>
            <w:gridSpan w:val="2"/>
            <w:vAlign w:val="center"/>
          </w:tcPr>
          <w:p w14:paraId="6F58BAC9" w14:textId="77777777" w:rsidR="00EB363E" w:rsidRPr="00041DA3" w:rsidRDefault="00EB363E" w:rsidP="000C1F71">
            <w:pPr>
              <w:rPr>
                <w:sz w:val="16"/>
                <w:szCs w:val="16"/>
              </w:rPr>
            </w:pPr>
            <w:r w:rsidRPr="00041DA3">
              <w:rPr>
                <w:sz w:val="16"/>
                <w:szCs w:val="16"/>
              </w:rPr>
              <w:t xml:space="preserve">0,2 </w:t>
            </w:r>
            <w:r w:rsidRPr="00041DA3">
              <w:rPr>
                <w:rFonts w:eastAsia="Aptos" w:cstheme="minorHAnsi"/>
                <w:sz w:val="16"/>
                <w:szCs w:val="16"/>
              </w:rPr>
              <w:t>(mg/l)</w:t>
            </w:r>
          </w:p>
        </w:tc>
        <w:tc>
          <w:tcPr>
            <w:tcW w:w="2514" w:type="dxa"/>
            <w:vAlign w:val="center"/>
          </w:tcPr>
          <w:p w14:paraId="3A02A589" w14:textId="77777777" w:rsidR="00EB363E" w:rsidRPr="00041DA3" w:rsidRDefault="00EB363E" w:rsidP="000C1F71">
            <w:pPr>
              <w:rPr>
                <w:sz w:val="16"/>
                <w:szCs w:val="16"/>
              </w:rPr>
            </w:pPr>
          </w:p>
        </w:tc>
      </w:tr>
      <w:tr w:rsidR="00EB363E" w:rsidRPr="00041DA3" w14:paraId="2A51AAAB" w14:textId="77777777" w:rsidTr="00041DA3">
        <w:trPr>
          <w:trHeight w:val="643"/>
        </w:trPr>
        <w:tc>
          <w:tcPr>
            <w:tcW w:w="1247" w:type="dxa"/>
            <w:vMerge/>
            <w:vAlign w:val="center"/>
          </w:tcPr>
          <w:p w14:paraId="026A208F" w14:textId="77777777" w:rsidR="00EB363E" w:rsidRPr="00041DA3" w:rsidRDefault="00EB363E" w:rsidP="000C1F71">
            <w:pPr>
              <w:rPr>
                <w:sz w:val="16"/>
                <w:szCs w:val="16"/>
              </w:rPr>
            </w:pPr>
          </w:p>
        </w:tc>
        <w:tc>
          <w:tcPr>
            <w:tcW w:w="1313" w:type="dxa"/>
            <w:vMerge/>
            <w:vAlign w:val="center"/>
          </w:tcPr>
          <w:p w14:paraId="3C6FC3F9" w14:textId="77777777" w:rsidR="00EB363E" w:rsidRPr="00041DA3" w:rsidRDefault="00EB363E" w:rsidP="000C1F71">
            <w:pPr>
              <w:rPr>
                <w:sz w:val="16"/>
                <w:szCs w:val="16"/>
              </w:rPr>
            </w:pPr>
          </w:p>
        </w:tc>
        <w:tc>
          <w:tcPr>
            <w:tcW w:w="1900" w:type="dxa"/>
            <w:vAlign w:val="center"/>
          </w:tcPr>
          <w:p w14:paraId="26BDFFE0" w14:textId="77777777" w:rsidR="00EB363E" w:rsidRPr="00041DA3" w:rsidRDefault="00EB363E" w:rsidP="000C1F71">
            <w:pPr>
              <w:rPr>
                <w:rFonts w:eastAsia="Aptos" w:cstheme="minorHAnsi"/>
                <w:sz w:val="16"/>
                <w:szCs w:val="16"/>
              </w:rPr>
            </w:pPr>
            <w:r w:rsidRPr="00041DA3">
              <w:rPr>
                <w:rFonts w:eastAsia="Aptos" w:cstheme="minorHAnsi"/>
                <w:sz w:val="16"/>
                <w:szCs w:val="16"/>
              </w:rPr>
              <w:t>Trichloroethylene + Tetrachloroethylene (µg/l TCE)</w:t>
            </w:r>
          </w:p>
        </w:tc>
        <w:tc>
          <w:tcPr>
            <w:tcW w:w="2022" w:type="dxa"/>
            <w:gridSpan w:val="2"/>
            <w:vAlign w:val="center"/>
          </w:tcPr>
          <w:p w14:paraId="620E0BBD" w14:textId="77777777" w:rsidR="00EB363E" w:rsidRPr="00041DA3" w:rsidRDefault="00EB363E" w:rsidP="000C1F71">
            <w:pPr>
              <w:rPr>
                <w:sz w:val="16"/>
                <w:szCs w:val="16"/>
              </w:rPr>
            </w:pPr>
            <w:r w:rsidRPr="00041DA3">
              <w:rPr>
                <w:sz w:val="16"/>
                <w:szCs w:val="16"/>
              </w:rPr>
              <w:t xml:space="preserve">10 </w:t>
            </w:r>
            <w:r w:rsidRPr="00041DA3">
              <w:rPr>
                <w:rFonts w:eastAsia="Aptos" w:cstheme="minorHAnsi"/>
                <w:sz w:val="16"/>
                <w:szCs w:val="16"/>
              </w:rPr>
              <w:t>(µg/l)</w:t>
            </w:r>
          </w:p>
        </w:tc>
        <w:tc>
          <w:tcPr>
            <w:tcW w:w="2514" w:type="dxa"/>
            <w:vAlign w:val="center"/>
          </w:tcPr>
          <w:p w14:paraId="4FE549EB" w14:textId="77777777" w:rsidR="00EB363E" w:rsidRPr="00041DA3" w:rsidRDefault="00EB363E" w:rsidP="000C1F71">
            <w:pPr>
              <w:rPr>
                <w:sz w:val="16"/>
                <w:szCs w:val="16"/>
              </w:rPr>
            </w:pPr>
            <w:r w:rsidRPr="00041DA3">
              <w:rPr>
                <w:sz w:val="16"/>
                <w:szCs w:val="16"/>
              </w:rPr>
              <w:t xml:space="preserve">10 </w:t>
            </w:r>
            <w:r w:rsidRPr="00041DA3">
              <w:rPr>
                <w:rFonts w:eastAsia="Aptos" w:cstheme="minorHAnsi"/>
                <w:sz w:val="16"/>
                <w:szCs w:val="16"/>
              </w:rPr>
              <w:t>(µg/l)</w:t>
            </w:r>
          </w:p>
        </w:tc>
      </w:tr>
      <w:tr w:rsidR="00EB363E" w:rsidRPr="00041DA3" w14:paraId="6B057DAF" w14:textId="77777777" w:rsidTr="00041DA3">
        <w:trPr>
          <w:trHeight w:val="268"/>
        </w:trPr>
        <w:tc>
          <w:tcPr>
            <w:tcW w:w="1247" w:type="dxa"/>
            <w:vMerge/>
            <w:vAlign w:val="center"/>
          </w:tcPr>
          <w:p w14:paraId="1A0D23FC" w14:textId="77777777" w:rsidR="00EB363E" w:rsidRPr="00041DA3" w:rsidRDefault="00EB363E" w:rsidP="000C1F71">
            <w:pPr>
              <w:rPr>
                <w:sz w:val="16"/>
                <w:szCs w:val="16"/>
              </w:rPr>
            </w:pPr>
          </w:p>
        </w:tc>
        <w:tc>
          <w:tcPr>
            <w:tcW w:w="1313" w:type="dxa"/>
            <w:vMerge/>
            <w:vAlign w:val="center"/>
          </w:tcPr>
          <w:p w14:paraId="052A476D" w14:textId="77777777" w:rsidR="00EB363E" w:rsidRPr="00041DA3" w:rsidRDefault="00EB363E" w:rsidP="000C1F71">
            <w:pPr>
              <w:rPr>
                <w:sz w:val="16"/>
                <w:szCs w:val="16"/>
              </w:rPr>
            </w:pPr>
          </w:p>
        </w:tc>
        <w:tc>
          <w:tcPr>
            <w:tcW w:w="1900" w:type="dxa"/>
            <w:vAlign w:val="center"/>
          </w:tcPr>
          <w:p w14:paraId="4202E203" w14:textId="77777777" w:rsidR="00EB363E" w:rsidRPr="00041DA3" w:rsidRDefault="00EB363E" w:rsidP="000C1F71">
            <w:pPr>
              <w:rPr>
                <w:rFonts w:eastAsia="Aptos" w:cstheme="minorHAnsi"/>
                <w:sz w:val="16"/>
                <w:szCs w:val="16"/>
              </w:rPr>
            </w:pPr>
            <w:r w:rsidRPr="00041DA3">
              <w:rPr>
                <w:rFonts w:eastAsia="Aptos" w:cstheme="minorHAnsi"/>
                <w:sz w:val="16"/>
                <w:szCs w:val="16"/>
              </w:rPr>
              <w:t>Cyanides</w:t>
            </w:r>
          </w:p>
        </w:tc>
        <w:tc>
          <w:tcPr>
            <w:tcW w:w="2022" w:type="dxa"/>
            <w:gridSpan w:val="2"/>
            <w:vAlign w:val="center"/>
          </w:tcPr>
          <w:p w14:paraId="03A55686" w14:textId="77777777" w:rsidR="00EB363E" w:rsidRPr="00041DA3" w:rsidRDefault="00EB363E" w:rsidP="000C1F71">
            <w:pPr>
              <w:rPr>
                <w:sz w:val="16"/>
                <w:szCs w:val="16"/>
              </w:rPr>
            </w:pPr>
            <w:r w:rsidRPr="00041DA3">
              <w:rPr>
                <w:sz w:val="16"/>
                <w:szCs w:val="16"/>
              </w:rPr>
              <w:t>-</w:t>
            </w:r>
          </w:p>
        </w:tc>
        <w:tc>
          <w:tcPr>
            <w:tcW w:w="2514" w:type="dxa"/>
            <w:vAlign w:val="center"/>
          </w:tcPr>
          <w:p w14:paraId="78F50674" w14:textId="77777777" w:rsidR="00EB363E" w:rsidRPr="00041DA3" w:rsidRDefault="00EB363E" w:rsidP="000C1F71">
            <w:pPr>
              <w:rPr>
                <w:sz w:val="16"/>
                <w:szCs w:val="16"/>
              </w:rPr>
            </w:pPr>
            <w:r w:rsidRPr="00041DA3">
              <w:rPr>
                <w:sz w:val="16"/>
                <w:szCs w:val="16"/>
              </w:rPr>
              <w:t xml:space="preserve">5 </w:t>
            </w:r>
            <w:r w:rsidRPr="00041DA3">
              <w:rPr>
                <w:rFonts w:eastAsia="Aptos" w:cstheme="minorHAnsi"/>
                <w:sz w:val="16"/>
                <w:szCs w:val="16"/>
              </w:rPr>
              <w:t>(µg/l)</w:t>
            </w:r>
          </w:p>
        </w:tc>
      </w:tr>
    </w:tbl>
    <w:p w14:paraId="2947AF7C" w14:textId="77777777" w:rsidR="002F4776" w:rsidRDefault="002F4776" w:rsidP="00041DA3">
      <w:pPr>
        <w:jc w:val="both"/>
      </w:pPr>
      <w:bookmarkStart w:id="128" w:name="_Toc221882528"/>
    </w:p>
    <w:p w14:paraId="05EB7E7C" w14:textId="3BF4615B" w:rsidR="00EB363E" w:rsidRPr="00B71981" w:rsidRDefault="00EB363E" w:rsidP="00041DA3">
      <w:pPr>
        <w:jc w:val="both"/>
      </w:pPr>
      <w:r w:rsidRPr="00DF7771">
        <w:lastRenderedPageBreak/>
        <w:t>The assessment of groundwater status in the RBMP of the Adriatic basin has</w:t>
      </w:r>
      <w:r w:rsidR="00041DA3">
        <w:t xml:space="preserve"> also</w:t>
      </w:r>
      <w:r w:rsidRPr="00DF7771">
        <w:t xml:space="preserve"> been determined by evaluating groundwater bodies from the perspective of quantitative status (quantitative status is considered good if water abstraction does not exceed available </w:t>
      </w:r>
      <w:r w:rsidRPr="00B71981">
        <w:t xml:space="preserve">quantities and if there is no recorded trend of declining capacity) and from the perspective of chemical </w:t>
      </w:r>
      <w:r w:rsidRPr="00D8583F">
        <w:t>status (chemical status is considered good if the values for individual compounds are at the level of background values and, where applicable, below threshold values, and if there is no trend of deterioration).</w:t>
      </w:r>
    </w:p>
    <w:p w14:paraId="206A21B6" w14:textId="0785F338" w:rsidR="00EB363E" w:rsidRDefault="00EB363E" w:rsidP="00EB363E">
      <w:pPr>
        <w:jc w:val="both"/>
      </w:pPr>
      <w:r w:rsidRPr="00D63B67">
        <w:rPr>
          <w:rFonts w:cstheme="minorHAnsi"/>
        </w:rPr>
        <w:t>The assessment of the quantitative status of groundwater in both the RBMP of Croatia and the Adriatic Sea basin RBMP, is based on the relationship between groundwater abstraction volumes and renewable groundwater resources. Renewable groundwater resources in the 2nd RBMP of Croatia were estimated using correlations between annual precipitation, air temperature, and specific discharge derived from raster-based spatial datasets for the reference 30-year period (1961–1990)</w:t>
      </w:r>
      <w:r w:rsidR="00041DA3">
        <w:rPr>
          <w:rFonts w:cstheme="minorHAnsi"/>
        </w:rPr>
        <w:t xml:space="preserve">, </w:t>
      </w:r>
      <w:r w:rsidR="00041DA3" w:rsidRPr="00D63B67">
        <w:rPr>
          <w:rFonts w:cstheme="minorHAnsi"/>
        </w:rPr>
        <w:t>well as from point-based precipitation and air temperature data covering both the reference period and the more recent period (2008–2014).</w:t>
      </w:r>
    </w:p>
    <w:p w14:paraId="229C1790" w14:textId="4EFE8529" w:rsidR="00EB363E" w:rsidRPr="00B71981" w:rsidRDefault="002F4776" w:rsidP="002F4776">
      <w:pPr>
        <w:pStyle w:val="Caption"/>
      </w:pPr>
      <w:bookmarkStart w:id="129" w:name="_Toc229037738"/>
      <w:r>
        <w:t xml:space="preserve">Table </w:t>
      </w:r>
      <w:r>
        <w:fldChar w:fldCharType="begin"/>
      </w:r>
      <w:r>
        <w:instrText xml:space="preserve"> SEQ Table \* ARABIC </w:instrText>
      </w:r>
      <w:r>
        <w:fldChar w:fldCharType="separate"/>
      </w:r>
      <w:r>
        <w:rPr>
          <w:noProof/>
        </w:rPr>
        <w:t>16</w:t>
      </w:r>
      <w:r>
        <w:fldChar w:fldCharType="end"/>
      </w:r>
      <w:r>
        <w:t xml:space="preserve"> </w:t>
      </w:r>
      <w:r w:rsidRPr="00E8300D">
        <w:t>Groundwater body status</w:t>
      </w:r>
      <w:bookmarkEnd w:id="129"/>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03"/>
        <w:gridCol w:w="2410"/>
        <w:gridCol w:w="1590"/>
        <w:gridCol w:w="1849"/>
        <w:gridCol w:w="1664"/>
      </w:tblGrid>
      <w:tr w:rsidR="00EB363E" w:rsidRPr="00041DA3" w14:paraId="0E0BE10E" w14:textId="77777777" w:rsidTr="00B47247">
        <w:trPr>
          <w:trHeight w:val="412"/>
        </w:trPr>
        <w:tc>
          <w:tcPr>
            <w:tcW w:w="1403" w:type="dxa"/>
            <w:shd w:val="clear" w:color="auto" w:fill="A5C9EB"/>
            <w:vAlign w:val="center"/>
          </w:tcPr>
          <w:p w14:paraId="5940BDFC" w14:textId="77777777" w:rsidR="00EB363E" w:rsidRPr="00041DA3" w:rsidRDefault="00EB363E" w:rsidP="000C1F71">
            <w:pPr>
              <w:autoSpaceDE w:val="0"/>
              <w:autoSpaceDN w:val="0"/>
              <w:adjustRightInd w:val="0"/>
              <w:jc w:val="center"/>
              <w:rPr>
                <w:rFonts w:cstheme="minorHAnsi"/>
                <w:b/>
                <w:sz w:val="16"/>
                <w:szCs w:val="16"/>
              </w:rPr>
            </w:pPr>
            <w:r w:rsidRPr="00041DA3">
              <w:rPr>
                <w:rFonts w:cstheme="minorHAnsi"/>
                <w:b/>
                <w:sz w:val="16"/>
                <w:szCs w:val="16"/>
              </w:rPr>
              <w:t>GWB Code</w:t>
            </w:r>
          </w:p>
        </w:tc>
        <w:tc>
          <w:tcPr>
            <w:tcW w:w="2410" w:type="dxa"/>
            <w:shd w:val="clear" w:color="auto" w:fill="A5C9EB"/>
            <w:vAlign w:val="center"/>
          </w:tcPr>
          <w:p w14:paraId="23C5621D" w14:textId="77777777" w:rsidR="00EB363E" w:rsidRPr="00041DA3" w:rsidRDefault="00EB363E" w:rsidP="000C1F71">
            <w:pPr>
              <w:autoSpaceDE w:val="0"/>
              <w:autoSpaceDN w:val="0"/>
              <w:adjustRightInd w:val="0"/>
              <w:jc w:val="center"/>
              <w:rPr>
                <w:rFonts w:cstheme="minorHAnsi"/>
                <w:b/>
                <w:sz w:val="16"/>
                <w:szCs w:val="16"/>
              </w:rPr>
            </w:pPr>
            <w:r w:rsidRPr="00041DA3">
              <w:rPr>
                <w:rFonts w:cstheme="minorHAnsi"/>
                <w:b/>
                <w:sz w:val="16"/>
                <w:szCs w:val="16"/>
              </w:rPr>
              <w:t>GWB Name</w:t>
            </w:r>
          </w:p>
        </w:tc>
        <w:tc>
          <w:tcPr>
            <w:tcW w:w="1590" w:type="dxa"/>
            <w:shd w:val="clear" w:color="auto" w:fill="A5C9EB"/>
            <w:vAlign w:val="center"/>
          </w:tcPr>
          <w:p w14:paraId="6651A5C9" w14:textId="77777777" w:rsidR="00EB363E" w:rsidRPr="00041DA3" w:rsidRDefault="00EB363E" w:rsidP="000C1F71">
            <w:pPr>
              <w:autoSpaceDE w:val="0"/>
              <w:autoSpaceDN w:val="0"/>
              <w:adjustRightInd w:val="0"/>
              <w:jc w:val="center"/>
              <w:rPr>
                <w:rFonts w:cstheme="minorHAnsi"/>
                <w:b/>
                <w:sz w:val="16"/>
                <w:szCs w:val="16"/>
              </w:rPr>
            </w:pPr>
            <w:r w:rsidRPr="00041DA3">
              <w:rPr>
                <w:rFonts w:cstheme="minorHAnsi"/>
                <w:b/>
                <w:sz w:val="16"/>
                <w:szCs w:val="16"/>
              </w:rPr>
              <w:t>Chemical status</w:t>
            </w:r>
          </w:p>
        </w:tc>
        <w:tc>
          <w:tcPr>
            <w:tcW w:w="1849" w:type="dxa"/>
            <w:shd w:val="clear" w:color="auto" w:fill="A5C9EB"/>
            <w:vAlign w:val="center"/>
          </w:tcPr>
          <w:p w14:paraId="6551F326" w14:textId="77777777" w:rsidR="00EB363E" w:rsidRPr="00041DA3" w:rsidRDefault="00EB363E" w:rsidP="000C1F71">
            <w:pPr>
              <w:autoSpaceDE w:val="0"/>
              <w:autoSpaceDN w:val="0"/>
              <w:adjustRightInd w:val="0"/>
              <w:jc w:val="center"/>
              <w:rPr>
                <w:rFonts w:cstheme="minorHAnsi"/>
                <w:b/>
                <w:sz w:val="16"/>
                <w:szCs w:val="16"/>
              </w:rPr>
            </w:pPr>
            <w:r w:rsidRPr="00041DA3">
              <w:rPr>
                <w:rFonts w:cstheme="minorHAnsi"/>
                <w:b/>
                <w:sz w:val="16"/>
                <w:szCs w:val="16"/>
              </w:rPr>
              <w:t>Quantitative status</w:t>
            </w:r>
          </w:p>
        </w:tc>
        <w:tc>
          <w:tcPr>
            <w:tcW w:w="1664" w:type="dxa"/>
            <w:shd w:val="clear" w:color="auto" w:fill="A5C9EB"/>
            <w:vAlign w:val="center"/>
          </w:tcPr>
          <w:p w14:paraId="13E9DE8F" w14:textId="77777777" w:rsidR="00EB363E" w:rsidRPr="00041DA3" w:rsidRDefault="00EB363E" w:rsidP="000C1F71">
            <w:pPr>
              <w:autoSpaceDE w:val="0"/>
              <w:autoSpaceDN w:val="0"/>
              <w:adjustRightInd w:val="0"/>
              <w:jc w:val="center"/>
              <w:rPr>
                <w:rFonts w:cstheme="minorHAnsi"/>
                <w:b/>
                <w:sz w:val="16"/>
                <w:szCs w:val="16"/>
              </w:rPr>
            </w:pPr>
            <w:r w:rsidRPr="00041DA3">
              <w:rPr>
                <w:rFonts w:cstheme="minorHAnsi"/>
                <w:b/>
                <w:sz w:val="16"/>
                <w:szCs w:val="16"/>
              </w:rPr>
              <w:t>Spring</w:t>
            </w:r>
          </w:p>
        </w:tc>
      </w:tr>
      <w:tr w:rsidR="00EB363E" w:rsidRPr="00041DA3" w14:paraId="101D69BE" w14:textId="77777777" w:rsidTr="00B47247">
        <w:trPr>
          <w:trHeight w:val="536"/>
        </w:trPr>
        <w:tc>
          <w:tcPr>
            <w:tcW w:w="1403" w:type="dxa"/>
            <w:vAlign w:val="center"/>
          </w:tcPr>
          <w:p w14:paraId="78C58609"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5</w:t>
            </w:r>
          </w:p>
        </w:tc>
        <w:tc>
          <w:tcPr>
            <w:tcW w:w="2410" w:type="dxa"/>
            <w:vAlign w:val="center"/>
          </w:tcPr>
          <w:p w14:paraId="4CB41110" w14:textId="77777777" w:rsidR="00EB363E" w:rsidRPr="00041DA3" w:rsidRDefault="00EB363E" w:rsidP="000C1F71">
            <w:pPr>
              <w:autoSpaceDE w:val="0"/>
              <w:autoSpaceDN w:val="0"/>
              <w:adjustRightInd w:val="0"/>
              <w:jc w:val="center"/>
              <w:rPr>
                <w:rFonts w:cstheme="minorHAnsi"/>
                <w:sz w:val="16"/>
                <w:szCs w:val="16"/>
              </w:rPr>
            </w:pPr>
            <w:proofErr w:type="spellStart"/>
            <w:r w:rsidRPr="00041DA3">
              <w:rPr>
                <w:rFonts w:cstheme="minorHAnsi"/>
                <w:sz w:val="16"/>
                <w:szCs w:val="16"/>
              </w:rPr>
              <w:t>Posušje</w:t>
            </w:r>
            <w:proofErr w:type="spellEnd"/>
            <w:r w:rsidRPr="00041DA3">
              <w:rPr>
                <w:rFonts w:cstheme="minorHAnsi"/>
                <w:sz w:val="16"/>
                <w:szCs w:val="16"/>
              </w:rPr>
              <w:t xml:space="preserve">- </w:t>
            </w:r>
            <w:proofErr w:type="spellStart"/>
            <w:r w:rsidRPr="00041DA3">
              <w:rPr>
                <w:rFonts w:cstheme="minorHAnsi"/>
                <w:sz w:val="16"/>
                <w:szCs w:val="16"/>
              </w:rPr>
              <w:t>Imotski</w:t>
            </w:r>
            <w:proofErr w:type="spellEnd"/>
          </w:p>
        </w:tc>
        <w:tc>
          <w:tcPr>
            <w:tcW w:w="1590" w:type="dxa"/>
            <w:vAlign w:val="center"/>
          </w:tcPr>
          <w:p w14:paraId="32FF6E27"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849" w:type="dxa"/>
            <w:vAlign w:val="center"/>
          </w:tcPr>
          <w:p w14:paraId="0C3191C2"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664" w:type="dxa"/>
            <w:vAlign w:val="center"/>
          </w:tcPr>
          <w:p w14:paraId="64B16CCE"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 xml:space="preserve">Izvor </w:t>
            </w:r>
            <w:proofErr w:type="spellStart"/>
            <w:r w:rsidRPr="00041DA3">
              <w:rPr>
                <w:rFonts w:cstheme="minorHAnsi"/>
                <w:sz w:val="16"/>
                <w:szCs w:val="16"/>
              </w:rPr>
              <w:t>Opačac</w:t>
            </w:r>
            <w:proofErr w:type="spellEnd"/>
            <w:r w:rsidRPr="00041DA3">
              <w:rPr>
                <w:rFonts w:cstheme="minorHAnsi"/>
                <w:sz w:val="16"/>
                <w:szCs w:val="16"/>
              </w:rPr>
              <w:t>**</w:t>
            </w:r>
          </w:p>
          <w:p w14:paraId="05A816EC" w14:textId="77777777" w:rsidR="00EB363E" w:rsidRPr="00041DA3" w:rsidRDefault="00EB363E" w:rsidP="000C1F71">
            <w:pPr>
              <w:autoSpaceDE w:val="0"/>
              <w:autoSpaceDN w:val="0"/>
              <w:adjustRightInd w:val="0"/>
              <w:jc w:val="center"/>
              <w:rPr>
                <w:rFonts w:cstheme="minorHAnsi"/>
                <w:sz w:val="16"/>
                <w:szCs w:val="16"/>
              </w:rPr>
            </w:pPr>
            <w:proofErr w:type="spellStart"/>
            <w:r w:rsidRPr="00041DA3">
              <w:rPr>
                <w:rFonts w:cstheme="minorHAnsi"/>
                <w:sz w:val="16"/>
                <w:szCs w:val="16"/>
              </w:rPr>
              <w:t>Grudsko</w:t>
            </w:r>
            <w:proofErr w:type="spellEnd"/>
            <w:r w:rsidRPr="00041DA3">
              <w:rPr>
                <w:rFonts w:cstheme="minorHAnsi"/>
                <w:sz w:val="16"/>
                <w:szCs w:val="16"/>
              </w:rPr>
              <w:t xml:space="preserve"> </w:t>
            </w:r>
            <w:proofErr w:type="spellStart"/>
            <w:r w:rsidRPr="00041DA3">
              <w:rPr>
                <w:rFonts w:cstheme="minorHAnsi"/>
                <w:sz w:val="16"/>
                <w:szCs w:val="16"/>
              </w:rPr>
              <w:t>vrilo</w:t>
            </w:r>
            <w:proofErr w:type="spellEnd"/>
            <w:r w:rsidRPr="00041DA3">
              <w:rPr>
                <w:rFonts w:cstheme="minorHAnsi"/>
                <w:sz w:val="16"/>
                <w:szCs w:val="16"/>
              </w:rPr>
              <w:t>*</w:t>
            </w:r>
          </w:p>
          <w:p w14:paraId="1C84076C" w14:textId="77777777" w:rsidR="00EB363E" w:rsidRPr="00041DA3" w:rsidRDefault="00EB363E" w:rsidP="000C1F71">
            <w:pPr>
              <w:autoSpaceDE w:val="0"/>
              <w:autoSpaceDN w:val="0"/>
              <w:adjustRightInd w:val="0"/>
              <w:jc w:val="center"/>
              <w:rPr>
                <w:rFonts w:cstheme="minorHAnsi"/>
                <w:sz w:val="16"/>
                <w:szCs w:val="16"/>
              </w:rPr>
            </w:pPr>
            <w:proofErr w:type="spellStart"/>
            <w:r w:rsidRPr="00041DA3">
              <w:rPr>
                <w:rFonts w:cstheme="minorHAnsi"/>
                <w:sz w:val="16"/>
                <w:szCs w:val="16"/>
              </w:rPr>
              <w:t>Tribistovo</w:t>
            </w:r>
            <w:proofErr w:type="spellEnd"/>
            <w:r w:rsidRPr="00041DA3">
              <w:rPr>
                <w:rFonts w:cstheme="minorHAnsi"/>
                <w:sz w:val="16"/>
                <w:szCs w:val="16"/>
              </w:rPr>
              <w:t>*</w:t>
            </w:r>
          </w:p>
        </w:tc>
      </w:tr>
      <w:tr w:rsidR="00EB363E" w:rsidRPr="00041DA3" w14:paraId="37F68A69" w14:textId="77777777" w:rsidTr="00B47247">
        <w:trPr>
          <w:trHeight w:val="309"/>
        </w:trPr>
        <w:tc>
          <w:tcPr>
            <w:tcW w:w="1403" w:type="dxa"/>
            <w:vAlign w:val="center"/>
          </w:tcPr>
          <w:p w14:paraId="536E57A4"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6</w:t>
            </w:r>
          </w:p>
        </w:tc>
        <w:tc>
          <w:tcPr>
            <w:tcW w:w="2410" w:type="dxa"/>
            <w:vAlign w:val="center"/>
          </w:tcPr>
          <w:p w14:paraId="4B252291" w14:textId="77777777" w:rsidR="00EB363E" w:rsidRPr="00041DA3" w:rsidRDefault="00EB363E" w:rsidP="000C1F71">
            <w:pPr>
              <w:autoSpaceDE w:val="0"/>
              <w:autoSpaceDN w:val="0"/>
              <w:adjustRightInd w:val="0"/>
              <w:jc w:val="center"/>
              <w:rPr>
                <w:rFonts w:cstheme="minorHAnsi"/>
                <w:sz w:val="16"/>
                <w:szCs w:val="16"/>
              </w:rPr>
            </w:pPr>
            <w:proofErr w:type="spellStart"/>
            <w:r w:rsidRPr="00041DA3">
              <w:rPr>
                <w:rFonts w:cstheme="minorHAnsi"/>
                <w:sz w:val="16"/>
                <w:szCs w:val="16"/>
              </w:rPr>
              <w:t>Tihaljina</w:t>
            </w:r>
            <w:proofErr w:type="spellEnd"/>
          </w:p>
        </w:tc>
        <w:tc>
          <w:tcPr>
            <w:tcW w:w="1590" w:type="dxa"/>
            <w:vAlign w:val="center"/>
          </w:tcPr>
          <w:p w14:paraId="6AABF568"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849" w:type="dxa"/>
            <w:vAlign w:val="center"/>
          </w:tcPr>
          <w:p w14:paraId="61F283BA"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664" w:type="dxa"/>
            <w:vAlign w:val="center"/>
          </w:tcPr>
          <w:p w14:paraId="2FB45475" w14:textId="77777777" w:rsidR="00EB363E" w:rsidRPr="00041DA3" w:rsidRDefault="00EB363E" w:rsidP="000C1F71">
            <w:pPr>
              <w:pStyle w:val="Default"/>
              <w:jc w:val="center"/>
              <w:rPr>
                <w:rFonts w:asciiTheme="minorHAnsi" w:hAnsiTheme="minorHAnsi" w:cstheme="minorHAnsi"/>
                <w:color w:val="auto"/>
                <w:sz w:val="16"/>
                <w:szCs w:val="16"/>
              </w:rPr>
            </w:pPr>
            <w:r w:rsidRPr="00041DA3">
              <w:rPr>
                <w:rFonts w:asciiTheme="minorHAnsi" w:hAnsiTheme="minorHAnsi" w:cstheme="minorHAnsi"/>
                <w:i/>
                <w:iCs/>
                <w:color w:val="auto"/>
                <w:sz w:val="16"/>
                <w:szCs w:val="16"/>
              </w:rPr>
              <w:t xml:space="preserve">Izvor </w:t>
            </w:r>
            <w:proofErr w:type="spellStart"/>
            <w:r w:rsidRPr="00041DA3">
              <w:rPr>
                <w:rFonts w:asciiTheme="minorHAnsi" w:hAnsiTheme="minorHAnsi" w:cstheme="minorHAnsi"/>
                <w:i/>
                <w:iCs/>
                <w:color w:val="auto"/>
                <w:sz w:val="16"/>
                <w:szCs w:val="16"/>
              </w:rPr>
              <w:t>Tihaljine</w:t>
            </w:r>
            <w:proofErr w:type="spellEnd"/>
          </w:p>
          <w:p w14:paraId="3418D6D5"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i/>
                <w:iCs/>
                <w:sz w:val="16"/>
                <w:szCs w:val="16"/>
              </w:rPr>
              <w:t>Izvor Klokun**</w:t>
            </w:r>
          </w:p>
        </w:tc>
      </w:tr>
      <w:tr w:rsidR="00EB363E" w:rsidRPr="00041DA3" w14:paraId="6163678A" w14:textId="77777777" w:rsidTr="00B47247">
        <w:trPr>
          <w:trHeight w:val="254"/>
        </w:trPr>
        <w:tc>
          <w:tcPr>
            <w:tcW w:w="1403" w:type="dxa"/>
            <w:vAlign w:val="center"/>
          </w:tcPr>
          <w:p w14:paraId="0828C09B"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9</w:t>
            </w:r>
          </w:p>
        </w:tc>
        <w:tc>
          <w:tcPr>
            <w:tcW w:w="2410" w:type="dxa"/>
            <w:vAlign w:val="center"/>
          </w:tcPr>
          <w:p w14:paraId="1E71A159" w14:textId="77777777" w:rsidR="00EB363E" w:rsidRPr="00041DA3" w:rsidRDefault="00EB363E" w:rsidP="000C1F71">
            <w:pPr>
              <w:autoSpaceDE w:val="0"/>
              <w:autoSpaceDN w:val="0"/>
              <w:adjustRightInd w:val="0"/>
              <w:jc w:val="center"/>
              <w:rPr>
                <w:rFonts w:cstheme="minorHAnsi"/>
                <w:sz w:val="16"/>
                <w:szCs w:val="16"/>
              </w:rPr>
            </w:pPr>
            <w:proofErr w:type="spellStart"/>
            <w:r w:rsidRPr="00041DA3">
              <w:rPr>
                <w:rFonts w:cstheme="minorHAnsi"/>
                <w:sz w:val="16"/>
                <w:szCs w:val="16"/>
              </w:rPr>
              <w:t>Prud</w:t>
            </w:r>
            <w:proofErr w:type="spellEnd"/>
          </w:p>
        </w:tc>
        <w:tc>
          <w:tcPr>
            <w:tcW w:w="1590" w:type="dxa"/>
            <w:vAlign w:val="center"/>
          </w:tcPr>
          <w:p w14:paraId="08479F2A"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849" w:type="dxa"/>
            <w:vAlign w:val="center"/>
          </w:tcPr>
          <w:p w14:paraId="3EB1BAD7"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664" w:type="dxa"/>
            <w:vAlign w:val="center"/>
          </w:tcPr>
          <w:p w14:paraId="4359A6DE" w14:textId="508F5823" w:rsidR="00EB363E" w:rsidRPr="00041DA3" w:rsidRDefault="00041DA3" w:rsidP="000C1F71">
            <w:pPr>
              <w:autoSpaceDE w:val="0"/>
              <w:autoSpaceDN w:val="0"/>
              <w:adjustRightInd w:val="0"/>
              <w:jc w:val="center"/>
              <w:rPr>
                <w:rFonts w:cstheme="minorHAnsi"/>
                <w:sz w:val="16"/>
                <w:szCs w:val="16"/>
              </w:rPr>
            </w:pPr>
            <w:r>
              <w:rPr>
                <w:rFonts w:cstheme="minorHAnsi"/>
                <w:sz w:val="16"/>
                <w:szCs w:val="16"/>
              </w:rPr>
              <w:t>-</w:t>
            </w:r>
          </w:p>
        </w:tc>
      </w:tr>
      <w:tr w:rsidR="00EB363E" w:rsidRPr="00041DA3" w14:paraId="3445A642" w14:textId="77777777" w:rsidTr="00B47247">
        <w:trPr>
          <w:trHeight w:val="351"/>
        </w:trPr>
        <w:tc>
          <w:tcPr>
            <w:tcW w:w="1403" w:type="dxa"/>
            <w:vAlign w:val="center"/>
          </w:tcPr>
          <w:p w14:paraId="3D88119E"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30</w:t>
            </w:r>
          </w:p>
        </w:tc>
        <w:tc>
          <w:tcPr>
            <w:tcW w:w="2410" w:type="dxa"/>
            <w:vAlign w:val="center"/>
          </w:tcPr>
          <w:p w14:paraId="2818B73D"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Butina</w:t>
            </w:r>
          </w:p>
        </w:tc>
        <w:tc>
          <w:tcPr>
            <w:tcW w:w="1590" w:type="dxa"/>
            <w:vAlign w:val="center"/>
          </w:tcPr>
          <w:p w14:paraId="573A54A8"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849" w:type="dxa"/>
            <w:vAlign w:val="center"/>
          </w:tcPr>
          <w:p w14:paraId="73CEA564"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664" w:type="dxa"/>
            <w:vAlign w:val="center"/>
          </w:tcPr>
          <w:p w14:paraId="59ABF0E7" w14:textId="77777777" w:rsidR="00EB363E" w:rsidRPr="00041DA3" w:rsidRDefault="00EB363E" w:rsidP="000C1F71">
            <w:pPr>
              <w:pStyle w:val="Default"/>
              <w:jc w:val="center"/>
              <w:rPr>
                <w:rFonts w:asciiTheme="minorHAnsi" w:hAnsiTheme="minorHAnsi" w:cstheme="minorHAnsi"/>
                <w:color w:val="auto"/>
                <w:sz w:val="16"/>
                <w:szCs w:val="16"/>
              </w:rPr>
            </w:pPr>
            <w:r w:rsidRPr="00041DA3">
              <w:rPr>
                <w:rFonts w:asciiTheme="minorHAnsi" w:hAnsiTheme="minorHAnsi" w:cstheme="minorHAnsi"/>
                <w:i/>
                <w:iCs/>
                <w:color w:val="auto"/>
                <w:sz w:val="16"/>
                <w:szCs w:val="16"/>
              </w:rPr>
              <w:t>Izvor Butina**</w:t>
            </w:r>
          </w:p>
        </w:tc>
      </w:tr>
      <w:tr w:rsidR="00EB363E" w:rsidRPr="00041DA3" w14:paraId="0465574F" w14:textId="77777777" w:rsidTr="00B47247">
        <w:trPr>
          <w:trHeight w:val="261"/>
        </w:trPr>
        <w:tc>
          <w:tcPr>
            <w:tcW w:w="1403" w:type="dxa"/>
            <w:vAlign w:val="center"/>
          </w:tcPr>
          <w:p w14:paraId="6F0811BB"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31</w:t>
            </w:r>
          </w:p>
        </w:tc>
        <w:tc>
          <w:tcPr>
            <w:tcW w:w="2410" w:type="dxa"/>
            <w:vAlign w:val="center"/>
          </w:tcPr>
          <w:p w14:paraId="239D3862" w14:textId="77777777" w:rsidR="00EB363E" w:rsidRPr="00041DA3" w:rsidRDefault="00EB363E" w:rsidP="000C1F71">
            <w:pPr>
              <w:autoSpaceDE w:val="0"/>
              <w:autoSpaceDN w:val="0"/>
              <w:adjustRightInd w:val="0"/>
              <w:jc w:val="center"/>
              <w:rPr>
                <w:rFonts w:cstheme="minorHAnsi"/>
                <w:sz w:val="16"/>
                <w:szCs w:val="16"/>
              </w:rPr>
            </w:pPr>
            <w:proofErr w:type="spellStart"/>
            <w:r w:rsidRPr="00041DA3">
              <w:rPr>
                <w:rFonts w:cstheme="minorHAnsi"/>
                <w:sz w:val="16"/>
                <w:szCs w:val="16"/>
              </w:rPr>
              <w:t>Vrgoračka</w:t>
            </w:r>
            <w:proofErr w:type="spellEnd"/>
            <w:r w:rsidRPr="00041DA3">
              <w:rPr>
                <w:rFonts w:cstheme="minorHAnsi"/>
                <w:sz w:val="16"/>
                <w:szCs w:val="16"/>
              </w:rPr>
              <w:t xml:space="preserve"> Banja</w:t>
            </w:r>
          </w:p>
        </w:tc>
        <w:tc>
          <w:tcPr>
            <w:tcW w:w="1590" w:type="dxa"/>
            <w:vAlign w:val="center"/>
          </w:tcPr>
          <w:p w14:paraId="6188CE68"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849" w:type="dxa"/>
            <w:vAlign w:val="center"/>
          </w:tcPr>
          <w:p w14:paraId="58635E92"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664" w:type="dxa"/>
            <w:vAlign w:val="center"/>
          </w:tcPr>
          <w:p w14:paraId="772FEB5D" w14:textId="77777777" w:rsidR="00EB363E" w:rsidRPr="00041DA3" w:rsidRDefault="00EB363E" w:rsidP="000C1F71">
            <w:pPr>
              <w:pStyle w:val="Default"/>
              <w:jc w:val="center"/>
              <w:rPr>
                <w:rFonts w:asciiTheme="minorHAnsi" w:hAnsiTheme="minorHAnsi" w:cstheme="minorHAnsi"/>
                <w:color w:val="auto"/>
                <w:sz w:val="16"/>
                <w:szCs w:val="16"/>
              </w:rPr>
            </w:pPr>
            <w:r w:rsidRPr="00041DA3">
              <w:rPr>
                <w:rFonts w:asciiTheme="minorHAnsi" w:hAnsiTheme="minorHAnsi" w:cstheme="minorHAnsi"/>
                <w:i/>
                <w:iCs/>
                <w:color w:val="auto"/>
                <w:sz w:val="16"/>
                <w:szCs w:val="16"/>
              </w:rPr>
              <w:t xml:space="preserve">Izvor </w:t>
            </w:r>
            <w:proofErr w:type="spellStart"/>
            <w:r w:rsidRPr="00041DA3">
              <w:rPr>
                <w:rFonts w:asciiTheme="minorHAnsi" w:hAnsiTheme="minorHAnsi" w:cstheme="minorHAnsi"/>
                <w:i/>
                <w:iCs/>
                <w:color w:val="auto"/>
                <w:sz w:val="16"/>
                <w:szCs w:val="16"/>
              </w:rPr>
              <w:t>Vrgoračka</w:t>
            </w:r>
            <w:proofErr w:type="spellEnd"/>
            <w:r w:rsidRPr="00041DA3">
              <w:rPr>
                <w:rFonts w:asciiTheme="minorHAnsi" w:hAnsiTheme="minorHAnsi" w:cstheme="minorHAnsi"/>
                <w:i/>
                <w:iCs/>
                <w:color w:val="auto"/>
                <w:sz w:val="16"/>
                <w:szCs w:val="16"/>
              </w:rPr>
              <w:t xml:space="preserve"> Banja**</w:t>
            </w:r>
          </w:p>
        </w:tc>
      </w:tr>
      <w:tr w:rsidR="00EB363E" w:rsidRPr="00041DA3" w14:paraId="7E2225FB" w14:textId="77777777" w:rsidTr="00B47247">
        <w:trPr>
          <w:trHeight w:val="419"/>
        </w:trPr>
        <w:tc>
          <w:tcPr>
            <w:tcW w:w="1403" w:type="dxa"/>
            <w:vAlign w:val="center"/>
          </w:tcPr>
          <w:p w14:paraId="3ED32361"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43*</w:t>
            </w:r>
          </w:p>
        </w:tc>
        <w:tc>
          <w:tcPr>
            <w:tcW w:w="2410" w:type="dxa"/>
            <w:vAlign w:val="center"/>
          </w:tcPr>
          <w:p w14:paraId="45010420" w14:textId="77777777" w:rsidR="00EB363E" w:rsidRPr="00041DA3" w:rsidRDefault="00EB363E" w:rsidP="000C1F71">
            <w:pPr>
              <w:autoSpaceDE w:val="0"/>
              <w:autoSpaceDN w:val="0"/>
              <w:adjustRightInd w:val="0"/>
              <w:jc w:val="center"/>
              <w:rPr>
                <w:rFonts w:cstheme="minorHAnsi"/>
                <w:sz w:val="16"/>
                <w:szCs w:val="16"/>
              </w:rPr>
            </w:pPr>
            <w:proofErr w:type="spellStart"/>
            <w:r w:rsidRPr="00041DA3">
              <w:rPr>
                <w:rFonts w:cstheme="minorHAnsi"/>
                <w:sz w:val="16"/>
                <w:szCs w:val="16"/>
              </w:rPr>
              <w:t>Imotsko-Bekijsko</w:t>
            </w:r>
            <w:proofErr w:type="spellEnd"/>
            <w:r w:rsidRPr="00041DA3">
              <w:rPr>
                <w:rFonts w:cstheme="minorHAnsi"/>
                <w:sz w:val="16"/>
                <w:szCs w:val="16"/>
              </w:rPr>
              <w:t xml:space="preserve"> polje</w:t>
            </w:r>
          </w:p>
        </w:tc>
        <w:tc>
          <w:tcPr>
            <w:tcW w:w="1590" w:type="dxa"/>
            <w:vAlign w:val="center"/>
          </w:tcPr>
          <w:p w14:paraId="530808D4"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849" w:type="dxa"/>
            <w:vAlign w:val="center"/>
          </w:tcPr>
          <w:p w14:paraId="7647989C"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664" w:type="dxa"/>
            <w:vAlign w:val="center"/>
          </w:tcPr>
          <w:p w14:paraId="33B69295" w14:textId="26351BCC" w:rsidR="00EB363E" w:rsidRPr="00041DA3" w:rsidRDefault="00041DA3" w:rsidP="000C1F71">
            <w:pPr>
              <w:autoSpaceDE w:val="0"/>
              <w:autoSpaceDN w:val="0"/>
              <w:adjustRightInd w:val="0"/>
              <w:jc w:val="center"/>
              <w:rPr>
                <w:rFonts w:cstheme="minorHAnsi"/>
                <w:sz w:val="16"/>
                <w:szCs w:val="16"/>
              </w:rPr>
            </w:pPr>
            <w:r>
              <w:rPr>
                <w:rFonts w:cstheme="minorHAnsi"/>
                <w:sz w:val="16"/>
                <w:szCs w:val="16"/>
              </w:rPr>
              <w:t>-</w:t>
            </w:r>
          </w:p>
        </w:tc>
      </w:tr>
      <w:tr w:rsidR="00EB363E" w:rsidRPr="00041DA3" w14:paraId="2B95D956" w14:textId="77777777" w:rsidTr="00B47247">
        <w:trPr>
          <w:trHeight w:val="412"/>
        </w:trPr>
        <w:tc>
          <w:tcPr>
            <w:tcW w:w="1403" w:type="dxa"/>
            <w:vAlign w:val="center"/>
          </w:tcPr>
          <w:p w14:paraId="7F1815CD" w14:textId="3FEB6DF7" w:rsidR="00EB363E" w:rsidRPr="00041DA3" w:rsidRDefault="00041DA3" w:rsidP="000C1F71">
            <w:pPr>
              <w:autoSpaceDE w:val="0"/>
              <w:autoSpaceDN w:val="0"/>
              <w:adjustRightInd w:val="0"/>
              <w:jc w:val="center"/>
              <w:rPr>
                <w:rFonts w:cstheme="minorHAnsi"/>
                <w:sz w:val="16"/>
                <w:szCs w:val="16"/>
              </w:rPr>
            </w:pPr>
            <w:r>
              <w:rPr>
                <w:rFonts w:cstheme="minorHAnsi"/>
                <w:sz w:val="16"/>
                <w:szCs w:val="16"/>
              </w:rPr>
              <w:t>-</w:t>
            </w:r>
          </w:p>
        </w:tc>
        <w:tc>
          <w:tcPr>
            <w:tcW w:w="2410" w:type="dxa"/>
            <w:vAlign w:val="center"/>
          </w:tcPr>
          <w:p w14:paraId="5A0950FB"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Neretva- right bank</w:t>
            </w:r>
          </w:p>
        </w:tc>
        <w:tc>
          <w:tcPr>
            <w:tcW w:w="1590" w:type="dxa"/>
            <w:vAlign w:val="center"/>
          </w:tcPr>
          <w:p w14:paraId="3274A299"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849" w:type="dxa"/>
            <w:vAlign w:val="center"/>
          </w:tcPr>
          <w:p w14:paraId="3F8E9343" w14:textId="77777777" w:rsidR="00EB363E" w:rsidRPr="00041DA3" w:rsidRDefault="00EB363E" w:rsidP="000C1F71">
            <w:pPr>
              <w:autoSpaceDE w:val="0"/>
              <w:autoSpaceDN w:val="0"/>
              <w:adjustRightInd w:val="0"/>
              <w:jc w:val="center"/>
              <w:rPr>
                <w:rFonts w:cstheme="minorHAnsi"/>
                <w:sz w:val="16"/>
                <w:szCs w:val="16"/>
              </w:rPr>
            </w:pPr>
            <w:r w:rsidRPr="00041DA3">
              <w:rPr>
                <w:rFonts w:cstheme="minorHAnsi"/>
                <w:sz w:val="16"/>
                <w:szCs w:val="16"/>
              </w:rPr>
              <w:t>Good</w:t>
            </w:r>
          </w:p>
        </w:tc>
        <w:tc>
          <w:tcPr>
            <w:tcW w:w="1664" w:type="dxa"/>
            <w:vAlign w:val="center"/>
          </w:tcPr>
          <w:p w14:paraId="5BB43659" w14:textId="5E7815DB" w:rsidR="00EB363E" w:rsidRPr="00041DA3" w:rsidRDefault="00041DA3" w:rsidP="000C1F71">
            <w:pPr>
              <w:autoSpaceDE w:val="0"/>
              <w:autoSpaceDN w:val="0"/>
              <w:adjustRightInd w:val="0"/>
              <w:jc w:val="center"/>
              <w:rPr>
                <w:rFonts w:cstheme="minorHAnsi"/>
                <w:sz w:val="16"/>
                <w:szCs w:val="16"/>
              </w:rPr>
            </w:pPr>
            <w:r>
              <w:rPr>
                <w:rFonts w:cstheme="minorHAnsi"/>
                <w:sz w:val="16"/>
                <w:szCs w:val="16"/>
              </w:rPr>
              <w:t>-</w:t>
            </w:r>
          </w:p>
        </w:tc>
      </w:tr>
    </w:tbl>
    <w:p w14:paraId="2EBF8C63" w14:textId="45E67CCA" w:rsidR="00EB363E" w:rsidRDefault="00EB363E" w:rsidP="00EB363E">
      <w:pPr>
        <w:jc w:val="both"/>
        <w:rPr>
          <w:rFonts w:cstheme="minorHAnsi"/>
          <w:color w:val="FF0000"/>
        </w:rPr>
      </w:pPr>
    </w:p>
    <w:bookmarkEnd w:id="128"/>
    <w:p w14:paraId="52B2AE99" w14:textId="77777777" w:rsidR="00EB363E" w:rsidRPr="00D63B67" w:rsidRDefault="00EB363E" w:rsidP="00041DA3">
      <w:pPr>
        <w:pStyle w:val="NormalWeb"/>
        <w:spacing w:before="0" w:beforeAutospacing="0" w:after="160" w:afterAutospacing="0" w:line="259" w:lineRule="auto"/>
        <w:jc w:val="both"/>
        <w:rPr>
          <w:rFonts w:asciiTheme="minorHAnsi" w:hAnsiTheme="minorHAnsi" w:cstheme="minorHAnsi"/>
          <w:sz w:val="22"/>
          <w:szCs w:val="22"/>
        </w:rPr>
      </w:pPr>
      <w:r w:rsidRPr="00D63B67">
        <w:rPr>
          <w:rFonts w:asciiTheme="minorHAnsi" w:hAnsiTheme="minorHAnsi" w:cstheme="minorHAnsi"/>
          <w:sz w:val="22"/>
          <w:szCs w:val="22"/>
        </w:rPr>
        <w:t xml:space="preserve">In the 2nd RBMP for Croatia, pressure on groundwater quantitative status is considered significant when abstraction exceeds 10% of available water balance reserves. This relatively low threshold was adopted because renewable groundwater resources are unevenly distributed throughout the year and are typically lowest during the period of highest seasonal demand (late summer). Due to insufficient data on the temporal distribution of water use at individual groundwater bodies (GWBs), these critical seasonal conditions could not be quantitatively analysed. </w:t>
      </w:r>
    </w:p>
    <w:p w14:paraId="2BE114CD" w14:textId="77777777" w:rsidR="00EB363E" w:rsidRPr="00D63B67" w:rsidRDefault="00EB363E" w:rsidP="00041DA3">
      <w:pPr>
        <w:pStyle w:val="NormalWeb"/>
        <w:spacing w:before="0" w:beforeAutospacing="0" w:after="160" w:afterAutospacing="0" w:line="259" w:lineRule="auto"/>
        <w:jc w:val="both"/>
        <w:rPr>
          <w:rFonts w:asciiTheme="minorHAnsi" w:hAnsiTheme="minorHAnsi" w:cstheme="minorHAnsi"/>
          <w:sz w:val="22"/>
          <w:szCs w:val="22"/>
        </w:rPr>
      </w:pPr>
      <w:r w:rsidRPr="00D63B67">
        <w:rPr>
          <w:rFonts w:asciiTheme="minorHAnsi" w:hAnsiTheme="minorHAnsi" w:cstheme="minorHAnsi"/>
          <w:sz w:val="22"/>
          <w:szCs w:val="22"/>
        </w:rPr>
        <w:t>In the RBMP for the Adriatic basin in FBiH, a threshold value of 20% abstraction relative to the minimum available groundwater resources is applied for groundwater bodies (GWBs) for which data on minimum available groundwater resources exist. For other GWBs, where such data are not available, threshold values are generally defined as a 10% reduction of total available groundwater resources.</w:t>
      </w:r>
    </w:p>
    <w:p w14:paraId="74E7C18E" w14:textId="293DD807" w:rsidR="00EB363E" w:rsidRPr="00DF7771" w:rsidRDefault="00EB363E" w:rsidP="00041DA3">
      <w:pPr>
        <w:pStyle w:val="NormalWeb"/>
        <w:spacing w:before="0" w:beforeAutospacing="0" w:after="160" w:afterAutospacing="0" w:line="259" w:lineRule="auto"/>
        <w:jc w:val="both"/>
        <w:rPr>
          <w:rFonts w:asciiTheme="minorHAnsi" w:hAnsiTheme="minorHAnsi" w:cstheme="minorHAnsi"/>
          <w:sz w:val="22"/>
          <w:szCs w:val="22"/>
        </w:rPr>
      </w:pPr>
      <w:r w:rsidRPr="00DF7771">
        <w:rPr>
          <w:rFonts w:asciiTheme="minorHAnsi" w:hAnsiTheme="minorHAnsi" w:cstheme="minorHAnsi"/>
          <w:sz w:val="22"/>
          <w:szCs w:val="22"/>
        </w:rPr>
        <w:t>In terms of quantitative status, the grouped groundwater body within the Croatian RBMP has been assessed as having good quantitative status. Similarly, five groundwater bodies (GWBs) in the Adriatic Sea RBMP</w:t>
      </w:r>
      <w:r w:rsidR="00041DA3">
        <w:rPr>
          <w:rFonts w:asciiTheme="minorHAnsi" w:hAnsiTheme="minorHAnsi" w:cstheme="minorHAnsi"/>
          <w:sz w:val="22"/>
          <w:szCs w:val="22"/>
        </w:rPr>
        <w:t xml:space="preserve">: </w:t>
      </w:r>
      <w:r w:rsidRPr="00DF7771">
        <w:rPr>
          <w:rFonts w:asciiTheme="minorHAnsi" w:hAnsiTheme="minorHAnsi" w:cstheme="minorHAnsi"/>
          <w:sz w:val="22"/>
          <w:szCs w:val="22"/>
        </w:rPr>
        <w:t>GWB 5 (</w:t>
      </w:r>
      <w:proofErr w:type="spellStart"/>
      <w:r w:rsidRPr="00DF7771">
        <w:rPr>
          <w:rFonts w:asciiTheme="minorHAnsi" w:hAnsiTheme="minorHAnsi" w:cstheme="minorHAnsi"/>
          <w:sz w:val="22"/>
          <w:szCs w:val="22"/>
        </w:rPr>
        <w:t>Posušje</w:t>
      </w:r>
      <w:proofErr w:type="spellEnd"/>
      <w:r w:rsidRPr="00DF7771">
        <w:rPr>
          <w:rFonts w:asciiTheme="minorHAnsi" w:hAnsiTheme="minorHAnsi" w:cstheme="minorHAnsi"/>
          <w:sz w:val="22"/>
          <w:szCs w:val="22"/>
        </w:rPr>
        <w:t>–</w:t>
      </w:r>
      <w:proofErr w:type="spellStart"/>
      <w:r w:rsidRPr="00DF7771">
        <w:rPr>
          <w:rFonts w:asciiTheme="minorHAnsi" w:hAnsiTheme="minorHAnsi" w:cstheme="minorHAnsi"/>
          <w:sz w:val="22"/>
          <w:szCs w:val="22"/>
        </w:rPr>
        <w:t>Imotski</w:t>
      </w:r>
      <w:proofErr w:type="spellEnd"/>
      <w:r w:rsidRPr="00DF7771">
        <w:rPr>
          <w:rFonts w:asciiTheme="minorHAnsi" w:hAnsiTheme="minorHAnsi" w:cstheme="minorHAnsi"/>
          <w:sz w:val="22"/>
          <w:szCs w:val="22"/>
        </w:rPr>
        <w:t>), GWB 6 (</w:t>
      </w:r>
      <w:proofErr w:type="spellStart"/>
      <w:r w:rsidRPr="00DF7771">
        <w:rPr>
          <w:rFonts w:asciiTheme="minorHAnsi" w:hAnsiTheme="minorHAnsi" w:cstheme="minorHAnsi"/>
          <w:sz w:val="22"/>
          <w:szCs w:val="22"/>
        </w:rPr>
        <w:t>Tihaljina</w:t>
      </w:r>
      <w:proofErr w:type="spellEnd"/>
      <w:r w:rsidRPr="00DF7771">
        <w:rPr>
          <w:rFonts w:asciiTheme="minorHAnsi" w:hAnsiTheme="minorHAnsi" w:cstheme="minorHAnsi"/>
          <w:sz w:val="22"/>
          <w:szCs w:val="22"/>
        </w:rPr>
        <w:t>), GWB 9 (</w:t>
      </w:r>
      <w:proofErr w:type="spellStart"/>
      <w:r w:rsidRPr="00DF7771">
        <w:rPr>
          <w:rFonts w:asciiTheme="minorHAnsi" w:hAnsiTheme="minorHAnsi" w:cstheme="minorHAnsi"/>
          <w:sz w:val="22"/>
          <w:szCs w:val="22"/>
        </w:rPr>
        <w:t>Prud</w:t>
      </w:r>
      <w:proofErr w:type="spellEnd"/>
      <w:r w:rsidRPr="00DF7771">
        <w:rPr>
          <w:rFonts w:asciiTheme="minorHAnsi" w:hAnsiTheme="minorHAnsi" w:cstheme="minorHAnsi"/>
          <w:sz w:val="22"/>
          <w:szCs w:val="22"/>
        </w:rPr>
        <w:t>), GWB 30 (Butina), and GWB 31 (</w:t>
      </w:r>
      <w:proofErr w:type="spellStart"/>
      <w:r w:rsidRPr="00DF7771">
        <w:rPr>
          <w:rFonts w:asciiTheme="minorHAnsi" w:hAnsiTheme="minorHAnsi" w:cstheme="minorHAnsi"/>
          <w:sz w:val="22"/>
          <w:szCs w:val="22"/>
        </w:rPr>
        <w:t>Prud</w:t>
      </w:r>
      <w:proofErr w:type="spellEnd"/>
      <w:r w:rsidRPr="00DF7771">
        <w:rPr>
          <w:rFonts w:asciiTheme="minorHAnsi" w:hAnsiTheme="minorHAnsi" w:cstheme="minorHAnsi"/>
          <w:sz w:val="22"/>
          <w:szCs w:val="22"/>
        </w:rPr>
        <w:t>–</w:t>
      </w:r>
      <w:proofErr w:type="spellStart"/>
      <w:r w:rsidRPr="00DF7771">
        <w:rPr>
          <w:rFonts w:asciiTheme="minorHAnsi" w:hAnsiTheme="minorHAnsi" w:cstheme="minorHAnsi"/>
          <w:sz w:val="22"/>
          <w:szCs w:val="22"/>
        </w:rPr>
        <w:t>Vrgoračka</w:t>
      </w:r>
      <w:proofErr w:type="spellEnd"/>
      <w:r w:rsidRPr="00DF7771">
        <w:rPr>
          <w:rFonts w:asciiTheme="minorHAnsi" w:hAnsiTheme="minorHAnsi" w:cstheme="minorHAnsi"/>
          <w:sz w:val="22"/>
          <w:szCs w:val="22"/>
        </w:rPr>
        <w:t xml:space="preserve"> Banja), which together form the transboundary area (TBA) Neretva in the territory of Bosnia and Herzegovina</w:t>
      </w:r>
      <w:r w:rsidR="00041DA3">
        <w:rPr>
          <w:rFonts w:asciiTheme="minorHAnsi" w:hAnsiTheme="minorHAnsi" w:cstheme="minorHAnsi"/>
          <w:sz w:val="22"/>
          <w:szCs w:val="22"/>
        </w:rPr>
        <w:t xml:space="preserve">, </w:t>
      </w:r>
      <w:r w:rsidRPr="00DF7771">
        <w:rPr>
          <w:rFonts w:asciiTheme="minorHAnsi" w:hAnsiTheme="minorHAnsi" w:cstheme="minorHAnsi"/>
          <w:sz w:val="22"/>
          <w:szCs w:val="22"/>
        </w:rPr>
        <w:t xml:space="preserve">have also been assessed as having good quantitative status. The exception </w:t>
      </w:r>
      <w:r w:rsidRPr="00DF7771">
        <w:rPr>
          <w:rFonts w:asciiTheme="minorHAnsi" w:hAnsiTheme="minorHAnsi" w:cstheme="minorHAnsi"/>
          <w:sz w:val="22"/>
          <w:szCs w:val="22"/>
        </w:rPr>
        <w:lastRenderedPageBreak/>
        <w:t>is GWB 43 (</w:t>
      </w:r>
      <w:proofErr w:type="spellStart"/>
      <w:r w:rsidRPr="00DF7771">
        <w:rPr>
          <w:rFonts w:asciiTheme="minorHAnsi" w:hAnsiTheme="minorHAnsi" w:cstheme="minorHAnsi"/>
          <w:sz w:val="22"/>
          <w:szCs w:val="22"/>
        </w:rPr>
        <w:t>Imotsko</w:t>
      </w:r>
      <w:proofErr w:type="spellEnd"/>
      <w:r w:rsidRPr="00DF7771">
        <w:rPr>
          <w:rFonts w:asciiTheme="minorHAnsi" w:hAnsiTheme="minorHAnsi" w:cstheme="minorHAnsi"/>
          <w:sz w:val="22"/>
          <w:szCs w:val="22"/>
        </w:rPr>
        <w:t>–</w:t>
      </w:r>
      <w:proofErr w:type="spellStart"/>
      <w:r w:rsidRPr="00DF7771">
        <w:rPr>
          <w:rFonts w:asciiTheme="minorHAnsi" w:hAnsiTheme="minorHAnsi" w:cstheme="minorHAnsi"/>
          <w:sz w:val="22"/>
          <w:szCs w:val="22"/>
        </w:rPr>
        <w:t>Bekijsko</w:t>
      </w:r>
      <w:proofErr w:type="spellEnd"/>
      <w:r w:rsidRPr="00DF7771">
        <w:rPr>
          <w:rFonts w:asciiTheme="minorHAnsi" w:hAnsiTheme="minorHAnsi" w:cstheme="minorHAnsi"/>
          <w:sz w:val="22"/>
          <w:szCs w:val="22"/>
        </w:rPr>
        <w:t xml:space="preserve"> polje), which is considered unproductive, and its quantitative status has therefore not been assessed.</w:t>
      </w:r>
    </w:p>
    <w:p w14:paraId="6C944E0C" w14:textId="77777777" w:rsidR="00EB363E" w:rsidRPr="00041DA3" w:rsidRDefault="00EB363E" w:rsidP="00041DA3">
      <w:pPr>
        <w:spacing w:before="60"/>
        <w:jc w:val="both"/>
        <w:rPr>
          <w:rFonts w:eastAsia="Times New Roman" w:cstheme="minorHAnsi"/>
          <w:lang w:eastAsia="hr-HR"/>
        </w:rPr>
      </w:pPr>
      <w:r w:rsidRPr="00041DA3">
        <w:rPr>
          <w:rFonts w:eastAsia="Times New Roman" w:cstheme="minorHAnsi"/>
          <w:lang w:eastAsia="hr-HR"/>
        </w:rPr>
        <w:t xml:space="preserve">The chemical status of groundwater in Croatia’s karst areas was assessed through a stepwise procedure, by using 4 tests: </w:t>
      </w:r>
      <w:bookmarkStart w:id="130" w:name="_Hlk222062217"/>
      <w:r w:rsidRPr="00041DA3">
        <w:rPr>
          <w:rFonts w:eastAsia="Times New Roman" w:cstheme="minorHAnsi"/>
          <w:lang w:eastAsia="hr-HR"/>
        </w:rPr>
        <w:t>Water balance test, Salinization and Other Intrusions test</w:t>
      </w:r>
      <w:bookmarkEnd w:id="130"/>
      <w:r w:rsidRPr="00041DA3">
        <w:rPr>
          <w:rFonts w:eastAsia="Times New Roman" w:cstheme="minorHAnsi"/>
          <w:lang w:eastAsia="hr-HR"/>
        </w:rPr>
        <w:t>, Surface Water test and Groundwater-Dependent Ecosystem test.</w:t>
      </w:r>
      <w:bookmarkStart w:id="131" w:name="_Hlk221997226"/>
      <w:r w:rsidRPr="00041DA3">
        <w:rPr>
          <w:rFonts w:eastAsia="Times New Roman" w:cstheme="minorHAnsi"/>
          <w:lang w:eastAsia="hr-HR"/>
        </w:rPr>
        <w:t xml:space="preserve"> In all River Basin Management Plans in Croatia, the Neretva GGWB was assessed as being in good quantitative status.</w:t>
      </w:r>
    </w:p>
    <w:bookmarkEnd w:id="131"/>
    <w:p w14:paraId="108302F2" w14:textId="77777777" w:rsidR="00EB363E" w:rsidRPr="00041DA3" w:rsidRDefault="00EB363E" w:rsidP="00041DA3">
      <w:pPr>
        <w:spacing w:before="60"/>
        <w:jc w:val="both"/>
        <w:rPr>
          <w:rFonts w:eastAsia="Times New Roman" w:cstheme="minorHAnsi"/>
          <w:lang w:eastAsia="hr-HR"/>
        </w:rPr>
      </w:pPr>
      <w:r w:rsidRPr="00041DA3">
        <w:rPr>
          <w:rFonts w:eastAsia="Times New Roman" w:cstheme="minorHAnsi"/>
          <w:lang w:eastAsia="hr-HR"/>
        </w:rPr>
        <w:t>In Croatia, the chemical status of groundwater bodies (GGWB) in karst areas is assessed using existing monitoring networks and their representativeness relative to conceptual models of each groundwater body. Key parameters include naturally occurring or anthropogenic ions (As, Cd, Pb, Hg, NH₄⁺, Cl⁻, SO₄²⁻), synthetic pollutants (trichloroethene, tetrachloroethene), indicators of seawater intrusion (electrical conductivity), nitrates, dissolved oxygen, pH, pesticides, and orthophosphates.</w:t>
      </w:r>
    </w:p>
    <w:p w14:paraId="0D14B6A3" w14:textId="77777777" w:rsidR="00EB363E" w:rsidRPr="00041DA3" w:rsidRDefault="00EB363E" w:rsidP="00041DA3">
      <w:pPr>
        <w:spacing w:before="60"/>
        <w:jc w:val="both"/>
        <w:rPr>
          <w:rFonts w:eastAsia="Times New Roman" w:cstheme="minorHAnsi"/>
          <w:lang w:eastAsia="hr-HR"/>
        </w:rPr>
      </w:pPr>
      <w:r w:rsidRPr="00041DA3">
        <w:rPr>
          <w:rFonts w:eastAsia="Times New Roman" w:cstheme="minorHAnsi"/>
          <w:lang w:eastAsia="hr-HR"/>
        </w:rPr>
        <w:t>Monitoring points in the Dinaric karst are primarily natural springs, supplemented by captured wells in flatter areas supplying public water. For adequate assessment, at least three spatially distributed points per GGWB are required, with five or more recommended for optimal evaluation.</w:t>
      </w:r>
    </w:p>
    <w:p w14:paraId="6EAF51F2" w14:textId="77777777" w:rsidR="00EB363E" w:rsidRPr="00041DA3" w:rsidRDefault="00EB363E" w:rsidP="00041DA3">
      <w:pPr>
        <w:spacing w:before="60"/>
        <w:jc w:val="both"/>
      </w:pPr>
      <w:bookmarkStart w:id="132" w:name="_Hlk222062067"/>
      <w:r w:rsidRPr="00041DA3">
        <w:rPr>
          <w:rFonts w:eastAsia="Times New Roman" w:cstheme="minorHAnsi"/>
          <w:lang w:eastAsia="hr-HR"/>
        </w:rPr>
        <w:t xml:space="preserve">The chemical status of groundwater in Croatia’s karst areas was assessed through a stepwise procedure. </w:t>
      </w:r>
      <w:bookmarkEnd w:id="132"/>
      <w:r w:rsidRPr="00041DA3">
        <w:rPr>
          <w:rFonts w:eastAsia="Times New Roman" w:cstheme="minorHAnsi"/>
          <w:lang w:eastAsia="hr-HR"/>
        </w:rPr>
        <w:t>First, a preliminary test checks whether average values of any quality parameters at monitoring points exceed threshold values (TV). If no exceedances occur, the GW body is classified as good status, with reliability rated as high (≥5 points) or low (&lt;5 points or any exceedance in maxima). If at least one exceedance is observed, individual classification tests are performed at the GW body level to determine whether good status is compromised</w:t>
      </w:r>
      <w:r w:rsidRPr="00041DA3">
        <w:t xml:space="preserve">. </w:t>
      </w:r>
    </w:p>
    <w:p w14:paraId="56E79CBC" w14:textId="77777777" w:rsidR="00EB363E" w:rsidRPr="00041DA3" w:rsidRDefault="00EB363E" w:rsidP="00041DA3">
      <w:r w:rsidRPr="00041DA3">
        <w:t xml:space="preserve">The main tests include: </w:t>
      </w:r>
    </w:p>
    <w:p w14:paraId="0E74C0D3" w14:textId="60344B47" w:rsidR="00EB363E" w:rsidRPr="00041DA3" w:rsidRDefault="00EB363E" w:rsidP="00041DA3">
      <w:pPr>
        <w:pStyle w:val="ListParagraph"/>
        <w:numPr>
          <w:ilvl w:val="0"/>
          <w:numId w:val="38"/>
        </w:numPr>
        <w:jc w:val="both"/>
      </w:pPr>
      <w:bookmarkStart w:id="133" w:name="_Hlk222062233"/>
      <w:r w:rsidRPr="00041DA3">
        <w:t>General Quality Assessment test</w:t>
      </w:r>
      <w:r w:rsidR="00C7528C">
        <w:t>;</w:t>
      </w:r>
    </w:p>
    <w:p w14:paraId="3016210A" w14:textId="0C91B785" w:rsidR="00EB363E" w:rsidRPr="00041DA3" w:rsidRDefault="00EB363E" w:rsidP="00041DA3">
      <w:pPr>
        <w:pStyle w:val="ListParagraph"/>
        <w:numPr>
          <w:ilvl w:val="0"/>
          <w:numId w:val="38"/>
        </w:numPr>
        <w:jc w:val="both"/>
      </w:pPr>
      <w:r w:rsidRPr="00041DA3">
        <w:t>Salinization and Other Intrusions test</w:t>
      </w:r>
      <w:r w:rsidR="00C7528C">
        <w:t>;</w:t>
      </w:r>
      <w:r w:rsidRPr="00041DA3">
        <w:t xml:space="preserve"> </w:t>
      </w:r>
    </w:p>
    <w:p w14:paraId="5BFE53EC" w14:textId="5B70415D" w:rsidR="00EB363E" w:rsidRPr="00041DA3" w:rsidRDefault="00EB363E" w:rsidP="00041DA3">
      <w:pPr>
        <w:pStyle w:val="ListParagraph"/>
        <w:numPr>
          <w:ilvl w:val="0"/>
          <w:numId w:val="38"/>
        </w:numPr>
        <w:jc w:val="both"/>
      </w:pPr>
      <w:r w:rsidRPr="00041DA3">
        <w:t>Sanitary Protection Zone test</w:t>
      </w:r>
      <w:bookmarkEnd w:id="133"/>
      <w:r w:rsidR="00C7528C">
        <w:t>;</w:t>
      </w:r>
    </w:p>
    <w:p w14:paraId="46E67607" w14:textId="77777777" w:rsidR="00EB363E" w:rsidRPr="00041DA3" w:rsidRDefault="00EB363E" w:rsidP="00041DA3">
      <w:pPr>
        <w:pStyle w:val="ListParagraph"/>
        <w:numPr>
          <w:ilvl w:val="0"/>
          <w:numId w:val="38"/>
        </w:numPr>
        <w:jc w:val="both"/>
      </w:pPr>
      <w:bookmarkStart w:id="134" w:name="_Hlk222062283"/>
      <w:r w:rsidRPr="00041DA3">
        <w:t>Surface Water test and</w:t>
      </w:r>
    </w:p>
    <w:p w14:paraId="124AB699" w14:textId="7C88826B" w:rsidR="00EB363E" w:rsidRPr="00041DA3" w:rsidRDefault="00EB363E" w:rsidP="00041DA3">
      <w:pPr>
        <w:pStyle w:val="ListParagraph"/>
        <w:numPr>
          <w:ilvl w:val="0"/>
          <w:numId w:val="38"/>
        </w:numPr>
        <w:jc w:val="both"/>
      </w:pPr>
      <w:r w:rsidRPr="00041DA3">
        <w:t>Groundwater-Dependent Ecosystem test</w:t>
      </w:r>
      <w:r w:rsidR="00C7528C">
        <w:t>.</w:t>
      </w:r>
    </w:p>
    <w:bookmarkEnd w:id="134"/>
    <w:p w14:paraId="574BCD11" w14:textId="77777777" w:rsidR="00EB363E" w:rsidRPr="00041DA3" w:rsidRDefault="00EB363E" w:rsidP="00041DA3">
      <w:pPr>
        <w:spacing w:before="60"/>
      </w:pPr>
      <w:r w:rsidRPr="00041DA3">
        <w:t>All tests are applied to all GW bodies regardless of preliminary assessment. The final status is based on the worst result of all individual tests, with reliability reported in the same manner.</w:t>
      </w:r>
    </w:p>
    <w:p w14:paraId="1206FBF1" w14:textId="3574CC18" w:rsidR="00EB363E" w:rsidRPr="00041DA3" w:rsidRDefault="00EB363E" w:rsidP="00041DA3">
      <w:pPr>
        <w:spacing w:before="60"/>
        <w:jc w:val="both"/>
        <w:rPr>
          <w:color w:val="000000" w:themeColor="text1"/>
        </w:rPr>
      </w:pPr>
      <w:r w:rsidRPr="00041DA3">
        <w:t>In all River Basin Management Plans in Croatia (1</w:t>
      </w:r>
      <w:r w:rsidRPr="00041DA3">
        <w:rPr>
          <w:vertAlign w:val="superscript"/>
        </w:rPr>
        <w:t>st</w:t>
      </w:r>
      <w:r w:rsidRPr="00041DA3">
        <w:t>- 3</w:t>
      </w:r>
      <w:r w:rsidRPr="00041DA3">
        <w:rPr>
          <w:vertAlign w:val="superscript"/>
        </w:rPr>
        <w:t>rd</w:t>
      </w:r>
      <w:r w:rsidRPr="00041DA3">
        <w:t>), the Neretva GGWB was assessed as being in good chemical status.</w:t>
      </w:r>
      <w:r w:rsidRPr="00041DA3">
        <w:rPr>
          <w:color w:val="EE0000"/>
        </w:rPr>
        <w:t xml:space="preserve"> </w:t>
      </w:r>
      <w:r w:rsidRPr="00041DA3">
        <w:rPr>
          <w:color w:val="000000" w:themeColor="text1"/>
        </w:rPr>
        <w:t>At all monitoring points within the Neretva left bank GGWB (</w:t>
      </w:r>
      <w:proofErr w:type="spellStart"/>
      <w:r w:rsidRPr="00041DA3">
        <w:rPr>
          <w:color w:val="000000" w:themeColor="text1"/>
        </w:rPr>
        <w:t>Opačac</w:t>
      </w:r>
      <w:proofErr w:type="spellEnd"/>
      <w:r w:rsidRPr="00041DA3">
        <w:rPr>
          <w:color w:val="000000" w:themeColor="text1"/>
        </w:rPr>
        <w:t xml:space="preserve">, </w:t>
      </w:r>
      <w:proofErr w:type="spellStart"/>
      <w:r w:rsidRPr="00041DA3">
        <w:rPr>
          <w:color w:val="000000" w:themeColor="text1"/>
        </w:rPr>
        <w:t>Prud</w:t>
      </w:r>
      <w:proofErr w:type="spellEnd"/>
      <w:r w:rsidRPr="00041DA3">
        <w:rPr>
          <w:color w:val="000000" w:themeColor="text1"/>
        </w:rPr>
        <w:t>, Butina, Banja), the annual average values of quality parameters were below 75% of the specified threshold value (TV). Based on the results of the Sanitary Protection Zone Test for drinking water sources, the Neretva groundwater body is assessed as being in GOOD STATUS (</w:t>
      </w:r>
      <w:bookmarkStart w:id="135" w:name="_Hlk222085081"/>
      <w:r w:rsidR="00C7528C">
        <w:rPr>
          <w:color w:val="000000" w:themeColor="text1"/>
        </w:rPr>
        <w:t>Faculty of geotechnical engineering</w:t>
      </w:r>
      <w:r w:rsidRPr="00041DA3">
        <w:rPr>
          <w:color w:val="000000" w:themeColor="text1"/>
        </w:rPr>
        <w:t>, 2016</w:t>
      </w:r>
      <w:bookmarkEnd w:id="135"/>
      <w:r w:rsidRPr="00041DA3">
        <w:rPr>
          <w:color w:val="000000" w:themeColor="text1"/>
        </w:rPr>
        <w:t>).</w:t>
      </w:r>
    </w:p>
    <w:p w14:paraId="3E996710" w14:textId="1E13B944" w:rsidR="00C7528C" w:rsidRDefault="00EB363E" w:rsidP="00C7528C">
      <w:pPr>
        <w:spacing w:before="60"/>
        <w:jc w:val="both"/>
      </w:pPr>
      <w:r w:rsidRPr="00041DA3">
        <w:t>In the Bosnia and Herzegovina part of the transboundary area (TBA) Neretva, all five groundwater bodies defined under the Adriatic Sea RBMP—GWB 5 (</w:t>
      </w:r>
      <w:proofErr w:type="spellStart"/>
      <w:r w:rsidRPr="00041DA3">
        <w:t>Posušje</w:t>
      </w:r>
      <w:proofErr w:type="spellEnd"/>
      <w:r w:rsidRPr="00041DA3">
        <w:t>–</w:t>
      </w:r>
      <w:proofErr w:type="spellStart"/>
      <w:r w:rsidRPr="00041DA3">
        <w:t>Imotski</w:t>
      </w:r>
      <w:proofErr w:type="spellEnd"/>
      <w:r w:rsidRPr="00041DA3">
        <w:t>), GWB 6 (</w:t>
      </w:r>
      <w:proofErr w:type="spellStart"/>
      <w:r w:rsidRPr="00041DA3">
        <w:t>Tihaljina</w:t>
      </w:r>
      <w:proofErr w:type="spellEnd"/>
      <w:r w:rsidRPr="00041DA3">
        <w:t>), GWB 9 (</w:t>
      </w:r>
      <w:proofErr w:type="spellStart"/>
      <w:r w:rsidRPr="00041DA3">
        <w:t>Prud</w:t>
      </w:r>
      <w:proofErr w:type="spellEnd"/>
      <w:r w:rsidRPr="00041DA3">
        <w:t>), GWB 30 (Butina), and GWB 31 (</w:t>
      </w:r>
      <w:proofErr w:type="spellStart"/>
      <w:r w:rsidRPr="00041DA3">
        <w:t>Prud</w:t>
      </w:r>
      <w:proofErr w:type="spellEnd"/>
      <w:r w:rsidRPr="00041DA3">
        <w:t>–</w:t>
      </w:r>
      <w:proofErr w:type="spellStart"/>
      <w:r w:rsidRPr="00041DA3">
        <w:t>Vrgoračka</w:t>
      </w:r>
      <w:proofErr w:type="spellEnd"/>
      <w:r w:rsidRPr="00041DA3">
        <w:t xml:space="preserve"> Banja)—are likewise classified as having good chemical status (Table 6.2).</w:t>
      </w:r>
      <w:bookmarkStart w:id="136" w:name="_Toc226984826"/>
    </w:p>
    <w:p w14:paraId="0D7E7DAD" w14:textId="77777777" w:rsidR="00C7528C" w:rsidRPr="00C7528C" w:rsidRDefault="00C7528C" w:rsidP="00C7528C">
      <w:pPr>
        <w:spacing w:before="60"/>
        <w:jc w:val="both"/>
        <w:rPr>
          <w:color w:val="000000" w:themeColor="text1"/>
        </w:rPr>
      </w:pPr>
    </w:p>
    <w:p w14:paraId="4E0744CF" w14:textId="37547857" w:rsidR="00EB363E" w:rsidRPr="00C7528C" w:rsidRDefault="00EB363E" w:rsidP="00C7528C">
      <w:pPr>
        <w:pStyle w:val="Heading2"/>
        <w:rPr>
          <w:lang w:val="en-GB"/>
        </w:rPr>
      </w:pPr>
      <w:bookmarkStart w:id="137" w:name="_Toc229036235"/>
      <w:r w:rsidRPr="00C7528C">
        <w:rPr>
          <w:lang w:val="en-GB"/>
        </w:rPr>
        <w:lastRenderedPageBreak/>
        <w:t>6.3 Trend analysis</w:t>
      </w:r>
      <w:bookmarkEnd w:id="136"/>
      <w:bookmarkEnd w:id="137"/>
      <w:r w:rsidRPr="00C7528C">
        <w:rPr>
          <w:lang w:val="en-GB"/>
        </w:rPr>
        <w:t xml:space="preserve"> </w:t>
      </w:r>
    </w:p>
    <w:p w14:paraId="07E7A4F3" w14:textId="77777777" w:rsidR="00EB363E" w:rsidRDefault="00EB363E" w:rsidP="00C7528C">
      <w:pPr>
        <w:jc w:val="both"/>
      </w:pPr>
      <w:r>
        <w:t xml:space="preserve">In the Federation of Bosnia and Herzegovina, trend analysis is regulated under Annex 11 of the </w:t>
      </w:r>
      <w:r w:rsidRPr="00C7528C">
        <w:rPr>
          <w:rStyle w:val="Emphasis"/>
          <w:i w:val="0"/>
          <w:iCs w:val="0"/>
        </w:rPr>
        <w:t>Decision on the Characterization of Surface and Groundwaters</w:t>
      </w:r>
      <w:r>
        <w:t xml:space="preserve"> (Official Gazette FBiH, No. 1/14); however, despite this legal framework, such analysis has not been carried out within the Adriatic Sea River Basin Management Plan (RBMP).</w:t>
      </w:r>
    </w:p>
    <w:p w14:paraId="5CAFB965" w14:textId="7D9C5636" w:rsidR="00EB363E" w:rsidRPr="00620540" w:rsidRDefault="00EB363E" w:rsidP="00C7528C">
      <w:pPr>
        <w:jc w:val="both"/>
      </w:pPr>
      <w:r w:rsidRPr="000F0CD7">
        <w:t xml:space="preserve">In Croatia, methodology for trend analysis was proposed in the Study: </w:t>
      </w:r>
      <w:r w:rsidR="00C7528C">
        <w:t>“</w:t>
      </w:r>
      <w:r w:rsidRPr="00C7528C">
        <w:t>Definition of Trends and Assessment of Groundwater Status in the Karst Area of Croatia</w:t>
      </w:r>
      <w:r w:rsidR="00C7528C">
        <w:t>”</w:t>
      </w:r>
      <w:r w:rsidRPr="00180AAB">
        <w:t xml:space="preserve"> (</w:t>
      </w:r>
      <w:r w:rsidR="00C7528C">
        <w:t>Faculty of geotechnical engineering</w:t>
      </w:r>
      <w:r w:rsidRPr="00180AAB">
        <w:t>, 2016).</w:t>
      </w:r>
      <w:r w:rsidRPr="00620540">
        <w:t xml:space="preserve"> </w:t>
      </w:r>
    </w:p>
    <w:p w14:paraId="5C683D98" w14:textId="77777777" w:rsidR="00EB363E" w:rsidRPr="00601E6B" w:rsidRDefault="00EB363E" w:rsidP="00C7528C">
      <w:pPr>
        <w:jc w:val="both"/>
      </w:pPr>
      <w:r w:rsidRPr="00620540">
        <w:t xml:space="preserve">The purpose of trend identification in groundwater is to detect significant increases in pollutant concentrations or changes in groundwater levels and discharges that could indicate a risk of failing to prevent deterioration or achieve good status. A significant trend is defined as any statistically and environmentally relevant rise in pollutant concentrations or other indicators, for which a reversal is required under the </w:t>
      </w:r>
      <w:r w:rsidRPr="00601E6B">
        <w:t xml:space="preserve">GWD. </w:t>
      </w:r>
    </w:p>
    <w:p w14:paraId="260FCB42" w14:textId="59864E80" w:rsidR="00EB363E" w:rsidRPr="000F0CD7" w:rsidRDefault="00EB363E" w:rsidP="00C7528C">
      <w:pPr>
        <w:jc w:val="both"/>
      </w:pPr>
      <w:r w:rsidRPr="00601E6B">
        <w:t xml:space="preserve">Trend analysis of groundwater quality </w:t>
      </w:r>
      <w:r w:rsidRPr="000F0CD7">
        <w:t xml:space="preserve">was performed at the groundwater body level using both surveillance and operational monitoring to identify long-term anthropogenic trends and any reversals. It involved graphical inspection of time series, statistical determination of trends, and comparison with threshold and reference values. In Croatia’s karst areas, representative monitoring points were selected, and semi-annual averages were calculated for aggregation at both point and groundwater body levels. Linear regression and the non-parametric Mann–Kendall test </w:t>
      </w:r>
      <w:proofErr w:type="gramStart"/>
      <w:r w:rsidR="00C7528C" w:rsidRPr="000F0CD7">
        <w:t>was</w:t>
      </w:r>
      <w:proofErr w:type="gramEnd"/>
      <w:r w:rsidRPr="000F0CD7">
        <w:t xml:space="preserve"> used to identify statistically significant trends, with a minimum of 10 data points over at least 5 years. For time series showing sudden changes due to pollution reduction measures, a two-section model was applied, with trend turning points determined through analysis of subsequent differences (</w:t>
      </w:r>
      <w:r w:rsidR="00C7528C">
        <w:t>Faculty of geotechnical engineering</w:t>
      </w:r>
      <w:r w:rsidRPr="004A6C2E">
        <w:t>, 2016</w:t>
      </w:r>
      <w:r w:rsidRPr="000F0CD7">
        <w:t>).</w:t>
      </w:r>
    </w:p>
    <w:p w14:paraId="46F5710D" w14:textId="6324BF46" w:rsidR="00EB363E" w:rsidRPr="00C7528C" w:rsidRDefault="00C7528C" w:rsidP="00C7528C">
      <w:pPr>
        <w:pStyle w:val="Heading3"/>
        <w:rPr>
          <w:lang w:val="en-GB"/>
        </w:rPr>
      </w:pPr>
      <w:bookmarkStart w:id="138" w:name="_Toc229036236"/>
      <w:r w:rsidRPr="00C7528C">
        <w:rPr>
          <w:lang w:val="en-GB"/>
        </w:rPr>
        <w:t xml:space="preserve">6.3.1 </w:t>
      </w:r>
      <w:r w:rsidR="00EB363E" w:rsidRPr="00C7528C">
        <w:rPr>
          <w:lang w:val="en-GB"/>
        </w:rPr>
        <w:t>Trend Analysis by Water Quality Parameters in GGWB Neretva</w:t>
      </w:r>
      <w:bookmarkEnd w:id="138"/>
      <w:r w:rsidR="00EB363E" w:rsidRPr="00C7528C">
        <w:rPr>
          <w:lang w:val="en-GB"/>
        </w:rPr>
        <w:t xml:space="preserve"> </w:t>
      </w:r>
    </w:p>
    <w:p w14:paraId="50FEE3E7" w14:textId="0535C1C0" w:rsidR="00EB363E" w:rsidRPr="00DF7771" w:rsidRDefault="00EB363E" w:rsidP="00C7528C">
      <w:pPr>
        <w:jc w:val="both"/>
      </w:pPr>
      <w:r w:rsidRPr="00DF7771">
        <w:t xml:space="preserve">After aggregating monitoring data from individual stations to the groundwater body (GGWB) level, trend analyses were conducted for parameters meeting the criteria for trend assessment. Parameters for which more than 80% of measurements were below detection limits (&lt; LOQ) were excluded from trend analysis. The Mann–Kendall test was applied to time series with a minimum of 10 values, achieved using semi-annual averages over at least 5 years (2009–2013). Some analyses were performed even if the minimum number of values was not fully met </w:t>
      </w:r>
      <w:r w:rsidRPr="00DF7771">
        <w:rPr>
          <w:b/>
        </w:rPr>
        <w:t>(</w:t>
      </w:r>
      <w:r w:rsidR="00C7528C">
        <w:t>Faculty of geotechnical engineering</w:t>
      </w:r>
      <w:r w:rsidRPr="00DF7771">
        <w:t>, 2016).</w:t>
      </w:r>
    </w:p>
    <w:p w14:paraId="5D79E923" w14:textId="3DD6543C" w:rsidR="00EB363E" w:rsidRPr="00DF7771" w:rsidRDefault="00EB363E" w:rsidP="00C7528C">
      <w:pPr>
        <w:jc w:val="both"/>
      </w:pPr>
      <w:r w:rsidRPr="00DF7771">
        <w:t>Results of trend analysis for Neretva in 2</w:t>
      </w:r>
      <w:r w:rsidRPr="00DF7771">
        <w:rPr>
          <w:vertAlign w:val="superscript"/>
        </w:rPr>
        <w:t>nd</w:t>
      </w:r>
      <w:r w:rsidRPr="00DF7771">
        <w:t xml:space="preserve"> RBMP for Croatia showed no statistically significant trend in any of </w:t>
      </w:r>
      <w:r w:rsidR="00C7528C" w:rsidRPr="00DF7771">
        <w:t>analysed</w:t>
      </w:r>
      <w:r w:rsidRPr="00DF7771">
        <w:t xml:space="preserve"> </w:t>
      </w:r>
      <w:r w:rsidR="00C7528C" w:rsidRPr="00DF7771">
        <w:t>parameters</w:t>
      </w:r>
      <w:r w:rsidRPr="00DF7771">
        <w:t xml:space="preserve">: Dissolved oxygen, pH, Electrical conductivity, Nitrates, Ammonium, Chlorides, </w:t>
      </w:r>
      <w:r w:rsidR="00C7528C" w:rsidRPr="00DF7771">
        <w:t>Sulphates</w:t>
      </w:r>
      <w:r w:rsidRPr="00DF7771">
        <w:t>, Orthophosphates and for pesticides, arsenic, lead, cadmium, mercury, and the sum of trichloroethene and tetrachloroethene, trend analysis could not be conducted because more than 80% of measurements were below the detection limit (&lt; LOQ).</w:t>
      </w:r>
    </w:p>
    <w:p w14:paraId="28F1C3D9" w14:textId="270D9996" w:rsidR="00EB363E" w:rsidRPr="00DF7771" w:rsidRDefault="00EB363E" w:rsidP="00C7528C">
      <w:pPr>
        <w:jc w:val="both"/>
      </w:pPr>
      <w:r w:rsidRPr="00DF7771">
        <w:t xml:space="preserve">Trend analysis shows that all major water quality parameters in GGWB Neretva are stable, with no statistically significant trends, except for orthophosphates, which exhibit a slight upward trend but remain well below 10% of the threshold value. Parameters with very low detection frequencies (e.g., pesticides and heavy metals) could not be </w:t>
      </w:r>
      <w:r w:rsidR="00C7528C" w:rsidRPr="00DF7771">
        <w:t>analysed</w:t>
      </w:r>
      <w:r w:rsidRPr="00DF7771">
        <w:t>. Overall, the chemical quality of GGWB Neretva is stable over the observed period (</w:t>
      </w:r>
      <w:r w:rsidR="00C7528C">
        <w:t>Faculty of geotechnical engineering</w:t>
      </w:r>
      <w:r w:rsidRPr="00DF7771">
        <w:t>, 2016).</w:t>
      </w:r>
    </w:p>
    <w:p w14:paraId="5DF33765" w14:textId="340E0BB5" w:rsidR="00EB363E" w:rsidRPr="00C7528C" w:rsidRDefault="00C7528C" w:rsidP="00C7528C">
      <w:pPr>
        <w:pStyle w:val="Heading3"/>
        <w:rPr>
          <w:lang w:val="en-GB"/>
        </w:rPr>
      </w:pPr>
      <w:bookmarkStart w:id="139" w:name="_Toc229036237"/>
      <w:r w:rsidRPr="00C7528C">
        <w:rPr>
          <w:lang w:val="en-GB"/>
        </w:rPr>
        <w:lastRenderedPageBreak/>
        <w:t xml:space="preserve">6.3.2 </w:t>
      </w:r>
      <w:r w:rsidR="00EB363E" w:rsidRPr="00C7528C">
        <w:rPr>
          <w:lang w:val="en-GB"/>
        </w:rPr>
        <w:t>Trend Analysis of Water Abstraction within GGWB Neretva</w:t>
      </w:r>
      <w:bookmarkEnd w:id="139"/>
    </w:p>
    <w:p w14:paraId="56A0F62E" w14:textId="77777777" w:rsidR="00EB363E" w:rsidRPr="000B2714" w:rsidRDefault="00EB363E" w:rsidP="00EB363E">
      <w:pPr>
        <w:jc w:val="both"/>
      </w:pPr>
      <w:r w:rsidRPr="00DC17D5">
        <w:t xml:space="preserve">Within the </w:t>
      </w:r>
      <w:r>
        <w:t>Neretva</w:t>
      </w:r>
      <w:r w:rsidRPr="00DC17D5">
        <w:t xml:space="preserve"> grouped groundwater body (GGWB), water abstraction </w:t>
      </w:r>
      <w:bookmarkStart w:id="140" w:name="_Toc226984827"/>
      <w:r w:rsidRPr="000B2714">
        <w:t xml:space="preserve">the </w:t>
      </w:r>
      <w:proofErr w:type="spellStart"/>
      <w:r w:rsidRPr="000B2714">
        <w:t>Vrgorac</w:t>
      </w:r>
      <w:proofErr w:type="spellEnd"/>
      <w:r w:rsidRPr="000B2714">
        <w:t xml:space="preserve"> municipal utility</w:t>
      </w:r>
      <w:r>
        <w:t xml:space="preserve"> and some other not related to TBA Neretva,</w:t>
      </w:r>
      <w:r w:rsidRPr="000B2714">
        <w:t xml:space="preserve"> have shown an increasing trend during the last six-year period (2008–2013), while the volumes abstracted by other water supply systems have shown a decreasing trend.</w:t>
      </w:r>
    </w:p>
    <w:p w14:paraId="5E9646C5" w14:textId="77777777" w:rsidR="00C7528C" w:rsidRDefault="00C7528C" w:rsidP="00EB363E">
      <w:pPr>
        <w:pStyle w:val="Heading2"/>
      </w:pPr>
    </w:p>
    <w:p w14:paraId="78113067" w14:textId="2B0449F7" w:rsidR="00EB363E" w:rsidRPr="00C7528C" w:rsidRDefault="00EB363E" w:rsidP="00C7528C">
      <w:pPr>
        <w:pStyle w:val="Heading2"/>
        <w:rPr>
          <w:lang w:val="en-GB"/>
        </w:rPr>
      </w:pPr>
      <w:bookmarkStart w:id="141" w:name="_Toc229036238"/>
      <w:r w:rsidRPr="00C7528C">
        <w:rPr>
          <w:lang w:val="en-GB"/>
        </w:rPr>
        <w:t>6.4 Risk assessment</w:t>
      </w:r>
      <w:bookmarkEnd w:id="140"/>
      <w:bookmarkEnd w:id="141"/>
    </w:p>
    <w:p w14:paraId="467ADCA0" w14:textId="77777777" w:rsidR="00EB363E" w:rsidRDefault="00EB363E" w:rsidP="00C7528C">
      <w:pPr>
        <w:jc w:val="both"/>
      </w:pPr>
      <w:r w:rsidRPr="00B71981">
        <w:t xml:space="preserve">Within the Adriatic Sea RBMP, a risk assessment and a detailed methodology were not carried out; instead, the identification of potentially significant pressures and the assessment of impacts on groundwater </w:t>
      </w:r>
      <w:r>
        <w:t xml:space="preserve">status (quantitative and qualitative) </w:t>
      </w:r>
      <w:r w:rsidRPr="00B71981">
        <w:t>were performed.</w:t>
      </w:r>
      <w:r>
        <w:t xml:space="preserve"> </w:t>
      </w:r>
      <w:r w:rsidRPr="00546FCF">
        <w:t xml:space="preserve">For all five groundwater bodies of TBA Neretva within the Federation of Bosnia and Herzegovina, potentially significant pressures were identified and an assessment of impacts on groundwater was carried out; however, both pressures on quantitative status and on chemical status were assessed as not significant. </w:t>
      </w:r>
    </w:p>
    <w:p w14:paraId="726EADAE" w14:textId="7D32283D" w:rsidR="00EB363E" w:rsidRPr="00C7528C" w:rsidRDefault="00C7528C" w:rsidP="00C7528C">
      <w:pPr>
        <w:pStyle w:val="Heading3"/>
        <w:rPr>
          <w:lang w:val="en-GB"/>
        </w:rPr>
      </w:pPr>
      <w:bookmarkStart w:id="142" w:name="_Toc229036239"/>
      <w:r w:rsidRPr="00C7528C">
        <w:rPr>
          <w:rStyle w:val="Strong"/>
          <w:b w:val="0"/>
          <w:bCs w:val="0"/>
          <w:lang w:val="en-GB"/>
        </w:rPr>
        <w:t xml:space="preserve">6.4.1 </w:t>
      </w:r>
      <w:r w:rsidR="00EB363E" w:rsidRPr="00C7528C">
        <w:rPr>
          <w:rStyle w:val="Strong"/>
          <w:b w:val="0"/>
          <w:bCs w:val="0"/>
          <w:lang w:val="en-GB"/>
        </w:rPr>
        <w:t>Risk assessment approach in Croatia to evaluate the likelihood of failing to achieve good status</w:t>
      </w:r>
      <w:bookmarkEnd w:id="142"/>
    </w:p>
    <w:p w14:paraId="1B09D7F6" w14:textId="77777777" w:rsidR="00EB363E" w:rsidRPr="00800C7A" w:rsidRDefault="00EB363E" w:rsidP="00C7528C">
      <w:pPr>
        <w:pStyle w:val="NormalWeb"/>
        <w:spacing w:before="0" w:beforeAutospacing="0" w:after="160" w:afterAutospacing="0" w:line="259" w:lineRule="auto"/>
        <w:jc w:val="both"/>
        <w:rPr>
          <w:rFonts w:asciiTheme="minorHAnsi" w:hAnsiTheme="minorHAnsi" w:cstheme="minorHAnsi"/>
          <w:sz w:val="22"/>
          <w:szCs w:val="22"/>
        </w:rPr>
      </w:pPr>
      <w:r w:rsidRPr="00800C7A">
        <w:rPr>
          <w:rFonts w:asciiTheme="minorHAnsi" w:hAnsiTheme="minorHAnsi" w:cstheme="minorHAnsi"/>
          <w:sz w:val="22"/>
          <w:szCs w:val="22"/>
        </w:rPr>
        <w:t>In the Second River Basin Management Plan (2</w:t>
      </w:r>
      <w:r w:rsidRPr="00D14DD0">
        <w:rPr>
          <w:rFonts w:asciiTheme="minorHAnsi" w:hAnsiTheme="minorHAnsi" w:cstheme="minorHAnsi"/>
          <w:sz w:val="22"/>
          <w:szCs w:val="22"/>
          <w:vertAlign w:val="superscript"/>
        </w:rPr>
        <w:t>nd</w:t>
      </w:r>
      <w:r w:rsidRPr="00800C7A">
        <w:rPr>
          <w:rFonts w:asciiTheme="minorHAnsi" w:hAnsiTheme="minorHAnsi" w:cstheme="minorHAnsi"/>
          <w:sz w:val="22"/>
          <w:szCs w:val="22"/>
        </w:rPr>
        <w:t xml:space="preserve"> RBMP), a detailed groundwater risk assessment was carried out using both indirect and direct methods. The indirect method maps natural aquifer vulnerability and overlays it with classified pollutant sources to identify areas where human activities may lead to significant degradation over the planning period. The direct method analyses trends in monitored water quality parameters to identify potential exceedances of threshold values. The assessment is conducted at the level of groundwater bodies (GGWBs), and reliability is classified as high or low depending on the number of monitoring points and the influence of transboundary pressures. This combined approach enables a comprehensive evaluation of both spatial pressures and temporal trends to support water management decisions.</w:t>
      </w:r>
    </w:p>
    <w:p w14:paraId="63AEB3A2" w14:textId="77777777" w:rsidR="00EB363E" w:rsidRPr="00800C7A" w:rsidRDefault="00EB363E" w:rsidP="00C7528C">
      <w:pPr>
        <w:pStyle w:val="NormalWeb"/>
        <w:spacing w:before="0" w:beforeAutospacing="0" w:after="160" w:afterAutospacing="0" w:line="259" w:lineRule="auto"/>
        <w:jc w:val="both"/>
        <w:rPr>
          <w:rFonts w:asciiTheme="minorHAnsi" w:hAnsiTheme="minorHAnsi" w:cstheme="minorHAnsi"/>
          <w:sz w:val="22"/>
          <w:szCs w:val="22"/>
        </w:rPr>
      </w:pPr>
      <w:r w:rsidRPr="00800C7A">
        <w:rPr>
          <w:rFonts w:asciiTheme="minorHAnsi" w:hAnsiTheme="minorHAnsi" w:cstheme="minorHAnsi"/>
          <w:sz w:val="22"/>
          <w:szCs w:val="22"/>
        </w:rPr>
        <w:t xml:space="preserve">The final risk classification integrates the results of both methods. In the case of the Neretva groundwater body, the final assessment indicates </w:t>
      </w:r>
      <w:r w:rsidRPr="00337931">
        <w:rPr>
          <w:rStyle w:val="Strong"/>
          <w:rFonts w:asciiTheme="minorHAnsi" w:hAnsiTheme="minorHAnsi" w:cstheme="minorHAnsi"/>
          <w:b w:val="0"/>
          <w:sz w:val="22"/>
          <w:szCs w:val="22"/>
        </w:rPr>
        <w:t>“not at risk” with low reliability</w:t>
      </w:r>
      <w:r w:rsidRPr="00800C7A">
        <w:rPr>
          <w:rFonts w:asciiTheme="minorHAnsi" w:hAnsiTheme="minorHAnsi" w:cstheme="minorHAnsi"/>
          <w:sz w:val="22"/>
          <w:szCs w:val="22"/>
        </w:rPr>
        <w:t>, as the less favourable reliability category is adopted.</w:t>
      </w:r>
    </w:p>
    <w:p w14:paraId="7B54AD6A" w14:textId="402E41B1" w:rsidR="00EB363E" w:rsidRDefault="00EB363E" w:rsidP="00C7528C">
      <w:pPr>
        <w:jc w:val="both"/>
        <w:rPr>
          <w:rFonts w:ascii="Calibri" w:hAnsi="Calibri" w:cs="Calibri"/>
        </w:rPr>
      </w:pPr>
      <w:r w:rsidRPr="00800C7A">
        <w:rPr>
          <w:rFonts w:cstheme="minorHAnsi"/>
        </w:rPr>
        <w:t xml:space="preserve">In the </w:t>
      </w:r>
      <w:r>
        <w:rPr>
          <w:rFonts w:cstheme="minorHAnsi"/>
        </w:rPr>
        <w:t>3</w:t>
      </w:r>
      <w:r w:rsidRPr="00337931">
        <w:rPr>
          <w:rFonts w:cstheme="minorHAnsi"/>
          <w:vertAlign w:val="superscript"/>
        </w:rPr>
        <w:t>rd</w:t>
      </w:r>
      <w:r>
        <w:rPr>
          <w:rFonts w:cstheme="minorHAnsi"/>
        </w:rPr>
        <w:t xml:space="preserve"> RBMP</w:t>
      </w:r>
      <w:r w:rsidRPr="00800C7A">
        <w:rPr>
          <w:rFonts w:cstheme="minorHAnsi"/>
        </w:rPr>
        <w:t>, a simplified risk assessment approach was applied for groundwater bodies (GWBs). The risk of failing to achieve good chemical status was assessed based on significant pressures, including agriculture (nitrogen, phosphorus, pesticides), transport (railways – pesticides), landfills (number of active sites), and technological wastewater discharges into the subsurface. The assessment also considered aquifer vulnerability (very high and high), chemical status results, and statistically significant trends derived from groundwater monitoring data.</w:t>
      </w:r>
    </w:p>
    <w:p w14:paraId="3FF439F9" w14:textId="77777777" w:rsidR="00EB363E" w:rsidRDefault="00EB363E" w:rsidP="00ED2B7C">
      <w:pPr>
        <w:jc w:val="both"/>
        <w:rPr>
          <w:rFonts w:ascii="Calibri" w:hAnsi="Calibri" w:cs="Calibri"/>
        </w:rPr>
      </w:pPr>
    </w:p>
    <w:p w14:paraId="45FAC6AD" w14:textId="551D4E25" w:rsidR="00C957AB" w:rsidRPr="00EB363E" w:rsidRDefault="00C957AB" w:rsidP="00C957AB">
      <w:pPr>
        <w:pStyle w:val="Heading1"/>
        <w:rPr>
          <w:lang w:val="en-GB"/>
        </w:rPr>
      </w:pPr>
      <w:bookmarkStart w:id="143" w:name="_Toc229036240"/>
      <w:r w:rsidRPr="00EB363E">
        <w:rPr>
          <w:lang w:val="en-GB"/>
        </w:rPr>
        <w:t>7. Institutional and transboundary cooperation measures</w:t>
      </w:r>
      <w:bookmarkEnd w:id="143"/>
    </w:p>
    <w:p w14:paraId="047166C9" w14:textId="77777777" w:rsidR="003C10C9" w:rsidRPr="00E7183C" w:rsidRDefault="003C10C9" w:rsidP="0039215F">
      <w:pPr>
        <w:pStyle w:val="Heading2"/>
        <w:spacing w:after="160"/>
        <w:jc w:val="both"/>
        <w:rPr>
          <w:lang w:val="en-GB"/>
        </w:rPr>
      </w:pPr>
      <w:bookmarkStart w:id="144" w:name="_Toc223524300"/>
      <w:bookmarkStart w:id="145" w:name="_Toc229036241"/>
      <w:r w:rsidRPr="00E7183C">
        <w:rPr>
          <w:lang w:val="en-GB"/>
        </w:rPr>
        <w:t>7.1 Jurisdiction and operations of the Joint Water Management Commission of the Republic of Croatia and Bosnia and Herzegovina</w:t>
      </w:r>
      <w:bookmarkEnd w:id="144"/>
      <w:bookmarkEnd w:id="145"/>
    </w:p>
    <w:p w14:paraId="0D80DF86" w14:textId="77777777" w:rsidR="003C10C9" w:rsidRPr="00B75778" w:rsidRDefault="003C10C9" w:rsidP="003C10C9">
      <w:pPr>
        <w:jc w:val="both"/>
        <w:rPr>
          <w:rFonts w:ascii="Calibri" w:hAnsi="Calibri" w:cs="Calibri"/>
        </w:rPr>
      </w:pPr>
      <w:r w:rsidRPr="00B75778">
        <w:rPr>
          <w:rFonts w:ascii="Calibri" w:hAnsi="Calibri" w:cs="Calibri"/>
        </w:rPr>
        <w:t>The Joint Water Management Commission (JWMC), established under the 1996 bilateral agreement, is the central body responsible for cooperation between Croatia and Bosnia and Herzegovina on shared water resources. Its mandate</w:t>
      </w:r>
      <w:r>
        <w:rPr>
          <w:rFonts w:ascii="Calibri" w:hAnsi="Calibri" w:cs="Calibri"/>
        </w:rPr>
        <w:t xml:space="preserve">, </w:t>
      </w:r>
      <w:r w:rsidRPr="00B75778">
        <w:rPr>
          <w:rFonts w:ascii="Calibri" w:hAnsi="Calibri" w:cs="Calibri"/>
        </w:rPr>
        <w:t xml:space="preserve">covering coordinated water use, protection, pollution control </w:t>
      </w:r>
      <w:r w:rsidRPr="00B75778">
        <w:rPr>
          <w:rFonts w:ascii="Calibri" w:hAnsi="Calibri" w:cs="Calibri"/>
        </w:rPr>
        <w:lastRenderedPageBreak/>
        <w:t>and mutual notification</w:t>
      </w:r>
      <w:r>
        <w:rPr>
          <w:rFonts w:ascii="Calibri" w:hAnsi="Calibri" w:cs="Calibri"/>
        </w:rPr>
        <w:t xml:space="preserve">, </w:t>
      </w:r>
      <w:r w:rsidRPr="00B75778">
        <w:rPr>
          <w:rFonts w:ascii="Calibri" w:hAnsi="Calibri" w:cs="Calibri"/>
        </w:rPr>
        <w:t>applies to both surface and groundwater, making it directly relevant for the Neretva transboundary aquifer.</w:t>
      </w:r>
    </w:p>
    <w:p w14:paraId="240BDB7E" w14:textId="0EBAF743" w:rsidR="003C10C9" w:rsidRPr="00B75778" w:rsidRDefault="003C10C9" w:rsidP="003C10C9">
      <w:pPr>
        <w:jc w:val="both"/>
        <w:rPr>
          <w:rFonts w:ascii="Calibri" w:hAnsi="Calibri" w:cs="Calibri"/>
        </w:rPr>
      </w:pPr>
      <w:r w:rsidRPr="00B75778">
        <w:rPr>
          <w:rFonts w:ascii="Calibri" w:hAnsi="Calibri" w:cs="Calibri"/>
        </w:rPr>
        <w:t xml:space="preserve">Although originally oriented toward surface waters, the Commission’s jurisdiction extends naturally to groundwater because the agreement obliges both </w:t>
      </w:r>
      <w:r>
        <w:rPr>
          <w:rFonts w:ascii="Calibri" w:hAnsi="Calibri" w:cs="Calibri"/>
        </w:rPr>
        <w:t>countries</w:t>
      </w:r>
      <w:r w:rsidRPr="00B75778">
        <w:rPr>
          <w:rFonts w:ascii="Calibri" w:hAnsi="Calibri" w:cs="Calibri"/>
        </w:rPr>
        <w:t xml:space="preserve"> to prevent transboundary impacts, exchange information and jointly manage shared water systems. This is essential in the Neretva karst environment, where recharge and flow processes across national borders and pressures on one side can rapidly affect drinking</w:t>
      </w:r>
      <w:r w:rsidRPr="00B75778">
        <w:rPr>
          <w:rFonts w:ascii="Cambria Math" w:hAnsi="Cambria Math" w:cs="Cambria Math"/>
        </w:rPr>
        <w:t>‑</w:t>
      </w:r>
      <w:r w:rsidRPr="00B75778">
        <w:rPr>
          <w:rFonts w:ascii="Calibri" w:hAnsi="Calibri" w:cs="Calibri"/>
        </w:rPr>
        <w:t>water sources and ecosystems on the other.</w:t>
      </w:r>
    </w:p>
    <w:p w14:paraId="75F03302" w14:textId="77777777" w:rsidR="003C10C9" w:rsidRPr="00B75778" w:rsidRDefault="003C10C9" w:rsidP="003C10C9">
      <w:pPr>
        <w:jc w:val="both"/>
        <w:rPr>
          <w:rFonts w:ascii="Calibri" w:hAnsi="Calibri" w:cs="Calibri"/>
        </w:rPr>
      </w:pPr>
      <w:r w:rsidRPr="00B75778">
        <w:rPr>
          <w:rFonts w:ascii="Calibri" w:hAnsi="Calibri" w:cs="Calibri"/>
        </w:rPr>
        <w:t>The JWMC coordinates its work through bilateral sessions, technical consultations and urgent communications when extraordinary pollution events occur. It reviews measures with transboundary effects, prepares or endorses technical documentation, and ensures implementation of agreed actions. These functions are supported by national institutions that provide the Commission with data, expertise and administrative backing.</w:t>
      </w:r>
    </w:p>
    <w:p w14:paraId="1AE1C372" w14:textId="77777777" w:rsidR="003C10C9" w:rsidRPr="00B75778" w:rsidRDefault="003C10C9" w:rsidP="003C10C9">
      <w:pPr>
        <w:jc w:val="both"/>
        <w:rPr>
          <w:rFonts w:ascii="Calibri" w:hAnsi="Calibri" w:cs="Calibri"/>
        </w:rPr>
      </w:pPr>
      <w:r w:rsidRPr="00B75778">
        <w:rPr>
          <w:rFonts w:ascii="Calibri" w:hAnsi="Calibri" w:cs="Calibri"/>
        </w:rPr>
        <w:t>Differences in national governance structures influence the efficiency of joint work. Croatia manages groundwater through a centralised, EU</w:t>
      </w:r>
      <w:r w:rsidRPr="00B75778">
        <w:rPr>
          <w:rFonts w:ascii="Cambria Math" w:hAnsi="Cambria Math" w:cs="Cambria Math"/>
        </w:rPr>
        <w:t>‑</w:t>
      </w:r>
      <w:r w:rsidRPr="00B75778">
        <w:rPr>
          <w:rFonts w:ascii="Calibri" w:hAnsi="Calibri" w:cs="Calibri"/>
        </w:rPr>
        <w:t>aligned framework, while Bosnia and Herzegovina operates a decentralised system divided among entities and cantons. This fragmentation can complicate harmonised monitoring and enforcement, making cross</w:t>
      </w:r>
      <w:r w:rsidRPr="00B75778">
        <w:rPr>
          <w:rFonts w:ascii="Cambria Math" w:hAnsi="Cambria Math" w:cs="Cambria Math"/>
        </w:rPr>
        <w:t>‑</w:t>
      </w:r>
      <w:r w:rsidRPr="00B75778">
        <w:rPr>
          <w:rFonts w:ascii="Calibri" w:hAnsi="Calibri" w:cs="Calibri"/>
        </w:rPr>
        <w:t>border coordination increasingly important. Establishing consistent workflows</w:t>
      </w:r>
      <w:r>
        <w:rPr>
          <w:rFonts w:ascii="Calibri" w:hAnsi="Calibri" w:cs="Calibri"/>
        </w:rPr>
        <w:t xml:space="preserve"> - </w:t>
      </w:r>
      <w:r w:rsidRPr="00B75778">
        <w:rPr>
          <w:rFonts w:ascii="Calibri" w:hAnsi="Calibri" w:cs="Calibri"/>
        </w:rPr>
        <w:t>data formats, reporting schedules, early</w:t>
      </w:r>
      <w:r w:rsidRPr="00B75778">
        <w:rPr>
          <w:rFonts w:ascii="Cambria Math" w:hAnsi="Cambria Math" w:cs="Cambria Math"/>
        </w:rPr>
        <w:t>‑</w:t>
      </w:r>
      <w:r w:rsidRPr="00B75778">
        <w:rPr>
          <w:rFonts w:ascii="Calibri" w:hAnsi="Calibri" w:cs="Calibri"/>
        </w:rPr>
        <w:t>warning protocols and standardised parameter sets</w:t>
      </w:r>
      <w:r>
        <w:rPr>
          <w:rFonts w:ascii="Calibri" w:hAnsi="Calibri" w:cs="Calibri"/>
        </w:rPr>
        <w:t xml:space="preserve"> - </w:t>
      </w:r>
      <w:r w:rsidRPr="00B75778">
        <w:rPr>
          <w:rFonts w:ascii="Calibri" w:hAnsi="Calibri" w:cs="Calibri"/>
        </w:rPr>
        <w:t>remains a key operational need for the JWMC.</w:t>
      </w:r>
    </w:p>
    <w:p w14:paraId="6213BFA8" w14:textId="77777777" w:rsidR="003C10C9" w:rsidRPr="00B75778" w:rsidRDefault="003C10C9" w:rsidP="003C10C9">
      <w:pPr>
        <w:jc w:val="both"/>
        <w:rPr>
          <w:rFonts w:ascii="Calibri" w:hAnsi="Calibri" w:cs="Calibri"/>
        </w:rPr>
      </w:pPr>
      <w:r w:rsidRPr="00B75778">
        <w:rPr>
          <w:rFonts w:ascii="Calibri" w:hAnsi="Calibri" w:cs="Calibri"/>
        </w:rPr>
        <w:t>Sanitary protection zones are a particularly critical domain of cooperation. Both countries legally define such zones, yet methodological standards and enforcement practices differ. Because several Neretva recharge areas extend across the border, harmonised delineation criteria and mutual recognition of zones are necessary to ensure comparable protection levels. The JWMC is the appropriate body to facilitate this process and to promote uniform management of sensitive karst springs.</w:t>
      </w:r>
    </w:p>
    <w:p w14:paraId="2AAC88AB" w14:textId="77777777" w:rsidR="003C10C9" w:rsidRPr="00B75778" w:rsidRDefault="003C10C9" w:rsidP="003C10C9">
      <w:pPr>
        <w:jc w:val="both"/>
        <w:rPr>
          <w:rFonts w:ascii="Calibri" w:hAnsi="Calibri" w:cs="Calibri"/>
        </w:rPr>
      </w:pPr>
      <w:r w:rsidRPr="00B75778">
        <w:rPr>
          <w:rFonts w:ascii="Calibri" w:hAnsi="Calibri" w:cs="Calibri"/>
        </w:rPr>
        <w:t xml:space="preserve">Neretva </w:t>
      </w:r>
      <w:r>
        <w:rPr>
          <w:rFonts w:ascii="Calibri" w:hAnsi="Calibri" w:cs="Calibri"/>
        </w:rPr>
        <w:t>TBA</w:t>
      </w:r>
      <w:r w:rsidRPr="00B75778">
        <w:rPr>
          <w:rFonts w:ascii="Calibri" w:hAnsi="Calibri" w:cs="Calibri"/>
        </w:rPr>
        <w:t xml:space="preserve"> is exposed to pressures including rural sanitation gaps, agricultural impacts, waste disposal problems and tourism</w:t>
      </w:r>
      <w:r w:rsidRPr="00B75778">
        <w:rPr>
          <w:rFonts w:ascii="Cambria Math" w:hAnsi="Cambria Math" w:cs="Cambria Math"/>
        </w:rPr>
        <w:t>‑</w:t>
      </w:r>
      <w:r w:rsidRPr="00B75778">
        <w:rPr>
          <w:rFonts w:ascii="Calibri" w:hAnsi="Calibri" w:cs="Calibri"/>
        </w:rPr>
        <w:t>related stresses. These pressures underscore the need for coordinated monitoring, shared interpretation of results and joint prioritisation of protective measures. By facilitating transparent communication and aligning technical practices, the JWMC can support coherent responses to risks that are transboundary in nature.</w:t>
      </w:r>
    </w:p>
    <w:p w14:paraId="3803CC88" w14:textId="072D8D90" w:rsidR="003C10C9" w:rsidRPr="00B75778" w:rsidRDefault="003C10C9" w:rsidP="003C10C9">
      <w:pPr>
        <w:jc w:val="both"/>
        <w:rPr>
          <w:rFonts w:ascii="Calibri" w:hAnsi="Calibri" w:cs="Calibri"/>
        </w:rPr>
      </w:pPr>
      <w:r w:rsidRPr="00B75778">
        <w:rPr>
          <w:rFonts w:ascii="Calibri" w:hAnsi="Calibri" w:cs="Calibri"/>
        </w:rPr>
        <w:t>Future improvements in the Commission’s performance are expected through its integration with the emerging multi</w:t>
      </w:r>
      <w:r w:rsidRPr="00B75778">
        <w:rPr>
          <w:rFonts w:ascii="Cambria Math" w:hAnsi="Cambria Math" w:cs="Cambria Math"/>
        </w:rPr>
        <w:t>‑</w:t>
      </w:r>
      <w:r w:rsidRPr="00B75778">
        <w:rPr>
          <w:rFonts w:ascii="Calibri" w:hAnsi="Calibri" w:cs="Calibri"/>
        </w:rPr>
        <w:t>country cooperation mechanisms under DIKTAS II</w:t>
      </w:r>
      <w:r>
        <w:rPr>
          <w:rFonts w:ascii="Calibri" w:hAnsi="Calibri" w:cs="Calibri"/>
        </w:rPr>
        <w:t xml:space="preserve"> project</w:t>
      </w:r>
      <w:r w:rsidRPr="00B75778">
        <w:rPr>
          <w:rFonts w:ascii="Calibri" w:hAnsi="Calibri" w:cs="Calibri"/>
        </w:rPr>
        <w:t>. The creation of a Consultation and Information Exchange (CIE) Body will introduce a more structured technical backbone for harmonised protocols, joint monitoring and unified risk</w:t>
      </w:r>
      <w:r w:rsidRPr="00B75778">
        <w:rPr>
          <w:rFonts w:ascii="Cambria Math" w:hAnsi="Cambria Math" w:cs="Cambria Math"/>
        </w:rPr>
        <w:t>‑</w:t>
      </w:r>
      <w:r w:rsidRPr="00B75778">
        <w:rPr>
          <w:rFonts w:ascii="Calibri" w:hAnsi="Calibri" w:cs="Calibri"/>
        </w:rPr>
        <w:t>assessment approaches. Incorporating these elements into the Commission’s operations will help shift cooperation toward more proactive groundwater governance.</w:t>
      </w:r>
    </w:p>
    <w:p w14:paraId="04CA5108" w14:textId="77777777" w:rsidR="003C10C9" w:rsidRPr="00B75778" w:rsidRDefault="003C10C9" w:rsidP="003C10C9">
      <w:pPr>
        <w:jc w:val="both"/>
        <w:rPr>
          <w:rFonts w:ascii="Calibri" w:hAnsi="Calibri" w:cs="Calibri"/>
        </w:rPr>
      </w:pPr>
      <w:r w:rsidRPr="00B75778">
        <w:rPr>
          <w:rFonts w:ascii="Calibri" w:hAnsi="Calibri" w:cs="Calibri"/>
        </w:rPr>
        <w:t>Strengthening the JWMC’s role involves enhancing regular technical dialogue, conducting joint field inspections, improving bilateral data exchange, and establishing clear early</w:t>
      </w:r>
      <w:r w:rsidRPr="00B75778">
        <w:rPr>
          <w:rFonts w:ascii="Cambria Math" w:hAnsi="Cambria Math" w:cs="Cambria Math"/>
        </w:rPr>
        <w:t>‑</w:t>
      </w:r>
      <w:r w:rsidRPr="00B75778">
        <w:rPr>
          <w:rFonts w:ascii="Calibri" w:hAnsi="Calibri" w:cs="Calibri"/>
        </w:rPr>
        <w:t>warning and incident</w:t>
      </w:r>
      <w:r w:rsidRPr="00B75778">
        <w:rPr>
          <w:rFonts w:ascii="Cambria Math" w:hAnsi="Cambria Math" w:cs="Cambria Math"/>
        </w:rPr>
        <w:t>‑</w:t>
      </w:r>
      <w:r w:rsidRPr="00B75778">
        <w:rPr>
          <w:rFonts w:ascii="Calibri" w:hAnsi="Calibri" w:cs="Calibri"/>
        </w:rPr>
        <w:t>response channels. Improved coordination among national, regional and local institutions</w:t>
      </w:r>
      <w:r>
        <w:rPr>
          <w:rFonts w:ascii="Calibri" w:hAnsi="Calibri" w:cs="Calibri"/>
        </w:rPr>
        <w:t xml:space="preserve">, </w:t>
      </w:r>
      <w:r w:rsidRPr="00B75778">
        <w:rPr>
          <w:rFonts w:ascii="Calibri" w:hAnsi="Calibri" w:cs="Calibri"/>
        </w:rPr>
        <w:t>especially those responsible for spatial planning, water utilities, agriculture and protected areas</w:t>
      </w:r>
      <w:r>
        <w:rPr>
          <w:rFonts w:ascii="Calibri" w:hAnsi="Calibri" w:cs="Calibri"/>
        </w:rPr>
        <w:t xml:space="preserve">, </w:t>
      </w:r>
      <w:r w:rsidRPr="00B75778">
        <w:rPr>
          <w:rFonts w:ascii="Calibri" w:hAnsi="Calibri" w:cs="Calibri"/>
        </w:rPr>
        <w:t>will ensure that groundwater vulnerability is consistently reflected in decision</w:t>
      </w:r>
      <w:r w:rsidRPr="00B75778">
        <w:rPr>
          <w:rFonts w:ascii="Cambria Math" w:hAnsi="Cambria Math" w:cs="Cambria Math"/>
        </w:rPr>
        <w:t>‑</w:t>
      </w:r>
      <w:r w:rsidRPr="00B75778">
        <w:rPr>
          <w:rFonts w:ascii="Calibri" w:hAnsi="Calibri" w:cs="Calibri"/>
        </w:rPr>
        <w:t>making on both sides of the border.</w:t>
      </w:r>
    </w:p>
    <w:p w14:paraId="521C469A" w14:textId="1D794AA2" w:rsidR="003C10C9" w:rsidRDefault="003C10C9" w:rsidP="003C10C9">
      <w:pPr>
        <w:jc w:val="both"/>
      </w:pPr>
      <w:r w:rsidRPr="00B75778">
        <w:lastRenderedPageBreak/>
        <w:t>By consolidating these functions, the JWMC can provide a solid foundation for effective aquifer governance in Neretva TBA. Its expanded groundwater</w:t>
      </w:r>
      <w:r w:rsidRPr="00B75778">
        <w:rPr>
          <w:rFonts w:ascii="Cambria Math" w:hAnsi="Cambria Math" w:cs="Cambria Math"/>
        </w:rPr>
        <w:t>‑</w:t>
      </w:r>
      <w:r w:rsidRPr="00B75778">
        <w:t>related role supports the goals of the Joint Action Programme</w:t>
      </w:r>
      <w:r>
        <w:t xml:space="preserve"> for Neretva TBA</w:t>
      </w:r>
      <w:r w:rsidRPr="00B75778">
        <w:t>, strengthens the resilience of shared karst systems and reinforces long</w:t>
      </w:r>
      <w:r w:rsidRPr="00B75778">
        <w:rPr>
          <w:rFonts w:ascii="Cambria Math" w:hAnsi="Cambria Math" w:cs="Cambria Math"/>
        </w:rPr>
        <w:t>‑</w:t>
      </w:r>
      <w:r w:rsidRPr="00B75778">
        <w:t xml:space="preserve">standing cooperation between the two </w:t>
      </w:r>
      <w:r>
        <w:t>countries</w:t>
      </w:r>
      <w:r w:rsidRPr="00B75778">
        <w:t xml:space="preserve"> in managing transboundary water resources sustainably.</w:t>
      </w:r>
    </w:p>
    <w:p w14:paraId="5D724943" w14:textId="77777777" w:rsidR="003C10C9" w:rsidRDefault="003C10C9" w:rsidP="00C957AB">
      <w:pPr>
        <w:pStyle w:val="Heading2"/>
        <w:rPr>
          <w:lang w:val="en-GB"/>
        </w:rPr>
      </w:pPr>
    </w:p>
    <w:p w14:paraId="7AAEF2C0" w14:textId="77777777" w:rsidR="003C10C9" w:rsidRPr="0039215F" w:rsidRDefault="003C10C9" w:rsidP="003C10C9">
      <w:pPr>
        <w:pStyle w:val="Heading2"/>
        <w:rPr>
          <w:lang w:val="en-GB"/>
        </w:rPr>
      </w:pPr>
      <w:bookmarkStart w:id="146" w:name="_Toc229036242"/>
      <w:r w:rsidRPr="0039215F">
        <w:rPr>
          <w:lang w:val="en-GB"/>
        </w:rPr>
        <w:t>7.2 Joint data sharing mechanism</w:t>
      </w:r>
      <w:bookmarkEnd w:id="146"/>
    </w:p>
    <w:p w14:paraId="24A3B640" w14:textId="20256E61" w:rsidR="003C10C9" w:rsidRPr="00F356AE" w:rsidRDefault="003C10C9" w:rsidP="003C10C9">
      <w:pPr>
        <w:jc w:val="both"/>
      </w:pPr>
      <w:r w:rsidRPr="00F356AE">
        <w:t>Establishing a joint data-sharing mechanism is a necessary step toward coordinated River Basin Management Plan</w:t>
      </w:r>
      <w:r w:rsidR="001807C2">
        <w:t xml:space="preserve"> (RBMP)</w:t>
      </w:r>
      <w:r w:rsidRPr="00F356AE">
        <w:t xml:space="preserve"> development and implementation, sustainable groundwater governance, and effective transboundary aquifer management. A joint data-sharing mechanism for Neretva TBA should encompass both an institutional framework and the technical data infrastructure.</w:t>
      </w:r>
    </w:p>
    <w:p w14:paraId="37936A86" w14:textId="788B9BA6" w:rsidR="003C10C9" w:rsidRPr="00F356AE" w:rsidRDefault="003C10C9" w:rsidP="003C10C9">
      <w:pPr>
        <w:jc w:val="both"/>
      </w:pPr>
      <w:r w:rsidRPr="00F356AE">
        <w:t>The institutional framework defines the roles, responsibilities, and procedures for data collection, exchange, and access among the competent authorities in Croatia and Bosnia and Herzegovina. It is proposed that data-sharing activities for Neretva TBA be integrated into the work of the Joint Water Management Commission between Croatia and Bosnia and Herzegovina and, at the multilateral level, into the Consultation and Information Exchange (CIE) Body established under DIKTAS II</w:t>
      </w:r>
      <w:r w:rsidR="001807C2">
        <w:t xml:space="preserve"> project</w:t>
      </w:r>
      <w:r w:rsidRPr="00F356AE">
        <w:t>. This approach ensures that the institutional framework for data sharing is aligned with existing bilateral coordination mechanisms and with the broader regional groundwater governance architecture, while the technical systems for collecting and exchanging data are integrated into a GIS platform.</w:t>
      </w:r>
    </w:p>
    <w:p w14:paraId="2D6A7624" w14:textId="77777777" w:rsidR="003C10C9" w:rsidRPr="00F356AE" w:rsidRDefault="003C10C9" w:rsidP="003C10C9">
      <w:pPr>
        <w:jc w:val="both"/>
      </w:pPr>
      <w:r w:rsidRPr="00F356AE">
        <w:t>The technical component includes exchange of data preferably integrated into a GIS platform. The technical data should include all information relevant to the aquifer, encompassing data necessary for the development of a conceptual model, information on pressures and stresses within the catchment, as well as monitoring data from both existing stations and comprehensive monitoring planned under the DIKTAS II project.</w:t>
      </w:r>
    </w:p>
    <w:p w14:paraId="68430649" w14:textId="77777777" w:rsidR="003C10C9" w:rsidRPr="00F356AE" w:rsidRDefault="003C10C9" w:rsidP="003C10C9">
      <w:pPr>
        <w:jc w:val="both"/>
      </w:pPr>
      <w:r w:rsidRPr="00F356AE">
        <w:t>The technical dataset for development of the conceptual model of Neretva TBA should include:</w:t>
      </w:r>
    </w:p>
    <w:p w14:paraId="6E551C19" w14:textId="0A544F11" w:rsidR="003C10C9" w:rsidRPr="00F356AE" w:rsidRDefault="003C10C9" w:rsidP="001807C2">
      <w:pPr>
        <w:pStyle w:val="ListParagraph"/>
        <w:numPr>
          <w:ilvl w:val="0"/>
          <w:numId w:val="165"/>
        </w:numPr>
        <w:spacing w:after="200" w:line="276" w:lineRule="auto"/>
        <w:jc w:val="both"/>
      </w:pPr>
      <w:r w:rsidRPr="00F356AE">
        <w:t xml:space="preserve">Hydrogeological maps </w:t>
      </w:r>
      <w:r w:rsidR="001807C2">
        <w:t>-</w:t>
      </w:r>
      <w:r w:rsidRPr="00F356AE">
        <w:t xml:space="preserve"> showing lithology, aquifer boundaries, and geological structures (based on the Basic Geological Map of Croatia and Bosnia and Herzegovina, M 1:100,000)</w:t>
      </w:r>
      <w:r w:rsidR="001807C2">
        <w:t>;</w:t>
      </w:r>
    </w:p>
    <w:p w14:paraId="5223D568" w14:textId="7F9CF62E" w:rsidR="003C10C9" w:rsidRPr="00F356AE" w:rsidRDefault="003C10C9" w:rsidP="001807C2">
      <w:pPr>
        <w:pStyle w:val="ListParagraph"/>
        <w:numPr>
          <w:ilvl w:val="0"/>
          <w:numId w:val="165"/>
        </w:numPr>
        <w:spacing w:after="200" w:line="276" w:lineRule="auto"/>
        <w:jc w:val="both"/>
      </w:pPr>
      <w:r w:rsidRPr="00F356AE">
        <w:t xml:space="preserve">Tracer test data </w:t>
      </w:r>
      <w:r w:rsidR="001807C2">
        <w:t>-</w:t>
      </w:r>
      <w:r w:rsidRPr="00F356AE">
        <w:t xml:space="preserve"> for understanding groundwater flow and connectivity within the karst system</w:t>
      </w:r>
      <w:r w:rsidR="001807C2">
        <w:t>;</w:t>
      </w:r>
    </w:p>
    <w:p w14:paraId="43BEC708" w14:textId="58F938B5" w:rsidR="003C10C9" w:rsidRPr="00F356AE" w:rsidRDefault="003C10C9" w:rsidP="001807C2">
      <w:pPr>
        <w:pStyle w:val="ListParagraph"/>
        <w:numPr>
          <w:ilvl w:val="0"/>
          <w:numId w:val="165"/>
        </w:numPr>
        <w:spacing w:after="200" w:line="276" w:lineRule="auto"/>
        <w:jc w:val="both"/>
      </w:pPr>
      <w:r w:rsidRPr="00F356AE">
        <w:t xml:space="preserve">Springs and recharge/discharge points </w:t>
      </w:r>
      <w:r w:rsidR="001807C2">
        <w:t>-</w:t>
      </w:r>
      <w:r w:rsidRPr="00F356AE">
        <w:t xml:space="preserve"> location, flow rates, and characteristics</w:t>
      </w:r>
      <w:r w:rsidR="001807C2">
        <w:t>;</w:t>
      </w:r>
    </w:p>
    <w:p w14:paraId="08E645FE" w14:textId="60ADBB0D" w:rsidR="003C10C9" w:rsidRPr="00F356AE" w:rsidRDefault="003C10C9" w:rsidP="001807C2">
      <w:pPr>
        <w:pStyle w:val="ListParagraph"/>
        <w:numPr>
          <w:ilvl w:val="0"/>
          <w:numId w:val="165"/>
        </w:numPr>
        <w:spacing w:after="200" w:line="276" w:lineRule="auto"/>
        <w:jc w:val="both"/>
      </w:pPr>
      <w:r w:rsidRPr="00F356AE">
        <w:t xml:space="preserve">Sinkholes, ponors, and other karst features </w:t>
      </w:r>
      <w:r w:rsidR="001807C2">
        <w:t>-</w:t>
      </w:r>
      <w:r w:rsidRPr="00F356AE">
        <w:t xml:space="preserve"> critical for understanding rapid infiltration and transboundary flow dynamics</w:t>
      </w:r>
      <w:r w:rsidR="001807C2">
        <w:t>;</w:t>
      </w:r>
    </w:p>
    <w:p w14:paraId="0517CAB6" w14:textId="4B06B19E" w:rsidR="003C10C9" w:rsidRPr="00F356AE" w:rsidRDefault="003C10C9" w:rsidP="001807C2">
      <w:pPr>
        <w:pStyle w:val="ListParagraph"/>
        <w:numPr>
          <w:ilvl w:val="0"/>
          <w:numId w:val="165"/>
        </w:numPr>
        <w:spacing w:after="200" w:line="276" w:lineRule="auto"/>
        <w:jc w:val="both"/>
      </w:pPr>
      <w:r w:rsidRPr="00F356AE">
        <w:t xml:space="preserve">Hydrological network data </w:t>
      </w:r>
      <w:r w:rsidR="001807C2">
        <w:t>-</w:t>
      </w:r>
      <w:r w:rsidRPr="00F356AE">
        <w:t xml:space="preserve"> rivers, streams, and surface water interactions, including the </w:t>
      </w:r>
      <w:proofErr w:type="spellStart"/>
      <w:r w:rsidRPr="00F356AE">
        <w:t>Trebižat</w:t>
      </w:r>
      <w:proofErr w:type="spellEnd"/>
      <w:r w:rsidRPr="00F356AE">
        <w:t xml:space="preserve"> river system</w:t>
      </w:r>
      <w:r w:rsidR="001807C2">
        <w:t>;</w:t>
      </w:r>
    </w:p>
    <w:p w14:paraId="7CC86CC0" w14:textId="14EC89A1" w:rsidR="003C10C9" w:rsidRPr="00F356AE" w:rsidRDefault="003C10C9" w:rsidP="001807C2">
      <w:pPr>
        <w:pStyle w:val="ListParagraph"/>
        <w:numPr>
          <w:ilvl w:val="0"/>
          <w:numId w:val="165"/>
        </w:numPr>
        <w:spacing w:after="200" w:line="276" w:lineRule="auto"/>
        <w:jc w:val="both"/>
      </w:pPr>
      <w:r w:rsidRPr="00F356AE">
        <w:t xml:space="preserve">Monitoring data </w:t>
      </w:r>
      <w:r w:rsidR="001807C2">
        <w:t>-</w:t>
      </w:r>
      <w:r w:rsidRPr="00F356AE">
        <w:t xml:space="preserve"> existing and planned groundwater and surface water monitoring stations</w:t>
      </w:r>
      <w:r w:rsidR="001807C2">
        <w:t>,</w:t>
      </w:r>
      <w:r w:rsidRPr="00F356AE">
        <w:t xml:space="preserve"> hydrometeorological data</w:t>
      </w:r>
      <w:r w:rsidR="001807C2">
        <w:t>;</w:t>
      </w:r>
    </w:p>
    <w:p w14:paraId="3000EA47" w14:textId="38D75E54" w:rsidR="003C10C9" w:rsidRPr="00F356AE" w:rsidRDefault="003C10C9" w:rsidP="001807C2">
      <w:pPr>
        <w:pStyle w:val="ListParagraph"/>
        <w:numPr>
          <w:ilvl w:val="0"/>
          <w:numId w:val="165"/>
        </w:numPr>
        <w:spacing w:after="200" w:line="276" w:lineRule="auto"/>
        <w:jc w:val="both"/>
      </w:pPr>
      <w:r w:rsidRPr="00F356AE">
        <w:t xml:space="preserve">Pressures and stresses within the catchment </w:t>
      </w:r>
      <w:r w:rsidR="001807C2">
        <w:t>-</w:t>
      </w:r>
      <w:r w:rsidRPr="00F356AE">
        <w:t xml:space="preserve"> abstraction points, land use impacts, pollution sources.</w:t>
      </w:r>
    </w:p>
    <w:p w14:paraId="2E286841" w14:textId="51A8571D" w:rsidR="003C10C9" w:rsidRPr="00F356AE" w:rsidRDefault="003C10C9" w:rsidP="003C10C9">
      <w:pPr>
        <w:jc w:val="both"/>
      </w:pPr>
      <w:r w:rsidRPr="00F356AE">
        <w:t xml:space="preserve">The relevant data are being applied in the preparation of </w:t>
      </w:r>
      <w:r w:rsidR="001807C2">
        <w:t>RBMP</w:t>
      </w:r>
      <w:r w:rsidRPr="00F356AE">
        <w:t xml:space="preserve"> on both sides of the border. On the Croatian side, the relevant RBMP covers the Adriatic Sea river basin district. On the BiH side, the Agency for the Adriatic Sea River Basin (AVP Jadran) is responsible for the Adriatic basin RBMP </w:t>
      </w:r>
      <w:r w:rsidRPr="00F356AE">
        <w:lastRenderedPageBreak/>
        <w:t>covering the TBA Neretva area; the third cycle of this RBMP is currently under preparation for the period 2027–2032. Further monitoring activities are being developed through the DIKTAS II project. On the BiH side, a key challenge is the fragmentation of data across institutions: data sharing is carried out upon request rather than through established protocols, and geological survey archives remain largely analogue or unpublished. Addressing these gaps requires a clear data-sharing protocol agreed under the Joint Action Programme</w:t>
      </w:r>
      <w:r w:rsidR="001807C2">
        <w:t xml:space="preserve"> for Neretva TBA</w:t>
      </w:r>
      <w:r w:rsidRPr="00F356AE">
        <w:t>.</w:t>
      </w:r>
    </w:p>
    <w:p w14:paraId="5F3463DF" w14:textId="77777777" w:rsidR="003C10C9" w:rsidRPr="00F356AE" w:rsidRDefault="003C10C9" w:rsidP="003C10C9">
      <w:pPr>
        <w:jc w:val="both"/>
      </w:pPr>
      <w:r w:rsidRPr="00F356AE">
        <w:t>In addition to inter-authority data exchange, the joint data-sharing mechanism should include provisions for public access to basic, general and non-sensitive information, covering aggregated monitoring results, general groundwater status assessments, maps of sanitary protection zones, and non-confidential spatial datasets. Such access may be provided through an online portal or publicly accessible GIS viewer, ensuring transparency while respecting data protection and legal restrictions related to sensitive infrastructure. Clear categorisation of data into publicly accessible and restricted datasets should form an integral part of the institutional framework for data management within Neretva TBA.</w:t>
      </w:r>
    </w:p>
    <w:p w14:paraId="7C0F8B2B" w14:textId="3A3D30DD" w:rsidR="003C10C9" w:rsidRDefault="003C10C9" w:rsidP="003C10C9">
      <w:pPr>
        <w:jc w:val="both"/>
      </w:pPr>
      <w:r w:rsidRPr="00F356AE">
        <w:t xml:space="preserve">All technical data necessary for the conceptual model, as well as the existing and planned monitoring data, are provided in </w:t>
      </w:r>
      <w:r w:rsidR="001807C2">
        <w:t xml:space="preserve">the </w:t>
      </w:r>
      <w:r w:rsidRPr="00F356AE">
        <w:t xml:space="preserve">Table </w:t>
      </w:r>
      <w:r w:rsidR="002F4776">
        <w:t>17</w:t>
      </w:r>
      <w:r w:rsidRPr="00F356AE">
        <w:t>.</w:t>
      </w:r>
    </w:p>
    <w:p w14:paraId="6A90A380" w14:textId="662397B5" w:rsidR="003C10C9" w:rsidRPr="001807C2" w:rsidRDefault="002F4776" w:rsidP="002F4776">
      <w:pPr>
        <w:pStyle w:val="Caption"/>
      </w:pPr>
      <w:bookmarkStart w:id="147" w:name="_Toc229037739"/>
      <w:r>
        <w:t xml:space="preserve">Table </w:t>
      </w:r>
      <w:r>
        <w:fldChar w:fldCharType="begin"/>
      </w:r>
      <w:r>
        <w:instrText xml:space="preserve"> SEQ Table \* ARABIC </w:instrText>
      </w:r>
      <w:r>
        <w:fldChar w:fldCharType="separate"/>
      </w:r>
      <w:r>
        <w:rPr>
          <w:noProof/>
        </w:rPr>
        <w:t>17</w:t>
      </w:r>
      <w:r>
        <w:fldChar w:fldCharType="end"/>
      </w:r>
      <w:r>
        <w:t xml:space="preserve"> </w:t>
      </w:r>
      <w:r w:rsidRPr="002845A7">
        <w:t>Spatial, monitoring and pressure-related datasets for the conceptual model of Neretva TBA</w:t>
      </w:r>
      <w:bookmarkEnd w:id="147"/>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0"/>
        <w:gridCol w:w="3827"/>
      </w:tblGrid>
      <w:tr w:rsidR="003C10C9" w:rsidRPr="001807C2" w14:paraId="0AD65933" w14:textId="77777777" w:rsidTr="001807C2">
        <w:trPr>
          <w:tblHeader/>
          <w:tblCellSpacing w:w="15" w:type="dxa"/>
        </w:trPr>
        <w:tc>
          <w:tcPr>
            <w:tcW w:w="5195" w:type="dxa"/>
            <w:shd w:val="clear" w:color="auto" w:fill="B4C6E7" w:themeFill="accent1" w:themeFillTint="66"/>
            <w:vAlign w:val="center"/>
            <w:hideMark/>
          </w:tcPr>
          <w:p w14:paraId="49DD5C1C" w14:textId="77777777" w:rsidR="003C10C9" w:rsidRPr="001807C2" w:rsidRDefault="003C10C9" w:rsidP="00CD4AFE">
            <w:pPr>
              <w:jc w:val="both"/>
              <w:rPr>
                <w:rFonts w:cstheme="minorHAnsi"/>
                <w:b/>
                <w:bCs/>
                <w:sz w:val="16"/>
                <w:szCs w:val="16"/>
              </w:rPr>
            </w:pPr>
            <w:r w:rsidRPr="001807C2">
              <w:rPr>
                <w:rFonts w:cstheme="minorHAnsi"/>
                <w:b/>
                <w:bCs/>
                <w:sz w:val="16"/>
                <w:szCs w:val="16"/>
              </w:rPr>
              <w:t>Data</w:t>
            </w:r>
          </w:p>
        </w:tc>
        <w:tc>
          <w:tcPr>
            <w:tcW w:w="3782" w:type="dxa"/>
            <w:shd w:val="clear" w:color="auto" w:fill="B4C6E7" w:themeFill="accent1" w:themeFillTint="66"/>
            <w:vAlign w:val="center"/>
            <w:hideMark/>
          </w:tcPr>
          <w:p w14:paraId="4C238C9E" w14:textId="77777777" w:rsidR="003C10C9" w:rsidRPr="001807C2" w:rsidRDefault="003C10C9" w:rsidP="00CD4AFE">
            <w:pPr>
              <w:jc w:val="both"/>
              <w:rPr>
                <w:rFonts w:cstheme="minorHAnsi"/>
                <w:b/>
                <w:bCs/>
                <w:sz w:val="16"/>
                <w:szCs w:val="16"/>
              </w:rPr>
            </w:pPr>
            <w:r w:rsidRPr="001807C2">
              <w:rPr>
                <w:rFonts w:cstheme="minorHAnsi"/>
                <w:b/>
                <w:bCs/>
                <w:sz w:val="16"/>
                <w:szCs w:val="16"/>
              </w:rPr>
              <w:t>Type</w:t>
            </w:r>
          </w:p>
        </w:tc>
      </w:tr>
      <w:tr w:rsidR="003C10C9" w:rsidRPr="001807C2" w14:paraId="7739D89E" w14:textId="77777777" w:rsidTr="001807C2">
        <w:trPr>
          <w:trHeight w:val="309"/>
          <w:tblCellSpacing w:w="15" w:type="dxa"/>
        </w:trPr>
        <w:tc>
          <w:tcPr>
            <w:tcW w:w="5195" w:type="dxa"/>
            <w:vAlign w:val="center"/>
            <w:hideMark/>
          </w:tcPr>
          <w:p w14:paraId="5C28BE29" w14:textId="77777777" w:rsidR="003C10C9" w:rsidRPr="001807C2" w:rsidRDefault="003C10C9" w:rsidP="00CD4AFE">
            <w:pPr>
              <w:jc w:val="both"/>
              <w:rPr>
                <w:rFonts w:cstheme="minorHAnsi"/>
                <w:sz w:val="16"/>
                <w:szCs w:val="16"/>
              </w:rPr>
            </w:pPr>
            <w:r w:rsidRPr="001807C2">
              <w:rPr>
                <w:rFonts w:cstheme="minorHAnsi"/>
                <w:sz w:val="16"/>
                <w:szCs w:val="16"/>
              </w:rPr>
              <w:t>Hydrologic network (1:25,000)</w:t>
            </w:r>
          </w:p>
        </w:tc>
        <w:tc>
          <w:tcPr>
            <w:tcW w:w="3782" w:type="dxa"/>
            <w:vAlign w:val="center"/>
            <w:hideMark/>
          </w:tcPr>
          <w:p w14:paraId="2214136C" w14:textId="77777777" w:rsidR="003C10C9" w:rsidRPr="001807C2" w:rsidRDefault="003C10C9" w:rsidP="00CD4AFE">
            <w:pPr>
              <w:jc w:val="both"/>
              <w:rPr>
                <w:rFonts w:cstheme="minorHAnsi"/>
                <w:sz w:val="16"/>
                <w:szCs w:val="16"/>
              </w:rPr>
            </w:pPr>
            <w:r w:rsidRPr="001807C2">
              <w:rPr>
                <w:rFonts w:cstheme="minorHAnsi"/>
                <w:sz w:val="16"/>
                <w:szCs w:val="16"/>
              </w:rPr>
              <w:t>Line data</w:t>
            </w:r>
          </w:p>
        </w:tc>
      </w:tr>
      <w:tr w:rsidR="003C10C9" w:rsidRPr="001807C2" w14:paraId="293B9461" w14:textId="77777777" w:rsidTr="001807C2">
        <w:trPr>
          <w:tblCellSpacing w:w="15" w:type="dxa"/>
        </w:trPr>
        <w:tc>
          <w:tcPr>
            <w:tcW w:w="5195" w:type="dxa"/>
            <w:vAlign w:val="center"/>
            <w:hideMark/>
          </w:tcPr>
          <w:p w14:paraId="0138230F" w14:textId="77777777" w:rsidR="003C10C9" w:rsidRPr="001807C2" w:rsidRDefault="003C10C9" w:rsidP="00CD4AFE">
            <w:pPr>
              <w:jc w:val="both"/>
              <w:rPr>
                <w:rFonts w:cstheme="minorHAnsi"/>
                <w:sz w:val="16"/>
                <w:szCs w:val="16"/>
              </w:rPr>
            </w:pPr>
            <w:r w:rsidRPr="001807C2">
              <w:rPr>
                <w:rFonts w:cstheme="minorHAnsi"/>
                <w:sz w:val="16"/>
                <w:szCs w:val="16"/>
              </w:rPr>
              <w:t>Catchment boundaries — topographic</w:t>
            </w:r>
          </w:p>
        </w:tc>
        <w:tc>
          <w:tcPr>
            <w:tcW w:w="3782" w:type="dxa"/>
            <w:vAlign w:val="center"/>
            <w:hideMark/>
          </w:tcPr>
          <w:p w14:paraId="61A59B16" w14:textId="77777777" w:rsidR="003C10C9" w:rsidRPr="001807C2" w:rsidRDefault="003C10C9" w:rsidP="00CD4AFE">
            <w:pPr>
              <w:jc w:val="both"/>
              <w:rPr>
                <w:rFonts w:cstheme="minorHAnsi"/>
                <w:sz w:val="16"/>
                <w:szCs w:val="16"/>
              </w:rPr>
            </w:pPr>
            <w:r w:rsidRPr="001807C2">
              <w:rPr>
                <w:rFonts w:cstheme="minorHAnsi"/>
                <w:sz w:val="16"/>
                <w:szCs w:val="16"/>
              </w:rPr>
              <w:t>Polygon data</w:t>
            </w:r>
          </w:p>
        </w:tc>
      </w:tr>
      <w:tr w:rsidR="003C10C9" w:rsidRPr="001807C2" w14:paraId="33C11A79" w14:textId="77777777" w:rsidTr="001807C2">
        <w:trPr>
          <w:tblCellSpacing w:w="15" w:type="dxa"/>
        </w:trPr>
        <w:tc>
          <w:tcPr>
            <w:tcW w:w="5195" w:type="dxa"/>
            <w:vAlign w:val="center"/>
            <w:hideMark/>
          </w:tcPr>
          <w:p w14:paraId="6DB81611" w14:textId="77777777" w:rsidR="003C10C9" w:rsidRPr="001807C2" w:rsidRDefault="003C10C9" w:rsidP="00CD4AFE">
            <w:pPr>
              <w:jc w:val="both"/>
              <w:rPr>
                <w:rFonts w:cstheme="minorHAnsi"/>
                <w:sz w:val="16"/>
                <w:szCs w:val="16"/>
              </w:rPr>
            </w:pPr>
            <w:r w:rsidRPr="001807C2">
              <w:rPr>
                <w:rFonts w:cstheme="minorHAnsi"/>
                <w:sz w:val="16"/>
                <w:szCs w:val="16"/>
              </w:rPr>
              <w:t>TBA Neretva boundary (hydrogeological)</w:t>
            </w:r>
          </w:p>
        </w:tc>
        <w:tc>
          <w:tcPr>
            <w:tcW w:w="3782" w:type="dxa"/>
            <w:vAlign w:val="center"/>
            <w:hideMark/>
          </w:tcPr>
          <w:p w14:paraId="4A33794B" w14:textId="77777777" w:rsidR="003C10C9" w:rsidRPr="001807C2" w:rsidRDefault="003C10C9" w:rsidP="00CD4AFE">
            <w:pPr>
              <w:jc w:val="both"/>
              <w:rPr>
                <w:rFonts w:cstheme="minorHAnsi"/>
                <w:sz w:val="16"/>
                <w:szCs w:val="16"/>
              </w:rPr>
            </w:pPr>
            <w:r w:rsidRPr="001807C2">
              <w:rPr>
                <w:rFonts w:cstheme="minorHAnsi"/>
                <w:sz w:val="16"/>
                <w:szCs w:val="16"/>
              </w:rPr>
              <w:t>Polygon data</w:t>
            </w:r>
          </w:p>
        </w:tc>
      </w:tr>
      <w:tr w:rsidR="003C10C9" w:rsidRPr="001807C2" w14:paraId="21C1CEF7" w14:textId="77777777" w:rsidTr="001807C2">
        <w:trPr>
          <w:tblCellSpacing w:w="15" w:type="dxa"/>
        </w:trPr>
        <w:tc>
          <w:tcPr>
            <w:tcW w:w="5195" w:type="dxa"/>
            <w:vAlign w:val="center"/>
            <w:hideMark/>
          </w:tcPr>
          <w:p w14:paraId="122160D6" w14:textId="77777777" w:rsidR="003C10C9" w:rsidRPr="001807C2" w:rsidRDefault="003C10C9" w:rsidP="00CD4AFE">
            <w:pPr>
              <w:jc w:val="both"/>
              <w:rPr>
                <w:rFonts w:cstheme="minorHAnsi"/>
                <w:sz w:val="16"/>
                <w:szCs w:val="16"/>
              </w:rPr>
            </w:pPr>
            <w:r w:rsidRPr="001807C2">
              <w:rPr>
                <w:rFonts w:cstheme="minorHAnsi"/>
                <w:sz w:val="16"/>
                <w:szCs w:val="16"/>
              </w:rPr>
              <w:t>Groundwater bodies</w:t>
            </w:r>
          </w:p>
        </w:tc>
        <w:tc>
          <w:tcPr>
            <w:tcW w:w="3782" w:type="dxa"/>
            <w:vAlign w:val="center"/>
            <w:hideMark/>
          </w:tcPr>
          <w:p w14:paraId="258CB328" w14:textId="77777777" w:rsidR="003C10C9" w:rsidRPr="001807C2" w:rsidRDefault="003C10C9" w:rsidP="00CD4AFE">
            <w:pPr>
              <w:jc w:val="both"/>
              <w:rPr>
                <w:rFonts w:cstheme="minorHAnsi"/>
                <w:sz w:val="16"/>
                <w:szCs w:val="16"/>
              </w:rPr>
            </w:pPr>
            <w:r w:rsidRPr="001807C2">
              <w:rPr>
                <w:rFonts w:cstheme="minorHAnsi"/>
                <w:sz w:val="16"/>
                <w:szCs w:val="16"/>
              </w:rPr>
              <w:t>Polygon data</w:t>
            </w:r>
          </w:p>
        </w:tc>
      </w:tr>
      <w:tr w:rsidR="003C10C9" w:rsidRPr="001807C2" w14:paraId="327D340D" w14:textId="77777777" w:rsidTr="001807C2">
        <w:trPr>
          <w:tblCellSpacing w:w="15" w:type="dxa"/>
        </w:trPr>
        <w:tc>
          <w:tcPr>
            <w:tcW w:w="5195" w:type="dxa"/>
            <w:vAlign w:val="center"/>
            <w:hideMark/>
          </w:tcPr>
          <w:p w14:paraId="232D8D82" w14:textId="77777777" w:rsidR="003C10C9" w:rsidRPr="001807C2" w:rsidRDefault="003C10C9" w:rsidP="00CD4AFE">
            <w:pPr>
              <w:jc w:val="both"/>
              <w:rPr>
                <w:rFonts w:cstheme="minorHAnsi"/>
                <w:sz w:val="16"/>
                <w:szCs w:val="16"/>
              </w:rPr>
            </w:pPr>
            <w:r w:rsidRPr="001807C2">
              <w:rPr>
                <w:rFonts w:cstheme="minorHAnsi"/>
                <w:sz w:val="16"/>
                <w:szCs w:val="16"/>
              </w:rPr>
              <w:t>Surface bodies typology</w:t>
            </w:r>
          </w:p>
        </w:tc>
        <w:tc>
          <w:tcPr>
            <w:tcW w:w="3782" w:type="dxa"/>
            <w:vAlign w:val="center"/>
            <w:hideMark/>
          </w:tcPr>
          <w:p w14:paraId="259A7B69" w14:textId="77777777" w:rsidR="003C10C9" w:rsidRPr="001807C2" w:rsidRDefault="003C10C9" w:rsidP="00CD4AFE">
            <w:pPr>
              <w:jc w:val="both"/>
              <w:rPr>
                <w:rFonts w:cstheme="minorHAnsi"/>
                <w:sz w:val="16"/>
                <w:szCs w:val="16"/>
              </w:rPr>
            </w:pPr>
            <w:r w:rsidRPr="001807C2">
              <w:rPr>
                <w:rFonts w:cstheme="minorHAnsi"/>
                <w:sz w:val="16"/>
                <w:szCs w:val="16"/>
              </w:rPr>
              <w:t>Line data</w:t>
            </w:r>
          </w:p>
        </w:tc>
      </w:tr>
      <w:tr w:rsidR="003C10C9" w:rsidRPr="001807C2" w14:paraId="72D9A6B2" w14:textId="77777777" w:rsidTr="001807C2">
        <w:trPr>
          <w:tblCellSpacing w:w="15" w:type="dxa"/>
        </w:trPr>
        <w:tc>
          <w:tcPr>
            <w:tcW w:w="5195" w:type="dxa"/>
            <w:vAlign w:val="center"/>
            <w:hideMark/>
          </w:tcPr>
          <w:p w14:paraId="0842A673" w14:textId="77777777" w:rsidR="003C10C9" w:rsidRPr="001807C2" w:rsidRDefault="003C10C9" w:rsidP="00CD4AFE">
            <w:pPr>
              <w:jc w:val="both"/>
              <w:rPr>
                <w:rFonts w:cstheme="minorHAnsi"/>
                <w:sz w:val="16"/>
                <w:szCs w:val="16"/>
              </w:rPr>
            </w:pPr>
            <w:r w:rsidRPr="001807C2">
              <w:rPr>
                <w:rFonts w:cstheme="minorHAnsi"/>
                <w:sz w:val="16"/>
                <w:szCs w:val="16"/>
              </w:rPr>
              <w:t>Protected areas (national park, Natura 2000)</w:t>
            </w:r>
          </w:p>
        </w:tc>
        <w:tc>
          <w:tcPr>
            <w:tcW w:w="3782" w:type="dxa"/>
            <w:vAlign w:val="center"/>
            <w:hideMark/>
          </w:tcPr>
          <w:p w14:paraId="7FF84771" w14:textId="77777777" w:rsidR="003C10C9" w:rsidRPr="001807C2" w:rsidRDefault="003C10C9" w:rsidP="00CD4AFE">
            <w:pPr>
              <w:jc w:val="both"/>
              <w:rPr>
                <w:rFonts w:cstheme="minorHAnsi"/>
                <w:sz w:val="16"/>
                <w:szCs w:val="16"/>
              </w:rPr>
            </w:pPr>
            <w:r w:rsidRPr="001807C2">
              <w:rPr>
                <w:rFonts w:cstheme="minorHAnsi"/>
                <w:sz w:val="16"/>
                <w:szCs w:val="16"/>
              </w:rPr>
              <w:t>Polygon data</w:t>
            </w:r>
          </w:p>
        </w:tc>
      </w:tr>
      <w:tr w:rsidR="003C10C9" w:rsidRPr="001807C2" w14:paraId="3D45959A" w14:textId="77777777" w:rsidTr="001807C2">
        <w:trPr>
          <w:tblCellSpacing w:w="15" w:type="dxa"/>
        </w:trPr>
        <w:tc>
          <w:tcPr>
            <w:tcW w:w="5195" w:type="dxa"/>
            <w:vAlign w:val="center"/>
            <w:hideMark/>
          </w:tcPr>
          <w:p w14:paraId="22DCE331" w14:textId="77777777" w:rsidR="003C10C9" w:rsidRPr="001807C2" w:rsidRDefault="003C10C9" w:rsidP="00CD4AFE">
            <w:pPr>
              <w:jc w:val="both"/>
              <w:rPr>
                <w:rFonts w:cstheme="minorHAnsi"/>
                <w:sz w:val="16"/>
                <w:szCs w:val="16"/>
              </w:rPr>
            </w:pPr>
            <w:r w:rsidRPr="001807C2">
              <w:rPr>
                <w:rFonts w:cstheme="minorHAnsi"/>
                <w:sz w:val="16"/>
                <w:szCs w:val="16"/>
              </w:rPr>
              <w:t>Sanitary protection zones</w:t>
            </w:r>
          </w:p>
        </w:tc>
        <w:tc>
          <w:tcPr>
            <w:tcW w:w="3782" w:type="dxa"/>
            <w:vAlign w:val="center"/>
            <w:hideMark/>
          </w:tcPr>
          <w:p w14:paraId="0F049144" w14:textId="77777777" w:rsidR="003C10C9" w:rsidRPr="001807C2" w:rsidRDefault="003C10C9" w:rsidP="00CD4AFE">
            <w:pPr>
              <w:jc w:val="both"/>
              <w:rPr>
                <w:rFonts w:cstheme="minorHAnsi"/>
                <w:sz w:val="16"/>
                <w:szCs w:val="16"/>
              </w:rPr>
            </w:pPr>
            <w:r w:rsidRPr="001807C2">
              <w:rPr>
                <w:rFonts w:cstheme="minorHAnsi"/>
                <w:sz w:val="16"/>
                <w:szCs w:val="16"/>
              </w:rPr>
              <w:t>Polygon data</w:t>
            </w:r>
          </w:p>
        </w:tc>
      </w:tr>
      <w:tr w:rsidR="003C10C9" w:rsidRPr="001807C2" w14:paraId="75757D75" w14:textId="77777777" w:rsidTr="001807C2">
        <w:trPr>
          <w:tblCellSpacing w:w="15" w:type="dxa"/>
        </w:trPr>
        <w:tc>
          <w:tcPr>
            <w:tcW w:w="5195" w:type="dxa"/>
            <w:vAlign w:val="center"/>
            <w:hideMark/>
          </w:tcPr>
          <w:p w14:paraId="3188FBC1" w14:textId="77777777" w:rsidR="003C10C9" w:rsidRPr="001807C2" w:rsidRDefault="003C10C9" w:rsidP="00CD4AFE">
            <w:pPr>
              <w:jc w:val="both"/>
              <w:rPr>
                <w:rFonts w:cstheme="minorHAnsi"/>
                <w:sz w:val="16"/>
                <w:szCs w:val="16"/>
              </w:rPr>
            </w:pPr>
            <w:r w:rsidRPr="001807C2">
              <w:rPr>
                <w:rFonts w:cstheme="minorHAnsi"/>
                <w:sz w:val="16"/>
                <w:szCs w:val="16"/>
              </w:rPr>
              <w:t>Water supply springs</w:t>
            </w:r>
          </w:p>
        </w:tc>
        <w:tc>
          <w:tcPr>
            <w:tcW w:w="3782" w:type="dxa"/>
            <w:vAlign w:val="center"/>
            <w:hideMark/>
          </w:tcPr>
          <w:p w14:paraId="6F2EE78A" w14:textId="77777777" w:rsidR="003C10C9" w:rsidRPr="001807C2" w:rsidRDefault="003C10C9" w:rsidP="00CD4AFE">
            <w:pPr>
              <w:jc w:val="both"/>
              <w:rPr>
                <w:rFonts w:cstheme="minorHAnsi"/>
                <w:sz w:val="16"/>
                <w:szCs w:val="16"/>
              </w:rPr>
            </w:pPr>
            <w:r w:rsidRPr="001807C2">
              <w:rPr>
                <w:rFonts w:cstheme="minorHAnsi"/>
                <w:sz w:val="16"/>
                <w:szCs w:val="16"/>
              </w:rPr>
              <w:t>Point data</w:t>
            </w:r>
          </w:p>
        </w:tc>
      </w:tr>
      <w:tr w:rsidR="003C10C9" w:rsidRPr="001807C2" w14:paraId="0E8B289E" w14:textId="77777777" w:rsidTr="001807C2">
        <w:trPr>
          <w:tblCellSpacing w:w="15" w:type="dxa"/>
        </w:trPr>
        <w:tc>
          <w:tcPr>
            <w:tcW w:w="5195" w:type="dxa"/>
            <w:vAlign w:val="center"/>
            <w:hideMark/>
          </w:tcPr>
          <w:p w14:paraId="375AFA19" w14:textId="77777777" w:rsidR="003C10C9" w:rsidRPr="001807C2" w:rsidRDefault="003C10C9" w:rsidP="00CD4AFE">
            <w:pPr>
              <w:jc w:val="both"/>
              <w:rPr>
                <w:rFonts w:cstheme="minorHAnsi"/>
                <w:sz w:val="16"/>
                <w:szCs w:val="16"/>
              </w:rPr>
            </w:pPr>
            <w:r w:rsidRPr="001807C2">
              <w:rPr>
                <w:rFonts w:cstheme="minorHAnsi"/>
                <w:sz w:val="16"/>
                <w:szCs w:val="16"/>
              </w:rPr>
              <w:t>Springs</w:t>
            </w:r>
          </w:p>
        </w:tc>
        <w:tc>
          <w:tcPr>
            <w:tcW w:w="3782" w:type="dxa"/>
            <w:vAlign w:val="center"/>
            <w:hideMark/>
          </w:tcPr>
          <w:p w14:paraId="38397004" w14:textId="77777777" w:rsidR="003C10C9" w:rsidRPr="001807C2" w:rsidRDefault="003C10C9" w:rsidP="00CD4AFE">
            <w:pPr>
              <w:jc w:val="both"/>
              <w:rPr>
                <w:rFonts w:cstheme="minorHAnsi"/>
                <w:sz w:val="16"/>
                <w:szCs w:val="16"/>
              </w:rPr>
            </w:pPr>
            <w:r w:rsidRPr="001807C2">
              <w:rPr>
                <w:rFonts w:cstheme="minorHAnsi"/>
                <w:sz w:val="16"/>
                <w:szCs w:val="16"/>
              </w:rPr>
              <w:t>Point data</w:t>
            </w:r>
          </w:p>
        </w:tc>
      </w:tr>
      <w:tr w:rsidR="003C10C9" w:rsidRPr="001807C2" w14:paraId="5772C276" w14:textId="77777777" w:rsidTr="001807C2">
        <w:trPr>
          <w:tblCellSpacing w:w="15" w:type="dxa"/>
        </w:trPr>
        <w:tc>
          <w:tcPr>
            <w:tcW w:w="5195" w:type="dxa"/>
            <w:vAlign w:val="center"/>
            <w:hideMark/>
          </w:tcPr>
          <w:p w14:paraId="0BA1DCBD" w14:textId="77777777" w:rsidR="003C10C9" w:rsidRPr="001807C2" w:rsidRDefault="003C10C9" w:rsidP="00CD4AFE">
            <w:pPr>
              <w:jc w:val="both"/>
              <w:rPr>
                <w:rFonts w:cstheme="minorHAnsi"/>
                <w:sz w:val="16"/>
                <w:szCs w:val="16"/>
              </w:rPr>
            </w:pPr>
            <w:r w:rsidRPr="001807C2">
              <w:rPr>
                <w:rFonts w:cstheme="minorHAnsi"/>
                <w:sz w:val="16"/>
                <w:szCs w:val="16"/>
              </w:rPr>
              <w:t>Ponors</w:t>
            </w:r>
          </w:p>
        </w:tc>
        <w:tc>
          <w:tcPr>
            <w:tcW w:w="3782" w:type="dxa"/>
            <w:vAlign w:val="center"/>
            <w:hideMark/>
          </w:tcPr>
          <w:p w14:paraId="5B9DFFFF" w14:textId="77777777" w:rsidR="003C10C9" w:rsidRPr="001807C2" w:rsidRDefault="003C10C9" w:rsidP="00CD4AFE">
            <w:pPr>
              <w:jc w:val="both"/>
              <w:rPr>
                <w:rFonts w:cstheme="minorHAnsi"/>
                <w:sz w:val="16"/>
                <w:szCs w:val="16"/>
              </w:rPr>
            </w:pPr>
            <w:r w:rsidRPr="001807C2">
              <w:rPr>
                <w:rFonts w:cstheme="minorHAnsi"/>
                <w:sz w:val="16"/>
                <w:szCs w:val="16"/>
              </w:rPr>
              <w:t>Point data</w:t>
            </w:r>
          </w:p>
        </w:tc>
      </w:tr>
      <w:tr w:rsidR="003C10C9" w:rsidRPr="001807C2" w14:paraId="60CEB589" w14:textId="77777777" w:rsidTr="001807C2">
        <w:trPr>
          <w:tblCellSpacing w:w="15" w:type="dxa"/>
        </w:trPr>
        <w:tc>
          <w:tcPr>
            <w:tcW w:w="5195" w:type="dxa"/>
            <w:vAlign w:val="center"/>
            <w:hideMark/>
          </w:tcPr>
          <w:p w14:paraId="689B0720" w14:textId="77777777" w:rsidR="003C10C9" w:rsidRPr="001807C2" w:rsidRDefault="003C10C9" w:rsidP="00CD4AFE">
            <w:pPr>
              <w:jc w:val="both"/>
              <w:rPr>
                <w:rFonts w:cstheme="minorHAnsi"/>
                <w:sz w:val="16"/>
                <w:szCs w:val="16"/>
              </w:rPr>
            </w:pPr>
            <w:r w:rsidRPr="001807C2">
              <w:rPr>
                <w:rFonts w:cstheme="minorHAnsi"/>
                <w:sz w:val="16"/>
                <w:szCs w:val="16"/>
              </w:rPr>
              <w:t>Tracing tests (connections)</w:t>
            </w:r>
          </w:p>
        </w:tc>
        <w:tc>
          <w:tcPr>
            <w:tcW w:w="3782" w:type="dxa"/>
            <w:vAlign w:val="center"/>
            <w:hideMark/>
          </w:tcPr>
          <w:p w14:paraId="1E6D43CC" w14:textId="77777777" w:rsidR="003C10C9" w:rsidRPr="001807C2" w:rsidRDefault="003C10C9" w:rsidP="00CD4AFE">
            <w:pPr>
              <w:jc w:val="both"/>
              <w:rPr>
                <w:rFonts w:cstheme="minorHAnsi"/>
                <w:sz w:val="16"/>
                <w:szCs w:val="16"/>
              </w:rPr>
            </w:pPr>
            <w:r w:rsidRPr="001807C2">
              <w:rPr>
                <w:rFonts w:cstheme="minorHAnsi"/>
                <w:sz w:val="16"/>
                <w:szCs w:val="16"/>
              </w:rPr>
              <w:t>Line data</w:t>
            </w:r>
          </w:p>
        </w:tc>
      </w:tr>
      <w:tr w:rsidR="003C10C9" w:rsidRPr="001807C2" w14:paraId="0671CE34" w14:textId="77777777" w:rsidTr="001807C2">
        <w:trPr>
          <w:tblCellSpacing w:w="15" w:type="dxa"/>
        </w:trPr>
        <w:tc>
          <w:tcPr>
            <w:tcW w:w="5195" w:type="dxa"/>
            <w:vAlign w:val="center"/>
            <w:hideMark/>
          </w:tcPr>
          <w:p w14:paraId="75172D18" w14:textId="77777777" w:rsidR="003C10C9" w:rsidRPr="001807C2" w:rsidRDefault="003C10C9" w:rsidP="00CD4AFE">
            <w:pPr>
              <w:jc w:val="both"/>
              <w:rPr>
                <w:rFonts w:cstheme="minorHAnsi"/>
                <w:sz w:val="16"/>
                <w:szCs w:val="16"/>
              </w:rPr>
            </w:pPr>
            <w:r w:rsidRPr="001807C2">
              <w:rPr>
                <w:rFonts w:cstheme="minorHAnsi"/>
                <w:sz w:val="16"/>
                <w:szCs w:val="16"/>
              </w:rPr>
              <w:t>Meteorological stations</w:t>
            </w:r>
          </w:p>
        </w:tc>
        <w:tc>
          <w:tcPr>
            <w:tcW w:w="3782" w:type="dxa"/>
            <w:vAlign w:val="center"/>
            <w:hideMark/>
          </w:tcPr>
          <w:p w14:paraId="1529FA3E" w14:textId="77777777" w:rsidR="003C10C9" w:rsidRPr="001807C2" w:rsidRDefault="003C10C9" w:rsidP="00CD4AFE">
            <w:pPr>
              <w:jc w:val="both"/>
              <w:rPr>
                <w:rFonts w:cstheme="minorHAnsi"/>
                <w:sz w:val="16"/>
                <w:szCs w:val="16"/>
              </w:rPr>
            </w:pPr>
            <w:r w:rsidRPr="001807C2">
              <w:rPr>
                <w:rFonts w:cstheme="minorHAnsi"/>
                <w:sz w:val="16"/>
                <w:szCs w:val="16"/>
              </w:rPr>
              <w:t>Point data</w:t>
            </w:r>
          </w:p>
        </w:tc>
      </w:tr>
      <w:tr w:rsidR="003C10C9" w:rsidRPr="001807C2" w14:paraId="01BEC6BD" w14:textId="77777777" w:rsidTr="001807C2">
        <w:trPr>
          <w:tblCellSpacing w:w="15" w:type="dxa"/>
        </w:trPr>
        <w:tc>
          <w:tcPr>
            <w:tcW w:w="5195" w:type="dxa"/>
            <w:vAlign w:val="center"/>
            <w:hideMark/>
          </w:tcPr>
          <w:p w14:paraId="570064C6" w14:textId="77777777" w:rsidR="003C10C9" w:rsidRPr="001807C2" w:rsidRDefault="003C10C9" w:rsidP="00CD4AFE">
            <w:pPr>
              <w:jc w:val="both"/>
              <w:rPr>
                <w:rFonts w:cstheme="minorHAnsi"/>
                <w:sz w:val="16"/>
                <w:szCs w:val="16"/>
              </w:rPr>
            </w:pPr>
            <w:r w:rsidRPr="001807C2">
              <w:rPr>
                <w:rFonts w:cstheme="minorHAnsi"/>
                <w:sz w:val="16"/>
                <w:szCs w:val="16"/>
              </w:rPr>
              <w:t>Hydrological stations</w:t>
            </w:r>
          </w:p>
        </w:tc>
        <w:tc>
          <w:tcPr>
            <w:tcW w:w="3782" w:type="dxa"/>
            <w:vAlign w:val="center"/>
            <w:hideMark/>
          </w:tcPr>
          <w:p w14:paraId="4526EF7F" w14:textId="77777777" w:rsidR="003C10C9" w:rsidRPr="001807C2" w:rsidRDefault="003C10C9" w:rsidP="00CD4AFE">
            <w:pPr>
              <w:jc w:val="both"/>
              <w:rPr>
                <w:rFonts w:cstheme="minorHAnsi"/>
                <w:sz w:val="16"/>
                <w:szCs w:val="16"/>
              </w:rPr>
            </w:pPr>
            <w:r w:rsidRPr="001807C2">
              <w:rPr>
                <w:rFonts w:cstheme="minorHAnsi"/>
                <w:sz w:val="16"/>
                <w:szCs w:val="16"/>
              </w:rPr>
              <w:t>Point data</w:t>
            </w:r>
          </w:p>
        </w:tc>
      </w:tr>
      <w:tr w:rsidR="001807C2" w:rsidRPr="001807C2" w14:paraId="4BFE6B8B" w14:textId="77777777" w:rsidTr="001807C2">
        <w:trPr>
          <w:tblCellSpacing w:w="15" w:type="dxa"/>
        </w:trPr>
        <w:tc>
          <w:tcPr>
            <w:tcW w:w="9007" w:type="dxa"/>
            <w:gridSpan w:val="2"/>
            <w:shd w:val="clear" w:color="auto" w:fill="B4C6E7" w:themeFill="accent1" w:themeFillTint="66"/>
            <w:vAlign w:val="center"/>
            <w:hideMark/>
          </w:tcPr>
          <w:p w14:paraId="7FE33F40" w14:textId="1FF3DE0E" w:rsidR="001807C2" w:rsidRPr="001807C2" w:rsidRDefault="001807C2" w:rsidP="00CD4AFE">
            <w:pPr>
              <w:jc w:val="both"/>
              <w:rPr>
                <w:rFonts w:cstheme="minorHAnsi"/>
                <w:sz w:val="16"/>
                <w:szCs w:val="16"/>
              </w:rPr>
            </w:pPr>
            <w:r w:rsidRPr="001807C2">
              <w:rPr>
                <w:rFonts w:cstheme="minorHAnsi"/>
                <w:b/>
                <w:bCs/>
                <w:sz w:val="16"/>
                <w:szCs w:val="16"/>
              </w:rPr>
              <w:t>RBMP MONITORING</w:t>
            </w:r>
          </w:p>
        </w:tc>
      </w:tr>
      <w:tr w:rsidR="003C10C9" w:rsidRPr="001807C2" w14:paraId="6F19E7AA" w14:textId="77777777" w:rsidTr="001807C2">
        <w:trPr>
          <w:tblCellSpacing w:w="15" w:type="dxa"/>
        </w:trPr>
        <w:tc>
          <w:tcPr>
            <w:tcW w:w="5195" w:type="dxa"/>
            <w:vAlign w:val="center"/>
            <w:hideMark/>
          </w:tcPr>
          <w:p w14:paraId="7A707F8C" w14:textId="77777777" w:rsidR="003C10C9" w:rsidRPr="001807C2" w:rsidRDefault="003C10C9" w:rsidP="00CD4AFE">
            <w:pPr>
              <w:jc w:val="both"/>
              <w:rPr>
                <w:rFonts w:cstheme="minorHAnsi"/>
                <w:sz w:val="16"/>
                <w:szCs w:val="16"/>
              </w:rPr>
            </w:pPr>
            <w:r w:rsidRPr="001807C2">
              <w:rPr>
                <w:rFonts w:cstheme="minorHAnsi"/>
                <w:sz w:val="16"/>
                <w:szCs w:val="16"/>
              </w:rPr>
              <w:t>Surface water (chemical and ecological monitoring)</w:t>
            </w:r>
          </w:p>
        </w:tc>
        <w:tc>
          <w:tcPr>
            <w:tcW w:w="3782" w:type="dxa"/>
            <w:vAlign w:val="center"/>
            <w:hideMark/>
          </w:tcPr>
          <w:p w14:paraId="48DA05B6" w14:textId="77777777" w:rsidR="003C10C9" w:rsidRPr="001807C2" w:rsidRDefault="003C10C9" w:rsidP="00CD4AFE">
            <w:pPr>
              <w:jc w:val="both"/>
              <w:rPr>
                <w:rFonts w:cstheme="minorHAnsi"/>
                <w:sz w:val="16"/>
                <w:szCs w:val="16"/>
              </w:rPr>
            </w:pPr>
            <w:r w:rsidRPr="001807C2">
              <w:rPr>
                <w:rFonts w:cstheme="minorHAnsi"/>
                <w:sz w:val="16"/>
                <w:szCs w:val="16"/>
              </w:rPr>
              <w:t>Point data</w:t>
            </w:r>
          </w:p>
        </w:tc>
      </w:tr>
      <w:tr w:rsidR="003C10C9" w:rsidRPr="001807C2" w14:paraId="42EC3EFC" w14:textId="77777777" w:rsidTr="001807C2">
        <w:trPr>
          <w:tblCellSpacing w:w="15" w:type="dxa"/>
        </w:trPr>
        <w:tc>
          <w:tcPr>
            <w:tcW w:w="5195" w:type="dxa"/>
            <w:vAlign w:val="center"/>
            <w:hideMark/>
          </w:tcPr>
          <w:p w14:paraId="4FD948B6" w14:textId="77777777" w:rsidR="003C10C9" w:rsidRPr="001807C2" w:rsidRDefault="003C10C9" w:rsidP="00CD4AFE">
            <w:pPr>
              <w:jc w:val="both"/>
              <w:rPr>
                <w:rFonts w:cstheme="minorHAnsi"/>
                <w:sz w:val="16"/>
                <w:szCs w:val="16"/>
              </w:rPr>
            </w:pPr>
            <w:r w:rsidRPr="001807C2">
              <w:rPr>
                <w:rFonts w:cstheme="minorHAnsi"/>
                <w:sz w:val="16"/>
                <w:szCs w:val="16"/>
              </w:rPr>
              <w:t>Groundwater (chemical and quantitative monitoring)</w:t>
            </w:r>
          </w:p>
        </w:tc>
        <w:tc>
          <w:tcPr>
            <w:tcW w:w="3782" w:type="dxa"/>
            <w:vAlign w:val="center"/>
            <w:hideMark/>
          </w:tcPr>
          <w:p w14:paraId="5DC753F1" w14:textId="77777777" w:rsidR="003C10C9" w:rsidRPr="001807C2" w:rsidRDefault="003C10C9" w:rsidP="00CD4AFE">
            <w:pPr>
              <w:jc w:val="both"/>
              <w:rPr>
                <w:rFonts w:cstheme="minorHAnsi"/>
                <w:sz w:val="16"/>
                <w:szCs w:val="16"/>
              </w:rPr>
            </w:pPr>
            <w:r w:rsidRPr="001807C2">
              <w:rPr>
                <w:rFonts w:cstheme="minorHAnsi"/>
                <w:sz w:val="16"/>
                <w:szCs w:val="16"/>
              </w:rPr>
              <w:t>Point data</w:t>
            </w:r>
          </w:p>
        </w:tc>
      </w:tr>
      <w:tr w:rsidR="001807C2" w:rsidRPr="001807C2" w14:paraId="73A03BC1" w14:textId="77777777" w:rsidTr="001807C2">
        <w:trPr>
          <w:tblCellSpacing w:w="15" w:type="dxa"/>
        </w:trPr>
        <w:tc>
          <w:tcPr>
            <w:tcW w:w="9007" w:type="dxa"/>
            <w:gridSpan w:val="2"/>
            <w:shd w:val="clear" w:color="auto" w:fill="B4C6E7" w:themeFill="accent1" w:themeFillTint="66"/>
            <w:vAlign w:val="center"/>
            <w:hideMark/>
          </w:tcPr>
          <w:p w14:paraId="35EA2BD4" w14:textId="59F6A1B5" w:rsidR="001807C2" w:rsidRPr="001807C2" w:rsidRDefault="001807C2" w:rsidP="00CD4AFE">
            <w:pPr>
              <w:jc w:val="both"/>
              <w:rPr>
                <w:rFonts w:cstheme="minorHAnsi"/>
                <w:sz w:val="16"/>
                <w:szCs w:val="16"/>
              </w:rPr>
            </w:pPr>
            <w:r w:rsidRPr="001807C2">
              <w:rPr>
                <w:rFonts w:cstheme="minorHAnsi"/>
                <w:b/>
                <w:bCs/>
                <w:sz w:val="16"/>
                <w:szCs w:val="16"/>
              </w:rPr>
              <w:t>PRESSURES</w:t>
            </w:r>
          </w:p>
        </w:tc>
      </w:tr>
      <w:tr w:rsidR="003C10C9" w:rsidRPr="001807C2" w14:paraId="2BCF82F1" w14:textId="77777777" w:rsidTr="001807C2">
        <w:trPr>
          <w:tblCellSpacing w:w="15" w:type="dxa"/>
        </w:trPr>
        <w:tc>
          <w:tcPr>
            <w:tcW w:w="5195" w:type="dxa"/>
            <w:vAlign w:val="center"/>
            <w:hideMark/>
          </w:tcPr>
          <w:p w14:paraId="65214FDA" w14:textId="77777777" w:rsidR="003C10C9" w:rsidRPr="001807C2" w:rsidRDefault="003C10C9" w:rsidP="00CD4AFE">
            <w:pPr>
              <w:jc w:val="both"/>
              <w:rPr>
                <w:rFonts w:cstheme="minorHAnsi"/>
                <w:sz w:val="16"/>
                <w:szCs w:val="16"/>
              </w:rPr>
            </w:pPr>
            <w:r w:rsidRPr="001807C2">
              <w:rPr>
                <w:rFonts w:cstheme="minorHAnsi"/>
                <w:sz w:val="16"/>
                <w:szCs w:val="16"/>
              </w:rPr>
              <w:lastRenderedPageBreak/>
              <w:t>Administrative boundaries</w:t>
            </w:r>
          </w:p>
        </w:tc>
        <w:tc>
          <w:tcPr>
            <w:tcW w:w="3782" w:type="dxa"/>
            <w:vAlign w:val="center"/>
            <w:hideMark/>
          </w:tcPr>
          <w:p w14:paraId="4A013809" w14:textId="77777777" w:rsidR="003C10C9" w:rsidRPr="001807C2" w:rsidRDefault="003C10C9" w:rsidP="00CD4AFE">
            <w:pPr>
              <w:jc w:val="both"/>
              <w:rPr>
                <w:rFonts w:cstheme="minorHAnsi"/>
                <w:sz w:val="16"/>
                <w:szCs w:val="16"/>
              </w:rPr>
            </w:pPr>
            <w:r w:rsidRPr="001807C2">
              <w:rPr>
                <w:rFonts w:cstheme="minorHAnsi"/>
                <w:sz w:val="16"/>
                <w:szCs w:val="16"/>
              </w:rPr>
              <w:t>Polygon data</w:t>
            </w:r>
          </w:p>
        </w:tc>
      </w:tr>
      <w:tr w:rsidR="003C10C9" w:rsidRPr="001807C2" w14:paraId="667EAD0B" w14:textId="77777777" w:rsidTr="001807C2">
        <w:trPr>
          <w:tblCellSpacing w:w="15" w:type="dxa"/>
        </w:trPr>
        <w:tc>
          <w:tcPr>
            <w:tcW w:w="5195" w:type="dxa"/>
            <w:vAlign w:val="center"/>
            <w:hideMark/>
          </w:tcPr>
          <w:p w14:paraId="52DF30F0" w14:textId="77777777" w:rsidR="003C10C9" w:rsidRPr="001807C2" w:rsidRDefault="003C10C9" w:rsidP="00CD4AFE">
            <w:pPr>
              <w:jc w:val="both"/>
              <w:rPr>
                <w:rFonts w:cstheme="minorHAnsi"/>
                <w:sz w:val="16"/>
                <w:szCs w:val="16"/>
              </w:rPr>
            </w:pPr>
            <w:r w:rsidRPr="001807C2">
              <w:rPr>
                <w:rFonts w:cstheme="minorHAnsi"/>
                <w:sz w:val="16"/>
                <w:szCs w:val="16"/>
              </w:rPr>
              <w:t>CORINE 2018</w:t>
            </w:r>
          </w:p>
        </w:tc>
        <w:tc>
          <w:tcPr>
            <w:tcW w:w="3782" w:type="dxa"/>
            <w:vAlign w:val="center"/>
            <w:hideMark/>
          </w:tcPr>
          <w:p w14:paraId="57655BC6" w14:textId="77777777" w:rsidR="003C10C9" w:rsidRPr="001807C2" w:rsidRDefault="003C10C9" w:rsidP="00CD4AFE">
            <w:pPr>
              <w:jc w:val="both"/>
              <w:rPr>
                <w:rFonts w:cstheme="minorHAnsi"/>
                <w:sz w:val="16"/>
                <w:szCs w:val="16"/>
              </w:rPr>
            </w:pPr>
            <w:r w:rsidRPr="001807C2">
              <w:rPr>
                <w:rFonts w:cstheme="minorHAnsi"/>
                <w:sz w:val="16"/>
                <w:szCs w:val="16"/>
              </w:rPr>
              <w:t>Polygon/Raster</w:t>
            </w:r>
          </w:p>
        </w:tc>
      </w:tr>
      <w:tr w:rsidR="003C10C9" w:rsidRPr="001807C2" w14:paraId="41D48D25" w14:textId="77777777" w:rsidTr="001807C2">
        <w:trPr>
          <w:tblCellSpacing w:w="15" w:type="dxa"/>
        </w:trPr>
        <w:tc>
          <w:tcPr>
            <w:tcW w:w="5195" w:type="dxa"/>
            <w:vAlign w:val="center"/>
            <w:hideMark/>
          </w:tcPr>
          <w:p w14:paraId="24C17157" w14:textId="77777777" w:rsidR="003C10C9" w:rsidRPr="001807C2" w:rsidRDefault="003C10C9" w:rsidP="00CD4AFE">
            <w:pPr>
              <w:jc w:val="both"/>
              <w:rPr>
                <w:rFonts w:cstheme="minorHAnsi"/>
                <w:sz w:val="16"/>
                <w:szCs w:val="16"/>
              </w:rPr>
            </w:pPr>
            <w:r w:rsidRPr="001807C2">
              <w:rPr>
                <w:rFonts w:cstheme="minorHAnsi"/>
                <w:sz w:val="16"/>
                <w:szCs w:val="16"/>
              </w:rPr>
              <w:t>WWTP</w:t>
            </w:r>
          </w:p>
        </w:tc>
        <w:tc>
          <w:tcPr>
            <w:tcW w:w="3782" w:type="dxa"/>
            <w:vAlign w:val="center"/>
            <w:hideMark/>
          </w:tcPr>
          <w:p w14:paraId="2C25D120" w14:textId="77777777" w:rsidR="003C10C9" w:rsidRPr="001807C2" w:rsidRDefault="003C10C9" w:rsidP="00CD4AFE">
            <w:pPr>
              <w:jc w:val="both"/>
              <w:rPr>
                <w:rFonts w:cstheme="minorHAnsi"/>
                <w:sz w:val="16"/>
                <w:szCs w:val="16"/>
              </w:rPr>
            </w:pPr>
            <w:r w:rsidRPr="001807C2">
              <w:rPr>
                <w:rFonts w:cstheme="minorHAnsi"/>
                <w:sz w:val="16"/>
                <w:szCs w:val="16"/>
              </w:rPr>
              <w:t>Point data</w:t>
            </w:r>
          </w:p>
        </w:tc>
      </w:tr>
      <w:tr w:rsidR="003C10C9" w:rsidRPr="001807C2" w14:paraId="13ABD188" w14:textId="77777777" w:rsidTr="001807C2">
        <w:trPr>
          <w:tblCellSpacing w:w="15" w:type="dxa"/>
        </w:trPr>
        <w:tc>
          <w:tcPr>
            <w:tcW w:w="5195" w:type="dxa"/>
            <w:vAlign w:val="center"/>
            <w:hideMark/>
          </w:tcPr>
          <w:p w14:paraId="12379A16" w14:textId="77777777" w:rsidR="003C10C9" w:rsidRPr="001807C2" w:rsidRDefault="003C10C9" w:rsidP="00CD4AFE">
            <w:pPr>
              <w:jc w:val="both"/>
              <w:rPr>
                <w:rFonts w:cstheme="minorHAnsi"/>
                <w:sz w:val="16"/>
                <w:szCs w:val="16"/>
              </w:rPr>
            </w:pPr>
            <w:r w:rsidRPr="001807C2">
              <w:rPr>
                <w:rFonts w:cstheme="minorHAnsi"/>
                <w:sz w:val="16"/>
                <w:szCs w:val="16"/>
              </w:rPr>
              <w:t>Agglomerations</w:t>
            </w:r>
          </w:p>
        </w:tc>
        <w:tc>
          <w:tcPr>
            <w:tcW w:w="3782" w:type="dxa"/>
            <w:vAlign w:val="center"/>
            <w:hideMark/>
          </w:tcPr>
          <w:p w14:paraId="7A1F0911" w14:textId="77777777" w:rsidR="003C10C9" w:rsidRPr="001807C2" w:rsidRDefault="003C10C9" w:rsidP="00CD4AFE">
            <w:pPr>
              <w:jc w:val="both"/>
              <w:rPr>
                <w:rFonts w:cstheme="minorHAnsi"/>
                <w:sz w:val="16"/>
                <w:szCs w:val="16"/>
              </w:rPr>
            </w:pPr>
            <w:r w:rsidRPr="001807C2">
              <w:rPr>
                <w:rFonts w:cstheme="minorHAnsi"/>
                <w:sz w:val="16"/>
                <w:szCs w:val="16"/>
              </w:rPr>
              <w:t>Polygon data</w:t>
            </w:r>
          </w:p>
        </w:tc>
      </w:tr>
      <w:tr w:rsidR="003C10C9" w:rsidRPr="001807C2" w14:paraId="07EE24CB" w14:textId="77777777" w:rsidTr="001807C2">
        <w:trPr>
          <w:tblCellSpacing w:w="15" w:type="dxa"/>
        </w:trPr>
        <w:tc>
          <w:tcPr>
            <w:tcW w:w="5195" w:type="dxa"/>
            <w:vAlign w:val="center"/>
            <w:hideMark/>
          </w:tcPr>
          <w:p w14:paraId="419207BA" w14:textId="77777777" w:rsidR="003C10C9" w:rsidRPr="001807C2" w:rsidRDefault="003C10C9" w:rsidP="00CD4AFE">
            <w:pPr>
              <w:jc w:val="both"/>
              <w:rPr>
                <w:rFonts w:cstheme="minorHAnsi"/>
                <w:sz w:val="16"/>
                <w:szCs w:val="16"/>
              </w:rPr>
            </w:pPr>
            <w:r w:rsidRPr="001807C2">
              <w:rPr>
                <w:rFonts w:cstheme="minorHAnsi"/>
                <w:sz w:val="16"/>
                <w:szCs w:val="16"/>
              </w:rPr>
              <w:t>Industry</w:t>
            </w:r>
          </w:p>
        </w:tc>
        <w:tc>
          <w:tcPr>
            <w:tcW w:w="3782" w:type="dxa"/>
            <w:vAlign w:val="center"/>
            <w:hideMark/>
          </w:tcPr>
          <w:p w14:paraId="1A3F42B0" w14:textId="77777777" w:rsidR="003C10C9" w:rsidRPr="001807C2" w:rsidRDefault="003C10C9" w:rsidP="00CD4AFE">
            <w:pPr>
              <w:jc w:val="both"/>
              <w:rPr>
                <w:rFonts w:cstheme="minorHAnsi"/>
                <w:sz w:val="16"/>
                <w:szCs w:val="16"/>
              </w:rPr>
            </w:pPr>
            <w:r w:rsidRPr="001807C2">
              <w:rPr>
                <w:rFonts w:cstheme="minorHAnsi"/>
                <w:sz w:val="16"/>
                <w:szCs w:val="16"/>
              </w:rPr>
              <w:t>Point data</w:t>
            </w:r>
          </w:p>
        </w:tc>
      </w:tr>
      <w:tr w:rsidR="003C10C9" w:rsidRPr="001807C2" w14:paraId="03AE0DF0" w14:textId="77777777" w:rsidTr="001807C2">
        <w:trPr>
          <w:tblCellSpacing w:w="15" w:type="dxa"/>
        </w:trPr>
        <w:tc>
          <w:tcPr>
            <w:tcW w:w="5195" w:type="dxa"/>
            <w:vAlign w:val="center"/>
            <w:hideMark/>
          </w:tcPr>
          <w:p w14:paraId="560644D4" w14:textId="77777777" w:rsidR="003C10C9" w:rsidRPr="001807C2" w:rsidRDefault="003C10C9" w:rsidP="00CD4AFE">
            <w:pPr>
              <w:jc w:val="both"/>
              <w:rPr>
                <w:rFonts w:cstheme="minorHAnsi"/>
                <w:sz w:val="16"/>
                <w:szCs w:val="16"/>
              </w:rPr>
            </w:pPr>
            <w:r w:rsidRPr="001807C2">
              <w:rPr>
                <w:rFonts w:cstheme="minorHAnsi"/>
                <w:sz w:val="16"/>
                <w:szCs w:val="16"/>
              </w:rPr>
              <w:t>Waste disposal</w:t>
            </w:r>
          </w:p>
        </w:tc>
        <w:tc>
          <w:tcPr>
            <w:tcW w:w="3782" w:type="dxa"/>
            <w:vAlign w:val="center"/>
            <w:hideMark/>
          </w:tcPr>
          <w:p w14:paraId="498B64FD" w14:textId="77777777" w:rsidR="003C10C9" w:rsidRPr="001807C2" w:rsidRDefault="003C10C9" w:rsidP="00CD4AFE">
            <w:pPr>
              <w:jc w:val="both"/>
              <w:rPr>
                <w:rFonts w:cstheme="minorHAnsi"/>
                <w:sz w:val="16"/>
                <w:szCs w:val="16"/>
              </w:rPr>
            </w:pPr>
            <w:r w:rsidRPr="001807C2">
              <w:rPr>
                <w:rFonts w:cstheme="minorHAnsi"/>
                <w:sz w:val="16"/>
                <w:szCs w:val="16"/>
              </w:rPr>
              <w:t>Point data</w:t>
            </w:r>
          </w:p>
        </w:tc>
      </w:tr>
    </w:tbl>
    <w:p w14:paraId="1ED58DB4" w14:textId="77777777" w:rsidR="003C10C9" w:rsidRPr="001807C2" w:rsidRDefault="003C10C9" w:rsidP="003C10C9">
      <w:pPr>
        <w:rPr>
          <w:sz w:val="8"/>
          <w:szCs w:val="8"/>
        </w:rPr>
      </w:pPr>
    </w:p>
    <w:p w14:paraId="71879D6A" w14:textId="77777777" w:rsidR="003C10C9" w:rsidRDefault="003C10C9" w:rsidP="003C10C9"/>
    <w:p w14:paraId="5E253839" w14:textId="50A67A40" w:rsidR="00F115B1" w:rsidRPr="00F115B1" w:rsidRDefault="00F115B1" w:rsidP="00F115B1">
      <w:pPr>
        <w:pStyle w:val="Heading2"/>
        <w:rPr>
          <w:lang w:val="en-GB"/>
        </w:rPr>
      </w:pPr>
      <w:bookmarkStart w:id="148" w:name="_Toc229036243"/>
      <w:r w:rsidRPr="00F115B1">
        <w:rPr>
          <w:lang w:val="en-GB"/>
        </w:rPr>
        <w:t>7.3 Options for funding through EU and international programmes</w:t>
      </w:r>
      <w:bookmarkEnd w:id="148"/>
    </w:p>
    <w:p w14:paraId="54EAC649" w14:textId="560CA31A" w:rsidR="00F115B1" w:rsidRPr="00F356AE" w:rsidRDefault="00F115B1" w:rsidP="00F115B1">
      <w:pPr>
        <w:jc w:val="both"/>
      </w:pPr>
      <w:r w:rsidRPr="00F356AE">
        <w:t>The Joint Action Programme</w:t>
      </w:r>
      <w:r>
        <w:t xml:space="preserve"> (JAP)</w:t>
      </w:r>
      <w:r w:rsidRPr="00F356AE">
        <w:t xml:space="preserve"> for Neretva TBA is being developed in a context of different access to European Union funding instruments between Croatia, as an EU Member State, and Bosnia and Herzegovina, which currently holds the status of a candidate country for EU membership. These differences have direct implications for the selection, design and feasibility of funding pathways supporting groundwater protection, institutional strengthening and implementation of measures proposed under the JAP.</w:t>
      </w:r>
    </w:p>
    <w:p w14:paraId="4DC5C7B8" w14:textId="2057A567" w:rsidR="00F115B1" w:rsidRPr="0039215F" w:rsidRDefault="00F115B1" w:rsidP="00F115B1">
      <w:pPr>
        <w:pStyle w:val="Heading3"/>
        <w:rPr>
          <w:lang w:val="en-GB"/>
        </w:rPr>
      </w:pPr>
      <w:bookmarkStart w:id="149" w:name="_Toc229036244"/>
      <w:r w:rsidRPr="0039215F">
        <w:rPr>
          <w:lang w:val="en-GB"/>
        </w:rPr>
        <w:t>7.3.1 Funding instruments available to Croatia</w:t>
      </w:r>
      <w:bookmarkEnd w:id="149"/>
    </w:p>
    <w:p w14:paraId="378BB895" w14:textId="77777777" w:rsidR="00F115B1" w:rsidRPr="00F356AE" w:rsidRDefault="00F115B1" w:rsidP="00F115B1">
      <w:pPr>
        <w:jc w:val="both"/>
      </w:pPr>
      <w:r w:rsidRPr="00F356AE">
        <w:t>As a Member State of the European Union, Croatia has access to a broad range of EU funding instruments relevant to groundwater governance, environmental protection, agriculture, tourism development and waste and wastewater management. These include in particular:</w:t>
      </w:r>
    </w:p>
    <w:p w14:paraId="063504B3" w14:textId="4C50073C" w:rsidR="00F115B1" w:rsidRPr="00F356AE" w:rsidRDefault="00F115B1" w:rsidP="00F115B1">
      <w:pPr>
        <w:pStyle w:val="ListParagraph"/>
        <w:numPr>
          <w:ilvl w:val="0"/>
          <w:numId w:val="168"/>
        </w:numPr>
        <w:spacing w:after="200" w:line="276" w:lineRule="auto"/>
        <w:jc w:val="both"/>
      </w:pPr>
      <w:r w:rsidRPr="00F356AE">
        <w:t>EU Cohesion Policy Funds, notably the European Regional Development Fund (ERDF) and the Cohesion Fund, which support investments in wastewater collection and treatment, drinking-water protection, environmental monitoring infrastructure, data systems, risk prevention and institutional capacity building</w:t>
      </w:r>
      <w:r>
        <w:t>;</w:t>
      </w:r>
    </w:p>
    <w:p w14:paraId="3B01EEF7" w14:textId="68FED8E2" w:rsidR="00F115B1" w:rsidRPr="00F356AE" w:rsidRDefault="00F115B1" w:rsidP="00F115B1">
      <w:pPr>
        <w:pStyle w:val="ListParagraph"/>
        <w:numPr>
          <w:ilvl w:val="0"/>
          <w:numId w:val="168"/>
        </w:numPr>
        <w:spacing w:after="200" w:line="276" w:lineRule="auto"/>
        <w:jc w:val="both"/>
      </w:pPr>
      <w:r w:rsidRPr="00F356AE">
        <w:t>Common Agricultural Policy instruments, including the European Agricultural Fund for Rural Development (EAFRD), supporting measures related to sustainable land management, nutrient control, rural sanitation solutions and protection of water resources in agricultural areas</w:t>
      </w:r>
      <w:r>
        <w:t>;</w:t>
      </w:r>
    </w:p>
    <w:p w14:paraId="54394C73" w14:textId="2D9180C9" w:rsidR="00F115B1" w:rsidRPr="00F356AE" w:rsidRDefault="00F115B1" w:rsidP="00F115B1">
      <w:pPr>
        <w:pStyle w:val="ListParagraph"/>
        <w:numPr>
          <w:ilvl w:val="0"/>
          <w:numId w:val="168"/>
        </w:numPr>
        <w:spacing w:after="200" w:line="276" w:lineRule="auto"/>
        <w:jc w:val="both"/>
      </w:pPr>
      <w:r w:rsidRPr="00F356AE">
        <w:t xml:space="preserve">Recovery and Resilience Facility under </w:t>
      </w:r>
      <w:proofErr w:type="spellStart"/>
      <w:r w:rsidRPr="00F356AE">
        <w:t>NextGenerationEU</w:t>
      </w:r>
      <w:proofErr w:type="spellEnd"/>
      <w:r w:rsidRPr="00F356AE">
        <w:t>, accessed through Croatia's National Recovery and Resilience Plan, supporting time-limited investments in water infrastructure, digitalisation of monitoring systems and institutional reforms</w:t>
      </w:r>
      <w:r>
        <w:t>;</w:t>
      </w:r>
    </w:p>
    <w:p w14:paraId="1156A8E6" w14:textId="5A013126" w:rsidR="00F115B1" w:rsidRPr="00F115B1" w:rsidRDefault="00F115B1" w:rsidP="00F115B1">
      <w:pPr>
        <w:pStyle w:val="ListParagraph"/>
        <w:numPr>
          <w:ilvl w:val="0"/>
          <w:numId w:val="168"/>
        </w:numPr>
        <w:spacing w:after="200" w:line="276" w:lineRule="auto"/>
        <w:jc w:val="both"/>
      </w:pPr>
      <w:r w:rsidRPr="00F356AE">
        <w:t>EU sectoral programmes supporting tourism sustainability, nature protection and waste management.</w:t>
      </w:r>
    </w:p>
    <w:p w14:paraId="449A2A30" w14:textId="148A4645" w:rsidR="00F115B1" w:rsidRPr="0039215F" w:rsidRDefault="00F115B1" w:rsidP="00F115B1">
      <w:pPr>
        <w:pStyle w:val="Heading3"/>
        <w:rPr>
          <w:lang w:val="en-GB"/>
        </w:rPr>
      </w:pPr>
      <w:bookmarkStart w:id="150" w:name="_Toc229036245"/>
      <w:r w:rsidRPr="0039215F">
        <w:rPr>
          <w:lang w:val="en-GB"/>
        </w:rPr>
        <w:t>7.3.2 Funding instruments available to Bosnia and Herzegovina</w:t>
      </w:r>
      <w:bookmarkEnd w:id="150"/>
    </w:p>
    <w:p w14:paraId="69515AD6" w14:textId="77777777" w:rsidR="00F115B1" w:rsidRPr="00F356AE" w:rsidRDefault="00F115B1" w:rsidP="00F115B1">
      <w:pPr>
        <w:jc w:val="both"/>
      </w:pPr>
      <w:r w:rsidRPr="00F356AE">
        <w:t xml:space="preserve">Bosnia and Herzegovina does not have access to EU Cohesion Policy funds or </w:t>
      </w:r>
      <w:proofErr w:type="spellStart"/>
      <w:r w:rsidRPr="00F356AE">
        <w:t>NextGenerationEU</w:t>
      </w:r>
      <w:proofErr w:type="spellEnd"/>
      <w:r w:rsidRPr="00F356AE">
        <w:t xml:space="preserve"> instruments. Support is primarily provided through:</w:t>
      </w:r>
    </w:p>
    <w:p w14:paraId="7116B70E" w14:textId="17C53ADE" w:rsidR="00F115B1" w:rsidRPr="00F356AE" w:rsidRDefault="00F115B1" w:rsidP="00F115B1">
      <w:pPr>
        <w:pStyle w:val="ListParagraph"/>
        <w:numPr>
          <w:ilvl w:val="0"/>
          <w:numId w:val="169"/>
        </w:numPr>
        <w:spacing w:after="200" w:line="276" w:lineRule="auto"/>
        <w:jc w:val="both"/>
      </w:pPr>
      <w:r w:rsidRPr="00F356AE">
        <w:lastRenderedPageBreak/>
        <w:t>Instrument for Pre-Accession Assistance (IPA III), supporting reforms, capacity building, infrastructure investments and alignment with the EU acquis in the water and environment sectors</w:t>
      </w:r>
      <w:r>
        <w:t>;</w:t>
      </w:r>
    </w:p>
    <w:p w14:paraId="0F7982D5" w14:textId="5B2FA90D" w:rsidR="00F115B1" w:rsidRPr="00F356AE" w:rsidRDefault="00F115B1" w:rsidP="00F115B1">
      <w:pPr>
        <w:pStyle w:val="ListParagraph"/>
        <w:numPr>
          <w:ilvl w:val="0"/>
          <w:numId w:val="169"/>
        </w:numPr>
        <w:spacing w:after="200" w:line="276" w:lineRule="auto"/>
        <w:jc w:val="both"/>
      </w:pPr>
      <w:r w:rsidRPr="00F356AE">
        <w:t>Interreg cross-border and transnational cooperation programmes</w:t>
      </w:r>
      <w:r>
        <w:t>;</w:t>
      </w:r>
    </w:p>
    <w:p w14:paraId="439CEAD6" w14:textId="03EC511B" w:rsidR="00F115B1" w:rsidRPr="00F356AE" w:rsidRDefault="00F115B1" w:rsidP="00F115B1">
      <w:pPr>
        <w:pStyle w:val="ListParagraph"/>
        <w:numPr>
          <w:ilvl w:val="0"/>
          <w:numId w:val="169"/>
        </w:numPr>
        <w:spacing w:after="200" w:line="276" w:lineRule="auto"/>
        <w:jc w:val="both"/>
      </w:pPr>
      <w:r w:rsidRPr="00F356AE">
        <w:t>Western Balkans Investment Framework (WBIF), blending EU grants with loans from international financial institutions</w:t>
      </w:r>
      <w:r>
        <w:t>;</w:t>
      </w:r>
    </w:p>
    <w:p w14:paraId="75E9FC30" w14:textId="77777777" w:rsidR="00F115B1" w:rsidRPr="00F356AE" w:rsidRDefault="00F115B1" w:rsidP="00F115B1">
      <w:pPr>
        <w:pStyle w:val="ListParagraph"/>
        <w:numPr>
          <w:ilvl w:val="0"/>
          <w:numId w:val="169"/>
        </w:numPr>
        <w:spacing w:after="200" w:line="276" w:lineRule="auto"/>
        <w:jc w:val="both"/>
      </w:pPr>
      <w:r w:rsidRPr="00F356AE">
        <w:t>Financing provided by international financial institutions such as the European Investment Bank, European Bank for Reconstruction and Development and the World Bank.</w:t>
      </w:r>
    </w:p>
    <w:p w14:paraId="2C7CC595" w14:textId="22E84C8C" w:rsidR="00F115B1" w:rsidRPr="00B47247" w:rsidRDefault="00F115B1" w:rsidP="00F115B1">
      <w:pPr>
        <w:pStyle w:val="Heading3"/>
        <w:rPr>
          <w:lang w:val="en-GB"/>
        </w:rPr>
      </w:pPr>
      <w:bookmarkStart w:id="151" w:name="_Toc229036246"/>
      <w:r w:rsidRPr="00B47247">
        <w:rPr>
          <w:lang w:val="en-GB"/>
        </w:rPr>
        <w:t>7.3.3 Joint and internationally accessible funding opportunities</w:t>
      </w:r>
      <w:bookmarkEnd w:id="151"/>
    </w:p>
    <w:p w14:paraId="49B4C09E" w14:textId="77777777" w:rsidR="00F115B1" w:rsidRPr="00F356AE" w:rsidRDefault="00F115B1" w:rsidP="00F115B1">
      <w:pPr>
        <w:jc w:val="both"/>
      </w:pPr>
      <w:r w:rsidRPr="00F356AE">
        <w:t>Despite differences in EU funding access, both countries can jointly participate in Interreg programmes, Horizon Europe and international donor programmes supporting transboundary water governance, feasibility studies and institutional strengthening.</w:t>
      </w:r>
    </w:p>
    <w:p w14:paraId="6486F875" w14:textId="564518FB" w:rsidR="00F115B1" w:rsidRPr="00F356AE" w:rsidRDefault="00F115B1" w:rsidP="00F115B1">
      <w:pPr>
        <w:jc w:val="both"/>
      </w:pPr>
      <w:r w:rsidRPr="00F356AE">
        <w:t>In this differentiated funding context, a coherent reference framework is required to align project proposals with shared groundwater management priorities and ensure coordinated implementation of measures within Neretva TBA.</w:t>
      </w:r>
    </w:p>
    <w:p w14:paraId="4ADD9AE8" w14:textId="6BF54765" w:rsidR="00F115B1" w:rsidRPr="00F115B1" w:rsidRDefault="002F4776" w:rsidP="002F4776">
      <w:pPr>
        <w:pStyle w:val="Caption"/>
      </w:pPr>
      <w:bookmarkStart w:id="152" w:name="_Toc229037740"/>
      <w:r>
        <w:t xml:space="preserve">Table </w:t>
      </w:r>
      <w:r>
        <w:fldChar w:fldCharType="begin"/>
      </w:r>
      <w:r>
        <w:instrText xml:space="preserve"> SEQ Table \* ARABIC </w:instrText>
      </w:r>
      <w:r>
        <w:fldChar w:fldCharType="separate"/>
      </w:r>
      <w:r>
        <w:rPr>
          <w:noProof/>
        </w:rPr>
        <w:t>18</w:t>
      </w:r>
      <w:r>
        <w:fldChar w:fldCharType="end"/>
      </w:r>
      <w:r>
        <w:t xml:space="preserve"> </w:t>
      </w:r>
      <w:r w:rsidRPr="003E15DC">
        <w:t>Indicative overview of relevant funding instruments</w:t>
      </w:r>
      <w:bookmarkEnd w:id="152"/>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63"/>
        <w:gridCol w:w="1518"/>
        <w:gridCol w:w="2126"/>
        <w:gridCol w:w="3209"/>
      </w:tblGrid>
      <w:tr w:rsidR="00F115B1" w:rsidRPr="00F115B1" w14:paraId="5B4D8CAF" w14:textId="77777777" w:rsidTr="00F115B1">
        <w:trPr>
          <w:tblHeader/>
          <w:tblCellSpacing w:w="15" w:type="dxa"/>
          <w:jc w:val="center"/>
        </w:trPr>
        <w:tc>
          <w:tcPr>
            <w:tcW w:w="0" w:type="auto"/>
            <w:shd w:val="clear" w:color="auto" w:fill="B4C6E7" w:themeFill="accent1" w:themeFillTint="66"/>
            <w:vAlign w:val="center"/>
            <w:hideMark/>
          </w:tcPr>
          <w:p w14:paraId="328C816F" w14:textId="77777777" w:rsidR="00F115B1" w:rsidRPr="00F115B1" w:rsidRDefault="00F115B1" w:rsidP="00CD4AFE">
            <w:pPr>
              <w:jc w:val="both"/>
              <w:rPr>
                <w:b/>
                <w:bCs/>
                <w:sz w:val="16"/>
                <w:szCs w:val="16"/>
              </w:rPr>
            </w:pPr>
            <w:r w:rsidRPr="00F115B1">
              <w:rPr>
                <w:b/>
                <w:bCs/>
                <w:sz w:val="16"/>
                <w:szCs w:val="16"/>
              </w:rPr>
              <w:t>Funding instrument</w:t>
            </w:r>
          </w:p>
        </w:tc>
        <w:tc>
          <w:tcPr>
            <w:tcW w:w="1488" w:type="dxa"/>
            <w:shd w:val="clear" w:color="auto" w:fill="B4C6E7" w:themeFill="accent1" w:themeFillTint="66"/>
            <w:vAlign w:val="center"/>
            <w:hideMark/>
          </w:tcPr>
          <w:p w14:paraId="534E6048" w14:textId="77777777" w:rsidR="00F115B1" w:rsidRPr="00F115B1" w:rsidRDefault="00F115B1" w:rsidP="00CD4AFE">
            <w:pPr>
              <w:jc w:val="both"/>
              <w:rPr>
                <w:b/>
                <w:bCs/>
                <w:sz w:val="16"/>
                <w:szCs w:val="16"/>
              </w:rPr>
            </w:pPr>
            <w:r w:rsidRPr="00F115B1">
              <w:rPr>
                <w:b/>
                <w:bCs/>
                <w:sz w:val="16"/>
                <w:szCs w:val="16"/>
              </w:rPr>
              <w:t>Territorial eligibility</w:t>
            </w:r>
          </w:p>
        </w:tc>
        <w:tc>
          <w:tcPr>
            <w:tcW w:w="2096" w:type="dxa"/>
            <w:shd w:val="clear" w:color="auto" w:fill="B4C6E7" w:themeFill="accent1" w:themeFillTint="66"/>
            <w:vAlign w:val="center"/>
            <w:hideMark/>
          </w:tcPr>
          <w:p w14:paraId="00D085A6" w14:textId="77777777" w:rsidR="00F115B1" w:rsidRPr="00F115B1" w:rsidRDefault="00F115B1" w:rsidP="00CD4AFE">
            <w:pPr>
              <w:jc w:val="both"/>
              <w:rPr>
                <w:b/>
                <w:bCs/>
                <w:sz w:val="16"/>
                <w:szCs w:val="16"/>
              </w:rPr>
            </w:pPr>
            <w:r w:rsidRPr="00F115B1">
              <w:rPr>
                <w:b/>
                <w:bCs/>
                <w:sz w:val="16"/>
                <w:szCs w:val="16"/>
              </w:rPr>
              <w:t>Eligible actors</w:t>
            </w:r>
          </w:p>
        </w:tc>
        <w:tc>
          <w:tcPr>
            <w:tcW w:w="3164" w:type="dxa"/>
            <w:shd w:val="clear" w:color="auto" w:fill="B4C6E7" w:themeFill="accent1" w:themeFillTint="66"/>
            <w:vAlign w:val="center"/>
            <w:hideMark/>
          </w:tcPr>
          <w:p w14:paraId="5AA3DC76" w14:textId="77777777" w:rsidR="00F115B1" w:rsidRPr="00F115B1" w:rsidRDefault="00F115B1" w:rsidP="00CD4AFE">
            <w:pPr>
              <w:jc w:val="both"/>
              <w:rPr>
                <w:b/>
                <w:bCs/>
                <w:sz w:val="16"/>
                <w:szCs w:val="16"/>
              </w:rPr>
            </w:pPr>
            <w:r w:rsidRPr="00F115B1">
              <w:rPr>
                <w:b/>
                <w:bCs/>
                <w:sz w:val="16"/>
                <w:szCs w:val="16"/>
              </w:rPr>
              <w:t>Relevant focus areas for Neretva TBA</w:t>
            </w:r>
          </w:p>
        </w:tc>
      </w:tr>
      <w:tr w:rsidR="00F115B1" w:rsidRPr="00F115B1" w14:paraId="03C04618" w14:textId="77777777" w:rsidTr="00F115B1">
        <w:trPr>
          <w:tblCellSpacing w:w="15" w:type="dxa"/>
          <w:jc w:val="center"/>
        </w:trPr>
        <w:tc>
          <w:tcPr>
            <w:tcW w:w="0" w:type="auto"/>
            <w:vAlign w:val="center"/>
            <w:hideMark/>
          </w:tcPr>
          <w:p w14:paraId="491AF781" w14:textId="77777777" w:rsidR="00F115B1" w:rsidRPr="00F115B1" w:rsidRDefault="00F115B1" w:rsidP="00F115B1">
            <w:pPr>
              <w:rPr>
                <w:sz w:val="16"/>
                <w:szCs w:val="16"/>
              </w:rPr>
            </w:pPr>
            <w:r w:rsidRPr="00F115B1">
              <w:rPr>
                <w:sz w:val="16"/>
                <w:szCs w:val="16"/>
              </w:rPr>
              <w:t>EU Cohesion Policy Funds (ERDF, Cohesion Fund)</w:t>
            </w:r>
          </w:p>
        </w:tc>
        <w:tc>
          <w:tcPr>
            <w:tcW w:w="1488" w:type="dxa"/>
            <w:vAlign w:val="center"/>
            <w:hideMark/>
          </w:tcPr>
          <w:p w14:paraId="2A95F937" w14:textId="77777777" w:rsidR="00F115B1" w:rsidRPr="00F115B1" w:rsidRDefault="00F115B1" w:rsidP="00F115B1">
            <w:pPr>
              <w:rPr>
                <w:sz w:val="16"/>
                <w:szCs w:val="16"/>
              </w:rPr>
            </w:pPr>
            <w:r w:rsidRPr="00F115B1">
              <w:rPr>
                <w:sz w:val="16"/>
                <w:szCs w:val="16"/>
              </w:rPr>
              <w:t>Croatia only</w:t>
            </w:r>
          </w:p>
        </w:tc>
        <w:tc>
          <w:tcPr>
            <w:tcW w:w="2096" w:type="dxa"/>
            <w:vAlign w:val="center"/>
            <w:hideMark/>
          </w:tcPr>
          <w:p w14:paraId="5686754A" w14:textId="77777777" w:rsidR="00F115B1" w:rsidRPr="00F115B1" w:rsidRDefault="00F115B1" w:rsidP="00F115B1">
            <w:pPr>
              <w:rPr>
                <w:sz w:val="16"/>
                <w:szCs w:val="16"/>
              </w:rPr>
            </w:pPr>
            <w:r w:rsidRPr="00F115B1">
              <w:rPr>
                <w:sz w:val="16"/>
                <w:szCs w:val="16"/>
              </w:rPr>
              <w:t>National, regional and local authorities; public utilities</w:t>
            </w:r>
          </w:p>
        </w:tc>
        <w:tc>
          <w:tcPr>
            <w:tcW w:w="3164" w:type="dxa"/>
            <w:vAlign w:val="center"/>
            <w:hideMark/>
          </w:tcPr>
          <w:p w14:paraId="7F4E8E91" w14:textId="77777777" w:rsidR="00F115B1" w:rsidRPr="00F115B1" w:rsidRDefault="00F115B1" w:rsidP="00F115B1">
            <w:pPr>
              <w:rPr>
                <w:sz w:val="16"/>
                <w:szCs w:val="16"/>
              </w:rPr>
            </w:pPr>
            <w:r w:rsidRPr="00F115B1">
              <w:rPr>
                <w:sz w:val="16"/>
                <w:szCs w:val="16"/>
              </w:rPr>
              <w:t>Wastewater management, drinking-water protection, monitoring infrastructure, data systems, institutional capacity</w:t>
            </w:r>
          </w:p>
        </w:tc>
      </w:tr>
      <w:tr w:rsidR="00F115B1" w:rsidRPr="00F115B1" w14:paraId="7C47BE84" w14:textId="77777777" w:rsidTr="00F115B1">
        <w:trPr>
          <w:tblCellSpacing w:w="15" w:type="dxa"/>
          <w:jc w:val="center"/>
        </w:trPr>
        <w:tc>
          <w:tcPr>
            <w:tcW w:w="0" w:type="auto"/>
            <w:vAlign w:val="center"/>
            <w:hideMark/>
          </w:tcPr>
          <w:p w14:paraId="024DAC1D" w14:textId="77777777" w:rsidR="00F115B1" w:rsidRPr="00F115B1" w:rsidRDefault="00F115B1" w:rsidP="00F115B1">
            <w:pPr>
              <w:rPr>
                <w:sz w:val="16"/>
                <w:szCs w:val="16"/>
              </w:rPr>
            </w:pPr>
            <w:r w:rsidRPr="00F115B1">
              <w:rPr>
                <w:sz w:val="16"/>
                <w:szCs w:val="16"/>
              </w:rPr>
              <w:t>Common Agricultural Policy (EAFRD)</w:t>
            </w:r>
          </w:p>
        </w:tc>
        <w:tc>
          <w:tcPr>
            <w:tcW w:w="1488" w:type="dxa"/>
            <w:vAlign w:val="center"/>
            <w:hideMark/>
          </w:tcPr>
          <w:p w14:paraId="78D07A25" w14:textId="77777777" w:rsidR="00F115B1" w:rsidRPr="00F115B1" w:rsidRDefault="00F115B1" w:rsidP="00F115B1">
            <w:pPr>
              <w:rPr>
                <w:sz w:val="16"/>
                <w:szCs w:val="16"/>
              </w:rPr>
            </w:pPr>
            <w:r w:rsidRPr="00F115B1">
              <w:rPr>
                <w:sz w:val="16"/>
                <w:szCs w:val="16"/>
              </w:rPr>
              <w:t>Croatia only</w:t>
            </w:r>
          </w:p>
        </w:tc>
        <w:tc>
          <w:tcPr>
            <w:tcW w:w="2096" w:type="dxa"/>
            <w:vAlign w:val="center"/>
            <w:hideMark/>
          </w:tcPr>
          <w:p w14:paraId="70EAE4B0" w14:textId="77777777" w:rsidR="00F115B1" w:rsidRPr="00F115B1" w:rsidRDefault="00F115B1" w:rsidP="00F115B1">
            <w:pPr>
              <w:rPr>
                <w:sz w:val="16"/>
                <w:szCs w:val="16"/>
              </w:rPr>
            </w:pPr>
            <w:r w:rsidRPr="00F115B1">
              <w:rPr>
                <w:sz w:val="16"/>
                <w:szCs w:val="16"/>
              </w:rPr>
              <w:t>Public authorities; rural stakeholders</w:t>
            </w:r>
          </w:p>
        </w:tc>
        <w:tc>
          <w:tcPr>
            <w:tcW w:w="3164" w:type="dxa"/>
            <w:vAlign w:val="center"/>
            <w:hideMark/>
          </w:tcPr>
          <w:p w14:paraId="7E541F75" w14:textId="77777777" w:rsidR="00F115B1" w:rsidRPr="00F115B1" w:rsidRDefault="00F115B1" w:rsidP="00F115B1">
            <w:pPr>
              <w:rPr>
                <w:sz w:val="16"/>
                <w:szCs w:val="16"/>
              </w:rPr>
            </w:pPr>
            <w:r w:rsidRPr="00F115B1">
              <w:rPr>
                <w:sz w:val="16"/>
                <w:szCs w:val="16"/>
              </w:rPr>
              <w:t>Sustainable agriculture, nutrient management, rural sanitation, groundwater protection</w:t>
            </w:r>
          </w:p>
        </w:tc>
      </w:tr>
      <w:tr w:rsidR="00F115B1" w:rsidRPr="00F115B1" w14:paraId="53119F9C" w14:textId="77777777" w:rsidTr="00F115B1">
        <w:trPr>
          <w:tblCellSpacing w:w="15" w:type="dxa"/>
          <w:jc w:val="center"/>
        </w:trPr>
        <w:tc>
          <w:tcPr>
            <w:tcW w:w="0" w:type="auto"/>
            <w:vAlign w:val="center"/>
            <w:hideMark/>
          </w:tcPr>
          <w:p w14:paraId="6764C743" w14:textId="77777777" w:rsidR="00F115B1" w:rsidRPr="00F115B1" w:rsidRDefault="00F115B1" w:rsidP="00F115B1">
            <w:pPr>
              <w:rPr>
                <w:sz w:val="16"/>
                <w:szCs w:val="16"/>
              </w:rPr>
            </w:pPr>
            <w:proofErr w:type="spellStart"/>
            <w:r w:rsidRPr="00F115B1">
              <w:rPr>
                <w:sz w:val="16"/>
                <w:szCs w:val="16"/>
              </w:rPr>
              <w:t>NextGenerationEU</w:t>
            </w:r>
            <w:proofErr w:type="spellEnd"/>
            <w:r w:rsidRPr="00F115B1">
              <w:rPr>
                <w:sz w:val="16"/>
                <w:szCs w:val="16"/>
              </w:rPr>
              <w:t xml:space="preserve"> (RRF)</w:t>
            </w:r>
          </w:p>
        </w:tc>
        <w:tc>
          <w:tcPr>
            <w:tcW w:w="1488" w:type="dxa"/>
            <w:vAlign w:val="center"/>
            <w:hideMark/>
          </w:tcPr>
          <w:p w14:paraId="203D322E" w14:textId="77777777" w:rsidR="00F115B1" w:rsidRPr="00F115B1" w:rsidRDefault="00F115B1" w:rsidP="00F115B1">
            <w:pPr>
              <w:rPr>
                <w:sz w:val="16"/>
                <w:szCs w:val="16"/>
              </w:rPr>
            </w:pPr>
            <w:r w:rsidRPr="00F115B1">
              <w:rPr>
                <w:sz w:val="16"/>
                <w:szCs w:val="16"/>
              </w:rPr>
              <w:t>Croatia only</w:t>
            </w:r>
          </w:p>
        </w:tc>
        <w:tc>
          <w:tcPr>
            <w:tcW w:w="2096" w:type="dxa"/>
            <w:vAlign w:val="center"/>
            <w:hideMark/>
          </w:tcPr>
          <w:p w14:paraId="66BAC435" w14:textId="77777777" w:rsidR="00F115B1" w:rsidRPr="00F115B1" w:rsidRDefault="00F115B1" w:rsidP="00F115B1">
            <w:pPr>
              <w:rPr>
                <w:sz w:val="16"/>
                <w:szCs w:val="16"/>
              </w:rPr>
            </w:pPr>
            <w:r w:rsidRPr="00F115B1">
              <w:rPr>
                <w:sz w:val="16"/>
                <w:szCs w:val="16"/>
              </w:rPr>
              <w:t>National authorities; public utilities</w:t>
            </w:r>
          </w:p>
        </w:tc>
        <w:tc>
          <w:tcPr>
            <w:tcW w:w="3164" w:type="dxa"/>
            <w:vAlign w:val="center"/>
            <w:hideMark/>
          </w:tcPr>
          <w:p w14:paraId="2606199F" w14:textId="77777777" w:rsidR="00F115B1" w:rsidRPr="00F115B1" w:rsidRDefault="00F115B1" w:rsidP="00F115B1">
            <w:pPr>
              <w:rPr>
                <w:sz w:val="16"/>
                <w:szCs w:val="16"/>
              </w:rPr>
            </w:pPr>
            <w:r w:rsidRPr="00F115B1">
              <w:rPr>
                <w:sz w:val="16"/>
                <w:szCs w:val="16"/>
              </w:rPr>
              <w:t>Water infrastructure, digitalisation, monitoring systems, institutional reforms</w:t>
            </w:r>
          </w:p>
        </w:tc>
      </w:tr>
      <w:tr w:rsidR="00F115B1" w:rsidRPr="00F115B1" w14:paraId="1BD62845" w14:textId="77777777" w:rsidTr="00F115B1">
        <w:trPr>
          <w:tblCellSpacing w:w="15" w:type="dxa"/>
          <w:jc w:val="center"/>
        </w:trPr>
        <w:tc>
          <w:tcPr>
            <w:tcW w:w="0" w:type="auto"/>
            <w:vAlign w:val="center"/>
            <w:hideMark/>
          </w:tcPr>
          <w:p w14:paraId="6624FC03" w14:textId="77777777" w:rsidR="00F115B1" w:rsidRPr="00F115B1" w:rsidRDefault="00F115B1" w:rsidP="00F115B1">
            <w:pPr>
              <w:rPr>
                <w:sz w:val="16"/>
                <w:szCs w:val="16"/>
              </w:rPr>
            </w:pPr>
            <w:r w:rsidRPr="00F115B1">
              <w:rPr>
                <w:sz w:val="16"/>
                <w:szCs w:val="16"/>
              </w:rPr>
              <w:t>IPA III</w:t>
            </w:r>
          </w:p>
        </w:tc>
        <w:tc>
          <w:tcPr>
            <w:tcW w:w="1488" w:type="dxa"/>
            <w:vAlign w:val="center"/>
            <w:hideMark/>
          </w:tcPr>
          <w:p w14:paraId="33E4DED9" w14:textId="77777777" w:rsidR="00F115B1" w:rsidRPr="00F115B1" w:rsidRDefault="00F115B1" w:rsidP="00F115B1">
            <w:pPr>
              <w:rPr>
                <w:sz w:val="16"/>
                <w:szCs w:val="16"/>
              </w:rPr>
            </w:pPr>
            <w:r w:rsidRPr="00F115B1">
              <w:rPr>
                <w:sz w:val="16"/>
                <w:szCs w:val="16"/>
              </w:rPr>
              <w:t>Bosnia and Herzegovina</w:t>
            </w:r>
          </w:p>
        </w:tc>
        <w:tc>
          <w:tcPr>
            <w:tcW w:w="2096" w:type="dxa"/>
            <w:vAlign w:val="center"/>
            <w:hideMark/>
          </w:tcPr>
          <w:p w14:paraId="6E4609EA" w14:textId="77777777" w:rsidR="00F115B1" w:rsidRPr="00F115B1" w:rsidRDefault="00F115B1" w:rsidP="00F115B1">
            <w:pPr>
              <w:rPr>
                <w:sz w:val="16"/>
                <w:szCs w:val="16"/>
              </w:rPr>
            </w:pPr>
            <w:r w:rsidRPr="00F115B1">
              <w:rPr>
                <w:sz w:val="16"/>
                <w:szCs w:val="16"/>
              </w:rPr>
              <w:t>National and sub-national authorities; utilities</w:t>
            </w:r>
          </w:p>
        </w:tc>
        <w:tc>
          <w:tcPr>
            <w:tcW w:w="3164" w:type="dxa"/>
            <w:vAlign w:val="center"/>
            <w:hideMark/>
          </w:tcPr>
          <w:p w14:paraId="0FF7431B" w14:textId="77777777" w:rsidR="00F115B1" w:rsidRPr="00F115B1" w:rsidRDefault="00F115B1" w:rsidP="00F115B1">
            <w:pPr>
              <w:rPr>
                <w:sz w:val="16"/>
                <w:szCs w:val="16"/>
              </w:rPr>
            </w:pPr>
            <w:r w:rsidRPr="00F115B1">
              <w:rPr>
                <w:sz w:val="16"/>
                <w:szCs w:val="16"/>
              </w:rPr>
              <w:t>Water management, institutional strengthening, EU acquis alignment</w:t>
            </w:r>
          </w:p>
        </w:tc>
      </w:tr>
      <w:tr w:rsidR="00F115B1" w:rsidRPr="00F115B1" w14:paraId="6CDB646D" w14:textId="77777777" w:rsidTr="00F115B1">
        <w:trPr>
          <w:tblCellSpacing w:w="15" w:type="dxa"/>
          <w:jc w:val="center"/>
        </w:trPr>
        <w:tc>
          <w:tcPr>
            <w:tcW w:w="0" w:type="auto"/>
            <w:vAlign w:val="center"/>
            <w:hideMark/>
          </w:tcPr>
          <w:p w14:paraId="01D3A128" w14:textId="77777777" w:rsidR="00F115B1" w:rsidRPr="00F115B1" w:rsidRDefault="00F115B1" w:rsidP="00F115B1">
            <w:pPr>
              <w:rPr>
                <w:sz w:val="16"/>
                <w:szCs w:val="16"/>
              </w:rPr>
            </w:pPr>
            <w:r w:rsidRPr="00F115B1">
              <w:rPr>
                <w:sz w:val="16"/>
                <w:szCs w:val="16"/>
              </w:rPr>
              <w:t>Interreg Cross-Border and Transnational Programmes</w:t>
            </w:r>
          </w:p>
        </w:tc>
        <w:tc>
          <w:tcPr>
            <w:tcW w:w="1488" w:type="dxa"/>
            <w:vAlign w:val="center"/>
            <w:hideMark/>
          </w:tcPr>
          <w:p w14:paraId="2EDA36F3" w14:textId="77777777" w:rsidR="00F115B1" w:rsidRPr="00F115B1" w:rsidRDefault="00F115B1" w:rsidP="00F115B1">
            <w:pPr>
              <w:rPr>
                <w:sz w:val="16"/>
                <w:szCs w:val="16"/>
              </w:rPr>
            </w:pPr>
            <w:r w:rsidRPr="00F115B1">
              <w:rPr>
                <w:sz w:val="16"/>
                <w:szCs w:val="16"/>
              </w:rPr>
              <w:t>Croatia &amp; Bosnia and Herzegovina</w:t>
            </w:r>
          </w:p>
        </w:tc>
        <w:tc>
          <w:tcPr>
            <w:tcW w:w="2096" w:type="dxa"/>
            <w:vAlign w:val="center"/>
            <w:hideMark/>
          </w:tcPr>
          <w:p w14:paraId="047AE3B2" w14:textId="77777777" w:rsidR="00F115B1" w:rsidRPr="00F115B1" w:rsidRDefault="00F115B1" w:rsidP="00F115B1">
            <w:pPr>
              <w:rPr>
                <w:sz w:val="16"/>
                <w:szCs w:val="16"/>
              </w:rPr>
            </w:pPr>
            <w:r w:rsidRPr="00F115B1">
              <w:rPr>
                <w:sz w:val="16"/>
                <w:szCs w:val="16"/>
              </w:rPr>
              <w:t>Public authorities; utilities; protected areas; NGOs</w:t>
            </w:r>
          </w:p>
        </w:tc>
        <w:tc>
          <w:tcPr>
            <w:tcW w:w="3164" w:type="dxa"/>
            <w:vAlign w:val="center"/>
            <w:hideMark/>
          </w:tcPr>
          <w:p w14:paraId="797DDEDB" w14:textId="77777777" w:rsidR="00F115B1" w:rsidRPr="00F115B1" w:rsidRDefault="00F115B1" w:rsidP="00F115B1">
            <w:pPr>
              <w:rPr>
                <w:sz w:val="16"/>
                <w:szCs w:val="16"/>
              </w:rPr>
            </w:pPr>
            <w:r w:rsidRPr="00F115B1">
              <w:rPr>
                <w:sz w:val="16"/>
                <w:szCs w:val="16"/>
              </w:rPr>
              <w:t>Joint monitoring, data exchange, institutional coordination, stakeholder engagement</w:t>
            </w:r>
          </w:p>
        </w:tc>
      </w:tr>
      <w:tr w:rsidR="00F115B1" w:rsidRPr="00F115B1" w14:paraId="4CE4C23E" w14:textId="77777777" w:rsidTr="00F115B1">
        <w:trPr>
          <w:tblCellSpacing w:w="15" w:type="dxa"/>
          <w:jc w:val="center"/>
        </w:trPr>
        <w:tc>
          <w:tcPr>
            <w:tcW w:w="0" w:type="auto"/>
            <w:vAlign w:val="center"/>
            <w:hideMark/>
          </w:tcPr>
          <w:p w14:paraId="37A8A6F4" w14:textId="77777777" w:rsidR="00F115B1" w:rsidRPr="00F115B1" w:rsidRDefault="00F115B1" w:rsidP="00F115B1">
            <w:pPr>
              <w:rPr>
                <w:sz w:val="16"/>
                <w:szCs w:val="16"/>
              </w:rPr>
            </w:pPr>
            <w:r w:rsidRPr="00F115B1">
              <w:rPr>
                <w:sz w:val="16"/>
                <w:szCs w:val="16"/>
              </w:rPr>
              <w:t>Horizon Europe</w:t>
            </w:r>
          </w:p>
        </w:tc>
        <w:tc>
          <w:tcPr>
            <w:tcW w:w="1488" w:type="dxa"/>
            <w:vAlign w:val="center"/>
            <w:hideMark/>
          </w:tcPr>
          <w:p w14:paraId="5C19B422" w14:textId="77777777" w:rsidR="00F115B1" w:rsidRPr="00F115B1" w:rsidRDefault="00F115B1" w:rsidP="00F115B1">
            <w:pPr>
              <w:rPr>
                <w:sz w:val="16"/>
                <w:szCs w:val="16"/>
              </w:rPr>
            </w:pPr>
            <w:r w:rsidRPr="00F115B1">
              <w:rPr>
                <w:sz w:val="16"/>
                <w:szCs w:val="16"/>
              </w:rPr>
              <w:t>Croatia &amp; Bosnia and Herzegovina</w:t>
            </w:r>
          </w:p>
        </w:tc>
        <w:tc>
          <w:tcPr>
            <w:tcW w:w="2096" w:type="dxa"/>
            <w:vAlign w:val="center"/>
            <w:hideMark/>
          </w:tcPr>
          <w:p w14:paraId="61205FDB" w14:textId="77777777" w:rsidR="00F115B1" w:rsidRPr="00F115B1" w:rsidRDefault="00F115B1" w:rsidP="00F115B1">
            <w:pPr>
              <w:rPr>
                <w:sz w:val="16"/>
                <w:szCs w:val="16"/>
              </w:rPr>
            </w:pPr>
            <w:r w:rsidRPr="00F115B1">
              <w:rPr>
                <w:sz w:val="16"/>
                <w:szCs w:val="16"/>
              </w:rPr>
              <w:t>Research institutions; public authorities as partners</w:t>
            </w:r>
          </w:p>
        </w:tc>
        <w:tc>
          <w:tcPr>
            <w:tcW w:w="3164" w:type="dxa"/>
            <w:vAlign w:val="center"/>
            <w:hideMark/>
          </w:tcPr>
          <w:p w14:paraId="320A36CA" w14:textId="77777777" w:rsidR="00F115B1" w:rsidRPr="00F115B1" w:rsidRDefault="00F115B1" w:rsidP="00F115B1">
            <w:pPr>
              <w:rPr>
                <w:sz w:val="16"/>
                <w:szCs w:val="16"/>
              </w:rPr>
            </w:pPr>
            <w:r w:rsidRPr="00F115B1">
              <w:rPr>
                <w:sz w:val="16"/>
                <w:szCs w:val="16"/>
              </w:rPr>
              <w:t>Research, innovation, modelling, monitoring tools, groundwater governance</w:t>
            </w:r>
          </w:p>
        </w:tc>
      </w:tr>
      <w:tr w:rsidR="00F115B1" w:rsidRPr="00F115B1" w14:paraId="10968182" w14:textId="77777777" w:rsidTr="00F115B1">
        <w:trPr>
          <w:tblCellSpacing w:w="15" w:type="dxa"/>
          <w:jc w:val="center"/>
        </w:trPr>
        <w:tc>
          <w:tcPr>
            <w:tcW w:w="0" w:type="auto"/>
            <w:vAlign w:val="center"/>
            <w:hideMark/>
          </w:tcPr>
          <w:p w14:paraId="7EFC9CB6" w14:textId="77777777" w:rsidR="00F115B1" w:rsidRPr="00F115B1" w:rsidRDefault="00F115B1" w:rsidP="00F115B1">
            <w:pPr>
              <w:rPr>
                <w:sz w:val="16"/>
                <w:szCs w:val="16"/>
              </w:rPr>
            </w:pPr>
            <w:r w:rsidRPr="00F115B1">
              <w:rPr>
                <w:sz w:val="16"/>
                <w:szCs w:val="16"/>
              </w:rPr>
              <w:t>WBIF; EIB; EBRD; World Bank</w:t>
            </w:r>
          </w:p>
        </w:tc>
        <w:tc>
          <w:tcPr>
            <w:tcW w:w="1488" w:type="dxa"/>
            <w:vAlign w:val="center"/>
            <w:hideMark/>
          </w:tcPr>
          <w:p w14:paraId="3C14EA4D" w14:textId="77777777" w:rsidR="00F115B1" w:rsidRPr="00F115B1" w:rsidRDefault="00F115B1" w:rsidP="00F115B1">
            <w:pPr>
              <w:rPr>
                <w:sz w:val="16"/>
                <w:szCs w:val="16"/>
              </w:rPr>
            </w:pPr>
            <w:r w:rsidRPr="00F115B1">
              <w:rPr>
                <w:sz w:val="16"/>
                <w:szCs w:val="16"/>
              </w:rPr>
              <w:t>Croatia &amp; Bosnia and Herzegovina</w:t>
            </w:r>
          </w:p>
        </w:tc>
        <w:tc>
          <w:tcPr>
            <w:tcW w:w="2096" w:type="dxa"/>
            <w:vAlign w:val="center"/>
            <w:hideMark/>
          </w:tcPr>
          <w:p w14:paraId="096D734D" w14:textId="77777777" w:rsidR="00F115B1" w:rsidRPr="00F115B1" w:rsidRDefault="00F115B1" w:rsidP="00F115B1">
            <w:pPr>
              <w:rPr>
                <w:sz w:val="16"/>
                <w:szCs w:val="16"/>
              </w:rPr>
            </w:pPr>
            <w:r w:rsidRPr="00F115B1">
              <w:rPr>
                <w:sz w:val="16"/>
                <w:szCs w:val="16"/>
              </w:rPr>
              <w:t>National and sub-national authorities; utilities</w:t>
            </w:r>
          </w:p>
        </w:tc>
        <w:tc>
          <w:tcPr>
            <w:tcW w:w="3164" w:type="dxa"/>
            <w:vAlign w:val="center"/>
            <w:hideMark/>
          </w:tcPr>
          <w:p w14:paraId="46ED16F5" w14:textId="77777777" w:rsidR="00F115B1" w:rsidRPr="00F115B1" w:rsidRDefault="00F115B1" w:rsidP="00F115B1">
            <w:pPr>
              <w:rPr>
                <w:sz w:val="16"/>
                <w:szCs w:val="16"/>
              </w:rPr>
            </w:pPr>
            <w:r w:rsidRPr="00F115B1">
              <w:rPr>
                <w:sz w:val="16"/>
                <w:szCs w:val="16"/>
              </w:rPr>
              <w:t>Technical assistance, feasibility studies, infrastructure, transboundary coordination</w:t>
            </w:r>
          </w:p>
        </w:tc>
      </w:tr>
      <w:tr w:rsidR="00F115B1" w:rsidRPr="00F115B1" w14:paraId="4FA0B784" w14:textId="77777777" w:rsidTr="00F115B1">
        <w:trPr>
          <w:tblCellSpacing w:w="15" w:type="dxa"/>
          <w:jc w:val="center"/>
        </w:trPr>
        <w:tc>
          <w:tcPr>
            <w:tcW w:w="0" w:type="auto"/>
            <w:vAlign w:val="center"/>
            <w:hideMark/>
          </w:tcPr>
          <w:p w14:paraId="78F31D28" w14:textId="77777777" w:rsidR="00F115B1" w:rsidRPr="00F115B1" w:rsidRDefault="00F115B1" w:rsidP="00F115B1">
            <w:pPr>
              <w:rPr>
                <w:sz w:val="16"/>
                <w:szCs w:val="16"/>
              </w:rPr>
            </w:pPr>
            <w:r w:rsidRPr="00F115B1">
              <w:rPr>
                <w:sz w:val="16"/>
                <w:szCs w:val="16"/>
              </w:rPr>
              <w:t>International donors and foundations</w:t>
            </w:r>
          </w:p>
        </w:tc>
        <w:tc>
          <w:tcPr>
            <w:tcW w:w="1488" w:type="dxa"/>
            <w:vAlign w:val="center"/>
            <w:hideMark/>
          </w:tcPr>
          <w:p w14:paraId="21B28BEF" w14:textId="77777777" w:rsidR="00F115B1" w:rsidRPr="00F115B1" w:rsidRDefault="00F115B1" w:rsidP="00F115B1">
            <w:pPr>
              <w:rPr>
                <w:sz w:val="16"/>
                <w:szCs w:val="16"/>
              </w:rPr>
            </w:pPr>
            <w:r w:rsidRPr="00F115B1">
              <w:rPr>
                <w:sz w:val="16"/>
                <w:szCs w:val="16"/>
              </w:rPr>
              <w:t>Croatia &amp; Bosnia and Herzegovina</w:t>
            </w:r>
          </w:p>
        </w:tc>
        <w:tc>
          <w:tcPr>
            <w:tcW w:w="2096" w:type="dxa"/>
            <w:vAlign w:val="center"/>
            <w:hideMark/>
          </w:tcPr>
          <w:p w14:paraId="59AF01CD" w14:textId="77777777" w:rsidR="00F115B1" w:rsidRPr="00F115B1" w:rsidRDefault="00F115B1" w:rsidP="00F115B1">
            <w:pPr>
              <w:rPr>
                <w:sz w:val="16"/>
                <w:szCs w:val="16"/>
              </w:rPr>
            </w:pPr>
            <w:r w:rsidRPr="00F115B1">
              <w:rPr>
                <w:sz w:val="16"/>
                <w:szCs w:val="16"/>
              </w:rPr>
              <w:t>Public authorities; NGOs; research institutions</w:t>
            </w:r>
          </w:p>
        </w:tc>
        <w:tc>
          <w:tcPr>
            <w:tcW w:w="3164" w:type="dxa"/>
            <w:vAlign w:val="center"/>
            <w:hideMark/>
          </w:tcPr>
          <w:p w14:paraId="29E4F53C" w14:textId="77777777" w:rsidR="00F115B1" w:rsidRPr="00F115B1" w:rsidRDefault="00F115B1" w:rsidP="00F115B1">
            <w:pPr>
              <w:rPr>
                <w:sz w:val="16"/>
                <w:szCs w:val="16"/>
              </w:rPr>
            </w:pPr>
            <w:r w:rsidRPr="00F115B1">
              <w:rPr>
                <w:sz w:val="16"/>
                <w:szCs w:val="16"/>
              </w:rPr>
              <w:t>Pilot actions, capacity building, transboundary cooperation</w:t>
            </w:r>
          </w:p>
        </w:tc>
      </w:tr>
    </w:tbl>
    <w:p w14:paraId="6FCAB094" w14:textId="77777777" w:rsidR="00F115B1" w:rsidRDefault="00F115B1" w:rsidP="00F115B1">
      <w:pPr>
        <w:jc w:val="both"/>
        <w:rPr>
          <w:b/>
          <w:bCs/>
        </w:rPr>
      </w:pPr>
    </w:p>
    <w:p w14:paraId="0619282F" w14:textId="7CADEA2F" w:rsidR="00F115B1" w:rsidRPr="00B47247" w:rsidRDefault="00F115B1" w:rsidP="00F115B1">
      <w:pPr>
        <w:pStyle w:val="Heading3"/>
        <w:rPr>
          <w:lang w:val="en-GB"/>
        </w:rPr>
      </w:pPr>
      <w:bookmarkStart w:id="153" w:name="_Toc229036247"/>
      <w:r w:rsidRPr="00B47247">
        <w:rPr>
          <w:lang w:val="en-GB"/>
        </w:rPr>
        <w:t>7.3.4 Indicative funding needs for Neretva TBA Joint Action Programme</w:t>
      </w:r>
      <w:bookmarkEnd w:id="153"/>
    </w:p>
    <w:p w14:paraId="0E27552A" w14:textId="77777777" w:rsidR="00F115B1" w:rsidRPr="00F356AE" w:rsidRDefault="00F115B1" w:rsidP="00F115B1">
      <w:pPr>
        <w:jc w:val="both"/>
      </w:pPr>
      <w:r w:rsidRPr="00F356AE">
        <w:t>The funding priorities below reflect the main action areas identified through the DIKTAS II diagnostic analysis. The listed projects are illustrative and do not constitute a final or exhaustive list.</w:t>
      </w:r>
    </w:p>
    <w:p w14:paraId="15FAE7AE" w14:textId="23690479" w:rsidR="00F115B1" w:rsidRPr="00F356AE" w:rsidRDefault="00F115B1" w:rsidP="00F115B1">
      <w:pPr>
        <w:jc w:val="both"/>
      </w:pPr>
      <w:r w:rsidRPr="00F115B1">
        <w:rPr>
          <w:i/>
          <w:iCs/>
        </w:rPr>
        <w:t>Priority 1: Infrastructure – Critical</w:t>
      </w:r>
      <w:r>
        <w:t>:</w:t>
      </w:r>
      <w:r w:rsidRPr="00F356AE">
        <w:t xml:space="preserve"> Septic system improvements in high-risk settlements in karst recharge zones within </w:t>
      </w:r>
      <w:proofErr w:type="spellStart"/>
      <w:r w:rsidRPr="00F356AE">
        <w:t>Ljubuški</w:t>
      </w:r>
      <w:proofErr w:type="spellEnd"/>
      <w:r w:rsidRPr="00F356AE">
        <w:t xml:space="preserve"> and the </w:t>
      </w:r>
      <w:proofErr w:type="spellStart"/>
      <w:r w:rsidRPr="00F356AE">
        <w:t>Imotski</w:t>
      </w:r>
      <w:proofErr w:type="spellEnd"/>
      <w:r w:rsidRPr="00F356AE">
        <w:t xml:space="preserve"> area, sewerage extension and wastewater treatment </w:t>
      </w:r>
      <w:r w:rsidRPr="00F356AE">
        <w:lastRenderedPageBreak/>
        <w:t>upgrades, and network loss reduction programmes for public water supply systems dependent on karst springs.</w:t>
      </w:r>
    </w:p>
    <w:p w14:paraId="5596B342" w14:textId="24EEC006" w:rsidR="00F115B1" w:rsidRPr="00F356AE" w:rsidRDefault="00F115B1" w:rsidP="00F115B1">
      <w:pPr>
        <w:jc w:val="both"/>
      </w:pPr>
      <w:r w:rsidRPr="00F115B1">
        <w:rPr>
          <w:i/>
          <w:iCs/>
        </w:rPr>
        <w:t>Priority 2: Monitoring and Data — Hig</w:t>
      </w:r>
      <w:r>
        <w:rPr>
          <w:i/>
          <w:iCs/>
        </w:rPr>
        <w:t>h:</w:t>
      </w:r>
      <w:r w:rsidRPr="00F356AE">
        <w:t xml:space="preserve"> Monitoring network expansion and standardisation, GIS platform development aligned with the DIKTAS II information-exchange mechanism, and joint water balance modelling. The strong agricultural footprint and rapid karst flow dynamics make continuous monitoring at key springs a particular priority.</w:t>
      </w:r>
    </w:p>
    <w:p w14:paraId="1167DBE6" w14:textId="5A9615CD" w:rsidR="00F115B1" w:rsidRPr="00F356AE" w:rsidRDefault="00F115B1" w:rsidP="00F115B1">
      <w:pPr>
        <w:jc w:val="both"/>
      </w:pPr>
      <w:r w:rsidRPr="00F115B1">
        <w:rPr>
          <w:i/>
          <w:iCs/>
        </w:rPr>
        <w:t xml:space="preserve">Priority 3: Institutional Strengthening </w:t>
      </w:r>
      <w:r>
        <w:rPr>
          <w:i/>
          <w:iCs/>
        </w:rPr>
        <w:t>–</w:t>
      </w:r>
      <w:r w:rsidRPr="00F115B1">
        <w:rPr>
          <w:i/>
          <w:iCs/>
        </w:rPr>
        <w:t xml:space="preserve"> Hig</w:t>
      </w:r>
      <w:r>
        <w:rPr>
          <w:i/>
          <w:iCs/>
        </w:rPr>
        <w:t>h:</w:t>
      </w:r>
      <w:r w:rsidRPr="00F356AE">
        <w:t xml:space="preserve"> Capacity-building programmes for utilities and local authorities, harmonisation of data protocols between Croatian Waters and AVP Jadran, and stakeholder engagement actions, with particular attention to acute capacity constraints at AVP Jadran and cantonal level on the BiH side.</w:t>
      </w:r>
    </w:p>
    <w:p w14:paraId="586BAFC4" w14:textId="6FD883AA" w:rsidR="00F115B1" w:rsidRPr="00F356AE" w:rsidRDefault="00F115B1" w:rsidP="00F115B1">
      <w:pPr>
        <w:jc w:val="both"/>
      </w:pPr>
      <w:r w:rsidRPr="00F115B1">
        <w:rPr>
          <w:i/>
          <w:iCs/>
        </w:rPr>
        <w:t>Priority 4: Governance and Coordination — Medium-Hig</w:t>
      </w:r>
      <w:r>
        <w:rPr>
          <w:i/>
          <w:iCs/>
        </w:rPr>
        <w:t>h:</w:t>
      </w:r>
      <w:r w:rsidRPr="00F356AE">
        <w:t xml:space="preserve"> Operational support for JWMC activities, advancement of the bilateral addendum to the 1996 Agreement to include explicit groundwater </w:t>
      </w:r>
      <w:proofErr w:type="gramStart"/>
      <w:r w:rsidRPr="00F356AE">
        <w:t>provisions, and</w:t>
      </w:r>
      <w:proofErr w:type="gramEnd"/>
      <w:r w:rsidRPr="00F356AE">
        <w:t xml:space="preserve"> strengthening of emergency response capacity.</w:t>
      </w:r>
    </w:p>
    <w:p w14:paraId="3B0ADA23" w14:textId="12080640" w:rsidR="00F115B1" w:rsidRPr="00F356AE" w:rsidRDefault="00F115B1" w:rsidP="00F115B1">
      <w:pPr>
        <w:jc w:val="both"/>
      </w:pPr>
      <w:r w:rsidRPr="00F356AE">
        <w:t xml:space="preserve">Final selection and sequencing of priority projects should be jointly defined by the competent authorities of both countries, considering environmental urgency, technical feasibility, financial readiness and transboundary relevance. A jointly agreed multi-annual list of priority projects will provide the operational basis for coordinated funding applications and ensure coherent implementation of the Joint Action Programme </w:t>
      </w:r>
      <w:r>
        <w:t>for</w:t>
      </w:r>
      <w:r w:rsidRPr="00F356AE">
        <w:t xml:space="preserve"> Neretva TBA.</w:t>
      </w:r>
    </w:p>
    <w:p w14:paraId="2A5F31FB" w14:textId="625C399A" w:rsidR="00F115B1" w:rsidRPr="00F115B1" w:rsidRDefault="002F4776" w:rsidP="002F4776">
      <w:pPr>
        <w:pStyle w:val="Caption"/>
      </w:pPr>
      <w:bookmarkStart w:id="154" w:name="_Toc229037741"/>
      <w:r>
        <w:t xml:space="preserve">Table </w:t>
      </w:r>
      <w:r>
        <w:fldChar w:fldCharType="begin"/>
      </w:r>
      <w:r>
        <w:instrText xml:space="preserve"> SEQ Table \* ARABIC </w:instrText>
      </w:r>
      <w:r>
        <w:fldChar w:fldCharType="separate"/>
      </w:r>
      <w:r>
        <w:rPr>
          <w:noProof/>
        </w:rPr>
        <w:t>19</w:t>
      </w:r>
      <w:r>
        <w:fldChar w:fldCharType="end"/>
      </w:r>
      <w:r>
        <w:t xml:space="preserve"> </w:t>
      </w:r>
      <w:r w:rsidRPr="00DD0F81">
        <w:t>Indicative priority areas and strategic focus for Neretva TBA</w:t>
      </w:r>
      <w:bookmarkEnd w:id="154"/>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04"/>
        <w:gridCol w:w="2036"/>
        <w:gridCol w:w="3346"/>
        <w:gridCol w:w="1630"/>
      </w:tblGrid>
      <w:tr w:rsidR="00F115B1" w:rsidRPr="00F115B1" w14:paraId="09D2893B" w14:textId="77777777" w:rsidTr="00F115B1">
        <w:trPr>
          <w:tblHeader/>
          <w:tblCellSpacing w:w="15" w:type="dxa"/>
          <w:jc w:val="center"/>
        </w:trPr>
        <w:tc>
          <w:tcPr>
            <w:tcW w:w="0" w:type="auto"/>
            <w:shd w:val="clear" w:color="auto" w:fill="B4C6E7" w:themeFill="accent1" w:themeFillTint="66"/>
            <w:vAlign w:val="center"/>
            <w:hideMark/>
          </w:tcPr>
          <w:p w14:paraId="210D25AE" w14:textId="77777777" w:rsidR="00F115B1" w:rsidRPr="00F115B1" w:rsidRDefault="00F115B1" w:rsidP="00CD4AFE">
            <w:pPr>
              <w:jc w:val="both"/>
              <w:rPr>
                <w:b/>
                <w:bCs/>
                <w:sz w:val="16"/>
                <w:szCs w:val="16"/>
              </w:rPr>
            </w:pPr>
            <w:r w:rsidRPr="00F115B1">
              <w:rPr>
                <w:b/>
                <w:bCs/>
                <w:sz w:val="16"/>
                <w:szCs w:val="16"/>
              </w:rPr>
              <w:t>Priority Area</w:t>
            </w:r>
          </w:p>
        </w:tc>
        <w:tc>
          <w:tcPr>
            <w:tcW w:w="0" w:type="auto"/>
            <w:shd w:val="clear" w:color="auto" w:fill="B4C6E7" w:themeFill="accent1" w:themeFillTint="66"/>
            <w:vAlign w:val="center"/>
            <w:hideMark/>
          </w:tcPr>
          <w:p w14:paraId="106B403B" w14:textId="77777777" w:rsidR="00F115B1" w:rsidRPr="00F115B1" w:rsidRDefault="00F115B1" w:rsidP="00CD4AFE">
            <w:pPr>
              <w:jc w:val="both"/>
              <w:rPr>
                <w:b/>
                <w:bCs/>
                <w:sz w:val="16"/>
                <w:szCs w:val="16"/>
              </w:rPr>
            </w:pPr>
            <w:r w:rsidRPr="00F115B1">
              <w:rPr>
                <w:b/>
                <w:bCs/>
                <w:sz w:val="16"/>
                <w:szCs w:val="16"/>
              </w:rPr>
              <w:t>Strategic Focus</w:t>
            </w:r>
          </w:p>
        </w:tc>
        <w:tc>
          <w:tcPr>
            <w:tcW w:w="0" w:type="auto"/>
            <w:shd w:val="clear" w:color="auto" w:fill="B4C6E7" w:themeFill="accent1" w:themeFillTint="66"/>
            <w:vAlign w:val="center"/>
            <w:hideMark/>
          </w:tcPr>
          <w:p w14:paraId="7D8BDDDD" w14:textId="77777777" w:rsidR="00F115B1" w:rsidRPr="00F115B1" w:rsidRDefault="00F115B1" w:rsidP="00CD4AFE">
            <w:pPr>
              <w:jc w:val="both"/>
              <w:rPr>
                <w:b/>
                <w:bCs/>
                <w:sz w:val="16"/>
                <w:szCs w:val="16"/>
              </w:rPr>
            </w:pPr>
            <w:r w:rsidRPr="00F115B1">
              <w:rPr>
                <w:b/>
                <w:bCs/>
                <w:sz w:val="16"/>
                <w:szCs w:val="16"/>
              </w:rPr>
              <w:t>Key Indicative Actions</w:t>
            </w:r>
          </w:p>
        </w:tc>
        <w:tc>
          <w:tcPr>
            <w:tcW w:w="0" w:type="auto"/>
            <w:shd w:val="clear" w:color="auto" w:fill="B4C6E7" w:themeFill="accent1" w:themeFillTint="66"/>
            <w:vAlign w:val="center"/>
            <w:hideMark/>
          </w:tcPr>
          <w:p w14:paraId="79CB5D98" w14:textId="77777777" w:rsidR="00F115B1" w:rsidRPr="00F115B1" w:rsidRDefault="00F115B1" w:rsidP="00CD4AFE">
            <w:pPr>
              <w:jc w:val="both"/>
              <w:rPr>
                <w:b/>
                <w:bCs/>
                <w:sz w:val="16"/>
                <w:szCs w:val="16"/>
              </w:rPr>
            </w:pPr>
            <w:r w:rsidRPr="00F115B1">
              <w:rPr>
                <w:b/>
                <w:bCs/>
                <w:sz w:val="16"/>
                <w:szCs w:val="16"/>
              </w:rPr>
              <w:t>Implementation Scope</w:t>
            </w:r>
          </w:p>
        </w:tc>
      </w:tr>
      <w:tr w:rsidR="00F115B1" w:rsidRPr="00F115B1" w14:paraId="6997A41F" w14:textId="77777777" w:rsidTr="00CD4AFE">
        <w:trPr>
          <w:tblCellSpacing w:w="15" w:type="dxa"/>
          <w:jc w:val="center"/>
        </w:trPr>
        <w:tc>
          <w:tcPr>
            <w:tcW w:w="0" w:type="auto"/>
            <w:vAlign w:val="center"/>
            <w:hideMark/>
          </w:tcPr>
          <w:p w14:paraId="6CE75D65" w14:textId="77777777" w:rsidR="00F115B1" w:rsidRPr="00F115B1" w:rsidRDefault="00F115B1" w:rsidP="00F115B1">
            <w:pPr>
              <w:rPr>
                <w:sz w:val="16"/>
                <w:szCs w:val="16"/>
              </w:rPr>
            </w:pPr>
            <w:r w:rsidRPr="00F115B1">
              <w:rPr>
                <w:sz w:val="16"/>
                <w:szCs w:val="16"/>
              </w:rPr>
              <w:t>Priority 1: Infrastructure (Critical)</w:t>
            </w:r>
          </w:p>
        </w:tc>
        <w:tc>
          <w:tcPr>
            <w:tcW w:w="0" w:type="auto"/>
            <w:vAlign w:val="center"/>
            <w:hideMark/>
          </w:tcPr>
          <w:p w14:paraId="02F6D80B" w14:textId="77777777" w:rsidR="00F115B1" w:rsidRPr="00F115B1" w:rsidRDefault="00F115B1" w:rsidP="00F115B1">
            <w:pPr>
              <w:rPr>
                <w:sz w:val="16"/>
                <w:szCs w:val="16"/>
              </w:rPr>
            </w:pPr>
            <w:r w:rsidRPr="00F115B1">
              <w:rPr>
                <w:sz w:val="16"/>
                <w:szCs w:val="16"/>
              </w:rPr>
              <w:t>Reduction of groundwater pressures in recharge zones</w:t>
            </w:r>
          </w:p>
        </w:tc>
        <w:tc>
          <w:tcPr>
            <w:tcW w:w="0" w:type="auto"/>
            <w:vAlign w:val="center"/>
            <w:hideMark/>
          </w:tcPr>
          <w:p w14:paraId="52CAC449" w14:textId="77777777" w:rsidR="00F115B1" w:rsidRPr="00F115B1" w:rsidRDefault="00F115B1" w:rsidP="00F115B1">
            <w:pPr>
              <w:rPr>
                <w:sz w:val="16"/>
                <w:szCs w:val="16"/>
              </w:rPr>
            </w:pPr>
            <w:r w:rsidRPr="00F115B1">
              <w:rPr>
                <w:sz w:val="16"/>
                <w:szCs w:val="16"/>
              </w:rPr>
              <w:t xml:space="preserve">Septic upgrades in </w:t>
            </w:r>
            <w:proofErr w:type="spellStart"/>
            <w:r w:rsidRPr="00F115B1">
              <w:rPr>
                <w:sz w:val="16"/>
                <w:szCs w:val="16"/>
              </w:rPr>
              <w:t>Ljubuški</w:t>
            </w:r>
            <w:proofErr w:type="spellEnd"/>
            <w:r w:rsidRPr="00F115B1">
              <w:rPr>
                <w:sz w:val="16"/>
                <w:szCs w:val="16"/>
              </w:rPr>
              <w:t xml:space="preserve"> and </w:t>
            </w:r>
            <w:proofErr w:type="spellStart"/>
            <w:r w:rsidRPr="00F115B1">
              <w:rPr>
                <w:sz w:val="16"/>
                <w:szCs w:val="16"/>
              </w:rPr>
              <w:t>Imotski</w:t>
            </w:r>
            <w:proofErr w:type="spellEnd"/>
            <w:r w:rsidRPr="00F115B1">
              <w:rPr>
                <w:sz w:val="16"/>
                <w:szCs w:val="16"/>
              </w:rPr>
              <w:t xml:space="preserve"> (HR); sewerage extension; network loss reduction</w:t>
            </w:r>
          </w:p>
        </w:tc>
        <w:tc>
          <w:tcPr>
            <w:tcW w:w="0" w:type="auto"/>
            <w:vAlign w:val="center"/>
            <w:hideMark/>
          </w:tcPr>
          <w:p w14:paraId="47D8F764" w14:textId="77777777" w:rsidR="00F115B1" w:rsidRPr="00F115B1" w:rsidRDefault="00F115B1" w:rsidP="00F115B1">
            <w:pPr>
              <w:rPr>
                <w:sz w:val="16"/>
                <w:szCs w:val="16"/>
              </w:rPr>
            </w:pPr>
            <w:r w:rsidRPr="00F115B1">
              <w:rPr>
                <w:sz w:val="16"/>
                <w:szCs w:val="16"/>
              </w:rPr>
              <w:t>Croatia and Bosnia and Herzegovina</w:t>
            </w:r>
          </w:p>
        </w:tc>
      </w:tr>
      <w:tr w:rsidR="00F115B1" w:rsidRPr="00F115B1" w14:paraId="6D1FE0EC" w14:textId="77777777" w:rsidTr="00CD4AFE">
        <w:trPr>
          <w:tblCellSpacing w:w="15" w:type="dxa"/>
          <w:jc w:val="center"/>
        </w:trPr>
        <w:tc>
          <w:tcPr>
            <w:tcW w:w="0" w:type="auto"/>
            <w:vAlign w:val="center"/>
            <w:hideMark/>
          </w:tcPr>
          <w:p w14:paraId="79802F92" w14:textId="77777777" w:rsidR="00F115B1" w:rsidRPr="00F115B1" w:rsidRDefault="00F115B1" w:rsidP="00F115B1">
            <w:pPr>
              <w:rPr>
                <w:sz w:val="16"/>
                <w:szCs w:val="16"/>
              </w:rPr>
            </w:pPr>
            <w:r w:rsidRPr="00F115B1">
              <w:rPr>
                <w:sz w:val="16"/>
                <w:szCs w:val="16"/>
              </w:rPr>
              <w:t>Priority 2: Monitoring and Data (High)</w:t>
            </w:r>
          </w:p>
        </w:tc>
        <w:tc>
          <w:tcPr>
            <w:tcW w:w="0" w:type="auto"/>
            <w:vAlign w:val="center"/>
            <w:hideMark/>
          </w:tcPr>
          <w:p w14:paraId="45ADECF9" w14:textId="77777777" w:rsidR="00F115B1" w:rsidRPr="00F115B1" w:rsidRDefault="00F115B1" w:rsidP="00F115B1">
            <w:pPr>
              <w:rPr>
                <w:sz w:val="16"/>
                <w:szCs w:val="16"/>
              </w:rPr>
            </w:pPr>
            <w:r w:rsidRPr="00F115B1">
              <w:rPr>
                <w:sz w:val="16"/>
                <w:szCs w:val="16"/>
              </w:rPr>
              <w:t>Implementation of joint data-sharing mechanism</w:t>
            </w:r>
          </w:p>
        </w:tc>
        <w:tc>
          <w:tcPr>
            <w:tcW w:w="0" w:type="auto"/>
            <w:vAlign w:val="center"/>
            <w:hideMark/>
          </w:tcPr>
          <w:p w14:paraId="3C68ECE4" w14:textId="77777777" w:rsidR="00F115B1" w:rsidRPr="00F115B1" w:rsidRDefault="00F115B1" w:rsidP="00F115B1">
            <w:pPr>
              <w:rPr>
                <w:sz w:val="16"/>
                <w:szCs w:val="16"/>
              </w:rPr>
            </w:pPr>
            <w:r w:rsidRPr="00F115B1">
              <w:rPr>
                <w:sz w:val="16"/>
                <w:szCs w:val="16"/>
              </w:rPr>
              <w:t>Monitoring expansion at karst springs; GIS integration; agricultural diffuse-pressure surveillance; joint modelling</w:t>
            </w:r>
          </w:p>
        </w:tc>
        <w:tc>
          <w:tcPr>
            <w:tcW w:w="0" w:type="auto"/>
            <w:vAlign w:val="center"/>
            <w:hideMark/>
          </w:tcPr>
          <w:p w14:paraId="2054B7E7" w14:textId="77777777" w:rsidR="00F115B1" w:rsidRPr="00F115B1" w:rsidRDefault="00F115B1" w:rsidP="00F115B1">
            <w:pPr>
              <w:rPr>
                <w:sz w:val="16"/>
                <w:szCs w:val="16"/>
              </w:rPr>
            </w:pPr>
            <w:r w:rsidRPr="00F115B1">
              <w:rPr>
                <w:sz w:val="16"/>
                <w:szCs w:val="16"/>
              </w:rPr>
              <w:t>Joint</w:t>
            </w:r>
          </w:p>
        </w:tc>
      </w:tr>
      <w:tr w:rsidR="00F115B1" w:rsidRPr="00F115B1" w14:paraId="3B4940A3" w14:textId="77777777" w:rsidTr="00CD4AFE">
        <w:trPr>
          <w:tblCellSpacing w:w="15" w:type="dxa"/>
          <w:jc w:val="center"/>
        </w:trPr>
        <w:tc>
          <w:tcPr>
            <w:tcW w:w="0" w:type="auto"/>
            <w:vAlign w:val="center"/>
            <w:hideMark/>
          </w:tcPr>
          <w:p w14:paraId="7B04ACED" w14:textId="77777777" w:rsidR="00F115B1" w:rsidRPr="00F115B1" w:rsidRDefault="00F115B1" w:rsidP="00F115B1">
            <w:pPr>
              <w:rPr>
                <w:sz w:val="16"/>
                <w:szCs w:val="16"/>
              </w:rPr>
            </w:pPr>
            <w:r w:rsidRPr="00F115B1">
              <w:rPr>
                <w:sz w:val="16"/>
                <w:szCs w:val="16"/>
              </w:rPr>
              <w:t>Priority 3: Institutional Strengthening (High)</w:t>
            </w:r>
          </w:p>
        </w:tc>
        <w:tc>
          <w:tcPr>
            <w:tcW w:w="0" w:type="auto"/>
            <w:vAlign w:val="center"/>
            <w:hideMark/>
          </w:tcPr>
          <w:p w14:paraId="7D6AEF37" w14:textId="77777777" w:rsidR="00F115B1" w:rsidRPr="00F115B1" w:rsidRDefault="00F115B1" w:rsidP="00F115B1">
            <w:pPr>
              <w:rPr>
                <w:sz w:val="16"/>
                <w:szCs w:val="16"/>
              </w:rPr>
            </w:pPr>
            <w:r w:rsidRPr="00F115B1">
              <w:rPr>
                <w:sz w:val="16"/>
                <w:szCs w:val="16"/>
              </w:rPr>
              <w:t>Capacity reinforcement for groundwater governance</w:t>
            </w:r>
          </w:p>
        </w:tc>
        <w:tc>
          <w:tcPr>
            <w:tcW w:w="0" w:type="auto"/>
            <w:vAlign w:val="center"/>
            <w:hideMark/>
          </w:tcPr>
          <w:p w14:paraId="0A67F936" w14:textId="77777777" w:rsidR="00F115B1" w:rsidRPr="00F115B1" w:rsidRDefault="00F115B1" w:rsidP="00F115B1">
            <w:pPr>
              <w:rPr>
                <w:sz w:val="16"/>
                <w:szCs w:val="16"/>
              </w:rPr>
            </w:pPr>
            <w:r w:rsidRPr="00F115B1">
              <w:rPr>
                <w:sz w:val="16"/>
                <w:szCs w:val="16"/>
              </w:rPr>
              <w:t>Capacity building at AVP Jadran and cantonal level; data protocol harmonisation; stakeholder engagement</w:t>
            </w:r>
          </w:p>
        </w:tc>
        <w:tc>
          <w:tcPr>
            <w:tcW w:w="0" w:type="auto"/>
            <w:vAlign w:val="center"/>
            <w:hideMark/>
          </w:tcPr>
          <w:p w14:paraId="51D03334" w14:textId="77777777" w:rsidR="00F115B1" w:rsidRPr="00F115B1" w:rsidRDefault="00F115B1" w:rsidP="00F115B1">
            <w:pPr>
              <w:rPr>
                <w:sz w:val="16"/>
                <w:szCs w:val="16"/>
              </w:rPr>
            </w:pPr>
            <w:r w:rsidRPr="00F115B1">
              <w:rPr>
                <w:sz w:val="16"/>
                <w:szCs w:val="16"/>
              </w:rPr>
              <w:t>Joint</w:t>
            </w:r>
          </w:p>
        </w:tc>
      </w:tr>
      <w:tr w:rsidR="00F115B1" w:rsidRPr="00F115B1" w14:paraId="17C3B007" w14:textId="77777777" w:rsidTr="00CD4AFE">
        <w:trPr>
          <w:tblCellSpacing w:w="15" w:type="dxa"/>
          <w:jc w:val="center"/>
        </w:trPr>
        <w:tc>
          <w:tcPr>
            <w:tcW w:w="0" w:type="auto"/>
            <w:vAlign w:val="center"/>
            <w:hideMark/>
          </w:tcPr>
          <w:p w14:paraId="04417287" w14:textId="73C7C270" w:rsidR="00F115B1" w:rsidRPr="00F115B1" w:rsidRDefault="00F115B1" w:rsidP="00F115B1">
            <w:pPr>
              <w:rPr>
                <w:sz w:val="16"/>
                <w:szCs w:val="16"/>
              </w:rPr>
            </w:pPr>
            <w:r w:rsidRPr="00F115B1">
              <w:rPr>
                <w:sz w:val="16"/>
                <w:szCs w:val="16"/>
              </w:rPr>
              <w:t>Priority 4:</w:t>
            </w:r>
            <w:r>
              <w:rPr>
                <w:sz w:val="16"/>
                <w:szCs w:val="16"/>
              </w:rPr>
              <w:t xml:space="preserve"> </w:t>
            </w:r>
            <w:r w:rsidRPr="00F115B1">
              <w:rPr>
                <w:sz w:val="16"/>
                <w:szCs w:val="16"/>
              </w:rPr>
              <w:t>Governance and Coordination (Medium-High)</w:t>
            </w:r>
          </w:p>
        </w:tc>
        <w:tc>
          <w:tcPr>
            <w:tcW w:w="0" w:type="auto"/>
            <w:vAlign w:val="center"/>
            <w:hideMark/>
          </w:tcPr>
          <w:p w14:paraId="5DD35931" w14:textId="77777777" w:rsidR="00F115B1" w:rsidRPr="00F115B1" w:rsidRDefault="00F115B1" w:rsidP="00F115B1">
            <w:pPr>
              <w:rPr>
                <w:sz w:val="16"/>
                <w:szCs w:val="16"/>
              </w:rPr>
            </w:pPr>
            <w:r w:rsidRPr="00F115B1">
              <w:rPr>
                <w:sz w:val="16"/>
                <w:szCs w:val="16"/>
              </w:rPr>
              <w:t>Operational coordination and response readiness</w:t>
            </w:r>
          </w:p>
        </w:tc>
        <w:tc>
          <w:tcPr>
            <w:tcW w:w="0" w:type="auto"/>
            <w:vAlign w:val="center"/>
            <w:hideMark/>
          </w:tcPr>
          <w:p w14:paraId="101196D4" w14:textId="77777777" w:rsidR="00F115B1" w:rsidRPr="00F115B1" w:rsidRDefault="00F115B1" w:rsidP="00F115B1">
            <w:pPr>
              <w:rPr>
                <w:sz w:val="16"/>
                <w:szCs w:val="16"/>
              </w:rPr>
            </w:pPr>
            <w:r w:rsidRPr="00F115B1">
              <w:rPr>
                <w:sz w:val="16"/>
                <w:szCs w:val="16"/>
              </w:rPr>
              <w:t>JWMC support; bilateral addendum advancement; emergency response strengthening</w:t>
            </w:r>
          </w:p>
        </w:tc>
        <w:tc>
          <w:tcPr>
            <w:tcW w:w="0" w:type="auto"/>
            <w:vAlign w:val="center"/>
            <w:hideMark/>
          </w:tcPr>
          <w:p w14:paraId="0DD3F752" w14:textId="77777777" w:rsidR="00F115B1" w:rsidRPr="00F115B1" w:rsidRDefault="00F115B1" w:rsidP="00F115B1">
            <w:pPr>
              <w:rPr>
                <w:sz w:val="16"/>
                <w:szCs w:val="16"/>
              </w:rPr>
            </w:pPr>
            <w:r w:rsidRPr="00F115B1">
              <w:rPr>
                <w:sz w:val="16"/>
                <w:szCs w:val="16"/>
              </w:rPr>
              <w:t>Joint</w:t>
            </w:r>
          </w:p>
        </w:tc>
      </w:tr>
    </w:tbl>
    <w:p w14:paraId="4E16DCE6" w14:textId="77777777" w:rsidR="00F115B1" w:rsidRPr="00F115B1" w:rsidRDefault="00F115B1" w:rsidP="003C10C9">
      <w:pPr>
        <w:rPr>
          <w:sz w:val="8"/>
          <w:szCs w:val="8"/>
        </w:rPr>
      </w:pPr>
    </w:p>
    <w:p w14:paraId="752AE08D" w14:textId="77777777" w:rsidR="00F115B1" w:rsidRPr="003C10C9" w:rsidRDefault="00F115B1" w:rsidP="003C10C9"/>
    <w:p w14:paraId="09D15452" w14:textId="21CD563E" w:rsidR="00C957AB" w:rsidRPr="00C957AB" w:rsidRDefault="00C957AB" w:rsidP="00C957AB">
      <w:pPr>
        <w:pStyle w:val="Heading2"/>
        <w:rPr>
          <w:lang w:val="en-GB"/>
        </w:rPr>
      </w:pPr>
      <w:bookmarkStart w:id="155" w:name="_Toc229036248"/>
      <w:r w:rsidRPr="00C957AB">
        <w:rPr>
          <w:lang w:val="en-GB"/>
        </w:rPr>
        <w:t>7.4 Strengthening institutional role and capacities</w:t>
      </w:r>
      <w:bookmarkEnd w:id="155"/>
    </w:p>
    <w:p w14:paraId="07404225" w14:textId="260FB025" w:rsidR="00C957AB" w:rsidRPr="00C957AB" w:rsidRDefault="00C957AB" w:rsidP="00C957AB">
      <w:pPr>
        <w:jc w:val="both"/>
      </w:pPr>
      <w:r w:rsidRPr="00C957AB">
        <w:t>Effective protection and sustainable management of groundwater in Neretva TBA depend on institutions across Bosnia and Herzegovina and Croatia being able to perform clearly defined roles and to coordinate effectively across sectors and administrative levels. Groundwater governance in the basin is shaped by strong hydrogeological interdependence combined with uneven institutional capacity, fragmented responsibilities, and clear asymmetries between upstream and downstream actors.</w:t>
      </w:r>
    </w:p>
    <w:p w14:paraId="47362AD5" w14:textId="77777777" w:rsidR="00C957AB" w:rsidRPr="00C957AB" w:rsidRDefault="00C957AB" w:rsidP="00C957AB">
      <w:pPr>
        <w:jc w:val="both"/>
      </w:pPr>
      <w:r w:rsidRPr="00C957AB">
        <w:t xml:space="preserve">Responsibilities relevant to groundwater governance are distributed across national, sub-national, and local institutions, covering water management, environmental protection, spatial planning, </w:t>
      </w:r>
      <w:r w:rsidRPr="00C957AB">
        <w:lastRenderedPageBreak/>
        <w:t>sanitation, agriculture, tourism, and energy. National institutions generally operate with established legal mandates, technical expertise, and monitoring capacity, particularly in relation to groundwater status assessment and regulatory oversight. However, the effectiveness of groundwater protection depends largely on implementation at sub-national and local levels, where many of the key pressures on the aquifer originate and where day-to-day decisions affecting groundwater are made.</w:t>
      </w:r>
    </w:p>
    <w:p w14:paraId="0415F95C" w14:textId="77777777" w:rsidR="00C957AB" w:rsidRPr="00C957AB" w:rsidRDefault="00C957AB" w:rsidP="00C957AB">
      <w:pPr>
        <w:jc w:val="both"/>
      </w:pPr>
      <w:r w:rsidRPr="00C957AB">
        <w:t>In Bosnia and Herzegovina, institutional arrangements are characterised by a high degree of fragmentation across entity, cantonal, and municipal levels. Responsibilities for water management, environmental protection, spatial planning, and energy are distributed across multiple institutions, often with overlapping mandates and limited operational coordination. This institutional complexity affects the consistency, predictability, and timeliness of groundwater protection measures, particularly in areas influenced by urban development, wastewater management, and hydropower operations. Coordination across sectors remains limited, and groundwater considerations are not always systematically integrated into decision-making processes related to land use, infrastructure development, or energy operations.</w:t>
      </w:r>
    </w:p>
    <w:p w14:paraId="5A0BF8F1" w14:textId="6E487367" w:rsidR="00C957AB" w:rsidRPr="00C957AB" w:rsidRDefault="00C957AB" w:rsidP="00C957AB">
      <w:pPr>
        <w:jc w:val="both"/>
      </w:pPr>
      <w:r w:rsidRPr="00C957AB">
        <w:t xml:space="preserve">In Croatia, institutional structures are more aligned with EU regulatory frameworks, including the Water Framework Directive and the Groundwater Directive, and are supported by stronger technical capacity at national level. Groundwater monitoring, abstraction control, and protection measures are generally implemented within a well-defined regulatory system. However, the downstream position of the Croatian part of the basin creates structural limitations. Local authorities and water utilities in the Lower Neretva Valley are highly dependent on groundwater resources for agriculture and local supply but have limited influence over upstream pressures generated in Bosnia and Herzegovina. This creates a structural imbalance in which downstream stakeholders are highly exposed to risks but have limited capacity to influence their drivers. </w:t>
      </w:r>
    </w:p>
    <w:p w14:paraId="185A0A13" w14:textId="77777777" w:rsidR="00C957AB" w:rsidRPr="00C957AB" w:rsidRDefault="00C957AB" w:rsidP="00C957AB">
      <w:pPr>
        <w:jc w:val="both"/>
      </w:pPr>
      <w:r w:rsidRPr="00C957AB">
        <w:t>Institutional cooperation between the two countries has so far been largely project-based and supported through informal exchanges between competent authorities. While these arrangements enable a certain level of information sharing and coordination, they do not provide a stable or systematic framework for joint monitoring, coordinated risk management, or aligned decision-making. Monitoring approaches, data formats, and reporting cycles are not fully harmonised, limiting comparability and reducing the effectiveness of joint assessments. As a result, institutional roles at key interfaces are not always clearly defined, responsibilities may overlap or remain unaddressed, and opportunities for joint prevention, early warning, and coordinated response are not fully realised.</w:t>
      </w:r>
    </w:p>
    <w:p w14:paraId="51412A2E" w14:textId="09D3F084" w:rsidR="00C957AB" w:rsidRPr="00C957AB" w:rsidRDefault="00C957AB" w:rsidP="00C957AB">
      <w:pPr>
        <w:jc w:val="both"/>
      </w:pPr>
      <w:r w:rsidRPr="00C957AB">
        <w:t>Under the Joint Action Program</w:t>
      </w:r>
      <w:r>
        <w:t>me</w:t>
      </w:r>
      <w:r w:rsidRPr="00C957AB">
        <w:t>, strengthening institutional roles and capacities focuses on improving coordination between existing institutions, clarifying responsibilities along the groundwater governance chain, and reinforcing capacity at the levels where pressures on the aquifer are generated. The approach is designed to build on existing institutional mandates and structures, avoiding the creation of new formal bodies, and ensuring that proposed measures remain practical, implementable, and sustainable in the long term.</w:t>
      </w:r>
    </w:p>
    <w:p w14:paraId="4BFC1827" w14:textId="77777777" w:rsidR="00C957AB" w:rsidRPr="00C957AB" w:rsidRDefault="00C957AB" w:rsidP="00C957AB">
      <w:pPr>
        <w:jc w:val="both"/>
      </w:pPr>
      <w:r w:rsidRPr="00C957AB">
        <w:t xml:space="preserve">A structured coordination function will be operationalised through existing national platforms and designated focal points in both countries. This function will support regular and structured technical exchange between institutions responsible for water management, environment, spatial planning, sanitation, agriculture, tourism, and energy. Coordination will focus on practical and operational issues, including interpretation of monitoring results, identification of emerging risks, planned developments in recharge areas, and management of seasonal pressures related to tourism and land </w:t>
      </w:r>
      <w:r w:rsidRPr="00C957AB">
        <w:lastRenderedPageBreak/>
        <w:t>use. By creating a more predictable and structured interaction between institutions, this function will help reduce fragmentation and improve consistency in decision-making.</w:t>
      </w:r>
    </w:p>
    <w:p w14:paraId="21376A29" w14:textId="0AF3C7E8" w:rsidR="00C957AB" w:rsidRPr="00C957AB" w:rsidRDefault="00C957AB" w:rsidP="00C957AB">
      <w:pPr>
        <w:jc w:val="both"/>
      </w:pPr>
      <w:r w:rsidRPr="00C957AB">
        <w:t>Clarification of institutional roles and interfaces represents a central component of capacity strengthening. Through targeted coordination sessions, supported by concise documentation, responsibilities related to groundwater monitoring, land-use planning, wastewater management, and emergency response will be more clearly defined. Attention will be given to interfaces between national authorities, sub-national administrations, municipalities, water utilities, and sectoral actors such as agriculture and hydropower, where gaps, overlaps, or inconsistencies are most evident. Clearer allocation of roles will reduce duplication, improve accountability, and support more effective implementation of groundwater protection measures.</w:t>
      </w:r>
    </w:p>
    <w:p w14:paraId="65F06023" w14:textId="77777777" w:rsidR="00C957AB" w:rsidRPr="00C957AB" w:rsidRDefault="00C957AB" w:rsidP="00C957AB">
      <w:pPr>
        <w:jc w:val="both"/>
      </w:pPr>
      <w:r w:rsidRPr="00C957AB">
        <w:t>Capacity strengthening efforts will prioritise sub-national and local authorities, as these institutions are essential for translating national policies and technical standards into effective on-the-ground action. Support will focus on practical implementation challenges, including the management and inspection of on-site sanitation systems, enforcement of groundwater protection zones in karst environments, integration of groundwater considerations into spatial and development planning, and coordination with tourism-related infrastructure and activities. Emphasis will be placed on applied learning, peer exchange, and the use of practical tools and guidance, ensuring that capacity strengthening is directly linked to real operational needs.</w:t>
      </w:r>
    </w:p>
    <w:p w14:paraId="51A5163A" w14:textId="77777777" w:rsidR="00C957AB" w:rsidRPr="00C957AB" w:rsidRDefault="00C957AB" w:rsidP="00C957AB">
      <w:pPr>
        <w:jc w:val="both"/>
      </w:pPr>
      <w:r w:rsidRPr="00C957AB">
        <w:t>Water utilities will be supported in strengthening their role beyond core supply and operational functions. Given their high dependency on groundwater resources and their access to operational data, utilities are well positioned to contribute to early warning systems, incident reporting, and cross-border communication. Strengthening their capacity to share data in a structured manner, participate in joint interpretation of monitoring results, and engage with land-use and environmental authorities will enhance their contribution to preventive groundwater management and risk reduction.</w:t>
      </w:r>
    </w:p>
    <w:p w14:paraId="45527E0B" w14:textId="16277E56" w:rsidR="00C957AB" w:rsidRPr="00C957AB" w:rsidRDefault="00C957AB" w:rsidP="00C957AB">
      <w:pPr>
        <w:jc w:val="both"/>
      </w:pPr>
      <w:r w:rsidRPr="00C957AB">
        <w:t>Given the importance of hydropower operations in the Neretva basin, improved coordination between water management authorities and energy sector actors is also required. Hydropower operations influence flow regimes, recharge dynamics, and groundwater–surface water interactions and therefore have implications for groundwater availability and behaviour across the basin. Integrating hydropower considerations into groundwater-related assessments and planning processes will improve the overall coherence of water management decisions and reduce unintended impacts.</w:t>
      </w:r>
    </w:p>
    <w:p w14:paraId="08BA5713" w14:textId="77777777" w:rsidR="00C957AB" w:rsidRPr="00C957AB" w:rsidRDefault="00C957AB" w:rsidP="00C957AB">
      <w:pPr>
        <w:jc w:val="both"/>
      </w:pPr>
      <w:r w:rsidRPr="00C957AB">
        <w:t>Groundwater monitoring practices will be strengthened through further alignment of key parameters, sampling frequency, and data formats across both countries. While monitoring responsibilities will remain with competent institutions, structured data exchange and joint interpretation of monitoring results will be facilitated through agreed mechanisms. This will enhance transparency, support shared understanding of groundwater conditions, and enable more consistent and evidence-based decision-making across borders.</w:t>
      </w:r>
    </w:p>
    <w:p w14:paraId="6FAB16AB" w14:textId="77777777" w:rsidR="00C957AB" w:rsidRPr="00C957AB" w:rsidRDefault="00C957AB" w:rsidP="00C957AB">
      <w:pPr>
        <w:jc w:val="both"/>
      </w:pPr>
      <w:r w:rsidRPr="00C957AB">
        <w:t>Institutional preparedness for groundwater-related incidents will be improved through the development and application of clear cross-border notification and response procedures. These procedures will define roles, responsibilities, and communication channels for water utilities, environmental authorities, municipalities, and other relevant actors in the event of contamination, accidental pollution, or abnormal groundwater behaviour. Clear and coordinated procedures will reduce response times, improve effectiveness of interventions, and strengthen public confidence in institutional action.</w:t>
      </w:r>
    </w:p>
    <w:p w14:paraId="6CB7721C" w14:textId="54E0D9EB" w:rsidR="00C957AB" w:rsidRDefault="00C957AB" w:rsidP="00C957AB">
      <w:pPr>
        <w:jc w:val="both"/>
      </w:pPr>
      <w:r>
        <w:lastRenderedPageBreak/>
        <w:t>S</w:t>
      </w:r>
      <w:r w:rsidRPr="00C957AB">
        <w:t>trengthening institutional roles and capacities under the Joint Action Program</w:t>
      </w:r>
      <w:r>
        <w:t>me</w:t>
      </w:r>
      <w:r w:rsidRPr="00C957AB">
        <w:t xml:space="preserve"> aims to ensure that institutions in both Bosnia and Herzegovina and Croatia can act in a coordinated, informed, and timely manner. By reinforcing existing structures, clarifying responsibilities, strengthening local implementation capacity, improving cross-sectoral coordination, and enhancing transboundary cooperation, the Program</w:t>
      </w:r>
      <w:r>
        <w:t>me</w:t>
      </w:r>
      <w:r w:rsidRPr="00C957AB">
        <w:t xml:space="preserve"> provides a practical and sustainable foundation for effective groundwater governance in Neretva TBA.</w:t>
      </w:r>
    </w:p>
    <w:p w14:paraId="2CD8945F" w14:textId="77777777" w:rsidR="00C957AB" w:rsidRDefault="00C957AB" w:rsidP="00C957AB">
      <w:pPr>
        <w:jc w:val="both"/>
      </w:pPr>
    </w:p>
    <w:p w14:paraId="66154637" w14:textId="3BA08E74" w:rsidR="008B1C34" w:rsidRPr="00B47247" w:rsidRDefault="008B1C34" w:rsidP="008B1C34">
      <w:pPr>
        <w:pStyle w:val="Heading2"/>
        <w:rPr>
          <w:lang w:val="en-GB"/>
        </w:rPr>
      </w:pPr>
      <w:bookmarkStart w:id="156" w:name="_Toc229036249"/>
      <w:r w:rsidRPr="00B47247">
        <w:rPr>
          <w:lang w:val="en-GB"/>
        </w:rPr>
        <w:t>7.5. Strengthening stakeholder engagement and public awareness</w:t>
      </w:r>
      <w:bookmarkEnd w:id="156"/>
      <w:r w:rsidRPr="00B47247">
        <w:rPr>
          <w:lang w:val="en-GB"/>
        </w:rPr>
        <w:t xml:space="preserve"> </w:t>
      </w:r>
    </w:p>
    <w:p w14:paraId="29BB4E4A" w14:textId="79476E69" w:rsidR="008B1C34" w:rsidRPr="008B1C34" w:rsidRDefault="008B1C34" w:rsidP="008B1C34">
      <w:pPr>
        <w:jc w:val="both"/>
        <w:rPr>
          <w:rFonts w:cstheme="minorHAnsi"/>
        </w:rPr>
      </w:pPr>
      <w:r>
        <w:rPr>
          <w:rFonts w:cstheme="minorHAnsi"/>
        </w:rPr>
        <w:t>M</w:t>
      </w:r>
      <w:r w:rsidRPr="008B1C34">
        <w:rPr>
          <w:rFonts w:cstheme="minorHAnsi"/>
        </w:rPr>
        <w:t xml:space="preserve">any of the key pressures on groundwater in </w:t>
      </w:r>
      <w:r>
        <w:rPr>
          <w:rFonts w:cstheme="minorHAnsi"/>
        </w:rPr>
        <w:t>Neretva TBA</w:t>
      </w:r>
      <w:r w:rsidRPr="008B1C34">
        <w:rPr>
          <w:rFonts w:cstheme="minorHAnsi"/>
        </w:rPr>
        <w:t xml:space="preserve"> are linked to everyday practices, sectoral activities, and local decision-making processes, which cannot be addressed through regulatory measures alone.</w:t>
      </w:r>
      <w:r>
        <w:rPr>
          <w:rFonts w:cstheme="minorHAnsi"/>
        </w:rPr>
        <w:t xml:space="preserve"> S</w:t>
      </w:r>
      <w:r w:rsidRPr="008B1C34">
        <w:rPr>
          <w:rFonts w:cstheme="minorHAnsi"/>
        </w:rPr>
        <w:t>takeholder engagement related to groundwater protection has so far been uneven and largely administrative in nature. While consultation and outreach activities exist, they are often fragmented across sectors and countries, and are not systematically focused on groundwater vulnerability, transboundary linkages, or shared responsibility for aquifer protection. Awareness of groundwater dynamics, particularly in karst environments, remains limited among several stakeholder groups, especially at local level and among small-scale economic users.</w:t>
      </w:r>
    </w:p>
    <w:p w14:paraId="11B7320B" w14:textId="3FB25299" w:rsidR="008B1C34" w:rsidRPr="008B1C34" w:rsidRDefault="008B1C34" w:rsidP="008B1C34">
      <w:pPr>
        <w:jc w:val="both"/>
        <w:rPr>
          <w:rFonts w:cstheme="minorHAnsi"/>
        </w:rPr>
      </w:pPr>
      <w:r w:rsidRPr="008B1C34">
        <w:rPr>
          <w:rFonts w:cstheme="minorHAnsi"/>
        </w:rPr>
        <w:t xml:space="preserve">Stakeholders relevant to groundwater governance in the basin include national and sub-national institutions, municipalities, water utilities, hydropower operators, agricultural users, tourism operators, protected area authorities, civil society organisations, and local communities. These groups differ significantly in their level of influence, their dependency on groundwater resources, and their capacity to engage. Stakeholders who are most dependent on groundwater, such as farmers and rural communities in downstream areas, often have limited influence over decision-making processes, while those generating significant pressures upstream may not fully recognise their impact on shared groundwater systems. </w:t>
      </w:r>
    </w:p>
    <w:p w14:paraId="3C079C93" w14:textId="1BE5686C" w:rsidR="008B1C34" w:rsidRPr="008B1C34" w:rsidRDefault="008B1C34" w:rsidP="008B1C34">
      <w:pPr>
        <w:jc w:val="both"/>
        <w:rPr>
          <w:rFonts w:cstheme="minorHAnsi"/>
        </w:rPr>
      </w:pPr>
      <w:r w:rsidRPr="008B1C34">
        <w:rPr>
          <w:rFonts w:cstheme="minorHAnsi"/>
        </w:rPr>
        <w:t>Under the Joint Action Program</w:t>
      </w:r>
      <w:r>
        <w:rPr>
          <w:rFonts w:cstheme="minorHAnsi"/>
        </w:rPr>
        <w:t>me</w:t>
      </w:r>
      <w:r w:rsidRPr="008B1C34">
        <w:rPr>
          <w:rFonts w:cstheme="minorHAnsi"/>
        </w:rPr>
        <w:t>, strengthening stakeholder engagement and public awareness focuses on creating structured, targeted, and practical engagement processes that are directly linked to groundwater risks and management priorities. The approach is designed to move beyond one-off consultations and general awareness campaigns, towards more continuous and issue-focused interaction with stakeholders whose actions are most relevant for groundwater protection.</w:t>
      </w:r>
    </w:p>
    <w:p w14:paraId="0B0E7F4F" w14:textId="77777777" w:rsidR="008B1C34" w:rsidRPr="008B1C34" w:rsidRDefault="008B1C34" w:rsidP="008B1C34">
      <w:pPr>
        <w:jc w:val="both"/>
        <w:rPr>
          <w:rFonts w:cstheme="minorHAnsi"/>
        </w:rPr>
      </w:pPr>
      <w:r w:rsidRPr="008B1C34">
        <w:rPr>
          <w:rFonts w:cstheme="minorHAnsi"/>
        </w:rPr>
        <w:t>Engagement activities will prioritise stakeholder groups with high dependency on groundwater and significant influence on groundwater conditions. This includes municipalities responsible for spatial planning and sanitation, water utilities managing abstraction and supply systems, agricultural users and cooperatives in the Lower Neretva Valley, tourism operators and protected area authorities managing seasonal pressures, and communities relying on on-site sanitation systems in both countries. Engagement formats will be adapted to the specific characteristics, capacities, and needs of these groups, ensuring that communication remains practical, accessible, and relevant.</w:t>
      </w:r>
    </w:p>
    <w:p w14:paraId="4636AD40" w14:textId="77777777" w:rsidR="008B1C34" w:rsidRPr="008B1C34" w:rsidRDefault="008B1C34" w:rsidP="008B1C34">
      <w:pPr>
        <w:jc w:val="both"/>
        <w:rPr>
          <w:rFonts w:cstheme="minorHAnsi"/>
        </w:rPr>
      </w:pPr>
      <w:r w:rsidRPr="008B1C34">
        <w:rPr>
          <w:rFonts w:cstheme="minorHAnsi"/>
        </w:rPr>
        <w:t>Municipalities and sub-national authorities will be engaged through targeted technical discussions, local clinics, and coordination meetings focused on practical implementation challenges. These engagements will support better understanding of groundwater vulnerability, clarify responsibilities at local level, and promote integration of groundwater considerations into spatial planning, permitting processes, and sanitation management. Engagement with local authorities will be closely linked to capacity strengthening efforts, ensuring that awareness is directly translated into improved implementation.</w:t>
      </w:r>
    </w:p>
    <w:p w14:paraId="3AA148E4" w14:textId="77777777" w:rsidR="008B1C34" w:rsidRPr="008B1C34" w:rsidRDefault="008B1C34" w:rsidP="008B1C34">
      <w:pPr>
        <w:jc w:val="both"/>
        <w:rPr>
          <w:rFonts w:cstheme="minorHAnsi"/>
        </w:rPr>
      </w:pPr>
      <w:r w:rsidRPr="008B1C34">
        <w:rPr>
          <w:rFonts w:cstheme="minorHAnsi"/>
        </w:rPr>
        <w:lastRenderedPageBreak/>
        <w:t>Water utilities will be engaged as both stakeholders and partners in groundwater protection. Given their high dependency on groundwater resources and their access to operational data, utilities are well positioned to contribute to awareness raising, early warning, and communication of risks. Engagement will focus on sharing monitoring results, improving communication with authorities and communities, and strengthening their role in cross-border coordination and risk management.</w:t>
      </w:r>
    </w:p>
    <w:p w14:paraId="58762818" w14:textId="77777777" w:rsidR="008B1C34" w:rsidRPr="008B1C34" w:rsidRDefault="008B1C34" w:rsidP="008B1C34">
      <w:pPr>
        <w:jc w:val="both"/>
        <w:rPr>
          <w:rFonts w:cstheme="minorHAnsi"/>
        </w:rPr>
      </w:pPr>
      <w:r w:rsidRPr="008B1C34">
        <w:rPr>
          <w:rFonts w:cstheme="minorHAnsi"/>
        </w:rPr>
        <w:t>Engagement with agricultural stakeholders will focus on promoting understanding of groundwater vulnerability in karst environments and encouraging the adoption of practices that reduce diffuse pollution and excessive abstraction. Given the strong economic dependence on groundwater in the agricultural sector, particularly in downstream areas, engagement will emphasise practical solutions, including efficient irrigation, improved nutrient management, and reduction of chemical inputs, supported by guidance and advisory services.</w:t>
      </w:r>
    </w:p>
    <w:p w14:paraId="47ED15AF" w14:textId="77777777" w:rsidR="008B1C34" w:rsidRPr="008B1C34" w:rsidRDefault="008B1C34" w:rsidP="008B1C34">
      <w:pPr>
        <w:jc w:val="both"/>
        <w:rPr>
          <w:rFonts w:cstheme="minorHAnsi"/>
        </w:rPr>
      </w:pPr>
      <w:r w:rsidRPr="008B1C34">
        <w:rPr>
          <w:rFonts w:cstheme="minorHAnsi"/>
        </w:rPr>
        <w:t>Tourism operators and protected area authorities will be engaged to address seasonal pressures on groundwater systems. Engagement will focus on improving water use efficiency, strengthening wastewater management practices, and promoting responsible behaviour among visitors. Protected areas and tourism facilities also provide important channels for communicating groundwater-related messages to a wider audience, linking groundwater protection to ecosystem health and long-term sustainability of tourism activities.</w:t>
      </w:r>
    </w:p>
    <w:p w14:paraId="6D65A2CD" w14:textId="77777777" w:rsidR="008B1C34" w:rsidRPr="008B1C34" w:rsidRDefault="008B1C34" w:rsidP="008B1C34">
      <w:pPr>
        <w:jc w:val="both"/>
        <w:rPr>
          <w:rFonts w:cstheme="minorHAnsi"/>
        </w:rPr>
      </w:pPr>
      <w:r w:rsidRPr="008B1C34">
        <w:rPr>
          <w:rFonts w:cstheme="minorHAnsi"/>
        </w:rPr>
        <w:t xml:space="preserve">Local communities will be engaged through simple and accessible awareness activities focused on everyday practices that affect groundwater, particularly sanitation, waste disposal, and land use. Engagement will prioritise practical messages and locally relevant examples, </w:t>
      </w:r>
      <w:proofErr w:type="gramStart"/>
      <w:r w:rsidRPr="008B1C34">
        <w:rPr>
          <w:rFonts w:cstheme="minorHAnsi"/>
        </w:rPr>
        <w:t>avoiding</w:t>
      </w:r>
      <w:proofErr w:type="gramEnd"/>
      <w:r w:rsidRPr="008B1C34">
        <w:rPr>
          <w:rFonts w:cstheme="minorHAnsi"/>
        </w:rPr>
        <w:t xml:space="preserve"> technical language and focusing on clear links between individual behaviour and groundwater impacts. Civil society organisations and community groups will play an important role in facilitating this engagement, acting as intermediaries between institutions and communities and supporting trust-building processes.</w:t>
      </w:r>
    </w:p>
    <w:p w14:paraId="6F239692" w14:textId="77777777" w:rsidR="008B1C34" w:rsidRPr="008B1C34" w:rsidRDefault="008B1C34" w:rsidP="008B1C34">
      <w:pPr>
        <w:jc w:val="both"/>
        <w:rPr>
          <w:rFonts w:cstheme="minorHAnsi"/>
        </w:rPr>
      </w:pPr>
      <w:r w:rsidRPr="008B1C34">
        <w:rPr>
          <w:rFonts w:cstheme="minorHAnsi"/>
        </w:rPr>
        <w:t xml:space="preserve">Public awareness activities will emphasise the shared nature of the aquifer, the rapid transmission of pollution in karst systems, and the link between upstream activities and downstream impacts. Messaging will be coordinated across borders to ensure consistency and </w:t>
      </w:r>
      <w:proofErr w:type="gramStart"/>
      <w:r w:rsidRPr="008B1C34">
        <w:rPr>
          <w:rFonts w:cstheme="minorHAnsi"/>
        </w:rPr>
        <w:t>credibility, and</w:t>
      </w:r>
      <w:proofErr w:type="gramEnd"/>
      <w:r w:rsidRPr="008B1C34">
        <w:rPr>
          <w:rFonts w:cstheme="minorHAnsi"/>
        </w:rPr>
        <w:t xml:space="preserve"> will be delivered through a combination of local communication channels, education initiatives, protected area outreach, and digital platforms where appropriate.</w:t>
      </w:r>
    </w:p>
    <w:p w14:paraId="435441DF" w14:textId="77777777" w:rsidR="008B1C34" w:rsidRPr="008B1C34" w:rsidRDefault="008B1C34" w:rsidP="008B1C34">
      <w:pPr>
        <w:jc w:val="both"/>
        <w:rPr>
          <w:rFonts w:cstheme="minorHAnsi"/>
        </w:rPr>
      </w:pPr>
      <w:r w:rsidRPr="008B1C34">
        <w:rPr>
          <w:rFonts w:cstheme="minorHAnsi"/>
        </w:rPr>
        <w:t>Transparency and feedback mechanisms are an integral part of stakeholder engagement. Stakeholders will be provided with access to information on groundwater conditions, risks, and planned measures through accessible and user-friendly formats. Opportunities for feedback will be ensured through consultations, local meetings, and communication channels that allow stakeholders to raise concerns and contribute local knowledge. Feedback collected through these processes will be used to refine engagement approaches and improve the effectiveness of measures over time.</w:t>
      </w:r>
    </w:p>
    <w:p w14:paraId="126FD1F8" w14:textId="4AC8053A" w:rsidR="008B1C34" w:rsidRPr="008B1C34" w:rsidRDefault="008B1C34" w:rsidP="008B1C34">
      <w:pPr>
        <w:jc w:val="both"/>
        <w:rPr>
          <w:rFonts w:cstheme="minorHAnsi"/>
        </w:rPr>
      </w:pPr>
      <w:r w:rsidRPr="008B1C34">
        <w:rPr>
          <w:rFonts w:cstheme="minorHAnsi"/>
        </w:rPr>
        <w:t>By strengthening stakeholder engagement and public awareness in a structured and targeted manner, the Joint Action Program</w:t>
      </w:r>
      <w:r>
        <w:rPr>
          <w:rFonts w:cstheme="minorHAnsi"/>
        </w:rPr>
        <w:t>me</w:t>
      </w:r>
      <w:r w:rsidRPr="008B1C34">
        <w:rPr>
          <w:rFonts w:cstheme="minorHAnsi"/>
        </w:rPr>
        <w:t xml:space="preserve"> aims to support behavioural change, enhance shared responsibility for groundwater protection, and complement institutional measures with informed and active stakeholder participation. This approach contributes to more effective, inclusive, and sustainable groundwater governance across Neretva TBA and supports long-term transboundary cooperation.</w:t>
      </w:r>
    </w:p>
    <w:p w14:paraId="099DCD35" w14:textId="77777777" w:rsidR="002F4776" w:rsidRDefault="002F4776" w:rsidP="008B1C34">
      <w:pPr>
        <w:rPr>
          <w:rFonts w:cstheme="minorHAnsi"/>
        </w:rPr>
      </w:pPr>
    </w:p>
    <w:p w14:paraId="02565F93" w14:textId="77777777" w:rsidR="002F4776" w:rsidRDefault="002F4776" w:rsidP="008B1C34">
      <w:pPr>
        <w:rPr>
          <w:rFonts w:cstheme="minorHAnsi"/>
        </w:rPr>
      </w:pPr>
    </w:p>
    <w:p w14:paraId="66D6D548" w14:textId="5745B8D3" w:rsidR="008B1C34" w:rsidRPr="008B1C34" w:rsidRDefault="002F4776" w:rsidP="002F4776">
      <w:pPr>
        <w:pStyle w:val="Caption"/>
        <w:rPr>
          <w:rFonts w:cstheme="minorHAnsi"/>
        </w:rPr>
      </w:pPr>
      <w:bookmarkStart w:id="157" w:name="_Toc229037742"/>
      <w:r>
        <w:lastRenderedPageBreak/>
        <w:t xml:space="preserve">Table </w:t>
      </w:r>
      <w:r>
        <w:fldChar w:fldCharType="begin"/>
      </w:r>
      <w:r>
        <w:instrText xml:space="preserve"> SEQ Table \* ARABIC </w:instrText>
      </w:r>
      <w:r>
        <w:fldChar w:fldCharType="separate"/>
      </w:r>
      <w:r>
        <w:rPr>
          <w:noProof/>
        </w:rPr>
        <w:t>20</w:t>
      </w:r>
      <w:r>
        <w:fldChar w:fldCharType="end"/>
      </w:r>
      <w:r>
        <w:t xml:space="preserve"> </w:t>
      </w:r>
      <w:r w:rsidRPr="00E9532B">
        <w:t>Overview of key stakeholders in groundwater governance in Neretva TBA</w:t>
      </w:r>
      <w:bookmarkEnd w:id="157"/>
    </w:p>
    <w:tbl>
      <w:tblPr>
        <w:tblW w:w="0" w:type="auto"/>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282"/>
        <w:gridCol w:w="1577"/>
        <w:gridCol w:w="1711"/>
        <w:gridCol w:w="1931"/>
        <w:gridCol w:w="2515"/>
      </w:tblGrid>
      <w:tr w:rsidR="008B1C34" w:rsidRPr="008B1C34" w14:paraId="11D4C698" w14:textId="77777777" w:rsidTr="00046B81">
        <w:trPr>
          <w:tblHeader/>
          <w:tblCellSpacing w:w="15" w:type="dxa"/>
        </w:trPr>
        <w:tc>
          <w:tcPr>
            <w:tcW w:w="0" w:type="auto"/>
            <w:shd w:val="clear" w:color="auto" w:fill="B4C6E7" w:themeFill="accent1" w:themeFillTint="66"/>
            <w:vAlign w:val="center"/>
            <w:hideMark/>
          </w:tcPr>
          <w:p w14:paraId="5AC12237" w14:textId="77777777" w:rsidR="008B1C34" w:rsidRPr="008B1C34" w:rsidRDefault="008B1C34" w:rsidP="00046B81">
            <w:pPr>
              <w:tabs>
                <w:tab w:val="left" w:pos="1515"/>
              </w:tabs>
              <w:rPr>
                <w:rFonts w:cstheme="minorHAnsi"/>
                <w:b/>
                <w:bCs/>
                <w:sz w:val="16"/>
                <w:szCs w:val="16"/>
              </w:rPr>
            </w:pPr>
            <w:r w:rsidRPr="008B1C34">
              <w:rPr>
                <w:rFonts w:eastAsiaTheme="majorEastAsia" w:cstheme="minorHAnsi"/>
                <w:b/>
                <w:bCs/>
                <w:sz w:val="16"/>
                <w:szCs w:val="16"/>
              </w:rPr>
              <w:t>Target group</w:t>
            </w:r>
          </w:p>
        </w:tc>
        <w:tc>
          <w:tcPr>
            <w:tcW w:w="0" w:type="auto"/>
            <w:shd w:val="clear" w:color="auto" w:fill="B4C6E7" w:themeFill="accent1" w:themeFillTint="66"/>
            <w:vAlign w:val="center"/>
            <w:hideMark/>
          </w:tcPr>
          <w:p w14:paraId="3E4A89DF" w14:textId="77777777" w:rsidR="008B1C34" w:rsidRPr="008B1C34" w:rsidRDefault="008B1C34" w:rsidP="00046B81">
            <w:pPr>
              <w:tabs>
                <w:tab w:val="left" w:pos="1515"/>
              </w:tabs>
              <w:rPr>
                <w:rFonts w:cstheme="minorHAnsi"/>
                <w:b/>
                <w:bCs/>
                <w:sz w:val="16"/>
                <w:szCs w:val="16"/>
              </w:rPr>
            </w:pPr>
            <w:r w:rsidRPr="008B1C34">
              <w:rPr>
                <w:rFonts w:eastAsiaTheme="majorEastAsia" w:cstheme="minorHAnsi"/>
                <w:b/>
                <w:bCs/>
                <w:sz w:val="16"/>
                <w:szCs w:val="16"/>
              </w:rPr>
              <w:t>Awareness focus</w:t>
            </w:r>
          </w:p>
        </w:tc>
        <w:tc>
          <w:tcPr>
            <w:tcW w:w="0" w:type="auto"/>
            <w:shd w:val="clear" w:color="auto" w:fill="B4C6E7" w:themeFill="accent1" w:themeFillTint="66"/>
            <w:vAlign w:val="center"/>
            <w:hideMark/>
          </w:tcPr>
          <w:p w14:paraId="4C980D72" w14:textId="77777777" w:rsidR="008B1C34" w:rsidRPr="008B1C34" w:rsidRDefault="008B1C34" w:rsidP="00046B81">
            <w:pPr>
              <w:tabs>
                <w:tab w:val="left" w:pos="1515"/>
              </w:tabs>
              <w:rPr>
                <w:rFonts w:cstheme="minorHAnsi"/>
                <w:b/>
                <w:bCs/>
                <w:sz w:val="16"/>
                <w:szCs w:val="16"/>
              </w:rPr>
            </w:pPr>
            <w:r w:rsidRPr="008B1C34">
              <w:rPr>
                <w:rFonts w:eastAsiaTheme="majorEastAsia" w:cstheme="minorHAnsi"/>
                <w:b/>
                <w:bCs/>
                <w:sz w:val="16"/>
                <w:szCs w:val="16"/>
              </w:rPr>
              <w:t>Core message</w:t>
            </w:r>
          </w:p>
        </w:tc>
        <w:tc>
          <w:tcPr>
            <w:tcW w:w="1901" w:type="dxa"/>
            <w:shd w:val="clear" w:color="auto" w:fill="B4C6E7" w:themeFill="accent1" w:themeFillTint="66"/>
            <w:vAlign w:val="center"/>
            <w:hideMark/>
          </w:tcPr>
          <w:p w14:paraId="0048BBAA" w14:textId="77777777" w:rsidR="008B1C34" w:rsidRPr="008B1C34" w:rsidRDefault="008B1C34" w:rsidP="00046B81">
            <w:pPr>
              <w:tabs>
                <w:tab w:val="left" w:pos="1515"/>
              </w:tabs>
              <w:rPr>
                <w:rFonts w:cstheme="minorHAnsi"/>
                <w:b/>
                <w:bCs/>
                <w:sz w:val="16"/>
                <w:szCs w:val="16"/>
              </w:rPr>
            </w:pPr>
            <w:r w:rsidRPr="008B1C34">
              <w:rPr>
                <w:rFonts w:eastAsiaTheme="majorEastAsia" w:cstheme="minorHAnsi"/>
                <w:b/>
                <w:bCs/>
                <w:sz w:val="16"/>
                <w:szCs w:val="16"/>
              </w:rPr>
              <w:t>Main channels</w:t>
            </w:r>
          </w:p>
        </w:tc>
        <w:tc>
          <w:tcPr>
            <w:tcW w:w="2470" w:type="dxa"/>
            <w:shd w:val="clear" w:color="auto" w:fill="B4C6E7" w:themeFill="accent1" w:themeFillTint="66"/>
            <w:vAlign w:val="center"/>
          </w:tcPr>
          <w:p w14:paraId="015415CB" w14:textId="77777777" w:rsidR="008B1C34" w:rsidRPr="008B1C34" w:rsidRDefault="008B1C34" w:rsidP="00046B81">
            <w:pPr>
              <w:tabs>
                <w:tab w:val="left" w:pos="1515"/>
              </w:tabs>
              <w:rPr>
                <w:rFonts w:cstheme="minorHAnsi"/>
                <w:b/>
                <w:bCs/>
                <w:sz w:val="16"/>
                <w:szCs w:val="16"/>
              </w:rPr>
            </w:pPr>
            <w:r w:rsidRPr="008B1C34">
              <w:rPr>
                <w:rFonts w:eastAsiaTheme="majorEastAsia" w:cstheme="minorHAnsi"/>
                <w:b/>
                <w:bCs/>
                <w:sz w:val="16"/>
                <w:szCs w:val="16"/>
              </w:rPr>
              <w:t>Responsible actors</w:t>
            </w:r>
          </w:p>
        </w:tc>
      </w:tr>
      <w:tr w:rsidR="008B1C34" w:rsidRPr="008B1C34" w14:paraId="056F021E" w14:textId="77777777" w:rsidTr="00046B81">
        <w:trPr>
          <w:tblCellSpacing w:w="15" w:type="dxa"/>
        </w:trPr>
        <w:tc>
          <w:tcPr>
            <w:tcW w:w="0" w:type="auto"/>
            <w:vAlign w:val="center"/>
            <w:hideMark/>
          </w:tcPr>
          <w:p w14:paraId="2AD37FC3"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Municipal authorities</w:t>
            </w:r>
          </w:p>
        </w:tc>
        <w:tc>
          <w:tcPr>
            <w:tcW w:w="0" w:type="auto"/>
            <w:vAlign w:val="center"/>
            <w:hideMark/>
          </w:tcPr>
          <w:p w14:paraId="0ED92007"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Local responsibilities in groundwater protection</w:t>
            </w:r>
          </w:p>
        </w:tc>
        <w:tc>
          <w:tcPr>
            <w:tcW w:w="0" w:type="auto"/>
            <w:vAlign w:val="center"/>
            <w:hideMark/>
          </w:tcPr>
          <w:p w14:paraId="3AAE6B42"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Planning and sanitation decisions directly affect groundwater</w:t>
            </w:r>
          </w:p>
        </w:tc>
        <w:tc>
          <w:tcPr>
            <w:tcW w:w="1901" w:type="dxa"/>
            <w:vAlign w:val="center"/>
            <w:hideMark/>
          </w:tcPr>
          <w:p w14:paraId="50559E17"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Municipal clinics; guidance notes</w:t>
            </w:r>
          </w:p>
        </w:tc>
        <w:tc>
          <w:tcPr>
            <w:tcW w:w="2470" w:type="dxa"/>
            <w:vAlign w:val="center"/>
          </w:tcPr>
          <w:p w14:paraId="7F9EAD65"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Water authorities; municipalities</w:t>
            </w:r>
          </w:p>
        </w:tc>
      </w:tr>
      <w:tr w:rsidR="008B1C34" w:rsidRPr="008B1C34" w14:paraId="32D3843E" w14:textId="77777777" w:rsidTr="00046B81">
        <w:trPr>
          <w:tblCellSpacing w:w="15" w:type="dxa"/>
        </w:trPr>
        <w:tc>
          <w:tcPr>
            <w:tcW w:w="0" w:type="auto"/>
            <w:vAlign w:val="center"/>
          </w:tcPr>
          <w:p w14:paraId="0EB0E748"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Water utilities</w:t>
            </w:r>
          </w:p>
        </w:tc>
        <w:tc>
          <w:tcPr>
            <w:tcW w:w="0" w:type="auto"/>
            <w:vAlign w:val="center"/>
          </w:tcPr>
          <w:p w14:paraId="33A57958"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Risk awareness and coordination</w:t>
            </w:r>
          </w:p>
        </w:tc>
        <w:tc>
          <w:tcPr>
            <w:tcW w:w="0" w:type="auto"/>
            <w:vAlign w:val="center"/>
          </w:tcPr>
          <w:p w14:paraId="6E2CE3AE"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Upstream pressures affect drinking-water security</w:t>
            </w:r>
          </w:p>
        </w:tc>
        <w:tc>
          <w:tcPr>
            <w:tcW w:w="1901" w:type="dxa"/>
            <w:vAlign w:val="center"/>
          </w:tcPr>
          <w:p w14:paraId="4B278BB0"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Technical meetings; data exchange</w:t>
            </w:r>
          </w:p>
        </w:tc>
        <w:tc>
          <w:tcPr>
            <w:tcW w:w="2470" w:type="dxa"/>
            <w:vAlign w:val="center"/>
          </w:tcPr>
          <w:p w14:paraId="4726B3FB"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Utilities; water authorities</w:t>
            </w:r>
          </w:p>
        </w:tc>
      </w:tr>
      <w:tr w:rsidR="008B1C34" w:rsidRPr="008B1C34" w14:paraId="21B783A7" w14:textId="77777777" w:rsidTr="00046B81">
        <w:trPr>
          <w:tblCellSpacing w:w="15" w:type="dxa"/>
        </w:trPr>
        <w:tc>
          <w:tcPr>
            <w:tcW w:w="0" w:type="auto"/>
            <w:vAlign w:val="center"/>
          </w:tcPr>
          <w:p w14:paraId="7785131D"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Tourism operators and protected areas</w:t>
            </w:r>
          </w:p>
        </w:tc>
        <w:tc>
          <w:tcPr>
            <w:tcW w:w="0" w:type="auto"/>
            <w:vAlign w:val="center"/>
          </w:tcPr>
          <w:p w14:paraId="473B4282"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Seasonal pressure reduction</w:t>
            </w:r>
          </w:p>
        </w:tc>
        <w:tc>
          <w:tcPr>
            <w:tcW w:w="0" w:type="auto"/>
            <w:vAlign w:val="center"/>
          </w:tcPr>
          <w:p w14:paraId="4773628C"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Clean groundwater underpins tourism and ecosystems</w:t>
            </w:r>
          </w:p>
        </w:tc>
        <w:tc>
          <w:tcPr>
            <w:tcW w:w="1901" w:type="dxa"/>
            <w:vAlign w:val="center"/>
          </w:tcPr>
          <w:p w14:paraId="30986F39"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Sector workshops; visitor centres</w:t>
            </w:r>
          </w:p>
        </w:tc>
        <w:tc>
          <w:tcPr>
            <w:tcW w:w="2470" w:type="dxa"/>
            <w:vAlign w:val="center"/>
          </w:tcPr>
          <w:p w14:paraId="62EFB9CB"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Municipalities; protected area administrations</w:t>
            </w:r>
          </w:p>
        </w:tc>
      </w:tr>
      <w:tr w:rsidR="008B1C34" w:rsidRPr="008B1C34" w14:paraId="6F14B395" w14:textId="77777777" w:rsidTr="00046B81">
        <w:trPr>
          <w:tblCellSpacing w:w="15" w:type="dxa"/>
        </w:trPr>
        <w:tc>
          <w:tcPr>
            <w:tcW w:w="0" w:type="auto"/>
            <w:vAlign w:val="center"/>
          </w:tcPr>
          <w:p w14:paraId="18426E85"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Rural households (on-site sanitation)</w:t>
            </w:r>
          </w:p>
        </w:tc>
        <w:tc>
          <w:tcPr>
            <w:tcW w:w="0" w:type="auto"/>
            <w:vAlign w:val="center"/>
          </w:tcPr>
          <w:p w14:paraId="4796976B"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Sanitation practices</w:t>
            </w:r>
          </w:p>
        </w:tc>
        <w:tc>
          <w:tcPr>
            <w:tcW w:w="0" w:type="auto"/>
            <w:vAlign w:val="center"/>
          </w:tcPr>
          <w:p w14:paraId="773BB910"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Poorly maintained systems contaminate groundwater</w:t>
            </w:r>
          </w:p>
        </w:tc>
        <w:tc>
          <w:tcPr>
            <w:tcW w:w="1901" w:type="dxa"/>
            <w:vAlign w:val="center"/>
          </w:tcPr>
          <w:p w14:paraId="493788CF"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Local outreach; NGO support</w:t>
            </w:r>
          </w:p>
        </w:tc>
        <w:tc>
          <w:tcPr>
            <w:tcW w:w="2470" w:type="dxa"/>
            <w:vAlign w:val="center"/>
          </w:tcPr>
          <w:p w14:paraId="7288398C"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Municipalities; NGOs</w:t>
            </w:r>
          </w:p>
        </w:tc>
      </w:tr>
      <w:tr w:rsidR="008B1C34" w:rsidRPr="008B1C34" w14:paraId="3C74BE1F" w14:textId="77777777" w:rsidTr="00046B81">
        <w:trPr>
          <w:tblCellSpacing w:w="15" w:type="dxa"/>
        </w:trPr>
        <w:tc>
          <w:tcPr>
            <w:tcW w:w="0" w:type="auto"/>
            <w:vAlign w:val="center"/>
          </w:tcPr>
          <w:p w14:paraId="083A418F"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Visitors</w:t>
            </w:r>
          </w:p>
        </w:tc>
        <w:tc>
          <w:tcPr>
            <w:tcW w:w="0" w:type="auto"/>
            <w:vAlign w:val="center"/>
          </w:tcPr>
          <w:p w14:paraId="3DF1CA1D"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Stewardship</w:t>
            </w:r>
          </w:p>
        </w:tc>
        <w:tc>
          <w:tcPr>
            <w:tcW w:w="0" w:type="auto"/>
            <w:vAlign w:val="center"/>
          </w:tcPr>
          <w:p w14:paraId="7FE39917"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Groundwater in karst systems is fragile and shared</w:t>
            </w:r>
          </w:p>
        </w:tc>
        <w:tc>
          <w:tcPr>
            <w:tcW w:w="1901" w:type="dxa"/>
            <w:vAlign w:val="center"/>
          </w:tcPr>
          <w:p w14:paraId="59751066"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Signage; digital messages</w:t>
            </w:r>
          </w:p>
        </w:tc>
        <w:tc>
          <w:tcPr>
            <w:tcW w:w="2470" w:type="dxa"/>
            <w:vAlign w:val="center"/>
          </w:tcPr>
          <w:p w14:paraId="7B02FB6F"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Protected area administrations</w:t>
            </w:r>
          </w:p>
        </w:tc>
      </w:tr>
      <w:tr w:rsidR="008B1C34" w:rsidRPr="008B1C34" w14:paraId="54E7102F" w14:textId="77777777" w:rsidTr="00046B81">
        <w:trPr>
          <w:tblCellSpacing w:w="15" w:type="dxa"/>
        </w:trPr>
        <w:tc>
          <w:tcPr>
            <w:tcW w:w="0" w:type="auto"/>
            <w:vAlign w:val="center"/>
          </w:tcPr>
          <w:p w14:paraId="65AE7B35"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Schools and youth</w:t>
            </w:r>
          </w:p>
        </w:tc>
        <w:tc>
          <w:tcPr>
            <w:tcW w:w="0" w:type="auto"/>
            <w:vAlign w:val="center"/>
          </w:tcPr>
          <w:p w14:paraId="71B9992F"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Long-term awareness</w:t>
            </w:r>
          </w:p>
        </w:tc>
        <w:tc>
          <w:tcPr>
            <w:tcW w:w="0" w:type="auto"/>
            <w:vAlign w:val="center"/>
          </w:tcPr>
          <w:p w14:paraId="7836A6B8"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Local water depends on shared aquifers</w:t>
            </w:r>
          </w:p>
        </w:tc>
        <w:tc>
          <w:tcPr>
            <w:tcW w:w="1901" w:type="dxa"/>
            <w:vAlign w:val="center"/>
          </w:tcPr>
          <w:p w14:paraId="63A6CA6A"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Education activities</w:t>
            </w:r>
          </w:p>
        </w:tc>
        <w:tc>
          <w:tcPr>
            <w:tcW w:w="2470" w:type="dxa"/>
            <w:vAlign w:val="center"/>
          </w:tcPr>
          <w:p w14:paraId="10B0422A"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NGOs; schools</w:t>
            </w:r>
          </w:p>
        </w:tc>
      </w:tr>
      <w:tr w:rsidR="008B1C34" w:rsidRPr="008B1C34" w14:paraId="268502F4" w14:textId="77777777" w:rsidTr="00046B81">
        <w:trPr>
          <w:tblCellSpacing w:w="15" w:type="dxa"/>
        </w:trPr>
        <w:tc>
          <w:tcPr>
            <w:tcW w:w="0" w:type="auto"/>
            <w:vAlign w:val="center"/>
          </w:tcPr>
          <w:p w14:paraId="3F64CD7D"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General public</w:t>
            </w:r>
          </w:p>
        </w:tc>
        <w:tc>
          <w:tcPr>
            <w:tcW w:w="0" w:type="auto"/>
            <w:vAlign w:val="center"/>
          </w:tcPr>
          <w:p w14:paraId="192C1C43"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Baseline understanding</w:t>
            </w:r>
          </w:p>
        </w:tc>
        <w:tc>
          <w:tcPr>
            <w:tcW w:w="0" w:type="auto"/>
            <w:vAlign w:val="center"/>
          </w:tcPr>
          <w:p w14:paraId="4C4506BD"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Shared aquifer, shared responsibility</w:t>
            </w:r>
          </w:p>
        </w:tc>
        <w:tc>
          <w:tcPr>
            <w:tcW w:w="1901" w:type="dxa"/>
            <w:vAlign w:val="center"/>
          </w:tcPr>
          <w:p w14:paraId="0F2056AE"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Local media; public platforms</w:t>
            </w:r>
          </w:p>
        </w:tc>
        <w:tc>
          <w:tcPr>
            <w:tcW w:w="2470" w:type="dxa"/>
            <w:vAlign w:val="center"/>
          </w:tcPr>
          <w:p w14:paraId="66AA18C4" w14:textId="77777777" w:rsidR="008B1C34" w:rsidRPr="008B1C34" w:rsidRDefault="008B1C34" w:rsidP="00046B81">
            <w:pPr>
              <w:tabs>
                <w:tab w:val="left" w:pos="1515"/>
              </w:tabs>
              <w:rPr>
                <w:rFonts w:cstheme="minorHAnsi"/>
                <w:sz w:val="16"/>
                <w:szCs w:val="16"/>
              </w:rPr>
            </w:pPr>
            <w:r w:rsidRPr="008B1C34">
              <w:rPr>
                <w:rFonts w:eastAsiaTheme="majorEastAsia" w:cstheme="minorHAnsi"/>
                <w:sz w:val="16"/>
                <w:szCs w:val="16"/>
              </w:rPr>
              <w:t>SIP coordination</w:t>
            </w:r>
          </w:p>
        </w:tc>
      </w:tr>
    </w:tbl>
    <w:p w14:paraId="006E8168" w14:textId="77777777" w:rsidR="00C957AB" w:rsidRDefault="00C957AB" w:rsidP="00C957AB">
      <w:pPr>
        <w:jc w:val="both"/>
      </w:pPr>
    </w:p>
    <w:p w14:paraId="6DB2E4BA" w14:textId="3B520BCD" w:rsidR="008B1C34" w:rsidRPr="00B47247" w:rsidRDefault="008B1C34" w:rsidP="008B1C34">
      <w:pPr>
        <w:pStyle w:val="Heading2"/>
        <w:rPr>
          <w:lang w:val="en-GB"/>
        </w:rPr>
      </w:pPr>
      <w:bookmarkStart w:id="158" w:name="_Toc229036250"/>
      <w:r w:rsidRPr="00B47247">
        <w:rPr>
          <w:lang w:val="en-GB"/>
        </w:rPr>
        <w:t>7.6 Engagement of local and regional authorities</w:t>
      </w:r>
      <w:bookmarkEnd w:id="158"/>
      <w:r w:rsidRPr="00B47247">
        <w:rPr>
          <w:lang w:val="en-GB"/>
        </w:rPr>
        <w:t xml:space="preserve"> </w:t>
      </w:r>
    </w:p>
    <w:p w14:paraId="75B3C235" w14:textId="77777777" w:rsidR="003D65FD" w:rsidRPr="00F356AE" w:rsidRDefault="003D65FD" w:rsidP="003D65FD">
      <w:pPr>
        <w:jc w:val="both"/>
      </w:pPr>
      <w:r w:rsidRPr="00F356AE">
        <w:t>Local and regional authorities play a decisive role in the protection and sustainable management of groundwater within Neretva TBA, as many pressures affecting groundwater originate at local level. Responsibilities related to spatial planning, land use regulation, sanitation services, waste management, tourism development, local inspections and emergency response are largely exercised by municipal, cantonal and county-level administrations. Effective engagement of these authorities is therefore essential for translating national policies, transboundary commitments and Joint Action Programme objectives into practical and enforceable action on the ground.</w:t>
      </w:r>
    </w:p>
    <w:p w14:paraId="0C2E5D39" w14:textId="77777777" w:rsidR="003D65FD" w:rsidRPr="00F356AE" w:rsidRDefault="003D65FD" w:rsidP="003D65FD">
      <w:pPr>
        <w:jc w:val="both"/>
      </w:pPr>
      <w:r w:rsidRPr="00F356AE">
        <w:t>In Neretva TBA, local and regional authorities operate within different administrative systems and levels of decentralisation in Croatia and Bosnia and Herzegovina. While institutional mandates and governance structures differ, authorities on both sides of the border face similar challenges, including limited financial and human resources, fragmented responsibilities and technical constraints related to groundwater vulnerability in karst environments. These constraints are particularly pronounced in rural areas and in locations exposed to seasonal tourism pressure, where local authorities are required to manage fluctuating demands on sanitation, water services and waste management with limited operational capacity.</w:t>
      </w:r>
    </w:p>
    <w:p w14:paraId="69BB11D2" w14:textId="77777777" w:rsidR="003D65FD" w:rsidRPr="00F356AE" w:rsidRDefault="003D65FD" w:rsidP="003D65FD">
      <w:pPr>
        <w:jc w:val="both"/>
      </w:pPr>
      <w:r w:rsidRPr="00F356AE">
        <w:t xml:space="preserve">Engagement of local and regional authorities under the Joint Action Programme is designed to be practical, proportionate and closely linked to their statutory responsibilities. The Programme does not introduce new institutional layers but builds on existing mandates and coordination mechanisms. Engagement focuses on strengthening the role of local and regional authorities as key implementation </w:t>
      </w:r>
      <w:r w:rsidRPr="00F356AE">
        <w:lastRenderedPageBreak/>
        <w:t>actors, improving coordination with national institutions and enhancing their capacity to integrate groundwater protection considerations into everyday governance practices.</w:t>
      </w:r>
    </w:p>
    <w:p w14:paraId="48A79562" w14:textId="77777777" w:rsidR="003D65FD" w:rsidRPr="00F356AE" w:rsidRDefault="003D65FD" w:rsidP="003D65FD">
      <w:pPr>
        <w:jc w:val="both"/>
      </w:pPr>
      <w:r w:rsidRPr="00F356AE">
        <w:t>Local and regional authorities will be engaged through structured and recurring formats, including targeted municipal and cantonal clinics, technical briefings and facilitated coordination meetings. Engagement activities will focus on concrete implementation challenges such as the application of groundwater protection zones, management and inspection of on-site sanitation systems, integration of groundwater considerations into spatial and development planning, and coordination of tourism-related infrastructure and services in sensitive recharge areas.</w:t>
      </w:r>
    </w:p>
    <w:p w14:paraId="601AA040" w14:textId="7CE1C61D" w:rsidR="003D65FD" w:rsidRPr="00F356AE" w:rsidRDefault="003D65FD" w:rsidP="003D65FD">
      <w:pPr>
        <w:jc w:val="both"/>
      </w:pPr>
      <w:r w:rsidRPr="00F356AE">
        <w:t xml:space="preserve">Vertical coordination between national water authorities and local and regional administrations will be strengthened through regular exchange and clarification of roles. On the Croatian side, this involves the interface between Croatian Waters and county and municipal authorities in Dubrovnik-Neretva County and the </w:t>
      </w:r>
      <w:proofErr w:type="spellStart"/>
      <w:r w:rsidRPr="00F356AE">
        <w:t>Imotski</w:t>
      </w:r>
      <w:proofErr w:type="spellEnd"/>
      <w:r w:rsidRPr="00F356AE">
        <w:t xml:space="preserve"> area. On the BiH side, priority is given to the coordination chain between AVP Jadran, the cantonal ministry of the </w:t>
      </w:r>
      <w:proofErr w:type="spellStart"/>
      <w:r w:rsidRPr="00F356AE">
        <w:t>Zapadnohercegovački</w:t>
      </w:r>
      <w:proofErr w:type="spellEnd"/>
      <w:r w:rsidRPr="00F356AE">
        <w:t xml:space="preserve"> Canton and municipal authorities in </w:t>
      </w:r>
      <w:proofErr w:type="spellStart"/>
      <w:r w:rsidRPr="00F356AE">
        <w:t>Ljubuški</w:t>
      </w:r>
      <w:proofErr w:type="spellEnd"/>
      <w:r w:rsidRPr="00F356AE">
        <w:t xml:space="preserve">. The Joint Water Management Commission provides the overarching bilateral framework within which this engagement is anchored: local and regional authorities </w:t>
      </w:r>
      <w:r>
        <w:t>-</w:t>
      </w:r>
      <w:r w:rsidRPr="00F356AE">
        <w:t xml:space="preserve"> particularly in </w:t>
      </w:r>
      <w:proofErr w:type="spellStart"/>
      <w:r w:rsidRPr="00F356AE">
        <w:t>Ljubuški</w:t>
      </w:r>
      <w:proofErr w:type="spellEnd"/>
      <w:r w:rsidRPr="00F356AE">
        <w:t xml:space="preserve"> and the </w:t>
      </w:r>
      <w:proofErr w:type="spellStart"/>
      <w:r w:rsidRPr="00F356AE">
        <w:t>Imotski</w:t>
      </w:r>
      <w:proofErr w:type="spellEnd"/>
      <w:r w:rsidRPr="00F356AE">
        <w:t xml:space="preserve"> area </w:t>
      </w:r>
      <w:r>
        <w:t>-</w:t>
      </w:r>
      <w:r w:rsidRPr="00F356AE">
        <w:t xml:space="preserve"> serve as the primary interface between on-the-ground realities and the bilateral coordination process, and structured reporting channels between local authorities and the JWMC through AVP Jadran and Croatian Waters as national focal points will ensure that Commission decisions are informed by local implementation experience.</w:t>
      </w:r>
    </w:p>
    <w:p w14:paraId="7882944F" w14:textId="77777777" w:rsidR="003D65FD" w:rsidRPr="00F356AE" w:rsidRDefault="003D65FD" w:rsidP="003D65FD">
      <w:pPr>
        <w:jc w:val="both"/>
      </w:pPr>
      <w:r w:rsidRPr="00F356AE">
        <w:t>Cross-border engagement will be promoted through joint exchanges and thematic meetings to align approaches to land use planning, sanitation management and tourism-related pressures, and to promote mutual understanding of groundwater risks across administrative boundaries. Special attention will be given to authorities in areas exposed to seasonal tourism pressure, focusing on managing peak demand, aligning permitting practices and strengthening cooperation with protected area administrations.</w:t>
      </w:r>
    </w:p>
    <w:p w14:paraId="44808B77" w14:textId="77777777" w:rsidR="003D65FD" w:rsidRPr="00F356AE" w:rsidRDefault="003D65FD" w:rsidP="003D65FD">
      <w:pPr>
        <w:jc w:val="both"/>
      </w:pPr>
      <w:r w:rsidRPr="00F356AE">
        <w:t>Engagement of local and regional authorities will be closely linked with institutional capacity strengthening and stakeholder engagement activities defined elsewhere in the Joint Action Programme. Authorities will not only be recipients of guidance but active contributors to the design, refinement and evaluation of measures, ensuring that groundwater protection is embedded in routine governance processes and sustained beyond the duration of the Programme.</w:t>
      </w:r>
    </w:p>
    <w:p w14:paraId="12733C4F" w14:textId="4B0FE020" w:rsidR="003D65FD" w:rsidRPr="003D65FD" w:rsidRDefault="002F4776" w:rsidP="002F4776">
      <w:pPr>
        <w:pStyle w:val="Caption"/>
      </w:pPr>
      <w:bookmarkStart w:id="159" w:name="_Toc229037743"/>
      <w:r>
        <w:t xml:space="preserve">Table </w:t>
      </w:r>
      <w:r>
        <w:fldChar w:fldCharType="begin"/>
      </w:r>
      <w:r>
        <w:instrText xml:space="preserve"> SEQ Table \* ARABIC </w:instrText>
      </w:r>
      <w:r>
        <w:fldChar w:fldCharType="separate"/>
      </w:r>
      <w:r>
        <w:rPr>
          <w:noProof/>
        </w:rPr>
        <w:t>21</w:t>
      </w:r>
      <w:r>
        <w:fldChar w:fldCharType="end"/>
      </w:r>
      <w:r>
        <w:t xml:space="preserve"> </w:t>
      </w:r>
      <w:r w:rsidRPr="00517472">
        <w:t>Engagement tools for local and regional authorities in Neretva TBA</w:t>
      </w:r>
      <w:bookmarkEnd w:id="15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94"/>
        <w:gridCol w:w="1676"/>
        <w:gridCol w:w="2027"/>
        <w:gridCol w:w="1792"/>
        <w:gridCol w:w="2027"/>
      </w:tblGrid>
      <w:tr w:rsidR="003D65FD" w:rsidRPr="003D65FD" w14:paraId="0BD17915" w14:textId="77777777" w:rsidTr="003D65FD">
        <w:trPr>
          <w:tblHeader/>
          <w:tblCellSpacing w:w="15" w:type="dxa"/>
        </w:trPr>
        <w:tc>
          <w:tcPr>
            <w:tcW w:w="0" w:type="auto"/>
            <w:shd w:val="clear" w:color="auto" w:fill="B4C6E7" w:themeFill="accent1" w:themeFillTint="66"/>
            <w:vAlign w:val="center"/>
            <w:hideMark/>
          </w:tcPr>
          <w:p w14:paraId="69DD61A3" w14:textId="77777777" w:rsidR="003D65FD" w:rsidRPr="003D65FD" w:rsidRDefault="003D65FD" w:rsidP="00CD4AFE">
            <w:pPr>
              <w:jc w:val="both"/>
              <w:rPr>
                <w:rFonts w:cstheme="minorHAnsi"/>
                <w:b/>
                <w:bCs/>
                <w:sz w:val="16"/>
                <w:szCs w:val="16"/>
              </w:rPr>
            </w:pPr>
            <w:r w:rsidRPr="003D65FD">
              <w:rPr>
                <w:rFonts w:cstheme="minorHAnsi"/>
                <w:b/>
                <w:bCs/>
                <w:sz w:val="16"/>
                <w:szCs w:val="16"/>
              </w:rPr>
              <w:t>Target group</w:t>
            </w:r>
          </w:p>
        </w:tc>
        <w:tc>
          <w:tcPr>
            <w:tcW w:w="0" w:type="auto"/>
            <w:shd w:val="clear" w:color="auto" w:fill="B4C6E7" w:themeFill="accent1" w:themeFillTint="66"/>
            <w:vAlign w:val="center"/>
            <w:hideMark/>
          </w:tcPr>
          <w:p w14:paraId="6CF79A3B" w14:textId="76955110" w:rsidR="003D65FD" w:rsidRPr="003D65FD" w:rsidRDefault="003D65FD" w:rsidP="00CD4AFE">
            <w:pPr>
              <w:jc w:val="both"/>
              <w:rPr>
                <w:rFonts w:cstheme="minorHAnsi"/>
                <w:b/>
                <w:bCs/>
                <w:sz w:val="16"/>
                <w:szCs w:val="16"/>
              </w:rPr>
            </w:pPr>
            <w:r w:rsidRPr="003D65FD">
              <w:rPr>
                <w:rFonts w:cstheme="minorHAnsi"/>
                <w:b/>
                <w:bCs/>
                <w:sz w:val="16"/>
                <w:szCs w:val="16"/>
              </w:rPr>
              <w:t xml:space="preserve">Awareness </w:t>
            </w:r>
            <w:r>
              <w:rPr>
                <w:rFonts w:cstheme="minorHAnsi"/>
                <w:b/>
                <w:bCs/>
                <w:sz w:val="16"/>
                <w:szCs w:val="16"/>
              </w:rPr>
              <w:t>f</w:t>
            </w:r>
            <w:r w:rsidRPr="003D65FD">
              <w:rPr>
                <w:rFonts w:cstheme="minorHAnsi"/>
                <w:b/>
                <w:bCs/>
                <w:sz w:val="16"/>
                <w:szCs w:val="16"/>
              </w:rPr>
              <w:t>ocus</w:t>
            </w:r>
          </w:p>
        </w:tc>
        <w:tc>
          <w:tcPr>
            <w:tcW w:w="0" w:type="auto"/>
            <w:shd w:val="clear" w:color="auto" w:fill="B4C6E7" w:themeFill="accent1" w:themeFillTint="66"/>
            <w:vAlign w:val="center"/>
            <w:hideMark/>
          </w:tcPr>
          <w:p w14:paraId="71E4B87A" w14:textId="7BCB208D" w:rsidR="003D65FD" w:rsidRPr="003D65FD" w:rsidRDefault="003D65FD" w:rsidP="00CD4AFE">
            <w:pPr>
              <w:jc w:val="both"/>
              <w:rPr>
                <w:rFonts w:cstheme="minorHAnsi"/>
                <w:b/>
                <w:bCs/>
                <w:sz w:val="16"/>
                <w:szCs w:val="16"/>
              </w:rPr>
            </w:pPr>
            <w:r w:rsidRPr="003D65FD">
              <w:rPr>
                <w:rFonts w:cstheme="minorHAnsi"/>
                <w:b/>
                <w:bCs/>
                <w:sz w:val="16"/>
                <w:szCs w:val="16"/>
              </w:rPr>
              <w:t xml:space="preserve">Key </w:t>
            </w:r>
            <w:r>
              <w:rPr>
                <w:rFonts w:cstheme="minorHAnsi"/>
                <w:b/>
                <w:bCs/>
                <w:sz w:val="16"/>
                <w:szCs w:val="16"/>
              </w:rPr>
              <w:t>m</w:t>
            </w:r>
            <w:r w:rsidRPr="003D65FD">
              <w:rPr>
                <w:rFonts w:cstheme="minorHAnsi"/>
                <w:b/>
                <w:bCs/>
                <w:sz w:val="16"/>
                <w:szCs w:val="16"/>
              </w:rPr>
              <w:t>essage</w:t>
            </w:r>
          </w:p>
        </w:tc>
        <w:tc>
          <w:tcPr>
            <w:tcW w:w="0" w:type="auto"/>
            <w:shd w:val="clear" w:color="auto" w:fill="B4C6E7" w:themeFill="accent1" w:themeFillTint="66"/>
            <w:vAlign w:val="center"/>
            <w:hideMark/>
          </w:tcPr>
          <w:p w14:paraId="6E8601A6" w14:textId="0DF3020A" w:rsidR="003D65FD" w:rsidRPr="003D65FD" w:rsidRDefault="003D65FD" w:rsidP="00CD4AFE">
            <w:pPr>
              <w:jc w:val="both"/>
              <w:rPr>
                <w:rFonts w:cstheme="minorHAnsi"/>
                <w:b/>
                <w:bCs/>
                <w:sz w:val="16"/>
                <w:szCs w:val="16"/>
              </w:rPr>
            </w:pPr>
            <w:r w:rsidRPr="003D65FD">
              <w:rPr>
                <w:rFonts w:cstheme="minorHAnsi"/>
                <w:b/>
                <w:bCs/>
                <w:sz w:val="16"/>
                <w:szCs w:val="16"/>
              </w:rPr>
              <w:t xml:space="preserve">Main </w:t>
            </w:r>
            <w:r>
              <w:rPr>
                <w:rFonts w:cstheme="minorHAnsi"/>
                <w:b/>
                <w:bCs/>
                <w:sz w:val="16"/>
                <w:szCs w:val="16"/>
              </w:rPr>
              <w:t>c</w:t>
            </w:r>
            <w:r w:rsidRPr="003D65FD">
              <w:rPr>
                <w:rFonts w:cstheme="minorHAnsi"/>
                <w:b/>
                <w:bCs/>
                <w:sz w:val="16"/>
                <w:szCs w:val="16"/>
              </w:rPr>
              <w:t>hannels</w:t>
            </w:r>
          </w:p>
        </w:tc>
        <w:tc>
          <w:tcPr>
            <w:tcW w:w="0" w:type="auto"/>
            <w:shd w:val="clear" w:color="auto" w:fill="B4C6E7" w:themeFill="accent1" w:themeFillTint="66"/>
            <w:vAlign w:val="center"/>
            <w:hideMark/>
          </w:tcPr>
          <w:p w14:paraId="25FA3BB6" w14:textId="77777777" w:rsidR="003D65FD" w:rsidRPr="003D65FD" w:rsidRDefault="003D65FD" w:rsidP="00CD4AFE">
            <w:pPr>
              <w:jc w:val="both"/>
              <w:rPr>
                <w:rFonts w:cstheme="minorHAnsi"/>
                <w:b/>
                <w:bCs/>
                <w:sz w:val="16"/>
                <w:szCs w:val="16"/>
              </w:rPr>
            </w:pPr>
            <w:r w:rsidRPr="003D65FD">
              <w:rPr>
                <w:rFonts w:cstheme="minorHAnsi"/>
                <w:b/>
                <w:bCs/>
                <w:sz w:val="16"/>
                <w:szCs w:val="16"/>
              </w:rPr>
              <w:t>Responsible actors</w:t>
            </w:r>
          </w:p>
        </w:tc>
      </w:tr>
      <w:tr w:rsidR="003D65FD" w:rsidRPr="003D65FD" w14:paraId="26A19B2A" w14:textId="77777777" w:rsidTr="003D65FD">
        <w:trPr>
          <w:tblCellSpacing w:w="15" w:type="dxa"/>
        </w:trPr>
        <w:tc>
          <w:tcPr>
            <w:tcW w:w="0" w:type="auto"/>
            <w:vAlign w:val="center"/>
            <w:hideMark/>
          </w:tcPr>
          <w:p w14:paraId="7E1EC46F" w14:textId="77777777" w:rsidR="003D65FD" w:rsidRPr="003D65FD" w:rsidRDefault="003D65FD" w:rsidP="003D65FD">
            <w:pPr>
              <w:rPr>
                <w:rFonts w:cstheme="minorHAnsi"/>
                <w:sz w:val="16"/>
                <w:szCs w:val="16"/>
              </w:rPr>
            </w:pPr>
            <w:r w:rsidRPr="003D65FD">
              <w:rPr>
                <w:rFonts w:cstheme="minorHAnsi"/>
                <w:sz w:val="16"/>
                <w:szCs w:val="16"/>
              </w:rPr>
              <w:t>Municipal and cantonal clinics / services</w:t>
            </w:r>
          </w:p>
        </w:tc>
        <w:tc>
          <w:tcPr>
            <w:tcW w:w="0" w:type="auto"/>
            <w:vAlign w:val="center"/>
            <w:hideMark/>
          </w:tcPr>
          <w:p w14:paraId="7D62E429" w14:textId="77777777" w:rsidR="003D65FD" w:rsidRPr="003D65FD" w:rsidRDefault="003D65FD" w:rsidP="003D65FD">
            <w:pPr>
              <w:rPr>
                <w:rFonts w:cstheme="minorHAnsi"/>
                <w:sz w:val="16"/>
                <w:szCs w:val="16"/>
              </w:rPr>
            </w:pPr>
            <w:r w:rsidRPr="003D65FD">
              <w:rPr>
                <w:rFonts w:cstheme="minorHAnsi"/>
                <w:sz w:val="16"/>
                <w:szCs w:val="16"/>
              </w:rPr>
              <w:t>Operational responsibilities in groundwater protection</w:t>
            </w:r>
          </w:p>
        </w:tc>
        <w:tc>
          <w:tcPr>
            <w:tcW w:w="0" w:type="auto"/>
            <w:vAlign w:val="center"/>
            <w:hideMark/>
          </w:tcPr>
          <w:p w14:paraId="55D7F340" w14:textId="77777777" w:rsidR="003D65FD" w:rsidRPr="003D65FD" w:rsidRDefault="003D65FD" w:rsidP="003D65FD">
            <w:pPr>
              <w:rPr>
                <w:rFonts w:cstheme="minorHAnsi"/>
                <w:sz w:val="16"/>
                <w:szCs w:val="16"/>
              </w:rPr>
            </w:pPr>
            <w:r w:rsidRPr="003D65FD">
              <w:rPr>
                <w:rFonts w:cstheme="minorHAnsi"/>
                <w:sz w:val="16"/>
                <w:szCs w:val="16"/>
              </w:rPr>
              <w:t>Groundwater protection requires consistent local implementation of agreed measures</w:t>
            </w:r>
          </w:p>
        </w:tc>
        <w:tc>
          <w:tcPr>
            <w:tcW w:w="0" w:type="auto"/>
            <w:vAlign w:val="center"/>
            <w:hideMark/>
          </w:tcPr>
          <w:p w14:paraId="589BCFEA" w14:textId="77777777" w:rsidR="003D65FD" w:rsidRPr="003D65FD" w:rsidRDefault="003D65FD" w:rsidP="003D65FD">
            <w:pPr>
              <w:rPr>
                <w:rFonts w:cstheme="minorHAnsi"/>
                <w:sz w:val="16"/>
                <w:szCs w:val="16"/>
              </w:rPr>
            </w:pPr>
            <w:r w:rsidRPr="003D65FD">
              <w:rPr>
                <w:rFonts w:cstheme="minorHAnsi"/>
                <w:sz w:val="16"/>
                <w:szCs w:val="16"/>
              </w:rPr>
              <w:t>On-site meetings; operational briefings; written guidance</w:t>
            </w:r>
          </w:p>
        </w:tc>
        <w:tc>
          <w:tcPr>
            <w:tcW w:w="0" w:type="auto"/>
            <w:vAlign w:val="center"/>
            <w:hideMark/>
          </w:tcPr>
          <w:p w14:paraId="6C8432E6" w14:textId="77777777" w:rsidR="003D65FD" w:rsidRPr="003D65FD" w:rsidRDefault="003D65FD" w:rsidP="003D65FD">
            <w:pPr>
              <w:rPr>
                <w:rFonts w:cstheme="minorHAnsi"/>
                <w:sz w:val="16"/>
                <w:szCs w:val="16"/>
              </w:rPr>
            </w:pPr>
            <w:r w:rsidRPr="003D65FD">
              <w:rPr>
                <w:rFonts w:cstheme="minorHAnsi"/>
                <w:sz w:val="16"/>
                <w:szCs w:val="16"/>
              </w:rPr>
              <w:t>Municipal and cantonal authorities; local utilities; health and environmental services</w:t>
            </w:r>
          </w:p>
        </w:tc>
      </w:tr>
      <w:tr w:rsidR="003D65FD" w:rsidRPr="003D65FD" w14:paraId="6017A981" w14:textId="77777777" w:rsidTr="003D65FD">
        <w:trPr>
          <w:tblCellSpacing w:w="15" w:type="dxa"/>
        </w:trPr>
        <w:tc>
          <w:tcPr>
            <w:tcW w:w="0" w:type="auto"/>
            <w:vAlign w:val="center"/>
            <w:hideMark/>
          </w:tcPr>
          <w:p w14:paraId="20CA6C9B" w14:textId="77777777" w:rsidR="003D65FD" w:rsidRPr="003D65FD" w:rsidRDefault="003D65FD" w:rsidP="003D65FD">
            <w:pPr>
              <w:rPr>
                <w:rFonts w:cstheme="minorHAnsi"/>
                <w:sz w:val="16"/>
                <w:szCs w:val="16"/>
              </w:rPr>
            </w:pPr>
            <w:r w:rsidRPr="003D65FD">
              <w:rPr>
                <w:rFonts w:cstheme="minorHAnsi"/>
                <w:sz w:val="16"/>
                <w:szCs w:val="16"/>
              </w:rPr>
              <w:t>Municipal, cantonal and county authorities</w:t>
            </w:r>
          </w:p>
        </w:tc>
        <w:tc>
          <w:tcPr>
            <w:tcW w:w="0" w:type="auto"/>
            <w:vAlign w:val="center"/>
            <w:hideMark/>
          </w:tcPr>
          <w:p w14:paraId="10B541B1" w14:textId="77777777" w:rsidR="003D65FD" w:rsidRPr="003D65FD" w:rsidRDefault="003D65FD" w:rsidP="003D65FD">
            <w:pPr>
              <w:rPr>
                <w:rFonts w:cstheme="minorHAnsi"/>
                <w:sz w:val="16"/>
                <w:szCs w:val="16"/>
              </w:rPr>
            </w:pPr>
            <w:r w:rsidRPr="003D65FD">
              <w:rPr>
                <w:rFonts w:cstheme="minorHAnsi"/>
                <w:sz w:val="16"/>
                <w:szCs w:val="16"/>
              </w:rPr>
              <w:t>Legal and institutional responsibilities</w:t>
            </w:r>
          </w:p>
        </w:tc>
        <w:tc>
          <w:tcPr>
            <w:tcW w:w="0" w:type="auto"/>
            <w:vAlign w:val="center"/>
            <w:hideMark/>
          </w:tcPr>
          <w:p w14:paraId="14A5CC70" w14:textId="77777777" w:rsidR="003D65FD" w:rsidRPr="003D65FD" w:rsidRDefault="003D65FD" w:rsidP="003D65FD">
            <w:pPr>
              <w:rPr>
                <w:rFonts w:cstheme="minorHAnsi"/>
                <w:sz w:val="16"/>
                <w:szCs w:val="16"/>
              </w:rPr>
            </w:pPr>
            <w:r w:rsidRPr="003D65FD">
              <w:rPr>
                <w:rFonts w:cstheme="minorHAnsi"/>
                <w:sz w:val="16"/>
                <w:szCs w:val="16"/>
              </w:rPr>
              <w:t>Clear understanding of roles is essential for effective groundwater protection</w:t>
            </w:r>
          </w:p>
        </w:tc>
        <w:tc>
          <w:tcPr>
            <w:tcW w:w="0" w:type="auto"/>
            <w:vAlign w:val="center"/>
            <w:hideMark/>
          </w:tcPr>
          <w:p w14:paraId="37A0B3D0" w14:textId="77777777" w:rsidR="003D65FD" w:rsidRPr="003D65FD" w:rsidRDefault="003D65FD" w:rsidP="003D65FD">
            <w:pPr>
              <w:rPr>
                <w:rFonts w:cstheme="minorHAnsi"/>
                <w:sz w:val="16"/>
                <w:szCs w:val="16"/>
              </w:rPr>
            </w:pPr>
            <w:r w:rsidRPr="003D65FD">
              <w:rPr>
                <w:rFonts w:cstheme="minorHAnsi"/>
                <w:sz w:val="16"/>
                <w:szCs w:val="16"/>
              </w:rPr>
              <w:t>Technical briefings; targeted presentations; policy notes</w:t>
            </w:r>
          </w:p>
        </w:tc>
        <w:tc>
          <w:tcPr>
            <w:tcW w:w="0" w:type="auto"/>
            <w:vAlign w:val="center"/>
            <w:hideMark/>
          </w:tcPr>
          <w:p w14:paraId="2B1F0536" w14:textId="77777777" w:rsidR="003D65FD" w:rsidRPr="003D65FD" w:rsidRDefault="003D65FD" w:rsidP="003D65FD">
            <w:pPr>
              <w:rPr>
                <w:rFonts w:cstheme="minorHAnsi"/>
                <w:sz w:val="16"/>
                <w:szCs w:val="16"/>
              </w:rPr>
            </w:pPr>
            <w:r w:rsidRPr="003D65FD">
              <w:rPr>
                <w:rFonts w:cstheme="minorHAnsi"/>
                <w:sz w:val="16"/>
                <w:szCs w:val="16"/>
              </w:rPr>
              <w:t>Regional and cantonal administrations; sectoral authorities</w:t>
            </w:r>
          </w:p>
        </w:tc>
      </w:tr>
      <w:tr w:rsidR="003D65FD" w:rsidRPr="003D65FD" w14:paraId="04EF223E" w14:textId="77777777" w:rsidTr="003D65FD">
        <w:trPr>
          <w:tblCellSpacing w:w="15" w:type="dxa"/>
        </w:trPr>
        <w:tc>
          <w:tcPr>
            <w:tcW w:w="0" w:type="auto"/>
            <w:vAlign w:val="center"/>
            <w:hideMark/>
          </w:tcPr>
          <w:p w14:paraId="06CE9F3F" w14:textId="77777777" w:rsidR="003D65FD" w:rsidRPr="003D65FD" w:rsidRDefault="003D65FD" w:rsidP="003D65FD">
            <w:pPr>
              <w:rPr>
                <w:rFonts w:cstheme="minorHAnsi"/>
                <w:sz w:val="16"/>
                <w:szCs w:val="16"/>
              </w:rPr>
            </w:pPr>
            <w:r w:rsidRPr="003D65FD">
              <w:rPr>
                <w:rFonts w:cstheme="minorHAnsi"/>
                <w:sz w:val="16"/>
                <w:szCs w:val="16"/>
              </w:rPr>
              <w:t>Municipal and regional administrations</w:t>
            </w:r>
          </w:p>
        </w:tc>
        <w:tc>
          <w:tcPr>
            <w:tcW w:w="0" w:type="auto"/>
            <w:vAlign w:val="center"/>
            <w:hideMark/>
          </w:tcPr>
          <w:p w14:paraId="3FBFDE26" w14:textId="77777777" w:rsidR="003D65FD" w:rsidRPr="003D65FD" w:rsidRDefault="003D65FD" w:rsidP="003D65FD">
            <w:pPr>
              <w:rPr>
                <w:rFonts w:cstheme="minorHAnsi"/>
                <w:sz w:val="16"/>
                <w:szCs w:val="16"/>
              </w:rPr>
            </w:pPr>
            <w:r w:rsidRPr="003D65FD">
              <w:rPr>
                <w:rFonts w:cstheme="minorHAnsi"/>
                <w:sz w:val="16"/>
                <w:szCs w:val="16"/>
              </w:rPr>
              <w:t>Groundwater vulnerability and risk dynamics</w:t>
            </w:r>
          </w:p>
        </w:tc>
        <w:tc>
          <w:tcPr>
            <w:tcW w:w="0" w:type="auto"/>
            <w:vAlign w:val="center"/>
            <w:hideMark/>
          </w:tcPr>
          <w:p w14:paraId="3EBA1C5D" w14:textId="77777777" w:rsidR="003D65FD" w:rsidRPr="003D65FD" w:rsidRDefault="003D65FD" w:rsidP="003D65FD">
            <w:pPr>
              <w:rPr>
                <w:rFonts w:cstheme="minorHAnsi"/>
                <w:sz w:val="16"/>
                <w:szCs w:val="16"/>
              </w:rPr>
            </w:pPr>
            <w:r w:rsidRPr="003D65FD">
              <w:rPr>
                <w:rFonts w:cstheme="minorHAnsi"/>
                <w:sz w:val="16"/>
                <w:szCs w:val="16"/>
              </w:rPr>
              <w:t>Karst aquifers are highly vulnerable and require preventive, risk-aware planning</w:t>
            </w:r>
          </w:p>
        </w:tc>
        <w:tc>
          <w:tcPr>
            <w:tcW w:w="0" w:type="auto"/>
            <w:vAlign w:val="center"/>
            <w:hideMark/>
          </w:tcPr>
          <w:p w14:paraId="04DEFD59" w14:textId="77777777" w:rsidR="003D65FD" w:rsidRPr="003D65FD" w:rsidRDefault="003D65FD" w:rsidP="003D65FD">
            <w:pPr>
              <w:rPr>
                <w:rFonts w:cstheme="minorHAnsi"/>
                <w:sz w:val="16"/>
                <w:szCs w:val="16"/>
              </w:rPr>
            </w:pPr>
            <w:r w:rsidRPr="003D65FD">
              <w:rPr>
                <w:rFonts w:cstheme="minorHAnsi"/>
                <w:sz w:val="16"/>
                <w:szCs w:val="16"/>
              </w:rPr>
              <w:t>Technical briefings; monitoring reports; expert presentations</w:t>
            </w:r>
          </w:p>
        </w:tc>
        <w:tc>
          <w:tcPr>
            <w:tcW w:w="0" w:type="auto"/>
            <w:vAlign w:val="center"/>
            <w:hideMark/>
          </w:tcPr>
          <w:p w14:paraId="79A9DF79" w14:textId="77777777" w:rsidR="003D65FD" w:rsidRPr="003D65FD" w:rsidRDefault="003D65FD" w:rsidP="003D65FD">
            <w:pPr>
              <w:rPr>
                <w:rFonts w:cstheme="minorHAnsi"/>
                <w:sz w:val="16"/>
                <w:szCs w:val="16"/>
              </w:rPr>
            </w:pPr>
            <w:r w:rsidRPr="003D65FD">
              <w:rPr>
                <w:rFonts w:cstheme="minorHAnsi"/>
                <w:sz w:val="16"/>
                <w:szCs w:val="16"/>
              </w:rPr>
              <w:t>Water authorities; research institutions; environmental agencies</w:t>
            </w:r>
          </w:p>
        </w:tc>
      </w:tr>
      <w:tr w:rsidR="003D65FD" w:rsidRPr="003D65FD" w14:paraId="1DC91D1E" w14:textId="77777777" w:rsidTr="003D65FD">
        <w:trPr>
          <w:tblCellSpacing w:w="15" w:type="dxa"/>
        </w:trPr>
        <w:tc>
          <w:tcPr>
            <w:tcW w:w="0" w:type="auto"/>
            <w:vAlign w:val="center"/>
            <w:hideMark/>
          </w:tcPr>
          <w:p w14:paraId="65014C9C" w14:textId="77777777" w:rsidR="003D65FD" w:rsidRPr="003D65FD" w:rsidRDefault="003D65FD" w:rsidP="003D65FD">
            <w:pPr>
              <w:rPr>
                <w:rFonts w:cstheme="minorHAnsi"/>
                <w:sz w:val="16"/>
                <w:szCs w:val="16"/>
              </w:rPr>
            </w:pPr>
            <w:r w:rsidRPr="003D65FD">
              <w:rPr>
                <w:rFonts w:cstheme="minorHAnsi"/>
                <w:sz w:val="16"/>
                <w:szCs w:val="16"/>
              </w:rPr>
              <w:lastRenderedPageBreak/>
              <w:t>Local, regional and national authorities</w:t>
            </w:r>
          </w:p>
        </w:tc>
        <w:tc>
          <w:tcPr>
            <w:tcW w:w="0" w:type="auto"/>
            <w:vAlign w:val="center"/>
            <w:hideMark/>
          </w:tcPr>
          <w:p w14:paraId="7DE4DD53" w14:textId="77777777" w:rsidR="003D65FD" w:rsidRPr="003D65FD" w:rsidRDefault="003D65FD" w:rsidP="003D65FD">
            <w:pPr>
              <w:rPr>
                <w:rFonts w:cstheme="minorHAnsi"/>
                <w:sz w:val="16"/>
                <w:szCs w:val="16"/>
              </w:rPr>
            </w:pPr>
            <w:r w:rsidRPr="003D65FD">
              <w:rPr>
                <w:rFonts w:cstheme="minorHAnsi"/>
                <w:sz w:val="16"/>
                <w:szCs w:val="16"/>
              </w:rPr>
              <w:t>Institutional coordination and governance</w:t>
            </w:r>
          </w:p>
        </w:tc>
        <w:tc>
          <w:tcPr>
            <w:tcW w:w="0" w:type="auto"/>
            <w:vAlign w:val="center"/>
            <w:hideMark/>
          </w:tcPr>
          <w:p w14:paraId="500BC57E" w14:textId="77777777" w:rsidR="003D65FD" w:rsidRPr="003D65FD" w:rsidRDefault="003D65FD" w:rsidP="003D65FD">
            <w:pPr>
              <w:rPr>
                <w:rFonts w:cstheme="minorHAnsi"/>
                <w:sz w:val="16"/>
                <w:szCs w:val="16"/>
              </w:rPr>
            </w:pPr>
            <w:r w:rsidRPr="003D65FD">
              <w:rPr>
                <w:rFonts w:cstheme="minorHAnsi"/>
                <w:sz w:val="16"/>
                <w:szCs w:val="16"/>
              </w:rPr>
              <w:t>Effective groundwater protection depends on vertical and horizontal coordination</w:t>
            </w:r>
          </w:p>
        </w:tc>
        <w:tc>
          <w:tcPr>
            <w:tcW w:w="0" w:type="auto"/>
            <w:vAlign w:val="center"/>
            <w:hideMark/>
          </w:tcPr>
          <w:p w14:paraId="6EA454DA" w14:textId="77777777" w:rsidR="003D65FD" w:rsidRPr="003D65FD" w:rsidRDefault="003D65FD" w:rsidP="003D65FD">
            <w:pPr>
              <w:rPr>
                <w:rFonts w:cstheme="minorHAnsi"/>
                <w:sz w:val="16"/>
                <w:szCs w:val="16"/>
              </w:rPr>
            </w:pPr>
            <w:r w:rsidRPr="003D65FD">
              <w:rPr>
                <w:rFonts w:cstheme="minorHAnsi"/>
                <w:sz w:val="16"/>
                <w:szCs w:val="16"/>
              </w:rPr>
              <w:t>Facilitated coordination meetings; inter-sectoral workshops</w:t>
            </w:r>
          </w:p>
        </w:tc>
        <w:tc>
          <w:tcPr>
            <w:tcW w:w="0" w:type="auto"/>
            <w:vAlign w:val="center"/>
            <w:hideMark/>
          </w:tcPr>
          <w:p w14:paraId="3158267B" w14:textId="77777777" w:rsidR="003D65FD" w:rsidRPr="003D65FD" w:rsidRDefault="003D65FD" w:rsidP="003D65FD">
            <w:pPr>
              <w:rPr>
                <w:rFonts w:cstheme="minorHAnsi"/>
                <w:sz w:val="16"/>
                <w:szCs w:val="16"/>
              </w:rPr>
            </w:pPr>
            <w:r w:rsidRPr="003D65FD">
              <w:rPr>
                <w:rFonts w:cstheme="minorHAnsi"/>
                <w:sz w:val="16"/>
                <w:szCs w:val="16"/>
              </w:rPr>
              <w:t>Lead water authorities; coordination bodies; ministries</w:t>
            </w:r>
          </w:p>
        </w:tc>
      </w:tr>
      <w:tr w:rsidR="003D65FD" w:rsidRPr="003D65FD" w14:paraId="44F5A139" w14:textId="77777777" w:rsidTr="003D65FD">
        <w:trPr>
          <w:tblCellSpacing w:w="15" w:type="dxa"/>
        </w:trPr>
        <w:tc>
          <w:tcPr>
            <w:tcW w:w="0" w:type="auto"/>
            <w:vAlign w:val="center"/>
            <w:hideMark/>
          </w:tcPr>
          <w:p w14:paraId="476ED8F9" w14:textId="77777777" w:rsidR="003D65FD" w:rsidRPr="003D65FD" w:rsidRDefault="003D65FD" w:rsidP="003D65FD">
            <w:pPr>
              <w:rPr>
                <w:rFonts w:cstheme="minorHAnsi"/>
                <w:sz w:val="16"/>
                <w:szCs w:val="16"/>
              </w:rPr>
            </w:pPr>
            <w:r w:rsidRPr="003D65FD">
              <w:rPr>
                <w:rFonts w:cstheme="minorHAnsi"/>
                <w:sz w:val="16"/>
                <w:szCs w:val="16"/>
              </w:rPr>
              <w:t>Joint Water Management Commission</w:t>
            </w:r>
          </w:p>
        </w:tc>
        <w:tc>
          <w:tcPr>
            <w:tcW w:w="0" w:type="auto"/>
            <w:vAlign w:val="center"/>
            <w:hideMark/>
          </w:tcPr>
          <w:p w14:paraId="02869078" w14:textId="77777777" w:rsidR="003D65FD" w:rsidRPr="003D65FD" w:rsidRDefault="003D65FD" w:rsidP="003D65FD">
            <w:pPr>
              <w:rPr>
                <w:rFonts w:cstheme="minorHAnsi"/>
                <w:sz w:val="16"/>
                <w:szCs w:val="16"/>
              </w:rPr>
            </w:pPr>
            <w:r w:rsidRPr="003D65FD">
              <w:rPr>
                <w:rFonts w:cstheme="minorHAnsi"/>
                <w:sz w:val="16"/>
                <w:szCs w:val="16"/>
              </w:rPr>
              <w:t>Bilateral governance and local implementation linkage</w:t>
            </w:r>
          </w:p>
        </w:tc>
        <w:tc>
          <w:tcPr>
            <w:tcW w:w="0" w:type="auto"/>
            <w:vAlign w:val="center"/>
            <w:hideMark/>
          </w:tcPr>
          <w:p w14:paraId="7F60EE0F" w14:textId="77777777" w:rsidR="003D65FD" w:rsidRPr="003D65FD" w:rsidRDefault="003D65FD" w:rsidP="003D65FD">
            <w:pPr>
              <w:rPr>
                <w:rFonts w:cstheme="minorHAnsi"/>
                <w:sz w:val="16"/>
                <w:szCs w:val="16"/>
              </w:rPr>
            </w:pPr>
            <w:r w:rsidRPr="003D65FD">
              <w:rPr>
                <w:rFonts w:cstheme="minorHAnsi"/>
                <w:sz w:val="16"/>
                <w:szCs w:val="16"/>
              </w:rPr>
              <w:t>Local action is the foundation of effective transboundary cooperation</w:t>
            </w:r>
          </w:p>
        </w:tc>
        <w:tc>
          <w:tcPr>
            <w:tcW w:w="0" w:type="auto"/>
            <w:vAlign w:val="center"/>
            <w:hideMark/>
          </w:tcPr>
          <w:p w14:paraId="4499A492" w14:textId="77777777" w:rsidR="003D65FD" w:rsidRPr="003D65FD" w:rsidRDefault="003D65FD" w:rsidP="003D65FD">
            <w:pPr>
              <w:rPr>
                <w:rFonts w:cstheme="minorHAnsi"/>
                <w:sz w:val="16"/>
                <w:szCs w:val="16"/>
              </w:rPr>
            </w:pPr>
            <w:r w:rsidRPr="003D65FD">
              <w:rPr>
                <w:rFonts w:cstheme="minorHAnsi"/>
                <w:sz w:val="16"/>
                <w:szCs w:val="16"/>
              </w:rPr>
              <w:t>JWMC sessions; bilateral technical meetings; national focal point reporting</w:t>
            </w:r>
          </w:p>
        </w:tc>
        <w:tc>
          <w:tcPr>
            <w:tcW w:w="0" w:type="auto"/>
            <w:vAlign w:val="center"/>
            <w:hideMark/>
          </w:tcPr>
          <w:p w14:paraId="554B4DD4" w14:textId="77777777" w:rsidR="003D65FD" w:rsidRPr="003D65FD" w:rsidRDefault="003D65FD" w:rsidP="003D65FD">
            <w:pPr>
              <w:rPr>
                <w:rFonts w:cstheme="minorHAnsi"/>
                <w:sz w:val="16"/>
                <w:szCs w:val="16"/>
              </w:rPr>
            </w:pPr>
            <w:r w:rsidRPr="003D65FD">
              <w:rPr>
                <w:rFonts w:cstheme="minorHAnsi"/>
                <w:sz w:val="16"/>
                <w:szCs w:val="16"/>
              </w:rPr>
              <w:t>Croatian Waters; AVP Jadran; JWMC Secretariat</w:t>
            </w:r>
          </w:p>
        </w:tc>
      </w:tr>
      <w:tr w:rsidR="003D65FD" w:rsidRPr="003D65FD" w14:paraId="75199FF0" w14:textId="77777777" w:rsidTr="003D65FD">
        <w:trPr>
          <w:tblCellSpacing w:w="15" w:type="dxa"/>
        </w:trPr>
        <w:tc>
          <w:tcPr>
            <w:tcW w:w="0" w:type="auto"/>
            <w:vAlign w:val="center"/>
            <w:hideMark/>
          </w:tcPr>
          <w:p w14:paraId="1E36CE11" w14:textId="77777777" w:rsidR="003D65FD" w:rsidRPr="003D65FD" w:rsidRDefault="003D65FD" w:rsidP="003D65FD">
            <w:pPr>
              <w:rPr>
                <w:rFonts w:cstheme="minorHAnsi"/>
                <w:sz w:val="16"/>
                <w:szCs w:val="16"/>
              </w:rPr>
            </w:pPr>
            <w:r w:rsidRPr="003D65FD">
              <w:rPr>
                <w:rFonts w:cstheme="minorHAnsi"/>
                <w:sz w:val="16"/>
                <w:szCs w:val="16"/>
              </w:rPr>
              <w:t>Municipal and regional authorities (HR &amp; BiH)</w:t>
            </w:r>
          </w:p>
        </w:tc>
        <w:tc>
          <w:tcPr>
            <w:tcW w:w="0" w:type="auto"/>
            <w:vAlign w:val="center"/>
            <w:hideMark/>
          </w:tcPr>
          <w:p w14:paraId="378C2B28" w14:textId="77777777" w:rsidR="003D65FD" w:rsidRPr="003D65FD" w:rsidRDefault="003D65FD" w:rsidP="003D65FD">
            <w:pPr>
              <w:rPr>
                <w:rFonts w:cstheme="minorHAnsi"/>
                <w:sz w:val="16"/>
                <w:szCs w:val="16"/>
              </w:rPr>
            </w:pPr>
            <w:r w:rsidRPr="003D65FD">
              <w:rPr>
                <w:rFonts w:cstheme="minorHAnsi"/>
                <w:sz w:val="16"/>
                <w:szCs w:val="16"/>
              </w:rPr>
              <w:t>Transboundary interdependence</w:t>
            </w:r>
          </w:p>
        </w:tc>
        <w:tc>
          <w:tcPr>
            <w:tcW w:w="0" w:type="auto"/>
            <w:vAlign w:val="center"/>
            <w:hideMark/>
          </w:tcPr>
          <w:p w14:paraId="1760743A" w14:textId="77777777" w:rsidR="003D65FD" w:rsidRPr="003D65FD" w:rsidRDefault="003D65FD" w:rsidP="003D65FD">
            <w:pPr>
              <w:rPr>
                <w:rFonts w:cstheme="minorHAnsi"/>
                <w:sz w:val="16"/>
                <w:szCs w:val="16"/>
              </w:rPr>
            </w:pPr>
            <w:r w:rsidRPr="003D65FD">
              <w:rPr>
                <w:rFonts w:cstheme="minorHAnsi"/>
                <w:sz w:val="16"/>
                <w:szCs w:val="16"/>
              </w:rPr>
              <w:t>Hydrologically connected areas require aligned measures across borders</w:t>
            </w:r>
          </w:p>
        </w:tc>
        <w:tc>
          <w:tcPr>
            <w:tcW w:w="0" w:type="auto"/>
            <w:vAlign w:val="center"/>
            <w:hideMark/>
          </w:tcPr>
          <w:p w14:paraId="6A578E9D" w14:textId="77777777" w:rsidR="003D65FD" w:rsidRPr="003D65FD" w:rsidRDefault="003D65FD" w:rsidP="003D65FD">
            <w:pPr>
              <w:rPr>
                <w:rFonts w:cstheme="minorHAnsi"/>
                <w:sz w:val="16"/>
                <w:szCs w:val="16"/>
              </w:rPr>
            </w:pPr>
            <w:r w:rsidRPr="003D65FD">
              <w:rPr>
                <w:rFonts w:cstheme="minorHAnsi"/>
                <w:sz w:val="16"/>
                <w:szCs w:val="16"/>
              </w:rPr>
              <w:t>Cross-border thematic exchanges; joint workshops</w:t>
            </w:r>
          </w:p>
        </w:tc>
        <w:tc>
          <w:tcPr>
            <w:tcW w:w="0" w:type="auto"/>
            <w:vAlign w:val="center"/>
            <w:hideMark/>
          </w:tcPr>
          <w:p w14:paraId="3C070A0E" w14:textId="77777777" w:rsidR="003D65FD" w:rsidRPr="003D65FD" w:rsidRDefault="003D65FD" w:rsidP="003D65FD">
            <w:pPr>
              <w:rPr>
                <w:rFonts w:cstheme="minorHAnsi"/>
                <w:sz w:val="16"/>
                <w:szCs w:val="16"/>
              </w:rPr>
            </w:pPr>
            <w:r w:rsidRPr="003D65FD">
              <w:rPr>
                <w:rFonts w:cstheme="minorHAnsi"/>
                <w:sz w:val="16"/>
                <w:szCs w:val="16"/>
              </w:rPr>
              <w:t>Transboundary coordination bodies; competent national authorities</w:t>
            </w:r>
          </w:p>
        </w:tc>
      </w:tr>
      <w:tr w:rsidR="003D65FD" w:rsidRPr="003D65FD" w14:paraId="564BA1AB" w14:textId="77777777" w:rsidTr="003D65FD">
        <w:trPr>
          <w:tblCellSpacing w:w="15" w:type="dxa"/>
        </w:trPr>
        <w:tc>
          <w:tcPr>
            <w:tcW w:w="0" w:type="auto"/>
            <w:vAlign w:val="center"/>
            <w:hideMark/>
          </w:tcPr>
          <w:p w14:paraId="7319A6C1" w14:textId="77777777" w:rsidR="003D65FD" w:rsidRPr="003D65FD" w:rsidRDefault="003D65FD" w:rsidP="003D65FD">
            <w:pPr>
              <w:rPr>
                <w:rFonts w:cstheme="minorHAnsi"/>
                <w:sz w:val="16"/>
                <w:szCs w:val="16"/>
              </w:rPr>
            </w:pPr>
            <w:r w:rsidRPr="003D65FD">
              <w:rPr>
                <w:rFonts w:cstheme="minorHAnsi"/>
                <w:sz w:val="16"/>
                <w:szCs w:val="16"/>
              </w:rPr>
              <w:t>Municipal and cantonal authorities</w:t>
            </w:r>
          </w:p>
        </w:tc>
        <w:tc>
          <w:tcPr>
            <w:tcW w:w="0" w:type="auto"/>
            <w:vAlign w:val="center"/>
            <w:hideMark/>
          </w:tcPr>
          <w:p w14:paraId="3A1F41F5" w14:textId="77777777" w:rsidR="003D65FD" w:rsidRPr="003D65FD" w:rsidRDefault="003D65FD" w:rsidP="003D65FD">
            <w:pPr>
              <w:rPr>
                <w:rFonts w:cstheme="minorHAnsi"/>
                <w:sz w:val="16"/>
                <w:szCs w:val="16"/>
              </w:rPr>
            </w:pPr>
            <w:r w:rsidRPr="003D65FD">
              <w:rPr>
                <w:rFonts w:cstheme="minorHAnsi"/>
                <w:sz w:val="16"/>
                <w:szCs w:val="16"/>
              </w:rPr>
              <w:t>Practical implementation guidance</w:t>
            </w:r>
          </w:p>
        </w:tc>
        <w:tc>
          <w:tcPr>
            <w:tcW w:w="0" w:type="auto"/>
            <w:vAlign w:val="center"/>
            <w:hideMark/>
          </w:tcPr>
          <w:p w14:paraId="5C3239FB" w14:textId="77777777" w:rsidR="003D65FD" w:rsidRPr="003D65FD" w:rsidRDefault="003D65FD" w:rsidP="003D65FD">
            <w:pPr>
              <w:rPr>
                <w:rFonts w:cstheme="minorHAnsi"/>
                <w:sz w:val="16"/>
                <w:szCs w:val="16"/>
              </w:rPr>
            </w:pPr>
            <w:r w:rsidRPr="003D65FD">
              <w:rPr>
                <w:rFonts w:cstheme="minorHAnsi"/>
                <w:sz w:val="16"/>
                <w:szCs w:val="16"/>
              </w:rPr>
              <w:t>Clear, accessible guidance supports consistent local decision-making</w:t>
            </w:r>
          </w:p>
        </w:tc>
        <w:tc>
          <w:tcPr>
            <w:tcW w:w="0" w:type="auto"/>
            <w:vAlign w:val="center"/>
            <w:hideMark/>
          </w:tcPr>
          <w:p w14:paraId="0DE73431" w14:textId="77777777" w:rsidR="003D65FD" w:rsidRPr="003D65FD" w:rsidRDefault="003D65FD" w:rsidP="003D65FD">
            <w:pPr>
              <w:rPr>
                <w:rFonts w:cstheme="minorHAnsi"/>
                <w:sz w:val="16"/>
                <w:szCs w:val="16"/>
              </w:rPr>
            </w:pPr>
            <w:r w:rsidRPr="003D65FD">
              <w:rPr>
                <w:rFonts w:cstheme="minorHAnsi"/>
                <w:sz w:val="16"/>
                <w:szCs w:val="16"/>
              </w:rPr>
              <w:t>Targeted guidance notes; checklists; advisory sessions</w:t>
            </w:r>
          </w:p>
        </w:tc>
        <w:tc>
          <w:tcPr>
            <w:tcW w:w="0" w:type="auto"/>
            <w:vAlign w:val="center"/>
            <w:hideMark/>
          </w:tcPr>
          <w:p w14:paraId="79CA05C0" w14:textId="77777777" w:rsidR="003D65FD" w:rsidRPr="003D65FD" w:rsidRDefault="003D65FD" w:rsidP="003D65FD">
            <w:pPr>
              <w:rPr>
                <w:rFonts w:cstheme="minorHAnsi"/>
                <w:sz w:val="16"/>
                <w:szCs w:val="16"/>
              </w:rPr>
            </w:pPr>
            <w:r w:rsidRPr="003D65FD">
              <w:rPr>
                <w:rFonts w:cstheme="minorHAnsi"/>
                <w:sz w:val="16"/>
                <w:szCs w:val="16"/>
              </w:rPr>
              <w:t>Water authorities; planning authorities; technical experts</w:t>
            </w:r>
          </w:p>
        </w:tc>
      </w:tr>
      <w:tr w:rsidR="003D65FD" w:rsidRPr="003D65FD" w14:paraId="3202E20D" w14:textId="77777777" w:rsidTr="003D65FD">
        <w:trPr>
          <w:tblCellSpacing w:w="15" w:type="dxa"/>
        </w:trPr>
        <w:tc>
          <w:tcPr>
            <w:tcW w:w="0" w:type="auto"/>
            <w:vAlign w:val="center"/>
            <w:hideMark/>
          </w:tcPr>
          <w:p w14:paraId="2E85EDF8" w14:textId="77777777" w:rsidR="003D65FD" w:rsidRPr="003D65FD" w:rsidRDefault="003D65FD" w:rsidP="003D65FD">
            <w:pPr>
              <w:rPr>
                <w:rFonts w:cstheme="minorHAnsi"/>
                <w:sz w:val="16"/>
                <w:szCs w:val="16"/>
              </w:rPr>
            </w:pPr>
            <w:r w:rsidRPr="003D65FD">
              <w:rPr>
                <w:rFonts w:cstheme="minorHAnsi"/>
                <w:sz w:val="16"/>
                <w:szCs w:val="16"/>
              </w:rPr>
              <w:t>Authorities in pressure hotspots</w:t>
            </w:r>
          </w:p>
        </w:tc>
        <w:tc>
          <w:tcPr>
            <w:tcW w:w="0" w:type="auto"/>
            <w:vAlign w:val="center"/>
            <w:hideMark/>
          </w:tcPr>
          <w:p w14:paraId="63071C8E" w14:textId="77777777" w:rsidR="003D65FD" w:rsidRPr="003D65FD" w:rsidRDefault="003D65FD" w:rsidP="003D65FD">
            <w:pPr>
              <w:rPr>
                <w:rFonts w:cstheme="minorHAnsi"/>
                <w:sz w:val="16"/>
                <w:szCs w:val="16"/>
              </w:rPr>
            </w:pPr>
            <w:r w:rsidRPr="003D65FD">
              <w:rPr>
                <w:rFonts w:cstheme="minorHAnsi"/>
                <w:sz w:val="16"/>
                <w:szCs w:val="16"/>
              </w:rPr>
              <w:t>Location-specific risks</w:t>
            </w:r>
          </w:p>
        </w:tc>
        <w:tc>
          <w:tcPr>
            <w:tcW w:w="0" w:type="auto"/>
            <w:vAlign w:val="center"/>
            <w:hideMark/>
          </w:tcPr>
          <w:p w14:paraId="22DF6F25" w14:textId="77777777" w:rsidR="003D65FD" w:rsidRPr="003D65FD" w:rsidRDefault="003D65FD" w:rsidP="003D65FD">
            <w:pPr>
              <w:rPr>
                <w:rFonts w:cstheme="minorHAnsi"/>
                <w:sz w:val="16"/>
                <w:szCs w:val="16"/>
              </w:rPr>
            </w:pPr>
            <w:r w:rsidRPr="003D65FD">
              <w:rPr>
                <w:rFonts w:cstheme="minorHAnsi"/>
                <w:sz w:val="16"/>
                <w:szCs w:val="16"/>
              </w:rPr>
              <w:t>Localised pressures require tailored mitigation measures</w:t>
            </w:r>
          </w:p>
        </w:tc>
        <w:tc>
          <w:tcPr>
            <w:tcW w:w="0" w:type="auto"/>
            <w:vAlign w:val="center"/>
            <w:hideMark/>
          </w:tcPr>
          <w:p w14:paraId="70B7A612" w14:textId="77777777" w:rsidR="003D65FD" w:rsidRPr="003D65FD" w:rsidRDefault="003D65FD" w:rsidP="003D65FD">
            <w:pPr>
              <w:rPr>
                <w:rFonts w:cstheme="minorHAnsi"/>
                <w:sz w:val="16"/>
                <w:szCs w:val="16"/>
              </w:rPr>
            </w:pPr>
            <w:r w:rsidRPr="003D65FD">
              <w:rPr>
                <w:rFonts w:cstheme="minorHAnsi"/>
                <w:sz w:val="16"/>
                <w:szCs w:val="16"/>
              </w:rPr>
              <w:t>Joint problem-solving sessions; field-based discussions</w:t>
            </w:r>
          </w:p>
        </w:tc>
        <w:tc>
          <w:tcPr>
            <w:tcW w:w="0" w:type="auto"/>
            <w:vAlign w:val="center"/>
            <w:hideMark/>
          </w:tcPr>
          <w:p w14:paraId="506AF341" w14:textId="77777777" w:rsidR="003D65FD" w:rsidRPr="003D65FD" w:rsidRDefault="003D65FD" w:rsidP="003D65FD">
            <w:pPr>
              <w:rPr>
                <w:rFonts w:cstheme="minorHAnsi"/>
                <w:sz w:val="16"/>
                <w:szCs w:val="16"/>
              </w:rPr>
            </w:pPr>
            <w:r w:rsidRPr="003D65FD">
              <w:rPr>
                <w:rFonts w:cstheme="minorHAnsi"/>
                <w:sz w:val="16"/>
                <w:szCs w:val="16"/>
              </w:rPr>
              <w:t>Local authorities; sectoral services; technical experts</w:t>
            </w:r>
          </w:p>
        </w:tc>
      </w:tr>
      <w:tr w:rsidR="003D65FD" w:rsidRPr="003D65FD" w14:paraId="7903E8DB" w14:textId="77777777" w:rsidTr="003D65FD">
        <w:trPr>
          <w:tblCellSpacing w:w="15" w:type="dxa"/>
        </w:trPr>
        <w:tc>
          <w:tcPr>
            <w:tcW w:w="0" w:type="auto"/>
            <w:vAlign w:val="center"/>
            <w:hideMark/>
          </w:tcPr>
          <w:p w14:paraId="33A6D39B" w14:textId="77777777" w:rsidR="003D65FD" w:rsidRPr="003D65FD" w:rsidRDefault="003D65FD" w:rsidP="003D65FD">
            <w:pPr>
              <w:rPr>
                <w:rFonts w:cstheme="minorHAnsi"/>
                <w:sz w:val="16"/>
                <w:szCs w:val="16"/>
              </w:rPr>
            </w:pPr>
            <w:r w:rsidRPr="003D65FD">
              <w:rPr>
                <w:rFonts w:cstheme="minorHAnsi"/>
                <w:sz w:val="16"/>
                <w:szCs w:val="16"/>
              </w:rPr>
              <w:t>Local and regional authorities</w:t>
            </w:r>
          </w:p>
        </w:tc>
        <w:tc>
          <w:tcPr>
            <w:tcW w:w="0" w:type="auto"/>
            <w:vAlign w:val="center"/>
            <w:hideMark/>
          </w:tcPr>
          <w:p w14:paraId="2210B4B5" w14:textId="77777777" w:rsidR="003D65FD" w:rsidRPr="003D65FD" w:rsidRDefault="003D65FD" w:rsidP="003D65FD">
            <w:pPr>
              <w:rPr>
                <w:rFonts w:cstheme="minorHAnsi"/>
                <w:sz w:val="16"/>
                <w:szCs w:val="16"/>
              </w:rPr>
            </w:pPr>
            <w:r w:rsidRPr="003D65FD">
              <w:rPr>
                <w:rFonts w:cstheme="minorHAnsi"/>
                <w:sz w:val="16"/>
                <w:szCs w:val="16"/>
              </w:rPr>
              <w:t>Bottom-up communication and learning</w:t>
            </w:r>
          </w:p>
        </w:tc>
        <w:tc>
          <w:tcPr>
            <w:tcW w:w="0" w:type="auto"/>
            <w:vAlign w:val="center"/>
            <w:hideMark/>
          </w:tcPr>
          <w:p w14:paraId="75F13D98" w14:textId="77777777" w:rsidR="003D65FD" w:rsidRPr="003D65FD" w:rsidRDefault="003D65FD" w:rsidP="003D65FD">
            <w:pPr>
              <w:rPr>
                <w:rFonts w:cstheme="minorHAnsi"/>
                <w:sz w:val="16"/>
                <w:szCs w:val="16"/>
              </w:rPr>
            </w:pPr>
            <w:r w:rsidRPr="003D65FD">
              <w:rPr>
                <w:rFonts w:cstheme="minorHAnsi"/>
                <w:sz w:val="16"/>
                <w:szCs w:val="16"/>
              </w:rPr>
              <w:t>Local feedback is essential for adaptive management</w:t>
            </w:r>
          </w:p>
        </w:tc>
        <w:tc>
          <w:tcPr>
            <w:tcW w:w="0" w:type="auto"/>
            <w:vAlign w:val="center"/>
            <w:hideMark/>
          </w:tcPr>
          <w:p w14:paraId="42D4F91D" w14:textId="77777777" w:rsidR="003D65FD" w:rsidRPr="003D65FD" w:rsidRDefault="003D65FD" w:rsidP="003D65FD">
            <w:pPr>
              <w:rPr>
                <w:rFonts w:cstheme="minorHAnsi"/>
                <w:sz w:val="16"/>
                <w:szCs w:val="16"/>
              </w:rPr>
            </w:pPr>
            <w:r w:rsidRPr="003D65FD">
              <w:rPr>
                <w:rFonts w:cstheme="minorHAnsi"/>
                <w:sz w:val="16"/>
                <w:szCs w:val="16"/>
              </w:rPr>
              <w:t>Feedback and reporting channels; periodic reporting</w:t>
            </w:r>
          </w:p>
        </w:tc>
        <w:tc>
          <w:tcPr>
            <w:tcW w:w="0" w:type="auto"/>
            <w:vAlign w:val="center"/>
            <w:hideMark/>
          </w:tcPr>
          <w:p w14:paraId="7F65A1FA" w14:textId="77777777" w:rsidR="003D65FD" w:rsidRPr="003D65FD" w:rsidRDefault="003D65FD" w:rsidP="003D65FD">
            <w:pPr>
              <w:rPr>
                <w:rFonts w:cstheme="minorHAnsi"/>
                <w:sz w:val="16"/>
                <w:szCs w:val="16"/>
              </w:rPr>
            </w:pPr>
            <w:r w:rsidRPr="003D65FD">
              <w:rPr>
                <w:rFonts w:cstheme="minorHAnsi"/>
                <w:sz w:val="16"/>
                <w:szCs w:val="16"/>
              </w:rPr>
              <w:t>Municipal and regional authorities; coordination units</w:t>
            </w:r>
          </w:p>
        </w:tc>
      </w:tr>
      <w:tr w:rsidR="003D65FD" w:rsidRPr="003D65FD" w14:paraId="36F24300" w14:textId="77777777" w:rsidTr="003D65FD">
        <w:trPr>
          <w:tblCellSpacing w:w="15" w:type="dxa"/>
        </w:trPr>
        <w:tc>
          <w:tcPr>
            <w:tcW w:w="0" w:type="auto"/>
            <w:vAlign w:val="center"/>
            <w:hideMark/>
          </w:tcPr>
          <w:p w14:paraId="26090F46" w14:textId="77777777" w:rsidR="003D65FD" w:rsidRPr="003D65FD" w:rsidRDefault="003D65FD" w:rsidP="003D65FD">
            <w:pPr>
              <w:rPr>
                <w:rFonts w:cstheme="minorHAnsi"/>
                <w:sz w:val="16"/>
                <w:szCs w:val="16"/>
              </w:rPr>
            </w:pPr>
            <w:r w:rsidRPr="003D65FD">
              <w:rPr>
                <w:rFonts w:cstheme="minorHAnsi"/>
                <w:sz w:val="16"/>
                <w:szCs w:val="16"/>
              </w:rPr>
              <w:t>Municipal and regional authorities</w:t>
            </w:r>
          </w:p>
        </w:tc>
        <w:tc>
          <w:tcPr>
            <w:tcW w:w="0" w:type="auto"/>
            <w:vAlign w:val="center"/>
            <w:hideMark/>
          </w:tcPr>
          <w:p w14:paraId="449BB1B1" w14:textId="77777777" w:rsidR="003D65FD" w:rsidRPr="003D65FD" w:rsidRDefault="003D65FD" w:rsidP="003D65FD">
            <w:pPr>
              <w:rPr>
                <w:rFonts w:cstheme="minorHAnsi"/>
                <w:sz w:val="16"/>
                <w:szCs w:val="16"/>
              </w:rPr>
            </w:pPr>
            <w:r w:rsidRPr="003D65FD">
              <w:rPr>
                <w:rFonts w:cstheme="minorHAnsi"/>
                <w:sz w:val="16"/>
                <w:szCs w:val="16"/>
              </w:rPr>
              <w:t>Monitoring and evaluation awareness</w:t>
            </w:r>
          </w:p>
        </w:tc>
        <w:tc>
          <w:tcPr>
            <w:tcW w:w="0" w:type="auto"/>
            <w:vAlign w:val="center"/>
            <w:hideMark/>
          </w:tcPr>
          <w:p w14:paraId="23FCB529" w14:textId="77777777" w:rsidR="003D65FD" w:rsidRPr="003D65FD" w:rsidRDefault="003D65FD" w:rsidP="003D65FD">
            <w:pPr>
              <w:rPr>
                <w:rFonts w:cstheme="minorHAnsi"/>
                <w:sz w:val="16"/>
                <w:szCs w:val="16"/>
              </w:rPr>
            </w:pPr>
            <w:r w:rsidRPr="003D65FD">
              <w:rPr>
                <w:rFonts w:cstheme="minorHAnsi"/>
                <w:sz w:val="16"/>
                <w:szCs w:val="16"/>
              </w:rPr>
              <w:t>Regular review improves effectiveness and feasibility of measures</w:t>
            </w:r>
          </w:p>
        </w:tc>
        <w:tc>
          <w:tcPr>
            <w:tcW w:w="0" w:type="auto"/>
            <w:vAlign w:val="center"/>
            <w:hideMark/>
          </w:tcPr>
          <w:p w14:paraId="30BEA1EA" w14:textId="77777777" w:rsidR="003D65FD" w:rsidRPr="003D65FD" w:rsidRDefault="003D65FD" w:rsidP="003D65FD">
            <w:pPr>
              <w:rPr>
                <w:rFonts w:cstheme="minorHAnsi"/>
                <w:sz w:val="16"/>
                <w:szCs w:val="16"/>
              </w:rPr>
            </w:pPr>
            <w:r w:rsidRPr="003D65FD">
              <w:rPr>
                <w:rFonts w:cstheme="minorHAnsi"/>
                <w:sz w:val="16"/>
                <w:szCs w:val="16"/>
              </w:rPr>
              <w:t>Participation in joint reviews; evaluation workshops</w:t>
            </w:r>
          </w:p>
        </w:tc>
        <w:tc>
          <w:tcPr>
            <w:tcW w:w="0" w:type="auto"/>
            <w:vAlign w:val="center"/>
            <w:hideMark/>
          </w:tcPr>
          <w:p w14:paraId="1C565471" w14:textId="77777777" w:rsidR="003D65FD" w:rsidRPr="003D65FD" w:rsidRDefault="003D65FD" w:rsidP="003D65FD">
            <w:pPr>
              <w:rPr>
                <w:rFonts w:cstheme="minorHAnsi"/>
                <w:sz w:val="16"/>
                <w:szCs w:val="16"/>
              </w:rPr>
            </w:pPr>
            <w:r w:rsidRPr="003D65FD">
              <w:rPr>
                <w:rFonts w:cstheme="minorHAnsi"/>
                <w:sz w:val="16"/>
                <w:szCs w:val="16"/>
              </w:rPr>
              <w:t>Lead coordinating institutions; national authorities</w:t>
            </w:r>
          </w:p>
        </w:tc>
      </w:tr>
    </w:tbl>
    <w:p w14:paraId="5E6F16E0" w14:textId="00847FE6" w:rsidR="008B1C34" w:rsidRPr="003D65FD" w:rsidRDefault="008B1C34" w:rsidP="008B1C34">
      <w:pPr>
        <w:jc w:val="both"/>
        <w:rPr>
          <w:sz w:val="8"/>
          <w:szCs w:val="8"/>
        </w:rPr>
      </w:pPr>
    </w:p>
    <w:p w14:paraId="43CDEB0F" w14:textId="3950072C" w:rsidR="008B1C34" w:rsidRPr="00C957AB" w:rsidRDefault="008B1C34" w:rsidP="008B1C34">
      <w:pPr>
        <w:jc w:val="both"/>
      </w:pPr>
    </w:p>
    <w:p w14:paraId="3A736DDE" w14:textId="48781632" w:rsidR="00F33BE0" w:rsidRPr="00F33BE0" w:rsidRDefault="00F33BE0" w:rsidP="00F33BE0">
      <w:pPr>
        <w:pStyle w:val="Heading1"/>
        <w:rPr>
          <w:lang w:val="en-GB"/>
        </w:rPr>
      </w:pPr>
      <w:bookmarkStart w:id="160" w:name="_Toc223524349"/>
      <w:bookmarkStart w:id="161" w:name="_Toc229036251"/>
      <w:r w:rsidRPr="00F33BE0">
        <w:rPr>
          <w:lang w:val="en-GB"/>
        </w:rPr>
        <w:t>8. Measures for sustainable groundwater management</w:t>
      </w:r>
      <w:bookmarkEnd w:id="161"/>
      <w:r w:rsidRPr="00F33BE0">
        <w:rPr>
          <w:lang w:val="en-GB"/>
        </w:rPr>
        <w:t xml:space="preserve"> </w:t>
      </w:r>
    </w:p>
    <w:p w14:paraId="1FA68F54" w14:textId="77777777" w:rsidR="00D235B6" w:rsidRPr="00D235B6" w:rsidRDefault="00D235B6" w:rsidP="00D235B6">
      <w:pPr>
        <w:pStyle w:val="Heading2"/>
        <w:spacing w:after="160"/>
        <w:rPr>
          <w:lang w:val="en-GB"/>
        </w:rPr>
      </w:pPr>
      <w:bookmarkStart w:id="162" w:name="_Toc229036252"/>
      <w:r w:rsidRPr="00D235B6">
        <w:rPr>
          <w:lang w:val="en-GB"/>
        </w:rPr>
        <w:t>8.1 Strategic approach to sustainable groundwater management</w:t>
      </w:r>
      <w:bookmarkEnd w:id="162"/>
      <w:r w:rsidRPr="00D235B6">
        <w:rPr>
          <w:lang w:val="en-GB"/>
        </w:rPr>
        <w:t xml:space="preserve"> </w:t>
      </w:r>
    </w:p>
    <w:p w14:paraId="53D55125" w14:textId="0BD81D5D" w:rsidR="00D235B6" w:rsidRPr="00D235B6" w:rsidRDefault="00D235B6" w:rsidP="00D235B6">
      <w:pPr>
        <w:jc w:val="both"/>
      </w:pPr>
      <w:r w:rsidRPr="00D235B6">
        <w:t xml:space="preserve">Sustainable groundwater management in the Neretva TBA requires a long-term strategic approach that balances socio-economic water demands with the high natural vulnerability of the karst system. The </w:t>
      </w:r>
      <w:r>
        <w:t>TBA</w:t>
      </w:r>
      <w:r w:rsidRPr="00D235B6">
        <w:t xml:space="preserve"> is characterized by highly </w:t>
      </w:r>
      <w:proofErr w:type="spellStart"/>
      <w:r w:rsidRPr="00D235B6">
        <w:t>karstified</w:t>
      </w:r>
      <w:proofErr w:type="spellEnd"/>
      <w:r w:rsidRPr="00D235B6">
        <w:t xml:space="preserve"> geological formations, very rapid groundwater circulation, and strong hydraulic connectivity. These characteristics result in both high sensitivity to contamination and a high degree of transboundary dependency, particularly between recharge areas in Bosnia and Herzegovina and discharge zones in Croatia.</w:t>
      </w:r>
    </w:p>
    <w:p w14:paraId="3996EB28" w14:textId="72C53EBA" w:rsidR="00D235B6" w:rsidRPr="00D235B6" w:rsidRDefault="00D235B6" w:rsidP="00D235B6">
      <w:pPr>
        <w:jc w:val="both"/>
      </w:pPr>
      <w:r w:rsidRPr="00D235B6">
        <w:t xml:space="preserve">The first essential step toward sustainable management is a comprehensive understanding of the groundwater system. This includes delineation of catchment areas, identification of recharge and discharge zones, and continuous monitoring of groundwater quantity and quality. In Neretva TBA, this is particularly important due to the complex karst hydrogeology and the variability of protection status among key springs. Hydrogeological studies have been conducted for most major sources, but the level of implementation of protection measures varies, ranging from formally established sanitary protection zones (e.g. </w:t>
      </w:r>
      <w:proofErr w:type="spellStart"/>
      <w:r w:rsidRPr="00D235B6">
        <w:t>Prud</w:t>
      </w:r>
      <w:proofErr w:type="spellEnd"/>
      <w:r w:rsidRPr="00D235B6">
        <w:t xml:space="preserve"> and </w:t>
      </w:r>
      <w:proofErr w:type="spellStart"/>
      <w:r w:rsidRPr="00D235B6">
        <w:t>Vrioštica</w:t>
      </w:r>
      <w:proofErr w:type="spellEnd"/>
      <w:r w:rsidRPr="00D235B6">
        <w:t xml:space="preserve">) to springs where technical documentation exists but formal protection decisions are still under development (e.g. </w:t>
      </w:r>
      <w:proofErr w:type="spellStart"/>
      <w:r w:rsidRPr="00D235B6">
        <w:t>Grudsko</w:t>
      </w:r>
      <w:proofErr w:type="spellEnd"/>
      <w:r w:rsidRPr="00D235B6">
        <w:t xml:space="preserve"> Vrelo and </w:t>
      </w:r>
      <w:proofErr w:type="spellStart"/>
      <w:r w:rsidRPr="00D235B6">
        <w:t>Opačac</w:t>
      </w:r>
      <w:proofErr w:type="spellEnd"/>
      <w:r w:rsidRPr="00D235B6">
        <w:t xml:space="preserve"> in terms of updating </w:t>
      </w:r>
      <w:r w:rsidRPr="00D235B6">
        <w:lastRenderedPageBreak/>
        <w:t>and harmonisation). Reliable data collection and harmonised monitoring networks are therefore essential for informed decision-making and risk assessment.</w:t>
      </w:r>
    </w:p>
    <w:p w14:paraId="6DC83AE4" w14:textId="55E4881D" w:rsidR="00D235B6" w:rsidRPr="00D235B6" w:rsidRDefault="00D235B6" w:rsidP="00D235B6">
      <w:pPr>
        <w:jc w:val="both"/>
      </w:pPr>
      <w:r w:rsidRPr="00D235B6">
        <w:t xml:space="preserve">A key component of the strategy is the definition of clear sustainability objectives. These objectives generally include the protection of groundwater quality, prevention of pollution, and safeguarding of groundwater-dependent ecosystems such as springs, rivers, and the Neretva </w:t>
      </w:r>
      <w:r w:rsidR="003108B4">
        <w:t>Delta</w:t>
      </w:r>
      <w:r w:rsidRPr="00D235B6">
        <w:t xml:space="preserve"> wetland system. However, due to the spatial variability of pressures and institutional frameworks, these objectives must be adapted to the specific hydrogeological and socio-economic conditions of different parts of the aquifer.</w:t>
      </w:r>
    </w:p>
    <w:p w14:paraId="3588231B" w14:textId="140447E1" w:rsidR="00D235B6" w:rsidRPr="00D235B6" w:rsidRDefault="00D235B6" w:rsidP="00D235B6">
      <w:pPr>
        <w:jc w:val="both"/>
      </w:pPr>
      <w:r w:rsidRPr="00D235B6">
        <w:t>Based on the identified pressures, the main sustainability goals for Neretva TBA should focus on:</w:t>
      </w:r>
    </w:p>
    <w:p w14:paraId="42B79A66" w14:textId="396698F6" w:rsidR="00D235B6" w:rsidRPr="00D235B6" w:rsidRDefault="00D235B6" w:rsidP="00D235B6">
      <w:pPr>
        <w:pStyle w:val="ListParagraph"/>
        <w:numPr>
          <w:ilvl w:val="0"/>
          <w:numId w:val="150"/>
        </w:numPr>
        <w:jc w:val="both"/>
      </w:pPr>
      <w:r w:rsidRPr="00D235B6">
        <w:t>protecting karst groundwater from diffuse and point-source pollution</w:t>
      </w:r>
      <w:r>
        <w:t>;</w:t>
      </w:r>
      <w:r w:rsidRPr="00D235B6">
        <w:t xml:space="preserve"> </w:t>
      </w:r>
    </w:p>
    <w:p w14:paraId="18AB21DC" w14:textId="3006E791" w:rsidR="00D235B6" w:rsidRPr="00D235B6" w:rsidRDefault="00D235B6" w:rsidP="00D235B6">
      <w:pPr>
        <w:pStyle w:val="ListParagraph"/>
        <w:numPr>
          <w:ilvl w:val="0"/>
          <w:numId w:val="150"/>
        </w:numPr>
        <w:jc w:val="both"/>
      </w:pPr>
      <w:r w:rsidRPr="00D235B6">
        <w:t xml:space="preserve">ensuring safe and sustainable use of groundwater resources and </w:t>
      </w:r>
    </w:p>
    <w:p w14:paraId="783EB07D" w14:textId="77777777" w:rsidR="00D235B6" w:rsidRPr="00D235B6" w:rsidRDefault="00D235B6" w:rsidP="00D235B6">
      <w:pPr>
        <w:pStyle w:val="ListParagraph"/>
        <w:numPr>
          <w:ilvl w:val="0"/>
          <w:numId w:val="150"/>
        </w:numPr>
        <w:jc w:val="both"/>
      </w:pPr>
      <w:r w:rsidRPr="00D235B6">
        <w:t xml:space="preserve">strengthening cross-border cooperation and institutional coordination. </w:t>
      </w:r>
    </w:p>
    <w:p w14:paraId="180594C3" w14:textId="22D0362E" w:rsidR="00D235B6" w:rsidRPr="00D235B6" w:rsidRDefault="00D235B6" w:rsidP="00D235B6">
      <w:pPr>
        <w:jc w:val="both"/>
      </w:pPr>
      <w:r w:rsidRPr="00D235B6">
        <w:t xml:space="preserve">Regarding the first goal, protection of groundwater quality, the most significant pressures are related to agricultural activities and insufficient wastewater infrastructure. Diffuse agricultural pollution originating from </w:t>
      </w:r>
      <w:proofErr w:type="spellStart"/>
      <w:r w:rsidRPr="00D235B6">
        <w:t>Ljubuško</w:t>
      </w:r>
      <w:proofErr w:type="spellEnd"/>
      <w:r w:rsidRPr="00D235B6">
        <w:t xml:space="preserve"> Polje, including nitrates, pesticides, and phosphates, represents a key risk to groundwater quality and has the potential to impact the </w:t>
      </w:r>
      <w:proofErr w:type="spellStart"/>
      <w:r w:rsidRPr="00D235B6">
        <w:t>Prud</w:t>
      </w:r>
      <w:proofErr w:type="spellEnd"/>
      <w:r w:rsidRPr="00D235B6">
        <w:t xml:space="preserve"> Spring, an important source of drinking water for coastal areas and islands in Croatia. In addition, inadequate wastewater collection and treatment systems in the municipality of </w:t>
      </w:r>
      <w:proofErr w:type="spellStart"/>
      <w:r w:rsidRPr="00D235B6">
        <w:t>Ljubuški</w:t>
      </w:r>
      <w:proofErr w:type="spellEnd"/>
      <w:r w:rsidRPr="00D235B6">
        <w:t xml:space="preserve"> further increase the vulnerability of the aquifer system. In the downstream Neretva </w:t>
      </w:r>
      <w:r w:rsidR="003108B4">
        <w:t>Delta</w:t>
      </w:r>
      <w:r w:rsidRPr="00D235B6">
        <w:t>, intensive agricultural production and, in some cases, the improper use of fertilizers and pesticides contribute to additional contamination risks. These pressures are further exacerbated by solid waste mismanagement and seasonal tourism-related impacts. Addressing these issues requires improved enforcement of environmental regulations, upgraded wastewater infrastructure, and strengthened control of agricultural inputs.</w:t>
      </w:r>
    </w:p>
    <w:p w14:paraId="2928BF4E" w14:textId="13EE3235" w:rsidR="00D235B6" w:rsidRPr="00D235B6" w:rsidRDefault="00D235B6" w:rsidP="00D235B6">
      <w:pPr>
        <w:jc w:val="both"/>
      </w:pPr>
      <w:r w:rsidRPr="00D235B6">
        <w:t>The second goal, ensuring sustainable groundwater use, is closely linked to maintaining the balance between abstraction and natural recharge</w:t>
      </w:r>
      <w:r w:rsidR="0092178D">
        <w:t xml:space="preserve"> and to </w:t>
      </w:r>
      <w:r w:rsidR="0092178D" w:rsidRPr="00D235B6">
        <w:t>consider</w:t>
      </w:r>
      <w:r w:rsidR="0092178D">
        <w:t>ing future</w:t>
      </w:r>
      <w:r w:rsidR="0092178D" w:rsidRPr="00D235B6">
        <w:t xml:space="preserve"> uncertainties, including </w:t>
      </w:r>
      <w:r w:rsidR="0092178D">
        <w:t>c</w:t>
      </w:r>
      <w:r w:rsidR="0092178D" w:rsidRPr="00D235B6">
        <w:t xml:space="preserve">hanges in precipitation patterns, increased frequency of droughts, and extreme hydrological events. </w:t>
      </w:r>
      <w:r w:rsidRPr="00D235B6">
        <w:t xml:space="preserve"> Although some areas of the </w:t>
      </w:r>
      <w:r w:rsidR="0092178D">
        <w:t>TBA</w:t>
      </w:r>
      <w:r w:rsidRPr="00D235B6">
        <w:t xml:space="preserve"> are not subject to high abstraction pressures, the system remains highly vulnerable due to its rapid response to external influences. Efficient management therefore depends on</w:t>
      </w:r>
      <w:r w:rsidR="0092178D">
        <w:t xml:space="preserve"> a</w:t>
      </w:r>
      <w:r w:rsidR="0092178D" w:rsidRPr="00D235B6">
        <w:t>daptive management approaches</w:t>
      </w:r>
      <w:r w:rsidR="0092178D">
        <w:t xml:space="preserve">, </w:t>
      </w:r>
      <w:r w:rsidR="0092178D" w:rsidRPr="00D235B6">
        <w:t>flexible policy frameworks</w:t>
      </w:r>
      <w:r w:rsidR="0092178D">
        <w:t>,</w:t>
      </w:r>
      <w:r w:rsidRPr="00D235B6">
        <w:t xml:space="preserve"> improved monitoring, </w:t>
      </w:r>
      <w:r w:rsidR="0092178D">
        <w:t xml:space="preserve">data sharing, </w:t>
      </w:r>
      <w:r w:rsidRPr="00D235B6">
        <w:t>reduction of losses in water supply systems, and optimisation of resource use. Strengthening infrastructure efficiency and improving water management practices are essential to ensure long-term reliability of public water supply systems dependent on karst springs.</w:t>
      </w:r>
    </w:p>
    <w:p w14:paraId="1B3FCB3C" w14:textId="60E3FB7D" w:rsidR="00D235B6" w:rsidRDefault="00D235B6" w:rsidP="00D235B6">
      <w:pPr>
        <w:jc w:val="both"/>
      </w:pPr>
      <w:r w:rsidRPr="00D235B6">
        <w:t xml:space="preserve">The third goal emphasizes the importance of institutional strengthening and transboundary cooperation. Given the </w:t>
      </w:r>
      <w:r w:rsidR="0092178D">
        <w:t>transboundary</w:t>
      </w:r>
      <w:r w:rsidRPr="00D235B6">
        <w:t xml:space="preserve"> nature of the aquifer system, effective management cannot be achieved without coordinated action between Bosnia and Herzegovina and Croatia. This includes harmonisation of monitoring networks, alignment of protection criteria, and joint implementation of groundwater protection measures. Existing </w:t>
      </w:r>
      <w:r w:rsidR="0092178D">
        <w:t>projects</w:t>
      </w:r>
      <w:r w:rsidRPr="00D235B6">
        <w:t xml:space="preserve"> and initiatives, such as those under DIKTAS</w:t>
      </w:r>
      <w:r w:rsidR="0092178D">
        <w:t xml:space="preserve"> II</w:t>
      </w:r>
      <w:r w:rsidRPr="00D235B6">
        <w:t>, provide a strong basis for further cooperation and the development of integrated management approaches.</w:t>
      </w:r>
    </w:p>
    <w:p w14:paraId="240A0811" w14:textId="77777777" w:rsidR="00B47247" w:rsidRPr="00D235B6" w:rsidRDefault="00B47247" w:rsidP="00D235B6">
      <w:pPr>
        <w:jc w:val="both"/>
      </w:pPr>
    </w:p>
    <w:p w14:paraId="2584778D" w14:textId="77777777" w:rsidR="008760BF" w:rsidRPr="008760BF" w:rsidRDefault="008760BF" w:rsidP="008760BF">
      <w:pPr>
        <w:pStyle w:val="Heading2"/>
        <w:rPr>
          <w:rFonts w:cstheme="majorHAnsi"/>
          <w:b w:val="0"/>
          <w:bCs/>
          <w:color w:val="auto"/>
          <w:lang w:val="en-GB"/>
        </w:rPr>
      </w:pPr>
      <w:bookmarkStart w:id="163" w:name="_Toc229036253"/>
      <w:r w:rsidRPr="008760BF">
        <w:rPr>
          <w:lang w:val="en-GB"/>
        </w:rPr>
        <w:lastRenderedPageBreak/>
        <w:t>8.2 Promotion of water</w:t>
      </w:r>
      <w:r w:rsidRPr="008760BF">
        <w:rPr>
          <w:rFonts w:ascii="Cambria Math" w:hAnsi="Cambria Math" w:cs="Cambria Math"/>
          <w:lang w:val="en-GB"/>
        </w:rPr>
        <w:t>‑</w:t>
      </w:r>
      <w:r w:rsidRPr="008760BF">
        <w:rPr>
          <w:lang w:val="en-GB"/>
        </w:rPr>
        <w:t>efficient &amp; low</w:t>
      </w:r>
      <w:r w:rsidRPr="008760BF">
        <w:rPr>
          <w:rFonts w:ascii="Cambria Math" w:hAnsi="Cambria Math" w:cs="Cambria Math"/>
          <w:lang w:val="en-GB"/>
        </w:rPr>
        <w:t>‑</w:t>
      </w:r>
      <w:r w:rsidRPr="008760BF">
        <w:rPr>
          <w:lang w:val="en-GB"/>
        </w:rPr>
        <w:t>impact agricultural technologies</w:t>
      </w:r>
      <w:bookmarkEnd w:id="163"/>
      <w:r w:rsidRPr="008760BF">
        <w:rPr>
          <w:rFonts w:cstheme="majorHAnsi"/>
          <w:b w:val="0"/>
          <w:color w:val="auto"/>
          <w:lang w:val="en-GB"/>
        </w:rPr>
        <w:t xml:space="preserve"> </w:t>
      </w:r>
    </w:p>
    <w:p w14:paraId="65EB23B4" w14:textId="35C66B50" w:rsidR="008760BF" w:rsidRPr="00FA7CEB" w:rsidRDefault="008760BF" w:rsidP="008760BF">
      <w:pPr>
        <w:jc w:val="both"/>
      </w:pPr>
      <w:r w:rsidRPr="00FA7CEB">
        <w:t xml:space="preserve">Efficient water use and the reduction of agricultural pollution represent key components of sustainable groundwater management in Neretva TBA. </w:t>
      </w:r>
      <w:r>
        <w:t>A</w:t>
      </w:r>
      <w:r w:rsidRPr="00FA7CEB">
        <w:t xml:space="preserve">gricultural practices in recharge areas can have direct and fast impacts on groundwater quality and downstream springs. This is particularly important for vulnerable drinking water sources such as the </w:t>
      </w:r>
      <w:proofErr w:type="spellStart"/>
      <w:r w:rsidRPr="00FA7CEB">
        <w:t>Prud</w:t>
      </w:r>
      <w:proofErr w:type="spellEnd"/>
      <w:r w:rsidRPr="00FA7CEB">
        <w:t xml:space="preserve"> Spring and for ecologically sensitive areas such as the Neretva </w:t>
      </w:r>
      <w:r w:rsidR="003108B4">
        <w:t>Delta</w:t>
      </w:r>
      <w:r w:rsidRPr="00FA7CEB">
        <w:t>.</w:t>
      </w:r>
    </w:p>
    <w:p w14:paraId="1EF8783A" w14:textId="0B70BEA4" w:rsidR="008760BF" w:rsidRPr="00FA7CEB" w:rsidRDefault="008760BF" w:rsidP="008760BF">
      <w:pPr>
        <w:jc w:val="both"/>
      </w:pPr>
      <w:r w:rsidRPr="00FA7CEB">
        <w:t>In this context, the promotion of water-efficient and low-impact agricultural technologies is essential not only for reducing water consumption, but also for minimizing nutrient and pesticide leaching into the karst aquifer. Water-efficient irrigation technologies play an important role in reducing both water abstraction and pollutant transport. These include drip irrigation systems, automated irrigation controlled by soil moisture sensors, and improved scheduling based on meteorological data. Such technologies allow for precise water application, reducing excess infiltration that can facilitate the transport of nutrients and contaminants into the karst system. Rainwater harvesting and on-farm water storage can further reduce dependence on groundwater abstraction and improve resilience during dry periods.</w:t>
      </w:r>
    </w:p>
    <w:p w14:paraId="3D29083C" w14:textId="77777777" w:rsidR="008760BF" w:rsidRPr="00FA7CEB" w:rsidRDefault="008760BF" w:rsidP="008760BF">
      <w:pPr>
        <w:jc w:val="both"/>
      </w:pPr>
      <w:r w:rsidRPr="00FA7CEB">
        <w:t>In addition to irrigation efficiency, good agricultural practices are critical for protecting groundwater quality. These include controlled and reduced use of fertilizers and pesticides, precision agriculture techniques, and the establishment of buffer zones along recharge areas and karst features such as dolines and swallow holes. Proper timing and dosing of agricultural inputs significantly reduce the risk of nutrient leaching, particularly nitrates, which are highly mobile in karst environments.</w:t>
      </w:r>
    </w:p>
    <w:p w14:paraId="6A2DC45B" w14:textId="77777777" w:rsidR="008760BF" w:rsidRPr="00FA7CEB" w:rsidRDefault="008760BF" w:rsidP="008760BF">
      <w:pPr>
        <w:jc w:val="both"/>
      </w:pPr>
      <w:r w:rsidRPr="00FA7CEB">
        <w:t xml:space="preserve">At the farm and community level, improved manure management, crop rotation, and soil conservation practices can further reduce diffuse pollution pressures. These measures are particularly relevant in recharge zones of the </w:t>
      </w:r>
      <w:proofErr w:type="spellStart"/>
      <w:r w:rsidRPr="00FA7CEB">
        <w:t>Prud</w:t>
      </w:r>
      <w:proofErr w:type="spellEnd"/>
      <w:r w:rsidRPr="00FA7CEB">
        <w:t xml:space="preserve"> Spring system, where agricultural activities directly influence groundwater quality used for public water supply.</w:t>
      </w:r>
    </w:p>
    <w:p w14:paraId="78D2B9BC" w14:textId="6B11AD32" w:rsidR="008760BF" w:rsidRPr="00FA7CEB" w:rsidRDefault="008760BF" w:rsidP="008760BF">
      <w:pPr>
        <w:jc w:val="both"/>
      </w:pPr>
      <w:r w:rsidRPr="00FA7CEB">
        <w:t>Although agricultural water demand in</w:t>
      </w:r>
      <w:r>
        <w:t xml:space="preserve"> some</w:t>
      </w:r>
      <w:r w:rsidRPr="00FA7CEB">
        <w:t xml:space="preserve"> parts of the </w:t>
      </w:r>
      <w:r>
        <w:t>TBA</w:t>
      </w:r>
      <w:r w:rsidRPr="00FA7CEB">
        <w:t xml:space="preserve"> is still moderate, the ecological sensitivity of the karst aquifer means that even relatively low-intensity activities can generate significant impacts. Therefore, linking agricultural practices with regulatory frameworks, including environmental permitting and sanitary protection zones, is essential to ensure compliance and sustainability.</w:t>
      </w:r>
    </w:p>
    <w:p w14:paraId="472C69F7" w14:textId="77777777" w:rsidR="008760BF" w:rsidRPr="00FA7CEB" w:rsidRDefault="008760BF" w:rsidP="008760BF">
      <w:pPr>
        <w:jc w:val="both"/>
      </w:pPr>
      <w:r w:rsidRPr="00FA7CEB">
        <w:t>The promotion of these technologies and practices should be accompanied by capacity building and awareness raising among farmers, local authorities, and water users. Strengthening knowledge on the relationship between agricultural inputs, groundwater vulnerability, and downstream ecological impacts is particularly important in transboundary areas, where impacts in one country may directly affect water resources in the other.</w:t>
      </w:r>
    </w:p>
    <w:p w14:paraId="35E62F94" w14:textId="77777777" w:rsidR="008760BF" w:rsidRDefault="008760BF" w:rsidP="008760BF"/>
    <w:p w14:paraId="3C8C4C4F" w14:textId="77777777" w:rsidR="00352A34" w:rsidRPr="00352A34" w:rsidRDefault="00352A34" w:rsidP="00352A34">
      <w:pPr>
        <w:pStyle w:val="Heading2"/>
        <w:jc w:val="both"/>
        <w:rPr>
          <w:rFonts w:cstheme="majorHAnsi"/>
          <w:b w:val="0"/>
          <w:bCs/>
          <w:color w:val="auto"/>
          <w:lang w:val="en-GB"/>
        </w:rPr>
      </w:pPr>
      <w:bookmarkStart w:id="164" w:name="_Toc229036254"/>
      <w:r w:rsidRPr="00352A34">
        <w:rPr>
          <w:lang w:val="en-GB"/>
        </w:rPr>
        <w:t>8.3 Control and permitting of groundwater abstraction &amp; wastewater discharge</w:t>
      </w:r>
      <w:bookmarkEnd w:id="164"/>
      <w:r w:rsidRPr="00352A34">
        <w:rPr>
          <w:rFonts w:cstheme="majorHAnsi"/>
          <w:b w:val="0"/>
          <w:color w:val="auto"/>
          <w:lang w:val="en-GB"/>
        </w:rPr>
        <w:t xml:space="preserve"> </w:t>
      </w:r>
    </w:p>
    <w:p w14:paraId="6D5858AD" w14:textId="77777777" w:rsidR="00352A34" w:rsidRPr="00352A34" w:rsidRDefault="00352A34" w:rsidP="00352A34">
      <w:pPr>
        <w:jc w:val="both"/>
      </w:pPr>
      <w:r w:rsidRPr="00352A34">
        <w:t xml:space="preserve">Controlling and licensing groundwater exploitation and wastewater discharge is essential for protecting water resources and ensuring sustainable use. A proper regulatory framework helps prevent over-extraction of aquifers, reduces pollution risks, and ensures that both groundwater and surface water remain safe for human consumption, agriculture, and ecosystems. </w:t>
      </w:r>
    </w:p>
    <w:p w14:paraId="714EC6DA" w14:textId="7A10A93A" w:rsidR="00352A34" w:rsidRPr="00352A34" w:rsidRDefault="00352A34" w:rsidP="00352A34">
      <w:pPr>
        <w:jc w:val="both"/>
      </w:pPr>
      <w:r w:rsidRPr="00352A34">
        <w:t>In both countries, water use and discharge are regulated through the</w:t>
      </w:r>
      <w:r>
        <w:t xml:space="preserve"> respective</w:t>
      </w:r>
      <w:r w:rsidRPr="00352A34">
        <w:t xml:space="preserve"> Water Act</w:t>
      </w:r>
      <w:r w:rsidR="00FF2D1C">
        <w:t>s</w:t>
      </w:r>
      <w:r w:rsidRPr="00352A34">
        <w:t xml:space="preserve"> and supporting regulations, which establish a clear permitting system for groundwater abstraction and </w:t>
      </w:r>
      <w:r w:rsidRPr="00352A34">
        <w:lastRenderedPageBreak/>
        <w:t>wastewater discharge, supplemented by concession rules for large-scale users. Water Act</w:t>
      </w:r>
      <w:r>
        <w:t>s</w:t>
      </w:r>
      <w:r w:rsidRPr="00352A34">
        <w:t xml:space="preserve"> prohibit direct discharges into groundwater and </w:t>
      </w:r>
      <w:r w:rsidR="00FF2D1C" w:rsidRPr="00352A34">
        <w:t>allow</w:t>
      </w:r>
      <w:r w:rsidRPr="00352A34">
        <w:t xml:space="preserve"> indirect discharges only under strict conditions.</w:t>
      </w:r>
    </w:p>
    <w:p w14:paraId="762F8983" w14:textId="247BDDA1" w:rsidR="00352A34" w:rsidRPr="00FF2D1C" w:rsidRDefault="00FF2D1C" w:rsidP="00FF2D1C">
      <w:pPr>
        <w:pStyle w:val="Heading3"/>
      </w:pPr>
      <w:bookmarkStart w:id="165" w:name="_Toc229036255"/>
      <w:r w:rsidRPr="00FF2D1C">
        <w:t xml:space="preserve">8.3.1 </w:t>
      </w:r>
      <w:r w:rsidR="00352A34" w:rsidRPr="00FF2D1C">
        <w:t>Water use</w:t>
      </w:r>
      <w:bookmarkEnd w:id="165"/>
      <w:r w:rsidR="00352A34" w:rsidRPr="00FF2D1C">
        <w:t xml:space="preserve"> </w:t>
      </w:r>
    </w:p>
    <w:p w14:paraId="18BB4B39" w14:textId="29A2E769" w:rsidR="00352A34" w:rsidRPr="00352A34" w:rsidRDefault="00352A34" w:rsidP="00352A34">
      <w:pPr>
        <w:jc w:val="both"/>
      </w:pPr>
      <w:r w:rsidRPr="00352A34">
        <w:t xml:space="preserve">In </w:t>
      </w:r>
      <w:r w:rsidRPr="00FF2D1C">
        <w:rPr>
          <w:bCs/>
        </w:rPr>
        <w:t>Croatia</w:t>
      </w:r>
      <w:r w:rsidRPr="00352A34">
        <w:t xml:space="preserve">, the Water Act (Official Gazette RC No. 66/2019, 84/21 and 47/23) and the Rulebook on the Issuance of Water Acts (Official Gazette RC No. 9/20 and 39/22) regulate the use of surface and groundwater, ensuring that waters are treated as a public good and protected from private ownership. Water use permits, issued by Croatian Waters for up to 12 years, cover public water supply, technological or industrial water, and small-scale irrigation of less than 10,000 m³ per year. Water use concessions, issued by the </w:t>
      </w:r>
      <w:r w:rsidR="00FF2D1C">
        <w:t>relevant m</w:t>
      </w:r>
      <w:r w:rsidRPr="00352A34">
        <w:t xml:space="preserve">inistry for waters used for economic purposes, cover large-scale irrigation, water for electricity production, and the abstraction of mineral, geothermal, or marketable drinking water, and are typically valid for 30–40 years. Croatian Waters must provide their opinion when concessions are considered, ensuring coordination between permit management and large-scale economic water use. All permit and concession holders are required to record the quantities of water they abstract and report them to Croatian Waters. However, the legal requirements regarding reporting periods are not clearly defined, particularly for irrigation and industrial or technological water use, which are generally reported annually for smaller volumes. For public water supply, the reporting system is now integrated with the Croatian Waters database, enabling continuous monitoring of all abstraction </w:t>
      </w:r>
      <w:r w:rsidR="00FF2D1C" w:rsidRPr="00352A34">
        <w:t>quantities</w:t>
      </w:r>
      <w:r w:rsidRPr="00352A34">
        <w:t xml:space="preserve"> from public water supply springs/wells.</w:t>
      </w:r>
    </w:p>
    <w:p w14:paraId="64417B15" w14:textId="556C01A4" w:rsidR="00352A34" w:rsidRPr="00352A34" w:rsidRDefault="00352A34" w:rsidP="00352A34">
      <w:pPr>
        <w:jc w:val="both"/>
      </w:pPr>
      <w:r w:rsidRPr="00352A34">
        <w:t xml:space="preserve">For exploratory or investigative drilling of wells, it is necessary to obtain preliminary water conditions and a water consent from Croatian Waters before a full water permit can be issued. Although these permits require that such water works (drilling and test pumping) do not affect </w:t>
      </w:r>
      <w:r w:rsidR="00FF2D1C" w:rsidRPr="00352A34">
        <w:t>neighbouring</w:t>
      </w:r>
      <w:r w:rsidRPr="00352A34">
        <w:t xml:space="preserve"> wells/springs/ surface water, the cumulative impact is difficult to determine and is therefore assessed only within the analysis for evaluating the quantitative status of groundwater bodies. </w:t>
      </w:r>
    </w:p>
    <w:p w14:paraId="3F1BC95E" w14:textId="77FFAB9F" w:rsidR="00352A34" w:rsidRPr="00352A34" w:rsidRDefault="00352A34" w:rsidP="00352A34">
      <w:pPr>
        <w:jc w:val="both"/>
      </w:pPr>
      <w:r w:rsidRPr="00352A34">
        <w:t>In general, the extracted quantities used for public water supply were primarily considered for status assessment, while other forms of use (irrigation, technological/industrial water) were also included, but the data were incomplete and difficult to quantify (</w:t>
      </w:r>
      <w:r w:rsidR="00FF2D1C">
        <w:t>3</w:t>
      </w:r>
      <w:r w:rsidR="00FF2D1C" w:rsidRPr="00FF2D1C">
        <w:rPr>
          <w:vertAlign w:val="superscript"/>
        </w:rPr>
        <w:t>rd</w:t>
      </w:r>
      <w:r w:rsidR="00FF2D1C">
        <w:t xml:space="preserve"> R</w:t>
      </w:r>
      <w:r w:rsidRPr="00352A34">
        <w:t xml:space="preserve">iver </w:t>
      </w:r>
      <w:r w:rsidR="00FF2D1C">
        <w:t>B</w:t>
      </w:r>
      <w:r w:rsidRPr="00352A34">
        <w:t xml:space="preserve">asin </w:t>
      </w:r>
      <w:r w:rsidR="00FF2D1C">
        <w:t>M</w:t>
      </w:r>
      <w:r w:rsidRPr="00352A34">
        <w:t xml:space="preserve">anagement </w:t>
      </w:r>
      <w:r w:rsidR="00FF2D1C">
        <w:t>P</w:t>
      </w:r>
      <w:r w:rsidRPr="00352A34">
        <w:t>lan</w:t>
      </w:r>
      <w:r w:rsidR="00FF2D1C">
        <w:t>, RBMP)</w:t>
      </w:r>
      <w:r w:rsidRPr="00352A34">
        <w:t xml:space="preserve"> did not specify separate categories of water use).</w:t>
      </w:r>
    </w:p>
    <w:p w14:paraId="2808F4D7" w14:textId="1FDAAC8F" w:rsidR="00352A34" w:rsidRPr="00352A34" w:rsidRDefault="00352A34" w:rsidP="00352A34">
      <w:pPr>
        <w:jc w:val="both"/>
      </w:pPr>
      <w:r w:rsidRPr="00352A34">
        <w:t xml:space="preserve">One of the measures in the </w:t>
      </w:r>
      <w:r w:rsidR="00FF2D1C">
        <w:t>RBMP</w:t>
      </w:r>
      <w:r w:rsidRPr="00352A34">
        <w:t xml:space="preserve"> is the restriction on issuing new water use permits, which applies only to groundwater bodies assessed as having poor quantitative status or those at risk of failing to achieve good quantitative status.</w:t>
      </w:r>
    </w:p>
    <w:p w14:paraId="7AA59FD6" w14:textId="5E33B933" w:rsidR="00352A34" w:rsidRPr="00352A34" w:rsidRDefault="00352A34" w:rsidP="00352A34">
      <w:pPr>
        <w:jc w:val="both"/>
      </w:pPr>
      <w:r w:rsidRPr="00352A34">
        <w:t xml:space="preserve">In the </w:t>
      </w:r>
      <w:r w:rsidRPr="00FF2D1C">
        <w:rPr>
          <w:bCs/>
        </w:rPr>
        <w:t>Federation of Bosnia and Herzegovina</w:t>
      </w:r>
      <w:r w:rsidRPr="00352A34">
        <w:t>, the Water Law (Official Gazette FBiH, No. 70/06) regulates the use and protection of surface and groundwater, ensuring that water is treated as a public good and managed in a sustainable and equitable manner. Water use is subject to a clear permitting system, and water acts (permits) are required for activities that may affect the water regime or involve abstraction beyond general household needs. The allocation of groundwater is regulated through water use permits, and for economically significant or long-term uses also through concessions, governed by the Law on Concessions (Official Gazette FB</w:t>
      </w:r>
      <w:r w:rsidR="00FF2D1C">
        <w:t>i</w:t>
      </w:r>
      <w:r w:rsidRPr="00352A34">
        <w:t xml:space="preserve">H, No. 2/02). Concessions are required for activities such as irrigation, hydropower, tourism, and industrial water use, and applicants must obtain a valid water use permit prior to the granting of a concession. Priority uses, such as public water supply, are legally defined within the framework of the Water Law. In FBiH, the issuance of water permits is the responsibility of the Water Agencies and cantonal authorities. For abstraction facilities with a water capacity greater than 10 l/s, permits are issued by the Agency for the Water Basin of the Sava River, while for capacities below 10 l/s, permits are issued by the competent cantonal ministries. </w:t>
      </w:r>
      <w:r w:rsidRPr="00352A34">
        <w:lastRenderedPageBreak/>
        <w:t>Permit holders in the FB</w:t>
      </w:r>
      <w:r w:rsidR="00FF2D1C">
        <w:t>i</w:t>
      </w:r>
      <w:r w:rsidRPr="00352A34">
        <w:t xml:space="preserve">H are legally required to measure, record, and report abstracted water quantities to the competent authorities. </w:t>
      </w:r>
    </w:p>
    <w:p w14:paraId="3EF1DCBD" w14:textId="13EA93C2" w:rsidR="00352A34" w:rsidRPr="00352A34" w:rsidRDefault="00352A34" w:rsidP="00352A34">
      <w:pPr>
        <w:jc w:val="both"/>
      </w:pPr>
      <w:r w:rsidRPr="00352A34">
        <w:t xml:space="preserve">For exploratory or investigative drilling of wells in the </w:t>
      </w:r>
      <w:r w:rsidR="00FF2D1C">
        <w:t>FBiH</w:t>
      </w:r>
      <w:r w:rsidRPr="00352A34">
        <w:t>, it is necessary to obtain preliminary water conditions and the relevant water consent from the competent water authority (the Agency for the Water Basin of the Sava River or the cantonal ministry, depending on the abstraction capacity) before a full Water Use Permit can be issued. Additionally, any investigations on groundwater (geophysical investigations, drilling, mining works, etc.) cannot be carried out without Approval for geological investigation issued by the Federal Ministry of Energy, Mining and Industry (FMERI).</w:t>
      </w:r>
    </w:p>
    <w:p w14:paraId="5FAE0C36" w14:textId="42A29673" w:rsidR="00352A34" w:rsidRPr="00FF2D1C" w:rsidRDefault="00FF2D1C" w:rsidP="00FF2D1C">
      <w:pPr>
        <w:pStyle w:val="Heading3"/>
        <w:rPr>
          <w:lang w:val="en-GB"/>
        </w:rPr>
      </w:pPr>
      <w:bookmarkStart w:id="166" w:name="_Toc229036256"/>
      <w:r w:rsidRPr="00FF2D1C">
        <w:rPr>
          <w:lang w:val="en-GB"/>
        </w:rPr>
        <w:t xml:space="preserve">8.3.2. </w:t>
      </w:r>
      <w:r w:rsidR="00352A34" w:rsidRPr="00FF2D1C">
        <w:rPr>
          <w:lang w:val="en-GB"/>
        </w:rPr>
        <w:t>Wastewater discharge</w:t>
      </w:r>
      <w:bookmarkEnd w:id="166"/>
      <w:r w:rsidR="00352A34" w:rsidRPr="00FF2D1C">
        <w:rPr>
          <w:lang w:val="en-GB"/>
        </w:rPr>
        <w:t xml:space="preserve"> </w:t>
      </w:r>
    </w:p>
    <w:p w14:paraId="33174D62" w14:textId="77777777" w:rsidR="00352A34" w:rsidRPr="00352A34" w:rsidRDefault="00352A34" w:rsidP="00352A34">
      <w:pPr>
        <w:jc w:val="both"/>
      </w:pPr>
      <w:r w:rsidRPr="00352A34">
        <w:t xml:space="preserve">In both the Croatian Water Act and the Federation of Bosnia and Herzegovina Water Law, direct discharge of wastewater and pollutants into groundwater is prohibited. </w:t>
      </w:r>
    </w:p>
    <w:p w14:paraId="2000734F" w14:textId="77777777" w:rsidR="00352A34" w:rsidRPr="00352A34" w:rsidRDefault="00352A34" w:rsidP="00352A34">
      <w:pPr>
        <w:jc w:val="both"/>
      </w:pPr>
      <w:r w:rsidRPr="00352A34">
        <w:t xml:space="preserve">In </w:t>
      </w:r>
      <w:r w:rsidRPr="00FF2D1C">
        <w:t>Croatia</w:t>
      </w:r>
      <w:r w:rsidRPr="00352A34">
        <w:t xml:space="preserve">, the discharge of wastewater, including impacts on groundwater, is regulated through the Water Act and a set of implementing regulations, which establish a combined system of water permits and environmental permits (IPPC/IED permit). </w:t>
      </w:r>
    </w:p>
    <w:p w14:paraId="4C5454D9" w14:textId="77777777" w:rsidR="00352A34" w:rsidRPr="00352A34" w:rsidRDefault="00352A34" w:rsidP="00352A34">
      <w:pPr>
        <w:jc w:val="both"/>
      </w:pPr>
      <w:r w:rsidRPr="00352A34">
        <w:t>Direct discharges of pollutants into groundwater are not permitted, except in exceptional cases involving the discharge of treated wastewater, when surface waters are distant from the discharge location and the drainage of treated wastewater would cause significant material costs, and provided that it is demonstrated that the discharge of treated wastewater into groundwater has no negative impact on the environment and groundwater. This is determined through:</w:t>
      </w:r>
    </w:p>
    <w:p w14:paraId="5A47D6AE" w14:textId="77777777" w:rsidR="00352A34" w:rsidRPr="00352A34" w:rsidRDefault="00352A34" w:rsidP="00352A34">
      <w:pPr>
        <w:pStyle w:val="ListParagraph"/>
        <w:numPr>
          <w:ilvl w:val="0"/>
          <w:numId w:val="151"/>
        </w:numPr>
        <w:spacing w:after="120" w:line="240" w:lineRule="auto"/>
        <w:ind w:left="709"/>
        <w:jc w:val="both"/>
      </w:pPr>
      <w:r w:rsidRPr="00352A34">
        <w:t>Environmental impact assessment (EIA) in accordance with environmental regulations (where prescribed)</w:t>
      </w:r>
    </w:p>
    <w:p w14:paraId="1103C6DA" w14:textId="77777777" w:rsidR="00352A34" w:rsidRPr="00352A34" w:rsidRDefault="00352A34" w:rsidP="00352A34">
      <w:pPr>
        <w:pStyle w:val="ListParagraph"/>
        <w:numPr>
          <w:ilvl w:val="0"/>
          <w:numId w:val="151"/>
        </w:numPr>
        <w:spacing w:after="120" w:line="240" w:lineRule="auto"/>
        <w:ind w:left="709"/>
        <w:jc w:val="both"/>
      </w:pPr>
      <w:r w:rsidRPr="00352A34">
        <w:t>Impact analysis on groundwater and the aquatic environment (when EIA is not required)</w:t>
      </w:r>
    </w:p>
    <w:p w14:paraId="58F0536A" w14:textId="77777777" w:rsidR="00352A34" w:rsidRPr="00352A34" w:rsidRDefault="00352A34" w:rsidP="00352A34">
      <w:pPr>
        <w:pStyle w:val="ListParagraph"/>
        <w:numPr>
          <w:ilvl w:val="0"/>
          <w:numId w:val="151"/>
        </w:numPr>
        <w:spacing w:after="120" w:line="240" w:lineRule="auto"/>
        <w:ind w:left="709"/>
        <w:jc w:val="both"/>
      </w:pPr>
      <w:r w:rsidRPr="00352A34">
        <w:t>Establishment of appropriate, usually detailed, monitoring (monitoring of pollutant loads)</w:t>
      </w:r>
    </w:p>
    <w:p w14:paraId="16BCE885" w14:textId="722FC761" w:rsidR="00352A34" w:rsidRPr="00352A34" w:rsidRDefault="00352A34" w:rsidP="00352A34">
      <w:pPr>
        <w:jc w:val="both"/>
      </w:pPr>
      <w:r w:rsidRPr="00352A34">
        <w:t xml:space="preserve">The </w:t>
      </w:r>
      <w:r w:rsidRPr="00FF2D1C">
        <w:rPr>
          <w:i/>
          <w:iCs/>
        </w:rPr>
        <w:t>Draft Criteria for Indirect Discharges into Groundwater and Criteria for Assessing the Impact of Interventions on the Status of Waters</w:t>
      </w:r>
      <w:r w:rsidRPr="00352A34">
        <w:t xml:space="preserve">, which also address diffuse sources of pollution related to indirect discharges from individual wastewater systems with a load of up to 50 population equivalents (PE), has been prepared </w:t>
      </w:r>
      <w:r w:rsidR="00FF2D1C">
        <w:t xml:space="preserve">by ad hoc </w:t>
      </w:r>
      <w:proofErr w:type="spellStart"/>
      <w:r w:rsidR="00FF2D1C">
        <w:t>Comission</w:t>
      </w:r>
      <w:proofErr w:type="spellEnd"/>
      <w:r w:rsidRPr="00352A34">
        <w:t>.</w:t>
      </w:r>
    </w:p>
    <w:p w14:paraId="6830F614" w14:textId="2E00D9FD" w:rsidR="00352A34" w:rsidRPr="00352A34" w:rsidRDefault="00352A34" w:rsidP="00352A34">
      <w:pPr>
        <w:jc w:val="both"/>
      </w:pPr>
      <w:r w:rsidRPr="00352A34">
        <w:t xml:space="preserve">The Regulation on Emission Limit Values for Wastewater (Official Gazette No. 26/20) sets out pollutant-specific limits and monitoring obligations, applying to both industrial and municipal wastewater, including facilities that do not require a full environmental permit. Larger projects, such as municipal agglomerations with more than 2,000 population equivalents or significant industrial discharges, are subject to environmental permitting, which incorporates the best available techniques (BAT) to minimize impacts on groundwater. </w:t>
      </w:r>
    </w:p>
    <w:p w14:paraId="395D4D36" w14:textId="71B77B3A" w:rsidR="00352A34" w:rsidRPr="00352A34" w:rsidRDefault="00352A34" w:rsidP="00352A34">
      <w:pPr>
        <w:jc w:val="both"/>
      </w:pPr>
      <w:r w:rsidRPr="00352A34">
        <w:t xml:space="preserve">In </w:t>
      </w:r>
      <w:r w:rsidRPr="00FF2D1C">
        <w:t>the Federation of Bosnia and Herzegovina (FBiH)</w:t>
      </w:r>
      <w:r w:rsidRPr="00352A34">
        <w:t xml:space="preserve">, the Water Law prohibits the direct discharge of wastewater into groundwater. Indirect discharge is allowed only under conditions and procedures defined by law and by-laws. These requirements are detailed in the Rulebook on the Conditions for Discharging Wastewater into the Environment and Public Sewage Systems (Official Gazette of FBiH, No. 26/20 and 96/20), which specify technical and sanitary standards, maximum allowable pollutant concentrations, and monitoring and reporting obligations. These regulations ensure that wastewater management protects groundwater quality and supports sustainable water resource management throughout the Federation. It sets out the conditions for collection, treatment, and discharge of municipal and industrial wastewater, including limit values, monitoring obligations, and reporting </w:t>
      </w:r>
      <w:r w:rsidRPr="00352A34">
        <w:lastRenderedPageBreak/>
        <w:t>requirements, on the basis that direct discharge into groundwater is prohibited and indirect discharge must meet legal standards.</w:t>
      </w:r>
    </w:p>
    <w:p w14:paraId="4B67D254" w14:textId="77777777" w:rsidR="00352A34" w:rsidRPr="00352A34" w:rsidRDefault="00352A34" w:rsidP="00352A34">
      <w:pPr>
        <w:jc w:val="both"/>
      </w:pPr>
      <w:r w:rsidRPr="00352A34">
        <w:t>For karst and other sensitive groundwater bodies, the regulatory framework is often complemented by sanitary protection zone requirements and monitoring obligations specified in other by</w:t>
      </w:r>
      <w:r w:rsidRPr="00352A34">
        <w:rPr>
          <w:rFonts w:ascii="Cambria Math" w:hAnsi="Cambria Math" w:cs="Cambria Math"/>
        </w:rPr>
        <w:t>‑</w:t>
      </w:r>
      <w:r w:rsidRPr="00352A34">
        <w:t xml:space="preserve">laws (e.g., sanitary zone determination rules), rather than by unique discharge limits in the wastewater Rulebook itself. In summary, the Rulebook applies uniformly to all water resources, including groundwater, but does not separately prescribe technical discharge conditions specific to karst environments. Protection of karst groundwater is achieved through the combination </w:t>
      </w:r>
      <w:proofErr w:type="gramStart"/>
      <w:r w:rsidRPr="00352A34">
        <w:t>of:</w:t>
      </w:r>
      <w:proofErr w:type="gramEnd"/>
      <w:r w:rsidRPr="00352A34">
        <w:t xml:space="preserve"> the general prohibition of direct discharge into groundwater, technical and emission limits on indirect discharges, and additional protective measures that can be enacted at federal or cantonal level for sensitive areas.</w:t>
      </w:r>
    </w:p>
    <w:p w14:paraId="68FCC5D1" w14:textId="7AD7F67A" w:rsidR="00352A34" w:rsidRPr="00352A34" w:rsidRDefault="00352A34" w:rsidP="00352A34">
      <w:pPr>
        <w:jc w:val="both"/>
      </w:pPr>
      <w:r w:rsidRPr="00352A34">
        <w:t xml:space="preserve">The basic instruments of water management are water permits/concessions (environmental permits) issued for the purpose of achieving established objectives: ensuring the required quantities of water of appropriate quality for various economic and personal </w:t>
      </w:r>
      <w:r w:rsidR="004E13DF" w:rsidRPr="00352A34">
        <w:t>needs and</w:t>
      </w:r>
      <w:r w:rsidRPr="00352A34">
        <w:t xml:space="preserve"> fulfilling water protection objectives.</w:t>
      </w:r>
    </w:p>
    <w:p w14:paraId="443DD2F2" w14:textId="09E322D7" w:rsidR="00352A34" w:rsidRPr="00352A34" w:rsidRDefault="00352A34" w:rsidP="00352A34">
      <w:pPr>
        <w:jc w:val="both"/>
      </w:pPr>
      <w:r w:rsidRPr="00352A34">
        <w:t xml:space="preserve">In Croatia, water permits must be revised based on the status of groundwater, ensuring sustainable abstraction, water quality, and protection goals. In the Federation of Bosnia and Herzegovina, water management follows similar </w:t>
      </w:r>
      <w:r w:rsidR="004E13DF" w:rsidRPr="00352A34">
        <w:t>principles</w:t>
      </w:r>
      <w:r w:rsidRPr="00352A34">
        <w:t xml:space="preserve"> permits and authorizations align with the RBMP and are updated periodically based on monitoring data. The key difference is that in FBiH, revisions focus on updating the plan itself, whereas in Croatia, permit revisions are explicitly tied to groundwater status.</w:t>
      </w:r>
    </w:p>
    <w:p w14:paraId="2A5028BF" w14:textId="12D25699" w:rsidR="00352A34" w:rsidRPr="00352A34" w:rsidRDefault="00352A34" w:rsidP="00352A34">
      <w:pPr>
        <w:jc w:val="both"/>
      </w:pPr>
      <w:r w:rsidRPr="00352A34">
        <w:t>In Croatia and Bosnia and Herzegovina, water permits related to water use (abstraction) and wastewater discharge are subject to inspection by the competent water authorities. In Croatia, supervision is carried out by the State Inspectorate (water management inspectors) and Croatian Waters. In the Federation of Bosnia and Herzegovina, inspections are performed by water inspectorates at the federal and cantonal levels, as well as by the competent ministry and the Sava River Basin Agency. Water inspectorates oversee compliance with the conditions defined in the permits, including authorized quantities, discharge limits, monitoring requirements, and environmental protection measures.</w:t>
      </w:r>
    </w:p>
    <w:p w14:paraId="5C638478" w14:textId="77777777" w:rsidR="00352A34" w:rsidRDefault="00352A34" w:rsidP="00352A34">
      <w:pPr>
        <w:jc w:val="both"/>
      </w:pPr>
    </w:p>
    <w:p w14:paraId="06F8DE53" w14:textId="29BD1EE4" w:rsidR="002A4744" w:rsidRPr="002A4744" w:rsidRDefault="002A4744" w:rsidP="002A4744">
      <w:pPr>
        <w:pStyle w:val="Heading2"/>
        <w:rPr>
          <w:lang w:val="en-GB"/>
        </w:rPr>
      </w:pPr>
      <w:bookmarkStart w:id="167" w:name="_Toc229036257"/>
      <w:r w:rsidRPr="002A4744">
        <w:rPr>
          <w:lang w:val="en-GB"/>
        </w:rPr>
        <w:t>8.4 Conjunctive use of surface &amp; groundwater (</w:t>
      </w:r>
      <w:r w:rsidR="003108B4">
        <w:rPr>
          <w:lang w:val="en-GB"/>
        </w:rPr>
        <w:t>Delta</w:t>
      </w:r>
      <w:r w:rsidRPr="002A4744">
        <w:rPr>
          <w:lang w:val="en-GB"/>
        </w:rPr>
        <w:t xml:space="preserve"> region)</w:t>
      </w:r>
      <w:bookmarkEnd w:id="167"/>
    </w:p>
    <w:p w14:paraId="1475C609" w14:textId="387D6F5B" w:rsidR="002A4744" w:rsidRPr="002A4744" w:rsidRDefault="002A4744" w:rsidP="002A4744">
      <w:pPr>
        <w:jc w:val="both"/>
        <w:rPr>
          <w:rFonts w:cstheme="minorHAnsi"/>
          <w:color w:val="000000" w:themeColor="text1"/>
        </w:rPr>
      </w:pPr>
      <w:r w:rsidRPr="002A4744">
        <w:rPr>
          <w:rFonts w:cstheme="minorHAnsi"/>
          <w:color w:val="000000" w:themeColor="text1"/>
        </w:rPr>
        <w:t xml:space="preserve">Integrated and conjunctive use of surface water and groundwater is a key element of sustainable water resources management in the Neretva </w:t>
      </w:r>
      <w:r w:rsidR="003108B4">
        <w:rPr>
          <w:rFonts w:cstheme="minorHAnsi"/>
          <w:color w:val="000000" w:themeColor="text1"/>
        </w:rPr>
        <w:t>Delta</w:t>
      </w:r>
      <w:r w:rsidRPr="002A4744">
        <w:rPr>
          <w:rFonts w:cstheme="minorHAnsi"/>
          <w:color w:val="000000" w:themeColor="text1"/>
        </w:rPr>
        <w:t xml:space="preserve">, where hydrological, ecological, and socio-economic systems are highly interconnected. The Neretva </w:t>
      </w:r>
      <w:r w:rsidR="003108B4">
        <w:rPr>
          <w:rFonts w:cstheme="minorHAnsi"/>
          <w:color w:val="000000" w:themeColor="text1"/>
        </w:rPr>
        <w:t>Delta</w:t>
      </w:r>
      <w:r w:rsidRPr="002A4744">
        <w:rPr>
          <w:rFonts w:cstheme="minorHAnsi"/>
          <w:color w:val="000000" w:themeColor="text1"/>
        </w:rPr>
        <w:t xml:space="preserve"> represents the downstream part of the Neretva River basin and is characterized by complex interactions between river flows, coastal processes, and shallow groundwater systems, which are strongly influenced by both natural variability and human activities.</w:t>
      </w:r>
    </w:p>
    <w:p w14:paraId="053AFD5F" w14:textId="26F08FE3" w:rsidR="002A4744" w:rsidRPr="002A4744" w:rsidRDefault="002A4744" w:rsidP="002A4744">
      <w:pPr>
        <w:jc w:val="both"/>
        <w:rPr>
          <w:rFonts w:cstheme="minorHAnsi"/>
          <w:color w:val="000000" w:themeColor="text1"/>
        </w:rPr>
      </w:pPr>
      <w:r w:rsidRPr="002A4744">
        <w:rPr>
          <w:rFonts w:cstheme="minorHAnsi"/>
          <w:color w:val="000000" w:themeColor="text1"/>
        </w:rPr>
        <w:t xml:space="preserve">In this area, surface water from the Neretva River and its tributaries plays a central role in irrigation, drainage, and ecological maintenance, while groundwater provides an additional resource for agriculture and local water supply. However, over-reliance on either source alone can lead to environmental degradation, including salinization, reduced river baseflow, and deterioration of wetland ecosystems. This is particularly relevant in the context of the Neretva </w:t>
      </w:r>
      <w:r w:rsidR="003108B4">
        <w:rPr>
          <w:rFonts w:cstheme="minorHAnsi"/>
          <w:color w:val="000000" w:themeColor="text1"/>
        </w:rPr>
        <w:t>Delta</w:t>
      </w:r>
      <w:r w:rsidRPr="002A4744">
        <w:rPr>
          <w:rFonts w:cstheme="minorHAnsi"/>
          <w:color w:val="000000" w:themeColor="text1"/>
        </w:rPr>
        <w:t>, where reduced river discharges and high evapotranspiration rates increase the risk of saltwater intrusion and soil salinization.</w:t>
      </w:r>
    </w:p>
    <w:p w14:paraId="4316DE88" w14:textId="36767B17" w:rsidR="002A4744" w:rsidRPr="002A4744" w:rsidRDefault="002A4744" w:rsidP="002A4744">
      <w:pPr>
        <w:jc w:val="both"/>
        <w:rPr>
          <w:rFonts w:cstheme="minorHAnsi"/>
          <w:color w:val="000000" w:themeColor="text1"/>
        </w:rPr>
      </w:pPr>
      <w:r w:rsidRPr="002A4744">
        <w:rPr>
          <w:rFonts w:cstheme="minorHAnsi"/>
          <w:color w:val="000000" w:themeColor="text1"/>
        </w:rPr>
        <w:lastRenderedPageBreak/>
        <w:t>The conjunctive use approach aims to optimize the combined management of surface water and groundwater to enhance water availability, reduce environmental pressures, and improve system resilience. This includes coordinated abstraction planning, where groundwater use is adjusted according to surface water availability, particularly during dry summer periods when water demand for irrigation is highest. In such conditions, surface water is prioritized where possible, while groundwater serves as a supplementary or backup source to reduce stress on river flows and maintain ecological balance.</w:t>
      </w:r>
    </w:p>
    <w:p w14:paraId="5F63EA03" w14:textId="49985C46" w:rsidR="002A4744" w:rsidRPr="002A4744" w:rsidRDefault="002A4744" w:rsidP="002A4744">
      <w:pPr>
        <w:jc w:val="both"/>
        <w:rPr>
          <w:rFonts w:cstheme="minorHAnsi"/>
          <w:color w:val="000000" w:themeColor="text1"/>
        </w:rPr>
      </w:pPr>
      <w:r w:rsidRPr="002A4744">
        <w:rPr>
          <w:rFonts w:cstheme="minorHAnsi"/>
          <w:color w:val="000000" w:themeColor="text1"/>
        </w:rPr>
        <w:t xml:space="preserve">Effective implementation of conjunctive use requires reliable monitoring of both surface and groundwater systems, including river discharge, groundwater levels, and salinity indicators. In the Neretva </w:t>
      </w:r>
      <w:r w:rsidR="003108B4">
        <w:rPr>
          <w:rFonts w:cstheme="minorHAnsi"/>
          <w:color w:val="000000" w:themeColor="text1"/>
        </w:rPr>
        <w:t>Delta</w:t>
      </w:r>
      <w:r w:rsidRPr="002A4744">
        <w:rPr>
          <w:rFonts w:cstheme="minorHAnsi"/>
          <w:color w:val="000000" w:themeColor="text1"/>
        </w:rPr>
        <w:t>, particular attention must be given to monitoring saltwater intrusion processes, which are influenced by both reduced freshwater inflows and excessive groundwater abstraction. Strengthening monitoring networks and ensuring data exchange between institutions in Bosnia and Herzegovina and Croatia is essential for adaptive management of the shared hydrological system.</w:t>
      </w:r>
    </w:p>
    <w:p w14:paraId="1715506E" w14:textId="4FA69B28" w:rsidR="002A4744" w:rsidRPr="002A4744" w:rsidRDefault="002A4744" w:rsidP="002A4744">
      <w:pPr>
        <w:jc w:val="both"/>
        <w:rPr>
          <w:rFonts w:cstheme="minorHAnsi"/>
          <w:color w:val="000000" w:themeColor="text1"/>
        </w:rPr>
      </w:pPr>
      <w:r w:rsidRPr="002A4744">
        <w:rPr>
          <w:rFonts w:cstheme="minorHAnsi"/>
          <w:color w:val="000000" w:themeColor="text1"/>
        </w:rPr>
        <w:t xml:space="preserve">Agricultural practices in the </w:t>
      </w:r>
      <w:r w:rsidR="003108B4">
        <w:rPr>
          <w:rFonts w:cstheme="minorHAnsi"/>
          <w:color w:val="000000" w:themeColor="text1"/>
        </w:rPr>
        <w:t>Delta</w:t>
      </w:r>
      <w:r w:rsidRPr="002A4744">
        <w:rPr>
          <w:rFonts w:cstheme="minorHAnsi"/>
          <w:color w:val="000000" w:themeColor="text1"/>
        </w:rPr>
        <w:t xml:space="preserve"> further highlight the importance of integrated water use. Irrigation demands are significant, particularly during the dry season, and without coordinated management, can lead to overexploitation of local water resources. The use of efficient irrigation systems, combined with improved scheduling and reuse of drainage water where appropriate, can significantly reduce overall water demand and limit environmental impacts.</w:t>
      </w:r>
    </w:p>
    <w:p w14:paraId="27BB4F8C" w14:textId="447EA033" w:rsidR="002A4744" w:rsidRPr="002A4744" w:rsidRDefault="002A4744" w:rsidP="002A4744">
      <w:pPr>
        <w:jc w:val="both"/>
        <w:rPr>
          <w:rFonts w:cstheme="minorHAnsi"/>
          <w:color w:val="000000" w:themeColor="text1"/>
        </w:rPr>
      </w:pPr>
      <w:r>
        <w:rPr>
          <w:rFonts w:cstheme="minorHAnsi"/>
          <w:color w:val="000000" w:themeColor="text1"/>
        </w:rPr>
        <w:t>C</w:t>
      </w:r>
      <w:r w:rsidRPr="002A4744">
        <w:rPr>
          <w:rFonts w:cstheme="minorHAnsi"/>
          <w:color w:val="000000" w:themeColor="text1"/>
        </w:rPr>
        <w:t xml:space="preserve">onjunctive use in the Neretva </w:t>
      </w:r>
      <w:r w:rsidR="003108B4">
        <w:rPr>
          <w:rFonts w:cstheme="minorHAnsi"/>
          <w:color w:val="000000" w:themeColor="text1"/>
        </w:rPr>
        <w:t>Delta</w:t>
      </w:r>
      <w:r w:rsidRPr="002A4744">
        <w:rPr>
          <w:rFonts w:cstheme="minorHAnsi"/>
          <w:color w:val="000000" w:themeColor="text1"/>
        </w:rPr>
        <w:t xml:space="preserve"> must be supported by institutional coordination and cross-border cooperation. Given the transboundary nature of the Neretva River system, upstream water management decisions directly influence downstream conditions in the </w:t>
      </w:r>
      <w:r w:rsidR="003108B4">
        <w:rPr>
          <w:rFonts w:cstheme="minorHAnsi"/>
          <w:color w:val="000000" w:themeColor="text1"/>
        </w:rPr>
        <w:t>Delta</w:t>
      </w:r>
      <w:r w:rsidRPr="002A4744">
        <w:rPr>
          <w:rFonts w:cstheme="minorHAnsi"/>
          <w:color w:val="000000" w:themeColor="text1"/>
        </w:rPr>
        <w:t>. Harmonised planning, shared data systems, and joint management strategies are therefore essential to ensure long-term sustainability of both surface water and groundwater resources.</w:t>
      </w:r>
    </w:p>
    <w:p w14:paraId="1ED919C8" w14:textId="77777777" w:rsidR="002A4744" w:rsidRPr="00352A34" w:rsidRDefault="002A4744" w:rsidP="00352A34">
      <w:pPr>
        <w:jc w:val="both"/>
      </w:pPr>
    </w:p>
    <w:p w14:paraId="794AA341" w14:textId="5AE66F21" w:rsidR="00F33BE0" w:rsidRPr="00F33BE0" w:rsidRDefault="00F33BE0" w:rsidP="00F33BE0">
      <w:pPr>
        <w:pStyle w:val="Heading2"/>
        <w:rPr>
          <w:lang w:val="en-GB"/>
        </w:rPr>
      </w:pPr>
      <w:bookmarkStart w:id="168" w:name="_Toc229036258"/>
      <w:r w:rsidRPr="00F33BE0">
        <w:rPr>
          <w:lang w:val="en-GB"/>
        </w:rPr>
        <w:t>8.</w:t>
      </w:r>
      <w:r w:rsidR="005D4F32">
        <w:rPr>
          <w:lang w:val="en-GB"/>
        </w:rPr>
        <w:t>5</w:t>
      </w:r>
      <w:r w:rsidRPr="00F33BE0">
        <w:rPr>
          <w:lang w:val="en-GB"/>
        </w:rPr>
        <w:t xml:space="preserve"> Community participation in groundwater governance</w:t>
      </w:r>
      <w:bookmarkEnd w:id="168"/>
      <w:r w:rsidRPr="00F33BE0">
        <w:rPr>
          <w:lang w:val="en-GB"/>
        </w:rPr>
        <w:t xml:space="preserve"> </w:t>
      </w:r>
    </w:p>
    <w:p w14:paraId="3F65EB00" w14:textId="2C287F4D" w:rsidR="00F33BE0" w:rsidRPr="00F33BE0" w:rsidRDefault="00F33BE0" w:rsidP="00F33BE0">
      <w:pPr>
        <w:jc w:val="both"/>
        <w:rPr>
          <w:rFonts w:cstheme="minorHAnsi"/>
        </w:rPr>
      </w:pPr>
      <w:r w:rsidRPr="00F33BE0">
        <w:rPr>
          <w:rFonts w:cstheme="minorHAnsi"/>
        </w:rPr>
        <w:t>Community participation represents a critical component of effective groundwater governance in Neretva TBA, particularly in a context where many of the pressures affecting groundwater originate from everyday practices at household and local level. In karst environments, where groundwater systems are highly vulnerable and contamination can spread rapidly, the behaviour of local communities plays a direct role in determining groundwater quality and long-term sustainability.</w:t>
      </w:r>
    </w:p>
    <w:p w14:paraId="43F5388A" w14:textId="28A86E63" w:rsidR="00F33BE0" w:rsidRPr="00F33BE0" w:rsidRDefault="00F33BE0" w:rsidP="00F33BE0">
      <w:pPr>
        <w:jc w:val="both"/>
        <w:rPr>
          <w:rFonts w:cstheme="minorHAnsi"/>
        </w:rPr>
      </w:pPr>
      <w:r w:rsidRPr="00F33BE0">
        <w:rPr>
          <w:rFonts w:cstheme="minorHAnsi"/>
        </w:rPr>
        <w:t>Across both Bosnia and Herzegovina and Croatia, communities within Neretva TBA rely on groundwater for drinking water supply, agriculture, and local livelihoods. At the same time, awareness of groundwater vulnerability and the specific characteristics of karst systems remains uneven. In many areas, particularly rural and peri-urban zones, groundwater pressures are linked to diffuse sources such as poorly maintained on-site sanitation systems, informal waste disposal, and unregulated land-use practices. These pressures are often cumulative and not easily addressed through institutional or regulatory measures alone.</w:t>
      </w:r>
    </w:p>
    <w:p w14:paraId="3186E24C" w14:textId="77777777" w:rsidR="00F33BE0" w:rsidRPr="00F33BE0" w:rsidRDefault="00F33BE0" w:rsidP="00F33BE0">
      <w:pPr>
        <w:jc w:val="both"/>
        <w:rPr>
          <w:rFonts w:cstheme="minorHAnsi"/>
        </w:rPr>
      </w:pPr>
      <w:r w:rsidRPr="00F33BE0">
        <w:rPr>
          <w:rFonts w:cstheme="minorHAnsi"/>
        </w:rPr>
        <w:t xml:space="preserve">In the upstream parts of the basin in Bosnia and Herzegovina, community-level pressures are closely linked to urban expansion, peri-urban settlements, and wastewater management challenges. In the downstream areas in Croatia, rural communities and agricultural households are strongly dependent on groundwater resources, particularly for irrigation and local water supply, while also contributing to diffuse pressures through agricultural and sanitation practices. </w:t>
      </w:r>
    </w:p>
    <w:p w14:paraId="1EA4411F" w14:textId="65331DD4" w:rsidR="00F33BE0" w:rsidRPr="00F33BE0" w:rsidRDefault="00F33BE0" w:rsidP="00F33BE0">
      <w:pPr>
        <w:jc w:val="both"/>
        <w:rPr>
          <w:rFonts w:cstheme="minorHAnsi"/>
        </w:rPr>
      </w:pPr>
      <w:r w:rsidRPr="00F33BE0">
        <w:rPr>
          <w:rFonts w:cstheme="minorHAnsi"/>
        </w:rPr>
        <w:lastRenderedPageBreak/>
        <w:t>Under the Joint Action Program</w:t>
      </w:r>
      <w:r>
        <w:rPr>
          <w:rFonts w:cstheme="minorHAnsi"/>
        </w:rPr>
        <w:t>me</w:t>
      </w:r>
      <w:r w:rsidRPr="00F33BE0">
        <w:rPr>
          <w:rFonts w:cstheme="minorHAnsi"/>
        </w:rPr>
        <w:t>, community participation is designed to be practical, inclusive, and closely linked to groundwater protection objectives. The approach focuses on enabling communities to better understand groundwater risks, to recognise the connection between their daily practices and groundwater conditions, and to actively contribute to the implementation and effectiveness of protection measures.</w:t>
      </w:r>
    </w:p>
    <w:p w14:paraId="1E630EFE" w14:textId="77777777" w:rsidR="00F33BE0" w:rsidRPr="00F33BE0" w:rsidRDefault="00F33BE0" w:rsidP="00F33BE0">
      <w:pPr>
        <w:jc w:val="both"/>
        <w:rPr>
          <w:rFonts w:cstheme="minorHAnsi"/>
        </w:rPr>
      </w:pPr>
      <w:r w:rsidRPr="00F33BE0">
        <w:rPr>
          <w:rFonts w:cstheme="minorHAnsi"/>
        </w:rPr>
        <w:t>Community engagement will be carried out through locally adapted formats that prioritise accessibility and relevance. These include community meetings, local information sessions, and targeted discussions linked to sanitation, waste management, and land-use practices. Engagement will avoid overly technical language and instead focus on clear and practical messages, supported by locally relevant examples that demonstrate how individual and collective actions influence groundwater quality.</w:t>
      </w:r>
    </w:p>
    <w:p w14:paraId="5942D9BF" w14:textId="77777777" w:rsidR="00F33BE0" w:rsidRPr="00F33BE0" w:rsidRDefault="00F33BE0" w:rsidP="00F33BE0">
      <w:pPr>
        <w:jc w:val="both"/>
        <w:rPr>
          <w:rFonts w:cstheme="minorHAnsi"/>
        </w:rPr>
      </w:pPr>
      <w:r w:rsidRPr="00F33BE0">
        <w:rPr>
          <w:rFonts w:cstheme="minorHAnsi"/>
        </w:rPr>
        <w:t>Civil society organisations and community-based groups will play an important role in facilitating community participation. As trusted local actors, they can help bridge the gap between institutions and communities, support awareness-raising activities, and ensure that feedback from local stakeholders is effectively communicated to responsible authorities. Their involvement also contributes to more inclusive participation, including engagement of women, youth, and other groups that may otherwise be underrepresented.</w:t>
      </w:r>
    </w:p>
    <w:p w14:paraId="74A86C6B" w14:textId="77777777" w:rsidR="00F33BE0" w:rsidRPr="00F33BE0" w:rsidRDefault="00F33BE0" w:rsidP="00F33BE0">
      <w:pPr>
        <w:jc w:val="both"/>
        <w:rPr>
          <w:rFonts w:cstheme="minorHAnsi"/>
        </w:rPr>
      </w:pPr>
      <w:r w:rsidRPr="00F33BE0">
        <w:rPr>
          <w:rFonts w:cstheme="minorHAnsi"/>
        </w:rPr>
        <w:t>Transparency and access to information are essential to meaningful community participation. Communities will be informed about groundwater conditions, risks, and planned measures through accessible communication channels, including municipal communication platforms, local media, and community networks. Providing clear and timely information helps build trust and enables communities to engage in a more informed and constructive manner.</w:t>
      </w:r>
    </w:p>
    <w:p w14:paraId="7C54449F" w14:textId="7155CC37" w:rsidR="00F33BE0" w:rsidRPr="00F33BE0" w:rsidRDefault="00F33BE0" w:rsidP="00F33BE0">
      <w:pPr>
        <w:jc w:val="both"/>
        <w:rPr>
          <w:rFonts w:cstheme="minorHAnsi"/>
        </w:rPr>
      </w:pPr>
      <w:r w:rsidRPr="00F33BE0">
        <w:rPr>
          <w:rFonts w:cstheme="minorHAnsi"/>
        </w:rPr>
        <w:t>The Joint Action Program</w:t>
      </w:r>
      <w:r>
        <w:rPr>
          <w:rFonts w:cstheme="minorHAnsi"/>
        </w:rPr>
        <w:t>me</w:t>
      </w:r>
      <w:r w:rsidRPr="00F33BE0">
        <w:rPr>
          <w:rFonts w:cstheme="minorHAnsi"/>
        </w:rPr>
        <w:t xml:space="preserve"> will also promote opportunities for communities to provide feedback and contribute local knowledge to groundwater management processes. This includes sharing information on local conditions, reporting issues related to sanitation or pollution, and participating in consultations related to planned measures. Community inputs will be considered in the refinement of measures and in the evaluation of their effectiveness.</w:t>
      </w:r>
    </w:p>
    <w:p w14:paraId="3B01F18E" w14:textId="03885025" w:rsidR="00F33BE0" w:rsidRDefault="00F33BE0" w:rsidP="00F33BE0">
      <w:pPr>
        <w:jc w:val="both"/>
        <w:rPr>
          <w:rFonts w:cstheme="minorHAnsi"/>
        </w:rPr>
      </w:pPr>
      <w:r w:rsidRPr="00F33BE0">
        <w:rPr>
          <w:rFonts w:cstheme="minorHAnsi"/>
        </w:rPr>
        <w:t>Public awareness activities will emphasise the shared nature of the aquifer, the rapid transmission of pollution in karst systems, and the link between upstream activities and downstream impacts. Coordinated messaging across both countries will help ensure consistency and reinforce the understanding that groundwater protection is a shared responsibility.</w:t>
      </w:r>
    </w:p>
    <w:p w14:paraId="775EB50B" w14:textId="2A732010" w:rsidR="00F33BE0" w:rsidRDefault="00F33BE0" w:rsidP="00F33BE0">
      <w:pPr>
        <w:jc w:val="both"/>
        <w:rPr>
          <w:rFonts w:cstheme="minorHAnsi"/>
        </w:rPr>
      </w:pPr>
    </w:p>
    <w:p w14:paraId="0A0D12D6" w14:textId="18757073" w:rsidR="00914B9D" w:rsidRPr="00914B9D" w:rsidRDefault="00914B9D" w:rsidP="00914B9D">
      <w:pPr>
        <w:pStyle w:val="Heading2"/>
        <w:rPr>
          <w:lang w:val="en-GB"/>
        </w:rPr>
      </w:pPr>
      <w:bookmarkStart w:id="169" w:name="_Toc229036259"/>
      <w:r w:rsidRPr="00914B9D">
        <w:rPr>
          <w:lang w:val="en-GB"/>
        </w:rPr>
        <w:t>8.6 Communication strategy</w:t>
      </w:r>
      <w:bookmarkEnd w:id="169"/>
    </w:p>
    <w:p w14:paraId="18210926" w14:textId="467598FD" w:rsidR="00914B9D" w:rsidRPr="00914B9D" w:rsidRDefault="00914B9D" w:rsidP="00914B9D">
      <w:pPr>
        <w:jc w:val="both"/>
        <w:rPr>
          <w:rFonts w:cstheme="minorHAnsi"/>
        </w:rPr>
      </w:pPr>
      <w:r w:rsidRPr="00914B9D">
        <w:rPr>
          <w:rFonts w:cstheme="minorHAnsi"/>
        </w:rPr>
        <w:t>Communication under the Joint Action Programme</w:t>
      </w:r>
      <w:r>
        <w:rPr>
          <w:rFonts w:cstheme="minorHAnsi"/>
        </w:rPr>
        <w:t xml:space="preserve"> (JAP)</w:t>
      </w:r>
      <w:r w:rsidRPr="00914B9D">
        <w:rPr>
          <w:rFonts w:cstheme="minorHAnsi"/>
        </w:rPr>
        <w:t xml:space="preserve"> for Neretva TBA is a structured instrument to support transparency, cross-border cooperation, and a shared understanding of groundwater conditions, risks, and management priorities.</w:t>
      </w:r>
      <w:r>
        <w:rPr>
          <w:rFonts w:cstheme="minorHAnsi"/>
        </w:rPr>
        <w:t xml:space="preserve"> </w:t>
      </w:r>
      <w:r w:rsidRPr="00914B9D">
        <w:rPr>
          <w:rFonts w:cstheme="minorHAnsi"/>
        </w:rPr>
        <w:t>In a context where hydrogeological processes are interconnected across the boundary while institutional responsibilities and administrative procedures differ, coordinated communication is necessary to strengthen mutual confidence, ensure consistency of information, and reinforce the credibility of joint action.</w:t>
      </w:r>
    </w:p>
    <w:p w14:paraId="4668ADF4" w14:textId="77777777" w:rsidR="00914B9D" w:rsidRPr="00914B9D" w:rsidRDefault="00914B9D" w:rsidP="00914B9D">
      <w:pPr>
        <w:jc w:val="both"/>
        <w:rPr>
          <w:rFonts w:cstheme="minorHAnsi"/>
        </w:rPr>
      </w:pPr>
      <w:r w:rsidRPr="00914B9D">
        <w:rPr>
          <w:rFonts w:cstheme="minorHAnsi"/>
        </w:rPr>
        <w:t xml:space="preserve">This communication strategy complements the institutional coordination and stakeholder engagement processes established under the JAP and the Stakeholder Involvement Plan. It does not create parallel communication mechanisms. It strengthens coherence and alignment of existing </w:t>
      </w:r>
      <w:r w:rsidRPr="00914B9D">
        <w:rPr>
          <w:rFonts w:cstheme="minorHAnsi"/>
        </w:rPr>
        <w:lastRenderedPageBreak/>
        <w:t>institutional communication practices in both countries, supports timely information exchange, and provides stakeholders with reliable, accessible communication products that enable informed participation and practical implementation.</w:t>
      </w:r>
    </w:p>
    <w:p w14:paraId="38E6377E" w14:textId="2DAC4AC1" w:rsidR="00914B9D" w:rsidRPr="00B47247" w:rsidRDefault="00914B9D" w:rsidP="00914B9D">
      <w:pPr>
        <w:pStyle w:val="Heading3"/>
        <w:rPr>
          <w:rFonts w:eastAsia="Calibri Light"/>
          <w:b/>
          <w:bCs/>
          <w:lang w:val="en-GB"/>
        </w:rPr>
      </w:pPr>
      <w:bookmarkStart w:id="170" w:name="_Toc229036260"/>
      <w:r w:rsidRPr="00B47247">
        <w:rPr>
          <w:lang w:val="en-GB"/>
        </w:rPr>
        <w:t>8.6.1 Strategic objectives</w:t>
      </w:r>
      <w:bookmarkEnd w:id="170"/>
    </w:p>
    <w:p w14:paraId="72EBAC0B" w14:textId="77777777" w:rsidR="00914B9D" w:rsidRPr="00914B9D" w:rsidRDefault="00914B9D" w:rsidP="00914B9D">
      <w:pPr>
        <w:jc w:val="both"/>
        <w:rPr>
          <w:rFonts w:cstheme="minorHAnsi"/>
        </w:rPr>
      </w:pPr>
      <w:r w:rsidRPr="00914B9D">
        <w:rPr>
          <w:rFonts w:cstheme="minorHAnsi"/>
        </w:rPr>
        <w:t>Communication under the JAP is structured around three interrelated pillars:</w:t>
      </w:r>
    </w:p>
    <w:p w14:paraId="563428F1" w14:textId="1ED23913" w:rsidR="00914B9D" w:rsidRPr="00914B9D" w:rsidRDefault="00914B9D" w:rsidP="00914B9D">
      <w:pPr>
        <w:pStyle w:val="ListParagraph"/>
        <w:numPr>
          <w:ilvl w:val="0"/>
          <w:numId w:val="152"/>
        </w:numPr>
        <w:jc w:val="both"/>
        <w:rPr>
          <w:rFonts w:cstheme="minorHAnsi"/>
        </w:rPr>
      </w:pPr>
      <w:r w:rsidRPr="001B4B4F">
        <w:rPr>
          <w:rFonts w:cstheme="minorHAnsi"/>
          <w:i/>
          <w:iCs/>
        </w:rPr>
        <w:t>Coherence</w:t>
      </w:r>
      <w:r w:rsidRPr="00914B9D">
        <w:rPr>
          <w:rFonts w:cstheme="minorHAnsi"/>
        </w:rPr>
        <w:t xml:space="preserve">: </w:t>
      </w:r>
      <w:r w:rsidR="001B4B4F">
        <w:rPr>
          <w:rFonts w:cstheme="minorHAnsi"/>
        </w:rPr>
        <w:t>E</w:t>
      </w:r>
      <w:r w:rsidRPr="00914B9D">
        <w:rPr>
          <w:rFonts w:cstheme="minorHAnsi"/>
        </w:rPr>
        <w:t xml:space="preserve">nsure a shared understanding of groundwater status, risks, and priorities between competent authorities, including harmonized communication of key technical findings based on aligned interpretation of monitoring results and assessments. Ensure consistent use of agreed data and indicators across institutions, including for priority sensitive areas (such as the Neretva </w:t>
      </w:r>
      <w:r w:rsidR="003108B4">
        <w:rPr>
          <w:rFonts w:cstheme="minorHAnsi"/>
        </w:rPr>
        <w:t>Delta</w:t>
      </w:r>
      <w:r w:rsidRPr="00914B9D">
        <w:rPr>
          <w:rFonts w:cstheme="minorHAnsi"/>
        </w:rPr>
        <w:t xml:space="preserve">) and key springs (for example, the </w:t>
      </w:r>
      <w:proofErr w:type="spellStart"/>
      <w:r w:rsidRPr="00914B9D">
        <w:rPr>
          <w:rFonts w:cstheme="minorHAnsi"/>
        </w:rPr>
        <w:t>Prud</w:t>
      </w:r>
      <w:proofErr w:type="spellEnd"/>
      <w:r w:rsidRPr="00914B9D">
        <w:rPr>
          <w:rFonts w:cstheme="minorHAnsi"/>
        </w:rPr>
        <w:t xml:space="preserve"> spring).</w:t>
      </w:r>
    </w:p>
    <w:p w14:paraId="2A1384A3" w14:textId="15EB63FF" w:rsidR="00914B9D" w:rsidRPr="00914B9D" w:rsidRDefault="00914B9D" w:rsidP="00914B9D">
      <w:pPr>
        <w:pStyle w:val="ListParagraph"/>
        <w:numPr>
          <w:ilvl w:val="0"/>
          <w:numId w:val="152"/>
        </w:numPr>
        <w:jc w:val="both"/>
        <w:rPr>
          <w:rFonts w:cstheme="minorHAnsi"/>
        </w:rPr>
      </w:pPr>
      <w:r w:rsidRPr="001B4B4F">
        <w:rPr>
          <w:rFonts w:cstheme="minorHAnsi"/>
          <w:i/>
          <w:iCs/>
        </w:rPr>
        <w:t>Transparency</w:t>
      </w:r>
      <w:r w:rsidRPr="00914B9D">
        <w:rPr>
          <w:rFonts w:cstheme="minorHAnsi"/>
        </w:rPr>
        <w:t xml:space="preserve">: </w:t>
      </w:r>
      <w:r w:rsidR="001B4B4F">
        <w:rPr>
          <w:rFonts w:cstheme="minorHAnsi"/>
        </w:rPr>
        <w:t>P</w:t>
      </w:r>
      <w:r w:rsidRPr="00914B9D">
        <w:rPr>
          <w:rFonts w:cstheme="minorHAnsi"/>
        </w:rPr>
        <w:t xml:space="preserve">rovide accurate, timely, and verifiable information on </w:t>
      </w:r>
      <w:r w:rsidR="001B4B4F">
        <w:rPr>
          <w:rFonts w:cstheme="minorHAnsi"/>
        </w:rPr>
        <w:t xml:space="preserve">the </w:t>
      </w:r>
      <w:r w:rsidRPr="00914B9D">
        <w:rPr>
          <w:rFonts w:cstheme="minorHAnsi"/>
        </w:rPr>
        <w:t>JAP implementation progress, results, and transboundary coordination processes.</w:t>
      </w:r>
    </w:p>
    <w:p w14:paraId="49D427F2" w14:textId="69924068" w:rsidR="00914B9D" w:rsidRPr="00914B9D" w:rsidRDefault="00914B9D" w:rsidP="00914B9D">
      <w:pPr>
        <w:pStyle w:val="ListParagraph"/>
        <w:numPr>
          <w:ilvl w:val="0"/>
          <w:numId w:val="152"/>
        </w:numPr>
        <w:jc w:val="both"/>
        <w:rPr>
          <w:rFonts w:cstheme="minorHAnsi"/>
        </w:rPr>
      </w:pPr>
      <w:r w:rsidRPr="001B4B4F">
        <w:rPr>
          <w:rFonts w:cstheme="minorHAnsi"/>
          <w:i/>
          <w:iCs/>
        </w:rPr>
        <w:t>Participation</w:t>
      </w:r>
      <w:r w:rsidRPr="00914B9D">
        <w:rPr>
          <w:rFonts w:cstheme="minorHAnsi"/>
        </w:rPr>
        <w:t xml:space="preserve">: </w:t>
      </w:r>
      <w:r w:rsidR="001B4B4F">
        <w:rPr>
          <w:rFonts w:cstheme="minorHAnsi"/>
        </w:rPr>
        <w:t>F</w:t>
      </w:r>
      <w:r w:rsidRPr="00914B9D">
        <w:rPr>
          <w:rFonts w:cstheme="minorHAnsi"/>
        </w:rPr>
        <w:t>acilitate structured stakeholder engagement and constructive dialogue that supports the implementation of JAP measures at local level. Ensure that stakeholder feedback is documented and integrated into implementation updates and periodic review.</w:t>
      </w:r>
    </w:p>
    <w:p w14:paraId="6B0D5ABC" w14:textId="203AFE41" w:rsidR="00914B9D" w:rsidRPr="00B47247" w:rsidRDefault="001B4B4F" w:rsidP="001B4B4F">
      <w:pPr>
        <w:pStyle w:val="Heading3"/>
        <w:rPr>
          <w:lang w:val="en-GB"/>
        </w:rPr>
      </w:pPr>
      <w:bookmarkStart w:id="171" w:name="_Toc229036261"/>
      <w:r w:rsidRPr="00B47247">
        <w:rPr>
          <w:lang w:val="en-GB"/>
        </w:rPr>
        <w:t xml:space="preserve">8.6.2. </w:t>
      </w:r>
      <w:r w:rsidR="00914B9D" w:rsidRPr="00B47247">
        <w:rPr>
          <w:lang w:val="en-GB"/>
        </w:rPr>
        <w:t>Key communication challenges</w:t>
      </w:r>
      <w:bookmarkEnd w:id="171"/>
    </w:p>
    <w:p w14:paraId="7A5EC6BE" w14:textId="4247D7C2" w:rsidR="00914B9D" w:rsidRPr="00914B9D" w:rsidRDefault="00914B9D" w:rsidP="00914B9D">
      <w:pPr>
        <w:jc w:val="both"/>
        <w:rPr>
          <w:rFonts w:cstheme="minorHAnsi"/>
        </w:rPr>
      </w:pPr>
      <w:r w:rsidRPr="00914B9D">
        <w:rPr>
          <w:rFonts w:cstheme="minorHAnsi"/>
        </w:rPr>
        <w:t>Communication activities in Neretva TBA must address:</w:t>
      </w:r>
    </w:p>
    <w:p w14:paraId="20FB6F52" w14:textId="4E685D00" w:rsidR="00914B9D" w:rsidRPr="00914B9D" w:rsidRDefault="00914B9D" w:rsidP="00914B9D">
      <w:pPr>
        <w:pStyle w:val="ListParagraph"/>
        <w:numPr>
          <w:ilvl w:val="0"/>
          <w:numId w:val="152"/>
        </w:numPr>
        <w:jc w:val="both"/>
        <w:rPr>
          <w:rFonts w:cstheme="minorHAnsi"/>
        </w:rPr>
      </w:pPr>
      <w:r w:rsidRPr="001B4B4F">
        <w:rPr>
          <w:rFonts w:cstheme="minorHAnsi"/>
          <w:i/>
          <w:iCs/>
        </w:rPr>
        <w:t>Transboundary cause-and-effect</w:t>
      </w:r>
      <w:r w:rsidRPr="001B4B4F">
        <w:rPr>
          <w:rFonts w:cstheme="minorHAnsi"/>
        </w:rPr>
        <w:t>:</w:t>
      </w:r>
      <w:r w:rsidRPr="00914B9D">
        <w:rPr>
          <w:rFonts w:cstheme="minorHAnsi"/>
        </w:rPr>
        <w:t xml:space="preserve"> </w:t>
      </w:r>
      <w:r w:rsidR="001B4B4F">
        <w:rPr>
          <w:rFonts w:cstheme="minorHAnsi"/>
        </w:rPr>
        <w:t>P</w:t>
      </w:r>
      <w:r w:rsidRPr="00914B9D">
        <w:rPr>
          <w:rFonts w:cstheme="minorHAnsi"/>
        </w:rPr>
        <w:t>ressures and incidents in recharge areas may create impacts across the border. Communication should clearly explain interconnections and shared responsibilities, including upstream–downstream relationships and delayed or indirect impacts.</w:t>
      </w:r>
    </w:p>
    <w:p w14:paraId="68EA5FD9" w14:textId="55D60D38" w:rsidR="00914B9D" w:rsidRPr="00914B9D" w:rsidRDefault="00914B9D" w:rsidP="00914B9D">
      <w:pPr>
        <w:pStyle w:val="ListParagraph"/>
        <w:numPr>
          <w:ilvl w:val="0"/>
          <w:numId w:val="152"/>
        </w:numPr>
        <w:jc w:val="both"/>
        <w:rPr>
          <w:rFonts w:cstheme="minorHAnsi"/>
        </w:rPr>
      </w:pPr>
      <w:r w:rsidRPr="001B4B4F">
        <w:rPr>
          <w:rFonts w:cstheme="minorHAnsi"/>
          <w:i/>
          <w:iCs/>
        </w:rPr>
        <w:t>Karst vulnerability and rapid transfer</w:t>
      </w:r>
      <w:r w:rsidRPr="001B4B4F">
        <w:rPr>
          <w:rFonts w:cstheme="minorHAnsi"/>
        </w:rPr>
        <w:t>:</w:t>
      </w:r>
      <w:r w:rsidRPr="00914B9D">
        <w:rPr>
          <w:rFonts w:cstheme="minorHAnsi"/>
        </w:rPr>
        <w:t xml:space="preserve"> </w:t>
      </w:r>
      <w:r w:rsidR="001B4B4F">
        <w:rPr>
          <w:rFonts w:cstheme="minorHAnsi"/>
        </w:rPr>
        <w:t>R</w:t>
      </w:r>
      <w:r w:rsidRPr="00914B9D">
        <w:rPr>
          <w:rFonts w:cstheme="minorHAnsi"/>
        </w:rPr>
        <w:t>apid groundwater transfer and limited natural purification require accessible explanations that remain technically sound. Communication should translate monitoring and risk assessment findings into practical implications for land use, sanitary protection zones, and risk management.</w:t>
      </w:r>
    </w:p>
    <w:p w14:paraId="026BF77B" w14:textId="2E9881CC" w:rsidR="00914B9D" w:rsidRPr="00914B9D" w:rsidRDefault="00914B9D" w:rsidP="00914B9D">
      <w:pPr>
        <w:pStyle w:val="ListParagraph"/>
        <w:numPr>
          <w:ilvl w:val="0"/>
          <w:numId w:val="152"/>
        </w:numPr>
        <w:jc w:val="both"/>
        <w:rPr>
          <w:rFonts w:cstheme="minorHAnsi"/>
        </w:rPr>
      </w:pPr>
      <w:r w:rsidRPr="001B4B4F">
        <w:rPr>
          <w:rFonts w:cstheme="minorHAnsi"/>
          <w:i/>
          <w:iCs/>
        </w:rPr>
        <w:t>Priority pressure pathways for Neretva</w:t>
      </w:r>
      <w:r w:rsidRPr="001B4B4F">
        <w:rPr>
          <w:rFonts w:cstheme="minorHAnsi"/>
        </w:rPr>
        <w:t>:</w:t>
      </w:r>
      <w:r w:rsidRPr="00914B9D">
        <w:rPr>
          <w:rFonts w:cstheme="minorHAnsi"/>
        </w:rPr>
        <w:t xml:space="preserve"> </w:t>
      </w:r>
      <w:r w:rsidR="001B4B4F">
        <w:rPr>
          <w:rFonts w:cstheme="minorHAnsi"/>
        </w:rPr>
        <w:t>K</w:t>
      </w:r>
      <w:r w:rsidRPr="00914B9D">
        <w:rPr>
          <w:rFonts w:cstheme="minorHAnsi"/>
        </w:rPr>
        <w:t xml:space="preserve">ey communication needs relate to known risks such as agriculture-related pressures (nutrients and pesticides) affecting sensitive areas (including the Neretva </w:t>
      </w:r>
      <w:r w:rsidR="003108B4">
        <w:rPr>
          <w:rFonts w:cstheme="minorHAnsi"/>
        </w:rPr>
        <w:t>Delta</w:t>
      </w:r>
      <w:r w:rsidRPr="00914B9D">
        <w:rPr>
          <w:rFonts w:cstheme="minorHAnsi"/>
        </w:rPr>
        <w:t xml:space="preserve">) and potential contamination risks for key springs (for example, the </w:t>
      </w:r>
      <w:proofErr w:type="spellStart"/>
      <w:r w:rsidRPr="00914B9D">
        <w:rPr>
          <w:rFonts w:cstheme="minorHAnsi"/>
        </w:rPr>
        <w:t>Prud</w:t>
      </w:r>
      <w:proofErr w:type="spellEnd"/>
      <w:r w:rsidRPr="00914B9D">
        <w:rPr>
          <w:rFonts w:cstheme="minorHAnsi"/>
        </w:rPr>
        <w:t xml:space="preserve"> spring), as well as wastewater collection and treatment constraints in relevant settlements. Messaging should be sector-specific and linked to agreed preventive and response measures.</w:t>
      </w:r>
    </w:p>
    <w:p w14:paraId="0301CF87" w14:textId="1EF585E1" w:rsidR="00914B9D" w:rsidRPr="00914B9D" w:rsidRDefault="00914B9D" w:rsidP="00914B9D">
      <w:pPr>
        <w:pStyle w:val="ListParagraph"/>
        <w:numPr>
          <w:ilvl w:val="0"/>
          <w:numId w:val="152"/>
        </w:numPr>
        <w:jc w:val="both"/>
        <w:rPr>
          <w:rFonts w:cstheme="minorHAnsi"/>
        </w:rPr>
      </w:pPr>
      <w:r w:rsidRPr="001B4B4F">
        <w:rPr>
          <w:rFonts w:cstheme="minorHAnsi"/>
          <w:i/>
          <w:iCs/>
        </w:rPr>
        <w:t>Institutional fragmentation and enforcement:</w:t>
      </w:r>
      <w:r w:rsidRPr="00914B9D">
        <w:rPr>
          <w:rFonts w:cstheme="minorHAnsi"/>
        </w:rPr>
        <w:t xml:space="preserve"> </w:t>
      </w:r>
      <w:r w:rsidR="001B4B4F">
        <w:rPr>
          <w:rFonts w:cstheme="minorHAnsi"/>
        </w:rPr>
        <w:t>D</w:t>
      </w:r>
      <w:r w:rsidRPr="00914B9D">
        <w:rPr>
          <w:rFonts w:cstheme="minorHAnsi"/>
        </w:rPr>
        <w:t>iffering mandates, procedures, and enforcement capacity require agreed communication arrangements and clearance steps to maintain consistency. This includes defined roles for information validation, approval, and cross-border alignment.</w:t>
      </w:r>
    </w:p>
    <w:p w14:paraId="7783171A" w14:textId="361E7144" w:rsidR="00914B9D" w:rsidRPr="00B47247" w:rsidRDefault="001B4B4F" w:rsidP="001B4B4F">
      <w:pPr>
        <w:pStyle w:val="Heading3"/>
        <w:rPr>
          <w:lang w:val="en-GB"/>
        </w:rPr>
      </w:pPr>
      <w:bookmarkStart w:id="172" w:name="_Toc229036262"/>
      <w:r w:rsidRPr="00B47247">
        <w:rPr>
          <w:lang w:val="en-GB"/>
        </w:rPr>
        <w:t xml:space="preserve">8.6.3 </w:t>
      </w:r>
      <w:r w:rsidR="00914B9D" w:rsidRPr="00B47247">
        <w:rPr>
          <w:lang w:val="en-GB"/>
        </w:rPr>
        <w:t>Target audiences, roles, and focus</w:t>
      </w:r>
      <w:bookmarkEnd w:id="172"/>
    </w:p>
    <w:tbl>
      <w:tblPr>
        <w:tblStyle w:val="TableGrid"/>
        <w:tblW w:w="0" w:type="auto"/>
        <w:tblLook w:val="06A0" w:firstRow="1" w:lastRow="0" w:firstColumn="1" w:lastColumn="0" w:noHBand="1" w:noVBand="1"/>
      </w:tblPr>
      <w:tblGrid>
        <w:gridCol w:w="1622"/>
        <w:gridCol w:w="1441"/>
        <w:gridCol w:w="4363"/>
        <w:gridCol w:w="1590"/>
      </w:tblGrid>
      <w:tr w:rsidR="00914B9D" w14:paraId="0AF84939" w14:textId="77777777" w:rsidTr="001B4B4F">
        <w:trPr>
          <w:trHeight w:val="300"/>
          <w:tblHeader/>
        </w:trPr>
        <w:tc>
          <w:tcPr>
            <w:tcW w:w="1661" w:type="dxa"/>
            <w:shd w:val="clear" w:color="auto" w:fill="B4C6E7" w:themeFill="accent1" w:themeFillTint="66"/>
          </w:tcPr>
          <w:p w14:paraId="7B1A45F6" w14:textId="77777777" w:rsidR="00914B9D" w:rsidRDefault="00914B9D" w:rsidP="00833255">
            <w:pPr>
              <w:jc w:val="center"/>
              <w:rPr>
                <w:b/>
                <w:bCs/>
                <w:sz w:val="16"/>
                <w:szCs w:val="16"/>
              </w:rPr>
            </w:pPr>
            <w:r w:rsidRPr="3CC9FE33">
              <w:rPr>
                <w:b/>
                <w:bCs/>
                <w:sz w:val="16"/>
                <w:szCs w:val="16"/>
              </w:rPr>
              <w:t>Audience group</w:t>
            </w:r>
          </w:p>
        </w:tc>
        <w:tc>
          <w:tcPr>
            <w:tcW w:w="1456" w:type="dxa"/>
            <w:shd w:val="clear" w:color="auto" w:fill="B4C6E7" w:themeFill="accent1" w:themeFillTint="66"/>
          </w:tcPr>
          <w:p w14:paraId="39FADAF0" w14:textId="77777777" w:rsidR="00914B9D" w:rsidRDefault="00914B9D" w:rsidP="00833255">
            <w:pPr>
              <w:jc w:val="center"/>
              <w:rPr>
                <w:b/>
                <w:bCs/>
                <w:sz w:val="16"/>
                <w:szCs w:val="16"/>
              </w:rPr>
            </w:pPr>
            <w:r w:rsidRPr="3CC9FE33">
              <w:rPr>
                <w:b/>
                <w:bCs/>
                <w:sz w:val="16"/>
                <w:szCs w:val="16"/>
              </w:rPr>
              <w:t>Governance role</w:t>
            </w:r>
          </w:p>
        </w:tc>
        <w:tc>
          <w:tcPr>
            <w:tcW w:w="4626" w:type="dxa"/>
            <w:shd w:val="clear" w:color="auto" w:fill="B4C6E7" w:themeFill="accent1" w:themeFillTint="66"/>
          </w:tcPr>
          <w:p w14:paraId="67AE0AAB" w14:textId="77777777" w:rsidR="00914B9D" w:rsidRDefault="00914B9D" w:rsidP="00833255">
            <w:pPr>
              <w:jc w:val="center"/>
              <w:rPr>
                <w:b/>
                <w:bCs/>
                <w:sz w:val="16"/>
                <w:szCs w:val="16"/>
              </w:rPr>
            </w:pPr>
            <w:r w:rsidRPr="3CC9FE33">
              <w:rPr>
                <w:b/>
                <w:bCs/>
                <w:sz w:val="16"/>
                <w:szCs w:val="16"/>
              </w:rPr>
              <w:t>Communication focus</w:t>
            </w:r>
          </w:p>
        </w:tc>
        <w:tc>
          <w:tcPr>
            <w:tcW w:w="1617" w:type="dxa"/>
            <w:shd w:val="clear" w:color="auto" w:fill="B4C6E7" w:themeFill="accent1" w:themeFillTint="66"/>
          </w:tcPr>
          <w:p w14:paraId="1ADC2807" w14:textId="77777777" w:rsidR="00914B9D" w:rsidRDefault="00914B9D" w:rsidP="00833255">
            <w:pPr>
              <w:jc w:val="center"/>
              <w:rPr>
                <w:b/>
                <w:bCs/>
                <w:sz w:val="16"/>
                <w:szCs w:val="16"/>
              </w:rPr>
            </w:pPr>
            <w:r w:rsidRPr="3CC9FE33">
              <w:rPr>
                <w:b/>
                <w:bCs/>
                <w:sz w:val="16"/>
                <w:szCs w:val="16"/>
              </w:rPr>
              <w:t>Main channels</w:t>
            </w:r>
          </w:p>
        </w:tc>
      </w:tr>
      <w:tr w:rsidR="00914B9D" w14:paraId="072DC5E7" w14:textId="77777777" w:rsidTr="00833255">
        <w:trPr>
          <w:trHeight w:val="300"/>
        </w:trPr>
        <w:tc>
          <w:tcPr>
            <w:tcW w:w="1661" w:type="dxa"/>
          </w:tcPr>
          <w:p w14:paraId="721DB76B" w14:textId="77777777" w:rsidR="00914B9D" w:rsidRDefault="00914B9D" w:rsidP="00833255">
            <w:pPr>
              <w:rPr>
                <w:sz w:val="16"/>
                <w:szCs w:val="16"/>
              </w:rPr>
            </w:pPr>
            <w:r w:rsidRPr="3CC9FE33">
              <w:rPr>
                <w:sz w:val="16"/>
                <w:szCs w:val="16"/>
              </w:rPr>
              <w:t>National water and environmental authorities (both countries)</w:t>
            </w:r>
          </w:p>
        </w:tc>
        <w:tc>
          <w:tcPr>
            <w:tcW w:w="1456" w:type="dxa"/>
          </w:tcPr>
          <w:p w14:paraId="7912680C" w14:textId="77777777" w:rsidR="00914B9D" w:rsidRDefault="00914B9D" w:rsidP="00833255">
            <w:pPr>
              <w:rPr>
                <w:sz w:val="16"/>
                <w:szCs w:val="16"/>
              </w:rPr>
            </w:pPr>
            <w:r w:rsidRPr="3CC9FE33">
              <w:rPr>
                <w:sz w:val="16"/>
                <w:szCs w:val="16"/>
              </w:rPr>
              <w:t>Policy coordination, oversight, reporting</w:t>
            </w:r>
          </w:p>
        </w:tc>
        <w:tc>
          <w:tcPr>
            <w:tcW w:w="4626" w:type="dxa"/>
          </w:tcPr>
          <w:p w14:paraId="522E8F04" w14:textId="77777777" w:rsidR="00914B9D" w:rsidRDefault="00914B9D" w:rsidP="00833255">
            <w:pPr>
              <w:rPr>
                <w:sz w:val="16"/>
                <w:szCs w:val="16"/>
              </w:rPr>
            </w:pPr>
            <w:r w:rsidRPr="3CC9FE33">
              <w:rPr>
                <w:sz w:val="16"/>
                <w:szCs w:val="16"/>
              </w:rPr>
              <w:t>Aligned technical messages, decisions, progress updates, joint interpretation of monitoring results and agreed response measures</w:t>
            </w:r>
          </w:p>
        </w:tc>
        <w:tc>
          <w:tcPr>
            <w:tcW w:w="1617" w:type="dxa"/>
          </w:tcPr>
          <w:p w14:paraId="5F3173A1" w14:textId="77777777" w:rsidR="00914B9D" w:rsidRDefault="00914B9D" w:rsidP="00833255">
            <w:pPr>
              <w:rPr>
                <w:sz w:val="16"/>
                <w:szCs w:val="16"/>
              </w:rPr>
            </w:pPr>
            <w:r w:rsidRPr="3CC9FE33">
              <w:rPr>
                <w:sz w:val="16"/>
                <w:szCs w:val="16"/>
              </w:rPr>
              <w:t>Coordination meetings, formal reports, official platforms</w:t>
            </w:r>
          </w:p>
        </w:tc>
      </w:tr>
      <w:tr w:rsidR="00914B9D" w14:paraId="1B9A095D" w14:textId="77777777" w:rsidTr="00833255">
        <w:trPr>
          <w:trHeight w:val="300"/>
        </w:trPr>
        <w:tc>
          <w:tcPr>
            <w:tcW w:w="1661" w:type="dxa"/>
          </w:tcPr>
          <w:p w14:paraId="020DDD4D" w14:textId="77777777" w:rsidR="00914B9D" w:rsidRDefault="00914B9D" w:rsidP="00833255">
            <w:pPr>
              <w:rPr>
                <w:sz w:val="16"/>
                <w:szCs w:val="16"/>
              </w:rPr>
            </w:pPr>
            <w:r w:rsidRPr="3CC9FE33">
              <w:rPr>
                <w:sz w:val="16"/>
                <w:szCs w:val="16"/>
              </w:rPr>
              <w:t>Regional and local authorities</w:t>
            </w:r>
          </w:p>
        </w:tc>
        <w:tc>
          <w:tcPr>
            <w:tcW w:w="1456" w:type="dxa"/>
          </w:tcPr>
          <w:p w14:paraId="68EF9728" w14:textId="77777777" w:rsidR="00914B9D" w:rsidRDefault="00914B9D" w:rsidP="00833255">
            <w:pPr>
              <w:rPr>
                <w:sz w:val="16"/>
                <w:szCs w:val="16"/>
              </w:rPr>
            </w:pPr>
            <w:r w:rsidRPr="3CC9FE33">
              <w:rPr>
                <w:sz w:val="16"/>
                <w:szCs w:val="16"/>
              </w:rPr>
              <w:t>Spatial planning, sanitation, local implementation</w:t>
            </w:r>
          </w:p>
        </w:tc>
        <w:tc>
          <w:tcPr>
            <w:tcW w:w="4626" w:type="dxa"/>
          </w:tcPr>
          <w:p w14:paraId="4A86BE9D" w14:textId="77777777" w:rsidR="00914B9D" w:rsidRDefault="00914B9D" w:rsidP="00833255">
            <w:pPr>
              <w:rPr>
                <w:sz w:val="16"/>
                <w:szCs w:val="16"/>
              </w:rPr>
            </w:pPr>
            <w:r w:rsidRPr="3CC9FE33">
              <w:rPr>
                <w:sz w:val="16"/>
                <w:szCs w:val="16"/>
              </w:rPr>
              <w:t>Integration of groundwater protection into local procedures, application of agreed measures in planning and permitting processes</w:t>
            </w:r>
          </w:p>
        </w:tc>
        <w:tc>
          <w:tcPr>
            <w:tcW w:w="1617" w:type="dxa"/>
          </w:tcPr>
          <w:p w14:paraId="2E4B58CA" w14:textId="77777777" w:rsidR="00914B9D" w:rsidRDefault="00914B9D" w:rsidP="00833255">
            <w:pPr>
              <w:rPr>
                <w:sz w:val="16"/>
                <w:szCs w:val="16"/>
              </w:rPr>
            </w:pPr>
            <w:r w:rsidRPr="3CC9FE33">
              <w:rPr>
                <w:sz w:val="16"/>
                <w:szCs w:val="16"/>
              </w:rPr>
              <w:t>Municipal briefings, guidance notes, targeted workshops</w:t>
            </w:r>
          </w:p>
        </w:tc>
      </w:tr>
      <w:tr w:rsidR="00914B9D" w14:paraId="03E8F716" w14:textId="77777777" w:rsidTr="00833255">
        <w:trPr>
          <w:trHeight w:val="300"/>
        </w:trPr>
        <w:tc>
          <w:tcPr>
            <w:tcW w:w="1661" w:type="dxa"/>
          </w:tcPr>
          <w:p w14:paraId="7F65EF4D" w14:textId="77777777" w:rsidR="00914B9D" w:rsidRDefault="00914B9D" w:rsidP="00833255">
            <w:pPr>
              <w:rPr>
                <w:sz w:val="16"/>
                <w:szCs w:val="16"/>
              </w:rPr>
            </w:pPr>
            <w:r w:rsidRPr="3CC9FE33">
              <w:rPr>
                <w:sz w:val="16"/>
                <w:szCs w:val="16"/>
              </w:rPr>
              <w:t>Water utilities and operators</w:t>
            </w:r>
          </w:p>
        </w:tc>
        <w:tc>
          <w:tcPr>
            <w:tcW w:w="1456" w:type="dxa"/>
          </w:tcPr>
          <w:p w14:paraId="049A57DC" w14:textId="77777777" w:rsidR="00914B9D" w:rsidRDefault="00914B9D" w:rsidP="00833255">
            <w:pPr>
              <w:rPr>
                <w:sz w:val="16"/>
                <w:szCs w:val="16"/>
              </w:rPr>
            </w:pPr>
            <w:r w:rsidRPr="3CC9FE33">
              <w:rPr>
                <w:sz w:val="16"/>
                <w:szCs w:val="16"/>
              </w:rPr>
              <w:t xml:space="preserve">Abstraction, operational </w:t>
            </w:r>
            <w:r w:rsidRPr="3CC9FE33">
              <w:rPr>
                <w:sz w:val="16"/>
                <w:szCs w:val="16"/>
              </w:rPr>
              <w:lastRenderedPageBreak/>
              <w:t>monitoring, service delivery</w:t>
            </w:r>
          </w:p>
        </w:tc>
        <w:tc>
          <w:tcPr>
            <w:tcW w:w="4626" w:type="dxa"/>
          </w:tcPr>
          <w:p w14:paraId="30294234" w14:textId="77777777" w:rsidR="00914B9D" w:rsidRDefault="00914B9D" w:rsidP="00833255">
            <w:pPr>
              <w:rPr>
                <w:sz w:val="16"/>
                <w:szCs w:val="16"/>
              </w:rPr>
            </w:pPr>
            <w:r w:rsidRPr="3CC9FE33">
              <w:rPr>
                <w:sz w:val="16"/>
                <w:szCs w:val="16"/>
              </w:rPr>
              <w:lastRenderedPageBreak/>
              <w:t>Risk management and operational good practice, early warning, incident communication, and data sharing</w:t>
            </w:r>
          </w:p>
        </w:tc>
        <w:tc>
          <w:tcPr>
            <w:tcW w:w="1617" w:type="dxa"/>
          </w:tcPr>
          <w:p w14:paraId="39DD8FF8" w14:textId="77777777" w:rsidR="00914B9D" w:rsidRDefault="00914B9D" w:rsidP="00833255">
            <w:pPr>
              <w:rPr>
                <w:sz w:val="16"/>
                <w:szCs w:val="16"/>
              </w:rPr>
            </w:pPr>
            <w:r w:rsidRPr="3CC9FE33">
              <w:rPr>
                <w:sz w:val="16"/>
                <w:szCs w:val="16"/>
              </w:rPr>
              <w:t xml:space="preserve">Technical exchanges, operational </w:t>
            </w:r>
            <w:r w:rsidRPr="3CC9FE33">
              <w:rPr>
                <w:sz w:val="16"/>
                <w:szCs w:val="16"/>
              </w:rPr>
              <w:lastRenderedPageBreak/>
              <w:t>meetings, short SOP notes</w:t>
            </w:r>
          </w:p>
        </w:tc>
      </w:tr>
      <w:tr w:rsidR="00914B9D" w14:paraId="279E9A15" w14:textId="77777777" w:rsidTr="00833255">
        <w:trPr>
          <w:trHeight w:val="300"/>
        </w:trPr>
        <w:tc>
          <w:tcPr>
            <w:tcW w:w="1661" w:type="dxa"/>
          </w:tcPr>
          <w:p w14:paraId="1B5BC03D" w14:textId="77777777" w:rsidR="00914B9D" w:rsidRDefault="00914B9D" w:rsidP="00833255">
            <w:pPr>
              <w:rPr>
                <w:sz w:val="16"/>
                <w:szCs w:val="16"/>
              </w:rPr>
            </w:pPr>
            <w:r w:rsidRPr="3CC9FE33">
              <w:rPr>
                <w:sz w:val="16"/>
                <w:szCs w:val="16"/>
              </w:rPr>
              <w:lastRenderedPageBreak/>
              <w:t>Protected area and tourism authorities</w:t>
            </w:r>
          </w:p>
        </w:tc>
        <w:tc>
          <w:tcPr>
            <w:tcW w:w="1456" w:type="dxa"/>
          </w:tcPr>
          <w:p w14:paraId="29EAB54F" w14:textId="77777777" w:rsidR="00914B9D" w:rsidRDefault="00914B9D" w:rsidP="00833255">
            <w:pPr>
              <w:rPr>
                <w:sz w:val="16"/>
                <w:szCs w:val="16"/>
              </w:rPr>
            </w:pPr>
            <w:r w:rsidRPr="3CC9FE33">
              <w:rPr>
                <w:sz w:val="16"/>
                <w:szCs w:val="16"/>
              </w:rPr>
              <w:t>Management of sensitive areas and seasonal pressures</w:t>
            </w:r>
          </w:p>
        </w:tc>
        <w:tc>
          <w:tcPr>
            <w:tcW w:w="4626" w:type="dxa"/>
          </w:tcPr>
          <w:p w14:paraId="2C3A66AD" w14:textId="77777777" w:rsidR="00914B9D" w:rsidRDefault="00914B9D" w:rsidP="00833255">
            <w:pPr>
              <w:rPr>
                <w:sz w:val="16"/>
                <w:szCs w:val="16"/>
              </w:rPr>
            </w:pPr>
            <w:r w:rsidRPr="3CC9FE33">
              <w:rPr>
                <w:sz w:val="16"/>
                <w:szCs w:val="16"/>
              </w:rPr>
              <w:t>Prevention measures and site-specific risk awareness, management of seasonal pressures and visitor-related impacts</w:t>
            </w:r>
          </w:p>
        </w:tc>
        <w:tc>
          <w:tcPr>
            <w:tcW w:w="1617" w:type="dxa"/>
          </w:tcPr>
          <w:p w14:paraId="5781BF8E" w14:textId="77777777" w:rsidR="00914B9D" w:rsidRDefault="00914B9D" w:rsidP="00833255">
            <w:pPr>
              <w:rPr>
                <w:sz w:val="16"/>
                <w:szCs w:val="16"/>
              </w:rPr>
            </w:pPr>
            <w:r w:rsidRPr="3CC9FE33">
              <w:rPr>
                <w:sz w:val="16"/>
                <w:szCs w:val="16"/>
              </w:rPr>
              <w:t>Sector sessions, coordination meetings, targeted materials</w:t>
            </w:r>
          </w:p>
        </w:tc>
      </w:tr>
      <w:tr w:rsidR="00914B9D" w14:paraId="5EE421E0" w14:textId="77777777" w:rsidTr="00833255">
        <w:trPr>
          <w:trHeight w:val="300"/>
        </w:trPr>
        <w:tc>
          <w:tcPr>
            <w:tcW w:w="1661" w:type="dxa"/>
          </w:tcPr>
          <w:p w14:paraId="0A89D5E6" w14:textId="77777777" w:rsidR="00914B9D" w:rsidRDefault="00914B9D" w:rsidP="00833255">
            <w:pPr>
              <w:rPr>
                <w:sz w:val="16"/>
                <w:szCs w:val="16"/>
              </w:rPr>
            </w:pPr>
            <w:r w:rsidRPr="3CC9FE33">
              <w:rPr>
                <w:sz w:val="16"/>
                <w:szCs w:val="16"/>
              </w:rPr>
              <w:t>Economic actors (agriculture, tourism, businesses)</w:t>
            </w:r>
          </w:p>
        </w:tc>
        <w:tc>
          <w:tcPr>
            <w:tcW w:w="1456" w:type="dxa"/>
          </w:tcPr>
          <w:p w14:paraId="64DF89DB" w14:textId="77777777" w:rsidR="00914B9D" w:rsidRDefault="00914B9D" w:rsidP="00833255">
            <w:pPr>
              <w:rPr>
                <w:sz w:val="16"/>
                <w:szCs w:val="16"/>
              </w:rPr>
            </w:pPr>
            <w:r w:rsidRPr="3CC9FE33">
              <w:rPr>
                <w:sz w:val="16"/>
                <w:szCs w:val="16"/>
              </w:rPr>
              <w:t>Resource use, compliance, local pressure pathways</w:t>
            </w:r>
          </w:p>
        </w:tc>
        <w:tc>
          <w:tcPr>
            <w:tcW w:w="4626" w:type="dxa"/>
          </w:tcPr>
          <w:p w14:paraId="6EB88453" w14:textId="77777777" w:rsidR="00914B9D" w:rsidRDefault="00914B9D" w:rsidP="00833255">
            <w:pPr>
              <w:rPr>
                <w:sz w:val="16"/>
                <w:szCs w:val="16"/>
              </w:rPr>
            </w:pPr>
            <w:r w:rsidRPr="3CC9FE33">
              <w:rPr>
                <w:sz w:val="16"/>
                <w:szCs w:val="16"/>
              </w:rPr>
              <w:t>Practical obligations and low-cost preventive practices, sector-specific measures to reduce diffuse pressures</w:t>
            </w:r>
          </w:p>
        </w:tc>
        <w:tc>
          <w:tcPr>
            <w:tcW w:w="1617" w:type="dxa"/>
          </w:tcPr>
          <w:p w14:paraId="37B96854" w14:textId="77777777" w:rsidR="00914B9D" w:rsidRDefault="00914B9D" w:rsidP="00833255">
            <w:pPr>
              <w:rPr>
                <w:sz w:val="16"/>
                <w:szCs w:val="16"/>
              </w:rPr>
            </w:pPr>
            <w:r w:rsidRPr="3CC9FE33">
              <w:rPr>
                <w:sz w:val="16"/>
                <w:szCs w:val="16"/>
              </w:rPr>
              <w:t>Sector workshops, municipal channels, associations</w:t>
            </w:r>
          </w:p>
        </w:tc>
      </w:tr>
      <w:tr w:rsidR="00914B9D" w14:paraId="4F53D714" w14:textId="77777777" w:rsidTr="00833255">
        <w:trPr>
          <w:trHeight w:val="300"/>
        </w:trPr>
        <w:tc>
          <w:tcPr>
            <w:tcW w:w="1661" w:type="dxa"/>
          </w:tcPr>
          <w:p w14:paraId="70F47387" w14:textId="77777777" w:rsidR="00914B9D" w:rsidRDefault="00914B9D" w:rsidP="00833255">
            <w:pPr>
              <w:rPr>
                <w:sz w:val="16"/>
                <w:szCs w:val="16"/>
              </w:rPr>
            </w:pPr>
            <w:r w:rsidRPr="3CC9FE33">
              <w:rPr>
                <w:sz w:val="16"/>
                <w:szCs w:val="16"/>
              </w:rPr>
              <w:t>Civil society organizations</w:t>
            </w:r>
          </w:p>
        </w:tc>
        <w:tc>
          <w:tcPr>
            <w:tcW w:w="1456" w:type="dxa"/>
          </w:tcPr>
          <w:p w14:paraId="6D00E41F" w14:textId="77777777" w:rsidR="00914B9D" w:rsidRDefault="00914B9D" w:rsidP="00833255">
            <w:pPr>
              <w:rPr>
                <w:sz w:val="16"/>
                <w:szCs w:val="16"/>
              </w:rPr>
            </w:pPr>
            <w:r w:rsidRPr="3CC9FE33">
              <w:rPr>
                <w:sz w:val="16"/>
                <w:szCs w:val="16"/>
              </w:rPr>
              <w:t>Participatory input, transparency, outreach support</w:t>
            </w:r>
          </w:p>
        </w:tc>
        <w:tc>
          <w:tcPr>
            <w:tcW w:w="4626" w:type="dxa"/>
          </w:tcPr>
          <w:p w14:paraId="563C709F" w14:textId="77777777" w:rsidR="00914B9D" w:rsidRDefault="00914B9D" w:rsidP="00833255">
            <w:pPr>
              <w:rPr>
                <w:sz w:val="16"/>
                <w:szCs w:val="16"/>
              </w:rPr>
            </w:pPr>
            <w:r w:rsidRPr="3CC9FE33">
              <w:rPr>
                <w:sz w:val="16"/>
                <w:szCs w:val="16"/>
              </w:rPr>
              <w:t>Structured engagement and feedback loops, support to awareness-raising and local monitoring feedback</w:t>
            </w:r>
          </w:p>
        </w:tc>
        <w:tc>
          <w:tcPr>
            <w:tcW w:w="1617" w:type="dxa"/>
          </w:tcPr>
          <w:p w14:paraId="67B96B3C" w14:textId="77777777" w:rsidR="00914B9D" w:rsidRDefault="00914B9D" w:rsidP="00833255">
            <w:pPr>
              <w:rPr>
                <w:sz w:val="16"/>
                <w:szCs w:val="16"/>
              </w:rPr>
            </w:pPr>
            <w:r w:rsidRPr="3CC9FE33">
              <w:rPr>
                <w:sz w:val="16"/>
                <w:szCs w:val="16"/>
              </w:rPr>
              <w:t>Consultations, public briefings, co-hosted events</w:t>
            </w:r>
          </w:p>
        </w:tc>
      </w:tr>
      <w:tr w:rsidR="00914B9D" w14:paraId="42BCE865" w14:textId="77777777" w:rsidTr="00833255">
        <w:trPr>
          <w:trHeight w:val="300"/>
        </w:trPr>
        <w:tc>
          <w:tcPr>
            <w:tcW w:w="1661" w:type="dxa"/>
          </w:tcPr>
          <w:p w14:paraId="5E6F04E3" w14:textId="77777777" w:rsidR="00914B9D" w:rsidRDefault="00914B9D" w:rsidP="00833255">
            <w:pPr>
              <w:rPr>
                <w:sz w:val="16"/>
                <w:szCs w:val="16"/>
              </w:rPr>
            </w:pPr>
            <w:r w:rsidRPr="3CC9FE33">
              <w:rPr>
                <w:sz w:val="16"/>
                <w:szCs w:val="16"/>
              </w:rPr>
              <w:t xml:space="preserve">Local communities and </w:t>
            </w:r>
            <w:proofErr w:type="gramStart"/>
            <w:r w:rsidRPr="3CC9FE33">
              <w:rPr>
                <w:sz w:val="16"/>
                <w:szCs w:val="16"/>
              </w:rPr>
              <w:t>general public</w:t>
            </w:r>
            <w:proofErr w:type="gramEnd"/>
          </w:p>
        </w:tc>
        <w:tc>
          <w:tcPr>
            <w:tcW w:w="1456" w:type="dxa"/>
          </w:tcPr>
          <w:p w14:paraId="641B6482" w14:textId="77777777" w:rsidR="00914B9D" w:rsidRDefault="00914B9D" w:rsidP="00833255">
            <w:pPr>
              <w:rPr>
                <w:sz w:val="16"/>
                <w:szCs w:val="16"/>
              </w:rPr>
            </w:pPr>
            <w:r w:rsidRPr="3CC9FE33">
              <w:rPr>
                <w:sz w:val="16"/>
                <w:szCs w:val="16"/>
              </w:rPr>
              <w:t>Groundwater dependency and ownership of measures</w:t>
            </w:r>
          </w:p>
        </w:tc>
        <w:tc>
          <w:tcPr>
            <w:tcW w:w="4626" w:type="dxa"/>
          </w:tcPr>
          <w:p w14:paraId="09EBCC96" w14:textId="77777777" w:rsidR="00914B9D" w:rsidRDefault="00914B9D" w:rsidP="00833255">
            <w:pPr>
              <w:rPr>
                <w:sz w:val="16"/>
                <w:szCs w:val="16"/>
              </w:rPr>
            </w:pPr>
            <w:r w:rsidRPr="3CC9FE33">
              <w:rPr>
                <w:sz w:val="16"/>
                <w:szCs w:val="16"/>
              </w:rPr>
              <w:t>Clear explanation of risks, responsibilities, benefits, and practical implications for daily practices, including simple guidance on practices affecting groundwater quality</w:t>
            </w:r>
          </w:p>
        </w:tc>
        <w:tc>
          <w:tcPr>
            <w:tcW w:w="1617" w:type="dxa"/>
          </w:tcPr>
          <w:p w14:paraId="3614458C" w14:textId="77777777" w:rsidR="00914B9D" w:rsidRDefault="00914B9D" w:rsidP="00833255">
            <w:pPr>
              <w:rPr>
                <w:sz w:val="16"/>
                <w:szCs w:val="16"/>
              </w:rPr>
            </w:pPr>
            <w:r w:rsidRPr="3CC9FE33">
              <w:rPr>
                <w:sz w:val="16"/>
                <w:szCs w:val="16"/>
              </w:rPr>
              <w:t>Local media, municipal communication, public events</w:t>
            </w:r>
          </w:p>
        </w:tc>
      </w:tr>
    </w:tbl>
    <w:p w14:paraId="5E6769EE" w14:textId="77777777" w:rsidR="001B4B4F" w:rsidRPr="002F7519" w:rsidRDefault="001B4B4F" w:rsidP="00914B9D">
      <w:pPr>
        <w:rPr>
          <w:color w:val="0070C0"/>
          <w:sz w:val="8"/>
          <w:szCs w:val="8"/>
          <w:u w:val="single"/>
        </w:rPr>
      </w:pPr>
    </w:p>
    <w:p w14:paraId="642C510B" w14:textId="7160AE8B" w:rsidR="00914B9D" w:rsidRPr="00B47247" w:rsidRDefault="001B4B4F" w:rsidP="001B4B4F">
      <w:pPr>
        <w:pStyle w:val="Heading3"/>
        <w:rPr>
          <w:lang w:val="en-GB"/>
        </w:rPr>
      </w:pPr>
      <w:bookmarkStart w:id="173" w:name="_Toc229036263"/>
      <w:r w:rsidRPr="00B47247">
        <w:rPr>
          <w:lang w:val="en-GB"/>
        </w:rPr>
        <w:t xml:space="preserve">8.6.4 </w:t>
      </w:r>
      <w:r w:rsidR="00914B9D" w:rsidRPr="00B47247">
        <w:rPr>
          <w:lang w:val="en-GB"/>
        </w:rPr>
        <w:t>Guiding principles</w:t>
      </w:r>
      <w:bookmarkEnd w:id="173"/>
    </w:p>
    <w:p w14:paraId="132DF17C" w14:textId="0E149C0E" w:rsidR="00914B9D" w:rsidRDefault="001B4B4F" w:rsidP="00914B9D">
      <w:r w:rsidRPr="001B4B4F">
        <w:t>Communication under the JAP for Neretva TBA should be guided by the following principles</w:t>
      </w:r>
      <w:r w:rsidR="00914B9D" w:rsidRPr="3CC9FE33">
        <w:t>:</w:t>
      </w:r>
    </w:p>
    <w:p w14:paraId="6495D765" w14:textId="4D443340" w:rsidR="00914B9D" w:rsidRDefault="00866545" w:rsidP="00914B9D">
      <w:pPr>
        <w:pStyle w:val="ListParagraph"/>
        <w:numPr>
          <w:ilvl w:val="0"/>
          <w:numId w:val="152"/>
        </w:numPr>
        <w:spacing w:line="279" w:lineRule="auto"/>
        <w:jc w:val="both"/>
      </w:pPr>
      <w:r w:rsidRPr="00866545">
        <w:rPr>
          <w:i/>
          <w:iCs/>
        </w:rPr>
        <w:t xml:space="preserve">Accuracy and reliability: </w:t>
      </w:r>
      <w:r w:rsidRPr="00866545">
        <w:t>Technical information should be verified prior to dissemination and should be attributed to competent institutions</w:t>
      </w:r>
      <w:r w:rsidR="00914B9D" w:rsidRPr="3CC9FE33">
        <w:t>.</w:t>
      </w:r>
    </w:p>
    <w:p w14:paraId="6375241E" w14:textId="37C77336" w:rsidR="00914B9D" w:rsidRPr="00866545" w:rsidRDefault="00866545" w:rsidP="00914B9D">
      <w:pPr>
        <w:pStyle w:val="ListParagraph"/>
        <w:numPr>
          <w:ilvl w:val="0"/>
          <w:numId w:val="152"/>
        </w:numPr>
        <w:spacing w:line="279" w:lineRule="auto"/>
        <w:jc w:val="both"/>
      </w:pPr>
      <w:r w:rsidRPr="00866545">
        <w:rPr>
          <w:i/>
          <w:iCs/>
        </w:rPr>
        <w:t xml:space="preserve">Consistency across borders: </w:t>
      </w:r>
      <w:r w:rsidRPr="00866545">
        <w:t>Agreed core messages should be aligned between national counterparts</w:t>
      </w:r>
      <w:r w:rsidR="00914B9D" w:rsidRPr="00866545">
        <w:t>.</w:t>
      </w:r>
    </w:p>
    <w:p w14:paraId="1FF7785B" w14:textId="3A89B50E" w:rsidR="00914B9D" w:rsidRDefault="00866545" w:rsidP="00914B9D">
      <w:pPr>
        <w:pStyle w:val="ListParagraph"/>
        <w:numPr>
          <w:ilvl w:val="0"/>
          <w:numId w:val="152"/>
        </w:numPr>
        <w:spacing w:line="279" w:lineRule="auto"/>
        <w:jc w:val="both"/>
      </w:pPr>
      <w:r w:rsidRPr="00866545">
        <w:rPr>
          <w:i/>
          <w:iCs/>
        </w:rPr>
        <w:t xml:space="preserve">Proportionality: </w:t>
      </w:r>
      <w:r w:rsidRPr="00866545">
        <w:t>Communication efforts should correspond to the significance and potential impact of the issues addressed</w:t>
      </w:r>
      <w:r w:rsidR="00914B9D" w:rsidRPr="3CC9FE33">
        <w:t>.</w:t>
      </w:r>
    </w:p>
    <w:p w14:paraId="73D0EC49" w14:textId="7CB8EE97" w:rsidR="00914B9D" w:rsidRDefault="00866545" w:rsidP="00914B9D">
      <w:pPr>
        <w:pStyle w:val="ListParagraph"/>
        <w:numPr>
          <w:ilvl w:val="0"/>
          <w:numId w:val="152"/>
        </w:numPr>
        <w:spacing w:line="279" w:lineRule="auto"/>
        <w:jc w:val="both"/>
      </w:pPr>
      <w:r w:rsidRPr="00866545">
        <w:rPr>
          <w:i/>
          <w:iCs/>
        </w:rPr>
        <w:t xml:space="preserve">Clarity and accessibility: </w:t>
      </w:r>
      <w:r w:rsidRPr="00866545">
        <w:t>Non-technical formats should be used without compromising technical integrity. Complex karst processes should be translated into understandable and actionable information</w:t>
      </w:r>
      <w:r w:rsidR="00914B9D" w:rsidRPr="3CC9FE33">
        <w:t>.</w:t>
      </w:r>
    </w:p>
    <w:p w14:paraId="31059353" w14:textId="72BCF696" w:rsidR="00914B9D" w:rsidRDefault="00866545" w:rsidP="00914B9D">
      <w:pPr>
        <w:pStyle w:val="ListParagraph"/>
        <w:numPr>
          <w:ilvl w:val="0"/>
          <w:numId w:val="152"/>
        </w:numPr>
        <w:spacing w:line="279" w:lineRule="auto"/>
        <w:jc w:val="both"/>
      </w:pPr>
      <w:r w:rsidRPr="00866545">
        <w:rPr>
          <w:i/>
          <w:iCs/>
        </w:rPr>
        <w:t xml:space="preserve">Institutional legitimacy: </w:t>
      </w:r>
      <w:r w:rsidRPr="00866545">
        <w:t>Communication should follow mandates and agreed coordination arrangements. This should include defined procedures for validation and cross-border clearance where required</w:t>
      </w:r>
      <w:r w:rsidR="00914B9D" w:rsidRPr="3CC9FE33">
        <w:t>.</w:t>
      </w:r>
    </w:p>
    <w:p w14:paraId="3DF192B9" w14:textId="55EC4C6D" w:rsidR="00914B9D" w:rsidRPr="00866545" w:rsidRDefault="001B4B4F" w:rsidP="001B4B4F">
      <w:pPr>
        <w:pStyle w:val="Heading3"/>
        <w:rPr>
          <w:lang w:val="en-GB"/>
        </w:rPr>
      </w:pPr>
      <w:bookmarkStart w:id="174" w:name="_Toc229036264"/>
      <w:r w:rsidRPr="00866545">
        <w:rPr>
          <w:lang w:val="en-GB"/>
        </w:rPr>
        <w:t xml:space="preserve">8.6.5 </w:t>
      </w:r>
      <w:r w:rsidR="00914B9D" w:rsidRPr="00866545">
        <w:rPr>
          <w:lang w:val="en-GB"/>
        </w:rPr>
        <w:t>Key messages</w:t>
      </w:r>
      <w:bookmarkEnd w:id="174"/>
    </w:p>
    <w:p w14:paraId="77968631" w14:textId="77777777" w:rsidR="00914B9D" w:rsidRDefault="00914B9D" w:rsidP="00914B9D">
      <w:r w:rsidRPr="3CC9FE33">
        <w:t>Core messages will be applied consistently across countries and adapted by audience group and channel:</w:t>
      </w:r>
    </w:p>
    <w:p w14:paraId="64A6EE79" w14:textId="7998E8B2" w:rsidR="00914B9D" w:rsidRDefault="00914B9D" w:rsidP="00914B9D">
      <w:pPr>
        <w:pStyle w:val="ListParagraph"/>
        <w:numPr>
          <w:ilvl w:val="0"/>
          <w:numId w:val="152"/>
        </w:numPr>
        <w:spacing w:line="279" w:lineRule="auto"/>
        <w:jc w:val="both"/>
      </w:pPr>
      <w:r w:rsidRPr="3CC9FE33">
        <w:t xml:space="preserve">The Neretva TBA is a </w:t>
      </w:r>
      <w:r w:rsidR="001B4B4F" w:rsidRPr="001B4B4F">
        <w:t>transboundary</w:t>
      </w:r>
      <w:r w:rsidRPr="3CC9FE33">
        <w:rPr>
          <w:b/>
          <w:bCs/>
        </w:rPr>
        <w:t xml:space="preserve"> </w:t>
      </w:r>
      <w:r w:rsidRPr="3CC9FE33">
        <w:t>groundwater system. Pressures in recharge areas can result in cross-border impacts, including delayed or indirect effects, so coordination is necessary.</w:t>
      </w:r>
    </w:p>
    <w:p w14:paraId="73178EB7" w14:textId="55A2F42B" w:rsidR="00914B9D" w:rsidRDefault="00914B9D" w:rsidP="00914B9D">
      <w:pPr>
        <w:pStyle w:val="ListParagraph"/>
        <w:numPr>
          <w:ilvl w:val="0"/>
          <w:numId w:val="152"/>
        </w:numPr>
        <w:spacing w:line="279" w:lineRule="auto"/>
        <w:jc w:val="both"/>
      </w:pPr>
      <w:r w:rsidRPr="3CC9FE33">
        <w:t xml:space="preserve">In a karst environment, groundwater can react rapidly to pollution and disturbance. Prevention and risk-aware land use in sensitive areas, including the Neretva </w:t>
      </w:r>
      <w:r w:rsidR="003108B4">
        <w:t>Delta</w:t>
      </w:r>
      <w:r w:rsidRPr="3CC9FE33">
        <w:t xml:space="preserve"> and key spring recharge zones, are therefore essential.</w:t>
      </w:r>
    </w:p>
    <w:p w14:paraId="69CAFEDC" w14:textId="77777777" w:rsidR="00914B9D" w:rsidRDefault="00914B9D" w:rsidP="00914B9D">
      <w:pPr>
        <w:pStyle w:val="ListParagraph"/>
        <w:numPr>
          <w:ilvl w:val="0"/>
          <w:numId w:val="152"/>
        </w:numPr>
        <w:spacing w:line="279" w:lineRule="auto"/>
        <w:jc w:val="both"/>
      </w:pPr>
      <w:r w:rsidRPr="3CC9FE33">
        <w:t xml:space="preserve">JAP implementation is </w:t>
      </w:r>
      <w:r w:rsidRPr="001B4B4F">
        <w:t>evidence-based</w:t>
      </w:r>
      <w:r w:rsidRPr="3CC9FE33">
        <w:t xml:space="preserve"> and relies on shared monitoring information, agreed indicators, and coordinated interpretation of results.</w:t>
      </w:r>
    </w:p>
    <w:p w14:paraId="607F4F46" w14:textId="2B6D70EA" w:rsidR="001B4B4F" w:rsidRPr="002F7519" w:rsidRDefault="00914B9D" w:rsidP="00914B9D">
      <w:pPr>
        <w:pStyle w:val="ListParagraph"/>
        <w:numPr>
          <w:ilvl w:val="0"/>
          <w:numId w:val="152"/>
        </w:numPr>
        <w:spacing w:line="279" w:lineRule="auto"/>
        <w:jc w:val="both"/>
      </w:pPr>
      <w:r w:rsidRPr="3CC9FE33">
        <w:t>Cooperation supports practical risk management, including consistent communication on identified risks, response measures, and responsibilities across institutions and sectors.</w:t>
      </w:r>
    </w:p>
    <w:p w14:paraId="3ABEC2DA" w14:textId="5BAE09EB" w:rsidR="00914B9D" w:rsidRPr="002F7519" w:rsidRDefault="001B4B4F" w:rsidP="001B4B4F">
      <w:pPr>
        <w:pStyle w:val="Heading3"/>
        <w:rPr>
          <w:lang w:val="en-GB"/>
        </w:rPr>
      </w:pPr>
      <w:bookmarkStart w:id="175" w:name="_Toc229036265"/>
      <w:r w:rsidRPr="002F7519">
        <w:rPr>
          <w:lang w:val="en-GB"/>
        </w:rPr>
        <w:lastRenderedPageBreak/>
        <w:t xml:space="preserve">8.6.6 </w:t>
      </w:r>
      <w:r w:rsidR="00914B9D" w:rsidRPr="002F7519">
        <w:rPr>
          <w:lang w:val="en-GB"/>
        </w:rPr>
        <w:t>Coordination, products, and monitoring</w:t>
      </w:r>
      <w:bookmarkEnd w:id="175"/>
    </w:p>
    <w:p w14:paraId="6F78514C" w14:textId="77777777" w:rsidR="00866545" w:rsidRPr="00866545" w:rsidRDefault="00866545" w:rsidP="00866545">
      <w:pPr>
        <w:jc w:val="both"/>
      </w:pPr>
      <w:bookmarkStart w:id="176" w:name="_Hlk210468923"/>
      <w:r w:rsidRPr="00866545">
        <w:t>Communication is to be implemented through existing institutional channels and designated focal points. Coordination is ensured through regular information exchange and systematic cross-border alignment of messages. Established institutional platforms are to be used to support coherence and consistency across governance levels.</w:t>
      </w:r>
    </w:p>
    <w:p w14:paraId="75D3B529" w14:textId="77777777" w:rsidR="00866545" w:rsidRPr="00866545" w:rsidRDefault="00866545" w:rsidP="00866545">
      <w:pPr>
        <w:jc w:val="both"/>
      </w:pPr>
      <w:r w:rsidRPr="00866545">
        <w:t>Key communication outputs are to include concise technical summaries for competent authorities, guidance notes tailored to municipalities and utility providers, and clear, accessible visual materials for non-specialist audiences. Short briefing notes are to be prepared to translate monitoring results and risk assessments into practical and operational guidance.</w:t>
      </w:r>
    </w:p>
    <w:p w14:paraId="1572E87F" w14:textId="77777777" w:rsidR="00866545" w:rsidRDefault="00866545" w:rsidP="00866545">
      <w:pPr>
        <w:jc w:val="both"/>
        <w:rPr>
          <w:b/>
        </w:rPr>
      </w:pPr>
      <w:r w:rsidRPr="00866545">
        <w:t>Monitoring arrangements are to include tracking the production and dissemination of agreed communication outputs, levels and diversity of stakeholder engagement, the timeliness and coherence of cross-border messages, and stakeholder feedback regarding clarity and usefulness. Monitoring should also assess the extent to which communication outputs contribute to effective implementation, informed decision-making, and adaptive management processes.</w:t>
      </w:r>
    </w:p>
    <w:p w14:paraId="72549407" w14:textId="77777777" w:rsidR="00866545" w:rsidRDefault="00866545" w:rsidP="00866545">
      <w:pPr>
        <w:rPr>
          <w:b/>
        </w:rPr>
      </w:pPr>
    </w:p>
    <w:p w14:paraId="046DBBA9" w14:textId="38753290" w:rsidR="00866545" w:rsidRPr="0049489C" w:rsidRDefault="00866545" w:rsidP="00866545">
      <w:pPr>
        <w:pStyle w:val="Heading2"/>
      </w:pPr>
      <w:bookmarkStart w:id="177" w:name="_Toc229036266"/>
      <w:r w:rsidRPr="00FA505E">
        <w:rPr>
          <w:lang w:val="en-GB"/>
        </w:rPr>
        <w:t>8.</w:t>
      </w:r>
      <w:r w:rsidR="00813760">
        <w:rPr>
          <w:lang w:val="en-GB"/>
        </w:rPr>
        <w:t>7</w:t>
      </w:r>
      <w:r w:rsidRPr="00FA505E">
        <w:rPr>
          <w:lang w:val="en-GB"/>
        </w:rPr>
        <w:t xml:space="preserve"> Conflict resolution mechanisms</w:t>
      </w:r>
      <w:bookmarkEnd w:id="177"/>
      <w:r w:rsidRPr="00FA505E">
        <w:rPr>
          <w:lang w:val="en-GB"/>
        </w:rPr>
        <w:t xml:space="preserve"> </w:t>
      </w:r>
      <w:r>
        <w:rPr>
          <w:lang w:val="en-GB"/>
        </w:rPr>
        <w:t xml:space="preserve"> </w:t>
      </w:r>
    </w:p>
    <w:p w14:paraId="00C4FBCB" w14:textId="77777777" w:rsidR="00866545" w:rsidRPr="00DD14BD" w:rsidRDefault="00866545" w:rsidP="00866545">
      <w:pPr>
        <w:jc w:val="both"/>
        <w:rPr>
          <w:rFonts w:eastAsiaTheme="majorEastAsia"/>
        </w:rPr>
      </w:pPr>
      <w:r w:rsidRPr="00DD14BD">
        <w:rPr>
          <w:rFonts w:eastAsiaTheme="majorEastAsia"/>
        </w:rPr>
        <w:t>A clear and forward</w:t>
      </w:r>
      <w:r w:rsidRPr="00DD14BD">
        <w:rPr>
          <w:rFonts w:ascii="Cambria Math" w:eastAsiaTheme="majorEastAsia" w:hAnsi="Cambria Math" w:cs="Cambria Math"/>
        </w:rPr>
        <w:t>‑</w:t>
      </w:r>
      <w:r w:rsidRPr="00DD14BD">
        <w:rPr>
          <w:rFonts w:eastAsiaTheme="majorEastAsia"/>
        </w:rPr>
        <w:t>looking conflict resolution mechanism is essential for supporting long</w:t>
      </w:r>
      <w:r w:rsidRPr="00DD14BD">
        <w:rPr>
          <w:rFonts w:ascii="Cambria Math" w:eastAsiaTheme="majorEastAsia" w:hAnsi="Cambria Math" w:cs="Cambria Math"/>
        </w:rPr>
        <w:t>‑</w:t>
      </w:r>
      <w:r w:rsidRPr="00DD14BD">
        <w:rPr>
          <w:rFonts w:eastAsiaTheme="majorEastAsia"/>
        </w:rPr>
        <w:t>term cooperation on Neretva TBA. Because the aquifer responds quickly to pressures and because its recharge and flow patterns extend across the national border, it is important that both countries approach future disagreements in a structured, transparent, and technically grounded way. The mechanism outlined below serves as guidance for how Croatia and Bosnia and Herzegovina can manage future disputes fairly and efficiently, building on established bilateral arrangements while addressing the specific needs of a sensitive karst system.</w:t>
      </w:r>
    </w:p>
    <w:p w14:paraId="1FFC5378" w14:textId="7EBB4EA7" w:rsidR="00866545" w:rsidRPr="00DD14BD" w:rsidRDefault="00866545" w:rsidP="00866545">
      <w:pPr>
        <w:jc w:val="both"/>
        <w:rPr>
          <w:rFonts w:eastAsiaTheme="majorEastAsia"/>
        </w:rPr>
      </w:pPr>
      <w:r w:rsidRPr="00DD14BD">
        <w:rPr>
          <w:rFonts w:eastAsiaTheme="majorEastAsia"/>
        </w:rPr>
        <w:t>In the coming period, priority should be given to preventing conflicts before they arise. This can be achieved through harmonised monitoring practices, timely data exchange, and early</w:t>
      </w:r>
      <w:r w:rsidRPr="00DD14BD">
        <w:rPr>
          <w:rFonts w:ascii="Cambria Math" w:eastAsiaTheme="majorEastAsia" w:hAnsi="Cambria Math" w:cs="Cambria Math"/>
        </w:rPr>
        <w:t>‑</w:t>
      </w:r>
      <w:r w:rsidRPr="00DD14BD">
        <w:rPr>
          <w:rFonts w:eastAsiaTheme="majorEastAsia"/>
        </w:rPr>
        <w:t xml:space="preserve">warning systems that notify both sides of changes in groundwater quality or spring behaviour. When monitoring stations on each side of the border operate with similar parameters and comparable sampling frequencies, the risk of misinterpretation is greatly reduced. Consistent application of sanitary protection zones is equally important; when both countries rely on compatible </w:t>
      </w:r>
      <w:r>
        <w:rPr>
          <w:rFonts w:eastAsiaTheme="majorEastAsia"/>
        </w:rPr>
        <w:t>approaches</w:t>
      </w:r>
      <w:r w:rsidRPr="00DD14BD">
        <w:rPr>
          <w:rFonts w:eastAsiaTheme="majorEastAsia"/>
        </w:rPr>
        <w:t xml:space="preserve"> and conduct joint visits of critical sites, disagreements over source</w:t>
      </w:r>
      <w:r w:rsidRPr="00DD14BD">
        <w:rPr>
          <w:rFonts w:ascii="Cambria Math" w:eastAsiaTheme="majorEastAsia" w:hAnsi="Cambria Math" w:cs="Cambria Math"/>
        </w:rPr>
        <w:t>‑</w:t>
      </w:r>
      <w:r w:rsidRPr="00DD14BD">
        <w:rPr>
          <w:rFonts w:eastAsiaTheme="majorEastAsia"/>
        </w:rPr>
        <w:t>protection obligations are less likely to occur. Preventive communication, including regular information sharing with local institutions and water utilities, further supports stability and trust.</w:t>
      </w:r>
    </w:p>
    <w:p w14:paraId="2E1AE954" w14:textId="0474E120" w:rsidR="00866545" w:rsidRPr="00DD14BD" w:rsidRDefault="00866545" w:rsidP="00866545">
      <w:pPr>
        <w:jc w:val="both"/>
        <w:rPr>
          <w:rFonts w:eastAsiaTheme="majorEastAsia"/>
        </w:rPr>
      </w:pPr>
      <w:r w:rsidRPr="00DD14BD">
        <w:rPr>
          <w:rFonts w:eastAsiaTheme="majorEastAsia"/>
        </w:rPr>
        <w:t xml:space="preserve">If disagreements nevertheless emerge, the recommended approach is to begin with a structured technical consultation. Experts from both countries should jointly review available evidence and attempt to identify the causes of concern. The Consultation and Information Exchange (CIE) Body, </w:t>
      </w:r>
      <w:r>
        <w:rPr>
          <w:rFonts w:eastAsiaTheme="majorEastAsia"/>
        </w:rPr>
        <w:t xml:space="preserve">which is to be </w:t>
      </w:r>
      <w:r w:rsidRPr="00DD14BD">
        <w:rPr>
          <w:rFonts w:eastAsiaTheme="majorEastAsia"/>
        </w:rPr>
        <w:t>established under the DIKTAS II project, will bring together technical representatives from participating countries that could provide a neutral space for these discussions and help mediate when interpretations differ. This stage aims to resolve issues quickly and objectively, based on validated data and shared understanding of the TBA.</w:t>
      </w:r>
    </w:p>
    <w:p w14:paraId="59760C79" w14:textId="77777777" w:rsidR="00866545" w:rsidRPr="00DD14BD" w:rsidRDefault="00866545" w:rsidP="00866545">
      <w:pPr>
        <w:jc w:val="both"/>
        <w:rPr>
          <w:rFonts w:eastAsiaTheme="majorEastAsia"/>
        </w:rPr>
      </w:pPr>
      <w:r w:rsidRPr="00DD14BD">
        <w:rPr>
          <w:rFonts w:eastAsiaTheme="majorEastAsia"/>
        </w:rPr>
        <w:t>In cases where technical dialogue does not yield agreement, the matter should move to bilateral negotiation at the ministerial or national</w:t>
      </w:r>
      <w:r w:rsidRPr="00DD14BD">
        <w:rPr>
          <w:rFonts w:ascii="Cambria Math" w:eastAsiaTheme="majorEastAsia" w:hAnsi="Cambria Math" w:cs="Cambria Math"/>
        </w:rPr>
        <w:t>‑</w:t>
      </w:r>
      <w:r w:rsidRPr="00DD14BD">
        <w:rPr>
          <w:rFonts w:eastAsiaTheme="majorEastAsia"/>
        </w:rPr>
        <w:t xml:space="preserve">agency level. At this stage the focus shifts from technical interpretation to policy, regulatory and financial considerations, while still maintaining the goal of </w:t>
      </w:r>
      <w:r w:rsidRPr="00DD14BD">
        <w:rPr>
          <w:rFonts w:eastAsiaTheme="majorEastAsia"/>
        </w:rPr>
        <w:lastRenderedPageBreak/>
        <w:t>finding a mutually acceptable solution within the bilateral water</w:t>
      </w:r>
      <w:r w:rsidRPr="00DD14BD">
        <w:rPr>
          <w:rFonts w:ascii="Cambria Math" w:eastAsiaTheme="majorEastAsia" w:hAnsi="Cambria Math" w:cs="Cambria Math"/>
        </w:rPr>
        <w:t>‑</w:t>
      </w:r>
      <w:r w:rsidRPr="00DD14BD">
        <w:rPr>
          <w:rFonts w:eastAsiaTheme="majorEastAsia"/>
        </w:rPr>
        <w:t>management framework. This step is particularly important for situations where proposed measures may influence land</w:t>
      </w:r>
      <w:r w:rsidRPr="00DD14BD">
        <w:rPr>
          <w:rFonts w:ascii="Cambria Math" w:eastAsiaTheme="majorEastAsia" w:hAnsi="Cambria Math" w:cs="Cambria Math"/>
        </w:rPr>
        <w:t>‑</w:t>
      </w:r>
      <w:r w:rsidRPr="00DD14BD">
        <w:rPr>
          <w:rFonts w:eastAsiaTheme="majorEastAsia"/>
        </w:rPr>
        <w:t>use planning, infrastructure investment or broader water</w:t>
      </w:r>
      <w:r w:rsidRPr="00DD14BD">
        <w:rPr>
          <w:rFonts w:ascii="Cambria Math" w:eastAsiaTheme="majorEastAsia" w:hAnsi="Cambria Math" w:cs="Cambria Math"/>
        </w:rPr>
        <w:t>‑</w:t>
      </w:r>
      <w:r w:rsidRPr="00DD14BD">
        <w:rPr>
          <w:rFonts w:eastAsiaTheme="majorEastAsia"/>
        </w:rPr>
        <w:t>resource management decisions.</w:t>
      </w:r>
    </w:p>
    <w:p w14:paraId="20C9750F" w14:textId="77777777" w:rsidR="00866545" w:rsidRPr="00DD14BD" w:rsidRDefault="00866545" w:rsidP="00866545">
      <w:pPr>
        <w:jc w:val="both"/>
        <w:rPr>
          <w:rFonts w:eastAsiaTheme="majorEastAsia"/>
        </w:rPr>
      </w:pPr>
      <w:r w:rsidRPr="00DD14BD">
        <w:rPr>
          <w:rFonts w:eastAsiaTheme="majorEastAsia"/>
        </w:rPr>
        <w:t>Third</w:t>
      </w:r>
      <w:r w:rsidRPr="00DD14BD">
        <w:rPr>
          <w:rFonts w:ascii="Cambria Math" w:eastAsiaTheme="majorEastAsia" w:hAnsi="Cambria Math" w:cs="Cambria Math"/>
        </w:rPr>
        <w:t>‑</w:t>
      </w:r>
      <w:r w:rsidRPr="00DD14BD">
        <w:rPr>
          <w:rFonts w:eastAsiaTheme="majorEastAsia"/>
        </w:rPr>
        <w:t xml:space="preserve">party facilitation should be considered only after technical </w:t>
      </w:r>
      <w:proofErr w:type="gramStart"/>
      <w:r w:rsidRPr="00DD14BD">
        <w:rPr>
          <w:rFonts w:eastAsiaTheme="majorEastAsia"/>
        </w:rPr>
        <w:t>discussions</w:t>
      </w:r>
      <w:proofErr w:type="gramEnd"/>
      <w:r w:rsidRPr="00DD14BD">
        <w:rPr>
          <w:rFonts w:eastAsiaTheme="majorEastAsia"/>
        </w:rPr>
        <w:t xml:space="preserve"> and ministerial negotiations have not succeeded. In this context, international cooperation mechanisms associated with transboundary water governance, especially those embedded in multilateral conventions, may assist in clarifying obligations or guiding the countries toward a compromise. These tools ensure neutrality and provide an external reference point while still encouraging collaborative, non</w:t>
      </w:r>
      <w:r w:rsidRPr="00DD14BD">
        <w:rPr>
          <w:rFonts w:ascii="Cambria Math" w:eastAsiaTheme="majorEastAsia" w:hAnsi="Cambria Math" w:cs="Cambria Math"/>
        </w:rPr>
        <w:t>‑</w:t>
      </w:r>
      <w:r w:rsidRPr="00DD14BD">
        <w:rPr>
          <w:rFonts w:eastAsiaTheme="majorEastAsia"/>
        </w:rPr>
        <w:t>adversarial problem</w:t>
      </w:r>
      <w:r w:rsidRPr="00DD14BD">
        <w:rPr>
          <w:rFonts w:ascii="Cambria Math" w:eastAsiaTheme="majorEastAsia" w:hAnsi="Cambria Math" w:cs="Cambria Math"/>
        </w:rPr>
        <w:t>‑</w:t>
      </w:r>
      <w:r w:rsidRPr="00DD14BD">
        <w:rPr>
          <w:rFonts w:eastAsiaTheme="majorEastAsia"/>
        </w:rPr>
        <w:t>solving.</w:t>
      </w:r>
    </w:p>
    <w:p w14:paraId="6B9C7C3D" w14:textId="77777777" w:rsidR="00866545" w:rsidRPr="00DD14BD" w:rsidRDefault="00866545" w:rsidP="00866545">
      <w:pPr>
        <w:jc w:val="both"/>
        <w:rPr>
          <w:rFonts w:eastAsiaTheme="majorEastAsia"/>
        </w:rPr>
      </w:pPr>
      <w:r w:rsidRPr="00DD14BD">
        <w:rPr>
          <w:rFonts w:eastAsiaTheme="majorEastAsia"/>
        </w:rPr>
        <w:t>As a measure of absolute last resort, arbitration or legal procedures remain available under international law. Although these options offer formal resolution pathways, they are typically time</w:t>
      </w:r>
      <w:r w:rsidRPr="00DD14BD">
        <w:rPr>
          <w:rFonts w:ascii="Cambria Math" w:eastAsiaTheme="majorEastAsia" w:hAnsi="Cambria Math" w:cs="Cambria Math"/>
        </w:rPr>
        <w:t>‑</w:t>
      </w:r>
      <w:r w:rsidRPr="00DD14BD">
        <w:rPr>
          <w:rFonts w:eastAsiaTheme="majorEastAsia"/>
        </w:rPr>
        <w:t>consuming and resource</w:t>
      </w:r>
      <w:r w:rsidRPr="00DD14BD">
        <w:rPr>
          <w:rFonts w:ascii="Cambria Math" w:eastAsiaTheme="majorEastAsia" w:hAnsi="Cambria Math" w:cs="Cambria Math"/>
        </w:rPr>
        <w:t>‑</w:t>
      </w:r>
      <w:r w:rsidRPr="00DD14BD">
        <w:rPr>
          <w:rFonts w:eastAsiaTheme="majorEastAsia"/>
        </w:rPr>
        <w:t>intensive, and therefore both countries should seek to rely on them only when all cooperative mechanisms have been fully exhausted. Their presence, however, serves as an important assurance that a structured framework exists for addressing even the most complex disputes.</w:t>
      </w:r>
    </w:p>
    <w:p w14:paraId="02393EC0" w14:textId="6D572E69" w:rsidR="00866545" w:rsidRDefault="00866545" w:rsidP="00866545">
      <w:pPr>
        <w:jc w:val="both"/>
        <w:rPr>
          <w:rFonts w:eastAsiaTheme="majorEastAsia"/>
        </w:rPr>
      </w:pPr>
      <w:r w:rsidRPr="00DD14BD">
        <w:rPr>
          <w:rFonts w:eastAsiaTheme="majorEastAsia"/>
        </w:rPr>
        <w:t>To ensure that the conflict</w:t>
      </w:r>
      <w:r w:rsidRPr="00DD14BD">
        <w:rPr>
          <w:rFonts w:ascii="Cambria Math" w:eastAsiaTheme="majorEastAsia" w:hAnsi="Cambria Math" w:cs="Cambria Math"/>
        </w:rPr>
        <w:t>‑</w:t>
      </w:r>
      <w:r w:rsidRPr="00DD14BD">
        <w:rPr>
          <w:rFonts w:eastAsiaTheme="majorEastAsia"/>
        </w:rPr>
        <w:t>resolution mechanism remains effective over time, it will be important to assess its performance regularly. Indicators such as the number of disputes resolved each year, the time required to reach an agreement, and the satisfaction of stakeholders involved in the process can provide insights into whether the mechanism is working as intended. Annual summaries and periodic reviews should be used to refine procedures, adjust time frames, strengthen communication channels and improve coordination among institutions responsible for implementing agreed measures. These reviews will also help strengthen trust between countries and ensure that the mechanism evolves in line with the broader governance needs of Neretva TBA.</w:t>
      </w:r>
    </w:p>
    <w:p w14:paraId="52B318A1" w14:textId="77777777" w:rsidR="00813760" w:rsidRDefault="00813760" w:rsidP="00866545">
      <w:pPr>
        <w:jc w:val="both"/>
        <w:rPr>
          <w:rFonts w:eastAsiaTheme="majorEastAsia"/>
        </w:rPr>
      </w:pPr>
    </w:p>
    <w:p w14:paraId="3F4A911D" w14:textId="67316F79" w:rsidR="00813760" w:rsidRPr="00813760" w:rsidRDefault="00813760" w:rsidP="00813760">
      <w:pPr>
        <w:pStyle w:val="Heading2"/>
        <w:rPr>
          <w:sz w:val="26"/>
          <w:szCs w:val="26"/>
        </w:rPr>
      </w:pPr>
      <w:bookmarkStart w:id="178" w:name="_Toc229036267"/>
      <w:r w:rsidRPr="00813760">
        <w:rPr>
          <w:rStyle w:val="Heading2Char"/>
          <w:rFonts w:asciiTheme="minorHAnsi" w:hAnsiTheme="minorHAnsi" w:cstheme="minorHAnsi"/>
          <w:lang w:val="en-GB"/>
        </w:rPr>
        <w:t>8.</w:t>
      </w:r>
      <w:r>
        <w:rPr>
          <w:rStyle w:val="Heading2Char"/>
          <w:rFonts w:asciiTheme="minorHAnsi" w:hAnsiTheme="minorHAnsi" w:cstheme="minorHAnsi"/>
          <w:lang w:val="en-GB"/>
        </w:rPr>
        <w:t>8</w:t>
      </w:r>
      <w:r w:rsidRPr="00813760">
        <w:rPr>
          <w:rStyle w:val="Heading2Char"/>
          <w:rFonts w:asciiTheme="minorHAnsi" w:hAnsiTheme="minorHAnsi" w:cstheme="minorHAnsi"/>
          <w:lang w:val="en-GB"/>
        </w:rPr>
        <w:t xml:space="preserve"> List of relevant indicators</w:t>
      </w:r>
      <w:bookmarkEnd w:id="178"/>
      <w:r w:rsidRPr="00813760">
        <w:rPr>
          <w:sz w:val="26"/>
          <w:szCs w:val="26"/>
        </w:rPr>
        <w:t xml:space="preserve"> </w:t>
      </w:r>
    </w:p>
    <w:p w14:paraId="2AADD6C2" w14:textId="6725AD7D" w:rsidR="00813760" w:rsidRPr="00813760" w:rsidRDefault="00813760" w:rsidP="00813760">
      <w:pPr>
        <w:jc w:val="both"/>
        <w:rPr>
          <w:rFonts w:cstheme="minorHAnsi"/>
        </w:rPr>
      </w:pPr>
      <w:r w:rsidRPr="00813760">
        <w:rPr>
          <w:rFonts w:cstheme="minorHAnsi"/>
        </w:rPr>
        <w:t>The implementation of measures for sustainable groundwater management in Neretva TBA requires a comprehensive and systematic framework for monitoring progress and evaluating effectiveness. Given the complex karst hydrogeological conditions, strong surface-groundwater interactions, and pronounced transboundary character of the system, indicators must capture not only physical and chemical groundwater status, but also anthropogenic pressures, management effectiveness, and ecosystem responses. A multi-criteria indicator approach is therefore essential to support adaptive and evidence-based groundwater governance.</w:t>
      </w:r>
    </w:p>
    <w:p w14:paraId="6A14A66B" w14:textId="3313A7ED" w:rsidR="00813760" w:rsidRPr="00813760" w:rsidRDefault="00813760" w:rsidP="00813760">
      <w:pPr>
        <w:pStyle w:val="Heading3"/>
        <w:rPr>
          <w:lang w:val="en-GB"/>
        </w:rPr>
      </w:pPr>
      <w:bookmarkStart w:id="179" w:name="_Toc229036268"/>
      <w:r w:rsidRPr="00813760">
        <w:rPr>
          <w:lang w:val="en-GB"/>
        </w:rPr>
        <w:t>8.8.1 Groundwater quantity indicators</w:t>
      </w:r>
      <w:bookmarkEnd w:id="179"/>
    </w:p>
    <w:p w14:paraId="35413DD3" w14:textId="7C234B21"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Spring discharge variability (mean, minimum, seasonal fluctuations)</w:t>
      </w:r>
      <w:r w:rsidR="00336EBC">
        <w:rPr>
          <w:rFonts w:cstheme="minorHAnsi"/>
        </w:rPr>
        <w:t>;</w:t>
      </w:r>
      <w:r w:rsidRPr="00813760">
        <w:rPr>
          <w:rFonts w:cstheme="minorHAnsi"/>
        </w:rPr>
        <w:t xml:space="preserve"> </w:t>
      </w:r>
    </w:p>
    <w:p w14:paraId="22ED9129" w14:textId="16352F91"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Baseflow contribution to rivers (e.g. Neretva, tributaries)</w:t>
      </w:r>
      <w:r w:rsidR="00336EBC">
        <w:rPr>
          <w:rFonts w:cstheme="minorHAnsi"/>
        </w:rPr>
        <w:t>;</w:t>
      </w:r>
    </w:p>
    <w:p w14:paraId="0EE68CA4" w14:textId="124D56B9"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Frequency and duration of low-flow or drought conditions</w:t>
      </w:r>
      <w:r w:rsidR="00336EBC">
        <w:rPr>
          <w:rFonts w:cstheme="minorHAnsi"/>
        </w:rPr>
        <w:t>;</w:t>
      </w:r>
      <w:r w:rsidRPr="00813760">
        <w:rPr>
          <w:rFonts w:cstheme="minorHAnsi"/>
        </w:rPr>
        <w:t xml:space="preserve"> </w:t>
      </w:r>
    </w:p>
    <w:p w14:paraId="3DAE32A4" w14:textId="3C04BFE3"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Abstraction rates vs. estimated recharge</w:t>
      </w:r>
      <w:r w:rsidR="00336EBC">
        <w:rPr>
          <w:rFonts w:cstheme="minorHAnsi"/>
        </w:rPr>
        <w:t>.</w:t>
      </w:r>
      <w:r w:rsidRPr="00813760">
        <w:rPr>
          <w:rFonts w:cstheme="minorHAnsi"/>
        </w:rPr>
        <w:t xml:space="preserve"> </w:t>
      </w:r>
    </w:p>
    <w:p w14:paraId="5ED986DB" w14:textId="360A55B6" w:rsidR="00813760" w:rsidRPr="00813760" w:rsidRDefault="00813760" w:rsidP="00813760">
      <w:pPr>
        <w:pStyle w:val="Heading3"/>
        <w:rPr>
          <w:lang w:val="en-GB"/>
        </w:rPr>
      </w:pPr>
      <w:bookmarkStart w:id="180" w:name="_Toc229036269"/>
      <w:r w:rsidRPr="00813760">
        <w:rPr>
          <w:lang w:val="en-GB"/>
        </w:rPr>
        <w:t>8.8.2 Groundwater quality indicators</w:t>
      </w:r>
      <w:bookmarkEnd w:id="180"/>
    </w:p>
    <w:p w14:paraId="5A17721F" w14:textId="12E9D256"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Nitrate concentrations (NO₃⁻)</w:t>
      </w:r>
      <w:r w:rsidR="00336EBC">
        <w:rPr>
          <w:rFonts w:cstheme="minorHAnsi"/>
        </w:rPr>
        <w:t>;</w:t>
      </w:r>
    </w:p>
    <w:p w14:paraId="5082050C" w14:textId="69FE25FE"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Pesticide residues (frequency and exceedance of limits)</w:t>
      </w:r>
      <w:r w:rsidR="00336EBC">
        <w:rPr>
          <w:rFonts w:cstheme="minorHAnsi"/>
        </w:rPr>
        <w:t>;</w:t>
      </w:r>
    </w:p>
    <w:p w14:paraId="27088BE1" w14:textId="03D14F0D"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Phosphate concentrations</w:t>
      </w:r>
      <w:r w:rsidR="00336EBC">
        <w:rPr>
          <w:rFonts w:cstheme="minorHAnsi"/>
        </w:rPr>
        <w:t>;</w:t>
      </w:r>
    </w:p>
    <w:p w14:paraId="0DEB0D82" w14:textId="0FD25801"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lastRenderedPageBreak/>
        <w:t>Microbiological indicators (e.g. E. coli, coliforms where relevant)</w:t>
      </w:r>
      <w:r w:rsidR="00336EBC">
        <w:rPr>
          <w:rFonts w:cstheme="minorHAnsi"/>
        </w:rPr>
        <w:t>;</w:t>
      </w:r>
      <w:r w:rsidRPr="00813760">
        <w:rPr>
          <w:rFonts w:cstheme="minorHAnsi"/>
        </w:rPr>
        <w:t xml:space="preserve"> </w:t>
      </w:r>
    </w:p>
    <w:p w14:paraId="0D71F4BE" w14:textId="695D653D"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 xml:space="preserve">Electrical conductivity and salinity (important for </w:t>
      </w:r>
      <w:r w:rsidR="003108B4">
        <w:rPr>
          <w:rFonts w:cstheme="minorHAnsi"/>
        </w:rPr>
        <w:t>Delta</w:t>
      </w:r>
      <w:r w:rsidRPr="00813760">
        <w:rPr>
          <w:rFonts w:cstheme="minorHAnsi"/>
        </w:rPr>
        <w:t xml:space="preserve"> area)</w:t>
      </w:r>
      <w:r w:rsidR="00336EBC">
        <w:rPr>
          <w:rFonts w:cstheme="minorHAnsi"/>
        </w:rPr>
        <w:t>;</w:t>
      </w:r>
    </w:p>
    <w:p w14:paraId="67C6DF8F" w14:textId="09DFCEB8"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Trend analysis of key pollutants over time</w:t>
      </w:r>
      <w:r w:rsidR="00336EBC">
        <w:rPr>
          <w:rFonts w:cstheme="minorHAnsi"/>
        </w:rPr>
        <w:t>.</w:t>
      </w:r>
      <w:r w:rsidRPr="00813760">
        <w:rPr>
          <w:rFonts w:cstheme="minorHAnsi"/>
        </w:rPr>
        <w:t xml:space="preserve"> </w:t>
      </w:r>
    </w:p>
    <w:p w14:paraId="537B562D" w14:textId="41EFDBC7" w:rsidR="00813760" w:rsidRPr="00813760" w:rsidRDefault="00813760" w:rsidP="00813760">
      <w:pPr>
        <w:pStyle w:val="Heading3"/>
        <w:rPr>
          <w:lang w:val="en-GB"/>
        </w:rPr>
      </w:pPr>
      <w:bookmarkStart w:id="181" w:name="_Toc229036270"/>
      <w:r w:rsidRPr="00813760">
        <w:rPr>
          <w:lang w:val="en-GB"/>
        </w:rPr>
        <w:t>8.8.3 Pollution pressure indicators (land use impacts)</w:t>
      </w:r>
      <w:bookmarkEnd w:id="181"/>
    </w:p>
    <w:p w14:paraId="3DA5E566" w14:textId="233D6CD2"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Fertilizer application rates (kg/ha/year)</w:t>
      </w:r>
      <w:r w:rsidR="00336EBC">
        <w:rPr>
          <w:rFonts w:cstheme="minorHAnsi"/>
        </w:rPr>
        <w:t>;</w:t>
      </w:r>
    </w:p>
    <w:p w14:paraId="205E46DC" w14:textId="257E62F9"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Pesticide usage intensity and compliance</w:t>
      </w:r>
      <w:r w:rsidR="00336EBC">
        <w:rPr>
          <w:rFonts w:cstheme="minorHAnsi"/>
        </w:rPr>
        <w:t>;</w:t>
      </w:r>
    </w:p>
    <w:p w14:paraId="5BD1205D" w14:textId="7CA7B9A7"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Percentage of area with wastewater treatment coverage</w:t>
      </w:r>
      <w:r w:rsidR="00336EBC">
        <w:rPr>
          <w:rFonts w:cstheme="minorHAnsi"/>
        </w:rPr>
        <w:t>;</w:t>
      </w:r>
      <w:r w:rsidRPr="00813760">
        <w:rPr>
          <w:rFonts w:cstheme="minorHAnsi"/>
        </w:rPr>
        <w:t xml:space="preserve"> </w:t>
      </w:r>
    </w:p>
    <w:p w14:paraId="00D383B4" w14:textId="571F0C12"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Number of untreated/insufficient wastewater discharge points</w:t>
      </w:r>
      <w:r w:rsidR="00336EBC">
        <w:rPr>
          <w:rFonts w:cstheme="minorHAnsi"/>
        </w:rPr>
        <w:t>;</w:t>
      </w:r>
    </w:p>
    <w:p w14:paraId="4D7043CA" w14:textId="5D1EF44A"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Livestock density in recharge zones</w:t>
      </w:r>
      <w:r w:rsidR="00336EBC">
        <w:rPr>
          <w:rFonts w:cstheme="minorHAnsi"/>
        </w:rPr>
        <w:t>;</w:t>
      </w:r>
      <w:r w:rsidRPr="00813760">
        <w:rPr>
          <w:rFonts w:cstheme="minorHAnsi"/>
        </w:rPr>
        <w:t xml:space="preserve"> </w:t>
      </w:r>
    </w:p>
    <w:p w14:paraId="66E58D73" w14:textId="078EAE5A"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Land use change in karst recharge areas (agriculture/urbanization)</w:t>
      </w:r>
      <w:r w:rsidR="00336EBC">
        <w:rPr>
          <w:rFonts w:cstheme="minorHAnsi"/>
        </w:rPr>
        <w:t>.</w:t>
      </w:r>
      <w:r w:rsidRPr="00813760">
        <w:rPr>
          <w:rFonts w:cstheme="minorHAnsi"/>
        </w:rPr>
        <w:t xml:space="preserve"> </w:t>
      </w:r>
    </w:p>
    <w:p w14:paraId="0F705DC1" w14:textId="7FD2A7E1" w:rsidR="00813760" w:rsidRPr="00813760" w:rsidRDefault="00813760" w:rsidP="00813760">
      <w:pPr>
        <w:pStyle w:val="Heading3"/>
        <w:rPr>
          <w:lang w:val="en-GB"/>
        </w:rPr>
      </w:pPr>
      <w:bookmarkStart w:id="182" w:name="_Toc229036271"/>
      <w:r w:rsidRPr="00813760">
        <w:rPr>
          <w:lang w:val="en-GB"/>
        </w:rPr>
        <w:t>8.8.4 Water use &amp; efficiency indicators</w:t>
      </w:r>
      <w:bookmarkEnd w:id="182"/>
    </w:p>
    <w:p w14:paraId="64C97AF2" w14:textId="07C362A7"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Groundwater abstraction volume (total and sectoral)</w:t>
      </w:r>
      <w:r w:rsidR="00336EBC">
        <w:rPr>
          <w:rFonts w:cstheme="minorHAnsi"/>
        </w:rPr>
        <w:t>;</w:t>
      </w:r>
      <w:r w:rsidRPr="00813760">
        <w:rPr>
          <w:rFonts w:cstheme="minorHAnsi"/>
        </w:rPr>
        <w:t xml:space="preserve"> </w:t>
      </w:r>
    </w:p>
    <w:p w14:paraId="207E7AD8" w14:textId="0894D090"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Irrigation efficiency (% drip irrigation or modern systems)</w:t>
      </w:r>
      <w:r w:rsidR="00336EBC">
        <w:rPr>
          <w:rFonts w:cstheme="minorHAnsi"/>
        </w:rPr>
        <w:t>;</w:t>
      </w:r>
    </w:p>
    <w:p w14:paraId="2F3B7DA5" w14:textId="58F4A204"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Water supply network losses (% leakage rate)</w:t>
      </w:r>
      <w:r w:rsidR="00336EBC">
        <w:rPr>
          <w:rFonts w:cstheme="minorHAnsi"/>
        </w:rPr>
        <w:t>;</w:t>
      </w:r>
    </w:p>
    <w:p w14:paraId="1850003B" w14:textId="43911BB0"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Ratio of surface water vs groundwater use (conjunctive use balance)</w:t>
      </w:r>
      <w:r w:rsidR="00336EBC">
        <w:rPr>
          <w:rFonts w:cstheme="minorHAnsi"/>
        </w:rPr>
        <w:t>;</w:t>
      </w:r>
    </w:p>
    <w:p w14:paraId="50259061" w14:textId="30E0125E"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Number of water-saving technologies implemented</w:t>
      </w:r>
      <w:r w:rsidR="00336EBC">
        <w:rPr>
          <w:rFonts w:cstheme="minorHAnsi"/>
        </w:rPr>
        <w:t>.</w:t>
      </w:r>
      <w:r w:rsidRPr="00813760">
        <w:rPr>
          <w:rFonts w:cstheme="minorHAnsi"/>
        </w:rPr>
        <w:t xml:space="preserve"> </w:t>
      </w:r>
    </w:p>
    <w:p w14:paraId="4C20B4E0" w14:textId="6E0BF8A1" w:rsidR="00813760" w:rsidRPr="00813760" w:rsidRDefault="00813760" w:rsidP="00813760">
      <w:pPr>
        <w:pStyle w:val="Heading3"/>
        <w:rPr>
          <w:lang w:val="en-GB"/>
        </w:rPr>
      </w:pPr>
      <w:bookmarkStart w:id="183" w:name="_Toc229036272"/>
      <w:r w:rsidRPr="00813760">
        <w:rPr>
          <w:lang w:val="en-GB"/>
        </w:rPr>
        <w:t>8.8.5 Protection &amp; governance indicators</w:t>
      </w:r>
      <w:bookmarkEnd w:id="183"/>
    </w:p>
    <w:p w14:paraId="1DC7D4D6" w14:textId="1F2D7B6A"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Number of springs with formally adopted sanitary protection zones</w:t>
      </w:r>
      <w:r w:rsidR="00336EBC">
        <w:rPr>
          <w:rFonts w:cstheme="minorHAnsi"/>
        </w:rPr>
        <w:t>;</w:t>
      </w:r>
      <w:r w:rsidRPr="00813760">
        <w:rPr>
          <w:rFonts w:cstheme="minorHAnsi"/>
        </w:rPr>
        <w:t xml:space="preserve"> </w:t>
      </w:r>
    </w:p>
    <w:p w14:paraId="163CD8F5" w14:textId="0795F972"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Degree of harmonisation of protection zones across borders</w:t>
      </w:r>
      <w:r w:rsidR="00336EBC">
        <w:rPr>
          <w:rFonts w:cstheme="minorHAnsi"/>
        </w:rPr>
        <w:t>;</w:t>
      </w:r>
    </w:p>
    <w:p w14:paraId="375BDFDC" w14:textId="5499AD42"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Implementation rate of legal/regulatory measures</w:t>
      </w:r>
      <w:r w:rsidR="00336EBC">
        <w:rPr>
          <w:rFonts w:cstheme="minorHAnsi"/>
        </w:rPr>
        <w:t>;</w:t>
      </w:r>
      <w:r w:rsidRPr="00813760">
        <w:rPr>
          <w:rFonts w:cstheme="minorHAnsi"/>
        </w:rPr>
        <w:t xml:space="preserve"> </w:t>
      </w:r>
    </w:p>
    <w:p w14:paraId="5AA7BEE1" w14:textId="1F8F3965"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Number of monitoring stations (and cross-border coverage)</w:t>
      </w:r>
      <w:r w:rsidR="00336EBC">
        <w:rPr>
          <w:rFonts w:cstheme="minorHAnsi"/>
        </w:rPr>
        <w:t>;</w:t>
      </w:r>
      <w:r w:rsidRPr="00813760">
        <w:rPr>
          <w:rFonts w:cstheme="minorHAnsi"/>
        </w:rPr>
        <w:t xml:space="preserve"> </w:t>
      </w:r>
    </w:p>
    <w:p w14:paraId="7052B446" w14:textId="2698A774"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Frequency of data exchange between BIH and Croatia institutions</w:t>
      </w:r>
      <w:r w:rsidR="00336EBC">
        <w:rPr>
          <w:rFonts w:cstheme="minorHAnsi"/>
        </w:rPr>
        <w:t>;</w:t>
      </w:r>
      <w:r w:rsidRPr="00813760">
        <w:rPr>
          <w:rFonts w:cstheme="minorHAnsi"/>
        </w:rPr>
        <w:t xml:space="preserve"> </w:t>
      </w:r>
    </w:p>
    <w:p w14:paraId="2FDAC8E8" w14:textId="495CC4E3"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Implementation status of Joint Action Plan (JAP) measures (% completed)</w:t>
      </w:r>
      <w:r w:rsidR="00336EBC">
        <w:rPr>
          <w:rFonts w:cstheme="minorHAnsi"/>
        </w:rPr>
        <w:t>.</w:t>
      </w:r>
      <w:r w:rsidRPr="00813760">
        <w:rPr>
          <w:rFonts w:cstheme="minorHAnsi"/>
        </w:rPr>
        <w:t xml:space="preserve"> </w:t>
      </w:r>
    </w:p>
    <w:p w14:paraId="775A4046" w14:textId="02AEE4DB" w:rsidR="00813760" w:rsidRPr="00813760" w:rsidRDefault="00813760" w:rsidP="00813760">
      <w:pPr>
        <w:pStyle w:val="Heading3"/>
        <w:rPr>
          <w:lang w:val="en-GB"/>
        </w:rPr>
      </w:pPr>
      <w:r w:rsidRPr="00813760">
        <w:rPr>
          <w:lang w:val="en-GB"/>
        </w:rPr>
        <w:t xml:space="preserve"> </w:t>
      </w:r>
      <w:bookmarkStart w:id="184" w:name="_Toc229036273"/>
      <w:r w:rsidRPr="00813760">
        <w:rPr>
          <w:lang w:val="en-GB"/>
        </w:rPr>
        <w:t>8.8.6 Ecosystem &amp; environmental indicators</w:t>
      </w:r>
      <w:bookmarkEnd w:id="184"/>
    </w:p>
    <w:p w14:paraId="5C60AF05" w14:textId="41B1417F"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 xml:space="preserve">Status of groundwater-dependent ecosystems (wetlands, springs, </w:t>
      </w:r>
      <w:r w:rsidR="003108B4">
        <w:rPr>
          <w:rFonts w:cstheme="minorHAnsi"/>
        </w:rPr>
        <w:t>Delta</w:t>
      </w:r>
      <w:r w:rsidRPr="00813760">
        <w:rPr>
          <w:rFonts w:cstheme="minorHAnsi"/>
        </w:rPr>
        <w:t xml:space="preserve"> habitats)</w:t>
      </w:r>
      <w:r w:rsidR="00336EBC">
        <w:rPr>
          <w:rFonts w:cstheme="minorHAnsi"/>
        </w:rPr>
        <w:t>;</w:t>
      </w:r>
      <w:r w:rsidRPr="00813760">
        <w:rPr>
          <w:rFonts w:cstheme="minorHAnsi"/>
        </w:rPr>
        <w:t xml:space="preserve"> </w:t>
      </w:r>
    </w:p>
    <w:p w14:paraId="04273ABF" w14:textId="2002DDC1"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 xml:space="preserve">Saltwater intrusion extent in </w:t>
      </w:r>
      <w:r w:rsidR="00336EBC">
        <w:rPr>
          <w:rFonts w:cstheme="minorHAnsi"/>
        </w:rPr>
        <w:t xml:space="preserve">the Neretva </w:t>
      </w:r>
      <w:r w:rsidR="003108B4">
        <w:rPr>
          <w:rFonts w:cstheme="minorHAnsi"/>
        </w:rPr>
        <w:t>Delta</w:t>
      </w:r>
      <w:r w:rsidR="00336EBC">
        <w:rPr>
          <w:rFonts w:cstheme="minorHAnsi"/>
        </w:rPr>
        <w:t>;</w:t>
      </w:r>
      <w:r w:rsidRPr="00813760">
        <w:rPr>
          <w:rFonts w:cstheme="minorHAnsi"/>
        </w:rPr>
        <w:t xml:space="preserve"> </w:t>
      </w:r>
    </w:p>
    <w:p w14:paraId="70056263" w14:textId="031D15BA"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Ecological flow in rivers (minimum flow compliance)</w:t>
      </w:r>
      <w:r w:rsidR="00336EBC">
        <w:rPr>
          <w:rFonts w:cstheme="minorHAnsi"/>
        </w:rPr>
        <w:t>;</w:t>
      </w:r>
    </w:p>
    <w:p w14:paraId="199C683A" w14:textId="4D160E8E"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 xml:space="preserve">Habitat quality indicators in Neretva </w:t>
      </w:r>
      <w:r w:rsidR="003108B4">
        <w:rPr>
          <w:rFonts w:cstheme="minorHAnsi"/>
        </w:rPr>
        <w:t>Delta</w:t>
      </w:r>
      <w:r w:rsidRPr="00813760">
        <w:rPr>
          <w:rFonts w:cstheme="minorHAnsi"/>
        </w:rPr>
        <w:t xml:space="preserve"> wetlands</w:t>
      </w:r>
      <w:r w:rsidR="00336EBC">
        <w:rPr>
          <w:rFonts w:cstheme="minorHAnsi"/>
        </w:rPr>
        <w:t>.</w:t>
      </w:r>
    </w:p>
    <w:p w14:paraId="20574114" w14:textId="311A150E" w:rsidR="00813760" w:rsidRPr="00813760" w:rsidRDefault="00813760" w:rsidP="00813760">
      <w:pPr>
        <w:pStyle w:val="Heading3"/>
        <w:rPr>
          <w:lang w:val="en-GB"/>
        </w:rPr>
      </w:pPr>
      <w:bookmarkStart w:id="185" w:name="_Toc229036274"/>
      <w:r w:rsidRPr="00813760">
        <w:rPr>
          <w:lang w:val="en-GB"/>
        </w:rPr>
        <w:t>8.8.7 Climate resilience indicators</w:t>
      </w:r>
      <w:bookmarkEnd w:id="185"/>
    </w:p>
    <w:p w14:paraId="4E686518" w14:textId="786EAE4A"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Frequency of drought events affecting groundwater levels</w:t>
      </w:r>
      <w:r w:rsidR="00336EBC">
        <w:rPr>
          <w:rFonts w:cstheme="minorHAnsi"/>
        </w:rPr>
        <w:t>;</w:t>
      </w:r>
      <w:r w:rsidRPr="00813760">
        <w:rPr>
          <w:rFonts w:cstheme="minorHAnsi"/>
        </w:rPr>
        <w:t xml:space="preserve"> </w:t>
      </w:r>
    </w:p>
    <w:p w14:paraId="15FB38D7" w14:textId="49213A34"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Recovery time of aquifer after dry periods</w:t>
      </w:r>
      <w:r w:rsidR="00336EBC">
        <w:rPr>
          <w:rFonts w:cstheme="minorHAnsi"/>
        </w:rPr>
        <w:t>;</w:t>
      </w:r>
      <w:r w:rsidRPr="00813760">
        <w:rPr>
          <w:rFonts w:cstheme="minorHAnsi"/>
        </w:rPr>
        <w:t xml:space="preserve"> </w:t>
      </w:r>
    </w:p>
    <w:p w14:paraId="61C051E4" w14:textId="3AFFF492" w:rsidR="00813760" w:rsidRDefault="00813760" w:rsidP="00813760">
      <w:pPr>
        <w:numPr>
          <w:ilvl w:val="0"/>
          <w:numId w:val="153"/>
        </w:numPr>
        <w:spacing w:after="60" w:line="240" w:lineRule="auto"/>
        <w:ind w:left="714" w:hanging="357"/>
        <w:jc w:val="both"/>
        <w:rPr>
          <w:rFonts w:cstheme="minorHAnsi"/>
        </w:rPr>
      </w:pPr>
      <w:r w:rsidRPr="00813760">
        <w:rPr>
          <w:rFonts w:cstheme="minorHAnsi"/>
        </w:rPr>
        <w:t>Variability of recharge (precipitation trends vs infiltration)</w:t>
      </w:r>
      <w:r w:rsidR="00336EBC">
        <w:rPr>
          <w:rFonts w:cstheme="minorHAnsi"/>
        </w:rPr>
        <w:t>;</w:t>
      </w:r>
    </w:p>
    <w:p w14:paraId="4CD701C2" w14:textId="085663D4" w:rsidR="00813760" w:rsidRPr="00813760" w:rsidRDefault="00813760" w:rsidP="00813760">
      <w:pPr>
        <w:numPr>
          <w:ilvl w:val="0"/>
          <w:numId w:val="153"/>
        </w:numPr>
        <w:spacing w:after="60" w:line="240" w:lineRule="auto"/>
        <w:ind w:left="714" w:hanging="357"/>
        <w:jc w:val="both"/>
        <w:rPr>
          <w:rFonts w:cstheme="minorHAnsi"/>
        </w:rPr>
      </w:pPr>
      <w:r w:rsidRPr="00813760">
        <w:rPr>
          <w:rFonts w:cstheme="minorHAnsi"/>
        </w:rPr>
        <w:t>Adaptation measures implemented (storage, reuse, demand reduction)</w:t>
      </w:r>
      <w:r w:rsidR="00336EBC">
        <w:rPr>
          <w:rFonts w:cstheme="minorHAnsi"/>
        </w:rPr>
        <w:t>.</w:t>
      </w:r>
    </w:p>
    <w:p w14:paraId="078C2911" w14:textId="77B9E883" w:rsidR="00813760" w:rsidRPr="00813760" w:rsidRDefault="00813760" w:rsidP="00813760">
      <w:pPr>
        <w:jc w:val="both"/>
        <w:rPr>
          <w:rFonts w:cstheme="minorHAnsi"/>
          <w:b/>
        </w:rPr>
      </w:pPr>
    </w:p>
    <w:p w14:paraId="0C6AEB14" w14:textId="744E13A5" w:rsidR="00B07AB7" w:rsidRPr="00203D85" w:rsidRDefault="00B07AB7" w:rsidP="00203D85">
      <w:pPr>
        <w:pStyle w:val="Heading1"/>
        <w:rPr>
          <w:lang w:val="en-GB"/>
        </w:rPr>
      </w:pPr>
      <w:bookmarkStart w:id="186" w:name="_Toc229036275"/>
      <w:r w:rsidRPr="00203D85">
        <w:rPr>
          <w:lang w:val="en-GB"/>
        </w:rPr>
        <w:t xml:space="preserve">9. </w:t>
      </w:r>
      <w:bookmarkStart w:id="187" w:name="_Hlk210473853"/>
      <w:r w:rsidRPr="00203D85">
        <w:rPr>
          <w:lang w:val="en-GB"/>
        </w:rPr>
        <w:t>Preventive protection measures</w:t>
      </w:r>
      <w:bookmarkEnd w:id="186"/>
      <w:bookmarkEnd w:id="187"/>
      <w:r w:rsidRPr="00203D85">
        <w:rPr>
          <w:lang w:val="en-GB"/>
        </w:rPr>
        <w:t xml:space="preserve"> </w:t>
      </w:r>
    </w:p>
    <w:p w14:paraId="7CC90E5E" w14:textId="47CB4AB4" w:rsidR="00B07AB7" w:rsidRPr="00813760" w:rsidRDefault="00B07AB7" w:rsidP="00203D85">
      <w:pPr>
        <w:jc w:val="both"/>
      </w:pPr>
      <w:r w:rsidRPr="00813760">
        <w:t xml:space="preserve">Preventive protection measures for transboundary aquifers are presented, with a particular focus on the development of groundwater vulnerability, hazard, and risk maps to identify sensitive areas and potential pollution sources. The text outlines guidelines for the harmonization of criteria for sanitary </w:t>
      </w:r>
      <w:r w:rsidRPr="00813760">
        <w:lastRenderedPageBreak/>
        <w:t>protection zones and addresses the prevention and control of both point and diffuse pollution sources, as well as measures for regulating groundwater abstraction. In addition, the role of land use planning instruments in supporting the sustainable management of transboundary aquifers is highlighted.</w:t>
      </w:r>
    </w:p>
    <w:p w14:paraId="0C29E997" w14:textId="77777777" w:rsidR="00B07AB7" w:rsidRDefault="00B07AB7" w:rsidP="00B07AB7">
      <w:pPr>
        <w:rPr>
          <w:rStyle w:val="Heading2Char"/>
        </w:rPr>
      </w:pPr>
    </w:p>
    <w:p w14:paraId="48391D84" w14:textId="5CFDB587" w:rsidR="00B07AB7" w:rsidRPr="00B07AB7" w:rsidRDefault="00B07AB7" w:rsidP="00B07AB7">
      <w:pPr>
        <w:pStyle w:val="Heading2"/>
        <w:rPr>
          <w:rFonts w:cstheme="majorHAnsi"/>
          <w:b w:val="0"/>
          <w:bCs/>
          <w:lang w:val="en-GB"/>
        </w:rPr>
      </w:pPr>
      <w:bookmarkStart w:id="188" w:name="_Toc229036276"/>
      <w:r w:rsidRPr="00B07AB7">
        <w:rPr>
          <w:rStyle w:val="Heading2Char"/>
          <w:b/>
          <w:bCs/>
          <w:lang w:val="en-GB"/>
        </w:rPr>
        <w:t>9.1 Groundwater vulnerability, hazard and risks maps</w:t>
      </w:r>
      <w:bookmarkEnd w:id="188"/>
    </w:p>
    <w:p w14:paraId="214D43C9" w14:textId="7724434D" w:rsidR="00B07AB7" w:rsidRPr="00B07AB7" w:rsidRDefault="00B07AB7" w:rsidP="00203D85">
      <w:pPr>
        <w:jc w:val="both"/>
      </w:pPr>
      <w:bookmarkStart w:id="189" w:name="_Toc222313758"/>
      <w:bookmarkStart w:id="190" w:name="_Toc222653378"/>
      <w:r w:rsidRPr="00B07AB7">
        <w:t xml:space="preserve">Natural groundwater vulnerability, hazard, and risk maps have been developed in the Republic of Croatia for the purposes of the </w:t>
      </w:r>
      <w:r>
        <w:t>2</w:t>
      </w:r>
      <w:r>
        <w:rPr>
          <w:vertAlign w:val="superscript"/>
        </w:rPr>
        <w:t>nd</w:t>
      </w:r>
      <w:r w:rsidRPr="00B07AB7">
        <w:t xml:space="preserve"> River Basin Management Plan for the period 2016–2021 (2</w:t>
      </w:r>
      <w:r w:rsidRPr="00B07AB7">
        <w:rPr>
          <w:vertAlign w:val="superscript"/>
        </w:rPr>
        <w:t>nd</w:t>
      </w:r>
      <w:r w:rsidRPr="00B07AB7">
        <w:t xml:space="preserve"> RBMP), covering, among others, the Croatian part of the Neretva TBA. In contrast, within the Second Adriatic Sea River Basin Management Plan in the Federation of Bosnia and Herzegovina (FBiH), a simplified expert-based approach was applied. This approach resulted in a predominance of areas classified as highly vulnerable, while areas of low vulnerability are mainly associated with non-productive geological formations.</w:t>
      </w:r>
    </w:p>
    <w:p w14:paraId="20A9ADBA" w14:textId="4536D257" w:rsidR="00B07AB7" w:rsidRDefault="00B07AB7" w:rsidP="00203D85">
      <w:pPr>
        <w:jc w:val="both"/>
      </w:pPr>
      <w:r w:rsidRPr="00B07AB7">
        <w:t>The methodology applied for the development of groundwater vulnerability, hazard, and risk maps in the Republic of Croatia, as well as the expert-based approach used for vulnerability assessment in FBiH, is described below. Figure 9.1 illustrates the resulting groundwater vulnerability within Neretva TBA for Bosnia and Herzegovina and the Republic of Croatia, based on the two river basin management plans and the application of different vulnerability assessment approaches.</w:t>
      </w:r>
    </w:p>
    <w:p w14:paraId="115FCB1B" w14:textId="44102969" w:rsidR="00B07AB7" w:rsidRPr="00DE5E0C" w:rsidRDefault="00B07AB7" w:rsidP="00B07AB7">
      <w:pPr>
        <w:pStyle w:val="Heading3"/>
        <w:rPr>
          <w:lang w:val="en-GB"/>
        </w:rPr>
      </w:pPr>
      <w:bookmarkStart w:id="191" w:name="_Toc229036277"/>
      <w:r>
        <w:rPr>
          <w:lang w:val="en-GB"/>
        </w:rPr>
        <w:t xml:space="preserve">9.1.1 </w:t>
      </w:r>
      <w:bookmarkEnd w:id="189"/>
      <w:bookmarkEnd w:id="190"/>
      <w:r>
        <w:rPr>
          <w:lang w:val="en-GB"/>
        </w:rPr>
        <w:t>Vulnerability</w:t>
      </w:r>
      <w:bookmarkEnd w:id="191"/>
      <w:r w:rsidRPr="00DE5E0C">
        <w:rPr>
          <w:lang w:val="en-GB"/>
        </w:rPr>
        <w:t xml:space="preserve"> </w:t>
      </w:r>
    </w:p>
    <w:p w14:paraId="5F4725CC" w14:textId="63AB0463" w:rsidR="00FE5834" w:rsidRDefault="00FE5834" w:rsidP="00FE5834">
      <w:pPr>
        <w:spacing w:before="120"/>
        <w:jc w:val="both"/>
      </w:pPr>
      <w:bookmarkStart w:id="192" w:name="_Hlk226895556"/>
      <w:r>
        <w:t>The analysis of natural groundwater vulnerability was carried out through the development of a natural vulnerability map, combined with a GIS-based spatial assessment to determine the proportion of individual vulnerability classes within groundwater bodies. Raster-based analyses were performed using datasets with a spatial resolution of 75 × 75 m.</w:t>
      </w:r>
    </w:p>
    <w:p w14:paraId="06D7E8D8" w14:textId="32D443B9" w:rsidR="00FE5834" w:rsidRDefault="00FE5834" w:rsidP="00FE5834">
      <w:pPr>
        <w:spacing w:before="120"/>
        <w:jc w:val="both"/>
      </w:pPr>
      <w:r>
        <w:t>A range of base maps at different scales was used. Certain datasets were digitized from topographic maps, while others were applied at the best available scale. Specifically, contour lines, precipitation data, and information on swallow holes and caves were available at a scale of 1:25,000; sinkholes were digitized from maps at a scale of 1:100,000; and the hydrogeological base map was applied at a scale of 1:300,000.</w:t>
      </w:r>
    </w:p>
    <w:p w14:paraId="34FD1BB2" w14:textId="1436F06B" w:rsidR="00FE5834" w:rsidRDefault="00FE5834" w:rsidP="00FE5834">
      <w:pPr>
        <w:spacing w:before="120"/>
        <w:jc w:val="both"/>
      </w:pPr>
      <w:r>
        <w:t>This natural vulnerability analysis represented the initial phase of the spatial assessment and served as the basis for the development of a general vulnerability map for karst aquifers and the protection of drinking water springs in karst areas. The applied multilayer approach enabled the identification of catchment areas requiring further investigation.</w:t>
      </w:r>
    </w:p>
    <w:p w14:paraId="6D1C5161" w14:textId="77777777" w:rsidR="00FE5834" w:rsidRDefault="00FE5834" w:rsidP="00FE5834">
      <w:pPr>
        <w:spacing w:before="120"/>
        <w:jc w:val="both"/>
      </w:pPr>
      <w:r>
        <w:t>Vulnerability was assessed using three groups of spatial layers:</w:t>
      </w:r>
    </w:p>
    <w:p w14:paraId="726AEEA5" w14:textId="24F23A49" w:rsidR="00FE5834" w:rsidRDefault="00FE5834" w:rsidP="00FE5834">
      <w:pPr>
        <w:pStyle w:val="ListParagraph"/>
        <w:numPr>
          <w:ilvl w:val="0"/>
          <w:numId w:val="141"/>
        </w:numPr>
        <w:spacing w:before="120"/>
        <w:jc w:val="both"/>
      </w:pPr>
      <w:r>
        <w:t>hydrogeological characteristics of aquifers (lithology);</w:t>
      </w:r>
    </w:p>
    <w:p w14:paraId="0B522C40" w14:textId="334AEB8F" w:rsidR="00FE5834" w:rsidRDefault="00FE5834" w:rsidP="00FE5834">
      <w:pPr>
        <w:pStyle w:val="ListParagraph"/>
        <w:numPr>
          <w:ilvl w:val="0"/>
          <w:numId w:val="141"/>
        </w:numPr>
        <w:spacing w:before="120"/>
        <w:jc w:val="both"/>
      </w:pPr>
      <w:r>
        <w:t>degree of karstification, including sinkhole density, caves, and swallow holes and</w:t>
      </w:r>
    </w:p>
    <w:p w14:paraId="6A7853E9" w14:textId="16079AC1" w:rsidR="00FE5834" w:rsidRDefault="00FE5834" w:rsidP="00FE5834">
      <w:pPr>
        <w:pStyle w:val="ListParagraph"/>
        <w:numPr>
          <w:ilvl w:val="0"/>
          <w:numId w:val="141"/>
        </w:numPr>
        <w:spacing w:before="120"/>
        <w:jc w:val="both"/>
      </w:pPr>
      <w:r>
        <w:t>slope and precipitation, derived from digital elevation models (DEM) and rainfall data.</w:t>
      </w:r>
    </w:p>
    <w:p w14:paraId="298D10EC" w14:textId="1AB1F50B" w:rsidR="00FE5834" w:rsidRDefault="00FE5834" w:rsidP="00FE5834">
      <w:pPr>
        <w:spacing w:before="120"/>
        <w:jc w:val="both"/>
      </w:pPr>
      <w:r>
        <w:t>The final vulnerability index was calculated by overlaying these spatial layers and summing the assigned scores for each category. Based on the resulting values, vulnerability was classified into five categories: very low, low, moderate, high, and very high.</w:t>
      </w:r>
    </w:p>
    <w:p w14:paraId="5FEF2B98" w14:textId="540DDFAE" w:rsidR="00FE5834" w:rsidRDefault="00FE5834" w:rsidP="00FE5834">
      <w:pPr>
        <w:spacing w:before="120"/>
        <w:jc w:val="both"/>
      </w:pPr>
      <w:r>
        <w:lastRenderedPageBreak/>
        <w:t>In the Adriatic Sea River Basin Management Plan for the Bosnia and Herzegovina part of the Neretva TBA, groundwater vulnerability was assessed by distinguishing between natural (intrinsic) and specific vulnerability. Natural vulnerability was evaluated based on hydrogeological and hydrological characteristics, including the permeability of covering layers, the intensity and direction of karstification and underground flow, the degree of karst network development, and precipitation patterns. Specific vulnerability considered the behaviour of pollutants in the subsurface, considering their potential degradation in different geological media, groundwater flow conditions (laminar and turbulent), and geochemical interactions within karst formations.</w:t>
      </w:r>
    </w:p>
    <w:p w14:paraId="3B71E13E" w14:textId="3253CF12" w:rsidR="00FE5834" w:rsidRDefault="00FE5834" w:rsidP="00FE5834">
      <w:pPr>
        <w:spacing w:before="120"/>
        <w:jc w:val="both"/>
      </w:pPr>
      <w:r>
        <w:t xml:space="preserve">Based on these criteria, groundwater bodies were classified into three vulnerability classes: high, moderate, and low. Low vulnerability is associated with non-productive aquifers and areas dominated by surface runoff; moderate vulnerability with less productive aquifers where a protective soil cover is present; and high vulnerability with highly </w:t>
      </w:r>
      <w:proofErr w:type="spellStart"/>
      <w:r>
        <w:t>karstified</w:t>
      </w:r>
      <w:proofErr w:type="spellEnd"/>
      <w:r>
        <w:t xml:space="preserve"> aquifers characterised by rapid infiltration, strong underground flow, and the absence of protective soil layers.</w:t>
      </w:r>
    </w:p>
    <w:p w14:paraId="4979708C" w14:textId="0DCED6D1" w:rsidR="00FE5834" w:rsidRDefault="00FE5834" w:rsidP="00FE5834">
      <w:pPr>
        <w:spacing w:before="120"/>
        <w:jc w:val="both"/>
      </w:pPr>
      <w:r>
        <w:t>In the Adriatic Sea Basin District of the Federation of Bosnia and Herzegovina, a simplified expert-based approach was applied due to limited data availability. This resulted in a predominance of areas classified as highly vulnerable, while areas of low vulnerability are mainly linked to non-productive geological formations. For Neretva TBA within the Adriatic Sea River Basin District in the Federation of Bosnia and Herzegovina, vulnerability assessment was therefore based on this simplified expert-based method.</w:t>
      </w:r>
    </w:p>
    <w:p w14:paraId="51E15D80" w14:textId="122FA92A" w:rsidR="00B07AB7" w:rsidRDefault="00B07AB7" w:rsidP="00FE5834">
      <w:pPr>
        <w:spacing w:before="120"/>
        <w:jc w:val="center"/>
      </w:pPr>
      <w:r>
        <w:rPr>
          <w:noProof/>
          <w:lang w:val="hr-HR" w:eastAsia="hr-HR"/>
        </w:rPr>
        <w:drawing>
          <wp:inline distT="0" distB="0" distL="0" distR="0" wp14:anchorId="1956B1C3" wp14:editId="2D94EB5D">
            <wp:extent cx="4588329" cy="4205410"/>
            <wp:effectExtent l="0" t="0" r="3175" b="5080"/>
            <wp:docPr id="1569489545" name="Picture 1569489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ulnerability2.jpg"/>
                    <pic:cNvPicPr/>
                  </pic:nvPicPr>
                  <pic:blipFill rotWithShape="1">
                    <a:blip r:embed="rId23" cstate="print">
                      <a:extLst>
                        <a:ext uri="{28A0092B-C50C-407E-A947-70E740481C1C}">
                          <a14:useLocalDpi xmlns:a14="http://schemas.microsoft.com/office/drawing/2010/main" val="0"/>
                        </a:ext>
                      </a:extLst>
                    </a:blip>
                    <a:srcRect t="1365" b="33913"/>
                    <a:stretch/>
                  </pic:blipFill>
                  <pic:spPr bwMode="auto">
                    <a:xfrm>
                      <a:off x="0" y="0"/>
                      <a:ext cx="4604974" cy="4220666"/>
                    </a:xfrm>
                    <a:prstGeom prst="rect">
                      <a:avLst/>
                    </a:prstGeom>
                    <a:ln>
                      <a:noFill/>
                    </a:ln>
                    <a:extLst>
                      <a:ext uri="{53640926-AAD7-44D8-BBD7-CCE9431645EC}">
                        <a14:shadowObscured xmlns:a14="http://schemas.microsoft.com/office/drawing/2010/main"/>
                      </a:ext>
                    </a:extLst>
                  </pic:spPr>
                </pic:pic>
              </a:graphicData>
            </a:graphic>
          </wp:inline>
        </w:drawing>
      </w:r>
    </w:p>
    <w:p w14:paraId="4DCCC7BF" w14:textId="12D410C4" w:rsidR="00B07AB7" w:rsidRPr="0072756D" w:rsidRDefault="002F4776" w:rsidP="002F4776">
      <w:pPr>
        <w:pStyle w:val="Caption"/>
        <w:rPr>
          <w:i w:val="0"/>
          <w:sz w:val="20"/>
          <w:szCs w:val="20"/>
        </w:rPr>
      </w:pPr>
      <w:bookmarkStart w:id="193" w:name="_Toc229037712"/>
      <w:r>
        <w:t xml:space="preserve">Figure </w:t>
      </w:r>
      <w:r>
        <w:fldChar w:fldCharType="begin"/>
      </w:r>
      <w:r>
        <w:instrText xml:space="preserve"> SEQ Figure \* ARABIC </w:instrText>
      </w:r>
      <w:r>
        <w:fldChar w:fldCharType="separate"/>
      </w:r>
      <w:r>
        <w:rPr>
          <w:noProof/>
        </w:rPr>
        <w:t>7</w:t>
      </w:r>
      <w:r>
        <w:fldChar w:fldCharType="end"/>
      </w:r>
      <w:r>
        <w:t xml:space="preserve"> </w:t>
      </w:r>
      <w:r w:rsidRPr="0013569B">
        <w:t>Vulnerability map of grouped GWB Neretva (Faculty of Geotechnical Engineering, 2016) and GWBs in Adriatic Sea Basin of FBIH</w:t>
      </w:r>
      <w:bookmarkEnd w:id="193"/>
    </w:p>
    <w:p w14:paraId="4417D8D5" w14:textId="49ECEA2F" w:rsidR="00B07AB7" w:rsidRPr="006103CC" w:rsidRDefault="006103CC" w:rsidP="006103CC">
      <w:pPr>
        <w:pStyle w:val="Heading3"/>
      </w:pPr>
      <w:bookmarkStart w:id="194" w:name="_Toc222313759"/>
      <w:bookmarkStart w:id="195" w:name="_Toc222653379"/>
      <w:bookmarkStart w:id="196" w:name="_Toc229036278"/>
      <w:bookmarkEnd w:id="192"/>
      <w:r w:rsidRPr="006103CC">
        <w:lastRenderedPageBreak/>
        <w:t xml:space="preserve">9.1.2 </w:t>
      </w:r>
      <w:bookmarkEnd w:id="194"/>
      <w:bookmarkEnd w:id="195"/>
      <w:r w:rsidRPr="006103CC">
        <w:t>Hazard</w:t>
      </w:r>
      <w:bookmarkEnd w:id="196"/>
      <w:r w:rsidR="00B07AB7" w:rsidRPr="006103CC">
        <w:t xml:space="preserve"> </w:t>
      </w:r>
    </w:p>
    <w:p w14:paraId="201CB935" w14:textId="0142875C" w:rsidR="006103CC" w:rsidRDefault="006103CC" w:rsidP="006103CC">
      <w:pPr>
        <w:spacing w:before="120"/>
        <w:jc w:val="both"/>
      </w:pPr>
      <w:r>
        <w:t>The hazard analysis evaluated the potential impact of identified existing and potential pollutants on groundwater using a multi-parameter GIS-based methodology. The assessment was conducted in two phases:</w:t>
      </w:r>
    </w:p>
    <w:p w14:paraId="08F9E62C" w14:textId="77777777" w:rsidR="006103CC" w:rsidRDefault="006103CC" w:rsidP="006103CC">
      <w:pPr>
        <w:pStyle w:val="ListParagraph"/>
        <w:numPr>
          <w:ilvl w:val="0"/>
          <w:numId w:val="142"/>
        </w:numPr>
        <w:spacing w:before="120"/>
        <w:jc w:val="both"/>
      </w:pPr>
      <w:r>
        <w:t>Unclassified hazard map – All potential pollutant sources were spatially allocated within a GIS database;</w:t>
      </w:r>
    </w:p>
    <w:p w14:paraId="72ED398C" w14:textId="704F8F3D" w:rsidR="006103CC" w:rsidRDefault="006103CC" w:rsidP="006103CC">
      <w:pPr>
        <w:pStyle w:val="ListParagraph"/>
        <w:numPr>
          <w:ilvl w:val="0"/>
          <w:numId w:val="142"/>
        </w:numPr>
        <w:spacing w:before="120"/>
        <w:jc w:val="both"/>
      </w:pPr>
      <w:r>
        <w:t>Classified hazard map – Pollutants were categorized, and weighting factors were assigned to reflect their potential impact on groundwater. The classified map was generated by creating influence zones (buffers) around point and linear sources and converting these data into raster format. All raster layers were overlaid to highlight the maximum hazard level at each location.</w:t>
      </w:r>
    </w:p>
    <w:p w14:paraId="11C595FD" w14:textId="34913622" w:rsidR="006103CC" w:rsidRDefault="006103CC" w:rsidP="006103CC">
      <w:pPr>
        <w:spacing w:before="120"/>
        <w:jc w:val="both"/>
      </w:pPr>
      <w:r>
        <w:t>Diffuse agricultural activities were analysed separately using CORINE Land Cover 2006 (CLC, 2006) data. Polygons representing different types of agricultural land were assigned weights based on their estimated impact on groundwater, converted into raster format, and used to produce a classified hazard map.</w:t>
      </w:r>
    </w:p>
    <w:p w14:paraId="3ABD15F9" w14:textId="6417D490" w:rsidR="00B07AB7" w:rsidRDefault="006103CC" w:rsidP="006103CC">
      <w:pPr>
        <w:spacing w:before="120"/>
        <w:jc w:val="both"/>
      </w:pPr>
      <w:r>
        <w:t>The inventory of pollutant sources included airports, highways, state roads, railways, oil pipelines, gas stations, farms, facilities handling hazardous substances, industrial and SJO discharges, diffuse urban drainage, recycling yards, asbestos disposal sites, landfills, fishponds, major accident sites, and quarries and mines.</w:t>
      </w:r>
    </w:p>
    <w:p w14:paraId="0300BC77" w14:textId="660957E3" w:rsidR="00B07AB7" w:rsidRPr="006103CC" w:rsidRDefault="006103CC" w:rsidP="006103CC">
      <w:pPr>
        <w:pStyle w:val="Heading3"/>
        <w:rPr>
          <w:lang w:val="en-GB"/>
        </w:rPr>
      </w:pPr>
      <w:bookmarkStart w:id="197" w:name="_Toc222313760"/>
      <w:bookmarkStart w:id="198" w:name="_Toc222653380"/>
      <w:bookmarkStart w:id="199" w:name="_Toc229036279"/>
      <w:r w:rsidRPr="006103CC">
        <w:rPr>
          <w:lang w:val="en-GB"/>
        </w:rPr>
        <w:t xml:space="preserve">9.1.3 </w:t>
      </w:r>
      <w:bookmarkEnd w:id="197"/>
      <w:bookmarkEnd w:id="198"/>
      <w:r w:rsidRPr="006103CC">
        <w:rPr>
          <w:lang w:val="en-GB"/>
        </w:rPr>
        <w:t>Risk</w:t>
      </w:r>
      <w:bookmarkEnd w:id="199"/>
      <w:r w:rsidR="00B07AB7" w:rsidRPr="006103CC">
        <w:rPr>
          <w:lang w:val="en-GB"/>
        </w:rPr>
        <w:t xml:space="preserve"> </w:t>
      </w:r>
    </w:p>
    <w:p w14:paraId="54871CF7" w14:textId="30A630A2" w:rsidR="006103CC" w:rsidRDefault="006103CC" w:rsidP="006103CC">
      <w:pPr>
        <w:jc w:val="both"/>
      </w:pPr>
      <w:bookmarkStart w:id="200" w:name="_Toc222313761"/>
      <w:r>
        <w:t>Using a multi-parameter GIS-based approach, raster layers derived from natural vulnerability and hazard analyses were integrated to generate a groundwater contamination risk map. Risk was assessed exclusively at locations of existing or potential pollutant sources, considering their relationship to the natural vulnerability of the terrain. In this context, risk represents the potential threat of groundwater contamination resulting from the combined influence of natural conditions and the type, intensity, and spatial distribution of pollutants, with both probability and impact derived from the hazard analysis.</w:t>
      </w:r>
    </w:p>
    <w:p w14:paraId="5E6F085E" w14:textId="77777777" w:rsidR="006103CC" w:rsidRDefault="006103CC" w:rsidP="006103CC">
      <w:pPr>
        <w:jc w:val="both"/>
      </w:pPr>
      <w:r>
        <w:t>Two classified hazard maps were produced: one representing agricultural activities and the other encompassing point, linear, and polygonal pollutant sources. These hazard layers were overlaid with the natural vulnerability map of karst aquifers to create the final risk map, which serves as a tool for targeted groundwater protection, preventive planning, and the prioritization of remediation measures in the most vulnerable areas.</w:t>
      </w:r>
    </w:p>
    <w:p w14:paraId="64A0F9C7" w14:textId="77777777" w:rsidR="006103CC" w:rsidRDefault="006103CC" w:rsidP="006103CC">
      <w:pPr>
        <w:jc w:val="both"/>
      </w:pPr>
      <w:r>
        <w:t>Risk was quantified as the product of hazard and vulnerability, reflecting both the likelihood of a potentially harmful event (hazard) and the susceptibility of the groundwater system to contamination (vulnerability):</w:t>
      </w:r>
    </w:p>
    <w:p w14:paraId="0E9B3C42" w14:textId="4FDDEED2" w:rsidR="006103CC" w:rsidRPr="006103CC" w:rsidRDefault="006103CC" w:rsidP="006103CC">
      <w:pPr>
        <w:rPr>
          <w:i/>
          <w:iCs/>
        </w:rPr>
      </w:pPr>
      <w:r w:rsidRPr="006103CC">
        <w:rPr>
          <w:i/>
          <w:iCs/>
        </w:rPr>
        <w:t>RISK = HAZARD × VULNERABILITY</w:t>
      </w:r>
      <w:r>
        <w:rPr>
          <w:i/>
          <w:iCs/>
        </w:rPr>
        <w:tab/>
      </w:r>
      <w:r>
        <w:rPr>
          <w:i/>
          <w:iCs/>
        </w:rPr>
        <w:tab/>
      </w:r>
      <w:r>
        <w:rPr>
          <w:i/>
          <w:iCs/>
        </w:rPr>
        <w:tab/>
      </w:r>
      <w:r>
        <w:rPr>
          <w:i/>
          <w:iCs/>
        </w:rPr>
        <w:tab/>
      </w:r>
      <w:r>
        <w:rPr>
          <w:i/>
          <w:iCs/>
        </w:rPr>
        <w:tab/>
      </w:r>
      <w:r>
        <w:rPr>
          <w:i/>
          <w:iCs/>
        </w:rPr>
        <w:tab/>
      </w:r>
      <w:r>
        <w:rPr>
          <w:i/>
          <w:iCs/>
        </w:rPr>
        <w:tab/>
      </w:r>
      <w:r>
        <w:rPr>
          <w:i/>
          <w:iCs/>
        </w:rPr>
        <w:tab/>
      </w:r>
      <w:r w:rsidRPr="006103CC">
        <w:t>(1)</w:t>
      </w:r>
    </w:p>
    <w:p w14:paraId="74637834" w14:textId="77777777" w:rsidR="006103CC" w:rsidRDefault="006103CC" w:rsidP="006103CC">
      <w:pPr>
        <w:jc w:val="both"/>
      </w:pPr>
      <w:r>
        <w:t>Vulnerability values ranged from 0 to 50 points, while hazard values varied according to pollutant type. Based on these values, six risk categories were defined: no risk, very low risk, low risk, moderate risk, high risk, and very high risk.</w:t>
      </w:r>
    </w:p>
    <w:p w14:paraId="270766FE" w14:textId="77777777" w:rsidR="006103CC" w:rsidRDefault="006103CC" w:rsidP="006103CC">
      <w:pPr>
        <w:jc w:val="both"/>
      </w:pPr>
      <w:proofErr w:type="gramStart"/>
      <w:r>
        <w:t>The majority of</w:t>
      </w:r>
      <w:proofErr w:type="gramEnd"/>
      <w:r>
        <w:t xml:space="preserve"> identified pollutant sources were classified as posing low or moderate risk, with only a limited number of locations exhibiting high risk. High-risk areas were predominantly associated with </w:t>
      </w:r>
      <w:r>
        <w:lastRenderedPageBreak/>
        <w:t>wastewater treatment plant (WWTP) discharge points, where weighting values depended on the level of wastewater treatment (ranging from 30 to 85). Both connected and unconnected discharges were included in the analysis, with unconnected discharges assigned the maximum weighting values, thereby increasing the number of locations classified as high risk.</w:t>
      </w:r>
    </w:p>
    <w:p w14:paraId="6206DABD" w14:textId="479DBEB9" w:rsidR="006103CC" w:rsidRDefault="006103CC" w:rsidP="006103CC">
      <w:pPr>
        <w:jc w:val="both"/>
      </w:pPr>
      <w:r>
        <w:t>In the referenced analyses and studies (Faculty of Geotechnical Engineering, 2016; Second Adriatic Sea River Basin Management Plan), several of the most significant pollutant sources within Neretva TBA were identified. However, the databases used in these assessments require further harmonization and updating to accurately reflect current field conditions.</w:t>
      </w:r>
    </w:p>
    <w:p w14:paraId="4790894A" w14:textId="619D48DA" w:rsidR="00B07AB7" w:rsidRPr="0072756D" w:rsidRDefault="006103CC" w:rsidP="006103CC">
      <w:pPr>
        <w:jc w:val="both"/>
      </w:pPr>
      <w:r>
        <w:t>Moreover, the methodology applied in the development of the 2016 natural vulnerability map was based on available datasets and base maps covering the entire territory of Croatia, rather than on one of the established karst-specific vulnerability assessment methods (such as SINTACS, EPIK or similar). Consequently, it is necessary to evaluate which of these standardized methods would be most suitable for application in Neretva TBA and to develop a new, karst-specific vulnerability map. Following the production of this updated vulnerability map, revised hazard and risk maps can be generated using an updated pollutant database and the more recent CORINE Land Cover 2018 data.</w:t>
      </w:r>
    </w:p>
    <w:bookmarkEnd w:id="200"/>
    <w:p w14:paraId="39C9A39C" w14:textId="77777777" w:rsidR="006103CC" w:rsidRDefault="006103CC" w:rsidP="00B07AB7">
      <w:pPr>
        <w:pStyle w:val="Heading2"/>
      </w:pPr>
    </w:p>
    <w:p w14:paraId="0EEFBC2B" w14:textId="7BDD495E" w:rsidR="00B07AB7" w:rsidRPr="006103CC" w:rsidRDefault="00B07AB7" w:rsidP="006103CC">
      <w:pPr>
        <w:pStyle w:val="Heading2"/>
        <w:rPr>
          <w:lang w:val="en-GB"/>
        </w:rPr>
      </w:pPr>
      <w:bookmarkStart w:id="201" w:name="_Toc229036280"/>
      <w:r w:rsidRPr="006103CC">
        <w:rPr>
          <w:lang w:val="en-GB"/>
        </w:rPr>
        <w:t>9.2 Guidelines for harmonization of criteria for delineation and types of measures in sanitary protection zones</w:t>
      </w:r>
      <w:bookmarkEnd w:id="201"/>
      <w:r w:rsidRPr="006103CC">
        <w:rPr>
          <w:lang w:val="en-GB"/>
        </w:rPr>
        <w:t xml:space="preserve"> </w:t>
      </w:r>
    </w:p>
    <w:p w14:paraId="07788728" w14:textId="77777777" w:rsidR="004B1321" w:rsidRDefault="004B1321" w:rsidP="004B1321">
      <w:pPr>
        <w:tabs>
          <w:tab w:val="left" w:pos="426"/>
        </w:tabs>
        <w:jc w:val="both"/>
      </w:pPr>
      <w:r>
        <w:t xml:space="preserve">In the border area between Bosnia and Herzegovina and the Republic of Croatia, numerous karst springs are used for public water supply and exhibit a distinct transboundary character. In accordance with national legislation, these water sources therefore require formal protection through the adoption of a </w:t>
      </w:r>
      <w:r w:rsidRPr="004B1321">
        <w:rPr>
          <w:i/>
          <w:iCs/>
        </w:rPr>
        <w:t>Decision on the Protection of Water Sources</w:t>
      </w:r>
      <w:r>
        <w:t>.</w:t>
      </w:r>
    </w:p>
    <w:p w14:paraId="4B513339" w14:textId="5FB71E9E" w:rsidR="004B1321" w:rsidRDefault="004B1321" w:rsidP="004B1321">
      <w:pPr>
        <w:tabs>
          <w:tab w:val="left" w:pos="426"/>
        </w:tabs>
        <w:jc w:val="both"/>
      </w:pPr>
      <w:r>
        <w:t>To enable such protection, the following actions are required:</w:t>
      </w:r>
    </w:p>
    <w:p w14:paraId="0526F464" w14:textId="693F38EF" w:rsidR="004B1321" w:rsidRDefault="004B1321" w:rsidP="004B1321">
      <w:pPr>
        <w:pStyle w:val="ListParagraph"/>
        <w:numPr>
          <w:ilvl w:val="0"/>
          <w:numId w:val="143"/>
        </w:numPr>
        <w:tabs>
          <w:tab w:val="left" w:pos="426"/>
        </w:tabs>
        <w:jc w:val="both"/>
      </w:pPr>
      <w:r>
        <w:t>to evaluate the possibility for amendments to existing national by-laws governing this field;</w:t>
      </w:r>
    </w:p>
    <w:p w14:paraId="427A5C45" w14:textId="3978147F" w:rsidR="004B1321" w:rsidRDefault="004B1321" w:rsidP="004B1321">
      <w:pPr>
        <w:pStyle w:val="ListParagraph"/>
        <w:numPr>
          <w:ilvl w:val="0"/>
          <w:numId w:val="143"/>
        </w:numPr>
        <w:tabs>
          <w:tab w:val="left" w:pos="426"/>
        </w:tabs>
        <w:jc w:val="both"/>
      </w:pPr>
      <w:r>
        <w:t>to establish harmonized criteria for defining spring recharge areas, sanitary protection zones, and the corresponding protection measures and</w:t>
      </w:r>
    </w:p>
    <w:p w14:paraId="11862D44" w14:textId="1763519A" w:rsidR="004B1321" w:rsidRDefault="004B1321" w:rsidP="004B1321">
      <w:pPr>
        <w:pStyle w:val="ListParagraph"/>
        <w:numPr>
          <w:ilvl w:val="0"/>
          <w:numId w:val="143"/>
        </w:numPr>
        <w:tabs>
          <w:tab w:val="left" w:pos="426"/>
        </w:tabs>
        <w:jc w:val="both"/>
      </w:pPr>
      <w:r>
        <w:t>to define a standardized methodology for preparing sanitary protection zone studies, as well as the procedure for adopting decisions on the protection of water sources.</w:t>
      </w:r>
    </w:p>
    <w:p w14:paraId="3BAF6C51" w14:textId="63529854" w:rsidR="004B1321" w:rsidRDefault="004B1321" w:rsidP="004B1321">
      <w:pPr>
        <w:tabs>
          <w:tab w:val="left" w:pos="426"/>
        </w:tabs>
        <w:jc w:val="both"/>
      </w:pPr>
      <w:r>
        <w:t xml:space="preserve">The protection of transboundary aquifers, particularly the establishment of protection systems in interstate border areas, has long been recognized as an important issue. As early as 2010, a document entitled “Proposal of a Protection System and Research Methods for the Protection of Karst Aquifers in the Border Areas of Bosnia and Herzegovina and Croatia” was prepared by a working group operating within the framework of the </w:t>
      </w:r>
      <w:proofErr w:type="spellStart"/>
      <w:r>
        <w:t>Subcommission</w:t>
      </w:r>
      <w:proofErr w:type="spellEnd"/>
      <w:r>
        <w:t>/Subcommittee for the Adriatic Sea Basin and the Black Sea Basin. Since the adoption of this document, significant legislative changes have taken place in both the Republic of Croatia and Bosnia and Herzegovina. Consequently, a joint working group of Bosnia and Herzegovina and the Republic of Croatia was established with the mandate to update and revise the original document.</w:t>
      </w:r>
    </w:p>
    <w:p w14:paraId="53DB2EEC" w14:textId="77777777" w:rsidR="004B1321" w:rsidRDefault="004B1321" w:rsidP="004B1321">
      <w:pPr>
        <w:tabs>
          <w:tab w:val="left" w:pos="426"/>
        </w:tabs>
        <w:jc w:val="both"/>
      </w:pPr>
      <w:r>
        <w:t>The revised document produced by the joint working group defines the conditions and methodology for delineating sanitary protection zones for karst springs, specifies the associated protection measures, prescribes the procedure for preparing sanitary protection zone studies (elaborates), and establishes the procedure for adopting decisions on the protection of water sources.</w:t>
      </w:r>
    </w:p>
    <w:p w14:paraId="2202A25B" w14:textId="72AAA92D" w:rsidR="004B1321" w:rsidRDefault="004B1321" w:rsidP="004B1321">
      <w:pPr>
        <w:tabs>
          <w:tab w:val="left" w:pos="426"/>
        </w:tabs>
        <w:jc w:val="both"/>
      </w:pPr>
      <w:r>
        <w:lastRenderedPageBreak/>
        <w:t>The document introduces a comprehensive framework for the protection of karst water sources by defining four sanitary protection zones, ranging from the least restrictive to the most strictly protected:</w:t>
      </w:r>
    </w:p>
    <w:p w14:paraId="5A1B3DF2" w14:textId="6D2C831E" w:rsidR="004B1321" w:rsidRDefault="004B1321" w:rsidP="004B1321">
      <w:pPr>
        <w:pStyle w:val="ListParagraph"/>
        <w:numPr>
          <w:ilvl w:val="0"/>
          <w:numId w:val="144"/>
        </w:numPr>
        <w:tabs>
          <w:tab w:val="left" w:pos="426"/>
        </w:tabs>
        <w:jc w:val="both"/>
      </w:pPr>
      <w:r w:rsidRPr="004B1321">
        <w:rPr>
          <w:i/>
          <w:iCs/>
        </w:rPr>
        <w:t>Zone IV – Limited Protection Zone</w:t>
      </w:r>
      <w:r>
        <w:t>;</w:t>
      </w:r>
    </w:p>
    <w:p w14:paraId="6224524A" w14:textId="56102D52" w:rsidR="004B1321" w:rsidRDefault="004B1321" w:rsidP="004B1321">
      <w:pPr>
        <w:pStyle w:val="ListParagraph"/>
        <w:numPr>
          <w:ilvl w:val="0"/>
          <w:numId w:val="144"/>
        </w:numPr>
        <w:tabs>
          <w:tab w:val="left" w:pos="426"/>
        </w:tabs>
        <w:jc w:val="both"/>
      </w:pPr>
      <w:r w:rsidRPr="004B1321">
        <w:rPr>
          <w:i/>
          <w:iCs/>
        </w:rPr>
        <w:t>Zone III – Restriction and Control Zone</w:t>
      </w:r>
      <w:r>
        <w:t>;</w:t>
      </w:r>
    </w:p>
    <w:p w14:paraId="2675D7DF" w14:textId="45A7749C" w:rsidR="004B1321" w:rsidRDefault="004B1321" w:rsidP="004B1321">
      <w:pPr>
        <w:pStyle w:val="ListParagraph"/>
        <w:numPr>
          <w:ilvl w:val="0"/>
          <w:numId w:val="144"/>
        </w:numPr>
        <w:tabs>
          <w:tab w:val="left" w:pos="426"/>
        </w:tabs>
        <w:jc w:val="both"/>
      </w:pPr>
      <w:r w:rsidRPr="004B1321">
        <w:rPr>
          <w:i/>
          <w:iCs/>
        </w:rPr>
        <w:t>Zone II – Strict Restriction Zone</w:t>
      </w:r>
      <w:r>
        <w:t xml:space="preserve"> and</w:t>
      </w:r>
    </w:p>
    <w:p w14:paraId="7124A498" w14:textId="6AA5B8A9" w:rsidR="004B1321" w:rsidRDefault="004B1321" w:rsidP="004B1321">
      <w:pPr>
        <w:pStyle w:val="ListParagraph"/>
        <w:numPr>
          <w:ilvl w:val="0"/>
          <w:numId w:val="144"/>
        </w:numPr>
        <w:tabs>
          <w:tab w:val="left" w:pos="426"/>
        </w:tabs>
        <w:jc w:val="both"/>
      </w:pPr>
      <w:r w:rsidRPr="004B1321">
        <w:rPr>
          <w:i/>
          <w:iCs/>
        </w:rPr>
        <w:t>Zone I – Zone of the Strictest Prohibitions and Restrictions</w:t>
      </w:r>
      <w:r>
        <w:t>.</w:t>
      </w:r>
    </w:p>
    <w:p w14:paraId="0299715A" w14:textId="72AA15DD" w:rsidR="004B1321" w:rsidRDefault="004B1321" w:rsidP="004B1321">
      <w:pPr>
        <w:tabs>
          <w:tab w:val="left" w:pos="426"/>
        </w:tabs>
        <w:jc w:val="both"/>
      </w:pPr>
      <w:r>
        <w:t>Sanitary protection zones are delineated based on key hydrogeological criteria, including:</w:t>
      </w:r>
    </w:p>
    <w:p w14:paraId="539E38C0" w14:textId="370901FC" w:rsidR="004B1321" w:rsidRDefault="004B1321" w:rsidP="004B1321">
      <w:pPr>
        <w:pStyle w:val="ListParagraph"/>
        <w:numPr>
          <w:ilvl w:val="0"/>
          <w:numId w:val="145"/>
        </w:numPr>
        <w:tabs>
          <w:tab w:val="left" w:pos="426"/>
        </w:tabs>
        <w:jc w:val="both"/>
      </w:pPr>
      <w:r>
        <w:t>groundwater travel time to the abstraction point;</w:t>
      </w:r>
    </w:p>
    <w:p w14:paraId="77F3FA49" w14:textId="6F9DED0C" w:rsidR="004B1321" w:rsidRDefault="004B1321" w:rsidP="004B1321">
      <w:pPr>
        <w:pStyle w:val="ListParagraph"/>
        <w:numPr>
          <w:ilvl w:val="0"/>
          <w:numId w:val="145"/>
        </w:numPr>
        <w:tabs>
          <w:tab w:val="left" w:pos="426"/>
        </w:tabs>
        <w:jc w:val="both"/>
      </w:pPr>
      <w:r>
        <w:t>apparent groundwater flow velocity and</w:t>
      </w:r>
    </w:p>
    <w:p w14:paraId="542EC9DE" w14:textId="69699CC5" w:rsidR="004B1321" w:rsidRDefault="004B1321" w:rsidP="004B1321">
      <w:pPr>
        <w:pStyle w:val="ListParagraph"/>
        <w:numPr>
          <w:ilvl w:val="0"/>
          <w:numId w:val="145"/>
        </w:numPr>
        <w:tabs>
          <w:tab w:val="left" w:pos="426"/>
        </w:tabs>
        <w:jc w:val="both"/>
      </w:pPr>
      <w:r>
        <w:t>the extent of the spring catchment or recharge area.</w:t>
      </w:r>
    </w:p>
    <w:p w14:paraId="22032D28" w14:textId="77777777" w:rsidR="004B1321" w:rsidRDefault="004B1321" w:rsidP="004B1321">
      <w:pPr>
        <w:tabs>
          <w:tab w:val="left" w:pos="426"/>
        </w:tabs>
        <w:jc w:val="both"/>
      </w:pPr>
      <w:r>
        <w:t>Specific prohibitions and restrictions apply within each zone.</w:t>
      </w:r>
    </w:p>
    <w:p w14:paraId="6EE81365" w14:textId="77777777" w:rsidR="004B1321" w:rsidRDefault="004B1321" w:rsidP="004B1321">
      <w:pPr>
        <w:tabs>
          <w:tab w:val="left" w:pos="426"/>
        </w:tabs>
        <w:jc w:val="both"/>
      </w:pPr>
      <w:r w:rsidRPr="004B1321">
        <w:rPr>
          <w:i/>
          <w:iCs/>
        </w:rPr>
        <w:t>Zone IV (Limited Protection)</w:t>
      </w:r>
      <w:r>
        <w:t xml:space="preserve"> encompasses the wider catchment area, where groundwater reaches the source within 10 to 50 days. Prohibited activities include the discharge of untreated wastewater, hazardous industrial activities, unsafe waste storage, and unprotected infrastructure development.</w:t>
      </w:r>
    </w:p>
    <w:p w14:paraId="583D0EEA" w14:textId="77777777" w:rsidR="004B1321" w:rsidRDefault="004B1321" w:rsidP="004B1321">
      <w:pPr>
        <w:tabs>
          <w:tab w:val="left" w:pos="426"/>
        </w:tabs>
        <w:jc w:val="both"/>
      </w:pPr>
      <w:r w:rsidRPr="004B1321">
        <w:rPr>
          <w:i/>
          <w:iCs/>
        </w:rPr>
        <w:t>Zone III (Restriction and Control)</w:t>
      </w:r>
      <w:r>
        <w:t xml:space="preserve"> imposes stricter controls and prohibits waste disposal facilities, inadequately protected recycling yards, mineral extraction, military installations, and uncontrolled deforestation.</w:t>
      </w:r>
    </w:p>
    <w:p w14:paraId="3971FF59" w14:textId="77777777" w:rsidR="004B1321" w:rsidRDefault="004B1321" w:rsidP="004B1321">
      <w:pPr>
        <w:tabs>
          <w:tab w:val="left" w:pos="426"/>
        </w:tabs>
        <w:jc w:val="both"/>
      </w:pPr>
      <w:r w:rsidRPr="004B1321">
        <w:rPr>
          <w:i/>
          <w:iCs/>
        </w:rPr>
        <w:t xml:space="preserve">Zone II (Strict Restriction) </w:t>
      </w:r>
      <w:r>
        <w:t>covers areas in which groundwater reaches the source within 24 hours. In this zone, agriculture (except organic farming), livestock production beyond household needs, urban expansion, road construction, petrol stations, industrial development, and any form of wastewater discharge are prohibited.</w:t>
      </w:r>
    </w:p>
    <w:p w14:paraId="655DD917" w14:textId="77777777" w:rsidR="004B1321" w:rsidRDefault="004B1321" w:rsidP="004B1321">
      <w:pPr>
        <w:tabs>
          <w:tab w:val="left" w:pos="426"/>
        </w:tabs>
        <w:jc w:val="both"/>
      </w:pPr>
      <w:r w:rsidRPr="004B1321">
        <w:rPr>
          <w:i/>
          <w:iCs/>
        </w:rPr>
        <w:t>Zone I (Strictest Protection)</w:t>
      </w:r>
      <w:r>
        <w:t xml:space="preserve"> includes the immediate abstraction area of the spring. Only activities directly related to water supply operations are permitted, and access is restricted exclusively to authorized personnel.</w:t>
      </w:r>
    </w:p>
    <w:p w14:paraId="61E6DDB2" w14:textId="31ACF150" w:rsidR="004B1321" w:rsidRDefault="004B1321" w:rsidP="004B1321">
      <w:pPr>
        <w:tabs>
          <w:tab w:val="left" w:pos="426"/>
        </w:tabs>
        <w:jc w:val="both"/>
      </w:pPr>
      <w:r>
        <w:t>The document also introduces the concept of micro-zoning, allowing limited, case-specific exceptions to certain prohibitions where detailed hydrogeological investigations demonstrably confirm that no risk to groundwater quality exists. It outlines the requirements for preparing sanitary protection zone studies and defines the procedure for adopting official cross-border decisions on the protection of water sources, including provisions related to monitoring, enforcement, and institutional responsibilities.</w:t>
      </w:r>
    </w:p>
    <w:p w14:paraId="1AEBAB97" w14:textId="400151A6" w:rsidR="0058620F" w:rsidRPr="0058620F" w:rsidRDefault="0058620F" w:rsidP="0058620F">
      <w:pPr>
        <w:jc w:val="both"/>
      </w:pPr>
      <w:r w:rsidRPr="0058620F">
        <w:t xml:space="preserve">Within Neretva TBA, karst water supply springs are at different stages of protection implementation and regulatory development. In the Republic of Croatia, springs such as </w:t>
      </w:r>
      <w:proofErr w:type="spellStart"/>
      <w:r w:rsidRPr="0058620F">
        <w:t>Prud</w:t>
      </w:r>
      <w:proofErr w:type="spellEnd"/>
      <w:r w:rsidRPr="0058620F">
        <w:t xml:space="preserve"> and </w:t>
      </w:r>
      <w:proofErr w:type="spellStart"/>
      <w:r w:rsidRPr="0058620F">
        <w:t>Opačac</w:t>
      </w:r>
      <w:proofErr w:type="spellEnd"/>
      <w:r w:rsidRPr="0058620F">
        <w:t xml:space="preserve"> have formally established sanitary protection zones. These protection regimes were adopted based on earlier hydrogeological studies and the legal frameworks in force at the time and remain legally valid. However, considering updated national legislation and contemporary protection criteria, these decisions are now considered to require revision and harmonisation to ensure full compliance with current standards.</w:t>
      </w:r>
    </w:p>
    <w:p w14:paraId="5E22744E" w14:textId="77777777" w:rsidR="0058620F" w:rsidRPr="0058620F" w:rsidRDefault="0058620F" w:rsidP="0058620F">
      <w:pPr>
        <w:jc w:val="both"/>
      </w:pPr>
      <w:r w:rsidRPr="0058620F">
        <w:t xml:space="preserve">In Bosnia and Herzegovina, a similar situation exists. Sanitary protection decisions have been formally adopted for springs such as </w:t>
      </w:r>
      <w:proofErr w:type="spellStart"/>
      <w:r w:rsidRPr="0058620F">
        <w:t>Vrioštica</w:t>
      </w:r>
      <w:proofErr w:type="spellEnd"/>
      <w:r w:rsidRPr="0058620F">
        <w:t xml:space="preserve">, whereas for </w:t>
      </w:r>
      <w:proofErr w:type="spellStart"/>
      <w:r w:rsidRPr="0058620F">
        <w:t>Grudsko</w:t>
      </w:r>
      <w:proofErr w:type="spellEnd"/>
      <w:r w:rsidRPr="0058620F">
        <w:t xml:space="preserve"> Vrelo the necessary hydrogeological </w:t>
      </w:r>
      <w:r w:rsidRPr="0058620F">
        <w:lastRenderedPageBreak/>
        <w:t>investigations and technical documentation have already been completed, but the formal decision-making procedure is still underway.</w:t>
      </w:r>
    </w:p>
    <w:p w14:paraId="6AD4B3DE" w14:textId="77777777" w:rsidR="0058620F" w:rsidRPr="0058620F" w:rsidRDefault="0058620F" w:rsidP="0058620F">
      <w:pPr>
        <w:jc w:val="both"/>
      </w:pPr>
      <w:r w:rsidRPr="0058620F">
        <w:t xml:space="preserve">A hydrogeological study proposing sanitary protection zones for the </w:t>
      </w:r>
      <w:proofErr w:type="spellStart"/>
      <w:r w:rsidRPr="0058620F">
        <w:t>Prud</w:t>
      </w:r>
      <w:proofErr w:type="spellEnd"/>
      <w:r w:rsidRPr="0058620F">
        <w:t xml:space="preserve"> Spring was prepared in 1996 by the Institute for Geological Research in Zagreb. Based on the findings of this study, the City Council of </w:t>
      </w:r>
      <w:proofErr w:type="spellStart"/>
      <w:r w:rsidRPr="0058620F">
        <w:t>Metković</w:t>
      </w:r>
      <w:proofErr w:type="spellEnd"/>
      <w:r w:rsidRPr="0058620F">
        <w:t xml:space="preserve"> adopted a formal decision in 2001 establishing sanitary protection zones and associated protection measures in accordance with the regulations applicable at that time. The study also identified that a portion of the spring’s catchment area extends into the territory of the Federation of Bosnia and Herzegovina.</w:t>
      </w:r>
    </w:p>
    <w:p w14:paraId="7D053C30" w14:textId="77777777" w:rsidR="0058620F" w:rsidRPr="0058620F" w:rsidRDefault="0058620F" w:rsidP="0058620F">
      <w:pPr>
        <w:jc w:val="both"/>
      </w:pPr>
      <w:r w:rsidRPr="0058620F">
        <w:t xml:space="preserve">Subsequent changes in legislation introduced new criteria and explicitly required the revision of existing water source protection decisions. Despite this legal obligation, the protection decision for the </w:t>
      </w:r>
      <w:proofErr w:type="spellStart"/>
      <w:r w:rsidRPr="0058620F">
        <w:t>Prud</w:t>
      </w:r>
      <w:proofErr w:type="spellEnd"/>
      <w:r w:rsidRPr="0058620F">
        <w:t xml:space="preserve"> Spring has not yet been updated.</w:t>
      </w:r>
    </w:p>
    <w:p w14:paraId="4CE2F70C" w14:textId="2CE5DCE1" w:rsidR="0058620F" w:rsidRPr="0058620F" w:rsidRDefault="0058620F" w:rsidP="0058620F">
      <w:pPr>
        <w:jc w:val="both"/>
      </w:pPr>
      <w:r w:rsidRPr="0058620F">
        <w:t xml:space="preserve">Given the importance of the </w:t>
      </w:r>
      <w:proofErr w:type="spellStart"/>
      <w:r w:rsidRPr="0058620F">
        <w:t>Prud</w:t>
      </w:r>
      <w:proofErr w:type="spellEnd"/>
      <w:r w:rsidRPr="0058620F">
        <w:t xml:space="preserve"> Spring as a transboundary karst water source, with most of its catchment area located within the territory of neighbouring Bosnia and Herzegovina, </w:t>
      </w:r>
      <w:r>
        <w:t>Croatian Waters</w:t>
      </w:r>
      <w:r w:rsidRPr="0058620F">
        <w:t xml:space="preserve"> financed the preparation of a comprehensive study aimed at providing the scientific and technical basis for adopting a new, harmonized protection decision applicable in both the Republic of Croatia and Bosnia and Herzegovina.</w:t>
      </w:r>
    </w:p>
    <w:p w14:paraId="527A4022" w14:textId="095774F7" w:rsidR="0058620F" w:rsidRPr="0058620F" w:rsidRDefault="0058620F" w:rsidP="0058620F">
      <w:pPr>
        <w:jc w:val="both"/>
      </w:pPr>
      <w:r w:rsidRPr="0058620F">
        <w:t>The studies were prepared in accordance with the requirements of:</w:t>
      </w:r>
    </w:p>
    <w:p w14:paraId="36FB27DA" w14:textId="143534A5" w:rsidR="0058620F" w:rsidRPr="0058620F" w:rsidRDefault="0058620F" w:rsidP="0058620F">
      <w:pPr>
        <w:pStyle w:val="ListParagraph"/>
        <w:numPr>
          <w:ilvl w:val="0"/>
          <w:numId w:val="146"/>
        </w:numPr>
        <w:jc w:val="both"/>
      </w:pPr>
      <w:r w:rsidRPr="0058620F">
        <w:t>The Regulation on Conditions for Determining Sanitary Protection Zones of Water Sources (Official Gazette of the Republic of Croatia No. 66/11 and 47/13), for the portion of the catchment area located within the territory of the Republic of Croatia;</w:t>
      </w:r>
    </w:p>
    <w:p w14:paraId="5C34A551" w14:textId="77777777" w:rsidR="0058620F" w:rsidRPr="0058620F" w:rsidRDefault="0058620F" w:rsidP="0058620F">
      <w:pPr>
        <w:pStyle w:val="ListParagraph"/>
        <w:numPr>
          <w:ilvl w:val="0"/>
          <w:numId w:val="146"/>
        </w:numPr>
        <w:jc w:val="both"/>
      </w:pPr>
      <w:r w:rsidRPr="0058620F">
        <w:t>The Regulation on the Method for Determining Conditions for Establishing Sanitary Protection Zones and Protective Measures for Water Sources Used for Public Water Supply (Official Gazette of the Federation of Bosnia and Herzegovina No. 88/12), for the portion of the catchment area located within the territory of the Federation of Bosnia and Herzegovina; and</w:t>
      </w:r>
    </w:p>
    <w:p w14:paraId="0B8B4294" w14:textId="4132C78D" w:rsidR="0058620F" w:rsidRPr="0058620F" w:rsidRDefault="0058620F" w:rsidP="0058620F">
      <w:pPr>
        <w:pStyle w:val="ListParagraph"/>
        <w:numPr>
          <w:ilvl w:val="0"/>
          <w:numId w:val="146"/>
        </w:numPr>
        <w:jc w:val="both"/>
      </w:pPr>
      <w:r w:rsidRPr="0058620F">
        <w:t xml:space="preserve">The Proposal for a Protection System and Methods for Protecting Karst Aquifers in Transboundary Areas, applied to the entire catchment area of the </w:t>
      </w:r>
      <w:proofErr w:type="spellStart"/>
      <w:r w:rsidRPr="0058620F">
        <w:t>Prud</w:t>
      </w:r>
      <w:proofErr w:type="spellEnd"/>
      <w:r w:rsidRPr="0058620F">
        <w:t xml:space="preserve"> Spring.</w:t>
      </w:r>
    </w:p>
    <w:p w14:paraId="127E090E" w14:textId="6CD48E80" w:rsidR="00B07AB7" w:rsidRPr="0058620F" w:rsidRDefault="0058620F" w:rsidP="0058620F">
      <w:pPr>
        <w:jc w:val="both"/>
      </w:pPr>
      <w:r w:rsidRPr="0058620F">
        <w:t xml:space="preserve">According to the study, the total catchment area of the </w:t>
      </w:r>
      <w:proofErr w:type="spellStart"/>
      <w:r w:rsidRPr="0058620F">
        <w:t>Prud</w:t>
      </w:r>
      <w:proofErr w:type="spellEnd"/>
      <w:r w:rsidRPr="0058620F">
        <w:t xml:space="preserve"> Spring</w:t>
      </w:r>
      <w:r>
        <w:t xml:space="preserve">, </w:t>
      </w:r>
      <w:r w:rsidRPr="0058620F">
        <w:t>corresponding to the sanitary protection area</w:t>
      </w:r>
      <w:r>
        <w:t xml:space="preserve">, </w:t>
      </w:r>
      <w:r w:rsidRPr="0058620F">
        <w:t>amounts to 1,043.44 km². Of this total, 251.41 km² (24%) lies within sanitary protection zones in the Republic of Croatia, while 792.03 km² (76%) falls within the territory of Bosnia and Herzegovina (Figure 9.2).</w:t>
      </w:r>
      <w:r w:rsidR="00B07AB7" w:rsidRPr="0058620F">
        <w:t xml:space="preserve"> </w:t>
      </w:r>
    </w:p>
    <w:p w14:paraId="082E2652" w14:textId="77777777" w:rsidR="00B07AB7" w:rsidRDefault="00B07AB7" w:rsidP="00B07AB7">
      <w:pPr>
        <w:jc w:val="center"/>
        <w:rPr>
          <w:color w:val="FF0000"/>
        </w:rPr>
      </w:pPr>
      <w:r>
        <w:rPr>
          <w:noProof/>
          <w:color w:val="FF0000"/>
          <w:lang w:val="hr-HR" w:eastAsia="hr-HR"/>
        </w:rPr>
        <w:lastRenderedPageBreak/>
        <w:drawing>
          <wp:inline distT="0" distB="0" distL="0" distR="0" wp14:anchorId="2AA8E11A" wp14:editId="4A6449AA">
            <wp:extent cx="5036717" cy="4730262"/>
            <wp:effectExtent l="0" t="0" r="0" b="0"/>
            <wp:docPr id="1192054853" name="Picture 119205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SZ Prud.jpg"/>
                    <pic:cNvPicPr/>
                  </pic:nvPicPr>
                  <pic:blipFill rotWithShape="1">
                    <a:blip r:embed="rId24" cstate="print">
                      <a:extLst>
                        <a:ext uri="{28A0092B-C50C-407E-A947-70E740481C1C}">
                          <a14:useLocalDpi xmlns:a14="http://schemas.microsoft.com/office/drawing/2010/main" val="0"/>
                        </a:ext>
                      </a:extLst>
                    </a:blip>
                    <a:srcRect b="33681"/>
                    <a:stretch/>
                  </pic:blipFill>
                  <pic:spPr bwMode="auto">
                    <a:xfrm>
                      <a:off x="0" y="0"/>
                      <a:ext cx="5047440" cy="4740333"/>
                    </a:xfrm>
                    <a:prstGeom prst="rect">
                      <a:avLst/>
                    </a:prstGeom>
                    <a:ln>
                      <a:noFill/>
                    </a:ln>
                    <a:extLst>
                      <a:ext uri="{53640926-AAD7-44D8-BBD7-CCE9431645EC}">
                        <a14:shadowObscured xmlns:a14="http://schemas.microsoft.com/office/drawing/2010/main"/>
                      </a:ext>
                    </a:extLst>
                  </pic:spPr>
                </pic:pic>
              </a:graphicData>
            </a:graphic>
          </wp:inline>
        </w:drawing>
      </w:r>
    </w:p>
    <w:p w14:paraId="6D80CF29" w14:textId="49233CB9" w:rsidR="00B07AB7" w:rsidRDefault="002F4776" w:rsidP="002F4776">
      <w:pPr>
        <w:pStyle w:val="Caption"/>
        <w:jc w:val="center"/>
        <w:rPr>
          <w:i w:val="0"/>
          <w:sz w:val="20"/>
          <w:szCs w:val="20"/>
        </w:rPr>
      </w:pPr>
      <w:bookmarkStart w:id="202" w:name="_Toc229037713"/>
      <w:r>
        <w:t xml:space="preserve">Figure </w:t>
      </w:r>
      <w:r>
        <w:fldChar w:fldCharType="begin"/>
      </w:r>
      <w:r>
        <w:instrText xml:space="preserve"> SEQ Figure \* ARABIC </w:instrText>
      </w:r>
      <w:r>
        <w:fldChar w:fldCharType="separate"/>
      </w:r>
      <w:r>
        <w:rPr>
          <w:noProof/>
        </w:rPr>
        <w:t>8</w:t>
      </w:r>
      <w:r>
        <w:fldChar w:fldCharType="end"/>
      </w:r>
      <w:r>
        <w:t xml:space="preserve"> </w:t>
      </w:r>
      <w:r w:rsidRPr="00906B26">
        <w:t xml:space="preserve">Sanitary protection zones for </w:t>
      </w:r>
      <w:proofErr w:type="spellStart"/>
      <w:r w:rsidRPr="00906B26">
        <w:t>Prud</w:t>
      </w:r>
      <w:proofErr w:type="spellEnd"/>
      <w:r w:rsidRPr="00906B26">
        <w:t xml:space="preserve"> spring (Croatian Geological Survey and Integra, 2020)</w:t>
      </w:r>
      <w:bookmarkEnd w:id="202"/>
    </w:p>
    <w:p w14:paraId="554E94E6" w14:textId="44C43B33" w:rsidR="0058620F" w:rsidRDefault="0058620F" w:rsidP="0058620F">
      <w:pPr>
        <w:jc w:val="both"/>
      </w:pPr>
      <w:r>
        <w:t xml:space="preserve">The catchment areas of several major karst springs located within the discharge zone from Mandina </w:t>
      </w:r>
      <w:proofErr w:type="spellStart"/>
      <w:r>
        <w:t>Mlinica</w:t>
      </w:r>
      <w:proofErr w:type="spellEnd"/>
      <w:r>
        <w:t xml:space="preserve"> to </w:t>
      </w:r>
      <w:proofErr w:type="spellStart"/>
      <w:r>
        <w:t>Prud</w:t>
      </w:r>
      <w:proofErr w:type="spellEnd"/>
      <w:r>
        <w:t xml:space="preserve"> in the Republic of Croatia show a significant degree of overlap. Moreover, some of the hydrologically most important springs within this karst system are already covered by established sanitary protection zones, while for others such protection is anticipated to be implemented soon.</w:t>
      </w:r>
    </w:p>
    <w:p w14:paraId="01983AA7" w14:textId="6EA40EB1" w:rsidR="00B07AB7" w:rsidRPr="004E2597" w:rsidRDefault="0058620F" w:rsidP="0058620F">
      <w:pPr>
        <w:jc w:val="both"/>
      </w:pPr>
      <w:r>
        <w:t xml:space="preserve">Where the catchment areas of these springs overlap with that of the </w:t>
      </w:r>
      <w:proofErr w:type="spellStart"/>
      <w:r>
        <w:t>Prud</w:t>
      </w:r>
      <w:proofErr w:type="spellEnd"/>
      <w:r>
        <w:t xml:space="preserve"> Spring, it is important to emphasize that they are already subject to a higher level of protection than would be applied to the </w:t>
      </w:r>
      <w:proofErr w:type="spellStart"/>
      <w:r>
        <w:t>Prud</w:t>
      </w:r>
      <w:proofErr w:type="spellEnd"/>
      <w:r>
        <w:t xml:space="preserve"> Spring as an isolated water source. This is particularly the case for the </w:t>
      </w:r>
      <w:proofErr w:type="spellStart"/>
      <w:r>
        <w:t>Opačac</w:t>
      </w:r>
      <w:proofErr w:type="spellEnd"/>
      <w:r>
        <w:t xml:space="preserve"> Spring in Croatia, as well as </w:t>
      </w:r>
      <w:proofErr w:type="spellStart"/>
      <w:r>
        <w:t>Grudsko</w:t>
      </w:r>
      <w:proofErr w:type="spellEnd"/>
      <w:r>
        <w:t xml:space="preserve"> Vrelo and </w:t>
      </w:r>
      <w:proofErr w:type="spellStart"/>
      <w:r>
        <w:t>Vrioštica</w:t>
      </w:r>
      <w:proofErr w:type="spellEnd"/>
      <w:r>
        <w:t xml:space="preserve"> in Bosnia and Herzegovina (Figure 9.3).</w:t>
      </w:r>
      <w:r w:rsidR="00B07AB7" w:rsidRPr="004E2597">
        <w:rPr>
          <w:highlight w:val="yellow"/>
        </w:rPr>
        <w:t xml:space="preserve"> </w:t>
      </w:r>
    </w:p>
    <w:p w14:paraId="480EDBBB" w14:textId="77777777" w:rsidR="00B07AB7" w:rsidRDefault="00B07AB7" w:rsidP="0058620F">
      <w:pPr>
        <w:jc w:val="center"/>
      </w:pPr>
      <w:r>
        <w:rPr>
          <w:noProof/>
          <w:lang w:val="hr-HR" w:eastAsia="hr-HR"/>
        </w:rPr>
        <w:lastRenderedPageBreak/>
        <w:drawing>
          <wp:inline distT="0" distB="0" distL="0" distR="0" wp14:anchorId="77DDF275" wp14:editId="18AB60CD">
            <wp:extent cx="4680000" cy="4346923"/>
            <wp:effectExtent l="0" t="0" r="6350" b="0"/>
            <wp:docPr id="324199487" name="Picture 324199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ZSZ Prud i ostali.jpg"/>
                    <pic:cNvPicPr/>
                  </pic:nvPicPr>
                  <pic:blipFill rotWithShape="1">
                    <a:blip r:embed="rId25" cstate="print">
                      <a:extLst>
                        <a:ext uri="{28A0092B-C50C-407E-A947-70E740481C1C}">
                          <a14:useLocalDpi xmlns:a14="http://schemas.microsoft.com/office/drawing/2010/main" val="0"/>
                        </a:ext>
                      </a:extLst>
                    </a:blip>
                    <a:srcRect t="1365" r="1174" b="33815"/>
                    <a:stretch/>
                  </pic:blipFill>
                  <pic:spPr bwMode="auto">
                    <a:xfrm>
                      <a:off x="0" y="0"/>
                      <a:ext cx="4680000" cy="4346923"/>
                    </a:xfrm>
                    <a:prstGeom prst="rect">
                      <a:avLst/>
                    </a:prstGeom>
                    <a:ln>
                      <a:noFill/>
                    </a:ln>
                    <a:extLst>
                      <a:ext uri="{53640926-AAD7-44D8-BBD7-CCE9431645EC}">
                        <a14:shadowObscured xmlns:a14="http://schemas.microsoft.com/office/drawing/2010/main"/>
                      </a:ext>
                    </a:extLst>
                  </pic:spPr>
                </pic:pic>
              </a:graphicData>
            </a:graphic>
          </wp:inline>
        </w:drawing>
      </w:r>
    </w:p>
    <w:p w14:paraId="7D105E36" w14:textId="08791400" w:rsidR="00B07AB7" w:rsidRDefault="002F4776" w:rsidP="002F4776">
      <w:pPr>
        <w:pStyle w:val="Caption"/>
        <w:rPr>
          <w:i w:val="0"/>
          <w:sz w:val="20"/>
          <w:szCs w:val="20"/>
        </w:rPr>
      </w:pPr>
      <w:bookmarkStart w:id="203" w:name="_Toc229037714"/>
      <w:r>
        <w:t xml:space="preserve">Figure </w:t>
      </w:r>
      <w:r>
        <w:fldChar w:fldCharType="begin"/>
      </w:r>
      <w:r>
        <w:instrText xml:space="preserve"> SEQ Figure \* ARABIC </w:instrText>
      </w:r>
      <w:r>
        <w:fldChar w:fldCharType="separate"/>
      </w:r>
      <w:r>
        <w:rPr>
          <w:noProof/>
        </w:rPr>
        <w:t>9</w:t>
      </w:r>
      <w:r>
        <w:fldChar w:fldCharType="end"/>
      </w:r>
      <w:r>
        <w:t xml:space="preserve"> </w:t>
      </w:r>
      <w:r w:rsidRPr="002E367F">
        <w:t xml:space="preserve">Sanitary protection zones for </w:t>
      </w:r>
      <w:proofErr w:type="spellStart"/>
      <w:r w:rsidRPr="002E367F">
        <w:t>Prud</w:t>
      </w:r>
      <w:proofErr w:type="spellEnd"/>
      <w:r w:rsidRPr="002E367F">
        <w:t xml:space="preserve"> spring and </w:t>
      </w:r>
      <w:proofErr w:type="spellStart"/>
      <w:r w:rsidRPr="002E367F">
        <w:t>Opačac</w:t>
      </w:r>
      <w:proofErr w:type="spellEnd"/>
      <w:r w:rsidRPr="002E367F">
        <w:t xml:space="preserve">, </w:t>
      </w:r>
      <w:proofErr w:type="spellStart"/>
      <w:r w:rsidRPr="002E367F">
        <w:t>Grudsko</w:t>
      </w:r>
      <w:proofErr w:type="spellEnd"/>
      <w:r w:rsidRPr="002E367F">
        <w:t xml:space="preserve"> </w:t>
      </w:r>
      <w:proofErr w:type="spellStart"/>
      <w:r w:rsidRPr="002E367F">
        <w:t>vrilo</w:t>
      </w:r>
      <w:proofErr w:type="spellEnd"/>
      <w:r w:rsidRPr="002E367F">
        <w:t xml:space="preserve"> and </w:t>
      </w:r>
      <w:proofErr w:type="spellStart"/>
      <w:r w:rsidRPr="002E367F">
        <w:t>Vrioštica</w:t>
      </w:r>
      <w:proofErr w:type="spellEnd"/>
      <w:r w:rsidRPr="002E367F">
        <w:t xml:space="preserve"> (Croatian Geological Survey and Integra, 2020)</w:t>
      </w:r>
      <w:bookmarkEnd w:id="203"/>
    </w:p>
    <w:p w14:paraId="77FB3BA5" w14:textId="08D733BF" w:rsidR="00B07AB7" w:rsidRDefault="00B07AB7" w:rsidP="0058620F">
      <w:pPr>
        <w:jc w:val="both"/>
      </w:pPr>
      <w:r w:rsidRPr="006507EE">
        <w:t xml:space="preserve">In conclusion, although many studies have defined catchment areas and sanitary protection zones, the legislative framework for cross-border protection is still lacking and should be strengthened. As part of the DIKTAS II project, guidelines should be developed to support </w:t>
      </w:r>
      <w:r w:rsidR="0058620F">
        <w:t xml:space="preserve">possible </w:t>
      </w:r>
      <w:r w:rsidRPr="006507EE">
        <w:t>legislative amendments</w:t>
      </w:r>
      <w:r w:rsidR="0058620F">
        <w:t xml:space="preserve"> and a </w:t>
      </w:r>
      <w:r w:rsidRPr="006507EE">
        <w:t xml:space="preserve">proposal </w:t>
      </w:r>
      <w:r w:rsidR="0058620F">
        <w:t>of</w:t>
      </w:r>
      <w:r w:rsidRPr="006507EE">
        <w:t xml:space="preserve"> a joint Rulebook and accompanying implementation guidance. The Rulebook </w:t>
      </w:r>
      <w:r w:rsidR="0058620F">
        <w:t>could</w:t>
      </w:r>
      <w:r w:rsidRPr="006507EE">
        <w:t xml:space="preserve"> establish common criteria and methodologies for the delineation of cross-border sanitary protection zones, as well as cost-effective groundwater protection measures.</w:t>
      </w:r>
    </w:p>
    <w:bookmarkEnd w:id="176"/>
    <w:p w14:paraId="79E6A5DC" w14:textId="77777777" w:rsidR="0058620F" w:rsidRDefault="0058620F" w:rsidP="00B07AB7">
      <w:pPr>
        <w:pStyle w:val="Heading2"/>
      </w:pPr>
    </w:p>
    <w:p w14:paraId="7F89AEB5" w14:textId="77777777" w:rsidR="00B610D1" w:rsidRPr="00723B66" w:rsidRDefault="00B610D1" w:rsidP="00B610D1">
      <w:pPr>
        <w:pStyle w:val="Heading2"/>
        <w:rPr>
          <w:lang w:val="en-GB"/>
        </w:rPr>
      </w:pPr>
      <w:bookmarkStart w:id="204" w:name="_Toc223524317"/>
      <w:bookmarkStart w:id="205" w:name="_Toc229036281"/>
      <w:r w:rsidRPr="00723B66">
        <w:rPr>
          <w:lang w:val="en-GB"/>
        </w:rPr>
        <w:t>9.3 Regulation, guidelines and risk-based criteria for subsurface wastewater discharge</w:t>
      </w:r>
      <w:bookmarkEnd w:id="204"/>
      <w:bookmarkEnd w:id="205"/>
    </w:p>
    <w:p w14:paraId="6B099A3F" w14:textId="427A1915" w:rsidR="000F510C" w:rsidRPr="000F510C" w:rsidRDefault="000F510C" w:rsidP="000F510C">
      <w:pPr>
        <w:jc w:val="both"/>
        <w:rPr>
          <w:rFonts w:ascii="Calibri" w:hAnsi="Calibri" w:cs="Calibri"/>
        </w:rPr>
      </w:pPr>
      <w:r w:rsidRPr="000F510C">
        <w:rPr>
          <w:rFonts w:ascii="Calibri" w:hAnsi="Calibri" w:cs="Calibri"/>
        </w:rPr>
        <w:t xml:space="preserve">Subsurface wastewater discharge requires a carefully structured and precautionary regulatory approach, particularly in highly </w:t>
      </w:r>
      <w:proofErr w:type="spellStart"/>
      <w:r w:rsidRPr="000F510C">
        <w:rPr>
          <w:rFonts w:ascii="Calibri" w:hAnsi="Calibri" w:cs="Calibri"/>
        </w:rPr>
        <w:t>karstified</w:t>
      </w:r>
      <w:proofErr w:type="spellEnd"/>
      <w:r w:rsidRPr="000F510C">
        <w:rPr>
          <w:rFonts w:ascii="Calibri" w:hAnsi="Calibri" w:cs="Calibri"/>
        </w:rPr>
        <w:t xml:space="preserve"> environments such as Neretva TBA, where groundwater flow velocities are high, residence times are short, and natural attenuation capacity is very limited. In such settings, pollutants introduced into the subsurface can rapidly reach water supply springs, surface waters, and sensitive groundwater</w:t>
      </w:r>
      <w:r w:rsidRPr="000F510C">
        <w:rPr>
          <w:rFonts w:ascii="Cambria Math" w:hAnsi="Cambria Math" w:cs="Cambria Math"/>
        </w:rPr>
        <w:t>‑</w:t>
      </w:r>
      <w:r w:rsidRPr="000F510C">
        <w:rPr>
          <w:rFonts w:ascii="Calibri" w:hAnsi="Calibri" w:cs="Calibri"/>
        </w:rPr>
        <w:t>dependent ecosystems, often extending across national borders.</w:t>
      </w:r>
    </w:p>
    <w:p w14:paraId="6A6F4FD5" w14:textId="6121039B" w:rsidR="000F510C" w:rsidRPr="000F510C" w:rsidRDefault="000F510C" w:rsidP="000F510C">
      <w:pPr>
        <w:jc w:val="both"/>
        <w:rPr>
          <w:rFonts w:ascii="Calibri" w:hAnsi="Calibri" w:cs="Calibri"/>
        </w:rPr>
      </w:pPr>
      <w:r w:rsidRPr="000F510C">
        <w:rPr>
          <w:rFonts w:ascii="Calibri" w:hAnsi="Calibri" w:cs="Calibri"/>
        </w:rPr>
        <w:t xml:space="preserve">In Croatia, the legal framework governing subsurface wastewater discharge is established under the Water Act (Official Gazette No. 66/2019, 84/2021, 47/2023), which fully incorporates the principles and requirements of the EU Water Framework Directive and the Groundwater Directive. The Act strictly prohibits direct discharge of pollutants into groundwater, while allowing indirect infiltration of treated wastewater only under clearly defined and controlled conditions. This distinction is </w:t>
      </w:r>
      <w:r w:rsidRPr="000F510C">
        <w:rPr>
          <w:rFonts w:ascii="Calibri" w:hAnsi="Calibri" w:cs="Calibri"/>
        </w:rPr>
        <w:lastRenderedPageBreak/>
        <w:t xml:space="preserve">particularly relevant for karst aquifers, where indirect discharges may still pose a significant risk due to rapid infiltration through fissures, ponors, and highly permeable </w:t>
      </w:r>
      <w:proofErr w:type="spellStart"/>
      <w:r w:rsidRPr="000F510C">
        <w:rPr>
          <w:rFonts w:ascii="Calibri" w:hAnsi="Calibri" w:cs="Calibri"/>
        </w:rPr>
        <w:t>epikarst</w:t>
      </w:r>
      <w:proofErr w:type="spellEnd"/>
      <w:r w:rsidRPr="000F510C">
        <w:rPr>
          <w:rFonts w:ascii="Calibri" w:hAnsi="Calibri" w:cs="Calibri"/>
        </w:rPr>
        <w:t xml:space="preserve"> zones.</w:t>
      </w:r>
    </w:p>
    <w:p w14:paraId="4B567C6A" w14:textId="4A944E5D" w:rsidR="000F510C" w:rsidRPr="000F510C" w:rsidRDefault="000F510C" w:rsidP="000F510C">
      <w:pPr>
        <w:jc w:val="both"/>
        <w:rPr>
          <w:rFonts w:ascii="Calibri" w:hAnsi="Calibri" w:cs="Calibri"/>
        </w:rPr>
      </w:pPr>
      <w:r w:rsidRPr="000F510C">
        <w:rPr>
          <w:rFonts w:ascii="Calibri" w:hAnsi="Calibri" w:cs="Calibri"/>
        </w:rPr>
        <w:t>These conditions are further elaborated in the Regulation on Emission Limit Values for Wastewater (Official Gazette No. 26/2020), which defines indirect discharge as the infiltration of treated wastewater through natural or engineered subsurface layers. Such discharge is permitted only when alternative technical solutions would entail disproportionate costs and when a scientifically grounded assessment demonstrates that the discharge will not result in deterioration of groundwater status or adverse impacts on connected surface waters and ecosystems. In karst areas such as Neretva TBA, this requirement implies a particularly high standard of hydrogeological justification, given the strong hydraulic connectivity and transboundary nature of the aquifer system.</w:t>
      </w:r>
    </w:p>
    <w:p w14:paraId="06000000" w14:textId="368F25B2" w:rsidR="00B610D1" w:rsidRPr="00144C66" w:rsidRDefault="000F510C" w:rsidP="000F510C">
      <w:pPr>
        <w:jc w:val="both"/>
        <w:rPr>
          <w:rFonts w:ascii="Calibri" w:hAnsi="Calibri" w:cs="Calibri"/>
        </w:rPr>
      </w:pPr>
      <w:r w:rsidRPr="000F510C">
        <w:rPr>
          <w:rFonts w:ascii="Calibri" w:hAnsi="Calibri" w:cs="Calibri"/>
        </w:rPr>
        <w:t>Although the Regulation identifies prohibited substances and requires an impact analysis prior to permitting indirect discharges, further development of detailed technical guidance would support more consistent and risk</w:t>
      </w:r>
      <w:r w:rsidRPr="000F510C">
        <w:rPr>
          <w:rFonts w:ascii="Cambria Math" w:hAnsi="Cambria Math" w:cs="Cambria Math"/>
        </w:rPr>
        <w:t>‑</w:t>
      </w:r>
      <w:r w:rsidRPr="000F510C">
        <w:rPr>
          <w:rFonts w:ascii="Calibri" w:hAnsi="Calibri" w:cs="Calibri"/>
        </w:rPr>
        <w:t>based application in karst environments. This is especially relevant for defining standardized methodological steps for evaluating site suitability, characterizing preferential flow paths, assessing effective travel times to receptors, and determining the actual protective function of the unsaturated zone, which in Neretva TBA is often thin, discontinuous, or bypassed entirely.</w:t>
      </w:r>
    </w:p>
    <w:p w14:paraId="4679E8E1" w14:textId="4150ED87" w:rsidR="000F510C" w:rsidRPr="000F510C" w:rsidRDefault="000F510C" w:rsidP="000F510C">
      <w:pPr>
        <w:jc w:val="both"/>
        <w:rPr>
          <w:rFonts w:ascii="Calibri" w:hAnsi="Calibri" w:cs="Calibri"/>
        </w:rPr>
      </w:pPr>
      <w:r w:rsidRPr="000F510C">
        <w:rPr>
          <w:rFonts w:ascii="Calibri" w:hAnsi="Calibri" w:cs="Calibri"/>
        </w:rPr>
        <w:t>Monitoring obligations related to groundwater protection in Croatia are defined within the national monitoring system established under the River Basin Management Plan, adopted pursuant to the Water Act (Official Gazette Nos. 66/2019, 84/2021, 47/2023). This system provides for monitoring of both chemical and quantitative groundwater status; however, it is not explicitly designed to assess the impacts of potential subsurface discharge of treated wastewater, particularly in highly vulnerable karst aquifers such as those forming Neretva TBA.</w:t>
      </w:r>
    </w:p>
    <w:p w14:paraId="4DE7C951" w14:textId="69179544" w:rsidR="000F510C" w:rsidRPr="000F510C" w:rsidRDefault="000F510C" w:rsidP="000F510C">
      <w:pPr>
        <w:jc w:val="both"/>
        <w:rPr>
          <w:rFonts w:ascii="Calibri" w:hAnsi="Calibri" w:cs="Calibri"/>
        </w:rPr>
      </w:pPr>
      <w:r w:rsidRPr="000F510C">
        <w:rPr>
          <w:rFonts w:ascii="Calibri" w:hAnsi="Calibri" w:cs="Calibri"/>
        </w:rPr>
        <w:t>The existing monitoring framework is not structured around the concept of compliance points located in the unsaturated or saturated zone, as envisaged in the Guidance on preventing or limiting direct and indirect inputs in the context of the Groundwater Directive 2006/118/EC (CIS Guidance Document No. 17). Consequently, it does not include procedures for tracking the fate and behaviour of infiltrated wastewater, nor does it provide tools to systematically evaluate pollutant transport along preferential karst pathways. In the context of the Neretva TBA</w:t>
      </w:r>
      <w:r>
        <w:rPr>
          <w:rFonts w:ascii="Calibri" w:hAnsi="Calibri" w:cs="Calibri"/>
        </w:rPr>
        <w:t xml:space="preserve">, </w:t>
      </w:r>
      <w:r w:rsidRPr="000F510C">
        <w:rPr>
          <w:rFonts w:ascii="Calibri" w:hAnsi="Calibri" w:cs="Calibri"/>
        </w:rPr>
        <w:t>characterized by fissured media, ponors, thin or discontinuous unsaturated zones, and strong hydraulic connectivity</w:t>
      </w:r>
      <w:r>
        <w:rPr>
          <w:rFonts w:ascii="Calibri" w:hAnsi="Calibri" w:cs="Calibri"/>
        </w:rPr>
        <w:t xml:space="preserve">, </w:t>
      </w:r>
      <w:r w:rsidRPr="000F510C">
        <w:rPr>
          <w:rFonts w:ascii="Calibri" w:hAnsi="Calibri" w:cs="Calibri"/>
        </w:rPr>
        <w:t>this represents a significant methodological limitation.</w:t>
      </w:r>
    </w:p>
    <w:p w14:paraId="50231080" w14:textId="7294D870" w:rsidR="000F510C" w:rsidRPr="000F510C" w:rsidRDefault="000F510C" w:rsidP="000F510C">
      <w:pPr>
        <w:jc w:val="both"/>
        <w:rPr>
          <w:rFonts w:ascii="Calibri" w:hAnsi="Calibri" w:cs="Calibri"/>
        </w:rPr>
      </w:pPr>
      <w:r w:rsidRPr="000F510C">
        <w:rPr>
          <w:rFonts w:ascii="Calibri" w:hAnsi="Calibri" w:cs="Calibri"/>
        </w:rPr>
        <w:t>In the Federation of Bosnia and Herzegovina, groundwater monitoring is regulated under the Water Law of the Federation of BiH (Official Gazette of the FBiH No. 70/2006, 01/2012, 70/2020). As in Croatia, the monitoring system is general in scope and primarily oriented towards the assessment of overall groundwater status and drinking water quality, rather than towards the evaluation of localized pressures associated with subsurface discharge of treated wastewater. Monitoring coverage in karst areas remains limited, fragmented, and largely focused on abstraction points, without methodological components that would allow for tracing the movement and transformation of infiltrated water or associated contaminants within the aquifer system.</w:t>
      </w:r>
    </w:p>
    <w:p w14:paraId="6C3CE3CD" w14:textId="48C64E9C" w:rsidR="000F510C" w:rsidRPr="000F510C" w:rsidRDefault="000F510C" w:rsidP="000F510C">
      <w:pPr>
        <w:jc w:val="both"/>
        <w:rPr>
          <w:rFonts w:ascii="Calibri" w:hAnsi="Calibri" w:cs="Calibri"/>
        </w:rPr>
      </w:pPr>
      <w:r w:rsidRPr="000F510C">
        <w:rPr>
          <w:rFonts w:ascii="Calibri" w:hAnsi="Calibri" w:cs="Calibri"/>
        </w:rPr>
        <w:t xml:space="preserve">The current monitoring framework in the Federation of BiH does not include formally defined compliance locations, requirements for targeted observation points near potential infiltration areas, or obligations to apply conceptual or numerical models to assess contaminant transport and travel times. Given the transboundary nature of Neretva TBA and the potential for impacts to propagate </w:t>
      </w:r>
      <w:r w:rsidRPr="000F510C">
        <w:rPr>
          <w:rFonts w:ascii="Calibri" w:hAnsi="Calibri" w:cs="Calibri"/>
        </w:rPr>
        <w:lastRenderedPageBreak/>
        <w:t>rapidly across administrative and national boundaries, these gaps further constrain the ability to apply precautionary and risk</w:t>
      </w:r>
      <w:r w:rsidRPr="000F510C">
        <w:rPr>
          <w:rFonts w:ascii="Cambria Math" w:hAnsi="Cambria Math" w:cs="Cambria Math"/>
        </w:rPr>
        <w:t>‑</w:t>
      </w:r>
      <w:r w:rsidRPr="000F510C">
        <w:rPr>
          <w:rFonts w:ascii="Calibri" w:hAnsi="Calibri" w:cs="Calibri"/>
        </w:rPr>
        <w:t>based decision making.</w:t>
      </w:r>
    </w:p>
    <w:p w14:paraId="490CA5EA" w14:textId="3300E850" w:rsidR="00B610D1" w:rsidRPr="00144C66" w:rsidRDefault="000F510C" w:rsidP="000F510C">
      <w:pPr>
        <w:jc w:val="both"/>
        <w:rPr>
          <w:rFonts w:ascii="Calibri" w:hAnsi="Calibri" w:cs="Calibri"/>
        </w:rPr>
      </w:pPr>
      <w:r w:rsidRPr="000F510C">
        <w:rPr>
          <w:rFonts w:ascii="Calibri" w:hAnsi="Calibri" w:cs="Calibri"/>
        </w:rPr>
        <w:t>In this context, upgrading the existing regulatory and monitoring framework relevant for the Neretva TBA</w:t>
      </w:r>
      <w:r>
        <w:rPr>
          <w:rFonts w:ascii="Calibri" w:hAnsi="Calibri" w:cs="Calibri"/>
        </w:rPr>
        <w:t xml:space="preserve">, </w:t>
      </w:r>
      <w:r w:rsidRPr="000F510C">
        <w:rPr>
          <w:rFonts w:ascii="Calibri" w:hAnsi="Calibri" w:cs="Calibri"/>
        </w:rPr>
        <w:t>by incorporating elements consistent with CIS Guidance Document No. 17</w:t>
      </w:r>
      <w:r>
        <w:rPr>
          <w:rFonts w:ascii="Calibri" w:hAnsi="Calibri" w:cs="Calibri"/>
        </w:rPr>
        <w:t xml:space="preserve">, </w:t>
      </w:r>
      <w:r w:rsidRPr="000F510C">
        <w:rPr>
          <w:rFonts w:ascii="Calibri" w:hAnsi="Calibri" w:cs="Calibri"/>
        </w:rPr>
        <w:t>would significantly strengthen the capacity to evaluate the feasibility and safety of subsurface wastewater discharge. Such an upgrade should include the establishment of targeted observation (compliance) points in infiltration and downstream control zones, the selection of monitoring parameters directly relevant for risk assessment in karst settings, and the integration of hydrogeological interpretation and transport modelling. This approach would provide a more robust, aquifer</w:t>
      </w:r>
      <w:r w:rsidRPr="000F510C">
        <w:rPr>
          <w:rFonts w:ascii="Cambria Math" w:hAnsi="Cambria Math" w:cs="Cambria Math"/>
        </w:rPr>
        <w:t>‑</w:t>
      </w:r>
      <w:r w:rsidRPr="000F510C">
        <w:rPr>
          <w:rFonts w:ascii="Calibri" w:hAnsi="Calibri" w:cs="Calibri"/>
        </w:rPr>
        <w:t>scale basis for assessing subsurface discharge options and for preventing adverse impacts on shared groundwater resources within the entire Neretva TBA.</w:t>
      </w:r>
    </w:p>
    <w:p w14:paraId="14C5C4B1" w14:textId="60A1F832" w:rsidR="000F510C" w:rsidRPr="000F510C" w:rsidRDefault="000F510C" w:rsidP="000F510C">
      <w:pPr>
        <w:jc w:val="both"/>
        <w:rPr>
          <w:rFonts w:ascii="Calibri" w:hAnsi="Calibri" w:cs="Calibri"/>
        </w:rPr>
      </w:pPr>
      <w:r w:rsidRPr="000F510C">
        <w:rPr>
          <w:rFonts w:ascii="Calibri" w:hAnsi="Calibri" w:cs="Calibri"/>
        </w:rPr>
        <w:t>Permitting and enforcement procedures play a central role in ensuring that subsurface wastewater discharge does not compromise groundwater resources, particularly in highly vulnerable karst aquifers such as Neretva TBA. In Croatia, permits for indirect discharge are issued under the Water Act (Official Gazette No. 66/2019, 84/2021, 47/2023) and are conditional upon a detailed assessment demonstrating that groundwater status will not deteriorate and that connected surface waters and dependent ecosystems will not be adversely affected. Enforcement mechanisms, implemented through water inspection services, provide the legal basis for authorities to intervene where monitoring results indicate elevated risk or non</w:t>
      </w:r>
      <w:r w:rsidRPr="000F510C">
        <w:rPr>
          <w:rFonts w:ascii="Cambria Math" w:hAnsi="Cambria Math" w:cs="Cambria Math"/>
        </w:rPr>
        <w:t>‑</w:t>
      </w:r>
      <w:r w:rsidRPr="000F510C">
        <w:rPr>
          <w:rFonts w:ascii="Calibri" w:hAnsi="Calibri" w:cs="Calibri"/>
        </w:rPr>
        <w:t>compliance with permit conditions.</w:t>
      </w:r>
    </w:p>
    <w:p w14:paraId="02177067" w14:textId="4236F0B5" w:rsidR="000F510C" w:rsidRPr="000F510C" w:rsidRDefault="000F510C" w:rsidP="000F510C">
      <w:pPr>
        <w:jc w:val="both"/>
        <w:rPr>
          <w:rFonts w:ascii="Calibri" w:hAnsi="Calibri" w:cs="Calibri"/>
        </w:rPr>
      </w:pPr>
      <w:r w:rsidRPr="000F510C">
        <w:rPr>
          <w:rFonts w:ascii="Calibri" w:hAnsi="Calibri" w:cs="Calibri"/>
        </w:rPr>
        <w:t>While this framework establishes a solid legal foundation, further refinement of technical criteria</w:t>
      </w:r>
      <w:r w:rsidR="008E074B">
        <w:rPr>
          <w:rFonts w:ascii="Calibri" w:hAnsi="Calibri" w:cs="Calibri"/>
        </w:rPr>
        <w:t xml:space="preserve">, </w:t>
      </w:r>
      <w:r w:rsidRPr="000F510C">
        <w:rPr>
          <w:rFonts w:ascii="Calibri" w:hAnsi="Calibri" w:cs="Calibri"/>
        </w:rPr>
        <w:t>particularly those tailored to karst conditions</w:t>
      </w:r>
      <w:r w:rsidR="008E074B">
        <w:rPr>
          <w:rFonts w:ascii="Calibri" w:hAnsi="Calibri" w:cs="Calibri"/>
        </w:rPr>
        <w:t xml:space="preserve">, </w:t>
      </w:r>
      <w:r w:rsidRPr="000F510C">
        <w:rPr>
          <w:rFonts w:ascii="Calibri" w:hAnsi="Calibri" w:cs="Calibri"/>
        </w:rPr>
        <w:t>would support more uniform, transparent, and risk</w:t>
      </w:r>
      <w:r w:rsidRPr="000F510C">
        <w:rPr>
          <w:rFonts w:ascii="Cambria Math" w:hAnsi="Cambria Math" w:cs="Cambria Math"/>
        </w:rPr>
        <w:t>‑</w:t>
      </w:r>
      <w:r w:rsidRPr="000F510C">
        <w:rPr>
          <w:rFonts w:ascii="Calibri" w:hAnsi="Calibri" w:cs="Calibri"/>
        </w:rPr>
        <w:t>based decision</w:t>
      </w:r>
      <w:r w:rsidRPr="000F510C">
        <w:rPr>
          <w:rFonts w:ascii="Cambria Math" w:hAnsi="Cambria Math" w:cs="Cambria Math"/>
        </w:rPr>
        <w:t>‑</w:t>
      </w:r>
      <w:r w:rsidRPr="000F510C">
        <w:rPr>
          <w:rFonts w:ascii="Calibri" w:hAnsi="Calibri" w:cs="Calibri"/>
        </w:rPr>
        <w:t>making. In the context of Neretva TBA, where subsurface flow pathways are often concentrated and travel times to receptors can be very short, permitting decisions would benefit from clearer guidance on acceptable locations, minimum hydrogeological investigation requirements, and thresholds triggering additional protective measures or permit denial.</w:t>
      </w:r>
    </w:p>
    <w:p w14:paraId="583FD870" w14:textId="731AB8A4" w:rsidR="000F510C" w:rsidRPr="000F510C" w:rsidRDefault="000F510C" w:rsidP="000F510C">
      <w:pPr>
        <w:jc w:val="both"/>
        <w:rPr>
          <w:rFonts w:ascii="Calibri" w:hAnsi="Calibri" w:cs="Calibri"/>
        </w:rPr>
      </w:pPr>
      <w:r w:rsidRPr="000F510C">
        <w:rPr>
          <w:rFonts w:ascii="Calibri" w:hAnsi="Calibri" w:cs="Calibri"/>
        </w:rPr>
        <w:t>In the Federation of Bosnia and Herzegovina, permitting procedures under the Water Law (Official Gazette of the FBiH No. 70/2006, 01/2012, 70/2020) and the Law on Environmental Protection (Official Gazette of the FBiH No. 33/2003, 38/2009, 66/2011) do not explicitly address subsurface discharge of treated wastewater. Instead, enforcement relies on general provisions for groundwater protection, wastewater discharge, and environmental impact assessment. As a result, subsurface discharge is not systematically evaluated as a distinct pressure pathway, and permitting decisions are rarely supported by karst</w:t>
      </w:r>
      <w:r w:rsidRPr="000F510C">
        <w:rPr>
          <w:rFonts w:ascii="Cambria Math" w:hAnsi="Cambria Math" w:cs="Cambria Math"/>
        </w:rPr>
        <w:t>‑</w:t>
      </w:r>
      <w:r w:rsidRPr="000F510C">
        <w:rPr>
          <w:rFonts w:ascii="Calibri" w:hAnsi="Calibri" w:cs="Calibri"/>
        </w:rPr>
        <w:t>specific hydrogeological analyses or post</w:t>
      </w:r>
      <w:r w:rsidRPr="000F510C">
        <w:rPr>
          <w:rFonts w:ascii="Cambria Math" w:hAnsi="Cambria Math" w:cs="Cambria Math"/>
        </w:rPr>
        <w:t>‑</w:t>
      </w:r>
      <w:r w:rsidRPr="000F510C">
        <w:rPr>
          <w:rFonts w:ascii="Calibri" w:hAnsi="Calibri" w:cs="Calibri"/>
        </w:rPr>
        <w:t>authorization compliance controls.</w:t>
      </w:r>
    </w:p>
    <w:p w14:paraId="245F234C" w14:textId="632A73A5" w:rsidR="000F510C" w:rsidRPr="000F510C" w:rsidRDefault="000F510C" w:rsidP="000F510C">
      <w:pPr>
        <w:jc w:val="both"/>
        <w:rPr>
          <w:rFonts w:ascii="Calibri" w:hAnsi="Calibri" w:cs="Calibri"/>
        </w:rPr>
      </w:pPr>
      <w:r w:rsidRPr="000F510C">
        <w:rPr>
          <w:rFonts w:ascii="Calibri" w:hAnsi="Calibri" w:cs="Calibri"/>
        </w:rPr>
        <w:t>Developing dedicated permitting and enforcement procedures relevant to Neretva TBA</w:t>
      </w:r>
      <w:r w:rsidR="008E074B">
        <w:rPr>
          <w:rFonts w:ascii="Calibri" w:hAnsi="Calibri" w:cs="Calibri"/>
        </w:rPr>
        <w:t xml:space="preserve">, </w:t>
      </w:r>
      <w:r w:rsidRPr="000F510C">
        <w:rPr>
          <w:rFonts w:ascii="Calibri" w:hAnsi="Calibri" w:cs="Calibri"/>
        </w:rPr>
        <w:t>supported by clear technical requirements, standardized hydrogeological assessments, and defined monitoring and reporting obligations</w:t>
      </w:r>
      <w:r w:rsidR="008E074B">
        <w:rPr>
          <w:rFonts w:ascii="Calibri" w:hAnsi="Calibri" w:cs="Calibri"/>
        </w:rPr>
        <w:t xml:space="preserve">, </w:t>
      </w:r>
      <w:r w:rsidRPr="000F510C">
        <w:rPr>
          <w:rFonts w:ascii="Calibri" w:hAnsi="Calibri" w:cs="Calibri"/>
        </w:rPr>
        <w:t>would significantly strengthen the ability of competent authorities to evaluate applications and ensure that protective measures are implemented effectively. Such procedures are particularly important in a transboundary context, where impacts originating from localized discharge points may propagate rapidly across administrative and national borders.</w:t>
      </w:r>
    </w:p>
    <w:p w14:paraId="70D9E696" w14:textId="6EA37BBF" w:rsidR="000F510C" w:rsidRPr="000F510C" w:rsidRDefault="000F510C" w:rsidP="000F510C">
      <w:pPr>
        <w:jc w:val="both"/>
        <w:rPr>
          <w:rFonts w:ascii="Calibri" w:hAnsi="Calibri" w:cs="Calibri"/>
        </w:rPr>
      </w:pPr>
      <w:r w:rsidRPr="000F510C">
        <w:rPr>
          <w:rFonts w:ascii="Calibri" w:hAnsi="Calibri" w:cs="Calibri"/>
        </w:rPr>
        <w:t>Given the pronounced hydrogeological sensitivity of Neretva TBA, there is a clear need to further strengthen the regulatory instruments governing subsurface wastewater discharge. Enhancing the existing framework by introducing procedures that explicitly account for the characteristics of karst systems</w:t>
      </w:r>
      <w:r w:rsidR="008E074B">
        <w:rPr>
          <w:rFonts w:ascii="Calibri" w:hAnsi="Calibri" w:cs="Calibri"/>
        </w:rPr>
        <w:t xml:space="preserve">, </w:t>
      </w:r>
      <w:r w:rsidRPr="000F510C">
        <w:rPr>
          <w:rFonts w:ascii="Calibri" w:hAnsi="Calibri" w:cs="Calibri"/>
        </w:rPr>
        <w:t>such as rapid groundwater flow, limited natural attenuation, strong surface–groundwater interactions, and high vulnerability of downstream water supply sources</w:t>
      </w:r>
      <w:r w:rsidR="008E074B">
        <w:rPr>
          <w:rFonts w:ascii="Calibri" w:hAnsi="Calibri" w:cs="Calibri"/>
        </w:rPr>
        <w:t xml:space="preserve">, </w:t>
      </w:r>
      <w:r w:rsidRPr="000F510C">
        <w:rPr>
          <w:rFonts w:ascii="Calibri" w:hAnsi="Calibri" w:cs="Calibri"/>
        </w:rPr>
        <w:t xml:space="preserve">would provide a more robust </w:t>
      </w:r>
      <w:r w:rsidRPr="000F510C">
        <w:rPr>
          <w:rFonts w:ascii="Calibri" w:hAnsi="Calibri" w:cs="Calibri"/>
        </w:rPr>
        <w:lastRenderedPageBreak/>
        <w:t>foundation for determining when, where, and under what conditions subsurface discharge may be safely considered.</w:t>
      </w:r>
    </w:p>
    <w:p w14:paraId="638BAB73" w14:textId="6638B00E" w:rsidR="00B610D1" w:rsidRDefault="000F510C" w:rsidP="000F510C">
      <w:pPr>
        <w:jc w:val="both"/>
        <w:rPr>
          <w:rFonts w:ascii="Calibri" w:hAnsi="Calibri" w:cs="Calibri"/>
        </w:rPr>
      </w:pPr>
      <w:r w:rsidRPr="000F510C">
        <w:rPr>
          <w:rFonts w:ascii="Calibri" w:hAnsi="Calibri" w:cs="Calibri"/>
        </w:rPr>
        <w:t>Building on these identified needs, the following text outlines a structured, risk</w:t>
      </w:r>
      <w:r w:rsidRPr="000F510C">
        <w:rPr>
          <w:rFonts w:ascii="Cambria Math" w:hAnsi="Cambria Math" w:cs="Cambria Math"/>
        </w:rPr>
        <w:t>‑</w:t>
      </w:r>
      <w:r w:rsidRPr="000F510C">
        <w:rPr>
          <w:rFonts w:ascii="Calibri" w:hAnsi="Calibri" w:cs="Calibri"/>
        </w:rPr>
        <w:t xml:space="preserve">based approach for evaluating whether subsurface discharge of treated wastewater can be safely applied within Neretva TBA, </w:t>
      </w:r>
      <w:r w:rsidR="008E074B" w:rsidRPr="000F510C">
        <w:rPr>
          <w:rFonts w:ascii="Calibri" w:hAnsi="Calibri" w:cs="Calibri"/>
        </w:rPr>
        <w:t>considering</w:t>
      </w:r>
      <w:r w:rsidRPr="000F510C">
        <w:rPr>
          <w:rFonts w:ascii="Calibri" w:hAnsi="Calibri" w:cs="Calibri"/>
        </w:rPr>
        <w:t xml:space="preserve"> hydrogeological constraints, protection objectives, and transboundary risk considerations.</w:t>
      </w:r>
    </w:p>
    <w:p w14:paraId="27AD1A15" w14:textId="00AF7BE9" w:rsidR="008E074B" w:rsidRPr="008E074B" w:rsidRDefault="008E074B" w:rsidP="008E074B">
      <w:pPr>
        <w:jc w:val="both"/>
        <w:rPr>
          <w:rFonts w:ascii="Calibri" w:hAnsi="Calibri" w:cs="Calibri"/>
        </w:rPr>
      </w:pPr>
      <w:r w:rsidRPr="008E074B">
        <w:rPr>
          <w:rFonts w:ascii="Calibri" w:hAnsi="Calibri" w:cs="Calibri"/>
        </w:rPr>
        <w:t>In karst environments, such as those that dominate Neretva TBA, the feasibility of subsurface wastewater discharge depends strongly on the local hydrogeological setting. Shallow infiltration systems</w:t>
      </w:r>
      <w:r>
        <w:rPr>
          <w:rFonts w:ascii="Calibri" w:hAnsi="Calibri" w:cs="Calibri"/>
        </w:rPr>
        <w:t xml:space="preserve">, </w:t>
      </w:r>
      <w:r w:rsidRPr="008E074B">
        <w:rPr>
          <w:rFonts w:ascii="Calibri" w:hAnsi="Calibri" w:cs="Calibri"/>
        </w:rPr>
        <w:t>such as infiltration basins, trenches, or galleries</w:t>
      </w:r>
      <w:r>
        <w:rPr>
          <w:rFonts w:ascii="Calibri" w:hAnsi="Calibri" w:cs="Calibri"/>
        </w:rPr>
        <w:t xml:space="preserve">, </w:t>
      </w:r>
      <w:r w:rsidRPr="008E074B">
        <w:rPr>
          <w:rFonts w:ascii="Calibri" w:hAnsi="Calibri" w:cs="Calibri"/>
        </w:rPr>
        <w:t>represent the only technically realistic option for introducing treated wastewater into the subsurface, as they rely on percolation through soil and the unsaturated zone rather than direct injection into highly permeable karst conduits. Direct subsurface injection is generally incompatible with the hydrogeological characteristics of Neretva TBA, given the high permeability and limited capacity for natural attenuation within the saturated karst system.</w:t>
      </w:r>
    </w:p>
    <w:p w14:paraId="36CE616F" w14:textId="67315C7A" w:rsidR="008E074B" w:rsidRPr="008E074B" w:rsidRDefault="008E074B" w:rsidP="008E074B">
      <w:pPr>
        <w:jc w:val="both"/>
        <w:rPr>
          <w:rFonts w:ascii="Calibri" w:hAnsi="Calibri" w:cs="Calibri"/>
        </w:rPr>
      </w:pPr>
      <w:r w:rsidRPr="008E074B">
        <w:rPr>
          <w:rFonts w:ascii="Calibri" w:hAnsi="Calibri" w:cs="Calibri"/>
        </w:rPr>
        <w:t xml:space="preserve">Where sufficiently thick, heterogeneous, and partially developed vadose zones are present, shallow infiltration systems may support additional natural attenuation processes, including filtration, sorption, biodegradation, and pathogen reduction. However, across large parts of Neretva TBA the unsaturated zone is thin, highly fractured, laterally discontinuous, or locally bypassed by rapid preferential flow through </w:t>
      </w:r>
      <w:proofErr w:type="spellStart"/>
      <w:r w:rsidRPr="008E074B">
        <w:rPr>
          <w:rFonts w:ascii="Calibri" w:hAnsi="Calibri" w:cs="Calibri"/>
        </w:rPr>
        <w:t>epikarst</w:t>
      </w:r>
      <w:proofErr w:type="spellEnd"/>
      <w:r w:rsidRPr="008E074B">
        <w:rPr>
          <w:rFonts w:ascii="Calibri" w:hAnsi="Calibri" w:cs="Calibri"/>
        </w:rPr>
        <w:t xml:space="preserve"> features, fissures, and ponors. As a result, the protective function of the subsurface is often limited, and infiltrated wastewater may reach groundwater or connected surface waters with minimal delay.</w:t>
      </w:r>
    </w:p>
    <w:p w14:paraId="267CB5F1" w14:textId="77777777" w:rsidR="008E074B" w:rsidRPr="008E074B" w:rsidRDefault="008E074B" w:rsidP="008E074B">
      <w:pPr>
        <w:jc w:val="both"/>
        <w:rPr>
          <w:rFonts w:ascii="Calibri" w:hAnsi="Calibri" w:cs="Calibri"/>
        </w:rPr>
      </w:pPr>
      <w:r w:rsidRPr="008E074B">
        <w:rPr>
          <w:rFonts w:ascii="Calibri" w:hAnsi="Calibri" w:cs="Calibri"/>
        </w:rPr>
        <w:t>For this reason, any consideration of subsurface wastewater discharge within the Neretva TBA must begin with a detailed understanding of site specific karst features, including the depth, thickness, and structure of the unsaturated zone, as well as the likelihood of rapid transport pathways that could enable direct hydraulic connection to springs, drinking water abstractions, or environmentally sensitive areas.</w:t>
      </w:r>
    </w:p>
    <w:p w14:paraId="195CB77E" w14:textId="6BB5B56C" w:rsidR="008E074B" w:rsidRPr="008E074B" w:rsidRDefault="008E074B" w:rsidP="008E074B">
      <w:pPr>
        <w:jc w:val="both"/>
        <w:rPr>
          <w:rFonts w:ascii="Calibri" w:hAnsi="Calibri" w:cs="Calibri"/>
        </w:rPr>
      </w:pPr>
      <w:r w:rsidRPr="008E074B">
        <w:rPr>
          <w:rFonts w:ascii="Calibri" w:hAnsi="Calibri" w:cs="Calibri"/>
        </w:rPr>
        <w:t xml:space="preserve">A robust conceptual hydrogeological model is therefore essential for assessing the suitability of any potential infiltration site. Conceptual models provide the framework for understanding groundwater flow patterns, recharge mechanisms, and the interactions between the unsaturated and saturated zones. In the context of Neretva TBA, such models must explicitly account for the defining characteristics of karst aquifers, including the presence of conduits, </w:t>
      </w:r>
      <w:proofErr w:type="spellStart"/>
      <w:r w:rsidRPr="008E074B">
        <w:rPr>
          <w:rFonts w:ascii="Calibri" w:hAnsi="Calibri" w:cs="Calibri"/>
        </w:rPr>
        <w:t>epikarst</w:t>
      </w:r>
      <w:proofErr w:type="spellEnd"/>
      <w:r w:rsidRPr="008E074B">
        <w:rPr>
          <w:rFonts w:ascii="Calibri" w:hAnsi="Calibri" w:cs="Calibri"/>
        </w:rPr>
        <w:t xml:space="preserve"> zones, concentrated recharge areas, sinking streams, and highly variable hydraulic conductivities, all of which control the fate and transport of infiltrated water.</w:t>
      </w:r>
    </w:p>
    <w:p w14:paraId="14F8278E" w14:textId="77777777" w:rsidR="008E074B" w:rsidRPr="008E074B" w:rsidRDefault="008E074B" w:rsidP="008E074B">
      <w:pPr>
        <w:jc w:val="both"/>
        <w:rPr>
          <w:rFonts w:ascii="Calibri" w:hAnsi="Calibri" w:cs="Calibri"/>
        </w:rPr>
      </w:pPr>
      <w:r w:rsidRPr="008E074B">
        <w:rPr>
          <w:rFonts w:ascii="Calibri" w:hAnsi="Calibri" w:cs="Calibri"/>
        </w:rPr>
        <w:t>Key elements of a conceptual hydrogeological model that support decision making on subsurface wastewater discharge include:</w:t>
      </w:r>
    </w:p>
    <w:p w14:paraId="0F1230B4" w14:textId="77777777" w:rsidR="008E074B" w:rsidRPr="008E074B" w:rsidRDefault="008E074B" w:rsidP="008E074B">
      <w:pPr>
        <w:pStyle w:val="ListParagraph"/>
        <w:numPr>
          <w:ilvl w:val="0"/>
          <w:numId w:val="82"/>
        </w:numPr>
        <w:jc w:val="both"/>
        <w:rPr>
          <w:rFonts w:ascii="Calibri" w:hAnsi="Calibri" w:cs="Calibri"/>
        </w:rPr>
      </w:pPr>
      <w:r w:rsidRPr="008E074B">
        <w:rPr>
          <w:rFonts w:ascii="Calibri" w:hAnsi="Calibri" w:cs="Calibri"/>
        </w:rPr>
        <w:t>characterisation of the unsaturated zone, including its thickness, lithology, permeability, spatial continuity, and realistic capacity for natural attenuation processes;</w:t>
      </w:r>
    </w:p>
    <w:p w14:paraId="47E3331F" w14:textId="77777777" w:rsidR="008E074B" w:rsidRPr="008E074B" w:rsidRDefault="008E074B" w:rsidP="008E074B">
      <w:pPr>
        <w:pStyle w:val="ListParagraph"/>
        <w:numPr>
          <w:ilvl w:val="0"/>
          <w:numId w:val="82"/>
        </w:numPr>
        <w:jc w:val="both"/>
        <w:rPr>
          <w:rFonts w:ascii="Calibri" w:hAnsi="Calibri" w:cs="Calibri"/>
        </w:rPr>
      </w:pPr>
      <w:r w:rsidRPr="008E074B">
        <w:rPr>
          <w:rFonts w:ascii="Calibri" w:hAnsi="Calibri" w:cs="Calibri"/>
        </w:rPr>
        <w:t xml:space="preserve">identification of preferential flow paths, such as sinkholes, swallow holes, fracture networks, </w:t>
      </w:r>
      <w:proofErr w:type="spellStart"/>
      <w:r w:rsidRPr="008E074B">
        <w:rPr>
          <w:rFonts w:ascii="Calibri" w:hAnsi="Calibri" w:cs="Calibri"/>
        </w:rPr>
        <w:t>epikarst</w:t>
      </w:r>
      <w:proofErr w:type="spellEnd"/>
      <w:r w:rsidRPr="008E074B">
        <w:rPr>
          <w:rFonts w:ascii="Calibri" w:hAnsi="Calibri" w:cs="Calibri"/>
        </w:rPr>
        <w:t xml:space="preserve"> drainage features, and losing stream sections that may rapidly transmit infiltrated water to the groundwater system;</w:t>
      </w:r>
    </w:p>
    <w:p w14:paraId="722CFBE8" w14:textId="77777777" w:rsidR="008E074B" w:rsidRPr="008E074B" w:rsidRDefault="008E074B" w:rsidP="008E074B">
      <w:pPr>
        <w:pStyle w:val="ListParagraph"/>
        <w:numPr>
          <w:ilvl w:val="0"/>
          <w:numId w:val="82"/>
        </w:numPr>
        <w:jc w:val="both"/>
        <w:rPr>
          <w:rFonts w:ascii="Calibri" w:hAnsi="Calibri" w:cs="Calibri"/>
        </w:rPr>
      </w:pPr>
      <w:r w:rsidRPr="008E074B">
        <w:rPr>
          <w:rFonts w:ascii="Calibri" w:hAnsi="Calibri" w:cs="Calibri"/>
        </w:rPr>
        <w:t>delineation of groundwater flow directions and apparent velocities, with particular attention to connections with springs, public drinking water sources, surface waters, and groundwater dependent ecosystems;</w:t>
      </w:r>
    </w:p>
    <w:p w14:paraId="42C8F6B5" w14:textId="77777777" w:rsidR="008E074B" w:rsidRPr="008E074B" w:rsidRDefault="008E074B" w:rsidP="008E074B">
      <w:pPr>
        <w:pStyle w:val="ListParagraph"/>
        <w:numPr>
          <w:ilvl w:val="0"/>
          <w:numId w:val="82"/>
        </w:numPr>
        <w:jc w:val="both"/>
        <w:rPr>
          <w:rFonts w:ascii="Calibri" w:hAnsi="Calibri" w:cs="Calibri"/>
        </w:rPr>
      </w:pPr>
      <w:r w:rsidRPr="008E074B">
        <w:rPr>
          <w:rFonts w:ascii="Calibri" w:hAnsi="Calibri" w:cs="Calibri"/>
        </w:rPr>
        <w:lastRenderedPageBreak/>
        <w:t>assessment of existing pressures and background groundwater quality, ensuring that any additional hydraulic or contaminant load does not compromise the achievement or maintenance of good groundwater status;</w:t>
      </w:r>
    </w:p>
    <w:p w14:paraId="7E74FC46" w14:textId="0FA97D4C" w:rsidR="00B610D1" w:rsidRPr="008E074B" w:rsidRDefault="008E074B" w:rsidP="008E074B">
      <w:pPr>
        <w:pStyle w:val="ListParagraph"/>
        <w:numPr>
          <w:ilvl w:val="0"/>
          <w:numId w:val="82"/>
        </w:numPr>
        <w:jc w:val="both"/>
        <w:rPr>
          <w:rFonts w:ascii="Calibri" w:hAnsi="Calibri" w:cs="Calibri"/>
        </w:rPr>
      </w:pPr>
      <w:r w:rsidRPr="008E074B">
        <w:rPr>
          <w:rFonts w:ascii="Calibri" w:hAnsi="Calibri" w:cs="Calibri"/>
        </w:rPr>
        <w:t>evaluation of interactions between groundwater and surface water, reflecting the strong hydraulic connectivity typical of the Neretva karst system and the potential for rapid transfer of impacts across hydrological compartments.</w:t>
      </w:r>
    </w:p>
    <w:p w14:paraId="1526E2F2" w14:textId="17D4F56E" w:rsidR="00B25726" w:rsidRPr="00B25726" w:rsidRDefault="00B25726" w:rsidP="00B25726">
      <w:pPr>
        <w:jc w:val="both"/>
        <w:rPr>
          <w:rFonts w:ascii="Calibri" w:hAnsi="Calibri" w:cs="Calibri"/>
        </w:rPr>
      </w:pPr>
      <w:r w:rsidRPr="00B25726">
        <w:rPr>
          <w:rFonts w:ascii="Calibri" w:hAnsi="Calibri" w:cs="Calibri"/>
        </w:rPr>
        <w:t>Such conceptual hydrogeological models should be developed using all available data from both countries and harmonised through the institutional cooperation mechanisms established for Neretva TBA. Joint interpretation of geological, hydrogeological, hydrological, tracer</w:t>
      </w:r>
      <w:r w:rsidRPr="00B25726">
        <w:rPr>
          <w:rFonts w:ascii="Cambria Math" w:hAnsi="Cambria Math" w:cs="Cambria Math"/>
        </w:rPr>
        <w:t>‑</w:t>
      </w:r>
      <w:r w:rsidRPr="00B25726">
        <w:rPr>
          <w:rFonts w:ascii="Calibri" w:hAnsi="Calibri" w:cs="Calibri"/>
        </w:rPr>
        <w:t>test, and monitoring data is essential to ensure that authorities on both sides of the border share a consistent understanding of aquifer behaviour, preferential flow processes, and associated risks. A shared conceptual understanding provides the prerequisite for coherent permitting decisions and coordinated risk management within the transboundary karst system.</w:t>
      </w:r>
    </w:p>
    <w:p w14:paraId="0FDD25D9" w14:textId="5FD82DE3" w:rsidR="00B25726" w:rsidRPr="00B25726" w:rsidRDefault="00B25726" w:rsidP="00B25726">
      <w:pPr>
        <w:jc w:val="both"/>
        <w:rPr>
          <w:rFonts w:ascii="Calibri" w:hAnsi="Calibri" w:cs="Calibri"/>
        </w:rPr>
      </w:pPr>
      <w:r w:rsidRPr="00B25726">
        <w:rPr>
          <w:rFonts w:ascii="Calibri" w:hAnsi="Calibri" w:cs="Calibri"/>
        </w:rPr>
        <w:t>Monitoring of potential impacts on human health and the environment must be explicitly designed to reflect the specific vulnerabilities of Neretva TBA. Natural attenuation processes in karst environments are often limited or highly variable, and travel times from infiltration points to springs, wells, or surface waters may be extremely short. Monitoring systems must therefore be capable of detecting changes in groundwater quality at an early stage, allowing timely corrective or preventive action before impacts propagate within the aquifer or across national borders.</w:t>
      </w:r>
    </w:p>
    <w:p w14:paraId="3201B7B2" w14:textId="03654EC3" w:rsidR="00B25726" w:rsidRPr="00B25726" w:rsidRDefault="00B25726" w:rsidP="00B25726">
      <w:pPr>
        <w:jc w:val="both"/>
        <w:rPr>
          <w:rFonts w:ascii="Calibri" w:hAnsi="Calibri" w:cs="Calibri"/>
        </w:rPr>
      </w:pPr>
      <w:r w:rsidRPr="00B25726">
        <w:rPr>
          <w:rFonts w:ascii="Calibri" w:hAnsi="Calibri" w:cs="Calibri"/>
        </w:rPr>
        <w:t>A monitoring framework adapted to Neretva TBA should include targeted compliance points located downgradient of potential infiltration areas, ideally positioned along dominant groundwater flow paths and in zones where flow converges toward major springs, public drinking</w:t>
      </w:r>
      <w:r w:rsidRPr="00B25726">
        <w:rPr>
          <w:rFonts w:ascii="Cambria Math" w:hAnsi="Cambria Math" w:cs="Cambria Math"/>
        </w:rPr>
        <w:t>‑</w:t>
      </w:r>
      <w:r w:rsidRPr="00B25726">
        <w:rPr>
          <w:rFonts w:ascii="Calibri" w:hAnsi="Calibri" w:cs="Calibri"/>
        </w:rPr>
        <w:t>water abstractions, or environmentally sensitive receptors. Monitoring parameters should be selected based on risk assessment and include microbiological indicators, nutrients, organic matter, persistent organic pollutants, and emerging contaminants associated with treated wastewater. Given the rapid flow dynamics and event</w:t>
      </w:r>
      <w:r w:rsidRPr="00B25726">
        <w:rPr>
          <w:rFonts w:ascii="Cambria Math" w:hAnsi="Cambria Math" w:cs="Cambria Math"/>
        </w:rPr>
        <w:t>‑</w:t>
      </w:r>
      <w:r w:rsidRPr="00B25726">
        <w:rPr>
          <w:rFonts w:ascii="Calibri" w:hAnsi="Calibri" w:cs="Calibri"/>
        </w:rPr>
        <w:t>driven responses typical of karst systems, high</w:t>
      </w:r>
      <w:r w:rsidRPr="00B25726">
        <w:rPr>
          <w:rFonts w:ascii="Cambria Math" w:hAnsi="Cambria Math" w:cs="Cambria Math"/>
        </w:rPr>
        <w:t>‑</w:t>
      </w:r>
      <w:r w:rsidRPr="00B25726">
        <w:rPr>
          <w:rFonts w:ascii="Calibri" w:hAnsi="Calibri" w:cs="Calibri"/>
        </w:rPr>
        <w:t>frequency monitoring and/or event</w:t>
      </w:r>
      <w:r w:rsidRPr="00B25726">
        <w:rPr>
          <w:rFonts w:ascii="Cambria Math" w:hAnsi="Cambria Math" w:cs="Cambria Math"/>
        </w:rPr>
        <w:t>‑</w:t>
      </w:r>
      <w:r w:rsidRPr="00B25726">
        <w:rPr>
          <w:rFonts w:ascii="Calibri" w:hAnsi="Calibri" w:cs="Calibri"/>
        </w:rPr>
        <w:t>based sampling should be considered, particularly during periods of elevated recharge and hydrological instability.</w:t>
      </w:r>
    </w:p>
    <w:p w14:paraId="64E239E8" w14:textId="608B3487" w:rsidR="00B25726" w:rsidRPr="00B25726" w:rsidRDefault="00B25726" w:rsidP="00B25726">
      <w:pPr>
        <w:jc w:val="both"/>
        <w:rPr>
          <w:rFonts w:ascii="Calibri" w:hAnsi="Calibri" w:cs="Calibri"/>
        </w:rPr>
      </w:pPr>
      <w:r w:rsidRPr="00B25726">
        <w:rPr>
          <w:rFonts w:ascii="Calibri" w:hAnsi="Calibri" w:cs="Calibri"/>
        </w:rPr>
        <w:t>At the institutional level, monitoring arrangements should be embedded within a joint groundwater monitoring system coordinated by the competent water authorities and agencies of the Republic of Croatia and the Federation of Bosnia and Herzegovina. Such a system should clearly define shared responsibilities, including:</w:t>
      </w:r>
    </w:p>
    <w:p w14:paraId="55D46913" w14:textId="77777777" w:rsidR="00B25726" w:rsidRPr="00B25726" w:rsidRDefault="00B25726" w:rsidP="00B25726">
      <w:pPr>
        <w:pStyle w:val="ListParagraph"/>
        <w:numPr>
          <w:ilvl w:val="0"/>
          <w:numId w:val="147"/>
        </w:numPr>
        <w:jc w:val="both"/>
        <w:rPr>
          <w:rFonts w:ascii="Calibri" w:hAnsi="Calibri" w:cs="Calibri"/>
        </w:rPr>
      </w:pPr>
      <w:r w:rsidRPr="00B25726">
        <w:rPr>
          <w:rFonts w:ascii="Calibri" w:hAnsi="Calibri" w:cs="Calibri"/>
        </w:rPr>
        <w:t>joint planning of monitoring locations, ensuring appropriate coverage of transboundary groundwater flow paths and shared receptors;</w:t>
      </w:r>
    </w:p>
    <w:p w14:paraId="50CFD80A" w14:textId="77777777" w:rsidR="00B25726" w:rsidRPr="00B25726" w:rsidRDefault="00B25726" w:rsidP="00B25726">
      <w:pPr>
        <w:pStyle w:val="ListParagraph"/>
        <w:numPr>
          <w:ilvl w:val="0"/>
          <w:numId w:val="147"/>
        </w:numPr>
        <w:jc w:val="both"/>
        <w:rPr>
          <w:rFonts w:ascii="Calibri" w:hAnsi="Calibri" w:cs="Calibri"/>
        </w:rPr>
      </w:pPr>
      <w:r w:rsidRPr="00B25726">
        <w:rPr>
          <w:rFonts w:ascii="Calibri" w:hAnsi="Calibri" w:cs="Calibri"/>
        </w:rPr>
        <w:t>harmonised sampling, analytical, and quality</w:t>
      </w:r>
      <w:r w:rsidRPr="00B25726">
        <w:rPr>
          <w:rFonts w:ascii="Cambria Math" w:hAnsi="Cambria Math" w:cs="Cambria Math"/>
        </w:rPr>
        <w:t>‑</w:t>
      </w:r>
      <w:r w:rsidRPr="00B25726">
        <w:rPr>
          <w:rFonts w:ascii="Calibri" w:hAnsi="Calibri" w:cs="Calibri"/>
        </w:rPr>
        <w:t>control protocols, enabling direct comparability and joint interpretation of results;</w:t>
      </w:r>
    </w:p>
    <w:p w14:paraId="509FE52D" w14:textId="77777777" w:rsidR="00B25726" w:rsidRPr="00B25726" w:rsidRDefault="00B25726" w:rsidP="00B25726">
      <w:pPr>
        <w:pStyle w:val="ListParagraph"/>
        <w:numPr>
          <w:ilvl w:val="0"/>
          <w:numId w:val="147"/>
        </w:numPr>
        <w:jc w:val="both"/>
        <w:rPr>
          <w:rFonts w:ascii="Calibri" w:hAnsi="Calibri" w:cs="Calibri"/>
        </w:rPr>
      </w:pPr>
      <w:r w:rsidRPr="00B25726">
        <w:rPr>
          <w:rFonts w:ascii="Calibri" w:hAnsi="Calibri" w:cs="Calibri"/>
        </w:rPr>
        <w:t>shared data management, evaluation, and reporting, supported by a common information platform accessible to relevant institutions in both countries; and</w:t>
      </w:r>
    </w:p>
    <w:p w14:paraId="2127DE9E" w14:textId="77777777" w:rsidR="00B25726" w:rsidRPr="00B25726" w:rsidRDefault="00B25726" w:rsidP="00B25726">
      <w:pPr>
        <w:pStyle w:val="ListParagraph"/>
        <w:numPr>
          <w:ilvl w:val="0"/>
          <w:numId w:val="147"/>
        </w:numPr>
        <w:jc w:val="both"/>
        <w:rPr>
          <w:rFonts w:ascii="Calibri" w:hAnsi="Calibri" w:cs="Calibri"/>
        </w:rPr>
      </w:pPr>
      <w:r w:rsidRPr="00B25726">
        <w:rPr>
          <w:rFonts w:ascii="Calibri" w:hAnsi="Calibri" w:cs="Calibri"/>
        </w:rPr>
        <w:t>establishment of early</w:t>
      </w:r>
      <w:r w:rsidRPr="00B25726">
        <w:rPr>
          <w:rFonts w:ascii="Cambria Math" w:hAnsi="Cambria Math" w:cs="Cambria Math"/>
        </w:rPr>
        <w:t>‑</w:t>
      </w:r>
      <w:r w:rsidRPr="00B25726">
        <w:rPr>
          <w:rFonts w:ascii="Calibri" w:hAnsi="Calibri" w:cs="Calibri"/>
        </w:rPr>
        <w:t>warning and coordinated response mechanisms, allowing timely communication and joint action if monitoring indicates deterioration of groundwater quality or emerging risks.</w:t>
      </w:r>
    </w:p>
    <w:p w14:paraId="11942320" w14:textId="77777777" w:rsidR="00B25726" w:rsidRPr="00B25726" w:rsidRDefault="00B25726" w:rsidP="00B25726">
      <w:pPr>
        <w:jc w:val="both"/>
        <w:rPr>
          <w:rFonts w:ascii="Calibri" w:hAnsi="Calibri" w:cs="Calibri"/>
        </w:rPr>
      </w:pPr>
    </w:p>
    <w:p w14:paraId="5CDA0428" w14:textId="0B3A2477" w:rsidR="00B610D1" w:rsidRPr="007E272A" w:rsidRDefault="00B25726" w:rsidP="00B25726">
      <w:pPr>
        <w:jc w:val="both"/>
        <w:rPr>
          <w:rFonts w:ascii="Calibri" w:hAnsi="Calibri" w:cs="Calibri"/>
        </w:rPr>
      </w:pPr>
      <w:r w:rsidRPr="00B25726">
        <w:rPr>
          <w:rFonts w:ascii="Calibri" w:hAnsi="Calibri" w:cs="Calibri"/>
        </w:rPr>
        <w:lastRenderedPageBreak/>
        <w:t>The establishment of such an institutional and technical framework would significantly strengthen the capacity of both countries to evaluate, manage, and mitigate risks associated with subsurface wastewater discharge, while supporting the long</w:t>
      </w:r>
      <w:r w:rsidRPr="00B25726">
        <w:rPr>
          <w:rFonts w:ascii="Cambria Math" w:hAnsi="Cambria Math" w:cs="Cambria Math"/>
        </w:rPr>
        <w:t>‑</w:t>
      </w:r>
      <w:r w:rsidRPr="00B25726">
        <w:rPr>
          <w:rFonts w:ascii="Calibri" w:hAnsi="Calibri" w:cs="Calibri"/>
        </w:rPr>
        <w:t>term protection of shared groundwater resources within Neretva TBA.</w:t>
      </w:r>
    </w:p>
    <w:p w14:paraId="32DE6A6B" w14:textId="3B8C2BA5" w:rsidR="00B610D1" w:rsidRPr="007E272A" w:rsidRDefault="00B610D1" w:rsidP="00B610D1">
      <w:pPr>
        <w:jc w:val="both"/>
        <w:rPr>
          <w:rFonts w:ascii="Calibri" w:hAnsi="Calibri" w:cs="Calibri"/>
        </w:rPr>
      </w:pPr>
      <w:r w:rsidRPr="007E272A">
        <w:rPr>
          <w:rFonts w:ascii="Calibri" w:hAnsi="Calibri" w:cs="Calibri"/>
        </w:rPr>
        <w:t>A risk</w:t>
      </w:r>
      <w:r w:rsidRPr="007E272A">
        <w:rPr>
          <w:rFonts w:ascii="Calibri" w:hAnsi="Calibri" w:cs="Calibri"/>
        </w:rPr>
        <w:noBreakHyphen/>
        <w:t>based approach to subsurface discharge, aligned with the planning and operational principles of managed aquifer recharge (MAR) systems, provides a structured pathway for decision</w:t>
      </w:r>
      <w:r w:rsidRPr="007E272A">
        <w:rPr>
          <w:rFonts w:ascii="Calibri" w:hAnsi="Calibri" w:cs="Calibri"/>
        </w:rPr>
        <w:noBreakHyphen/>
        <w:t xml:space="preserve">making. The approach illustrated in Figure </w:t>
      </w:r>
      <w:r>
        <w:rPr>
          <w:rFonts w:ascii="Calibri" w:hAnsi="Calibri" w:cs="Calibri"/>
        </w:rPr>
        <w:t>9.3.1</w:t>
      </w:r>
      <w:r w:rsidRPr="007E272A">
        <w:rPr>
          <w:rFonts w:ascii="Calibri" w:hAnsi="Calibri" w:cs="Calibri"/>
        </w:rPr>
        <w:t xml:space="preserve"> can be adapted for </w:t>
      </w:r>
      <w:r w:rsidR="006D4AB8">
        <w:rPr>
          <w:rFonts w:ascii="Calibri" w:hAnsi="Calibri" w:cs="Calibri"/>
        </w:rPr>
        <w:t>Neretva</w:t>
      </w:r>
      <w:r w:rsidRPr="007E272A">
        <w:rPr>
          <w:rFonts w:ascii="Calibri" w:hAnsi="Calibri" w:cs="Calibri"/>
        </w:rPr>
        <w:t xml:space="preserve"> TBA and organised into several key phases:</w:t>
      </w:r>
    </w:p>
    <w:p w14:paraId="19A55654" w14:textId="77777777" w:rsidR="00B610D1" w:rsidRPr="005F058B" w:rsidRDefault="00B610D1" w:rsidP="00B610D1">
      <w:pPr>
        <w:jc w:val="both"/>
        <w:rPr>
          <w:rFonts w:ascii="Calibri" w:hAnsi="Calibri" w:cs="Calibri"/>
          <w:color w:val="0070C0"/>
        </w:rPr>
      </w:pPr>
      <w:r w:rsidRPr="005F058B">
        <w:rPr>
          <w:rFonts w:ascii="Calibri" w:hAnsi="Calibri" w:cs="Calibri"/>
          <w:color w:val="0070C0"/>
        </w:rPr>
        <w:t>Phase I. (Planning)</w:t>
      </w:r>
    </w:p>
    <w:p w14:paraId="76ED849E" w14:textId="77777777" w:rsidR="00B610D1" w:rsidRPr="007E272A" w:rsidRDefault="00B610D1" w:rsidP="00B610D1">
      <w:pPr>
        <w:jc w:val="both"/>
        <w:rPr>
          <w:rFonts w:ascii="Calibri" w:hAnsi="Calibri" w:cs="Calibri"/>
        </w:rPr>
      </w:pPr>
      <w:r w:rsidRPr="00AA4E40">
        <w:rPr>
          <w:rFonts w:ascii="Calibri" w:hAnsi="Calibri" w:cs="Calibri"/>
          <w:u w:val="single"/>
        </w:rPr>
        <w:t>1. Preliminary assessment and site screening.</w:t>
      </w:r>
      <w:r w:rsidRPr="007E272A">
        <w:rPr>
          <w:rFonts w:ascii="Calibri" w:hAnsi="Calibri" w:cs="Calibri"/>
        </w:rPr>
        <w:t xml:space="preserve"> This phase involves identifying potential infiltration locations and evaluating their basic suitability based on geological, hydrogeological, and environmental criteria. Areas with thin or absent unsaturated zones, direct karst features, or proximity to drinking</w:t>
      </w:r>
      <w:r w:rsidRPr="007E272A">
        <w:rPr>
          <w:rFonts w:ascii="Calibri" w:hAnsi="Calibri" w:cs="Calibri"/>
        </w:rPr>
        <w:noBreakHyphen/>
        <w:t>water sources should be excluded at this stage.</w:t>
      </w:r>
    </w:p>
    <w:p w14:paraId="110592C5" w14:textId="77777777" w:rsidR="00B610D1" w:rsidRDefault="00B610D1" w:rsidP="00B610D1">
      <w:pPr>
        <w:jc w:val="both"/>
        <w:rPr>
          <w:rFonts w:ascii="Calibri" w:hAnsi="Calibri" w:cs="Calibri"/>
        </w:rPr>
      </w:pPr>
      <w:r w:rsidRPr="00AA4E40">
        <w:rPr>
          <w:rFonts w:ascii="Calibri" w:hAnsi="Calibri" w:cs="Calibri"/>
          <w:u w:val="single"/>
        </w:rPr>
        <w:t>2. Development of a conceptual model and risk identification.</w:t>
      </w:r>
      <w:r w:rsidRPr="007E272A">
        <w:rPr>
          <w:rFonts w:ascii="Calibri" w:hAnsi="Calibri" w:cs="Calibri"/>
        </w:rPr>
        <w:t xml:space="preserve"> A detailed conceptual model is prepared to identify potential hazards, exposure pathways, and receptors. Risks to human health, groundwater status, and dependent ecosystems are characterised, considering the specific behaviour of karst aquifers.</w:t>
      </w:r>
    </w:p>
    <w:p w14:paraId="1DDC3C4D" w14:textId="77777777" w:rsidR="00B610D1" w:rsidRPr="005F058B" w:rsidRDefault="00B610D1" w:rsidP="00B610D1">
      <w:pPr>
        <w:jc w:val="both"/>
        <w:rPr>
          <w:rFonts w:ascii="Calibri" w:hAnsi="Calibri" w:cs="Calibri"/>
          <w:color w:val="0070C0"/>
        </w:rPr>
      </w:pPr>
      <w:r w:rsidRPr="005F058B">
        <w:rPr>
          <w:rFonts w:ascii="Calibri" w:hAnsi="Calibri" w:cs="Calibri"/>
          <w:color w:val="0070C0"/>
        </w:rPr>
        <w:t>Phase II. (Design)</w:t>
      </w:r>
    </w:p>
    <w:p w14:paraId="25021A4F" w14:textId="77777777" w:rsidR="00B610D1" w:rsidRPr="007E272A" w:rsidRDefault="00B610D1" w:rsidP="00B610D1">
      <w:pPr>
        <w:jc w:val="both"/>
        <w:rPr>
          <w:rFonts w:ascii="Calibri" w:hAnsi="Calibri" w:cs="Calibri"/>
        </w:rPr>
      </w:pPr>
      <w:r w:rsidRPr="00AA4E40">
        <w:rPr>
          <w:rFonts w:ascii="Calibri" w:hAnsi="Calibri" w:cs="Calibri"/>
          <w:u w:val="single"/>
        </w:rPr>
        <w:t>3. Detailed investigation and design.</w:t>
      </w:r>
      <w:r w:rsidRPr="007E272A">
        <w:rPr>
          <w:rFonts w:ascii="Calibri" w:hAnsi="Calibri" w:cs="Calibri"/>
        </w:rPr>
        <w:t xml:space="preserve"> Hydrogeological testing, infiltration trials, and modelling are conducted to quantify infiltration capacity, travel times, and </w:t>
      </w:r>
      <w:r>
        <w:rPr>
          <w:rFonts w:ascii="Calibri" w:hAnsi="Calibri" w:cs="Calibri"/>
        </w:rPr>
        <w:t xml:space="preserve">natural </w:t>
      </w:r>
      <w:r w:rsidRPr="007E272A">
        <w:rPr>
          <w:rFonts w:ascii="Calibri" w:hAnsi="Calibri" w:cs="Calibri"/>
        </w:rPr>
        <w:t>attenuation</w:t>
      </w:r>
      <w:r>
        <w:rPr>
          <w:rFonts w:ascii="Calibri" w:hAnsi="Calibri" w:cs="Calibri"/>
        </w:rPr>
        <w:t xml:space="preserve"> (SAT)</w:t>
      </w:r>
      <w:r w:rsidRPr="007E272A">
        <w:rPr>
          <w:rFonts w:ascii="Calibri" w:hAnsi="Calibri" w:cs="Calibri"/>
        </w:rPr>
        <w:t xml:space="preserve"> processes. Engineering design of infiltration structures is developed to minimise clogging, ensure operational reliability, and maintain adequate residence time in the subsurface.</w:t>
      </w:r>
    </w:p>
    <w:p w14:paraId="5CB81559" w14:textId="77777777" w:rsidR="00B610D1" w:rsidRPr="007E272A" w:rsidRDefault="00B610D1" w:rsidP="00B610D1">
      <w:pPr>
        <w:jc w:val="both"/>
        <w:rPr>
          <w:rFonts w:ascii="Calibri" w:hAnsi="Calibri" w:cs="Calibri"/>
        </w:rPr>
      </w:pPr>
      <w:r w:rsidRPr="00AA4E40">
        <w:rPr>
          <w:rFonts w:ascii="Calibri" w:hAnsi="Calibri" w:cs="Calibri"/>
          <w:u w:val="single"/>
        </w:rPr>
        <w:t>4. Risk evaluation and decision</w:t>
      </w:r>
      <w:r w:rsidRPr="00AA4E40">
        <w:rPr>
          <w:rFonts w:ascii="Calibri" w:hAnsi="Calibri" w:cs="Calibri"/>
          <w:u w:val="single"/>
        </w:rPr>
        <w:noBreakHyphen/>
        <w:t>making.</w:t>
      </w:r>
      <w:r w:rsidRPr="007E272A">
        <w:rPr>
          <w:rFonts w:ascii="Calibri" w:hAnsi="Calibri" w:cs="Calibri"/>
        </w:rPr>
        <w:t xml:space="preserve"> Risks are evaluated against regulatory requirements and acceptable </w:t>
      </w:r>
      <w:r>
        <w:rPr>
          <w:rFonts w:ascii="Calibri" w:hAnsi="Calibri" w:cs="Calibri"/>
        </w:rPr>
        <w:t>reference values/</w:t>
      </w:r>
      <w:r w:rsidRPr="007E272A">
        <w:rPr>
          <w:rFonts w:ascii="Calibri" w:hAnsi="Calibri" w:cs="Calibri"/>
        </w:rPr>
        <w:t>thresholds. If risks cannot be mitigated to an acceptable level, the project should not proceed. If risks are manageable, conditions for permitting are defined, including operational limits and monitoring obligations.</w:t>
      </w:r>
    </w:p>
    <w:p w14:paraId="1D17F092" w14:textId="77777777" w:rsidR="00B610D1" w:rsidRPr="005F058B" w:rsidRDefault="00B610D1" w:rsidP="00B610D1">
      <w:pPr>
        <w:jc w:val="both"/>
        <w:rPr>
          <w:rFonts w:ascii="Calibri" w:hAnsi="Calibri" w:cs="Calibri"/>
          <w:color w:val="0070C0"/>
        </w:rPr>
      </w:pPr>
      <w:r w:rsidRPr="005F058B">
        <w:rPr>
          <w:rFonts w:ascii="Calibri" w:hAnsi="Calibri" w:cs="Calibri"/>
          <w:color w:val="0070C0"/>
        </w:rPr>
        <w:t>Phase III. (Operation)</w:t>
      </w:r>
    </w:p>
    <w:p w14:paraId="3A74C078" w14:textId="763B85C3" w:rsidR="00B610D1" w:rsidRPr="00B25726" w:rsidRDefault="00B25726" w:rsidP="00B25726">
      <w:pPr>
        <w:jc w:val="both"/>
        <w:rPr>
          <w:rFonts w:ascii="Calibri" w:hAnsi="Calibri" w:cs="Calibri"/>
        </w:rPr>
      </w:pPr>
      <w:r>
        <w:rPr>
          <w:rFonts w:ascii="Calibri" w:hAnsi="Calibri" w:cs="Calibri"/>
          <w:u w:val="single"/>
        </w:rPr>
        <w:t xml:space="preserve">5. </w:t>
      </w:r>
      <w:r w:rsidR="00B610D1" w:rsidRPr="00B25726">
        <w:rPr>
          <w:rFonts w:ascii="Calibri" w:hAnsi="Calibri" w:cs="Calibri"/>
          <w:u w:val="single"/>
        </w:rPr>
        <w:t>Implementation, monitoring, and adaptive management.</w:t>
      </w:r>
      <w:r w:rsidR="00B610D1" w:rsidRPr="00B25726">
        <w:rPr>
          <w:rFonts w:ascii="Calibri" w:hAnsi="Calibri" w:cs="Calibri"/>
        </w:rPr>
        <w:t xml:space="preserve"> During operation, continuous monitoring is carried out at compliance points. Results are regularly reviewed, and operational adjustments are made as needed. If monitoring indicates unacceptable impacts, infiltration must be reduced or suspended.</w:t>
      </w:r>
    </w:p>
    <w:p w14:paraId="5D6754B7" w14:textId="77777777" w:rsidR="006D4AB8" w:rsidRPr="006D4AB8" w:rsidRDefault="006D4AB8" w:rsidP="006D4AB8">
      <w:pPr>
        <w:ind w:left="360"/>
        <w:jc w:val="both"/>
        <w:rPr>
          <w:rFonts w:ascii="Calibri" w:hAnsi="Calibri" w:cs="Calibri"/>
        </w:rPr>
      </w:pPr>
    </w:p>
    <w:p w14:paraId="2C08949C" w14:textId="77777777" w:rsidR="00B610D1" w:rsidRDefault="00B610D1" w:rsidP="00B610D1">
      <w:pPr>
        <w:keepNext/>
        <w:jc w:val="both"/>
      </w:pPr>
      <w:r>
        <w:rPr>
          <w:rFonts w:ascii="Calibri" w:hAnsi="Calibri" w:cs="Calibri"/>
          <w:i/>
          <w:iCs/>
          <w:noProof/>
        </w:rPr>
        <w:lastRenderedPageBreak/>
        <w:drawing>
          <wp:inline distT="0" distB="0" distL="0" distR="0" wp14:anchorId="0BECB643" wp14:editId="1318F0CC">
            <wp:extent cx="5760720" cy="3049905"/>
            <wp:effectExtent l="0" t="0" r="0" b="0"/>
            <wp:docPr id="1325081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081816" name="Picture 132508181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60720" cy="3049905"/>
                    </a:xfrm>
                    <a:prstGeom prst="rect">
                      <a:avLst/>
                    </a:prstGeom>
                  </pic:spPr>
                </pic:pic>
              </a:graphicData>
            </a:graphic>
          </wp:inline>
        </w:drawing>
      </w:r>
    </w:p>
    <w:p w14:paraId="6039F66B" w14:textId="0D2AD8E0" w:rsidR="00B610D1" w:rsidRPr="0040274F" w:rsidRDefault="002F4776" w:rsidP="002F4776">
      <w:pPr>
        <w:pStyle w:val="Caption"/>
        <w:rPr>
          <w:sz w:val="22"/>
          <w:szCs w:val="22"/>
        </w:rPr>
      </w:pPr>
      <w:bookmarkStart w:id="206" w:name="_Toc229037715"/>
      <w:r>
        <w:t xml:space="preserve">Figure </w:t>
      </w:r>
      <w:r>
        <w:fldChar w:fldCharType="begin"/>
      </w:r>
      <w:r>
        <w:instrText xml:space="preserve"> SEQ Figure \* ARABIC </w:instrText>
      </w:r>
      <w:r>
        <w:fldChar w:fldCharType="separate"/>
      </w:r>
      <w:r>
        <w:rPr>
          <w:noProof/>
        </w:rPr>
        <w:t>10</w:t>
      </w:r>
      <w:r>
        <w:fldChar w:fldCharType="end"/>
      </w:r>
      <w:r>
        <w:t xml:space="preserve"> </w:t>
      </w:r>
      <w:r w:rsidRPr="00BD6886">
        <w:t>Risk based approach for planning, design, and operation of MAR systems with treated wastewater in Neretva TBA (modified according to Yuan et al., 2016)</w:t>
      </w:r>
      <w:bookmarkEnd w:id="206"/>
    </w:p>
    <w:p w14:paraId="3CD239C4" w14:textId="10CF436E" w:rsidR="00B25726" w:rsidRPr="00B25726" w:rsidRDefault="00B25726" w:rsidP="00B25726">
      <w:pPr>
        <w:jc w:val="both"/>
        <w:rPr>
          <w:rFonts w:ascii="Calibri" w:hAnsi="Calibri" w:cs="Calibri"/>
        </w:rPr>
      </w:pPr>
      <w:r w:rsidRPr="00B25726">
        <w:rPr>
          <w:rFonts w:ascii="Calibri" w:hAnsi="Calibri" w:cs="Calibri"/>
        </w:rPr>
        <w:t>There is a clear need for a cautious and evidence</w:t>
      </w:r>
      <w:r w:rsidRPr="00B25726">
        <w:rPr>
          <w:rFonts w:ascii="Cambria Math" w:hAnsi="Cambria Math" w:cs="Cambria Math"/>
        </w:rPr>
        <w:t>‑</w:t>
      </w:r>
      <w:r w:rsidRPr="00B25726">
        <w:rPr>
          <w:rFonts w:ascii="Calibri" w:hAnsi="Calibri" w:cs="Calibri"/>
        </w:rPr>
        <w:t>based approach to subsurface discharge of treated wastewater within Neretva TBA. Owing to the pronounced vulnerability of this karst system, decisions regarding subsurface discharge must be grounded in sound hydrogeological understanding and supported by robust technical justification. Key elements of such an approach include a detailed understanding of karst hydrogeology based on conceptual modelling, a monitoring framework adapted to rapid groundwater flow and limited natural attenuation, and a structured risk</w:t>
      </w:r>
      <w:r w:rsidRPr="00B25726">
        <w:rPr>
          <w:rFonts w:ascii="Cambria Math" w:hAnsi="Cambria Math" w:cs="Cambria Math"/>
        </w:rPr>
        <w:t>‑</w:t>
      </w:r>
      <w:r w:rsidRPr="00B25726">
        <w:rPr>
          <w:rFonts w:ascii="Calibri" w:hAnsi="Calibri" w:cs="Calibri"/>
        </w:rPr>
        <w:t>based process that guides decision</w:t>
      </w:r>
      <w:r w:rsidRPr="00B25726">
        <w:rPr>
          <w:rFonts w:ascii="Cambria Math" w:hAnsi="Cambria Math" w:cs="Cambria Math"/>
        </w:rPr>
        <w:t>‑</w:t>
      </w:r>
      <w:r w:rsidRPr="00B25726">
        <w:rPr>
          <w:rFonts w:ascii="Calibri" w:hAnsi="Calibri" w:cs="Calibri"/>
        </w:rPr>
        <w:t>making from initial screening through permitting, operational control, and long</w:t>
      </w:r>
      <w:r w:rsidRPr="00B25726">
        <w:rPr>
          <w:rFonts w:ascii="Cambria Math" w:hAnsi="Cambria Math" w:cs="Cambria Math"/>
        </w:rPr>
        <w:t>‑</w:t>
      </w:r>
      <w:r w:rsidRPr="00B25726">
        <w:rPr>
          <w:rFonts w:ascii="Calibri" w:hAnsi="Calibri" w:cs="Calibri"/>
        </w:rPr>
        <w:t>term performance evaluation. Taken together, these elements provide a practical and scientifically founded basis for assessing whether subsurface discharge can be safely considered within this highly sensitive transboundary aquifer.</w:t>
      </w:r>
    </w:p>
    <w:p w14:paraId="67FEDDA1" w14:textId="77777777" w:rsidR="00B25726" w:rsidRPr="00B25726" w:rsidRDefault="00B25726" w:rsidP="00B25726">
      <w:pPr>
        <w:jc w:val="both"/>
        <w:rPr>
          <w:rFonts w:ascii="Calibri" w:hAnsi="Calibri" w:cs="Calibri"/>
        </w:rPr>
      </w:pPr>
      <w:r w:rsidRPr="00B25726">
        <w:rPr>
          <w:rFonts w:ascii="Calibri" w:hAnsi="Calibri" w:cs="Calibri"/>
        </w:rPr>
        <w:t>In this context, it is important to note that Croatia has recently initiated the drafting of a technical document elaborating criteria for indirect discharges into groundwater. According to the draft, individual wastewater treatment systems with a load of up to 50 population equivalents (PE) are envisaged in situations where connection to a public sewerage system or the use of conventional septic tanks does not represent a feasible or optimal solution aligned with user capacities, or as a temporary measure until a centralized wastewater collection and treatment system is established. In areas without centralized sewerage infrastructure, individual wastewater solutions are to be defined in relation to the treatment capacity and planning framework of the relevant agglomerations.</w:t>
      </w:r>
    </w:p>
    <w:p w14:paraId="378969FE" w14:textId="77777777" w:rsidR="00B25726" w:rsidRPr="00B25726" w:rsidRDefault="00B25726" w:rsidP="00B25726">
      <w:pPr>
        <w:jc w:val="both"/>
        <w:rPr>
          <w:rFonts w:ascii="Calibri" w:hAnsi="Calibri" w:cs="Calibri"/>
        </w:rPr>
      </w:pPr>
      <w:r w:rsidRPr="00B25726">
        <w:rPr>
          <w:rFonts w:ascii="Calibri" w:hAnsi="Calibri" w:cs="Calibri"/>
        </w:rPr>
        <w:t>The draft further requires that potential natural receiving bodies be assessed in advance and that water bodies already subject to pressure or environmental sensitivity be clearly identified. Treatment requirements for small</w:t>
      </w:r>
      <w:r w:rsidRPr="00B25726">
        <w:rPr>
          <w:rFonts w:ascii="Cambria Math" w:hAnsi="Cambria Math" w:cs="Cambria Math"/>
        </w:rPr>
        <w:t>‑</w:t>
      </w:r>
      <w:r w:rsidRPr="00B25726">
        <w:rPr>
          <w:rFonts w:ascii="Calibri" w:hAnsi="Calibri" w:cs="Calibri"/>
        </w:rPr>
        <w:t>scale systems are to be determined based on site</w:t>
      </w:r>
      <w:r w:rsidRPr="00B25726">
        <w:rPr>
          <w:rFonts w:ascii="Cambria Math" w:hAnsi="Cambria Math" w:cs="Cambria Math"/>
        </w:rPr>
        <w:t>‑</w:t>
      </w:r>
      <w:r w:rsidRPr="00B25726">
        <w:rPr>
          <w:rFonts w:ascii="Calibri" w:hAnsi="Calibri" w:cs="Calibri"/>
        </w:rPr>
        <w:t>specific conditions, including location, agglomeration size, environmental sensitivity, and hydrogeological context, and must be supported by a comprehensive cost analysis to ensure long</w:t>
      </w:r>
      <w:r w:rsidRPr="00B25726">
        <w:rPr>
          <w:rFonts w:ascii="Cambria Math" w:hAnsi="Cambria Math" w:cs="Cambria Math"/>
        </w:rPr>
        <w:t>‑</w:t>
      </w:r>
      <w:r w:rsidRPr="00B25726">
        <w:rPr>
          <w:rFonts w:ascii="Calibri" w:hAnsi="Calibri" w:cs="Calibri"/>
        </w:rPr>
        <w:t>term technical and economic sustainability.</w:t>
      </w:r>
    </w:p>
    <w:p w14:paraId="61E2F209" w14:textId="7C51DA76" w:rsidR="0058620F" w:rsidRPr="0058620F" w:rsidRDefault="00B25726" w:rsidP="00B25726">
      <w:pPr>
        <w:jc w:val="both"/>
        <w:rPr>
          <w:lang w:val="hr-HR"/>
        </w:rPr>
      </w:pPr>
      <w:r w:rsidRPr="00B25726">
        <w:rPr>
          <w:rFonts w:ascii="Calibri" w:hAnsi="Calibri" w:cs="Calibri"/>
        </w:rPr>
        <w:t xml:space="preserve">It is also foreseen that individual wastewater systems with a capacity of up to 50 PE will not require separate impact assessments specifically addressing indirect groundwater discharges. Instead, </w:t>
      </w:r>
      <w:r w:rsidRPr="00B25726">
        <w:rPr>
          <w:rFonts w:ascii="Calibri" w:hAnsi="Calibri" w:cs="Calibri"/>
        </w:rPr>
        <w:lastRenderedPageBreak/>
        <w:t xml:space="preserve">wastewater management for such systems is to be defined through an appropriate feasibility study, demonstrating technical adequacy, environmental acceptability, and compliance with groundwater protection objectives. In highly vulnerable karst environments such as Neretva TBA, however, the application of these provisions requires </w:t>
      </w:r>
      <w:r w:rsidR="00B81641" w:rsidRPr="00B25726">
        <w:rPr>
          <w:rFonts w:ascii="Calibri" w:hAnsi="Calibri" w:cs="Calibri"/>
        </w:rPr>
        <w:t>caution</w:t>
      </w:r>
      <w:r w:rsidRPr="00B25726">
        <w:rPr>
          <w:rFonts w:ascii="Calibri" w:hAnsi="Calibri" w:cs="Calibri"/>
        </w:rPr>
        <w:t>, as the cumulative effects of numerous small</w:t>
      </w:r>
      <w:r w:rsidRPr="00B25726">
        <w:rPr>
          <w:rFonts w:ascii="Cambria Math" w:hAnsi="Cambria Math" w:cs="Cambria Math"/>
        </w:rPr>
        <w:t>‑</w:t>
      </w:r>
      <w:r w:rsidRPr="00B25726">
        <w:rPr>
          <w:rFonts w:ascii="Calibri" w:hAnsi="Calibri" w:cs="Calibri"/>
        </w:rPr>
        <w:t xml:space="preserve">scale systems and the potential for rapid contaminant transport may pose risks that extend beyond the scale of individual installations and affect </w:t>
      </w:r>
      <w:r w:rsidR="00D35C1F">
        <w:rPr>
          <w:rFonts w:ascii="Calibri" w:hAnsi="Calibri" w:cs="Calibri"/>
        </w:rPr>
        <w:t>transboundary</w:t>
      </w:r>
      <w:r w:rsidRPr="00B25726">
        <w:rPr>
          <w:rFonts w:ascii="Calibri" w:hAnsi="Calibri" w:cs="Calibri"/>
        </w:rPr>
        <w:t xml:space="preserve"> groundwater resources.</w:t>
      </w:r>
    </w:p>
    <w:p w14:paraId="64FEF3A5" w14:textId="77777777" w:rsidR="0058620F" w:rsidRDefault="0058620F" w:rsidP="00B07AB7">
      <w:pPr>
        <w:pStyle w:val="Heading2"/>
      </w:pPr>
    </w:p>
    <w:p w14:paraId="7C2C16DC" w14:textId="0FCA0CBB" w:rsidR="00B07AB7" w:rsidRPr="00C46614" w:rsidRDefault="00B07AB7" w:rsidP="00B07AB7">
      <w:pPr>
        <w:pStyle w:val="Heading2"/>
        <w:rPr>
          <w:lang w:val="en-GB"/>
        </w:rPr>
      </w:pPr>
      <w:bookmarkStart w:id="207" w:name="_Toc229036282"/>
      <w:r w:rsidRPr="00C46614">
        <w:rPr>
          <w:lang w:val="en-GB"/>
        </w:rPr>
        <w:t>9.</w:t>
      </w:r>
      <w:r w:rsidR="00C46614" w:rsidRPr="00C46614">
        <w:rPr>
          <w:lang w:val="en-GB"/>
        </w:rPr>
        <w:t>4</w:t>
      </w:r>
      <w:r w:rsidRPr="00C46614">
        <w:rPr>
          <w:lang w:val="en-GB"/>
        </w:rPr>
        <w:t xml:space="preserve"> Prevention </w:t>
      </w:r>
      <w:r w:rsidR="00C46614">
        <w:rPr>
          <w:lang w:val="en-GB"/>
        </w:rPr>
        <w:t>a</w:t>
      </w:r>
      <w:r w:rsidRPr="00C46614">
        <w:rPr>
          <w:lang w:val="en-GB"/>
        </w:rPr>
        <w:t xml:space="preserve">nd </w:t>
      </w:r>
      <w:r w:rsidR="00C46614">
        <w:rPr>
          <w:lang w:val="en-GB"/>
        </w:rPr>
        <w:t>c</w:t>
      </w:r>
      <w:r w:rsidRPr="00C46614">
        <w:rPr>
          <w:lang w:val="en-GB"/>
        </w:rPr>
        <w:t xml:space="preserve">ontrol </w:t>
      </w:r>
      <w:r w:rsidR="00C46614">
        <w:rPr>
          <w:lang w:val="en-GB"/>
        </w:rPr>
        <w:t>o</w:t>
      </w:r>
      <w:r w:rsidRPr="00C46614">
        <w:rPr>
          <w:lang w:val="en-GB"/>
        </w:rPr>
        <w:t xml:space="preserve">f </w:t>
      </w:r>
      <w:r w:rsidR="00C46614">
        <w:rPr>
          <w:lang w:val="en-GB"/>
        </w:rPr>
        <w:t>p</w:t>
      </w:r>
      <w:r w:rsidRPr="00C46614">
        <w:rPr>
          <w:lang w:val="en-GB"/>
        </w:rPr>
        <w:t xml:space="preserve">oint </w:t>
      </w:r>
      <w:r w:rsidR="00C46614">
        <w:rPr>
          <w:lang w:val="en-GB"/>
        </w:rPr>
        <w:t>a</w:t>
      </w:r>
      <w:r w:rsidRPr="00C46614">
        <w:rPr>
          <w:lang w:val="en-GB"/>
        </w:rPr>
        <w:t xml:space="preserve">nd </w:t>
      </w:r>
      <w:r w:rsidR="00C46614">
        <w:rPr>
          <w:lang w:val="en-GB"/>
        </w:rPr>
        <w:t>n</w:t>
      </w:r>
      <w:r w:rsidRPr="00C46614">
        <w:rPr>
          <w:lang w:val="en-GB"/>
        </w:rPr>
        <w:t>on-</w:t>
      </w:r>
      <w:r w:rsidR="00C46614">
        <w:rPr>
          <w:lang w:val="en-GB"/>
        </w:rPr>
        <w:t>p</w:t>
      </w:r>
      <w:r w:rsidRPr="00C46614">
        <w:rPr>
          <w:lang w:val="en-GB"/>
        </w:rPr>
        <w:t xml:space="preserve">oint </w:t>
      </w:r>
      <w:r w:rsidR="00C46614">
        <w:rPr>
          <w:lang w:val="en-GB"/>
        </w:rPr>
        <w:t>p</w:t>
      </w:r>
      <w:r w:rsidRPr="00C46614">
        <w:rPr>
          <w:lang w:val="en-GB"/>
        </w:rPr>
        <w:t xml:space="preserve">ollution </w:t>
      </w:r>
      <w:r w:rsidR="00C46614">
        <w:rPr>
          <w:lang w:val="en-GB"/>
        </w:rPr>
        <w:t>a</w:t>
      </w:r>
      <w:r w:rsidRPr="00C46614">
        <w:rPr>
          <w:lang w:val="en-GB"/>
        </w:rPr>
        <w:t xml:space="preserve">ffecting </w:t>
      </w:r>
      <w:r w:rsidR="00C46614">
        <w:rPr>
          <w:lang w:val="en-GB"/>
        </w:rPr>
        <w:t>g</w:t>
      </w:r>
      <w:r w:rsidRPr="00C46614">
        <w:rPr>
          <w:lang w:val="en-GB"/>
        </w:rPr>
        <w:t xml:space="preserve">roundwater </w:t>
      </w:r>
      <w:r w:rsidR="00C46614">
        <w:rPr>
          <w:lang w:val="en-GB"/>
        </w:rPr>
        <w:t>q</w:t>
      </w:r>
      <w:r w:rsidRPr="00C46614">
        <w:rPr>
          <w:lang w:val="en-GB"/>
        </w:rPr>
        <w:t>uality</w:t>
      </w:r>
      <w:bookmarkEnd w:id="207"/>
    </w:p>
    <w:p w14:paraId="4275E1BE" w14:textId="4BE65532" w:rsidR="00B07AB7" w:rsidRDefault="00C46614" w:rsidP="00C46614">
      <w:pPr>
        <w:jc w:val="both"/>
      </w:pPr>
      <w:r w:rsidRPr="00C46614">
        <w:t>Both river basin management plans</w:t>
      </w:r>
      <w:r>
        <w:t xml:space="preserve"> - </w:t>
      </w:r>
      <w:r w:rsidRPr="00C46614">
        <w:t xml:space="preserve">the </w:t>
      </w:r>
      <w:r w:rsidR="00933E96">
        <w:t>T</w:t>
      </w:r>
      <w:r w:rsidRPr="00C46614">
        <w:t xml:space="preserve">hird River Basin Management Plan of the Republic of Croatia and the </w:t>
      </w:r>
      <w:r w:rsidR="00933E96">
        <w:t>S</w:t>
      </w:r>
      <w:r w:rsidRPr="00C46614">
        <w:t>econd Adriatic Sea River Basin Management Plan in the Federation of Bosnia and Herzegovina</w:t>
      </w:r>
      <w:r>
        <w:t xml:space="preserve"> - </w:t>
      </w:r>
      <w:r w:rsidRPr="00C46614">
        <w:t>define programmes of measures in line with the Water Framework Directive (WFD), including basic, additional, and supplementary measures. As the Croatian RBMP provides a more detailed elaboration, measures for controlling point and non</w:t>
      </w:r>
      <w:r w:rsidRPr="00C46614">
        <w:rPr>
          <w:rFonts w:ascii="Cambria Math" w:hAnsi="Cambria Math" w:cs="Cambria Math"/>
        </w:rPr>
        <w:t>‑</w:t>
      </w:r>
      <w:r w:rsidRPr="00C46614">
        <w:t xml:space="preserve">point (linear and diffuse) sources of pollution were largely based on this framework and adapted to the hydrogeological and transboundary context of the Neretva </w:t>
      </w:r>
      <w:r>
        <w:t>TBA</w:t>
      </w:r>
      <w:r w:rsidRPr="00C46614">
        <w:t>. The measures presented here focus on pressures affecting groundwater quality, while those related to groundwater abstraction and quantity are addressed separately.</w:t>
      </w:r>
    </w:p>
    <w:p w14:paraId="3F621E8C" w14:textId="0A560D65" w:rsidR="00B07AB7" w:rsidRPr="00C46614" w:rsidRDefault="00C46614" w:rsidP="00B07AB7">
      <w:pPr>
        <w:pStyle w:val="Heading3"/>
        <w:rPr>
          <w:lang w:val="en-GB"/>
        </w:rPr>
      </w:pPr>
      <w:bookmarkStart w:id="208" w:name="_Toc222653384"/>
      <w:bookmarkStart w:id="209" w:name="_Toc229036283"/>
      <w:r w:rsidRPr="00C46614">
        <w:rPr>
          <w:lang w:val="en-GB"/>
        </w:rPr>
        <w:t xml:space="preserve">9.4.1 </w:t>
      </w:r>
      <w:r w:rsidR="00B07AB7" w:rsidRPr="00C46614">
        <w:rPr>
          <w:lang w:val="en-GB"/>
        </w:rPr>
        <w:t xml:space="preserve">Control </w:t>
      </w:r>
      <w:r w:rsidRPr="00C46614">
        <w:rPr>
          <w:lang w:val="en-GB"/>
        </w:rPr>
        <w:t>m</w:t>
      </w:r>
      <w:r w:rsidR="00B07AB7" w:rsidRPr="00C46614">
        <w:rPr>
          <w:lang w:val="en-GB"/>
        </w:rPr>
        <w:t xml:space="preserve">easures </w:t>
      </w:r>
      <w:r w:rsidRPr="00C46614">
        <w:rPr>
          <w:lang w:val="en-GB"/>
        </w:rPr>
        <w:t>f</w:t>
      </w:r>
      <w:r w:rsidR="00B07AB7" w:rsidRPr="00C46614">
        <w:rPr>
          <w:lang w:val="en-GB"/>
        </w:rPr>
        <w:t xml:space="preserve">or </w:t>
      </w:r>
      <w:r w:rsidRPr="00C46614">
        <w:rPr>
          <w:lang w:val="en-GB"/>
        </w:rPr>
        <w:t>p</w:t>
      </w:r>
      <w:r w:rsidR="00B07AB7" w:rsidRPr="00C46614">
        <w:rPr>
          <w:lang w:val="en-GB"/>
        </w:rPr>
        <w:t xml:space="preserve">oint </w:t>
      </w:r>
      <w:r w:rsidRPr="00C46614">
        <w:rPr>
          <w:lang w:val="en-GB"/>
        </w:rPr>
        <w:t>s</w:t>
      </w:r>
      <w:r w:rsidR="00B07AB7" w:rsidRPr="00C46614">
        <w:rPr>
          <w:lang w:val="en-GB"/>
        </w:rPr>
        <w:t xml:space="preserve">ources </w:t>
      </w:r>
      <w:r w:rsidRPr="00C46614">
        <w:rPr>
          <w:lang w:val="en-GB"/>
        </w:rPr>
        <w:t>o</w:t>
      </w:r>
      <w:r w:rsidR="00B07AB7" w:rsidRPr="00C46614">
        <w:rPr>
          <w:lang w:val="en-GB"/>
        </w:rPr>
        <w:t xml:space="preserve">f </w:t>
      </w:r>
      <w:bookmarkEnd w:id="208"/>
      <w:r w:rsidRPr="00C46614">
        <w:rPr>
          <w:lang w:val="en-GB"/>
        </w:rPr>
        <w:t>pollution</w:t>
      </w:r>
      <w:bookmarkEnd w:id="209"/>
    </w:p>
    <w:p w14:paraId="4B8EBDB5" w14:textId="77777777" w:rsidR="00C46614" w:rsidRPr="00C46614" w:rsidRDefault="00C46614" w:rsidP="00C46614">
      <w:pPr>
        <w:jc w:val="both"/>
        <w:rPr>
          <w:rFonts w:ascii="Calibri" w:hAnsi="Calibri" w:cs="Calibri"/>
        </w:rPr>
      </w:pPr>
      <w:bookmarkStart w:id="210" w:name="_Hlk222590023"/>
      <w:r w:rsidRPr="00C46614">
        <w:rPr>
          <w:rFonts w:ascii="Calibri" w:hAnsi="Calibri" w:cs="Calibri"/>
        </w:rPr>
        <w:t>Point</w:t>
      </w:r>
      <w:r w:rsidRPr="00C46614">
        <w:rPr>
          <w:rFonts w:ascii="Cambria Math" w:hAnsi="Cambria Math" w:cs="Cambria Math"/>
        </w:rPr>
        <w:t>‑</w:t>
      </w:r>
      <w:r w:rsidRPr="00C46614">
        <w:rPr>
          <w:rFonts w:ascii="Calibri" w:hAnsi="Calibri" w:cs="Calibri"/>
        </w:rPr>
        <w:t>source pollution control measures are intended to prevent or reduce the discharge of contaminants from identifiable sources, such as industrial facilities and municipal wastewater treatment plants, into groundwater systems.</w:t>
      </w:r>
    </w:p>
    <w:p w14:paraId="3E1096E8" w14:textId="403EBB28" w:rsidR="00C46614" w:rsidRPr="00C46614" w:rsidRDefault="00C46614" w:rsidP="00C46614">
      <w:pPr>
        <w:jc w:val="both"/>
        <w:rPr>
          <w:rFonts w:ascii="Calibri" w:hAnsi="Calibri" w:cs="Calibri"/>
        </w:rPr>
      </w:pPr>
      <w:r w:rsidRPr="00C46614">
        <w:rPr>
          <w:rFonts w:ascii="Calibri" w:hAnsi="Calibri" w:cs="Calibri"/>
        </w:rPr>
        <w:t>Basic measures for controlling pollution from point sources are based on the principles of pollution prevention at source, the combined approach, and the polluter pays principle. Discharges are regulated through water permits or environmental permits, which define conditions for wastewater discharge, including permitted quantities, emission limit values, monitoring and reporting obligations, and applicable exemptions. These requirements apply to all municipal, industrial, and other wastewater discharges subject to prescribed emission limit values, which are established for individual pollutants or groups of pollutants.</w:t>
      </w:r>
    </w:p>
    <w:p w14:paraId="1D7A0711" w14:textId="5941542E" w:rsidR="00C46614" w:rsidRPr="00C46614" w:rsidRDefault="00C46614" w:rsidP="00C46614">
      <w:pPr>
        <w:jc w:val="both"/>
        <w:rPr>
          <w:rFonts w:ascii="Calibri" w:hAnsi="Calibri" w:cs="Calibri"/>
        </w:rPr>
      </w:pPr>
      <w:r w:rsidRPr="00C46614">
        <w:rPr>
          <w:rFonts w:ascii="Calibri" w:hAnsi="Calibri" w:cs="Calibri"/>
        </w:rPr>
        <w:t xml:space="preserve">Water permits and concessions constitute the core instruments for achieving water management objectives, including securing adequate quantities of water of appropriate quality and ensuring groundwater protection. Accordingly, a key measure is the revision and alignment of wastewater discharge permits with the requirements of the </w:t>
      </w:r>
      <w:r>
        <w:rPr>
          <w:rFonts w:ascii="Calibri" w:hAnsi="Calibri" w:cs="Calibri"/>
        </w:rPr>
        <w:t>r</w:t>
      </w:r>
      <w:r w:rsidRPr="00C46614">
        <w:rPr>
          <w:rFonts w:ascii="Calibri" w:hAnsi="Calibri" w:cs="Calibri"/>
        </w:rPr>
        <w:t xml:space="preserve">iver </w:t>
      </w:r>
      <w:r>
        <w:rPr>
          <w:rFonts w:ascii="Calibri" w:hAnsi="Calibri" w:cs="Calibri"/>
        </w:rPr>
        <w:t>b</w:t>
      </w:r>
      <w:r w:rsidRPr="00C46614">
        <w:rPr>
          <w:rFonts w:ascii="Calibri" w:hAnsi="Calibri" w:cs="Calibri"/>
        </w:rPr>
        <w:t xml:space="preserve">asin </w:t>
      </w:r>
      <w:r>
        <w:rPr>
          <w:rFonts w:ascii="Calibri" w:hAnsi="Calibri" w:cs="Calibri"/>
        </w:rPr>
        <w:t>m</w:t>
      </w:r>
      <w:r w:rsidRPr="00C46614">
        <w:rPr>
          <w:rFonts w:ascii="Calibri" w:hAnsi="Calibri" w:cs="Calibri"/>
        </w:rPr>
        <w:t xml:space="preserve">anagement </w:t>
      </w:r>
      <w:r>
        <w:rPr>
          <w:rFonts w:ascii="Calibri" w:hAnsi="Calibri" w:cs="Calibri"/>
        </w:rPr>
        <w:t>p</w:t>
      </w:r>
      <w:r w:rsidRPr="00C46614">
        <w:rPr>
          <w:rFonts w:ascii="Calibri" w:hAnsi="Calibri" w:cs="Calibri"/>
        </w:rPr>
        <w:t>lan</w:t>
      </w:r>
      <w:r>
        <w:rPr>
          <w:rFonts w:ascii="Calibri" w:hAnsi="Calibri" w:cs="Calibri"/>
        </w:rPr>
        <w:t>s</w:t>
      </w:r>
      <w:r w:rsidRPr="00C46614">
        <w:rPr>
          <w:rFonts w:ascii="Calibri" w:hAnsi="Calibri" w:cs="Calibri"/>
        </w:rPr>
        <w:t>. This is complemented by further development of the regulatory framework, including regulation and oversight of individual wastewater systems, as well as by continuous education and capacity building across institutions responsible for permitting, implementation, and enforcement.</w:t>
      </w:r>
    </w:p>
    <w:p w14:paraId="090A1173" w14:textId="6D6DE746" w:rsidR="00B07AB7" w:rsidRPr="00C46614" w:rsidRDefault="00C46614" w:rsidP="00C46614">
      <w:pPr>
        <w:jc w:val="both"/>
        <w:rPr>
          <w:rFonts w:ascii="Calibri" w:hAnsi="Calibri" w:cs="Calibri"/>
        </w:rPr>
      </w:pPr>
      <w:r w:rsidRPr="00C46614">
        <w:rPr>
          <w:rFonts w:ascii="Calibri" w:hAnsi="Calibri" w:cs="Calibri"/>
        </w:rPr>
        <w:t>Additional measures include strengthening monitoring of pressures on water bodies and enhancing compliance control for discharge standards, with particular emphasis on municipal wastewater agglomerations exceeding 2,000 population equivalent (PE) and industrial discharges. Measures addressing municipal point sources focus on the construction and expansion of wastewater collection systems and the construction or upgrading of treatment plants, with priority given to agglomerations larger than 15,000 PE.</w:t>
      </w:r>
    </w:p>
    <w:bookmarkEnd w:id="210"/>
    <w:p w14:paraId="57E150FE" w14:textId="77777777" w:rsidR="00C46614" w:rsidRDefault="00C46614" w:rsidP="00B07AB7"/>
    <w:p w14:paraId="624C2A43" w14:textId="2B2724D3" w:rsidR="00B07AB7" w:rsidRDefault="002F4776" w:rsidP="002F4776">
      <w:pPr>
        <w:pStyle w:val="Caption"/>
      </w:pPr>
      <w:bookmarkStart w:id="211" w:name="_Toc229037744"/>
      <w:r>
        <w:lastRenderedPageBreak/>
        <w:t xml:space="preserve">Table </w:t>
      </w:r>
      <w:r>
        <w:fldChar w:fldCharType="begin"/>
      </w:r>
      <w:r>
        <w:instrText xml:space="preserve"> SEQ Table \* ARABIC </w:instrText>
      </w:r>
      <w:r>
        <w:fldChar w:fldCharType="separate"/>
      </w:r>
      <w:r>
        <w:rPr>
          <w:noProof/>
        </w:rPr>
        <w:t>22</w:t>
      </w:r>
      <w:r>
        <w:fldChar w:fldCharType="end"/>
      </w:r>
      <w:r>
        <w:t xml:space="preserve"> </w:t>
      </w:r>
      <w:r w:rsidRPr="00EB2EDE">
        <w:t>List of basic measures for point sources of pollution</w:t>
      </w:r>
      <w:bookmarkEnd w:id="21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82"/>
        <w:gridCol w:w="3634"/>
      </w:tblGrid>
      <w:tr w:rsidR="00B07AB7" w:rsidRPr="002C7087" w14:paraId="760E26C9" w14:textId="77777777" w:rsidTr="006A6D80">
        <w:trPr>
          <w:tblHeader/>
          <w:tblCellSpacing w:w="15" w:type="dxa"/>
        </w:trPr>
        <w:tc>
          <w:tcPr>
            <w:tcW w:w="5337" w:type="dxa"/>
            <w:shd w:val="clear" w:color="auto" w:fill="B4C6E7"/>
            <w:vAlign w:val="center"/>
            <w:hideMark/>
          </w:tcPr>
          <w:p w14:paraId="1EFE431B" w14:textId="11177196" w:rsidR="00B07AB7" w:rsidRPr="002C7087" w:rsidRDefault="002C7087" w:rsidP="002C7087">
            <w:pPr>
              <w:rPr>
                <w:rFonts w:cstheme="minorHAnsi"/>
                <w:b/>
                <w:bCs/>
                <w:sz w:val="16"/>
                <w:szCs w:val="16"/>
              </w:rPr>
            </w:pPr>
            <w:r w:rsidRPr="002C7087">
              <w:rPr>
                <w:rFonts w:cstheme="minorHAnsi"/>
                <w:b/>
                <w:bCs/>
                <w:sz w:val="16"/>
                <w:szCs w:val="16"/>
              </w:rPr>
              <w:t>Measure</w:t>
            </w:r>
          </w:p>
        </w:tc>
        <w:tc>
          <w:tcPr>
            <w:tcW w:w="3589" w:type="dxa"/>
            <w:shd w:val="clear" w:color="auto" w:fill="B4C6E7"/>
            <w:vAlign w:val="center"/>
            <w:hideMark/>
          </w:tcPr>
          <w:p w14:paraId="1B611277" w14:textId="782A6815" w:rsidR="00B07AB7" w:rsidRPr="002C7087" w:rsidRDefault="002C7087" w:rsidP="002C7087">
            <w:pPr>
              <w:rPr>
                <w:rFonts w:cstheme="minorHAnsi"/>
                <w:b/>
                <w:bCs/>
                <w:sz w:val="16"/>
                <w:szCs w:val="16"/>
              </w:rPr>
            </w:pPr>
            <w:r>
              <w:rPr>
                <w:rFonts w:cstheme="minorHAnsi"/>
                <w:b/>
                <w:bCs/>
                <w:sz w:val="16"/>
                <w:szCs w:val="16"/>
              </w:rPr>
              <w:t>R</w:t>
            </w:r>
            <w:r w:rsidRPr="002C7087">
              <w:rPr>
                <w:rFonts w:cstheme="minorHAnsi"/>
                <w:b/>
                <w:bCs/>
                <w:sz w:val="16"/>
                <w:szCs w:val="16"/>
              </w:rPr>
              <w:t>esponsible institution</w:t>
            </w:r>
          </w:p>
        </w:tc>
      </w:tr>
      <w:tr w:rsidR="00B07AB7" w:rsidRPr="002C7087" w14:paraId="7E29B737" w14:textId="77777777" w:rsidTr="006A6D80">
        <w:trPr>
          <w:tblCellSpacing w:w="15" w:type="dxa"/>
        </w:trPr>
        <w:tc>
          <w:tcPr>
            <w:tcW w:w="5337" w:type="dxa"/>
            <w:vAlign w:val="center"/>
            <w:hideMark/>
          </w:tcPr>
          <w:p w14:paraId="17F2D8C5" w14:textId="77777777" w:rsidR="00B07AB7" w:rsidRPr="002C7087" w:rsidRDefault="00B07AB7" w:rsidP="00682BC9">
            <w:pPr>
              <w:rPr>
                <w:rFonts w:cstheme="minorHAnsi"/>
                <w:sz w:val="16"/>
                <w:szCs w:val="16"/>
              </w:rPr>
            </w:pPr>
            <w:r w:rsidRPr="002C7087">
              <w:rPr>
                <w:rFonts w:cstheme="minorHAnsi"/>
                <w:sz w:val="16"/>
                <w:szCs w:val="16"/>
              </w:rPr>
              <w:t xml:space="preserve">Revision and alignment of water </w:t>
            </w:r>
            <w:proofErr w:type="gramStart"/>
            <w:r w:rsidRPr="002C7087">
              <w:rPr>
                <w:rFonts w:cstheme="minorHAnsi"/>
                <w:sz w:val="16"/>
                <w:szCs w:val="16"/>
              </w:rPr>
              <w:t>permits</w:t>
            </w:r>
            <w:proofErr w:type="gramEnd"/>
            <w:r w:rsidRPr="002C7087">
              <w:rPr>
                <w:rFonts w:cstheme="minorHAnsi"/>
                <w:sz w:val="16"/>
                <w:szCs w:val="16"/>
              </w:rPr>
              <w:t xml:space="preserve"> with the RBMP</w:t>
            </w:r>
          </w:p>
        </w:tc>
        <w:tc>
          <w:tcPr>
            <w:tcW w:w="3589" w:type="dxa"/>
            <w:vAlign w:val="center"/>
            <w:hideMark/>
          </w:tcPr>
          <w:p w14:paraId="5A72B8D5" w14:textId="77777777" w:rsidR="00B07AB7" w:rsidRPr="002C7087" w:rsidRDefault="00B07AB7" w:rsidP="00682BC9">
            <w:pPr>
              <w:rPr>
                <w:rFonts w:cstheme="minorHAnsi"/>
                <w:sz w:val="16"/>
                <w:szCs w:val="16"/>
              </w:rPr>
            </w:pPr>
            <w:r w:rsidRPr="002C7087">
              <w:rPr>
                <w:rFonts w:cstheme="minorHAnsi"/>
                <w:sz w:val="16"/>
                <w:szCs w:val="16"/>
              </w:rPr>
              <w:t>Croatian Waters / Ministry</w:t>
            </w:r>
          </w:p>
        </w:tc>
      </w:tr>
      <w:tr w:rsidR="00B07AB7" w:rsidRPr="002C7087" w14:paraId="7D6CA3EC" w14:textId="77777777" w:rsidTr="006A6D80">
        <w:trPr>
          <w:tblCellSpacing w:w="15" w:type="dxa"/>
        </w:trPr>
        <w:tc>
          <w:tcPr>
            <w:tcW w:w="5337" w:type="dxa"/>
            <w:vAlign w:val="center"/>
            <w:hideMark/>
          </w:tcPr>
          <w:p w14:paraId="2166B224" w14:textId="77777777" w:rsidR="00B07AB7" w:rsidRPr="002C7087" w:rsidRDefault="00B07AB7" w:rsidP="00682BC9">
            <w:pPr>
              <w:rPr>
                <w:rFonts w:cstheme="minorHAnsi"/>
                <w:sz w:val="16"/>
                <w:szCs w:val="16"/>
              </w:rPr>
            </w:pPr>
            <w:r w:rsidRPr="002C7087">
              <w:rPr>
                <w:rFonts w:cstheme="minorHAnsi"/>
                <w:sz w:val="16"/>
                <w:szCs w:val="16"/>
              </w:rPr>
              <w:t>Improving monitoring of pressures</w:t>
            </w:r>
          </w:p>
        </w:tc>
        <w:tc>
          <w:tcPr>
            <w:tcW w:w="3589" w:type="dxa"/>
            <w:vAlign w:val="center"/>
            <w:hideMark/>
          </w:tcPr>
          <w:p w14:paraId="7BCCDDF9" w14:textId="77777777" w:rsidR="00B07AB7" w:rsidRPr="002C7087" w:rsidRDefault="00B07AB7" w:rsidP="00682BC9">
            <w:pPr>
              <w:rPr>
                <w:rFonts w:cstheme="minorHAnsi"/>
                <w:sz w:val="16"/>
                <w:szCs w:val="16"/>
              </w:rPr>
            </w:pPr>
            <w:r w:rsidRPr="002C7087">
              <w:rPr>
                <w:rFonts w:cstheme="minorHAnsi"/>
                <w:sz w:val="16"/>
                <w:szCs w:val="16"/>
              </w:rPr>
              <w:t>Croatian Waters / Ministry</w:t>
            </w:r>
          </w:p>
        </w:tc>
      </w:tr>
      <w:tr w:rsidR="00B07AB7" w:rsidRPr="002C7087" w14:paraId="777D0F8C" w14:textId="77777777" w:rsidTr="006A6D80">
        <w:trPr>
          <w:tblCellSpacing w:w="15" w:type="dxa"/>
        </w:trPr>
        <w:tc>
          <w:tcPr>
            <w:tcW w:w="5337" w:type="dxa"/>
            <w:vAlign w:val="center"/>
            <w:hideMark/>
          </w:tcPr>
          <w:p w14:paraId="4BD98859" w14:textId="77777777" w:rsidR="00B07AB7" w:rsidRPr="002C7087" w:rsidRDefault="00B07AB7" w:rsidP="00682BC9">
            <w:pPr>
              <w:rPr>
                <w:rFonts w:cstheme="minorHAnsi"/>
                <w:sz w:val="16"/>
                <w:szCs w:val="16"/>
              </w:rPr>
            </w:pPr>
            <w:r w:rsidRPr="002C7087">
              <w:rPr>
                <w:rFonts w:cstheme="minorHAnsi"/>
                <w:sz w:val="16"/>
                <w:szCs w:val="16"/>
              </w:rPr>
              <w:t>Development of the Water Information System – Water Protection Register (load from municipal wastewater, industrial wastewater, etc.)</w:t>
            </w:r>
          </w:p>
        </w:tc>
        <w:tc>
          <w:tcPr>
            <w:tcW w:w="3589" w:type="dxa"/>
            <w:vAlign w:val="center"/>
            <w:hideMark/>
          </w:tcPr>
          <w:p w14:paraId="7350A2A9" w14:textId="77777777" w:rsidR="00B07AB7" w:rsidRPr="002C7087" w:rsidRDefault="00B07AB7" w:rsidP="00682BC9">
            <w:pPr>
              <w:rPr>
                <w:rFonts w:cstheme="minorHAnsi"/>
                <w:sz w:val="16"/>
                <w:szCs w:val="16"/>
              </w:rPr>
            </w:pPr>
            <w:r w:rsidRPr="002C7087">
              <w:rPr>
                <w:rFonts w:cstheme="minorHAnsi"/>
                <w:sz w:val="16"/>
                <w:szCs w:val="16"/>
              </w:rPr>
              <w:t>Croatian Waters / Ministry</w:t>
            </w:r>
          </w:p>
        </w:tc>
      </w:tr>
      <w:tr w:rsidR="00B07AB7" w:rsidRPr="002C7087" w14:paraId="6A5FB9EE" w14:textId="77777777" w:rsidTr="006A6D80">
        <w:trPr>
          <w:tblCellSpacing w:w="15" w:type="dxa"/>
        </w:trPr>
        <w:tc>
          <w:tcPr>
            <w:tcW w:w="5337" w:type="dxa"/>
            <w:vAlign w:val="center"/>
            <w:hideMark/>
          </w:tcPr>
          <w:p w14:paraId="13CA6C44" w14:textId="77777777" w:rsidR="00B07AB7" w:rsidRPr="002C7087" w:rsidRDefault="00B07AB7" w:rsidP="00682BC9">
            <w:pPr>
              <w:rPr>
                <w:rFonts w:cstheme="minorHAnsi"/>
                <w:sz w:val="16"/>
                <w:szCs w:val="16"/>
              </w:rPr>
            </w:pPr>
            <w:r w:rsidRPr="002C7087">
              <w:rPr>
                <w:rFonts w:cstheme="minorHAnsi"/>
                <w:sz w:val="16"/>
                <w:szCs w:val="16"/>
              </w:rPr>
              <w:t>Investments in public wastewater collection and treatment systems</w:t>
            </w:r>
          </w:p>
        </w:tc>
        <w:tc>
          <w:tcPr>
            <w:tcW w:w="3589" w:type="dxa"/>
            <w:vAlign w:val="center"/>
            <w:hideMark/>
          </w:tcPr>
          <w:p w14:paraId="57A830A9" w14:textId="77777777" w:rsidR="00B07AB7" w:rsidRPr="002C7087" w:rsidRDefault="00B07AB7" w:rsidP="00682BC9">
            <w:pPr>
              <w:rPr>
                <w:rFonts w:cstheme="minorHAnsi"/>
                <w:sz w:val="16"/>
                <w:szCs w:val="16"/>
              </w:rPr>
            </w:pPr>
            <w:r w:rsidRPr="002C7087">
              <w:rPr>
                <w:rFonts w:cstheme="minorHAnsi"/>
                <w:sz w:val="16"/>
                <w:szCs w:val="16"/>
              </w:rPr>
              <w:t>Relevant Water Utilities / Competent Authorities</w:t>
            </w:r>
          </w:p>
        </w:tc>
      </w:tr>
      <w:tr w:rsidR="00B07AB7" w:rsidRPr="002C7087" w14:paraId="74822B6E" w14:textId="77777777" w:rsidTr="006A6D80">
        <w:trPr>
          <w:tblCellSpacing w:w="15" w:type="dxa"/>
        </w:trPr>
        <w:tc>
          <w:tcPr>
            <w:tcW w:w="5337" w:type="dxa"/>
            <w:vAlign w:val="center"/>
            <w:hideMark/>
          </w:tcPr>
          <w:p w14:paraId="756CC6EF" w14:textId="77777777" w:rsidR="00B07AB7" w:rsidRPr="002C7087" w:rsidRDefault="00B07AB7" w:rsidP="00682BC9">
            <w:pPr>
              <w:rPr>
                <w:rFonts w:cstheme="minorHAnsi"/>
                <w:sz w:val="16"/>
                <w:szCs w:val="16"/>
              </w:rPr>
            </w:pPr>
            <w:r w:rsidRPr="002C7087">
              <w:rPr>
                <w:rFonts w:cstheme="minorHAnsi"/>
                <w:sz w:val="16"/>
                <w:szCs w:val="16"/>
              </w:rPr>
              <w:t>Completion of the Guidelines for discharge into groundwater</w:t>
            </w:r>
          </w:p>
        </w:tc>
        <w:tc>
          <w:tcPr>
            <w:tcW w:w="3589" w:type="dxa"/>
            <w:vAlign w:val="center"/>
            <w:hideMark/>
          </w:tcPr>
          <w:p w14:paraId="6918B91B" w14:textId="77777777" w:rsidR="00B07AB7" w:rsidRPr="002C7087" w:rsidRDefault="00B07AB7" w:rsidP="00682BC9">
            <w:pPr>
              <w:rPr>
                <w:rFonts w:cstheme="minorHAnsi"/>
                <w:sz w:val="16"/>
                <w:szCs w:val="16"/>
              </w:rPr>
            </w:pPr>
            <w:r w:rsidRPr="002C7087">
              <w:rPr>
                <w:rFonts w:cstheme="minorHAnsi"/>
                <w:sz w:val="16"/>
                <w:szCs w:val="16"/>
              </w:rPr>
              <w:t>Croatian Waters / Ministry</w:t>
            </w:r>
          </w:p>
        </w:tc>
      </w:tr>
    </w:tbl>
    <w:p w14:paraId="40C90702" w14:textId="1526A290" w:rsidR="00B07AB7" w:rsidRPr="006A6D80" w:rsidRDefault="006A6D80" w:rsidP="006A6D80">
      <w:pPr>
        <w:pStyle w:val="Heading3"/>
        <w:rPr>
          <w:lang w:val="en-GB"/>
        </w:rPr>
      </w:pPr>
      <w:bookmarkStart w:id="212" w:name="_Toc222653385"/>
      <w:bookmarkStart w:id="213" w:name="_Toc229036284"/>
      <w:r w:rsidRPr="006A6D80">
        <w:rPr>
          <w:lang w:val="en-GB"/>
        </w:rPr>
        <w:t xml:space="preserve">9.4.2 </w:t>
      </w:r>
      <w:r w:rsidR="00B07AB7" w:rsidRPr="006A6D80">
        <w:rPr>
          <w:lang w:val="en-GB"/>
        </w:rPr>
        <w:t xml:space="preserve">Control </w:t>
      </w:r>
      <w:r>
        <w:rPr>
          <w:lang w:val="en-GB"/>
        </w:rPr>
        <w:t>m</w:t>
      </w:r>
      <w:r w:rsidR="00B07AB7" w:rsidRPr="006A6D80">
        <w:rPr>
          <w:lang w:val="en-GB"/>
        </w:rPr>
        <w:t xml:space="preserve">easures </w:t>
      </w:r>
      <w:r>
        <w:rPr>
          <w:lang w:val="en-GB"/>
        </w:rPr>
        <w:t>f</w:t>
      </w:r>
      <w:r w:rsidR="00B07AB7" w:rsidRPr="006A6D80">
        <w:rPr>
          <w:lang w:val="en-GB"/>
        </w:rPr>
        <w:t xml:space="preserve">or </w:t>
      </w:r>
      <w:r>
        <w:rPr>
          <w:lang w:val="en-GB"/>
        </w:rPr>
        <w:t>n</w:t>
      </w:r>
      <w:r w:rsidR="00B07AB7" w:rsidRPr="006A6D80">
        <w:rPr>
          <w:lang w:val="en-GB"/>
        </w:rPr>
        <w:t>on-</w:t>
      </w:r>
      <w:r>
        <w:rPr>
          <w:lang w:val="en-GB"/>
        </w:rPr>
        <w:t>p</w:t>
      </w:r>
      <w:r w:rsidR="00B07AB7" w:rsidRPr="006A6D80">
        <w:rPr>
          <w:lang w:val="en-GB"/>
        </w:rPr>
        <w:t xml:space="preserve">oint </w:t>
      </w:r>
      <w:r>
        <w:rPr>
          <w:lang w:val="en-GB"/>
        </w:rPr>
        <w:t>s</w:t>
      </w:r>
      <w:r w:rsidR="00B07AB7" w:rsidRPr="006A6D80">
        <w:rPr>
          <w:lang w:val="en-GB"/>
        </w:rPr>
        <w:t xml:space="preserve">ources of </w:t>
      </w:r>
      <w:r>
        <w:rPr>
          <w:lang w:val="en-GB"/>
        </w:rPr>
        <w:t>p</w:t>
      </w:r>
      <w:r w:rsidR="00B07AB7" w:rsidRPr="006A6D80">
        <w:rPr>
          <w:lang w:val="en-GB"/>
        </w:rPr>
        <w:t>ollution</w:t>
      </w:r>
      <w:bookmarkEnd w:id="212"/>
      <w:bookmarkEnd w:id="213"/>
    </w:p>
    <w:p w14:paraId="1491AEB4" w14:textId="77777777" w:rsidR="006A6D80" w:rsidRPr="006A6D80" w:rsidRDefault="006A6D80" w:rsidP="006A6D80">
      <w:pPr>
        <w:tabs>
          <w:tab w:val="left" w:pos="1276"/>
        </w:tabs>
        <w:jc w:val="both"/>
        <w:rPr>
          <w:rFonts w:cstheme="minorHAnsi"/>
        </w:rPr>
      </w:pPr>
      <w:r w:rsidRPr="006A6D80">
        <w:rPr>
          <w:rFonts w:cstheme="minorHAnsi"/>
        </w:rPr>
        <w:t>Non</w:t>
      </w:r>
      <w:r w:rsidRPr="006A6D80">
        <w:rPr>
          <w:rFonts w:ascii="Cambria Math" w:hAnsi="Cambria Math" w:cs="Cambria Math"/>
        </w:rPr>
        <w:t>‑</w:t>
      </w:r>
      <w:r w:rsidRPr="006A6D80">
        <w:rPr>
          <w:rFonts w:cstheme="minorHAnsi"/>
        </w:rPr>
        <w:t>point source (NPS) pollution primarily refers to diffuse contamination that does not originate from a single, identifiable discharge point, but results from land</w:t>
      </w:r>
      <w:r w:rsidRPr="006A6D80">
        <w:rPr>
          <w:rFonts w:ascii="Cambria Math" w:hAnsi="Cambria Math" w:cs="Cambria Math"/>
        </w:rPr>
        <w:t>‑</w:t>
      </w:r>
      <w:r w:rsidRPr="006A6D80">
        <w:rPr>
          <w:rFonts w:cstheme="minorHAnsi"/>
        </w:rPr>
        <w:t>based activities such as agricultural production, waste disposal practices, and inadequately managed wastewater discharges. Pollutants are transported into soil and groundwater through surface runoff, infiltration, and leaching processes. Typical contaminants include nutrients from fertilizers, pesticides, untreated or insufficiently treated wastewater, hydrocarbons, heavy metals, and other hazardous substances.</w:t>
      </w:r>
    </w:p>
    <w:p w14:paraId="33E7E2B8" w14:textId="77777777" w:rsidR="006A6D80" w:rsidRPr="006A6D80" w:rsidRDefault="006A6D80" w:rsidP="006A6D80">
      <w:pPr>
        <w:tabs>
          <w:tab w:val="left" w:pos="1276"/>
        </w:tabs>
        <w:jc w:val="both"/>
        <w:rPr>
          <w:rFonts w:cstheme="minorHAnsi"/>
        </w:rPr>
      </w:pPr>
      <w:r w:rsidRPr="006A6D80">
        <w:rPr>
          <w:rFonts w:cstheme="minorHAnsi"/>
        </w:rPr>
        <w:t>Basic measures for controlling and reducing non</w:t>
      </w:r>
      <w:r w:rsidRPr="006A6D80">
        <w:rPr>
          <w:rFonts w:ascii="Cambria Math" w:hAnsi="Cambria Math" w:cs="Cambria Math"/>
        </w:rPr>
        <w:t>‑</w:t>
      </w:r>
      <w:r w:rsidRPr="006A6D80">
        <w:rPr>
          <w:rFonts w:cstheme="minorHAnsi"/>
        </w:rPr>
        <w:t xml:space="preserve">point source pollution from agricultural activities focus predominantly on nutrient pollution, particularly nitrates. In the Republic of Croatia, these measures are implemented through the </w:t>
      </w:r>
      <w:r w:rsidRPr="006A6D80">
        <w:rPr>
          <w:rFonts w:cstheme="minorHAnsi"/>
          <w:i/>
          <w:iCs/>
        </w:rPr>
        <w:t>III Action Programme for the Protection of Waters Against Pollution Caused by Nitrates from Agricultural Sources</w:t>
      </w:r>
      <w:r w:rsidRPr="006A6D80">
        <w:rPr>
          <w:rFonts w:cstheme="minorHAnsi"/>
        </w:rPr>
        <w:t>, adopted by the Ministry of Agriculture in line with the requirements of the Nitrates Directive and the objectives of the Water Framework Directive. In the Federation of Bosnia and Herzegovina, corresponding measures are still being aligned with EU requirements, and a fully operational system of nitrate vulnerable zones and associated action programmes has not yet been fully established.</w:t>
      </w:r>
    </w:p>
    <w:p w14:paraId="43798559" w14:textId="27FD83A5" w:rsidR="003A7943" w:rsidRPr="003A7943" w:rsidRDefault="006A6D80" w:rsidP="003A7943">
      <w:pPr>
        <w:tabs>
          <w:tab w:val="left" w:pos="1276"/>
        </w:tabs>
        <w:jc w:val="both"/>
        <w:rPr>
          <w:rFonts w:cstheme="minorHAnsi"/>
        </w:rPr>
      </w:pPr>
      <w:r w:rsidRPr="006A6D80">
        <w:rPr>
          <w:rFonts w:cstheme="minorHAnsi"/>
        </w:rPr>
        <w:t>Control and reduction of non</w:t>
      </w:r>
      <w:r w:rsidRPr="006A6D80">
        <w:rPr>
          <w:rFonts w:ascii="Cambria Math" w:hAnsi="Cambria Math" w:cs="Cambria Math"/>
        </w:rPr>
        <w:t>‑</w:t>
      </w:r>
      <w:r w:rsidRPr="006A6D80">
        <w:rPr>
          <w:rFonts w:cstheme="minorHAnsi"/>
        </w:rPr>
        <w:t>point source pollution associated with waste disposal sites in Croatia are governed by waste management legislation, particularly the Waste Management Act and the Waste Management Strategy, which prescribe the remediation and closure of landfills that pose a risk to groundwater. In the Federation of Bosnia and Herzegovina, the waste management system remains under development and alignment with EU standards. The lack of a comprehensive and publicly accessible registry of waste disposal sites, combined with the presence of illegal dumping sites and limited remediation and monitoring activities, continues to represent a significant pressure on groundwater resources.</w:t>
      </w:r>
    </w:p>
    <w:p w14:paraId="4FD94FB8" w14:textId="738B4CDC" w:rsidR="00B07AB7" w:rsidRDefault="002F4776" w:rsidP="002F4776">
      <w:pPr>
        <w:pStyle w:val="Caption"/>
      </w:pPr>
      <w:bookmarkStart w:id="214" w:name="_Toc229037745"/>
      <w:r>
        <w:t xml:space="preserve">Table </w:t>
      </w:r>
      <w:r>
        <w:fldChar w:fldCharType="begin"/>
      </w:r>
      <w:r>
        <w:instrText xml:space="preserve"> SEQ Table \* ARABIC </w:instrText>
      </w:r>
      <w:r>
        <w:fldChar w:fldCharType="separate"/>
      </w:r>
      <w:r>
        <w:rPr>
          <w:noProof/>
        </w:rPr>
        <w:t>23</w:t>
      </w:r>
      <w:r>
        <w:fldChar w:fldCharType="end"/>
      </w:r>
      <w:r>
        <w:t xml:space="preserve"> </w:t>
      </w:r>
      <w:r w:rsidRPr="00CB583F">
        <w:t>List of basic measures for non-point sources of pollution</w:t>
      </w:r>
      <w:bookmarkEnd w:id="214"/>
    </w:p>
    <w:tbl>
      <w:tblPr>
        <w:tblW w:w="911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0"/>
        <w:gridCol w:w="3871"/>
      </w:tblGrid>
      <w:tr w:rsidR="00B07AB7" w:rsidRPr="003A7943" w14:paraId="03ACDDE6" w14:textId="77777777" w:rsidTr="003A7943">
        <w:trPr>
          <w:trHeight w:hRule="exact" w:val="567"/>
          <w:tblHeader/>
          <w:tblCellSpacing w:w="15" w:type="dxa"/>
        </w:trPr>
        <w:tc>
          <w:tcPr>
            <w:tcW w:w="5195" w:type="dxa"/>
            <w:shd w:val="clear" w:color="auto" w:fill="B4C6E7"/>
            <w:vAlign w:val="center"/>
            <w:hideMark/>
          </w:tcPr>
          <w:p w14:paraId="5ED43064" w14:textId="06CB66B1" w:rsidR="00B07AB7" w:rsidRPr="003A7943" w:rsidRDefault="003A7943" w:rsidP="00682BC9">
            <w:pPr>
              <w:rPr>
                <w:b/>
                <w:bCs/>
                <w:sz w:val="16"/>
                <w:szCs w:val="16"/>
              </w:rPr>
            </w:pPr>
            <w:r w:rsidRPr="003A7943">
              <w:rPr>
                <w:b/>
                <w:bCs/>
                <w:sz w:val="16"/>
                <w:szCs w:val="16"/>
              </w:rPr>
              <w:t>Measure</w:t>
            </w:r>
          </w:p>
        </w:tc>
        <w:tc>
          <w:tcPr>
            <w:tcW w:w="3826" w:type="dxa"/>
            <w:shd w:val="clear" w:color="auto" w:fill="B4C6E7"/>
            <w:vAlign w:val="center"/>
            <w:hideMark/>
          </w:tcPr>
          <w:p w14:paraId="0D515169" w14:textId="15D0AEB5" w:rsidR="00B07AB7" w:rsidRPr="003A7943" w:rsidRDefault="003A7943" w:rsidP="00682BC9">
            <w:pPr>
              <w:rPr>
                <w:b/>
                <w:bCs/>
                <w:sz w:val="16"/>
                <w:szCs w:val="16"/>
              </w:rPr>
            </w:pPr>
            <w:r w:rsidRPr="003A7943">
              <w:rPr>
                <w:b/>
                <w:bCs/>
                <w:sz w:val="16"/>
                <w:szCs w:val="16"/>
              </w:rPr>
              <w:t>Responsible institution</w:t>
            </w:r>
          </w:p>
        </w:tc>
      </w:tr>
      <w:tr w:rsidR="00B07AB7" w:rsidRPr="003A7943" w14:paraId="78081626" w14:textId="77777777" w:rsidTr="003A7943">
        <w:trPr>
          <w:trHeight w:hRule="exact" w:val="454"/>
          <w:tblCellSpacing w:w="15" w:type="dxa"/>
        </w:trPr>
        <w:tc>
          <w:tcPr>
            <w:tcW w:w="5195" w:type="dxa"/>
            <w:vAlign w:val="center"/>
            <w:hideMark/>
          </w:tcPr>
          <w:p w14:paraId="19C96F3D" w14:textId="77777777" w:rsidR="00B07AB7" w:rsidRPr="003A7943" w:rsidRDefault="00B07AB7" w:rsidP="00682BC9">
            <w:pPr>
              <w:rPr>
                <w:sz w:val="16"/>
                <w:szCs w:val="16"/>
              </w:rPr>
            </w:pPr>
            <w:r w:rsidRPr="003A7943">
              <w:rPr>
                <w:sz w:val="16"/>
                <w:szCs w:val="16"/>
              </w:rPr>
              <w:t>Implementation of measures prescribed by the Waste Management Plan</w:t>
            </w:r>
          </w:p>
        </w:tc>
        <w:tc>
          <w:tcPr>
            <w:tcW w:w="3826" w:type="dxa"/>
            <w:vAlign w:val="center"/>
            <w:hideMark/>
          </w:tcPr>
          <w:p w14:paraId="5FBD30DA" w14:textId="77777777" w:rsidR="00B07AB7" w:rsidRPr="003A7943" w:rsidRDefault="00B07AB7" w:rsidP="00682BC9">
            <w:pPr>
              <w:rPr>
                <w:sz w:val="16"/>
                <w:szCs w:val="16"/>
              </w:rPr>
            </w:pPr>
            <w:r w:rsidRPr="003A7943">
              <w:rPr>
                <w:sz w:val="16"/>
                <w:szCs w:val="16"/>
              </w:rPr>
              <w:t>Ministry</w:t>
            </w:r>
          </w:p>
        </w:tc>
      </w:tr>
      <w:tr w:rsidR="00B07AB7" w:rsidRPr="003A7943" w14:paraId="79F18665" w14:textId="77777777" w:rsidTr="003A7943">
        <w:trPr>
          <w:trHeight w:hRule="exact" w:val="567"/>
          <w:tblCellSpacing w:w="15" w:type="dxa"/>
        </w:trPr>
        <w:tc>
          <w:tcPr>
            <w:tcW w:w="5195" w:type="dxa"/>
            <w:vAlign w:val="center"/>
            <w:hideMark/>
          </w:tcPr>
          <w:p w14:paraId="6946B2C7" w14:textId="77777777" w:rsidR="00B07AB7" w:rsidRPr="003A7943" w:rsidRDefault="00B07AB7" w:rsidP="00682BC9">
            <w:pPr>
              <w:rPr>
                <w:sz w:val="16"/>
                <w:szCs w:val="16"/>
              </w:rPr>
            </w:pPr>
            <w:r w:rsidRPr="003A7943">
              <w:rPr>
                <w:sz w:val="16"/>
                <w:szCs w:val="16"/>
              </w:rPr>
              <w:t>Development and continuation of the registry system for issued water permits for placing mineral fertilizers and plant protection products on the market</w:t>
            </w:r>
          </w:p>
        </w:tc>
        <w:tc>
          <w:tcPr>
            <w:tcW w:w="3826" w:type="dxa"/>
            <w:vAlign w:val="center"/>
            <w:hideMark/>
          </w:tcPr>
          <w:p w14:paraId="5845699D" w14:textId="77777777" w:rsidR="00B07AB7" w:rsidRPr="003A7943" w:rsidRDefault="00B07AB7" w:rsidP="00682BC9">
            <w:pPr>
              <w:rPr>
                <w:sz w:val="16"/>
                <w:szCs w:val="16"/>
              </w:rPr>
            </w:pPr>
            <w:r w:rsidRPr="003A7943">
              <w:rPr>
                <w:sz w:val="16"/>
                <w:szCs w:val="16"/>
              </w:rPr>
              <w:t xml:space="preserve">Ministry </w:t>
            </w:r>
          </w:p>
        </w:tc>
      </w:tr>
      <w:tr w:rsidR="00B07AB7" w:rsidRPr="003A7943" w14:paraId="5734EA44" w14:textId="77777777" w:rsidTr="003A7943">
        <w:trPr>
          <w:trHeight w:hRule="exact" w:val="454"/>
          <w:tblCellSpacing w:w="15" w:type="dxa"/>
        </w:trPr>
        <w:tc>
          <w:tcPr>
            <w:tcW w:w="5195" w:type="dxa"/>
            <w:vAlign w:val="center"/>
            <w:hideMark/>
          </w:tcPr>
          <w:p w14:paraId="41BDD324" w14:textId="77777777" w:rsidR="00B07AB7" w:rsidRPr="003A7943" w:rsidRDefault="00B07AB7" w:rsidP="00682BC9">
            <w:pPr>
              <w:rPr>
                <w:sz w:val="16"/>
                <w:szCs w:val="16"/>
              </w:rPr>
            </w:pPr>
            <w:r w:rsidRPr="003A7943">
              <w:rPr>
                <w:sz w:val="16"/>
                <w:szCs w:val="16"/>
              </w:rPr>
              <w:t>Implementation of measures from the Action Plan in vulnerable areas</w:t>
            </w:r>
          </w:p>
        </w:tc>
        <w:tc>
          <w:tcPr>
            <w:tcW w:w="3826" w:type="dxa"/>
            <w:vAlign w:val="center"/>
            <w:hideMark/>
          </w:tcPr>
          <w:p w14:paraId="2A59EF0F" w14:textId="77777777" w:rsidR="00B07AB7" w:rsidRPr="003A7943" w:rsidRDefault="00B07AB7" w:rsidP="00682BC9">
            <w:pPr>
              <w:rPr>
                <w:sz w:val="16"/>
                <w:szCs w:val="16"/>
              </w:rPr>
            </w:pPr>
            <w:r w:rsidRPr="003A7943">
              <w:rPr>
                <w:sz w:val="16"/>
                <w:szCs w:val="16"/>
              </w:rPr>
              <w:t>Ministry/Croatian Waters</w:t>
            </w:r>
          </w:p>
        </w:tc>
      </w:tr>
      <w:tr w:rsidR="00B07AB7" w:rsidRPr="003A7943" w14:paraId="42C13392" w14:textId="77777777" w:rsidTr="003A7943">
        <w:trPr>
          <w:trHeight w:hRule="exact" w:val="454"/>
          <w:tblCellSpacing w:w="15" w:type="dxa"/>
        </w:trPr>
        <w:tc>
          <w:tcPr>
            <w:tcW w:w="5195" w:type="dxa"/>
            <w:vAlign w:val="center"/>
            <w:hideMark/>
          </w:tcPr>
          <w:p w14:paraId="240C080C" w14:textId="77777777" w:rsidR="00B07AB7" w:rsidRPr="003A7943" w:rsidRDefault="00B07AB7" w:rsidP="00682BC9">
            <w:pPr>
              <w:rPr>
                <w:sz w:val="16"/>
                <w:szCs w:val="16"/>
              </w:rPr>
            </w:pPr>
            <w:r w:rsidRPr="003A7943">
              <w:rPr>
                <w:sz w:val="16"/>
                <w:szCs w:val="16"/>
              </w:rPr>
              <w:lastRenderedPageBreak/>
              <w:t>Revision of vulnerable areas</w:t>
            </w:r>
          </w:p>
        </w:tc>
        <w:tc>
          <w:tcPr>
            <w:tcW w:w="3826" w:type="dxa"/>
            <w:vAlign w:val="center"/>
            <w:hideMark/>
          </w:tcPr>
          <w:p w14:paraId="7C9D89ED" w14:textId="77777777" w:rsidR="00B07AB7" w:rsidRPr="003A7943" w:rsidRDefault="00B07AB7" w:rsidP="00682BC9">
            <w:pPr>
              <w:rPr>
                <w:sz w:val="16"/>
                <w:szCs w:val="16"/>
              </w:rPr>
            </w:pPr>
            <w:r w:rsidRPr="003A7943">
              <w:rPr>
                <w:sz w:val="16"/>
                <w:szCs w:val="16"/>
              </w:rPr>
              <w:t>Ministry</w:t>
            </w:r>
          </w:p>
        </w:tc>
      </w:tr>
      <w:tr w:rsidR="00B07AB7" w:rsidRPr="003A7943" w14:paraId="5D826131" w14:textId="77777777" w:rsidTr="003A7943">
        <w:trPr>
          <w:trHeight w:val="564"/>
          <w:tblCellSpacing w:w="15" w:type="dxa"/>
        </w:trPr>
        <w:tc>
          <w:tcPr>
            <w:tcW w:w="5195" w:type="dxa"/>
            <w:vAlign w:val="center"/>
            <w:hideMark/>
          </w:tcPr>
          <w:p w14:paraId="08E4463A" w14:textId="77777777" w:rsidR="00B07AB7" w:rsidRPr="003A7943" w:rsidRDefault="00B07AB7" w:rsidP="00682BC9">
            <w:pPr>
              <w:rPr>
                <w:sz w:val="16"/>
                <w:szCs w:val="16"/>
              </w:rPr>
            </w:pPr>
            <w:r w:rsidRPr="003A7943">
              <w:rPr>
                <w:sz w:val="16"/>
                <w:szCs w:val="16"/>
              </w:rPr>
              <w:t>Proposal of mechanisms to incentivize implementation of Action Programme measures outside designated vulnerable areas</w:t>
            </w:r>
          </w:p>
        </w:tc>
        <w:tc>
          <w:tcPr>
            <w:tcW w:w="3826" w:type="dxa"/>
            <w:vAlign w:val="center"/>
            <w:hideMark/>
          </w:tcPr>
          <w:p w14:paraId="3866DEE9" w14:textId="77777777" w:rsidR="00B07AB7" w:rsidRPr="003A7943" w:rsidRDefault="00B07AB7" w:rsidP="00682BC9">
            <w:pPr>
              <w:rPr>
                <w:sz w:val="16"/>
                <w:szCs w:val="16"/>
              </w:rPr>
            </w:pPr>
            <w:r w:rsidRPr="003A7943">
              <w:rPr>
                <w:sz w:val="16"/>
                <w:szCs w:val="16"/>
              </w:rPr>
              <w:t>Ministry</w:t>
            </w:r>
          </w:p>
        </w:tc>
      </w:tr>
      <w:tr w:rsidR="00B07AB7" w:rsidRPr="003A7943" w14:paraId="082756F5" w14:textId="77777777" w:rsidTr="003A7943">
        <w:trPr>
          <w:trHeight w:val="790"/>
          <w:tblCellSpacing w:w="15" w:type="dxa"/>
        </w:trPr>
        <w:tc>
          <w:tcPr>
            <w:tcW w:w="5195" w:type="dxa"/>
            <w:vAlign w:val="center"/>
            <w:hideMark/>
          </w:tcPr>
          <w:p w14:paraId="6DD778C1" w14:textId="77777777" w:rsidR="00B07AB7" w:rsidRPr="003A7943" w:rsidRDefault="00B07AB7" w:rsidP="00682BC9">
            <w:pPr>
              <w:rPr>
                <w:sz w:val="16"/>
                <w:szCs w:val="16"/>
              </w:rPr>
            </w:pPr>
            <w:r w:rsidRPr="003A7943">
              <w:rPr>
                <w:sz w:val="16"/>
                <w:szCs w:val="16"/>
              </w:rPr>
              <w:t>Establishment of a register of septic tanks and cesspools and their users; development of an effective supervision model to detect leakage and ensure proper emptying and wastewater disposal</w:t>
            </w:r>
          </w:p>
        </w:tc>
        <w:tc>
          <w:tcPr>
            <w:tcW w:w="3826" w:type="dxa"/>
            <w:vAlign w:val="center"/>
            <w:hideMark/>
          </w:tcPr>
          <w:p w14:paraId="7E4069CA" w14:textId="77777777" w:rsidR="00B07AB7" w:rsidRPr="003A7943" w:rsidRDefault="00B07AB7" w:rsidP="00682BC9">
            <w:pPr>
              <w:rPr>
                <w:sz w:val="16"/>
                <w:szCs w:val="16"/>
              </w:rPr>
            </w:pPr>
            <w:r w:rsidRPr="003A7943">
              <w:rPr>
                <w:sz w:val="16"/>
                <w:szCs w:val="16"/>
              </w:rPr>
              <w:t xml:space="preserve">Public Water Service Providers </w:t>
            </w:r>
          </w:p>
        </w:tc>
      </w:tr>
      <w:tr w:rsidR="00B07AB7" w:rsidRPr="003A7943" w14:paraId="3A05D54C" w14:textId="77777777" w:rsidTr="003A7943">
        <w:trPr>
          <w:trHeight w:hRule="exact" w:val="567"/>
          <w:tblCellSpacing w:w="15" w:type="dxa"/>
        </w:trPr>
        <w:tc>
          <w:tcPr>
            <w:tcW w:w="5195" w:type="dxa"/>
            <w:vAlign w:val="center"/>
            <w:hideMark/>
          </w:tcPr>
          <w:p w14:paraId="683FB01F" w14:textId="77777777" w:rsidR="00B07AB7" w:rsidRPr="003A7943" w:rsidRDefault="00B07AB7" w:rsidP="00682BC9">
            <w:pPr>
              <w:rPr>
                <w:sz w:val="16"/>
                <w:szCs w:val="16"/>
              </w:rPr>
            </w:pPr>
            <w:r w:rsidRPr="003A7943">
              <w:rPr>
                <w:sz w:val="16"/>
                <w:szCs w:val="16"/>
              </w:rPr>
              <w:t>Intensified supervision of good agricultural practice, especially regarding reduction of mineral and organic fertilizer use</w:t>
            </w:r>
          </w:p>
        </w:tc>
        <w:tc>
          <w:tcPr>
            <w:tcW w:w="3826" w:type="dxa"/>
            <w:vAlign w:val="center"/>
            <w:hideMark/>
          </w:tcPr>
          <w:p w14:paraId="6E547B29" w14:textId="77777777" w:rsidR="00B07AB7" w:rsidRPr="003A7943" w:rsidRDefault="00B07AB7" w:rsidP="00682BC9">
            <w:pPr>
              <w:rPr>
                <w:sz w:val="16"/>
                <w:szCs w:val="16"/>
              </w:rPr>
            </w:pPr>
            <w:r w:rsidRPr="003A7943">
              <w:rPr>
                <w:sz w:val="16"/>
                <w:szCs w:val="16"/>
              </w:rPr>
              <w:t>Ministry</w:t>
            </w:r>
          </w:p>
        </w:tc>
      </w:tr>
      <w:tr w:rsidR="00B07AB7" w:rsidRPr="003A7943" w14:paraId="25A4553A" w14:textId="77777777" w:rsidTr="003A7943">
        <w:trPr>
          <w:trHeight w:hRule="exact" w:val="454"/>
          <w:tblCellSpacing w:w="15" w:type="dxa"/>
        </w:trPr>
        <w:tc>
          <w:tcPr>
            <w:tcW w:w="5195" w:type="dxa"/>
            <w:vAlign w:val="center"/>
            <w:hideMark/>
          </w:tcPr>
          <w:p w14:paraId="0CD492C3" w14:textId="77777777" w:rsidR="00B07AB7" w:rsidRPr="003A7943" w:rsidRDefault="00B07AB7" w:rsidP="00682BC9">
            <w:pPr>
              <w:rPr>
                <w:sz w:val="16"/>
                <w:szCs w:val="16"/>
              </w:rPr>
            </w:pPr>
            <w:r w:rsidRPr="003A7943">
              <w:rPr>
                <w:sz w:val="16"/>
                <w:szCs w:val="16"/>
              </w:rPr>
              <w:t>Promotion of rational fertilizer use in agriculture based on mandatory soil analysis</w:t>
            </w:r>
          </w:p>
        </w:tc>
        <w:tc>
          <w:tcPr>
            <w:tcW w:w="3826" w:type="dxa"/>
            <w:vAlign w:val="center"/>
            <w:hideMark/>
          </w:tcPr>
          <w:p w14:paraId="520F07A0" w14:textId="77777777" w:rsidR="00B07AB7" w:rsidRPr="003A7943" w:rsidRDefault="00B07AB7" w:rsidP="00682BC9">
            <w:pPr>
              <w:rPr>
                <w:sz w:val="16"/>
                <w:szCs w:val="16"/>
              </w:rPr>
            </w:pPr>
            <w:r w:rsidRPr="003A7943">
              <w:rPr>
                <w:sz w:val="16"/>
                <w:szCs w:val="16"/>
              </w:rPr>
              <w:t>Ministry</w:t>
            </w:r>
          </w:p>
        </w:tc>
      </w:tr>
      <w:tr w:rsidR="00B07AB7" w:rsidRPr="003A7943" w14:paraId="29685411" w14:textId="77777777" w:rsidTr="003A7943">
        <w:trPr>
          <w:trHeight w:hRule="exact" w:val="454"/>
          <w:tblCellSpacing w:w="15" w:type="dxa"/>
        </w:trPr>
        <w:tc>
          <w:tcPr>
            <w:tcW w:w="5195" w:type="dxa"/>
            <w:vAlign w:val="center"/>
            <w:hideMark/>
          </w:tcPr>
          <w:p w14:paraId="2C664C37" w14:textId="77777777" w:rsidR="00B07AB7" w:rsidRPr="003A7943" w:rsidRDefault="00B07AB7" w:rsidP="00682BC9">
            <w:pPr>
              <w:rPr>
                <w:sz w:val="16"/>
                <w:szCs w:val="16"/>
              </w:rPr>
            </w:pPr>
            <w:r w:rsidRPr="003A7943">
              <w:rPr>
                <w:sz w:val="16"/>
                <w:szCs w:val="16"/>
              </w:rPr>
              <w:t>Regulation of monitoring measures for pesticide consumption in forestry</w:t>
            </w:r>
          </w:p>
        </w:tc>
        <w:tc>
          <w:tcPr>
            <w:tcW w:w="3826" w:type="dxa"/>
            <w:vAlign w:val="center"/>
            <w:hideMark/>
          </w:tcPr>
          <w:p w14:paraId="6B86B205" w14:textId="77777777" w:rsidR="00B07AB7" w:rsidRPr="003A7943" w:rsidRDefault="00B07AB7" w:rsidP="00682BC9">
            <w:pPr>
              <w:rPr>
                <w:sz w:val="16"/>
                <w:szCs w:val="16"/>
              </w:rPr>
            </w:pPr>
            <w:r w:rsidRPr="003A7943">
              <w:rPr>
                <w:sz w:val="16"/>
                <w:szCs w:val="16"/>
              </w:rPr>
              <w:t>Ministry</w:t>
            </w:r>
          </w:p>
        </w:tc>
      </w:tr>
      <w:tr w:rsidR="00B07AB7" w:rsidRPr="003A7943" w14:paraId="6C5F3E11" w14:textId="77777777" w:rsidTr="003A7943">
        <w:trPr>
          <w:trHeight w:val="571"/>
          <w:tblCellSpacing w:w="15" w:type="dxa"/>
        </w:trPr>
        <w:tc>
          <w:tcPr>
            <w:tcW w:w="5195" w:type="dxa"/>
            <w:vAlign w:val="center"/>
            <w:hideMark/>
          </w:tcPr>
          <w:p w14:paraId="226DD988" w14:textId="05AF083D" w:rsidR="00B07AB7" w:rsidRPr="003A7943" w:rsidRDefault="00B07AB7" w:rsidP="00682BC9">
            <w:pPr>
              <w:rPr>
                <w:sz w:val="16"/>
                <w:szCs w:val="16"/>
              </w:rPr>
            </w:pPr>
            <w:r w:rsidRPr="003A7943">
              <w:rPr>
                <w:sz w:val="16"/>
                <w:szCs w:val="16"/>
              </w:rPr>
              <w:t xml:space="preserve">Development of a methodology for estimating water emissions from </w:t>
            </w:r>
            <w:r w:rsidR="003A7943">
              <w:rPr>
                <w:sz w:val="16"/>
                <w:szCs w:val="16"/>
              </w:rPr>
              <w:t>un</w:t>
            </w:r>
            <w:r w:rsidR="003A7943" w:rsidRPr="003A7943">
              <w:rPr>
                <w:sz w:val="16"/>
                <w:szCs w:val="16"/>
              </w:rPr>
              <w:t>remedied</w:t>
            </w:r>
            <w:r w:rsidRPr="003A7943">
              <w:rPr>
                <w:sz w:val="16"/>
                <w:szCs w:val="16"/>
              </w:rPr>
              <w:t xml:space="preserve"> landfills</w:t>
            </w:r>
          </w:p>
        </w:tc>
        <w:tc>
          <w:tcPr>
            <w:tcW w:w="3826" w:type="dxa"/>
            <w:vAlign w:val="center"/>
            <w:hideMark/>
          </w:tcPr>
          <w:p w14:paraId="6B3F0993" w14:textId="77777777" w:rsidR="00B07AB7" w:rsidRPr="003A7943" w:rsidRDefault="00B07AB7" w:rsidP="00682BC9">
            <w:pPr>
              <w:rPr>
                <w:sz w:val="16"/>
                <w:szCs w:val="16"/>
              </w:rPr>
            </w:pPr>
            <w:r w:rsidRPr="003A7943">
              <w:rPr>
                <w:sz w:val="16"/>
                <w:szCs w:val="16"/>
              </w:rPr>
              <w:t>Croatian Waters</w:t>
            </w:r>
          </w:p>
        </w:tc>
      </w:tr>
      <w:tr w:rsidR="00B07AB7" w:rsidRPr="003A7943" w14:paraId="3E18550D" w14:textId="77777777" w:rsidTr="003A7943">
        <w:trPr>
          <w:trHeight w:hRule="exact" w:val="454"/>
          <w:tblCellSpacing w:w="15" w:type="dxa"/>
        </w:trPr>
        <w:tc>
          <w:tcPr>
            <w:tcW w:w="5195" w:type="dxa"/>
            <w:vAlign w:val="center"/>
            <w:hideMark/>
          </w:tcPr>
          <w:p w14:paraId="1CDD0126" w14:textId="77777777" w:rsidR="00B07AB7" w:rsidRPr="003A7943" w:rsidRDefault="00B07AB7" w:rsidP="00682BC9">
            <w:pPr>
              <w:rPr>
                <w:sz w:val="16"/>
                <w:szCs w:val="16"/>
              </w:rPr>
            </w:pPr>
            <w:r w:rsidRPr="003A7943">
              <w:rPr>
                <w:sz w:val="16"/>
                <w:szCs w:val="16"/>
              </w:rPr>
              <w:t>Promotion of green infrastructure to address surface runoff from urban areas</w:t>
            </w:r>
          </w:p>
        </w:tc>
        <w:tc>
          <w:tcPr>
            <w:tcW w:w="3826" w:type="dxa"/>
            <w:vAlign w:val="center"/>
            <w:hideMark/>
          </w:tcPr>
          <w:p w14:paraId="6581C2BA" w14:textId="77777777" w:rsidR="00B07AB7" w:rsidRPr="003A7943" w:rsidRDefault="00B07AB7" w:rsidP="00682BC9">
            <w:pPr>
              <w:rPr>
                <w:sz w:val="16"/>
                <w:szCs w:val="16"/>
              </w:rPr>
            </w:pPr>
            <w:r w:rsidRPr="003A7943">
              <w:rPr>
                <w:sz w:val="16"/>
                <w:szCs w:val="16"/>
              </w:rPr>
              <w:t>Croatian Waters</w:t>
            </w:r>
          </w:p>
        </w:tc>
      </w:tr>
    </w:tbl>
    <w:p w14:paraId="4683BAC0" w14:textId="77777777" w:rsidR="00B07AB7" w:rsidRPr="00913CF7" w:rsidRDefault="00B07AB7" w:rsidP="00B07AB7">
      <w:pPr>
        <w:rPr>
          <w:sz w:val="4"/>
          <w:szCs w:val="4"/>
        </w:rPr>
      </w:pPr>
    </w:p>
    <w:p w14:paraId="15A305F0" w14:textId="77777777" w:rsidR="003A7943" w:rsidRDefault="003A7943" w:rsidP="003A7943">
      <w:pPr>
        <w:jc w:val="both"/>
      </w:pPr>
      <w:r>
        <w:t>In the Federation of Bosnia and Herzegovina, individual wastewater systems are recognized under general water and communal legislation; however, they are not governed by a comprehensive and fully operational regulatory framework. Clear technical standards, systematic monitoring, and effective control mechanisms comparable to those applied under EU legislation are largely lacking.</w:t>
      </w:r>
    </w:p>
    <w:p w14:paraId="0933EFB2" w14:textId="2A278AE0" w:rsidR="00B07AB7" w:rsidRPr="006903DB" w:rsidRDefault="003A7943" w:rsidP="003A7943">
      <w:pPr>
        <w:jc w:val="both"/>
      </w:pPr>
      <w:r>
        <w:t>Accordingly, measures aimed at reducing non</w:t>
      </w:r>
      <w:r>
        <w:rPr>
          <w:rFonts w:ascii="Cambria Math" w:hAnsi="Cambria Math" w:cs="Cambria Math"/>
        </w:rPr>
        <w:t>‑</w:t>
      </w:r>
      <w:r>
        <w:t>point source pollution will focus primarily on the agricultural and waste management sectors and will include targeted actions to control pollution from individual wastewater disposal systems, which have been identified as a significant contributor to diffuse groundwater pollution.</w:t>
      </w:r>
    </w:p>
    <w:p w14:paraId="2CA643E7" w14:textId="77777777" w:rsidR="003A7943" w:rsidRDefault="003A7943" w:rsidP="00B07AB7">
      <w:pPr>
        <w:pStyle w:val="Heading2"/>
      </w:pPr>
      <w:bookmarkStart w:id="215" w:name="_Toc222653386"/>
    </w:p>
    <w:p w14:paraId="287F431A" w14:textId="03109D90" w:rsidR="00B07AB7" w:rsidRPr="003A7943" w:rsidRDefault="00B07AB7" w:rsidP="003A7943">
      <w:pPr>
        <w:pStyle w:val="Heading2"/>
        <w:rPr>
          <w:lang w:val="en-GB"/>
        </w:rPr>
      </w:pPr>
      <w:bookmarkStart w:id="216" w:name="_Toc229036285"/>
      <w:r w:rsidRPr="003A7943">
        <w:rPr>
          <w:lang w:val="en-GB"/>
        </w:rPr>
        <w:t>9.</w:t>
      </w:r>
      <w:r w:rsidR="003A7943" w:rsidRPr="003A7943">
        <w:rPr>
          <w:lang w:val="en-GB"/>
        </w:rPr>
        <w:t>5</w:t>
      </w:r>
      <w:r w:rsidRPr="003A7943">
        <w:rPr>
          <w:lang w:val="en-GB"/>
        </w:rPr>
        <w:t xml:space="preserve"> Prevention </w:t>
      </w:r>
      <w:r w:rsidR="003A7943" w:rsidRPr="003A7943">
        <w:rPr>
          <w:lang w:val="en-GB"/>
        </w:rPr>
        <w:t>a</w:t>
      </w:r>
      <w:r w:rsidRPr="003A7943">
        <w:rPr>
          <w:lang w:val="en-GB"/>
        </w:rPr>
        <w:t xml:space="preserve">nd </w:t>
      </w:r>
      <w:r w:rsidR="003A7943" w:rsidRPr="003A7943">
        <w:rPr>
          <w:lang w:val="en-GB"/>
        </w:rPr>
        <w:t>c</w:t>
      </w:r>
      <w:r w:rsidRPr="003A7943">
        <w:rPr>
          <w:lang w:val="en-GB"/>
        </w:rPr>
        <w:t xml:space="preserve">ontrol </w:t>
      </w:r>
      <w:r w:rsidR="003A7943" w:rsidRPr="003A7943">
        <w:rPr>
          <w:lang w:val="en-GB"/>
        </w:rPr>
        <w:t>o</w:t>
      </w:r>
      <w:r w:rsidRPr="003A7943">
        <w:rPr>
          <w:lang w:val="en-GB"/>
        </w:rPr>
        <w:t xml:space="preserve">f </w:t>
      </w:r>
      <w:r w:rsidR="003A7943" w:rsidRPr="003A7943">
        <w:rPr>
          <w:lang w:val="en-GB"/>
        </w:rPr>
        <w:t>g</w:t>
      </w:r>
      <w:r w:rsidRPr="003A7943">
        <w:rPr>
          <w:lang w:val="en-GB"/>
        </w:rPr>
        <w:t xml:space="preserve">roundwater </w:t>
      </w:r>
      <w:r w:rsidR="003A7943" w:rsidRPr="003A7943">
        <w:rPr>
          <w:lang w:val="en-GB"/>
        </w:rPr>
        <w:t>a</w:t>
      </w:r>
      <w:r w:rsidRPr="003A7943">
        <w:rPr>
          <w:lang w:val="en-GB"/>
        </w:rPr>
        <w:t xml:space="preserve">bstraction </w:t>
      </w:r>
      <w:r w:rsidR="003A7943" w:rsidRPr="003A7943">
        <w:rPr>
          <w:lang w:val="en-GB"/>
        </w:rPr>
        <w:t>a</w:t>
      </w:r>
      <w:r w:rsidRPr="003A7943">
        <w:rPr>
          <w:lang w:val="en-GB"/>
        </w:rPr>
        <w:t xml:space="preserve">ffecting </w:t>
      </w:r>
      <w:r w:rsidR="003A7943" w:rsidRPr="003A7943">
        <w:rPr>
          <w:lang w:val="en-GB"/>
        </w:rPr>
        <w:t>g</w:t>
      </w:r>
      <w:r w:rsidRPr="003A7943">
        <w:rPr>
          <w:lang w:val="en-GB"/>
        </w:rPr>
        <w:t xml:space="preserve">roundwater </w:t>
      </w:r>
      <w:r w:rsidR="003A7943" w:rsidRPr="003A7943">
        <w:rPr>
          <w:lang w:val="en-GB"/>
        </w:rPr>
        <w:t>q</w:t>
      </w:r>
      <w:r w:rsidRPr="003A7943">
        <w:rPr>
          <w:lang w:val="en-GB"/>
        </w:rPr>
        <w:t>u</w:t>
      </w:r>
      <w:r w:rsidR="003A7943" w:rsidRPr="003A7943">
        <w:rPr>
          <w:lang w:val="en-GB"/>
        </w:rPr>
        <w:t>a</w:t>
      </w:r>
      <w:r w:rsidRPr="003A7943">
        <w:rPr>
          <w:lang w:val="en-GB"/>
        </w:rPr>
        <w:t>ntity</w:t>
      </w:r>
      <w:bookmarkEnd w:id="215"/>
      <w:bookmarkEnd w:id="216"/>
    </w:p>
    <w:p w14:paraId="030D2EDF" w14:textId="77777777" w:rsidR="00933E96" w:rsidRDefault="00933E96" w:rsidP="00933E96">
      <w:pPr>
        <w:jc w:val="both"/>
      </w:pPr>
      <w:bookmarkStart w:id="217" w:name="_Hlk222590924"/>
      <w:r>
        <w:t>Prevention and control of groundwater abstraction are essential for ensuring the sustainable use of groundwater resources and maintaining a balanced water regime. Effective management is based on regulating abstraction within sustainable limits and on continuous monitoring of its impacts on groundwater systems.</w:t>
      </w:r>
    </w:p>
    <w:p w14:paraId="2BCBD6D0" w14:textId="77777777" w:rsidR="00933E96" w:rsidRDefault="00933E96" w:rsidP="00933E96">
      <w:pPr>
        <w:jc w:val="both"/>
      </w:pPr>
      <w:r>
        <w:t>In Croatia, the legal framework clearly regulates the issuing of water permits and concessions for groundwater use, including obligations for their periodic revision and alignment with the River Basin Management Plans (RBMPs). Although legislation requires all water users to report abstracted and used water quantities, implementation remains uneven across different categories of use. A comparable situation exists in the Federation of Bosnia and Herzegovina with respect to permitting procedures and reporting obligations for groundwater abstraction.</w:t>
      </w:r>
    </w:p>
    <w:p w14:paraId="15C8167F" w14:textId="45FCAD13" w:rsidR="00B07AB7" w:rsidRDefault="00933E96" w:rsidP="00933E96">
      <w:pPr>
        <w:jc w:val="both"/>
      </w:pPr>
      <w:r>
        <w:t xml:space="preserve">In Croatia, automated monitoring of abstraction volumes for public water supply has recently been introduced as a nationally implemented measure, resulting in the establishment of a database on abstracted quantities for this category of use. In contrast, monitoring of abstracted quantities for other users, particularly technological water </w:t>
      </w:r>
      <w:proofErr w:type="gramStart"/>
      <w:r>
        <w:t>use</w:t>
      </w:r>
      <w:proofErr w:type="gramEnd"/>
      <w:r>
        <w:t xml:space="preserve"> and irrigation, is not sufficiently developed. While </w:t>
      </w:r>
      <w:r>
        <w:lastRenderedPageBreak/>
        <w:t>these users are legally required to report abstraction volumes on a monthly, quarterly, or annual basis, systematic metering has not been fully implemented in practice, despite being envisaged in earlier RBMP cycles. This limitation significantly constrains the accurate quantification of abstraction pressures and complicates the assessment of the quantitative status of groundwater bodies, as identified in the most recent groundwater status evaluations.</w:t>
      </w:r>
      <w:r w:rsidR="00B07AB7">
        <w:t xml:space="preserve"> </w:t>
      </w:r>
    </w:p>
    <w:p w14:paraId="3D3552B8" w14:textId="55E47CFC" w:rsidR="00933E96" w:rsidRDefault="00933E96" w:rsidP="00933E96">
      <w:pPr>
        <w:jc w:val="both"/>
      </w:pPr>
      <w:r>
        <w:t>Water abstraction control measures defined in the Third River Basin Management Plan (RBMP) of Croatia provide the main reference framework, as comparable measures are not systematically defined in the Second Adriatic Sea River Basin Management Plan. The Croatian RBMP establishes a set of measures aimed at improving quantitative groundwater management, including:</w:t>
      </w:r>
    </w:p>
    <w:p w14:paraId="41B32201" w14:textId="77777777" w:rsidR="00933E96" w:rsidRDefault="00933E96" w:rsidP="00933E96">
      <w:pPr>
        <w:pStyle w:val="ListParagraph"/>
        <w:numPr>
          <w:ilvl w:val="0"/>
          <w:numId w:val="148"/>
        </w:numPr>
        <w:jc w:val="both"/>
      </w:pPr>
      <w:r>
        <w:t>strengthening control and monitoring of groundwater abstraction and its impacts on water bodies;</w:t>
      </w:r>
    </w:p>
    <w:p w14:paraId="102C4CF1" w14:textId="77777777" w:rsidR="00933E96" w:rsidRDefault="00933E96" w:rsidP="00933E96">
      <w:pPr>
        <w:pStyle w:val="ListParagraph"/>
        <w:numPr>
          <w:ilvl w:val="0"/>
          <w:numId w:val="148"/>
        </w:numPr>
        <w:jc w:val="both"/>
      </w:pPr>
      <w:r>
        <w:t>introducing mandatory cumulative impact assessments at early planning and project development stages;</w:t>
      </w:r>
    </w:p>
    <w:p w14:paraId="0E908575" w14:textId="77777777" w:rsidR="00933E96" w:rsidRDefault="00933E96" w:rsidP="00933E96">
      <w:pPr>
        <w:pStyle w:val="ListParagraph"/>
        <w:numPr>
          <w:ilvl w:val="0"/>
          <w:numId w:val="148"/>
        </w:numPr>
        <w:jc w:val="both"/>
      </w:pPr>
      <w:r>
        <w:t>developing methodologies and criteria for assessing abstraction impacts on hydrological parameters and ecological status;</w:t>
      </w:r>
    </w:p>
    <w:p w14:paraId="595C8D0E" w14:textId="77777777" w:rsidR="00933E96" w:rsidRDefault="00933E96" w:rsidP="00933E96">
      <w:pPr>
        <w:pStyle w:val="ListParagraph"/>
        <w:numPr>
          <w:ilvl w:val="0"/>
          <w:numId w:val="148"/>
        </w:numPr>
        <w:jc w:val="both"/>
      </w:pPr>
      <w:r>
        <w:t>promoting incentives to reduce water losses and increase water</w:t>
      </w:r>
      <w:r w:rsidRPr="00933E96">
        <w:rPr>
          <w:rFonts w:ascii="Cambria Math" w:hAnsi="Cambria Math" w:cs="Cambria Math"/>
        </w:rPr>
        <w:t>‑</w:t>
      </w:r>
      <w:r>
        <w:t>use efficiency;</w:t>
      </w:r>
    </w:p>
    <w:p w14:paraId="4E9C2ABA" w14:textId="5E5F4EBB" w:rsidR="00933E96" w:rsidRDefault="00933E96" w:rsidP="00933E96">
      <w:pPr>
        <w:pStyle w:val="ListParagraph"/>
        <w:numPr>
          <w:ilvl w:val="0"/>
          <w:numId w:val="148"/>
        </w:numPr>
        <w:jc w:val="both"/>
      </w:pPr>
      <w:r>
        <w:t>investing in water</w:t>
      </w:r>
      <w:r w:rsidRPr="00933E96">
        <w:rPr>
          <w:rFonts w:ascii="Cambria Math" w:hAnsi="Cambria Math" w:cs="Cambria Math"/>
        </w:rPr>
        <w:t>‑</w:t>
      </w:r>
      <w:r>
        <w:t>supply infrastructure to ensure compliance with drinking water standards and expand public network coverage and</w:t>
      </w:r>
    </w:p>
    <w:p w14:paraId="5D4D64B4" w14:textId="5F19986C" w:rsidR="00933E96" w:rsidRDefault="00933E96" w:rsidP="00933E96">
      <w:pPr>
        <w:pStyle w:val="ListParagraph"/>
        <w:numPr>
          <w:ilvl w:val="0"/>
          <w:numId w:val="148"/>
        </w:numPr>
        <w:jc w:val="both"/>
      </w:pPr>
      <w:r>
        <w:t>promoting public irrigation systems as an alternative to inefficient individual abstractions.</w:t>
      </w:r>
    </w:p>
    <w:p w14:paraId="7D1D3BFB" w14:textId="77777777" w:rsidR="00933E96" w:rsidRDefault="00933E96" w:rsidP="00933E96">
      <w:pPr>
        <w:jc w:val="both"/>
      </w:pPr>
      <w:r>
        <w:t>Analysis of data on abstracted water quantities for the period 2017–2019, compared with maximum permitted amounts defined in water permits, indicates that abstraction limits were exceeded in most groundwater bodies. Exceedances are significantly more pronounced for public water supply than for other types of water use. These findings point to the need for revising and aligning water</w:t>
      </w:r>
      <w:r>
        <w:rPr>
          <w:rFonts w:ascii="Cambria Math" w:hAnsi="Cambria Math" w:cs="Cambria Math"/>
        </w:rPr>
        <w:t>‑</w:t>
      </w:r>
      <w:r>
        <w:t>use permits, as well as for strengthening monitoring and inspection activities.</w:t>
      </w:r>
    </w:p>
    <w:p w14:paraId="3F27E635" w14:textId="77777777" w:rsidR="00933E96" w:rsidRDefault="00933E96" w:rsidP="00933E96">
      <w:pPr>
        <w:jc w:val="both"/>
      </w:pPr>
      <w:r>
        <w:t>When evaluating the impact of groundwater abstraction on the achievement of environmental objectives, particular attention is paid to losses within public water</w:t>
      </w:r>
      <w:r>
        <w:rPr>
          <w:rFonts w:ascii="Cambria Math" w:hAnsi="Cambria Math" w:cs="Cambria Math"/>
        </w:rPr>
        <w:t>‑</w:t>
      </w:r>
      <w:r>
        <w:t>supply systems, which in the Republic of Croatia are estimated at approximately 50%.</w:t>
      </w:r>
    </w:p>
    <w:p w14:paraId="3BA23561" w14:textId="1E37BAB5" w:rsidR="00B07AB7" w:rsidRDefault="002F4776" w:rsidP="002F4776">
      <w:pPr>
        <w:pStyle w:val="Caption"/>
      </w:pPr>
      <w:bookmarkStart w:id="218" w:name="_Toc229037746"/>
      <w:r>
        <w:t xml:space="preserve">Table </w:t>
      </w:r>
      <w:r>
        <w:fldChar w:fldCharType="begin"/>
      </w:r>
      <w:r>
        <w:instrText xml:space="preserve"> SEQ Table \* ARABIC </w:instrText>
      </w:r>
      <w:r>
        <w:fldChar w:fldCharType="separate"/>
      </w:r>
      <w:r>
        <w:rPr>
          <w:noProof/>
        </w:rPr>
        <w:t>24</w:t>
      </w:r>
      <w:r>
        <w:fldChar w:fldCharType="end"/>
      </w:r>
      <w:r>
        <w:t xml:space="preserve"> </w:t>
      </w:r>
      <w:r w:rsidRPr="00C43932">
        <w:t>List of basic measures for control of groundwater abstraction</w:t>
      </w:r>
      <w:bookmarkEnd w:id="21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07"/>
        <w:gridCol w:w="3209"/>
      </w:tblGrid>
      <w:tr w:rsidR="00B07AB7" w:rsidRPr="00933E96" w14:paraId="769C42E8" w14:textId="77777777" w:rsidTr="00933E96">
        <w:trPr>
          <w:tblHeader/>
          <w:tblCellSpacing w:w="15" w:type="dxa"/>
        </w:trPr>
        <w:tc>
          <w:tcPr>
            <w:tcW w:w="5762" w:type="dxa"/>
            <w:shd w:val="clear" w:color="auto" w:fill="B4C6E7"/>
            <w:vAlign w:val="center"/>
            <w:hideMark/>
          </w:tcPr>
          <w:p w14:paraId="58E68C8C" w14:textId="19AE53FB" w:rsidR="00B07AB7" w:rsidRPr="00933E96" w:rsidRDefault="00933E96" w:rsidP="00682BC9">
            <w:pPr>
              <w:rPr>
                <w:b/>
                <w:bCs/>
                <w:sz w:val="16"/>
                <w:szCs w:val="16"/>
              </w:rPr>
            </w:pPr>
            <w:r w:rsidRPr="00933E96">
              <w:rPr>
                <w:b/>
                <w:bCs/>
                <w:sz w:val="16"/>
                <w:szCs w:val="16"/>
              </w:rPr>
              <w:t>Measure</w:t>
            </w:r>
          </w:p>
        </w:tc>
        <w:tc>
          <w:tcPr>
            <w:tcW w:w="3164" w:type="dxa"/>
            <w:shd w:val="clear" w:color="auto" w:fill="B4C6E7"/>
            <w:vAlign w:val="center"/>
            <w:hideMark/>
          </w:tcPr>
          <w:p w14:paraId="1FAACD8C" w14:textId="41983BDB" w:rsidR="00B07AB7" w:rsidRPr="00933E96" w:rsidRDefault="00933E96" w:rsidP="00682BC9">
            <w:pPr>
              <w:rPr>
                <w:b/>
                <w:bCs/>
                <w:sz w:val="16"/>
                <w:szCs w:val="16"/>
              </w:rPr>
            </w:pPr>
            <w:r w:rsidRPr="00933E96">
              <w:rPr>
                <w:b/>
                <w:bCs/>
                <w:sz w:val="16"/>
                <w:szCs w:val="16"/>
              </w:rPr>
              <w:t>Responsible institution</w:t>
            </w:r>
          </w:p>
        </w:tc>
      </w:tr>
      <w:tr w:rsidR="00B07AB7" w:rsidRPr="00933E96" w14:paraId="57903AA3" w14:textId="77777777" w:rsidTr="00933E96">
        <w:trPr>
          <w:tblCellSpacing w:w="15" w:type="dxa"/>
        </w:trPr>
        <w:tc>
          <w:tcPr>
            <w:tcW w:w="5762" w:type="dxa"/>
            <w:vAlign w:val="center"/>
            <w:hideMark/>
          </w:tcPr>
          <w:p w14:paraId="63BFB052" w14:textId="77777777" w:rsidR="00B07AB7" w:rsidRPr="00933E96" w:rsidRDefault="00B07AB7" w:rsidP="00682BC9">
            <w:pPr>
              <w:rPr>
                <w:sz w:val="16"/>
                <w:szCs w:val="16"/>
              </w:rPr>
            </w:pPr>
            <w:r w:rsidRPr="00933E96">
              <w:rPr>
                <w:sz w:val="16"/>
                <w:szCs w:val="16"/>
              </w:rPr>
              <w:t xml:space="preserve">Improvement of the Water Information System regarding abstraction monitoring </w:t>
            </w:r>
          </w:p>
        </w:tc>
        <w:tc>
          <w:tcPr>
            <w:tcW w:w="3164" w:type="dxa"/>
            <w:vAlign w:val="center"/>
            <w:hideMark/>
          </w:tcPr>
          <w:p w14:paraId="4BDC2550" w14:textId="77777777" w:rsidR="00B07AB7" w:rsidRPr="00933E96" w:rsidRDefault="00B07AB7" w:rsidP="00682BC9">
            <w:pPr>
              <w:rPr>
                <w:sz w:val="16"/>
                <w:szCs w:val="16"/>
              </w:rPr>
            </w:pPr>
            <w:r w:rsidRPr="00933E96">
              <w:rPr>
                <w:sz w:val="16"/>
                <w:szCs w:val="16"/>
              </w:rPr>
              <w:t>Croatian Waters / Ministry</w:t>
            </w:r>
          </w:p>
        </w:tc>
      </w:tr>
      <w:tr w:rsidR="00B07AB7" w:rsidRPr="00933E96" w14:paraId="13CCA73A" w14:textId="77777777" w:rsidTr="00933E96">
        <w:trPr>
          <w:tblCellSpacing w:w="15" w:type="dxa"/>
        </w:trPr>
        <w:tc>
          <w:tcPr>
            <w:tcW w:w="5762" w:type="dxa"/>
            <w:vAlign w:val="center"/>
          </w:tcPr>
          <w:p w14:paraId="5326717B" w14:textId="77777777" w:rsidR="00B07AB7" w:rsidRPr="00933E96" w:rsidRDefault="00B07AB7" w:rsidP="00682BC9">
            <w:pPr>
              <w:rPr>
                <w:sz w:val="16"/>
                <w:szCs w:val="16"/>
              </w:rPr>
            </w:pPr>
            <w:r w:rsidRPr="00933E96">
              <w:rPr>
                <w:sz w:val="16"/>
                <w:szCs w:val="16"/>
              </w:rPr>
              <w:t>Implementation of mandatory water metering for all types of water abstraction and use (by revising Water Permits for all users)</w:t>
            </w:r>
          </w:p>
        </w:tc>
        <w:tc>
          <w:tcPr>
            <w:tcW w:w="3164" w:type="dxa"/>
            <w:vAlign w:val="center"/>
          </w:tcPr>
          <w:p w14:paraId="04DC559A" w14:textId="77777777" w:rsidR="00B07AB7" w:rsidRPr="00933E96" w:rsidRDefault="00B07AB7" w:rsidP="00682BC9">
            <w:pPr>
              <w:rPr>
                <w:sz w:val="16"/>
                <w:szCs w:val="16"/>
              </w:rPr>
            </w:pPr>
          </w:p>
        </w:tc>
      </w:tr>
      <w:tr w:rsidR="00B07AB7" w:rsidRPr="00933E96" w14:paraId="48FFE277" w14:textId="77777777" w:rsidTr="00933E96">
        <w:trPr>
          <w:tblCellSpacing w:w="15" w:type="dxa"/>
        </w:trPr>
        <w:tc>
          <w:tcPr>
            <w:tcW w:w="5762" w:type="dxa"/>
            <w:vAlign w:val="center"/>
            <w:hideMark/>
          </w:tcPr>
          <w:p w14:paraId="2D380AFA" w14:textId="77777777" w:rsidR="00B07AB7" w:rsidRPr="00933E96" w:rsidRDefault="00B07AB7" w:rsidP="00682BC9">
            <w:pPr>
              <w:rPr>
                <w:sz w:val="16"/>
                <w:szCs w:val="16"/>
              </w:rPr>
            </w:pPr>
            <w:r w:rsidRPr="00933E96">
              <w:rPr>
                <w:sz w:val="16"/>
                <w:szCs w:val="16"/>
              </w:rPr>
              <w:t>Monitoring and analysis of abstracted quantities and assessment of impacts on the quantitative status of groundwater bodies</w:t>
            </w:r>
          </w:p>
        </w:tc>
        <w:tc>
          <w:tcPr>
            <w:tcW w:w="3164" w:type="dxa"/>
            <w:vAlign w:val="center"/>
            <w:hideMark/>
          </w:tcPr>
          <w:p w14:paraId="5A09E76B" w14:textId="77777777" w:rsidR="00B07AB7" w:rsidRPr="00933E96" w:rsidRDefault="00B07AB7" w:rsidP="00682BC9">
            <w:pPr>
              <w:rPr>
                <w:sz w:val="16"/>
                <w:szCs w:val="16"/>
              </w:rPr>
            </w:pPr>
            <w:r w:rsidRPr="00933E96">
              <w:rPr>
                <w:sz w:val="16"/>
                <w:szCs w:val="16"/>
              </w:rPr>
              <w:t>Croatian Waters / Ministry</w:t>
            </w:r>
          </w:p>
        </w:tc>
      </w:tr>
      <w:tr w:rsidR="00B07AB7" w:rsidRPr="00933E96" w14:paraId="42773852" w14:textId="77777777" w:rsidTr="00933E96">
        <w:trPr>
          <w:tblCellSpacing w:w="15" w:type="dxa"/>
        </w:trPr>
        <w:tc>
          <w:tcPr>
            <w:tcW w:w="5762" w:type="dxa"/>
            <w:vAlign w:val="center"/>
            <w:hideMark/>
          </w:tcPr>
          <w:p w14:paraId="1B9FCCF8" w14:textId="77777777" w:rsidR="00B07AB7" w:rsidRPr="00933E96" w:rsidRDefault="00B07AB7" w:rsidP="00682BC9">
            <w:pPr>
              <w:rPr>
                <w:sz w:val="16"/>
                <w:szCs w:val="16"/>
              </w:rPr>
            </w:pPr>
            <w:r w:rsidRPr="00933E96">
              <w:rPr>
                <w:sz w:val="16"/>
                <w:szCs w:val="16"/>
              </w:rPr>
              <w:t>Application of temporary criteria (groundwater levels and renewable reserves) for reviewing and restricting abstraction rights</w:t>
            </w:r>
          </w:p>
        </w:tc>
        <w:tc>
          <w:tcPr>
            <w:tcW w:w="3164" w:type="dxa"/>
            <w:vAlign w:val="center"/>
            <w:hideMark/>
          </w:tcPr>
          <w:p w14:paraId="5C87027C" w14:textId="77777777" w:rsidR="00B07AB7" w:rsidRPr="00933E96" w:rsidRDefault="00B07AB7" w:rsidP="00682BC9">
            <w:pPr>
              <w:rPr>
                <w:sz w:val="16"/>
                <w:szCs w:val="16"/>
              </w:rPr>
            </w:pPr>
            <w:r w:rsidRPr="00933E96">
              <w:rPr>
                <w:sz w:val="16"/>
                <w:szCs w:val="16"/>
              </w:rPr>
              <w:t>Croatian Waters / Ministry</w:t>
            </w:r>
          </w:p>
        </w:tc>
      </w:tr>
      <w:tr w:rsidR="00B07AB7" w:rsidRPr="00933E96" w14:paraId="38F3E9E1" w14:textId="77777777" w:rsidTr="00933E96">
        <w:trPr>
          <w:tblCellSpacing w:w="15" w:type="dxa"/>
        </w:trPr>
        <w:tc>
          <w:tcPr>
            <w:tcW w:w="5762" w:type="dxa"/>
            <w:vAlign w:val="center"/>
            <w:hideMark/>
          </w:tcPr>
          <w:p w14:paraId="72B8837E" w14:textId="77777777" w:rsidR="00B07AB7" w:rsidRPr="00933E96" w:rsidRDefault="00B07AB7" w:rsidP="00682BC9">
            <w:pPr>
              <w:rPr>
                <w:sz w:val="16"/>
                <w:szCs w:val="16"/>
              </w:rPr>
            </w:pPr>
            <w:r w:rsidRPr="00933E96">
              <w:rPr>
                <w:sz w:val="16"/>
                <w:szCs w:val="16"/>
              </w:rPr>
              <w:t>Temporary reduction or suspension of abstraction rights in groundwater bodies failing or at risk of failing quantitative environmental objectives</w:t>
            </w:r>
          </w:p>
        </w:tc>
        <w:tc>
          <w:tcPr>
            <w:tcW w:w="3164" w:type="dxa"/>
            <w:vAlign w:val="center"/>
            <w:hideMark/>
          </w:tcPr>
          <w:p w14:paraId="2B997395" w14:textId="77777777" w:rsidR="00B07AB7" w:rsidRPr="00933E96" w:rsidRDefault="00B07AB7" w:rsidP="00682BC9">
            <w:pPr>
              <w:rPr>
                <w:sz w:val="16"/>
                <w:szCs w:val="16"/>
              </w:rPr>
            </w:pPr>
            <w:r w:rsidRPr="00933E96">
              <w:rPr>
                <w:sz w:val="16"/>
                <w:szCs w:val="16"/>
              </w:rPr>
              <w:t>Croatian Waters / Ministry</w:t>
            </w:r>
          </w:p>
        </w:tc>
      </w:tr>
      <w:tr w:rsidR="00B07AB7" w:rsidRPr="00933E96" w14:paraId="2A9C6670" w14:textId="77777777" w:rsidTr="00933E96">
        <w:trPr>
          <w:tblCellSpacing w:w="15" w:type="dxa"/>
        </w:trPr>
        <w:tc>
          <w:tcPr>
            <w:tcW w:w="5762" w:type="dxa"/>
            <w:vAlign w:val="center"/>
            <w:hideMark/>
          </w:tcPr>
          <w:p w14:paraId="006032E9" w14:textId="77777777" w:rsidR="00B07AB7" w:rsidRPr="00933E96" w:rsidRDefault="00B07AB7" w:rsidP="00682BC9">
            <w:pPr>
              <w:rPr>
                <w:sz w:val="16"/>
                <w:szCs w:val="16"/>
              </w:rPr>
            </w:pPr>
            <w:r w:rsidRPr="00933E96">
              <w:rPr>
                <w:sz w:val="16"/>
                <w:szCs w:val="16"/>
              </w:rPr>
              <w:t>Implementation of a water use rationalization programme, including reduction of losses in supply networks and promotion of water-efficient technologies (irrigation, industry, energy production)</w:t>
            </w:r>
          </w:p>
        </w:tc>
        <w:tc>
          <w:tcPr>
            <w:tcW w:w="3164" w:type="dxa"/>
            <w:vAlign w:val="center"/>
            <w:hideMark/>
          </w:tcPr>
          <w:p w14:paraId="058DC3C7" w14:textId="77777777" w:rsidR="00B07AB7" w:rsidRPr="00933E96" w:rsidRDefault="00B07AB7" w:rsidP="00682BC9">
            <w:pPr>
              <w:rPr>
                <w:sz w:val="16"/>
                <w:szCs w:val="16"/>
              </w:rPr>
            </w:pPr>
            <w:r w:rsidRPr="00933E96">
              <w:rPr>
                <w:sz w:val="16"/>
                <w:szCs w:val="16"/>
              </w:rPr>
              <w:t>Water Service Providers / Croatian Waters / Ministry</w:t>
            </w:r>
          </w:p>
        </w:tc>
      </w:tr>
      <w:tr w:rsidR="00B07AB7" w:rsidRPr="00933E96" w14:paraId="4FAA66CD" w14:textId="77777777" w:rsidTr="00933E96">
        <w:trPr>
          <w:tblCellSpacing w:w="15" w:type="dxa"/>
        </w:trPr>
        <w:tc>
          <w:tcPr>
            <w:tcW w:w="5762" w:type="dxa"/>
            <w:vAlign w:val="center"/>
            <w:hideMark/>
          </w:tcPr>
          <w:p w14:paraId="4D12A0ED" w14:textId="77777777" w:rsidR="00B07AB7" w:rsidRPr="00933E96" w:rsidRDefault="00B07AB7" w:rsidP="00682BC9">
            <w:pPr>
              <w:rPr>
                <w:sz w:val="16"/>
                <w:szCs w:val="16"/>
              </w:rPr>
            </w:pPr>
            <w:r w:rsidRPr="00933E96">
              <w:rPr>
                <w:sz w:val="16"/>
                <w:szCs w:val="16"/>
              </w:rPr>
              <w:lastRenderedPageBreak/>
              <w:t>Preparation of expert assessments of cumulative impacts of planned abstractions, particularly in areas with poor quantitative status or significant environmental pressures</w:t>
            </w:r>
          </w:p>
        </w:tc>
        <w:tc>
          <w:tcPr>
            <w:tcW w:w="3164" w:type="dxa"/>
            <w:vAlign w:val="center"/>
            <w:hideMark/>
          </w:tcPr>
          <w:p w14:paraId="5EB48DA2" w14:textId="77777777" w:rsidR="00B07AB7" w:rsidRPr="00933E96" w:rsidRDefault="00B07AB7" w:rsidP="00682BC9">
            <w:pPr>
              <w:rPr>
                <w:sz w:val="16"/>
                <w:szCs w:val="16"/>
              </w:rPr>
            </w:pPr>
            <w:r w:rsidRPr="00933E96">
              <w:rPr>
                <w:sz w:val="16"/>
                <w:szCs w:val="16"/>
              </w:rPr>
              <w:t>Croatian Waters / Ministry</w:t>
            </w:r>
          </w:p>
        </w:tc>
      </w:tr>
      <w:tr w:rsidR="00B07AB7" w:rsidRPr="00933E96" w14:paraId="74A1178A" w14:textId="77777777" w:rsidTr="00933E96">
        <w:trPr>
          <w:tblCellSpacing w:w="15" w:type="dxa"/>
        </w:trPr>
        <w:tc>
          <w:tcPr>
            <w:tcW w:w="5762" w:type="dxa"/>
            <w:vAlign w:val="center"/>
            <w:hideMark/>
          </w:tcPr>
          <w:p w14:paraId="5736B657" w14:textId="77777777" w:rsidR="00B07AB7" w:rsidRPr="00933E96" w:rsidRDefault="00B07AB7" w:rsidP="00682BC9">
            <w:pPr>
              <w:rPr>
                <w:sz w:val="16"/>
                <w:szCs w:val="16"/>
              </w:rPr>
            </w:pPr>
            <w:r w:rsidRPr="00933E96">
              <w:rPr>
                <w:sz w:val="16"/>
                <w:szCs w:val="16"/>
              </w:rPr>
              <w:t>Requirement for new projects to incorporate water-efficient technologies and ensure environmentally acceptable flow at the design stage</w:t>
            </w:r>
          </w:p>
        </w:tc>
        <w:tc>
          <w:tcPr>
            <w:tcW w:w="3164" w:type="dxa"/>
            <w:vAlign w:val="center"/>
            <w:hideMark/>
          </w:tcPr>
          <w:p w14:paraId="68FE08B6" w14:textId="77777777" w:rsidR="00B07AB7" w:rsidRPr="00933E96" w:rsidRDefault="00B07AB7" w:rsidP="00682BC9">
            <w:pPr>
              <w:rPr>
                <w:sz w:val="16"/>
                <w:szCs w:val="16"/>
              </w:rPr>
            </w:pPr>
            <w:r w:rsidRPr="00933E96">
              <w:rPr>
                <w:sz w:val="16"/>
                <w:szCs w:val="16"/>
              </w:rPr>
              <w:t>Competent Authorities / Croatian Waters / Ministry</w:t>
            </w:r>
          </w:p>
        </w:tc>
      </w:tr>
    </w:tbl>
    <w:p w14:paraId="4A1A5997" w14:textId="77777777" w:rsidR="00933E96" w:rsidRDefault="00933E96" w:rsidP="00933E96">
      <w:pPr>
        <w:pStyle w:val="NoSpacing"/>
      </w:pPr>
    </w:p>
    <w:p w14:paraId="53D375EC" w14:textId="36C54CA6" w:rsidR="00933E96" w:rsidRDefault="00933E96" w:rsidP="00933E96">
      <w:pPr>
        <w:jc w:val="both"/>
      </w:pPr>
      <w:r>
        <w:t>Although water abstraction control measures are clearly identified, the existing planning and legal framework does not sufficiently address the need for systematic quantitative monitoring in karst aquifers. In particular, the importance of regular measurements of karst spring discharge and groundwater levels in representative piezometers is not explicitly reflected.</w:t>
      </w:r>
    </w:p>
    <w:p w14:paraId="725FC6CF" w14:textId="77777777" w:rsidR="00933E96" w:rsidRDefault="00933E96" w:rsidP="00933E96">
      <w:pPr>
        <w:jc w:val="both"/>
      </w:pPr>
      <w:r>
        <w:t>To address this gap, systematic measurement of discharge at major karst springs, including both overflow and abstraction volumes, should be established, together with continuous or regular monitoring of groundwater levels in representative piezometers where technically feasible.</w:t>
      </w:r>
    </w:p>
    <w:p w14:paraId="247FB54E" w14:textId="5F5AD880" w:rsidR="00B07AB7" w:rsidRPr="00345D07" w:rsidRDefault="00933E96" w:rsidP="00933E96">
      <w:pPr>
        <w:jc w:val="both"/>
      </w:pPr>
      <w:r>
        <w:t>The establishment of a coherent national quantitative monitoring system is a prerequisite for developing reliable water balances and for improving the robustness of quantitative status assessments of groundwater bodies.</w:t>
      </w:r>
    </w:p>
    <w:bookmarkEnd w:id="217"/>
    <w:p w14:paraId="583EB74D" w14:textId="77777777" w:rsidR="00933E96" w:rsidRDefault="00933E96" w:rsidP="00B07AB7">
      <w:pPr>
        <w:pStyle w:val="Heading2"/>
      </w:pPr>
    </w:p>
    <w:p w14:paraId="525B3140" w14:textId="3CFCEE77" w:rsidR="00B07AB7" w:rsidRPr="00933E96" w:rsidRDefault="00B07AB7" w:rsidP="00933E96">
      <w:pPr>
        <w:pStyle w:val="Heading2"/>
        <w:rPr>
          <w:lang w:val="en-GB"/>
        </w:rPr>
      </w:pPr>
      <w:bookmarkStart w:id="219" w:name="_Toc229036286"/>
      <w:r w:rsidRPr="00933E96">
        <w:rPr>
          <w:lang w:val="en-GB"/>
        </w:rPr>
        <w:t>9.</w:t>
      </w:r>
      <w:r w:rsidR="00933E96" w:rsidRPr="00933E96">
        <w:rPr>
          <w:lang w:val="en-GB"/>
        </w:rPr>
        <w:t>6</w:t>
      </w:r>
      <w:r w:rsidRPr="00933E96">
        <w:rPr>
          <w:lang w:val="en-GB"/>
        </w:rPr>
        <w:t xml:space="preserve"> Land</w:t>
      </w:r>
      <w:r w:rsidRPr="00933E96">
        <w:rPr>
          <w:rFonts w:ascii="Cambria Math" w:hAnsi="Cambria Math" w:cs="Cambria Math"/>
          <w:lang w:val="en-GB"/>
        </w:rPr>
        <w:t>‑</w:t>
      </w:r>
      <w:r w:rsidRPr="00933E96">
        <w:rPr>
          <w:lang w:val="en-GB"/>
        </w:rPr>
        <w:t>use planning tools for groundwater vulnerability mitigation</w:t>
      </w:r>
      <w:bookmarkEnd w:id="219"/>
    </w:p>
    <w:p w14:paraId="5F395C85" w14:textId="467BFCEB" w:rsidR="00FC0235" w:rsidRPr="00FC0235" w:rsidRDefault="00FC0235" w:rsidP="00FC0235">
      <w:pPr>
        <w:jc w:val="both"/>
        <w:rPr>
          <w:rFonts w:cstheme="minorHAnsi"/>
        </w:rPr>
      </w:pPr>
      <w:r w:rsidRPr="00FC0235">
        <w:rPr>
          <w:rFonts w:cstheme="minorHAnsi"/>
        </w:rPr>
        <w:t>Land</w:t>
      </w:r>
      <w:r w:rsidRPr="00FC0235">
        <w:rPr>
          <w:rFonts w:ascii="Cambria Math" w:hAnsi="Cambria Math" w:cs="Cambria Math"/>
        </w:rPr>
        <w:t>‑</w:t>
      </w:r>
      <w:r w:rsidRPr="00FC0235">
        <w:rPr>
          <w:rFonts w:cstheme="minorHAnsi"/>
        </w:rPr>
        <w:t>use planning represents a key preventive instrument for the protection of highly vulnerable karst aquifers, including Neretva TBA. Owing to the strong hydraulic connectivity between recharge areas in Bosnia and Herzegovina and discharge zones in the Republic of Croatia, spatial planning decisions taken in one part of the aquifer may have direct and rapid effects on groundwater quantity and quality across the border. Integration of groundwater protection principles into spatial planning frameworks is therefore essential for the long</w:t>
      </w:r>
      <w:r w:rsidRPr="00FC0235">
        <w:rPr>
          <w:rFonts w:ascii="Cambria Math" w:hAnsi="Cambria Math" w:cs="Cambria Math"/>
        </w:rPr>
        <w:t>‑</w:t>
      </w:r>
      <w:r w:rsidRPr="00FC0235">
        <w:rPr>
          <w:rFonts w:cstheme="minorHAnsi"/>
        </w:rPr>
        <w:t>term sustainability of drinking</w:t>
      </w:r>
      <w:r w:rsidRPr="00FC0235">
        <w:rPr>
          <w:rFonts w:ascii="Cambria Math" w:hAnsi="Cambria Math" w:cs="Cambria Math"/>
        </w:rPr>
        <w:t>‑</w:t>
      </w:r>
      <w:r w:rsidRPr="00FC0235">
        <w:rPr>
          <w:rFonts w:cstheme="minorHAnsi"/>
        </w:rPr>
        <w:t>water sources and groundwater</w:t>
      </w:r>
      <w:r w:rsidRPr="00FC0235">
        <w:rPr>
          <w:rFonts w:ascii="Cambria Math" w:hAnsi="Cambria Math" w:cs="Cambria Math"/>
        </w:rPr>
        <w:t>‑</w:t>
      </w:r>
      <w:r w:rsidRPr="00FC0235">
        <w:rPr>
          <w:rFonts w:cstheme="minorHAnsi"/>
        </w:rPr>
        <w:t>dependent ecosystems.</w:t>
      </w:r>
    </w:p>
    <w:p w14:paraId="5818321A" w14:textId="4ABC437D" w:rsidR="00FC0235" w:rsidRPr="00FC0235" w:rsidRDefault="00FC0235" w:rsidP="00FC0235">
      <w:pPr>
        <w:jc w:val="both"/>
        <w:rPr>
          <w:rFonts w:cstheme="minorHAnsi"/>
        </w:rPr>
      </w:pPr>
      <w:r w:rsidRPr="00FC0235">
        <w:rPr>
          <w:rFonts w:cstheme="minorHAnsi"/>
        </w:rPr>
        <w:t xml:space="preserve">Within Neretva TBA, the role of spatial planning is particularly significant in view of diffuse agricultural pressures, incomplete wastewater infrastructure in certain areas, and the environmental sensitivity of downstream systems such as the Neretva </w:t>
      </w:r>
      <w:r w:rsidR="003108B4">
        <w:rPr>
          <w:rFonts w:cstheme="minorHAnsi"/>
        </w:rPr>
        <w:t>Delta</w:t>
      </w:r>
      <w:r w:rsidRPr="00FC0235">
        <w:rPr>
          <w:rFonts w:cstheme="minorHAnsi"/>
        </w:rPr>
        <w:t>. Although sanitary protection zones have been established for several key water sources, their implementation and harmonisation across administrative and national boundaries remain uneven. In Bosnia and Herzegovina, not all sources are covered by formally adopted protection zones, while in Croatia existing zones are in place but in some cases require revision and alignment with updated vulnerability assessments. These differences indicate the need for more consistent integration of groundwater protection objectives into transboundary land</w:t>
      </w:r>
      <w:r w:rsidRPr="00FC0235">
        <w:rPr>
          <w:rFonts w:ascii="Cambria Math" w:hAnsi="Cambria Math" w:cs="Cambria Math"/>
        </w:rPr>
        <w:t>‑</w:t>
      </w:r>
      <w:r w:rsidRPr="00FC0235">
        <w:rPr>
          <w:rFonts w:cstheme="minorHAnsi"/>
        </w:rPr>
        <w:t>use planning processes.</w:t>
      </w:r>
    </w:p>
    <w:p w14:paraId="61A37552" w14:textId="2DE142A9" w:rsidR="00B07AB7" w:rsidRPr="00FC0235" w:rsidRDefault="00FC0235" w:rsidP="00FC0235">
      <w:pPr>
        <w:pStyle w:val="Heading3"/>
        <w:rPr>
          <w:lang w:val="en-GB"/>
        </w:rPr>
      </w:pPr>
      <w:bookmarkStart w:id="220" w:name="_Toc229036287"/>
      <w:r w:rsidRPr="00FC0235">
        <w:rPr>
          <w:lang w:val="en-GB"/>
        </w:rPr>
        <w:t xml:space="preserve">9.6.1 </w:t>
      </w:r>
      <w:r w:rsidR="00B07AB7" w:rsidRPr="00FC0235">
        <w:rPr>
          <w:lang w:val="en-GB"/>
        </w:rPr>
        <w:t>Key spatial planning instruments</w:t>
      </w:r>
      <w:bookmarkEnd w:id="220"/>
    </w:p>
    <w:p w14:paraId="56D8B3C3" w14:textId="383E1CF3" w:rsidR="00B07AB7" w:rsidRPr="002F7519" w:rsidRDefault="00FC0235" w:rsidP="00FC0235">
      <w:pPr>
        <w:pStyle w:val="Heading4"/>
        <w:rPr>
          <w:lang w:val="en-GB"/>
        </w:rPr>
      </w:pPr>
      <w:r w:rsidRPr="002F7519">
        <w:rPr>
          <w:lang w:val="en-GB"/>
        </w:rPr>
        <w:t xml:space="preserve">9.6.1.1 </w:t>
      </w:r>
      <w:r w:rsidR="00B07AB7" w:rsidRPr="002F7519">
        <w:rPr>
          <w:lang w:val="en-GB"/>
        </w:rPr>
        <w:t>Zoning and regulatory measures</w:t>
      </w:r>
    </w:p>
    <w:p w14:paraId="0CE3D3BA" w14:textId="7E7A03FF" w:rsidR="00FC0235" w:rsidRDefault="00FC0235" w:rsidP="00FC0235">
      <w:pPr>
        <w:jc w:val="both"/>
      </w:pPr>
      <w:r>
        <w:t>Zoning constitutes a primary preventive instrument for groundwater protection by establishing a spatial framework within which land</w:t>
      </w:r>
      <w:r w:rsidRPr="00FC0235">
        <w:rPr>
          <w:rFonts w:ascii="Cambria Math" w:hAnsi="Cambria Math" w:cs="Cambria Math"/>
        </w:rPr>
        <w:t>‑</w:t>
      </w:r>
      <w:r>
        <w:t>use restrictions are defined and enforced. In highly vulnerable karst areas, including recharge zones, dolines, sinkholes, and spring catchments, strict protection zones should be delineated and incorporated into spatial planning documents. Within such zones, activities associated with an increased risk of contamination</w:t>
      </w:r>
      <w:r>
        <w:rPr>
          <w:rFonts w:ascii="Calibri" w:hAnsi="Calibri" w:cs="Calibri"/>
        </w:rPr>
        <w:t xml:space="preserve"> - </w:t>
      </w:r>
      <w:r>
        <w:t xml:space="preserve">such as intensive agricultural practices, </w:t>
      </w:r>
      <w:r>
        <w:lastRenderedPageBreak/>
        <w:t>uncontrolled urban development, industrial activities, and waste disposal - require appropriate restrictions or prohibition due to the potential for rapid pollutant transport into groundwater.</w:t>
      </w:r>
    </w:p>
    <w:p w14:paraId="5B2E7A53" w14:textId="5253E116" w:rsidR="00FC0235" w:rsidRDefault="00FC0235" w:rsidP="00FC0235">
      <w:pPr>
        <w:spacing w:before="120" w:after="120" w:line="240" w:lineRule="auto"/>
        <w:jc w:val="both"/>
      </w:pPr>
      <w:r>
        <w:t>In Neretva TBA, a multi</w:t>
      </w:r>
      <w:r w:rsidRPr="00FC0235">
        <w:rPr>
          <w:rFonts w:ascii="Cambria Math" w:hAnsi="Cambria Math" w:cs="Cambria Math"/>
        </w:rPr>
        <w:t>‑</w:t>
      </w:r>
      <w:r>
        <w:t>tiered zoning system surrounding springs and key recharge areas is of particular importance, reflecting the rapid and highly responsive nature of groundwater flow in karst systems. The establishment of buffer zones can provide an additional level of protection by limiting diffuse pollution sources and reducing surface runoff impacts prior to infiltration into the subsurface.</w:t>
      </w:r>
      <w:r w:rsidR="00B07AB7" w:rsidRPr="001B2258">
        <w:t xml:space="preserve"> </w:t>
      </w:r>
    </w:p>
    <w:p w14:paraId="1FF083B5" w14:textId="7067FFDA" w:rsidR="00B07AB7" w:rsidRPr="002F7519" w:rsidRDefault="00FC0235" w:rsidP="00FC0235">
      <w:pPr>
        <w:pStyle w:val="Heading4"/>
        <w:rPr>
          <w:lang w:val="en-GB"/>
        </w:rPr>
      </w:pPr>
      <w:r w:rsidRPr="002F7519">
        <w:rPr>
          <w:lang w:val="en-GB"/>
        </w:rPr>
        <w:t xml:space="preserve">9.6.1.2 </w:t>
      </w:r>
      <w:r w:rsidR="00B07AB7" w:rsidRPr="002F7519">
        <w:rPr>
          <w:lang w:val="en-GB"/>
        </w:rPr>
        <w:t>Integration into spatial plans as a binding instrument</w:t>
      </w:r>
    </w:p>
    <w:p w14:paraId="6674225A" w14:textId="77777777" w:rsidR="00FC0235" w:rsidRDefault="00FC0235" w:rsidP="00FC0235">
      <w:pPr>
        <w:jc w:val="both"/>
      </w:pPr>
      <w:r>
        <w:t>The integration of groundwater protection zones into legally binding spatial and urban plans is a key mechanism for ensuring effective implementation of groundwater protection measures. Once incorporated, protection zones translate hydrogeological assessments into enforceable land</w:t>
      </w:r>
      <w:r w:rsidRPr="00FC0235">
        <w:rPr>
          <w:rFonts w:ascii="Cambria Math" w:hAnsi="Cambria Math" w:cs="Cambria Math"/>
        </w:rPr>
        <w:t>‑</w:t>
      </w:r>
      <w:r>
        <w:t>use conditions, directly linking groundwater vulnerability considerations with spatial development decisions.</w:t>
      </w:r>
    </w:p>
    <w:p w14:paraId="40F6ADBA" w14:textId="6FDAFBF4" w:rsidR="00FC0235" w:rsidRDefault="00FC0235" w:rsidP="00FC0235">
      <w:pPr>
        <w:jc w:val="both"/>
      </w:pPr>
      <w:r>
        <w:t>In the context of Neretva TBA, effective application of this instrument requires several complementary measures. Harmonisation of protection criteria for across neighbouring administrative units and across national borders is necessary where the same aquifer is shared, to avoid regulatory gaps and inconsistent land</w:t>
      </w:r>
      <w:r w:rsidRPr="00FC0235">
        <w:rPr>
          <w:rFonts w:ascii="Cambria Math" w:hAnsi="Cambria Math" w:cs="Cambria Math"/>
        </w:rPr>
        <w:t>‑</w:t>
      </w:r>
      <w:r>
        <w:t>use controls. Protection zones should also be subject to regular revision based on updated hydrogeological data, with corresponding amendments to spatial plans to maintain legal validity. In addition, groundwater protection zoning should be aligned with sectoral planning instruments, including agriculture, flood risk management, infrastructure development, and biodiversity protection, to support integrated and coherent spatial planning.</w:t>
      </w:r>
    </w:p>
    <w:p w14:paraId="788D2D22" w14:textId="44046D5B" w:rsidR="00B07AB7" w:rsidRPr="002F7519" w:rsidRDefault="00FC0235" w:rsidP="00FC0235">
      <w:pPr>
        <w:pStyle w:val="Heading4"/>
        <w:rPr>
          <w:lang w:val="en-GB"/>
        </w:rPr>
      </w:pPr>
      <w:r w:rsidRPr="002F7519">
        <w:rPr>
          <w:lang w:val="en-GB"/>
        </w:rPr>
        <w:t xml:space="preserve">9.6.1.3 </w:t>
      </w:r>
      <w:r w:rsidR="00B07AB7" w:rsidRPr="002F7519">
        <w:rPr>
          <w:lang w:val="en-GB"/>
        </w:rPr>
        <w:t>Environmental Impact Assessment (EIA)</w:t>
      </w:r>
    </w:p>
    <w:p w14:paraId="537EA33B" w14:textId="77777777" w:rsidR="00FC0235" w:rsidRDefault="00FC0235" w:rsidP="00FC0235">
      <w:pPr>
        <w:jc w:val="both"/>
      </w:pPr>
      <w:r>
        <w:t>Infrastructure and development projects located within groundwater protection zones or in sensitive recharge areas require detailed hydrogeological assessment as part of the environmental impact assessment (EIA) procedure. Construction may be considered acceptable only where assessment results demonstrate that groundwater vulnerability and protection objectives will not be significantly affected.</w:t>
      </w:r>
    </w:p>
    <w:p w14:paraId="5B095F6B" w14:textId="49369984" w:rsidR="00B07AB7" w:rsidRPr="001B2258" w:rsidRDefault="00FC0235" w:rsidP="00FC0235">
      <w:pPr>
        <w:jc w:val="both"/>
      </w:pPr>
      <w:r>
        <w:t>In transboundary settings such as Neretva TBA, the alignment of EIA requirements between Bosnia and Herzegovina and the Republic of Croatia is particularly important. Harmonised assessment criteria and procedures help ensure that developments in upstream areas do not produce adverse impacts on downstream groundwater resources and associated users across national boundaries.</w:t>
      </w:r>
    </w:p>
    <w:p w14:paraId="119E85A2" w14:textId="181112E1" w:rsidR="00B07AB7" w:rsidRPr="002F7519" w:rsidRDefault="008B50B4" w:rsidP="008B50B4">
      <w:pPr>
        <w:pStyle w:val="Heading4"/>
        <w:rPr>
          <w:lang w:val="en-GB"/>
        </w:rPr>
      </w:pPr>
      <w:r w:rsidRPr="002F7519">
        <w:rPr>
          <w:lang w:val="en-GB"/>
        </w:rPr>
        <w:t xml:space="preserve">9.6.1.4 </w:t>
      </w:r>
      <w:r w:rsidR="00B07AB7" w:rsidRPr="002F7519">
        <w:rPr>
          <w:lang w:val="en-GB"/>
        </w:rPr>
        <w:t>Regulation of agricultural activities</w:t>
      </w:r>
    </w:p>
    <w:p w14:paraId="0E1B4B2E" w14:textId="415DC255" w:rsidR="008B50B4" w:rsidRDefault="008B50B4" w:rsidP="008B50B4">
      <w:pPr>
        <w:spacing w:line="247" w:lineRule="auto"/>
        <w:jc w:val="both"/>
      </w:pPr>
      <w:r>
        <w:t>Agriculture represents a significant source of pressure within Neretva TBA, primarily through diffuse pollution associated with the use of fertilizers, pesticides, and inadequate manure management practices. Land</w:t>
      </w:r>
      <w:r w:rsidRPr="008B50B4">
        <w:rPr>
          <w:rFonts w:ascii="Cambria Math" w:hAnsi="Cambria Math" w:cs="Cambria Math"/>
        </w:rPr>
        <w:t>‑</w:t>
      </w:r>
      <w:r>
        <w:t>use planning therefore plays an important role in supporting regulatory frameworks that encourage low</w:t>
      </w:r>
      <w:r w:rsidRPr="008B50B4">
        <w:rPr>
          <w:rFonts w:ascii="Cambria Math" w:hAnsi="Cambria Math" w:cs="Cambria Math"/>
        </w:rPr>
        <w:t>‑</w:t>
      </w:r>
      <w:r>
        <w:t>input and precision agricultural approaches, with the aim of reducing contaminant leaching into the karst aquifer system.</w:t>
      </w:r>
    </w:p>
    <w:p w14:paraId="56E003F8" w14:textId="77777777" w:rsidR="008B50B4" w:rsidRDefault="008B50B4" w:rsidP="008B50B4">
      <w:pPr>
        <w:spacing w:line="247" w:lineRule="auto"/>
        <w:jc w:val="both"/>
      </w:pPr>
      <w:r>
        <w:t>Relevant measures include controlled application of fertilizers, the establishment of vegetated buffer strips along watercourses and key recharge features, and the protection of karst</w:t>
      </w:r>
      <w:r w:rsidRPr="008B50B4">
        <w:rPr>
          <w:rFonts w:ascii="Cambria Math" w:hAnsi="Cambria Math" w:cs="Cambria Math"/>
        </w:rPr>
        <w:t>‑</w:t>
      </w:r>
      <w:r>
        <w:t>sensitive areas from intensive agricultural expansion. Soil conservation practices, such as cover cropping, agroforestry, and erosion control, may be incorporated into agricultural zoning and land</w:t>
      </w:r>
      <w:r w:rsidRPr="008B50B4">
        <w:rPr>
          <w:rFonts w:ascii="Cambria Math" w:hAnsi="Cambria Math" w:cs="Cambria Math"/>
        </w:rPr>
        <w:t>‑</w:t>
      </w:r>
      <w:r>
        <w:t xml:space="preserve">use schemes, particularly in vulnerable recharge areas, including </w:t>
      </w:r>
      <w:proofErr w:type="spellStart"/>
      <w:r>
        <w:t>Ljubu</w:t>
      </w:r>
      <w:r w:rsidRPr="008B50B4">
        <w:rPr>
          <w:rFonts w:ascii="Calibri" w:hAnsi="Calibri" w:cs="Calibri"/>
        </w:rPr>
        <w:t>š</w:t>
      </w:r>
      <w:r>
        <w:t>ko</w:t>
      </w:r>
      <w:proofErr w:type="spellEnd"/>
      <w:r>
        <w:t xml:space="preserve"> Polje and the wider catchment area of the </w:t>
      </w:r>
      <w:proofErr w:type="spellStart"/>
      <w:r>
        <w:t>Prud</w:t>
      </w:r>
      <w:proofErr w:type="spellEnd"/>
      <w:r>
        <w:t xml:space="preserve"> Spring.</w:t>
      </w:r>
    </w:p>
    <w:p w14:paraId="47BADE88" w14:textId="237F269E" w:rsidR="00B07AB7" w:rsidRPr="002F7519" w:rsidRDefault="008B50B4" w:rsidP="008B50B4">
      <w:pPr>
        <w:pStyle w:val="Heading4"/>
        <w:rPr>
          <w:lang w:val="en-GB"/>
        </w:rPr>
      </w:pPr>
      <w:r w:rsidRPr="002F7519">
        <w:rPr>
          <w:lang w:val="en-GB"/>
        </w:rPr>
        <w:lastRenderedPageBreak/>
        <w:t xml:space="preserve">9.6.1.5 </w:t>
      </w:r>
      <w:r w:rsidR="00B07AB7" w:rsidRPr="002F7519">
        <w:rPr>
          <w:lang w:val="en-GB"/>
        </w:rPr>
        <w:t>Nature-based solutions</w:t>
      </w:r>
    </w:p>
    <w:p w14:paraId="6D543891" w14:textId="506208FD" w:rsidR="008B50B4" w:rsidRPr="008B50B4" w:rsidRDefault="008B50B4" w:rsidP="008B50B4">
      <w:pPr>
        <w:jc w:val="both"/>
        <w:rPr>
          <w:rFonts w:cstheme="minorHAnsi"/>
        </w:rPr>
      </w:pPr>
      <w:r w:rsidRPr="008B50B4">
        <w:rPr>
          <w:rFonts w:cstheme="minorHAnsi"/>
        </w:rPr>
        <w:t>Nature</w:t>
      </w:r>
      <w:r w:rsidRPr="008B50B4">
        <w:rPr>
          <w:rFonts w:ascii="Cambria Math" w:hAnsi="Cambria Math" w:cs="Cambria Math"/>
        </w:rPr>
        <w:t>‑</w:t>
      </w:r>
      <w:r w:rsidRPr="008B50B4">
        <w:rPr>
          <w:rFonts w:cstheme="minorHAnsi"/>
        </w:rPr>
        <w:t xml:space="preserve">based solutions represent an important complementary approach to engineered infrastructure in reducing groundwater vulnerability. Wetlands, riparian buffer zones, and forested areas function as natural filtration systems that reduce nutrient loads and improve water quality prior to infiltration into the karst aquifer. In the Neretva </w:t>
      </w:r>
      <w:r w:rsidR="003108B4">
        <w:rPr>
          <w:rFonts w:cstheme="minorHAnsi"/>
        </w:rPr>
        <w:t>Delta</w:t>
      </w:r>
      <w:r w:rsidRPr="008B50B4">
        <w:rPr>
          <w:rFonts w:cstheme="minorHAnsi"/>
        </w:rPr>
        <w:t>, such solutions are of relevance for mitigating salinization risks and supporting the resilience of groundwater</w:t>
      </w:r>
      <w:r w:rsidRPr="008B50B4">
        <w:rPr>
          <w:rFonts w:ascii="Cambria Math" w:hAnsi="Cambria Math" w:cs="Cambria Math"/>
        </w:rPr>
        <w:t>‑</w:t>
      </w:r>
      <w:r w:rsidRPr="008B50B4">
        <w:rPr>
          <w:rFonts w:cstheme="minorHAnsi"/>
        </w:rPr>
        <w:t>dependent ecosystems.</w:t>
      </w:r>
    </w:p>
    <w:p w14:paraId="16677095" w14:textId="06B25D2F" w:rsidR="00B07AB7" w:rsidRPr="008B50B4" w:rsidRDefault="008B50B4" w:rsidP="008B50B4">
      <w:pPr>
        <w:jc w:val="both"/>
        <w:rPr>
          <w:rFonts w:cstheme="minorHAnsi"/>
        </w:rPr>
      </w:pPr>
      <w:r w:rsidRPr="008B50B4">
        <w:rPr>
          <w:rFonts w:cstheme="minorHAnsi"/>
        </w:rPr>
        <w:t xml:space="preserve">At the same time, the upgrading of wastewater collection, treatment, and drainage infrastructure remains essential to prevent direct contamination of groundwater. The most effective protection approach combines engineered systems with natural retention and filtration functions, thereby enhancing overall aquifer resilience and reducing pressure on vulnerable karst </w:t>
      </w:r>
      <w:r>
        <w:rPr>
          <w:rFonts w:cstheme="minorHAnsi"/>
        </w:rPr>
        <w:t>aquifers</w:t>
      </w:r>
      <w:r w:rsidRPr="008B50B4">
        <w:rPr>
          <w:rFonts w:cstheme="minorHAnsi"/>
        </w:rPr>
        <w:t>.</w:t>
      </w:r>
    </w:p>
    <w:p w14:paraId="181F862B" w14:textId="77777777" w:rsidR="00B07AB7" w:rsidRDefault="00B07AB7" w:rsidP="00F33BE0">
      <w:pPr>
        <w:jc w:val="both"/>
        <w:rPr>
          <w:rFonts w:cstheme="minorHAnsi"/>
        </w:rPr>
      </w:pPr>
    </w:p>
    <w:p w14:paraId="378E4714" w14:textId="4AD37FB3" w:rsidR="00DE7B83" w:rsidRPr="00DE7B83" w:rsidRDefault="00DE7B83" w:rsidP="00DE7B83">
      <w:pPr>
        <w:pStyle w:val="Heading1"/>
        <w:jc w:val="both"/>
        <w:rPr>
          <w:color w:val="EE0000"/>
          <w:lang w:val="en-GB"/>
        </w:rPr>
      </w:pPr>
      <w:bookmarkStart w:id="221" w:name="_Toc229036288"/>
      <w:r w:rsidRPr="00DE7B83">
        <w:rPr>
          <w:bCs/>
          <w:lang w:val="en-GB"/>
        </w:rPr>
        <w:t xml:space="preserve">10. </w:t>
      </w:r>
      <w:r w:rsidRPr="00DE7B83">
        <w:rPr>
          <w:lang w:val="en-GB"/>
        </w:rPr>
        <w:t>Development of multi-purpose monitoring networks of surface water, groundwater and groundwater-dependent ecosystems</w:t>
      </w:r>
      <w:bookmarkEnd w:id="221"/>
    </w:p>
    <w:p w14:paraId="1DC25E32" w14:textId="09C0BC52" w:rsidR="00DE7B83" w:rsidRPr="00DE7B83" w:rsidRDefault="00DE7B83" w:rsidP="00DE7B83">
      <w:pPr>
        <w:pStyle w:val="Heading2"/>
        <w:rPr>
          <w:lang w:val="en-GB"/>
        </w:rPr>
      </w:pPr>
      <w:bookmarkStart w:id="222" w:name="_Toc229036289"/>
      <w:r w:rsidRPr="00DE7B83">
        <w:rPr>
          <w:lang w:val="en-GB"/>
        </w:rPr>
        <w:t>10.1 Context and objectives of multi-purpose monitoring networks</w:t>
      </w:r>
      <w:bookmarkEnd w:id="222"/>
    </w:p>
    <w:p w14:paraId="203B3031" w14:textId="77777777" w:rsidR="00DE7B83" w:rsidRPr="00DE7B83" w:rsidRDefault="00DE7B83" w:rsidP="00DE7B83">
      <w:pPr>
        <w:jc w:val="both"/>
        <w:rPr>
          <w:rFonts w:cstheme="minorHAnsi"/>
          <w:color w:val="09090B"/>
          <w:shd w:val="clear" w:color="auto" w:fill="FFFFFF"/>
        </w:rPr>
      </w:pPr>
      <w:r w:rsidRPr="00DE7B83">
        <w:rPr>
          <w:rFonts w:cstheme="minorHAnsi"/>
          <w:color w:val="09090B"/>
          <w:shd w:val="clear" w:color="auto" w:fill="FFFFFF"/>
        </w:rPr>
        <w:t>In the context of river basin management, all countries involved in the DIKTAS II project are obliged to align their methodological approaches with the requirements of the EU Water Framework Directive (WFD), its daughter directives, and the Common Implementation Strategy (CIS) guidance. This obligation primarily concerns the establishment of all types of monitoring required for the development of River Basin Management Plans (RBMPs).</w:t>
      </w:r>
    </w:p>
    <w:p w14:paraId="19B48B64" w14:textId="77777777" w:rsidR="00DE7B83" w:rsidRPr="00DE7B83" w:rsidRDefault="00DE7B83" w:rsidP="00DE7B83">
      <w:pPr>
        <w:jc w:val="both"/>
        <w:rPr>
          <w:rFonts w:cstheme="minorHAnsi"/>
          <w:color w:val="09090B"/>
          <w:shd w:val="clear" w:color="auto" w:fill="FFFFFF"/>
        </w:rPr>
      </w:pPr>
      <w:r w:rsidRPr="00DE7B83">
        <w:rPr>
          <w:rFonts w:cstheme="minorHAnsi"/>
          <w:color w:val="09090B"/>
          <w:shd w:val="clear" w:color="auto" w:fill="FFFFFF"/>
        </w:rPr>
        <w:t xml:space="preserve">The EU WFD and its daughter directives provide limited guidance on criteria for establishing monitoring in karst regions. Karst terrains are characterised by the high permeability of fractured and </w:t>
      </w:r>
      <w:proofErr w:type="spellStart"/>
      <w:r w:rsidRPr="00DE7B83">
        <w:rPr>
          <w:rFonts w:cstheme="minorHAnsi"/>
          <w:color w:val="09090B"/>
          <w:shd w:val="clear" w:color="auto" w:fill="FFFFFF"/>
        </w:rPr>
        <w:t>karstified</w:t>
      </w:r>
      <w:proofErr w:type="spellEnd"/>
      <w:r w:rsidRPr="00DE7B83">
        <w:rPr>
          <w:rFonts w:cstheme="minorHAnsi"/>
          <w:color w:val="09090B"/>
          <w:shd w:val="clear" w:color="auto" w:fill="FFFFFF"/>
        </w:rPr>
        <w:t xml:space="preserve"> carbonate rocks, which allows rapid infiltration of precipitation and results in the strong dominance of underground flow. Consequently, these areas lack a well-developed surface water network and, unlike other aquifers, do not host developed groundwater ecosystems. Furthermore, due to the relief of the terrain, the same water body often appears multiple times along its flow towards the erosion base, initially as groundwater and subsequently as surface water.</w:t>
      </w:r>
    </w:p>
    <w:p w14:paraId="3681E879" w14:textId="3E5428A9" w:rsidR="00DE7B83" w:rsidRPr="00B949F6" w:rsidRDefault="00DE7B83" w:rsidP="00DE7B83">
      <w:pPr>
        <w:jc w:val="both"/>
        <w:rPr>
          <w:rFonts w:cstheme="minorHAnsi"/>
          <w:color w:val="09090B"/>
          <w:shd w:val="clear" w:color="auto" w:fill="FFFFFF"/>
        </w:rPr>
      </w:pPr>
      <w:r w:rsidRPr="00DE7B83">
        <w:rPr>
          <w:rFonts w:cstheme="minorHAnsi"/>
          <w:color w:val="09090B"/>
          <w:shd w:val="clear" w:color="auto" w:fill="FFFFFF"/>
        </w:rPr>
        <w:t>The most significant water quality issues in karst areas are turbidity and microbiological contamination. According to the requirements of the WFD, biological monitoring of groundwater is not foreseen and is therefore generally not carried out in the catchment areas of major springs. Water from karst aquifers is widely used globally as a high-quality and reliable source of drinking water. While the discharge of larger springs is usually monitored, variations in groundwater levels during different hydrological periods are only rarely measured. This represents a major challenge for groundwater balance assessments under variable hydrological conditions and for the optimal utilisation of groundwater for different purposes.</w:t>
      </w:r>
    </w:p>
    <w:p w14:paraId="32E3021C" w14:textId="16FC6C27" w:rsidR="00DE7B83" w:rsidRPr="00DE7B83" w:rsidRDefault="00DE7B83" w:rsidP="00DE7B83">
      <w:pPr>
        <w:tabs>
          <w:tab w:val="left" w:pos="284"/>
        </w:tabs>
        <w:jc w:val="both"/>
        <w:rPr>
          <w:rFonts w:cstheme="minorHAnsi"/>
          <w:color w:val="09090B"/>
          <w:shd w:val="clear" w:color="auto" w:fill="FFFFFF"/>
        </w:rPr>
      </w:pPr>
      <w:r w:rsidRPr="00DE7B83">
        <w:rPr>
          <w:rFonts w:cstheme="minorHAnsi"/>
          <w:color w:val="09090B"/>
          <w:shd w:val="clear" w:color="auto" w:fill="FFFFFF"/>
        </w:rPr>
        <w:t xml:space="preserve">Considering the above-mentioned aspects and the fact that each country applies its own approach to establishing monitoring systems, it is essential to define a common approach to the fundamental principles prior to the implementation of joint monitoring within </w:t>
      </w:r>
      <w:r>
        <w:rPr>
          <w:rFonts w:cstheme="minorHAnsi"/>
          <w:color w:val="09090B"/>
          <w:shd w:val="clear" w:color="auto" w:fill="FFFFFF"/>
        </w:rPr>
        <w:t>Neretva</w:t>
      </w:r>
      <w:r w:rsidRPr="00DE7B83">
        <w:rPr>
          <w:rFonts w:cstheme="minorHAnsi"/>
          <w:color w:val="09090B"/>
          <w:shd w:val="clear" w:color="auto" w:fill="FFFFFF"/>
        </w:rPr>
        <w:t xml:space="preserve"> TBA. This includes the following key actions:</w:t>
      </w:r>
    </w:p>
    <w:p w14:paraId="49D4B706" w14:textId="77777777" w:rsidR="00DE7B83" w:rsidRPr="00DE7B83" w:rsidRDefault="00DE7B83" w:rsidP="00DE7B83">
      <w:pPr>
        <w:tabs>
          <w:tab w:val="left" w:pos="284"/>
        </w:tabs>
        <w:jc w:val="both"/>
        <w:rPr>
          <w:rFonts w:cstheme="minorHAnsi"/>
          <w:color w:val="09090B"/>
          <w:shd w:val="clear" w:color="auto" w:fill="FFFFFF"/>
        </w:rPr>
      </w:pPr>
    </w:p>
    <w:p w14:paraId="007E4CA2" w14:textId="2DCB5FC3" w:rsidR="00DE7B83" w:rsidRPr="00DE7B83" w:rsidRDefault="00DE7B83" w:rsidP="00DE7B83">
      <w:pPr>
        <w:pStyle w:val="ListParagraph"/>
        <w:numPr>
          <w:ilvl w:val="0"/>
          <w:numId w:val="154"/>
        </w:numPr>
        <w:tabs>
          <w:tab w:val="left" w:pos="284"/>
        </w:tabs>
        <w:jc w:val="both"/>
        <w:rPr>
          <w:rFonts w:cstheme="minorHAnsi"/>
          <w:color w:val="09090B"/>
          <w:shd w:val="clear" w:color="auto" w:fill="FFFFFF"/>
        </w:rPr>
      </w:pPr>
      <w:r w:rsidRPr="00DE7B83">
        <w:rPr>
          <w:rFonts w:cstheme="minorHAnsi"/>
          <w:color w:val="09090B"/>
          <w:shd w:val="clear" w:color="auto" w:fill="FFFFFF"/>
        </w:rPr>
        <w:lastRenderedPageBreak/>
        <w:t>Defining the criteria that a representative monitoring station must meet to be included in quantitative and qualitative monitoring of groundwater and surface water</w:t>
      </w:r>
      <w:r>
        <w:rPr>
          <w:rFonts w:cstheme="minorHAnsi"/>
          <w:color w:val="09090B"/>
          <w:shd w:val="clear" w:color="auto" w:fill="FFFFFF"/>
        </w:rPr>
        <w:t>;</w:t>
      </w:r>
    </w:p>
    <w:p w14:paraId="084E821A" w14:textId="6E257887" w:rsidR="00DE7B83" w:rsidRPr="00DE7B83" w:rsidRDefault="00DE7B83" w:rsidP="00DE7B83">
      <w:pPr>
        <w:pStyle w:val="ListParagraph"/>
        <w:numPr>
          <w:ilvl w:val="0"/>
          <w:numId w:val="154"/>
        </w:numPr>
        <w:tabs>
          <w:tab w:val="left" w:pos="284"/>
        </w:tabs>
        <w:jc w:val="both"/>
        <w:rPr>
          <w:rFonts w:cstheme="minorHAnsi"/>
          <w:color w:val="09090B"/>
          <w:shd w:val="clear" w:color="auto" w:fill="FFFFFF"/>
        </w:rPr>
      </w:pPr>
      <w:r w:rsidRPr="00DE7B83">
        <w:rPr>
          <w:rFonts w:cstheme="minorHAnsi"/>
          <w:color w:val="09090B"/>
          <w:shd w:val="clear" w:color="auto" w:fill="FFFFFF"/>
        </w:rPr>
        <w:t>Defining sampling methods and sampling frequency</w:t>
      </w:r>
      <w:r>
        <w:rPr>
          <w:rFonts w:cstheme="minorHAnsi"/>
          <w:color w:val="09090B"/>
          <w:shd w:val="clear" w:color="auto" w:fill="FFFFFF"/>
        </w:rPr>
        <w:t>;</w:t>
      </w:r>
    </w:p>
    <w:p w14:paraId="46E1C91B" w14:textId="2E8DD831" w:rsidR="00DE7B83" w:rsidRPr="00DE7B83" w:rsidRDefault="00DE7B83" w:rsidP="00DE7B83">
      <w:pPr>
        <w:pStyle w:val="ListParagraph"/>
        <w:numPr>
          <w:ilvl w:val="0"/>
          <w:numId w:val="154"/>
        </w:numPr>
        <w:tabs>
          <w:tab w:val="left" w:pos="284"/>
        </w:tabs>
        <w:jc w:val="both"/>
        <w:rPr>
          <w:rFonts w:cstheme="minorHAnsi"/>
          <w:color w:val="09090B"/>
          <w:shd w:val="clear" w:color="auto" w:fill="FFFFFF"/>
        </w:rPr>
      </w:pPr>
      <w:r w:rsidRPr="00DE7B83">
        <w:rPr>
          <w:rFonts w:cstheme="minorHAnsi"/>
          <w:color w:val="09090B"/>
          <w:shd w:val="clear" w:color="auto" w:fill="FFFFFF"/>
        </w:rPr>
        <w:t>Defining sampling procedures for wells and springs for the purposes of biological monitoring</w:t>
      </w:r>
      <w:r>
        <w:rPr>
          <w:rFonts w:cstheme="minorHAnsi"/>
          <w:color w:val="09090B"/>
          <w:shd w:val="clear" w:color="auto" w:fill="FFFFFF"/>
        </w:rPr>
        <w:t>;</w:t>
      </w:r>
    </w:p>
    <w:p w14:paraId="5EECF5D9" w14:textId="12ABA11A" w:rsidR="00DE7B83" w:rsidRPr="00DE7B83" w:rsidRDefault="00DE7B83" w:rsidP="00DE7B83">
      <w:pPr>
        <w:pStyle w:val="ListParagraph"/>
        <w:numPr>
          <w:ilvl w:val="0"/>
          <w:numId w:val="154"/>
        </w:numPr>
        <w:tabs>
          <w:tab w:val="left" w:pos="284"/>
        </w:tabs>
        <w:jc w:val="both"/>
        <w:rPr>
          <w:rFonts w:cstheme="minorHAnsi"/>
          <w:color w:val="09090B"/>
          <w:shd w:val="clear" w:color="auto" w:fill="FFFFFF"/>
        </w:rPr>
      </w:pPr>
      <w:r w:rsidRPr="00DE7B83">
        <w:rPr>
          <w:rFonts w:cstheme="minorHAnsi"/>
          <w:color w:val="09090B"/>
          <w:shd w:val="clear" w:color="auto" w:fill="FFFFFF"/>
        </w:rPr>
        <w:t>Jointly determining the locations of monitoring stations</w:t>
      </w:r>
      <w:r>
        <w:rPr>
          <w:rFonts w:cstheme="minorHAnsi"/>
          <w:color w:val="09090B"/>
          <w:shd w:val="clear" w:color="auto" w:fill="FFFFFF"/>
        </w:rPr>
        <w:t>;</w:t>
      </w:r>
    </w:p>
    <w:p w14:paraId="43A070AE" w14:textId="5D5018FE" w:rsidR="00DE7B83" w:rsidRPr="00DE7B83" w:rsidRDefault="00DE7B83" w:rsidP="00DE7B83">
      <w:pPr>
        <w:pStyle w:val="ListParagraph"/>
        <w:numPr>
          <w:ilvl w:val="0"/>
          <w:numId w:val="154"/>
        </w:numPr>
        <w:tabs>
          <w:tab w:val="left" w:pos="284"/>
        </w:tabs>
        <w:jc w:val="both"/>
        <w:rPr>
          <w:rFonts w:cstheme="minorHAnsi"/>
          <w:color w:val="09090B"/>
          <w:shd w:val="clear" w:color="auto" w:fill="FFFFFF"/>
        </w:rPr>
      </w:pPr>
      <w:r w:rsidRPr="00DE7B83">
        <w:rPr>
          <w:rFonts w:cstheme="minorHAnsi"/>
          <w:color w:val="09090B"/>
          <w:shd w:val="clear" w:color="auto" w:fill="FFFFFF"/>
        </w:rPr>
        <w:t>Jointly establishing monitoring stations for stable isotope analyses</w:t>
      </w:r>
      <w:r>
        <w:rPr>
          <w:rFonts w:cstheme="minorHAnsi"/>
          <w:color w:val="09090B"/>
          <w:shd w:val="clear" w:color="auto" w:fill="FFFFFF"/>
        </w:rPr>
        <w:t>;</w:t>
      </w:r>
    </w:p>
    <w:p w14:paraId="7D0F9DCC" w14:textId="64DBAB1A" w:rsidR="00DE7B83" w:rsidRPr="00DE7B83" w:rsidRDefault="00DE7B83" w:rsidP="00DE7B83">
      <w:pPr>
        <w:pStyle w:val="ListParagraph"/>
        <w:numPr>
          <w:ilvl w:val="0"/>
          <w:numId w:val="154"/>
        </w:numPr>
        <w:tabs>
          <w:tab w:val="left" w:pos="284"/>
        </w:tabs>
        <w:jc w:val="both"/>
        <w:rPr>
          <w:rFonts w:cstheme="minorHAnsi"/>
          <w:color w:val="09090B"/>
          <w:shd w:val="clear" w:color="auto" w:fill="FFFFFF"/>
        </w:rPr>
      </w:pPr>
      <w:r w:rsidRPr="00DE7B83">
        <w:rPr>
          <w:rFonts w:cstheme="minorHAnsi"/>
          <w:color w:val="09090B"/>
          <w:shd w:val="clear" w:color="auto" w:fill="FFFFFF"/>
        </w:rPr>
        <w:t>Harmonising analytical methods for the determination of individual parameters</w:t>
      </w:r>
      <w:r>
        <w:rPr>
          <w:rFonts w:cstheme="minorHAnsi"/>
          <w:color w:val="09090B"/>
          <w:shd w:val="clear" w:color="auto" w:fill="FFFFFF"/>
        </w:rPr>
        <w:t>;</w:t>
      </w:r>
    </w:p>
    <w:p w14:paraId="4A7C97FD" w14:textId="5A3FF4B0" w:rsidR="00DE7B83" w:rsidRPr="00DE7B83" w:rsidRDefault="00DE7B83" w:rsidP="00DE7B83">
      <w:pPr>
        <w:pStyle w:val="ListParagraph"/>
        <w:numPr>
          <w:ilvl w:val="0"/>
          <w:numId w:val="154"/>
        </w:numPr>
        <w:tabs>
          <w:tab w:val="left" w:pos="284"/>
        </w:tabs>
        <w:jc w:val="both"/>
        <w:rPr>
          <w:rFonts w:cstheme="minorHAnsi"/>
          <w:color w:val="09090B"/>
          <w:shd w:val="clear" w:color="auto" w:fill="FFFFFF"/>
        </w:rPr>
      </w:pPr>
      <w:r w:rsidRPr="00DE7B83">
        <w:rPr>
          <w:rFonts w:cstheme="minorHAnsi"/>
          <w:color w:val="09090B"/>
          <w:shd w:val="clear" w:color="auto" w:fill="FFFFFF"/>
        </w:rPr>
        <w:t>Harmonising databases and methods for data exchange</w:t>
      </w:r>
      <w:r>
        <w:rPr>
          <w:rFonts w:cstheme="minorHAnsi"/>
          <w:color w:val="09090B"/>
          <w:shd w:val="clear" w:color="auto" w:fill="FFFFFF"/>
        </w:rPr>
        <w:t>.</w:t>
      </w:r>
    </w:p>
    <w:p w14:paraId="24AC2B01" w14:textId="06001C65" w:rsidR="00DE7B83" w:rsidRPr="00DE7B83" w:rsidRDefault="00DE7B83" w:rsidP="00DE7B83">
      <w:pPr>
        <w:tabs>
          <w:tab w:val="left" w:pos="284"/>
        </w:tabs>
        <w:jc w:val="both"/>
        <w:rPr>
          <w:rFonts w:cstheme="minorHAnsi"/>
          <w:color w:val="09090B"/>
          <w:shd w:val="clear" w:color="auto" w:fill="FFFFFF"/>
        </w:rPr>
      </w:pPr>
      <w:r w:rsidRPr="00DE7B83">
        <w:rPr>
          <w:rFonts w:cstheme="minorHAnsi"/>
          <w:color w:val="09090B"/>
          <w:shd w:val="clear" w:color="auto" w:fill="FFFFFF"/>
        </w:rPr>
        <w:t>The primary objectives of multi-purpose monitoring are:</w:t>
      </w:r>
    </w:p>
    <w:p w14:paraId="7BFA831A" w14:textId="629AE185" w:rsidR="00DE7B83" w:rsidRPr="00DE7B83" w:rsidRDefault="00DE7B83" w:rsidP="00DE7B83">
      <w:pPr>
        <w:pStyle w:val="ListParagraph"/>
        <w:numPr>
          <w:ilvl w:val="0"/>
          <w:numId w:val="155"/>
        </w:numPr>
        <w:tabs>
          <w:tab w:val="left" w:pos="284"/>
        </w:tabs>
        <w:jc w:val="both"/>
        <w:rPr>
          <w:rFonts w:cstheme="minorHAnsi"/>
          <w:color w:val="09090B"/>
          <w:shd w:val="clear" w:color="auto" w:fill="FFFFFF"/>
        </w:rPr>
      </w:pPr>
      <w:r w:rsidRPr="00DE7B83">
        <w:rPr>
          <w:rFonts w:cstheme="minorHAnsi"/>
          <w:color w:val="09090B"/>
          <w:shd w:val="clear" w:color="auto" w:fill="FFFFFF"/>
        </w:rPr>
        <w:t>To establish a basis for the optimal utilisation and protection of groundwater and surface waters within Neretva TBA</w:t>
      </w:r>
      <w:r>
        <w:rPr>
          <w:rFonts w:cstheme="minorHAnsi"/>
          <w:color w:val="09090B"/>
          <w:shd w:val="clear" w:color="auto" w:fill="FFFFFF"/>
        </w:rPr>
        <w:t>;</w:t>
      </w:r>
    </w:p>
    <w:p w14:paraId="1F52AAA2" w14:textId="6ACAA67F" w:rsidR="00DE7B83" w:rsidRPr="00DE7B83" w:rsidRDefault="00DE7B83" w:rsidP="00DE7B83">
      <w:pPr>
        <w:pStyle w:val="ListParagraph"/>
        <w:numPr>
          <w:ilvl w:val="0"/>
          <w:numId w:val="155"/>
        </w:numPr>
        <w:tabs>
          <w:tab w:val="left" w:pos="284"/>
        </w:tabs>
        <w:jc w:val="both"/>
        <w:rPr>
          <w:rFonts w:cstheme="minorHAnsi"/>
          <w:color w:val="09090B"/>
          <w:shd w:val="clear" w:color="auto" w:fill="FFFFFF"/>
        </w:rPr>
      </w:pPr>
      <w:r w:rsidRPr="00DE7B83">
        <w:rPr>
          <w:rFonts w:cstheme="minorHAnsi"/>
          <w:color w:val="09090B"/>
          <w:shd w:val="clear" w:color="auto" w:fill="FFFFFF"/>
        </w:rPr>
        <w:t>To enable monitoring of the quantitative and qualitative status of groundwater at the borders of the countries sharing Neretva TBA</w:t>
      </w:r>
      <w:r>
        <w:rPr>
          <w:rFonts w:cstheme="minorHAnsi"/>
          <w:color w:val="09090B"/>
          <w:shd w:val="clear" w:color="auto" w:fill="FFFFFF"/>
        </w:rPr>
        <w:t>.</w:t>
      </w:r>
    </w:p>
    <w:p w14:paraId="639D61EC" w14:textId="77777777" w:rsidR="0052594B" w:rsidRDefault="0052594B" w:rsidP="00F33BE0">
      <w:pPr>
        <w:jc w:val="both"/>
        <w:rPr>
          <w:rFonts w:cstheme="minorHAnsi"/>
        </w:rPr>
      </w:pPr>
    </w:p>
    <w:p w14:paraId="397FEB90" w14:textId="77777777" w:rsidR="00DE7B83" w:rsidRPr="00FC57EB" w:rsidRDefault="00DE7B83" w:rsidP="00DE7B83">
      <w:pPr>
        <w:pStyle w:val="Heading2"/>
        <w:spacing w:after="160"/>
        <w:jc w:val="both"/>
        <w:rPr>
          <w:lang w:val="en-GB"/>
        </w:rPr>
      </w:pPr>
      <w:bookmarkStart w:id="223" w:name="_Toc223524325"/>
      <w:bookmarkStart w:id="224" w:name="_Toc229036290"/>
      <w:r w:rsidRPr="00FC57EB">
        <w:rPr>
          <w:lang w:val="en-GB"/>
        </w:rPr>
        <w:t>10.2 Legal and policy background</w:t>
      </w:r>
      <w:bookmarkEnd w:id="223"/>
      <w:bookmarkEnd w:id="224"/>
      <w:r w:rsidRPr="00FC57EB">
        <w:rPr>
          <w:lang w:val="en-GB"/>
        </w:rPr>
        <w:t xml:space="preserve"> </w:t>
      </w:r>
    </w:p>
    <w:p w14:paraId="7B7CCECC" w14:textId="793084A5" w:rsidR="00DE7B83" w:rsidRDefault="00DE7B83" w:rsidP="00DE7B83">
      <w:pPr>
        <w:jc w:val="both"/>
        <w:rPr>
          <w:rFonts w:ascii="Calibri" w:hAnsi="Calibri" w:cs="Calibri"/>
        </w:rPr>
      </w:pPr>
      <w:r w:rsidRPr="00FC57EB">
        <w:rPr>
          <w:rFonts w:ascii="Calibri" w:hAnsi="Calibri" w:cs="Calibri"/>
        </w:rPr>
        <w:t>The legal and policy framework for a multi</w:t>
      </w:r>
      <w:r w:rsidRPr="00FC57EB">
        <w:rPr>
          <w:rFonts w:ascii="Cambria Math" w:hAnsi="Cambria Math" w:cs="Cambria Math"/>
        </w:rPr>
        <w:t>‑</w:t>
      </w:r>
      <w:r w:rsidRPr="00FC57EB">
        <w:rPr>
          <w:rFonts w:ascii="Calibri" w:hAnsi="Calibri" w:cs="Calibri"/>
        </w:rPr>
        <w:t>purpose monitoring network in the Neretva TBA is built on multilateral conventions, the bilateral Croatia</w:t>
      </w:r>
      <w:r>
        <w:rPr>
          <w:rFonts w:ascii="Calibri" w:hAnsi="Calibri" w:cs="Calibri"/>
        </w:rPr>
        <w:t xml:space="preserve"> - </w:t>
      </w:r>
      <w:r w:rsidRPr="00FC57EB">
        <w:rPr>
          <w:rFonts w:ascii="Calibri" w:hAnsi="Calibri" w:cs="Calibri"/>
        </w:rPr>
        <w:t>BiH water agreement, the EU water acquis, and national legislation in both countries. Together, they define the mandate and practical requirements for coordinated monitoring, data exchange, and early</w:t>
      </w:r>
      <w:r w:rsidRPr="00FC57EB">
        <w:rPr>
          <w:rFonts w:ascii="Cambria Math" w:hAnsi="Cambria Math" w:cs="Cambria Math"/>
        </w:rPr>
        <w:t>‑</w:t>
      </w:r>
      <w:r w:rsidRPr="00FC57EB">
        <w:rPr>
          <w:rFonts w:ascii="Calibri" w:hAnsi="Calibri" w:cs="Calibri"/>
        </w:rPr>
        <w:t>warning functions. In the Neretva setting, this framework must be applied with particular focus on the specific pressures of a coastal karst system</w:t>
      </w:r>
      <w:r>
        <w:rPr>
          <w:rFonts w:ascii="Calibri" w:hAnsi="Calibri" w:cs="Calibri"/>
        </w:rPr>
        <w:t xml:space="preserve">, </w:t>
      </w:r>
      <w:r w:rsidRPr="00FC57EB">
        <w:rPr>
          <w:rFonts w:ascii="Calibri" w:hAnsi="Calibri" w:cs="Calibri"/>
        </w:rPr>
        <w:t xml:space="preserve">such as </w:t>
      </w:r>
      <w:proofErr w:type="spellStart"/>
      <w:r w:rsidRPr="00FC57EB">
        <w:rPr>
          <w:rFonts w:ascii="Calibri" w:hAnsi="Calibri" w:cs="Calibri"/>
        </w:rPr>
        <w:t>vruljas</w:t>
      </w:r>
      <w:proofErr w:type="spellEnd"/>
      <w:r w:rsidRPr="00FC57EB">
        <w:rPr>
          <w:rFonts w:ascii="Calibri" w:hAnsi="Calibri" w:cs="Calibri"/>
        </w:rPr>
        <w:t xml:space="preserve"> and saline intrusion, inconsistent sanitary protection zone implementation, strong seasonal tourism loads, diffuse agricultural pollution, and hydropower</w:t>
      </w:r>
      <w:r w:rsidRPr="00FC57EB">
        <w:rPr>
          <w:rFonts w:ascii="Cambria Math" w:hAnsi="Cambria Math" w:cs="Cambria Math"/>
        </w:rPr>
        <w:t>‑</w:t>
      </w:r>
      <w:r w:rsidRPr="00FC57EB">
        <w:rPr>
          <w:rFonts w:ascii="Calibri" w:hAnsi="Calibri" w:cs="Calibri"/>
        </w:rPr>
        <w:t xml:space="preserve">related flow alterations that affect downstream river and </w:t>
      </w:r>
      <w:r w:rsidR="003108B4">
        <w:rPr>
          <w:rFonts w:ascii="Calibri" w:hAnsi="Calibri" w:cs="Calibri"/>
        </w:rPr>
        <w:t>Delta</w:t>
      </w:r>
      <w:r w:rsidRPr="00FC57EB">
        <w:rPr>
          <w:rFonts w:ascii="Calibri" w:hAnsi="Calibri" w:cs="Calibri"/>
        </w:rPr>
        <w:t xml:space="preserve"> dynamics.</w:t>
      </w:r>
    </w:p>
    <w:p w14:paraId="7E165FFE" w14:textId="77777777" w:rsidR="00DE7B83" w:rsidRPr="00FC57EB" w:rsidRDefault="00DE7B83" w:rsidP="00DE7B83">
      <w:pPr>
        <w:jc w:val="both"/>
        <w:rPr>
          <w:rFonts w:ascii="Calibri" w:hAnsi="Calibri" w:cs="Calibri"/>
        </w:rPr>
      </w:pPr>
      <w:r w:rsidRPr="00FC57EB">
        <w:rPr>
          <w:rFonts w:ascii="Calibri" w:hAnsi="Calibri" w:cs="Calibri"/>
        </w:rPr>
        <w:t xml:space="preserve">At the multilateral level, the UNECE Water Convention (1992) commits </w:t>
      </w:r>
      <w:r>
        <w:rPr>
          <w:rFonts w:ascii="Calibri" w:hAnsi="Calibri" w:cs="Calibri"/>
        </w:rPr>
        <w:t>countries</w:t>
      </w:r>
      <w:r w:rsidRPr="00FC57EB">
        <w:rPr>
          <w:rFonts w:ascii="Calibri" w:hAnsi="Calibri" w:cs="Calibri"/>
        </w:rPr>
        <w:t xml:space="preserve"> to prevent significant transboundary impact and to organise joint monitoring and assessment with regular information exchange</w:t>
      </w:r>
      <w:r>
        <w:rPr>
          <w:rFonts w:ascii="Calibri" w:hAnsi="Calibri" w:cs="Calibri"/>
        </w:rPr>
        <w:t xml:space="preserve"> - </w:t>
      </w:r>
      <w:r w:rsidRPr="00FC57EB">
        <w:rPr>
          <w:rFonts w:ascii="Calibri" w:hAnsi="Calibri" w:cs="Calibri"/>
        </w:rPr>
        <w:t>core functions for a shared karst aquifer whose recharge and discharge areas straddle the border and, in places, the coastal zone. These cooperation duties are reinforced by the Danube Convention (1994) and the Framework Agreement on the Sava River Basin (2002), which promote harmonised methods, coordinated surveillance, and compatible reporting cycles across common waters. For the Neretva’s coastal interface</w:t>
      </w:r>
      <w:r>
        <w:rPr>
          <w:rFonts w:ascii="Calibri" w:hAnsi="Calibri" w:cs="Calibri"/>
        </w:rPr>
        <w:t xml:space="preserve">, </w:t>
      </w:r>
      <w:r w:rsidRPr="00FC57EB">
        <w:rPr>
          <w:rFonts w:ascii="Calibri" w:hAnsi="Calibri" w:cs="Calibri"/>
        </w:rPr>
        <w:t xml:space="preserve">where groundwater outflows and </w:t>
      </w:r>
      <w:proofErr w:type="spellStart"/>
      <w:r w:rsidRPr="00FC57EB">
        <w:rPr>
          <w:rFonts w:ascii="Calibri" w:hAnsi="Calibri" w:cs="Calibri"/>
        </w:rPr>
        <w:t>vruljas</w:t>
      </w:r>
      <w:proofErr w:type="spellEnd"/>
      <w:r w:rsidRPr="00FC57EB">
        <w:rPr>
          <w:rFonts w:ascii="Calibri" w:hAnsi="Calibri" w:cs="Calibri"/>
        </w:rPr>
        <w:t xml:space="preserve"> directly affect the Adriatic</w:t>
      </w:r>
      <w:r>
        <w:rPr>
          <w:rFonts w:ascii="Calibri" w:hAnsi="Calibri" w:cs="Calibri"/>
        </w:rPr>
        <w:t xml:space="preserve">, </w:t>
      </w:r>
      <w:r w:rsidRPr="00FC57EB">
        <w:rPr>
          <w:rFonts w:ascii="Calibri" w:hAnsi="Calibri" w:cs="Calibri"/>
        </w:rPr>
        <w:t>the Barcelona Convention (1976, amended 1995) and the ICZM Protocol introduce additional obligations relevant to monitoring salinity, nutrients and pollutants in zones of groundwater–sea interaction. Guidance from the UN Draft Articles on the Law of Transboundary Aquifers (UNGA Res. 63/124; 68/118) further supports aquifer</w:t>
      </w:r>
      <w:r w:rsidRPr="00FC57EB">
        <w:rPr>
          <w:rFonts w:ascii="Cambria Math" w:hAnsi="Cambria Math" w:cs="Cambria Math"/>
        </w:rPr>
        <w:t>‑</w:t>
      </w:r>
      <w:r w:rsidRPr="00FC57EB">
        <w:rPr>
          <w:rFonts w:ascii="Calibri" w:hAnsi="Calibri" w:cs="Calibri"/>
        </w:rPr>
        <w:t>specific arrangements, emphasising equitable and reasonable use, cooperation, and sustainability. Together, these instruments enable a legally sound framework for cross</w:t>
      </w:r>
      <w:r w:rsidRPr="00FC57EB">
        <w:rPr>
          <w:rFonts w:ascii="Cambria Math" w:hAnsi="Cambria Math" w:cs="Cambria Math"/>
        </w:rPr>
        <w:t>‑</w:t>
      </w:r>
      <w:r w:rsidRPr="00FC57EB">
        <w:rPr>
          <w:rFonts w:ascii="Calibri" w:hAnsi="Calibri" w:cs="Calibri"/>
        </w:rPr>
        <w:t>border monitoring that captures karst responses to rainfall</w:t>
      </w:r>
      <w:r>
        <w:rPr>
          <w:rFonts w:ascii="Calibri" w:hAnsi="Calibri" w:cs="Calibri"/>
        </w:rPr>
        <w:t xml:space="preserve"> and</w:t>
      </w:r>
      <w:r w:rsidRPr="00FC57EB">
        <w:rPr>
          <w:rFonts w:ascii="Calibri" w:hAnsi="Calibri" w:cs="Calibri"/>
        </w:rPr>
        <w:t xml:space="preserve"> land use in Neretva </w:t>
      </w:r>
      <w:r>
        <w:rPr>
          <w:rFonts w:ascii="Calibri" w:hAnsi="Calibri" w:cs="Calibri"/>
        </w:rPr>
        <w:t>TBA</w:t>
      </w:r>
      <w:r w:rsidRPr="00FC57EB">
        <w:rPr>
          <w:rFonts w:ascii="Calibri" w:hAnsi="Calibri" w:cs="Calibri"/>
        </w:rPr>
        <w:t>.</w:t>
      </w:r>
    </w:p>
    <w:p w14:paraId="3B6D8517" w14:textId="77777777" w:rsidR="00DE7B83" w:rsidRPr="00FC57EB" w:rsidRDefault="00DE7B83" w:rsidP="00DE7B83">
      <w:pPr>
        <w:jc w:val="both"/>
        <w:rPr>
          <w:rFonts w:ascii="Calibri" w:hAnsi="Calibri" w:cs="Calibri"/>
        </w:rPr>
      </w:pPr>
      <w:r w:rsidRPr="00FC57EB">
        <w:rPr>
          <w:rFonts w:ascii="Calibri" w:hAnsi="Calibri" w:cs="Calibri"/>
        </w:rPr>
        <w:t xml:space="preserve">The bilateral foundation is the 1996 Agreement between Croatia and Bosnia and Herzegovina, which already provides for cooperation in monitoring, data exchange and notification of unusual events. Although broad and mostly focused on surface waters, it can easily be expanded through a technical annex tailored to the Neretva TBA. Such an annex would harmonise key groundwater parameters, define shared monitoring points (springs, ponors and </w:t>
      </w:r>
      <w:proofErr w:type="spellStart"/>
      <w:r w:rsidRPr="00FC57EB">
        <w:rPr>
          <w:rFonts w:ascii="Calibri" w:hAnsi="Calibri" w:cs="Calibri"/>
        </w:rPr>
        <w:t>vruljas</w:t>
      </w:r>
      <w:proofErr w:type="spellEnd"/>
      <w:r w:rsidRPr="00FC57EB">
        <w:rPr>
          <w:rFonts w:ascii="Calibri" w:hAnsi="Calibri" w:cs="Calibri"/>
        </w:rPr>
        <w:t xml:space="preserve">), set joint QA/QC procedures and alert thresholds, and establish a regular schedule for data exchange. It should also include common sanitary </w:t>
      </w:r>
      <w:r w:rsidRPr="00FC57EB">
        <w:rPr>
          <w:rFonts w:ascii="Calibri" w:hAnsi="Calibri" w:cs="Calibri"/>
        </w:rPr>
        <w:lastRenderedPageBreak/>
        <w:t>protection zone (SPZ) criteria and mutual</w:t>
      </w:r>
      <w:r w:rsidRPr="00FC57EB">
        <w:rPr>
          <w:rFonts w:ascii="Cambria Math" w:hAnsi="Cambria Math" w:cs="Cambria Math"/>
        </w:rPr>
        <w:t>‑</w:t>
      </w:r>
      <w:r w:rsidRPr="00FC57EB">
        <w:rPr>
          <w:rFonts w:ascii="Calibri" w:hAnsi="Calibri" w:cs="Calibri"/>
        </w:rPr>
        <w:t>recognition practices to ensure consistent monitoring and protection across connected recharge and discharge areas.</w:t>
      </w:r>
    </w:p>
    <w:p w14:paraId="739799E5" w14:textId="04CF2020" w:rsidR="00DE7B83" w:rsidRPr="00FC57EB" w:rsidRDefault="00DE7B83" w:rsidP="00DE7B83">
      <w:pPr>
        <w:jc w:val="both"/>
        <w:rPr>
          <w:rFonts w:ascii="Calibri" w:hAnsi="Calibri" w:cs="Calibri"/>
        </w:rPr>
      </w:pPr>
      <w:r w:rsidRPr="00FC57EB">
        <w:rPr>
          <w:rFonts w:ascii="Calibri" w:hAnsi="Calibri" w:cs="Calibri"/>
        </w:rPr>
        <w:t>The EU framework for groundwater monitoring is defined mainly by the Water Framework Directive (2000/60/EC) and the Groundwater Directive (2006/118/EC, 2014/80/EU), which set rules for identifying groundwater bodies, carrying out surveillance and operational monitoring, defining threshold values, reversing pollutant trends and assessing links between groundwater, surface waters and groundwater</w:t>
      </w:r>
      <w:r w:rsidRPr="00FC57EB">
        <w:rPr>
          <w:rFonts w:ascii="Cambria Math" w:hAnsi="Cambria Math" w:cs="Cambria Math"/>
        </w:rPr>
        <w:t>‑</w:t>
      </w:r>
      <w:r w:rsidRPr="00FC57EB">
        <w:rPr>
          <w:rFonts w:ascii="Calibri" w:hAnsi="Calibri" w:cs="Calibri"/>
        </w:rPr>
        <w:t xml:space="preserve">dependent ecosystems. Additional directives influence what must be monitored: the Urban </w:t>
      </w:r>
      <w:proofErr w:type="gramStart"/>
      <w:r w:rsidRPr="00FC57EB">
        <w:rPr>
          <w:rFonts w:ascii="Calibri" w:hAnsi="Calibri" w:cs="Calibri"/>
        </w:rPr>
        <w:t>Waste Water</w:t>
      </w:r>
      <w:proofErr w:type="gramEnd"/>
      <w:r w:rsidRPr="00FC57EB">
        <w:rPr>
          <w:rFonts w:ascii="Calibri" w:hAnsi="Calibri" w:cs="Calibri"/>
        </w:rPr>
        <w:t xml:space="preserve"> Treatment Directive and the Nitrates Directive for point</w:t>
      </w:r>
      <w:r w:rsidRPr="00FC57EB">
        <w:rPr>
          <w:rFonts w:ascii="Cambria Math" w:hAnsi="Cambria Math" w:cs="Cambria Math"/>
        </w:rPr>
        <w:t>‑</w:t>
      </w:r>
      <w:r w:rsidRPr="00FC57EB">
        <w:rPr>
          <w:rFonts w:ascii="Calibri" w:hAnsi="Calibri" w:cs="Calibri"/>
        </w:rPr>
        <w:t xml:space="preserve">source and diffuse pollution, the Environmental Liability Directive for environmental damage and remediation, and the Habitats and Birds Directives for ecosystem protection, which is especially relevant for the Neretva </w:t>
      </w:r>
      <w:r w:rsidR="003108B4">
        <w:rPr>
          <w:rFonts w:ascii="Calibri" w:hAnsi="Calibri" w:cs="Calibri"/>
        </w:rPr>
        <w:t>Delta</w:t>
      </w:r>
      <w:r w:rsidRPr="00FC57EB">
        <w:rPr>
          <w:rFonts w:ascii="Calibri" w:hAnsi="Calibri" w:cs="Calibri"/>
        </w:rPr>
        <w:t xml:space="preserve"> and coastal habitats. Transparency and data sharing are supported by Directive 2003/4/EC and INSPIRE (2007/2/EC), ensuring comparable and accessible data. Croatia has fully implemented this EU framework, while BiH is still aligning with it, particularly regarding chemical</w:t>
      </w:r>
      <w:r w:rsidRPr="00FC57EB">
        <w:rPr>
          <w:rFonts w:ascii="Cambria Math" w:hAnsi="Cambria Math" w:cs="Cambria Math"/>
        </w:rPr>
        <w:t>‑</w:t>
      </w:r>
      <w:r w:rsidRPr="00FC57EB">
        <w:rPr>
          <w:rFonts w:ascii="Calibri" w:hAnsi="Calibri" w:cs="Calibri"/>
        </w:rPr>
        <w:t>status assessment, threshold values and karst</w:t>
      </w:r>
      <w:r w:rsidRPr="00FC57EB">
        <w:rPr>
          <w:rFonts w:ascii="Cambria Math" w:hAnsi="Cambria Math" w:cs="Cambria Math"/>
        </w:rPr>
        <w:t>‑</w:t>
      </w:r>
      <w:r w:rsidRPr="00FC57EB">
        <w:rPr>
          <w:rFonts w:ascii="Calibri" w:hAnsi="Calibri" w:cs="Calibri"/>
        </w:rPr>
        <w:t>adapted monitoring, which the joint Neretva network will need to address.</w:t>
      </w:r>
    </w:p>
    <w:p w14:paraId="19F7DE87" w14:textId="77777777" w:rsidR="00DE7B83" w:rsidRPr="00FC57EB" w:rsidRDefault="00DE7B83" w:rsidP="00DE7B83">
      <w:pPr>
        <w:jc w:val="both"/>
        <w:rPr>
          <w:rFonts w:ascii="Calibri" w:hAnsi="Calibri" w:cs="Calibri"/>
        </w:rPr>
      </w:pPr>
      <w:r w:rsidRPr="00FC57EB">
        <w:rPr>
          <w:rFonts w:ascii="Calibri" w:hAnsi="Calibri" w:cs="Calibri"/>
        </w:rPr>
        <w:t>In Croatia, the legal framework is based on the Water Act (Official Gazette No. 66/2019, 84/2021, 47/2023), the Regulation on Water Quality Standards (Official Gazette No. 96/2019, 20/2023, 50/2023), and the River Basin Management Plan (RBMP) 2022–2027 (Official Gazette No. 84/2023). Monitoring follows WFD/GWD requirements with standardised sampling and trend analysis, and in karst areas includes high</w:t>
      </w:r>
      <w:r w:rsidRPr="00FC57EB">
        <w:rPr>
          <w:rFonts w:ascii="Cambria Math" w:hAnsi="Cambria Math" w:cs="Cambria Math"/>
        </w:rPr>
        <w:t>‑</w:t>
      </w:r>
      <w:r w:rsidRPr="00FC57EB">
        <w:rPr>
          <w:rFonts w:ascii="Calibri" w:hAnsi="Calibri" w:cs="Calibri"/>
        </w:rPr>
        <w:t>frequency measurements at key springs</w:t>
      </w:r>
      <w:r>
        <w:rPr>
          <w:rFonts w:ascii="Calibri" w:hAnsi="Calibri" w:cs="Calibri"/>
        </w:rPr>
        <w:t xml:space="preserve">, </w:t>
      </w:r>
      <w:r w:rsidRPr="00FC57EB">
        <w:rPr>
          <w:rFonts w:ascii="Calibri" w:hAnsi="Calibri" w:cs="Calibri"/>
        </w:rPr>
        <w:t>such as turbidity and electrical conductivity</w:t>
      </w:r>
      <w:r>
        <w:rPr>
          <w:rFonts w:ascii="Calibri" w:hAnsi="Calibri" w:cs="Calibri"/>
        </w:rPr>
        <w:t xml:space="preserve">, </w:t>
      </w:r>
      <w:r w:rsidRPr="00FC57EB">
        <w:rPr>
          <w:rFonts w:ascii="Calibri" w:hAnsi="Calibri" w:cs="Calibri"/>
        </w:rPr>
        <w:t>to detect pollution pulses and possible seasonal salinity intrusions. Sanitary protection zones are defined through the Rulebook on Conditions for Establishing Sanitary Protection Zones of Water Sources (Official Gazette No. 66/2011, 47/2013), which allows up to four zones and can extend protections across the entire recharge area in complex karst. As a result, SPZ</w:t>
      </w:r>
      <w:r w:rsidRPr="00FC57EB">
        <w:rPr>
          <w:rFonts w:ascii="Cambria Math" w:hAnsi="Cambria Math" w:cs="Cambria Math"/>
        </w:rPr>
        <w:t>‑</w:t>
      </w:r>
      <w:r w:rsidRPr="00FC57EB">
        <w:rPr>
          <w:rFonts w:ascii="Calibri" w:hAnsi="Calibri" w:cs="Calibri"/>
        </w:rPr>
        <w:t>linked monitoring (hazard inventories, restrictions and compliance checks) is a routine part of groundwater protection in areas connected to the Neretva system. Environmental and nature</w:t>
      </w:r>
      <w:r w:rsidRPr="00FC57EB">
        <w:rPr>
          <w:rFonts w:ascii="Cambria Math" w:hAnsi="Cambria Math" w:cs="Cambria Math"/>
        </w:rPr>
        <w:t>‑</w:t>
      </w:r>
      <w:r w:rsidRPr="00FC57EB">
        <w:rPr>
          <w:rFonts w:ascii="Calibri" w:hAnsi="Calibri" w:cs="Calibri"/>
        </w:rPr>
        <w:t>protection legislation, including Natura 2000, provides the framework for monitoring groundwater</w:t>
      </w:r>
      <w:r w:rsidRPr="00FC57EB">
        <w:rPr>
          <w:rFonts w:ascii="Cambria Math" w:hAnsi="Cambria Math" w:cs="Cambria Math"/>
        </w:rPr>
        <w:t>‑</w:t>
      </w:r>
      <w:r w:rsidRPr="00FC57EB">
        <w:rPr>
          <w:rFonts w:ascii="Calibri" w:hAnsi="Calibri" w:cs="Calibri"/>
        </w:rPr>
        <w:t>dependent ecosystems.</w:t>
      </w:r>
    </w:p>
    <w:p w14:paraId="5520B017" w14:textId="77777777" w:rsidR="00DE7B83" w:rsidRPr="00FC57EB" w:rsidRDefault="00DE7B83" w:rsidP="00DE7B83">
      <w:pPr>
        <w:jc w:val="both"/>
        <w:rPr>
          <w:rFonts w:ascii="Calibri" w:hAnsi="Calibri" w:cs="Calibri"/>
        </w:rPr>
      </w:pPr>
      <w:r w:rsidRPr="00FC57EB">
        <w:rPr>
          <w:rFonts w:ascii="Calibri" w:hAnsi="Calibri" w:cs="Calibri"/>
        </w:rPr>
        <w:t>In Bosnia and Herzegovina, groundwater is regulated at entity level. In the Federation of BiH, the Water Law (Official Gazette No. 70/06, 01/12, 70/20), the Rulebook on Monitoring of Surface and Groundwater (Official Gazette No. 71/09), the Decision on Characterisation of Surface and Groundwater (Official Gazette No. 1/14), and the Regulation on SPZ (Official Gazette No. 88/12) require surveillance and operational monitoring and include karst</w:t>
      </w:r>
      <w:r w:rsidRPr="00FC57EB">
        <w:rPr>
          <w:rFonts w:ascii="Cambria Math" w:hAnsi="Cambria Math" w:cs="Cambria Math"/>
        </w:rPr>
        <w:t>‑</w:t>
      </w:r>
      <w:r w:rsidRPr="00FC57EB">
        <w:rPr>
          <w:rFonts w:ascii="Calibri" w:hAnsi="Calibri" w:cs="Calibri"/>
        </w:rPr>
        <w:t>sensitive SPZ criteria. In practice, monitoring has expanded but remains uneven, often focused on supply springs rather than groundwater bodies, and ecological indicators are inconsistently applied. For the Neretva TBA, mainly within Herzegovina</w:t>
      </w:r>
      <w:r w:rsidRPr="00FC57EB">
        <w:rPr>
          <w:rFonts w:ascii="Cambria Math" w:hAnsi="Cambria Math" w:cs="Cambria Math"/>
        </w:rPr>
        <w:t>‑</w:t>
      </w:r>
      <w:r w:rsidRPr="00FC57EB">
        <w:rPr>
          <w:rFonts w:ascii="Calibri" w:hAnsi="Calibri" w:cs="Calibri"/>
        </w:rPr>
        <w:t>Neretva Canton, this means that the joint monitoring network should harmonise core parameters across borders, include monitoring locations positioned at shared recharge conduits and sensitive SPZs, and align QA/QC procedures and alert thresholds to ensure full comparability with Croatia’s WFD/GWD monitoring.</w:t>
      </w:r>
    </w:p>
    <w:p w14:paraId="62105465" w14:textId="77777777" w:rsidR="00DE7B83" w:rsidRPr="00FC57EB" w:rsidRDefault="00DE7B83" w:rsidP="00DE7B83">
      <w:pPr>
        <w:jc w:val="both"/>
        <w:rPr>
          <w:rFonts w:ascii="Calibri" w:hAnsi="Calibri" w:cs="Calibri"/>
        </w:rPr>
      </w:pPr>
      <w:r w:rsidRPr="00FC57EB">
        <w:rPr>
          <w:rFonts w:ascii="Calibri" w:hAnsi="Calibri" w:cs="Calibri"/>
        </w:rPr>
        <w:t>Given the pressures specific to the Neretva TBA, monitoring priorities need clear legal support:</w:t>
      </w:r>
    </w:p>
    <w:p w14:paraId="27829211" w14:textId="77777777" w:rsidR="00DE7B83" w:rsidRPr="00FC57EB" w:rsidRDefault="00DE7B83" w:rsidP="00DE7B83">
      <w:pPr>
        <w:pStyle w:val="ListParagraph"/>
        <w:numPr>
          <w:ilvl w:val="0"/>
          <w:numId w:val="156"/>
        </w:numPr>
        <w:spacing w:line="278" w:lineRule="auto"/>
        <w:jc w:val="both"/>
        <w:rPr>
          <w:rFonts w:ascii="Calibri" w:hAnsi="Calibri" w:cs="Calibri"/>
        </w:rPr>
      </w:pPr>
      <w:r w:rsidRPr="00FC57EB">
        <w:rPr>
          <w:rFonts w:ascii="Calibri" w:hAnsi="Calibri" w:cs="Calibri"/>
        </w:rPr>
        <w:t xml:space="preserve">Coastal karst and </w:t>
      </w:r>
      <w:proofErr w:type="spellStart"/>
      <w:r w:rsidRPr="00FC57EB">
        <w:rPr>
          <w:rFonts w:ascii="Calibri" w:hAnsi="Calibri" w:cs="Calibri"/>
        </w:rPr>
        <w:t>vruljas</w:t>
      </w:r>
      <w:proofErr w:type="spellEnd"/>
      <w:r w:rsidRPr="00FC57EB">
        <w:rPr>
          <w:rFonts w:ascii="Calibri" w:hAnsi="Calibri" w:cs="Calibri"/>
        </w:rPr>
        <w:t xml:space="preserve"> / salinity: the WFD/GWD framework, complemented by Barcelona/ICZM obligations, supports continuous conductivity and chloride tracking at coastal springs and mixing zones, with operational thresholds for saline intrusion events. The bilateral annex could codify early</w:t>
      </w:r>
      <w:r w:rsidRPr="00FC57EB">
        <w:rPr>
          <w:rFonts w:ascii="Cambria Math" w:hAnsi="Cambria Math" w:cs="Cambria Math"/>
        </w:rPr>
        <w:t>‑</w:t>
      </w:r>
      <w:r w:rsidRPr="00FC57EB">
        <w:rPr>
          <w:rFonts w:ascii="Calibri" w:hAnsi="Calibri" w:cs="Calibri"/>
        </w:rPr>
        <w:t>warning triggers and notification procedures when salinity spikes could affect ecosystems or supply.</w:t>
      </w:r>
    </w:p>
    <w:p w14:paraId="572A54D1" w14:textId="77777777" w:rsidR="00DE7B83" w:rsidRPr="00FC57EB" w:rsidRDefault="00DE7B83" w:rsidP="00DE7B83">
      <w:pPr>
        <w:pStyle w:val="ListParagraph"/>
        <w:numPr>
          <w:ilvl w:val="0"/>
          <w:numId w:val="156"/>
        </w:numPr>
        <w:spacing w:line="278" w:lineRule="auto"/>
        <w:jc w:val="both"/>
        <w:rPr>
          <w:rFonts w:ascii="Calibri" w:hAnsi="Calibri" w:cs="Calibri"/>
        </w:rPr>
      </w:pPr>
      <w:r w:rsidRPr="00FC57EB">
        <w:rPr>
          <w:rFonts w:ascii="Calibri" w:hAnsi="Calibri" w:cs="Calibri"/>
        </w:rPr>
        <w:lastRenderedPageBreak/>
        <w:t>Sanitary protection zones: Croatian SPZ practice provides a ready model for risk</w:t>
      </w:r>
      <w:r w:rsidRPr="00FC57EB">
        <w:rPr>
          <w:rFonts w:ascii="Cambria Math" w:hAnsi="Cambria Math" w:cs="Cambria Math"/>
        </w:rPr>
        <w:t>‑</w:t>
      </w:r>
      <w:r w:rsidRPr="00FC57EB">
        <w:rPr>
          <w:rFonts w:ascii="Calibri" w:hAnsi="Calibri" w:cs="Calibri"/>
        </w:rPr>
        <w:t>based monitoring within zones I–IV. In FBiH, legal SPZ criteria exist but proclamation, spatial</w:t>
      </w:r>
      <w:r w:rsidRPr="00FC57EB">
        <w:rPr>
          <w:rFonts w:ascii="Cambria Math" w:hAnsi="Cambria Math" w:cs="Cambria Math"/>
        </w:rPr>
        <w:t>‑</w:t>
      </w:r>
      <w:r w:rsidRPr="00FC57EB">
        <w:rPr>
          <w:rFonts w:ascii="Calibri" w:hAnsi="Calibri" w:cs="Calibri"/>
        </w:rPr>
        <w:t>plan integration and enforcement are uneven; the joint protocol can require zone</w:t>
      </w:r>
      <w:r w:rsidRPr="00FC57EB">
        <w:rPr>
          <w:rFonts w:ascii="Cambria Math" w:hAnsi="Cambria Math" w:cs="Cambria Math"/>
        </w:rPr>
        <w:t>‑</w:t>
      </w:r>
      <w:r w:rsidRPr="00FC57EB">
        <w:rPr>
          <w:rFonts w:ascii="Calibri" w:hAnsi="Calibri" w:cs="Calibri"/>
        </w:rPr>
        <w:t>specific monitoring points (springs, ponors, shallow wells), mandatory hazard inventories, and an agreed minimum parameter set (microbiological, nitrate, priority pesticides) to capture diffuse sanitation and agricultural loads.</w:t>
      </w:r>
    </w:p>
    <w:p w14:paraId="0E04AA13" w14:textId="77777777" w:rsidR="00DE7B83" w:rsidRPr="00FC57EB" w:rsidRDefault="00DE7B83" w:rsidP="00DE7B83">
      <w:pPr>
        <w:pStyle w:val="ListParagraph"/>
        <w:numPr>
          <w:ilvl w:val="0"/>
          <w:numId w:val="156"/>
        </w:numPr>
        <w:spacing w:line="278" w:lineRule="auto"/>
        <w:jc w:val="both"/>
        <w:rPr>
          <w:rFonts w:ascii="Calibri" w:hAnsi="Calibri" w:cs="Calibri"/>
        </w:rPr>
      </w:pPr>
      <w:r w:rsidRPr="00FC57EB">
        <w:rPr>
          <w:rFonts w:ascii="Calibri" w:hAnsi="Calibri" w:cs="Calibri"/>
        </w:rPr>
        <w:t>Tourism and peri</w:t>
      </w:r>
      <w:r w:rsidRPr="00FC57EB">
        <w:rPr>
          <w:rFonts w:ascii="Cambria Math" w:hAnsi="Cambria Math" w:cs="Cambria Math"/>
        </w:rPr>
        <w:t>‑</w:t>
      </w:r>
      <w:r w:rsidRPr="00FC57EB">
        <w:rPr>
          <w:rFonts w:ascii="Calibri" w:hAnsi="Calibri" w:cs="Calibri"/>
        </w:rPr>
        <w:t>urban sanitation: the UWWTD/Nitrates framework guides surveillance near settlement clusters and tourism nodes. Monitoring could include event</w:t>
      </w:r>
      <w:r w:rsidRPr="00FC57EB">
        <w:rPr>
          <w:rFonts w:ascii="Cambria Math" w:hAnsi="Cambria Math" w:cs="Cambria Math"/>
        </w:rPr>
        <w:t>‑</w:t>
      </w:r>
      <w:r w:rsidRPr="00FC57EB">
        <w:rPr>
          <w:rFonts w:ascii="Calibri" w:hAnsi="Calibri" w:cs="Calibri"/>
        </w:rPr>
        <w:t>based sampling after high rainfall and summer</w:t>
      </w:r>
      <w:r w:rsidRPr="00FC57EB">
        <w:rPr>
          <w:rFonts w:ascii="Cambria Math" w:hAnsi="Cambria Math" w:cs="Cambria Math"/>
        </w:rPr>
        <w:t>‑</w:t>
      </w:r>
      <w:r w:rsidRPr="00FC57EB">
        <w:rPr>
          <w:rFonts w:ascii="Calibri" w:hAnsi="Calibri" w:cs="Calibri"/>
        </w:rPr>
        <w:t>peak periods when loads and vulnerability coincide, with microbiology (E. coli, enterococci) and turbidity as standard “pulse” indicators.</w:t>
      </w:r>
    </w:p>
    <w:p w14:paraId="63FD4DB4" w14:textId="77777777" w:rsidR="00DE7B83" w:rsidRPr="00FC57EB" w:rsidRDefault="00DE7B83" w:rsidP="00DE7B83">
      <w:pPr>
        <w:pStyle w:val="ListParagraph"/>
        <w:numPr>
          <w:ilvl w:val="0"/>
          <w:numId w:val="156"/>
        </w:numPr>
        <w:spacing w:line="278" w:lineRule="auto"/>
        <w:jc w:val="both"/>
        <w:rPr>
          <w:rFonts w:ascii="Calibri" w:hAnsi="Calibri" w:cs="Calibri"/>
        </w:rPr>
      </w:pPr>
      <w:r w:rsidRPr="00FC57EB">
        <w:rPr>
          <w:rFonts w:ascii="Calibri" w:hAnsi="Calibri" w:cs="Calibri"/>
        </w:rPr>
        <w:t>Agricultural diffuse pollution: alignment with the Nitrates Directive and entity rules on wastewater and manure management points to harmonised nitrate, ammonium and pesticide suites, supplemented by site</w:t>
      </w:r>
      <w:r w:rsidRPr="00FC57EB">
        <w:rPr>
          <w:rFonts w:ascii="Cambria Math" w:hAnsi="Cambria Math" w:cs="Cambria Math"/>
        </w:rPr>
        <w:t>‑</w:t>
      </w:r>
      <w:r w:rsidRPr="00FC57EB">
        <w:rPr>
          <w:rFonts w:ascii="Calibri" w:hAnsi="Calibri" w:cs="Calibri"/>
        </w:rPr>
        <w:t>specific vulnerability mapping to select swallow holes and losing reaches where breakthrough to springs is rapid. Trend assessment and threshold values should be made consistent for the shared aquifer.</w:t>
      </w:r>
    </w:p>
    <w:p w14:paraId="079AD214" w14:textId="1A049FF1" w:rsidR="00DE7B83" w:rsidRPr="00FC57EB" w:rsidRDefault="00DE7B83" w:rsidP="00DE7B83">
      <w:pPr>
        <w:pStyle w:val="ListParagraph"/>
        <w:numPr>
          <w:ilvl w:val="0"/>
          <w:numId w:val="156"/>
        </w:numPr>
        <w:spacing w:line="278" w:lineRule="auto"/>
        <w:jc w:val="both"/>
        <w:rPr>
          <w:rFonts w:ascii="Calibri" w:hAnsi="Calibri" w:cs="Calibri"/>
        </w:rPr>
      </w:pPr>
      <w:r w:rsidRPr="00FC57EB">
        <w:rPr>
          <w:rFonts w:ascii="Calibri" w:hAnsi="Calibri" w:cs="Calibri"/>
        </w:rPr>
        <w:t>Hydropower</w:t>
      </w:r>
      <w:r w:rsidRPr="00FC57EB">
        <w:rPr>
          <w:rFonts w:ascii="Cambria Math" w:hAnsi="Cambria Math" w:cs="Cambria Math"/>
        </w:rPr>
        <w:t>‑</w:t>
      </w:r>
      <w:r w:rsidRPr="00FC57EB">
        <w:rPr>
          <w:rFonts w:ascii="Calibri" w:hAnsi="Calibri" w:cs="Calibri"/>
        </w:rPr>
        <w:t xml:space="preserve">modified regimes: tests for GW–SW interaction and GWDEs support targeted monitoring along reaches where hydropower alters baseflow/salinity patterns affecting springs and </w:t>
      </w:r>
      <w:r w:rsidR="003108B4">
        <w:rPr>
          <w:rFonts w:ascii="Calibri" w:hAnsi="Calibri" w:cs="Calibri"/>
        </w:rPr>
        <w:t>Delta</w:t>
      </w:r>
      <w:r w:rsidRPr="00FC57EB">
        <w:rPr>
          <w:rFonts w:ascii="Calibri" w:hAnsi="Calibri" w:cs="Calibri"/>
        </w:rPr>
        <w:t xml:space="preserve"> wetlands. Jointly agreed low</w:t>
      </w:r>
      <w:r w:rsidRPr="00FC57EB">
        <w:rPr>
          <w:rFonts w:ascii="Cambria Math" w:hAnsi="Cambria Math" w:cs="Cambria Math"/>
        </w:rPr>
        <w:t>‑</w:t>
      </w:r>
      <w:r w:rsidRPr="00FC57EB">
        <w:rPr>
          <w:rFonts w:ascii="Calibri" w:hAnsi="Calibri" w:cs="Calibri"/>
        </w:rPr>
        <w:t>flow and storm</w:t>
      </w:r>
      <w:r w:rsidRPr="00FC57EB">
        <w:rPr>
          <w:rFonts w:ascii="Cambria Math" w:hAnsi="Cambria Math" w:cs="Cambria Math"/>
        </w:rPr>
        <w:t>‑</w:t>
      </w:r>
      <w:r w:rsidRPr="00FC57EB">
        <w:rPr>
          <w:rFonts w:ascii="Calibri" w:hAnsi="Calibri" w:cs="Calibri"/>
        </w:rPr>
        <w:t>event windows could be included in the sampling.</w:t>
      </w:r>
    </w:p>
    <w:p w14:paraId="5979FB04" w14:textId="77777777" w:rsidR="00DE7B83" w:rsidRPr="00FC57EB" w:rsidRDefault="00DE7B83" w:rsidP="00DE7B83">
      <w:pPr>
        <w:pStyle w:val="ListParagraph"/>
        <w:numPr>
          <w:ilvl w:val="0"/>
          <w:numId w:val="156"/>
        </w:numPr>
        <w:spacing w:line="278" w:lineRule="auto"/>
        <w:jc w:val="both"/>
        <w:rPr>
          <w:rFonts w:ascii="Calibri" w:hAnsi="Calibri" w:cs="Calibri"/>
        </w:rPr>
      </w:pPr>
      <w:r w:rsidRPr="00FC57EB">
        <w:rPr>
          <w:rFonts w:ascii="Calibri" w:hAnsi="Calibri" w:cs="Calibri"/>
        </w:rPr>
        <w:t>Waste and industrial hotspots: the Environmental Liability Directive and national discharge rules justify operational surveillance upstream of known or suspected hotspots (e.g., legacy dumps, industrial or transport</w:t>
      </w:r>
      <w:r w:rsidRPr="00FC57EB">
        <w:rPr>
          <w:rFonts w:ascii="Cambria Math" w:hAnsi="Cambria Math" w:cs="Cambria Math"/>
        </w:rPr>
        <w:t>‑</w:t>
      </w:r>
      <w:r w:rsidRPr="00FC57EB">
        <w:rPr>
          <w:rFonts w:ascii="Calibri" w:hAnsi="Calibri" w:cs="Calibri"/>
        </w:rPr>
        <w:t>related sites). This includes using expanded parameter suites (including priority substances where relevant) and ensuring rapid notification when exceedances occur.</w:t>
      </w:r>
    </w:p>
    <w:p w14:paraId="41085E2E" w14:textId="379FB9AC" w:rsidR="00DE7B83" w:rsidRDefault="00DE7B83" w:rsidP="00DE7B83">
      <w:pPr>
        <w:jc w:val="both"/>
        <w:rPr>
          <w:rFonts w:ascii="Calibri" w:hAnsi="Calibri" w:cs="Calibri"/>
        </w:rPr>
      </w:pPr>
      <w:r w:rsidRPr="002215B6">
        <w:rPr>
          <w:rFonts w:ascii="Calibri" w:hAnsi="Calibri" w:cs="Calibri"/>
        </w:rPr>
        <w:t xml:space="preserve">For these elements to work effectively, the countries would need to: </w:t>
      </w:r>
      <w:r w:rsidRPr="00FC57EB">
        <w:rPr>
          <w:rFonts w:ascii="Calibri" w:hAnsi="Calibri" w:cs="Calibri"/>
        </w:rPr>
        <w:t>(</w:t>
      </w:r>
      <w:proofErr w:type="spellStart"/>
      <w:r w:rsidRPr="00FC57EB">
        <w:rPr>
          <w:rFonts w:ascii="Calibri" w:hAnsi="Calibri" w:cs="Calibri"/>
        </w:rPr>
        <w:t>i</w:t>
      </w:r>
      <w:proofErr w:type="spellEnd"/>
      <w:r w:rsidRPr="00FC57EB">
        <w:rPr>
          <w:rFonts w:ascii="Calibri" w:hAnsi="Calibri" w:cs="Calibri"/>
        </w:rPr>
        <w:t xml:space="preserve">) update the 1996 bilateral agreement with a Neretva </w:t>
      </w:r>
      <w:r>
        <w:rPr>
          <w:rFonts w:ascii="Calibri" w:hAnsi="Calibri" w:cs="Calibri"/>
        </w:rPr>
        <w:t>m</w:t>
      </w:r>
      <w:r w:rsidRPr="00FC57EB">
        <w:rPr>
          <w:rFonts w:ascii="Calibri" w:hAnsi="Calibri" w:cs="Calibri"/>
        </w:rPr>
        <w:t xml:space="preserve">onitoring </w:t>
      </w:r>
      <w:r>
        <w:rPr>
          <w:rFonts w:ascii="Calibri" w:hAnsi="Calibri" w:cs="Calibri"/>
        </w:rPr>
        <w:t>p</w:t>
      </w:r>
      <w:r w:rsidRPr="00FC57EB">
        <w:rPr>
          <w:rFonts w:ascii="Calibri" w:hAnsi="Calibri" w:cs="Calibri"/>
        </w:rPr>
        <w:t xml:space="preserve">rotocol that fixes the core parameter list, station typology (springs, </w:t>
      </w:r>
      <w:proofErr w:type="spellStart"/>
      <w:r w:rsidRPr="00FC57EB">
        <w:rPr>
          <w:rFonts w:ascii="Calibri" w:hAnsi="Calibri" w:cs="Calibri"/>
        </w:rPr>
        <w:t>vruljas</w:t>
      </w:r>
      <w:proofErr w:type="spellEnd"/>
      <w:r w:rsidRPr="00FC57EB">
        <w:rPr>
          <w:rFonts w:ascii="Calibri" w:hAnsi="Calibri" w:cs="Calibri"/>
        </w:rPr>
        <w:t>, ponors, observation wells), minimum frequencies (including continuous sensors where needed), QA/QC, and an exceedance</w:t>
      </w:r>
      <w:r w:rsidRPr="00FC57EB">
        <w:rPr>
          <w:rFonts w:ascii="Cambria Math" w:hAnsi="Cambria Math" w:cs="Cambria Math"/>
        </w:rPr>
        <w:t>‑</w:t>
      </w:r>
      <w:r w:rsidRPr="00FC57EB">
        <w:rPr>
          <w:rFonts w:ascii="Calibri" w:hAnsi="Calibri" w:cs="Calibri"/>
        </w:rPr>
        <w:t xml:space="preserve">alert ladder; (ii) </w:t>
      </w:r>
      <w:r w:rsidRPr="002215B6">
        <w:rPr>
          <w:rFonts w:ascii="Calibri" w:hAnsi="Calibri" w:cs="Calibri"/>
        </w:rPr>
        <w:t>adopt harmonised SPZ guidance for karst, allowing both countries to consistently recognise protection zones that cross the border</w:t>
      </w:r>
      <w:r w:rsidRPr="00FC57EB">
        <w:rPr>
          <w:rFonts w:ascii="Calibri" w:hAnsi="Calibri" w:cs="Calibri"/>
        </w:rPr>
        <w:t xml:space="preserve">; and (iii) </w:t>
      </w:r>
      <w:r w:rsidRPr="002215B6">
        <w:rPr>
          <w:rFonts w:ascii="Calibri" w:hAnsi="Calibri" w:cs="Calibri"/>
        </w:rPr>
        <w:t>ensure regular, INSPIRE</w:t>
      </w:r>
      <w:r w:rsidRPr="002215B6">
        <w:rPr>
          <w:rFonts w:ascii="Cambria Math" w:hAnsi="Cambria Math" w:cs="Cambria Math"/>
        </w:rPr>
        <w:t>‑</w:t>
      </w:r>
      <w:r w:rsidRPr="002215B6">
        <w:rPr>
          <w:rFonts w:ascii="Calibri" w:hAnsi="Calibri" w:cs="Calibri"/>
        </w:rPr>
        <w:t>compatible data exchange, with annual joint summaries integrated into national RBMP cycles, supporting consistent classification and trend reporting in both countries and keeping the joint network reliable, comparable and responsive to key Neretva TBA risks</w:t>
      </w:r>
      <w:r w:rsidRPr="00FC57EB">
        <w:rPr>
          <w:rFonts w:ascii="Calibri" w:hAnsi="Calibri" w:cs="Calibri"/>
        </w:rPr>
        <w:t>.</w:t>
      </w:r>
    </w:p>
    <w:p w14:paraId="4047C450" w14:textId="77777777" w:rsidR="00742BFE" w:rsidRDefault="00742BFE" w:rsidP="00DE7B83">
      <w:pPr>
        <w:jc w:val="both"/>
        <w:rPr>
          <w:rFonts w:ascii="Calibri" w:hAnsi="Calibri" w:cs="Calibri"/>
        </w:rPr>
      </w:pPr>
    </w:p>
    <w:p w14:paraId="1232638C" w14:textId="26AFBA60" w:rsidR="00FE6638" w:rsidRPr="0063588E" w:rsidRDefault="00FE6638" w:rsidP="00FE6638">
      <w:pPr>
        <w:pStyle w:val="Heading2"/>
        <w:rPr>
          <w:lang w:val="en-GB"/>
        </w:rPr>
      </w:pPr>
      <w:bookmarkStart w:id="225" w:name="_Toc229036291"/>
      <w:r w:rsidRPr="0063588E">
        <w:rPr>
          <w:lang w:val="en-GB"/>
        </w:rPr>
        <w:t>10.3 Joint management targets and priorities</w:t>
      </w:r>
      <w:bookmarkEnd w:id="225"/>
    </w:p>
    <w:p w14:paraId="2D300265" w14:textId="56A8A3FC" w:rsidR="00FE6638" w:rsidRPr="00FE6638" w:rsidRDefault="00FE6638" w:rsidP="00FE6638">
      <w:pPr>
        <w:jc w:val="both"/>
      </w:pPr>
      <w:r w:rsidRPr="00FE6638">
        <w:t xml:space="preserve">The joint management targets of TBA Neretva are to establish a joint multi-level monitoring system, which includes unifying qualitative, quantitative, and biological monitoring of </w:t>
      </w:r>
      <w:r>
        <w:t>groundwater</w:t>
      </w:r>
      <w:r w:rsidRPr="00FE6638">
        <w:t xml:space="preserve"> and surface waters, as well as the monitoring of stable isotopes </w:t>
      </w:r>
      <w:r>
        <w:t>in</w:t>
      </w:r>
      <w:r w:rsidRPr="00FE6638">
        <w:t xml:space="preserve"> TBA Neretva. This includes the formation of identical databases in each country and the definition of protocols for data exchange. This entails the joint selection of monitoring stations, jointly defining parameters and analytical methods, establishing mutual sampling methods and dynamics, and harmonizing the assessment of quantitative and qualitative status of groundwater and surface waters, as well as risk assessment.</w:t>
      </w:r>
    </w:p>
    <w:p w14:paraId="25D8B363" w14:textId="77777777" w:rsidR="00FE6638" w:rsidRPr="00FE6638" w:rsidRDefault="00FE6638" w:rsidP="00FE6638">
      <w:r w:rsidRPr="00FE6638">
        <w:t>Priority activities include:</w:t>
      </w:r>
    </w:p>
    <w:p w14:paraId="05669684" w14:textId="554AB9E2" w:rsidR="00FE6638" w:rsidRPr="00FE6638" w:rsidRDefault="00FE6638" w:rsidP="00FE6638">
      <w:pPr>
        <w:pStyle w:val="ListParagraph"/>
        <w:numPr>
          <w:ilvl w:val="0"/>
          <w:numId w:val="159"/>
        </w:numPr>
      </w:pPr>
      <w:r w:rsidRPr="00FE6638">
        <w:lastRenderedPageBreak/>
        <w:t>Harmonizing the sampling method and chemical and biological parameters for interlinking</w:t>
      </w:r>
      <w:r w:rsidRPr="00FE6638">
        <w:rPr>
          <w:b/>
        </w:rPr>
        <w:t xml:space="preserve"> </w:t>
      </w:r>
      <w:r w:rsidRPr="00FE6638">
        <w:t xml:space="preserve">biological and quality monitoring of </w:t>
      </w:r>
      <w:r>
        <w:t>ground</w:t>
      </w:r>
      <w:r w:rsidRPr="00FE6638">
        <w:t>water</w:t>
      </w:r>
      <w:r>
        <w:t>;</w:t>
      </w:r>
    </w:p>
    <w:p w14:paraId="4BA8E63F" w14:textId="2EC9FEED" w:rsidR="00FE6638" w:rsidRPr="00FE6638" w:rsidRDefault="00FE6638" w:rsidP="00FE6638">
      <w:pPr>
        <w:pStyle w:val="ListParagraph"/>
        <w:numPr>
          <w:ilvl w:val="0"/>
          <w:numId w:val="159"/>
        </w:numPr>
      </w:pPr>
      <w:r w:rsidRPr="00FE6638">
        <w:t>Defining parameters and dynamics of sampling</w:t>
      </w:r>
      <w:r>
        <w:t>;</w:t>
      </w:r>
    </w:p>
    <w:p w14:paraId="2995E3BE" w14:textId="74D0F0E6" w:rsidR="00FE6638" w:rsidRPr="00FE6638" w:rsidRDefault="00FE6638" w:rsidP="00FE6638">
      <w:pPr>
        <w:pStyle w:val="ListParagraph"/>
        <w:numPr>
          <w:ilvl w:val="0"/>
          <w:numId w:val="159"/>
        </w:numPr>
      </w:pPr>
      <w:r w:rsidRPr="00FE6638">
        <w:t>Selecting monitoring stations for quantitative groundwater monitoring in the vicinity of major</w:t>
      </w:r>
      <w:r>
        <w:t xml:space="preserve"> pollution</w:t>
      </w:r>
      <w:r w:rsidRPr="00FE6638">
        <w:t xml:space="preserve"> sources</w:t>
      </w:r>
      <w:r>
        <w:t>;</w:t>
      </w:r>
    </w:p>
    <w:p w14:paraId="764EB63A" w14:textId="0EB69DDF" w:rsidR="00FE6638" w:rsidRPr="00FE6638" w:rsidRDefault="00FE6638" w:rsidP="00FE6638">
      <w:pPr>
        <w:pStyle w:val="ListParagraph"/>
        <w:numPr>
          <w:ilvl w:val="0"/>
          <w:numId w:val="159"/>
        </w:numPr>
      </w:pPr>
      <w:r w:rsidRPr="00FE6638">
        <w:t>Initiating stable isotope monitoring</w:t>
      </w:r>
      <w:r>
        <w:t>;</w:t>
      </w:r>
    </w:p>
    <w:p w14:paraId="44B1D6D7" w14:textId="0D49810A" w:rsidR="00FE6638" w:rsidRPr="00FE6638" w:rsidRDefault="00FE6638" w:rsidP="00FE6638">
      <w:pPr>
        <w:pStyle w:val="ListParagraph"/>
        <w:numPr>
          <w:ilvl w:val="0"/>
          <w:numId w:val="159"/>
        </w:numPr>
      </w:pPr>
      <w:r w:rsidRPr="00FE6638">
        <w:t xml:space="preserve">Creating identical </w:t>
      </w:r>
      <w:r>
        <w:t xml:space="preserve">monitoring </w:t>
      </w:r>
      <w:r w:rsidRPr="00FE6638">
        <w:t>databases in each country</w:t>
      </w:r>
      <w:r>
        <w:t>;</w:t>
      </w:r>
    </w:p>
    <w:p w14:paraId="5DB19662" w14:textId="74BD76D4" w:rsidR="00FE6638" w:rsidRPr="000348DD" w:rsidRDefault="00FE6638" w:rsidP="00FE6638">
      <w:pPr>
        <w:pStyle w:val="ListParagraph"/>
        <w:numPr>
          <w:ilvl w:val="0"/>
          <w:numId w:val="159"/>
        </w:numPr>
        <w:rPr>
          <w:b/>
        </w:rPr>
      </w:pPr>
      <w:r w:rsidRPr="00FE6638">
        <w:t>Defining a protocol for data exchange.</w:t>
      </w:r>
    </w:p>
    <w:p w14:paraId="02227A07" w14:textId="77777777" w:rsidR="000348DD" w:rsidRDefault="000348DD" w:rsidP="000348DD">
      <w:pPr>
        <w:rPr>
          <w:b/>
        </w:rPr>
      </w:pPr>
    </w:p>
    <w:p w14:paraId="5D321826" w14:textId="77777777" w:rsidR="000348DD" w:rsidRPr="0063588E" w:rsidRDefault="000348DD" w:rsidP="000348DD">
      <w:pPr>
        <w:pStyle w:val="Heading2"/>
        <w:rPr>
          <w:rFonts w:eastAsia="Times New Roman"/>
          <w:lang w:val="en-GB" w:eastAsia="hr-HR"/>
        </w:rPr>
      </w:pPr>
      <w:bookmarkStart w:id="226" w:name="_Toc229036292"/>
      <w:r w:rsidRPr="0063588E">
        <w:rPr>
          <w:rFonts w:eastAsia="Times New Roman"/>
          <w:lang w:val="en-GB" w:eastAsia="hr-HR"/>
        </w:rPr>
        <w:t>10.4 Selection of monitoring sites and parameters and monitoring frequency</w:t>
      </w:r>
      <w:bookmarkEnd w:id="226"/>
    </w:p>
    <w:p w14:paraId="65D54909" w14:textId="116F5A52" w:rsidR="000348DD" w:rsidRPr="00B02838" w:rsidRDefault="000348DD" w:rsidP="00B02838">
      <w:pPr>
        <w:pStyle w:val="NoSpacing"/>
        <w:spacing w:after="160" w:line="259" w:lineRule="auto"/>
        <w:jc w:val="both"/>
        <w:rPr>
          <w:sz w:val="22"/>
          <w:szCs w:val="22"/>
          <w:lang w:val="en-GB" w:eastAsia="hr-HR"/>
        </w:rPr>
      </w:pPr>
      <w:r w:rsidRPr="00B02838">
        <w:rPr>
          <w:sz w:val="22"/>
          <w:szCs w:val="22"/>
          <w:lang w:val="en-GB" w:eastAsia="hr-HR"/>
        </w:rPr>
        <w:t xml:space="preserve">The selection of groundwater monitoring sites is based on the conceptual model of Neretva TBA. </w:t>
      </w:r>
      <w:r w:rsidR="00B02838" w:rsidRPr="00B02838">
        <w:rPr>
          <w:sz w:val="22"/>
          <w:szCs w:val="22"/>
          <w:lang w:val="en-GB" w:eastAsia="hr-HR"/>
        </w:rPr>
        <w:t>Regarding</w:t>
      </w:r>
      <w:r w:rsidRPr="00B02838">
        <w:rPr>
          <w:sz w:val="22"/>
          <w:szCs w:val="22"/>
          <w:lang w:val="en-GB" w:eastAsia="hr-HR"/>
        </w:rPr>
        <w:t xml:space="preserve"> the existing monitoring framework, improvements are required in both the qualitative and quantitative assessment of groundwater status within the TBA.</w:t>
      </w:r>
    </w:p>
    <w:p w14:paraId="425FD94D" w14:textId="5B004E1D" w:rsidR="000348DD" w:rsidRPr="00B02838" w:rsidRDefault="000348DD" w:rsidP="00B02838">
      <w:pPr>
        <w:jc w:val="both"/>
        <w:rPr>
          <w:rFonts w:eastAsia="Times New Roman" w:cstheme="minorHAnsi"/>
          <w:lang w:eastAsia="hr-HR"/>
        </w:rPr>
      </w:pPr>
      <w:r w:rsidRPr="00B02838">
        <w:rPr>
          <w:rFonts w:eastAsia="Times New Roman" w:cstheme="minorHAnsi"/>
          <w:lang w:eastAsia="hr-HR"/>
        </w:rPr>
        <w:t xml:space="preserve">It is proposed to establish monitoring at the significant ponors Škorin ponor and </w:t>
      </w:r>
      <w:proofErr w:type="spellStart"/>
      <w:r w:rsidRPr="00B02838">
        <w:rPr>
          <w:rFonts w:eastAsia="Times New Roman" w:cstheme="minorHAnsi"/>
          <w:lang w:eastAsia="hr-HR"/>
        </w:rPr>
        <w:t>Šajnovac</w:t>
      </w:r>
      <w:proofErr w:type="spellEnd"/>
      <w:r w:rsidRPr="00B02838">
        <w:rPr>
          <w:rFonts w:eastAsia="Times New Roman" w:cstheme="minorHAnsi"/>
          <w:lang w:eastAsia="hr-HR"/>
        </w:rPr>
        <w:t xml:space="preserve"> ponor in the </w:t>
      </w:r>
      <w:proofErr w:type="spellStart"/>
      <w:r w:rsidRPr="00B02838">
        <w:rPr>
          <w:rFonts w:eastAsia="Times New Roman" w:cstheme="minorHAnsi"/>
          <w:lang w:eastAsia="hr-HR"/>
        </w:rPr>
        <w:t>Imotsko-Bekijsko</w:t>
      </w:r>
      <w:proofErr w:type="spellEnd"/>
      <w:r w:rsidRPr="00B02838">
        <w:rPr>
          <w:rFonts w:eastAsia="Times New Roman" w:cstheme="minorHAnsi"/>
          <w:lang w:eastAsia="hr-HR"/>
        </w:rPr>
        <w:t xml:space="preserve"> polje, as well as at Ponor u </w:t>
      </w:r>
      <w:proofErr w:type="spellStart"/>
      <w:r w:rsidRPr="00B02838">
        <w:rPr>
          <w:rFonts w:eastAsia="Times New Roman" w:cstheme="minorHAnsi"/>
          <w:lang w:eastAsia="hr-HR"/>
        </w:rPr>
        <w:t>Ljubuškom</w:t>
      </w:r>
      <w:proofErr w:type="spellEnd"/>
      <w:r w:rsidRPr="00B02838">
        <w:rPr>
          <w:rFonts w:eastAsia="Times New Roman" w:cstheme="minorHAnsi"/>
          <w:lang w:eastAsia="hr-HR"/>
        </w:rPr>
        <w:t xml:space="preserve">. These ponors represent recharge areas of the </w:t>
      </w:r>
      <w:proofErr w:type="spellStart"/>
      <w:r w:rsidRPr="00B02838">
        <w:rPr>
          <w:rFonts w:eastAsia="Times New Roman" w:cstheme="minorHAnsi"/>
          <w:lang w:eastAsia="hr-HR"/>
        </w:rPr>
        <w:t>Prud</w:t>
      </w:r>
      <w:proofErr w:type="spellEnd"/>
      <w:r w:rsidRPr="00B02838">
        <w:rPr>
          <w:rFonts w:eastAsia="Times New Roman" w:cstheme="minorHAnsi"/>
          <w:lang w:eastAsia="hr-HR"/>
        </w:rPr>
        <w:t xml:space="preserve"> spring, and underground hydraulic connections to this spring have been confirmed through tracer tests. The proposed monitoring would include continuous measurements of water quantities (at both the ponors and the springs), as well as the monitoring of chemical and biological parameters.</w:t>
      </w:r>
    </w:p>
    <w:p w14:paraId="4E65FAA5" w14:textId="77777777" w:rsidR="000348DD" w:rsidRPr="00B02838" w:rsidRDefault="000348DD" w:rsidP="00B02838">
      <w:pPr>
        <w:jc w:val="both"/>
        <w:rPr>
          <w:rFonts w:eastAsia="Times New Roman" w:cstheme="minorHAnsi"/>
          <w:lang w:eastAsia="hr-HR"/>
        </w:rPr>
      </w:pPr>
      <w:r w:rsidRPr="00B02838">
        <w:rPr>
          <w:rFonts w:eastAsia="Times New Roman" w:cstheme="minorHAnsi"/>
          <w:lang w:eastAsia="hr-HR"/>
        </w:rPr>
        <w:t>To achieve a more accurate delineation of the catchment area, it is recommended, alongside further groundwater investigations using tracer tests, to conduct isotopic studies employing stable isotopes within the recharge area. Hydrological methods for catchment delineation, particularly water balance analyses that compare precipitation with spring discharge, are useful for estimating catchment size. For this purpose, an expansion of the existing hydrometeorological monitoring network is required.</w:t>
      </w:r>
    </w:p>
    <w:p w14:paraId="5AA6046C" w14:textId="53390AF3" w:rsidR="000348DD" w:rsidRPr="00B02838" w:rsidRDefault="000348DD" w:rsidP="00B02838">
      <w:pPr>
        <w:jc w:val="both"/>
        <w:rPr>
          <w:rFonts w:eastAsia="Times New Roman" w:cstheme="minorHAnsi"/>
          <w:lang w:eastAsia="hr-HR"/>
        </w:rPr>
      </w:pPr>
      <w:r w:rsidRPr="00B02838">
        <w:rPr>
          <w:rFonts w:eastAsia="Times New Roman" w:cstheme="minorHAnsi"/>
          <w:lang w:eastAsia="hr-HR"/>
        </w:rPr>
        <w:t>Proposed groundwater monitoring sites include:</w:t>
      </w:r>
    </w:p>
    <w:p w14:paraId="2E047DF9" w14:textId="60459241" w:rsidR="000348DD" w:rsidRPr="00B02838" w:rsidRDefault="000348DD" w:rsidP="00B02838">
      <w:pPr>
        <w:pStyle w:val="ListParagraph"/>
        <w:numPr>
          <w:ilvl w:val="0"/>
          <w:numId w:val="162"/>
        </w:numPr>
        <w:jc w:val="both"/>
        <w:rPr>
          <w:rFonts w:eastAsia="Times New Roman" w:cstheme="minorHAnsi"/>
          <w:lang w:eastAsia="hr-HR"/>
        </w:rPr>
      </w:pPr>
      <w:r w:rsidRPr="00B02838">
        <w:rPr>
          <w:rFonts w:eastAsia="Times New Roman" w:cstheme="minorHAnsi"/>
          <w:lang w:eastAsia="hr-HR"/>
        </w:rPr>
        <w:t xml:space="preserve">Qualitative and biological monitoring at the main springs of Neretva TBA: </w:t>
      </w:r>
      <w:proofErr w:type="spellStart"/>
      <w:r w:rsidRPr="00B02838">
        <w:rPr>
          <w:rFonts w:eastAsia="Times New Roman" w:cstheme="minorHAnsi"/>
          <w:lang w:eastAsia="hr-HR"/>
        </w:rPr>
        <w:t>Peć</w:t>
      </w:r>
      <w:proofErr w:type="spellEnd"/>
      <w:r w:rsidRPr="00B02838">
        <w:rPr>
          <w:rFonts w:eastAsia="Times New Roman" w:cstheme="minorHAnsi"/>
          <w:lang w:eastAsia="hr-HR"/>
        </w:rPr>
        <w:t xml:space="preserve"> </w:t>
      </w:r>
      <w:proofErr w:type="spellStart"/>
      <w:r w:rsidRPr="00B02838">
        <w:rPr>
          <w:rFonts w:eastAsia="Times New Roman" w:cstheme="minorHAnsi"/>
          <w:lang w:eastAsia="hr-HR"/>
        </w:rPr>
        <w:t>Mlini</w:t>
      </w:r>
      <w:proofErr w:type="spellEnd"/>
      <w:r w:rsidRPr="00B02838">
        <w:rPr>
          <w:rFonts w:eastAsia="Times New Roman" w:cstheme="minorHAnsi"/>
          <w:lang w:eastAsia="hr-HR"/>
        </w:rPr>
        <w:t xml:space="preserve">, </w:t>
      </w:r>
      <w:proofErr w:type="spellStart"/>
      <w:r w:rsidRPr="00B02838">
        <w:rPr>
          <w:rFonts w:eastAsia="Times New Roman" w:cstheme="minorHAnsi"/>
          <w:lang w:eastAsia="hr-HR"/>
        </w:rPr>
        <w:t>Klokun</w:t>
      </w:r>
      <w:proofErr w:type="spellEnd"/>
      <w:r w:rsidRPr="00B02838">
        <w:rPr>
          <w:rFonts w:eastAsia="Times New Roman" w:cstheme="minorHAnsi"/>
          <w:lang w:eastAsia="hr-HR"/>
        </w:rPr>
        <w:t xml:space="preserve"> (</w:t>
      </w:r>
      <w:proofErr w:type="spellStart"/>
      <w:r w:rsidRPr="00B02838">
        <w:rPr>
          <w:rFonts w:eastAsia="Times New Roman" w:cstheme="minorHAnsi"/>
          <w:lang w:eastAsia="hr-HR"/>
        </w:rPr>
        <w:t>Klobuk</w:t>
      </w:r>
      <w:proofErr w:type="spellEnd"/>
      <w:r w:rsidRPr="00B02838">
        <w:rPr>
          <w:rFonts w:eastAsia="Times New Roman" w:cstheme="minorHAnsi"/>
          <w:lang w:eastAsia="hr-HR"/>
        </w:rPr>
        <w:t xml:space="preserve">), and </w:t>
      </w:r>
      <w:proofErr w:type="spellStart"/>
      <w:r w:rsidRPr="00B02838">
        <w:rPr>
          <w:rFonts w:eastAsia="Times New Roman" w:cstheme="minorHAnsi"/>
          <w:lang w:eastAsia="hr-HR"/>
        </w:rPr>
        <w:t>Trebižat-Vitaljina</w:t>
      </w:r>
      <w:proofErr w:type="spellEnd"/>
      <w:r w:rsidRPr="00B02838">
        <w:rPr>
          <w:rFonts w:eastAsia="Times New Roman" w:cstheme="minorHAnsi"/>
          <w:lang w:eastAsia="hr-HR"/>
        </w:rPr>
        <w:t xml:space="preserve"> on the Bosnia and Herzegovina side, and </w:t>
      </w:r>
      <w:proofErr w:type="spellStart"/>
      <w:r w:rsidRPr="00B02838">
        <w:rPr>
          <w:rFonts w:eastAsia="Times New Roman" w:cstheme="minorHAnsi"/>
          <w:lang w:eastAsia="hr-HR"/>
        </w:rPr>
        <w:t>Opačac</w:t>
      </w:r>
      <w:proofErr w:type="spellEnd"/>
      <w:r w:rsidRPr="00B02838">
        <w:rPr>
          <w:rFonts w:eastAsia="Times New Roman" w:cstheme="minorHAnsi"/>
          <w:lang w:eastAsia="hr-HR"/>
        </w:rPr>
        <w:t xml:space="preserve"> and </w:t>
      </w:r>
      <w:proofErr w:type="spellStart"/>
      <w:r w:rsidRPr="00B02838">
        <w:rPr>
          <w:rFonts w:eastAsia="Times New Roman" w:cstheme="minorHAnsi"/>
          <w:lang w:eastAsia="hr-HR"/>
        </w:rPr>
        <w:t>Prud</w:t>
      </w:r>
      <w:proofErr w:type="spellEnd"/>
      <w:r w:rsidRPr="00B02838">
        <w:rPr>
          <w:rFonts w:eastAsia="Times New Roman" w:cstheme="minorHAnsi"/>
          <w:lang w:eastAsia="hr-HR"/>
        </w:rPr>
        <w:t xml:space="preserve"> on the Croatia side;</w:t>
      </w:r>
    </w:p>
    <w:p w14:paraId="7D619205" w14:textId="331A57C8" w:rsidR="000348DD" w:rsidRPr="00B02838" w:rsidRDefault="000348DD" w:rsidP="00B02838">
      <w:pPr>
        <w:pStyle w:val="ListParagraph"/>
        <w:numPr>
          <w:ilvl w:val="0"/>
          <w:numId w:val="162"/>
        </w:numPr>
        <w:jc w:val="both"/>
        <w:rPr>
          <w:rFonts w:eastAsia="Times New Roman" w:cstheme="minorHAnsi"/>
          <w:lang w:eastAsia="hr-HR"/>
        </w:rPr>
      </w:pPr>
      <w:r w:rsidRPr="00B02838">
        <w:rPr>
          <w:rFonts w:eastAsia="Times New Roman" w:cstheme="minorHAnsi"/>
          <w:lang w:eastAsia="hr-HR"/>
        </w:rPr>
        <w:t xml:space="preserve">Qualitative and biological monitoring at ponors: Škorin ponor and </w:t>
      </w:r>
      <w:proofErr w:type="spellStart"/>
      <w:r w:rsidRPr="00B02838">
        <w:rPr>
          <w:rFonts w:eastAsia="Times New Roman" w:cstheme="minorHAnsi"/>
          <w:lang w:eastAsia="hr-HR"/>
        </w:rPr>
        <w:t>Šajnovac</w:t>
      </w:r>
      <w:proofErr w:type="spellEnd"/>
      <w:r w:rsidRPr="00B02838">
        <w:rPr>
          <w:rFonts w:eastAsia="Times New Roman" w:cstheme="minorHAnsi"/>
          <w:lang w:eastAsia="hr-HR"/>
        </w:rPr>
        <w:t xml:space="preserve"> ponor in the </w:t>
      </w:r>
      <w:proofErr w:type="spellStart"/>
      <w:r w:rsidRPr="00B02838">
        <w:rPr>
          <w:rFonts w:eastAsia="Times New Roman" w:cstheme="minorHAnsi"/>
          <w:lang w:eastAsia="hr-HR"/>
        </w:rPr>
        <w:t>Imotsko-Bekijsko</w:t>
      </w:r>
      <w:proofErr w:type="spellEnd"/>
      <w:r w:rsidRPr="00B02838">
        <w:rPr>
          <w:rFonts w:eastAsia="Times New Roman" w:cstheme="minorHAnsi"/>
          <w:lang w:eastAsia="hr-HR"/>
        </w:rPr>
        <w:t xml:space="preserve"> polje, and Ponor in </w:t>
      </w:r>
      <w:proofErr w:type="spellStart"/>
      <w:r w:rsidRPr="00B02838">
        <w:rPr>
          <w:rFonts w:eastAsia="Times New Roman" w:cstheme="minorHAnsi"/>
          <w:lang w:eastAsia="hr-HR"/>
        </w:rPr>
        <w:t>Ljubuško</w:t>
      </w:r>
      <w:proofErr w:type="spellEnd"/>
      <w:r w:rsidRPr="00B02838">
        <w:rPr>
          <w:rFonts w:eastAsia="Times New Roman" w:cstheme="minorHAnsi"/>
          <w:lang w:eastAsia="hr-HR"/>
        </w:rPr>
        <w:t>.</w:t>
      </w:r>
    </w:p>
    <w:p w14:paraId="232BBE7B" w14:textId="77777777" w:rsidR="000348DD" w:rsidRPr="00B02838" w:rsidRDefault="000348DD" w:rsidP="00B02838">
      <w:pPr>
        <w:jc w:val="both"/>
        <w:rPr>
          <w:rFonts w:eastAsia="Times New Roman" w:cstheme="minorHAnsi"/>
          <w:lang w:eastAsia="hr-HR"/>
        </w:rPr>
      </w:pPr>
      <w:r w:rsidRPr="00B02838">
        <w:rPr>
          <w:rFonts w:eastAsia="Times New Roman" w:cstheme="minorHAnsi"/>
          <w:lang w:eastAsia="hr-HR"/>
        </w:rPr>
        <w:t>Proposed quantitative monitoring sites include:</w:t>
      </w:r>
    </w:p>
    <w:p w14:paraId="6037477A" w14:textId="4D8D2C49" w:rsidR="000348DD" w:rsidRPr="00B02838" w:rsidRDefault="000348DD" w:rsidP="00B02838">
      <w:pPr>
        <w:pStyle w:val="ListParagraph"/>
        <w:numPr>
          <w:ilvl w:val="0"/>
          <w:numId w:val="163"/>
        </w:numPr>
        <w:jc w:val="both"/>
        <w:rPr>
          <w:rFonts w:eastAsia="Times New Roman" w:cstheme="minorHAnsi"/>
          <w:lang w:eastAsia="hr-HR"/>
        </w:rPr>
      </w:pPr>
      <w:proofErr w:type="spellStart"/>
      <w:r w:rsidRPr="00B02838">
        <w:rPr>
          <w:rFonts w:eastAsia="Times New Roman" w:cstheme="minorHAnsi"/>
          <w:lang w:eastAsia="hr-HR"/>
        </w:rPr>
        <w:t>Opačac</w:t>
      </w:r>
      <w:proofErr w:type="spellEnd"/>
      <w:r w:rsidRPr="00B02838">
        <w:rPr>
          <w:rFonts w:eastAsia="Times New Roman" w:cstheme="minorHAnsi"/>
          <w:lang w:eastAsia="hr-HR"/>
        </w:rPr>
        <w:t xml:space="preserve"> and </w:t>
      </w:r>
      <w:proofErr w:type="spellStart"/>
      <w:r w:rsidRPr="00B02838">
        <w:rPr>
          <w:rFonts w:eastAsia="Times New Roman" w:cstheme="minorHAnsi"/>
          <w:lang w:eastAsia="hr-HR"/>
        </w:rPr>
        <w:t>Prud</w:t>
      </w:r>
      <w:proofErr w:type="spellEnd"/>
      <w:r w:rsidRPr="00B02838">
        <w:rPr>
          <w:rFonts w:eastAsia="Times New Roman" w:cstheme="minorHAnsi"/>
          <w:lang w:eastAsia="hr-HR"/>
        </w:rPr>
        <w:t xml:space="preserve"> on the Croatia side - continuous measurement of overflow and abstracted water daily;</w:t>
      </w:r>
    </w:p>
    <w:p w14:paraId="43BE0882" w14:textId="6CEBDF22" w:rsidR="000348DD" w:rsidRPr="00B02838" w:rsidRDefault="000348DD" w:rsidP="00B02838">
      <w:pPr>
        <w:pStyle w:val="ListParagraph"/>
        <w:numPr>
          <w:ilvl w:val="0"/>
          <w:numId w:val="163"/>
        </w:numPr>
        <w:jc w:val="both"/>
        <w:rPr>
          <w:rFonts w:eastAsia="Times New Roman" w:cstheme="minorHAnsi"/>
          <w:lang w:eastAsia="hr-HR"/>
        </w:rPr>
      </w:pPr>
      <w:r w:rsidRPr="00B02838">
        <w:rPr>
          <w:rFonts w:eastAsia="Times New Roman" w:cstheme="minorHAnsi"/>
          <w:lang w:eastAsia="hr-HR"/>
        </w:rPr>
        <w:t xml:space="preserve">Ponors: Škorin ponor, </w:t>
      </w:r>
      <w:proofErr w:type="spellStart"/>
      <w:r w:rsidRPr="00B02838">
        <w:rPr>
          <w:rFonts w:eastAsia="Times New Roman" w:cstheme="minorHAnsi"/>
          <w:lang w:eastAsia="hr-HR"/>
        </w:rPr>
        <w:t>Šajnovac</w:t>
      </w:r>
      <w:proofErr w:type="spellEnd"/>
      <w:r w:rsidRPr="00B02838">
        <w:rPr>
          <w:rFonts w:eastAsia="Times New Roman" w:cstheme="minorHAnsi"/>
          <w:lang w:eastAsia="hr-HR"/>
        </w:rPr>
        <w:t xml:space="preserve"> ponor, and Ponor u </w:t>
      </w:r>
      <w:proofErr w:type="spellStart"/>
      <w:r w:rsidRPr="00B02838">
        <w:rPr>
          <w:rFonts w:eastAsia="Times New Roman" w:cstheme="minorHAnsi"/>
          <w:lang w:eastAsia="hr-HR"/>
        </w:rPr>
        <w:t>Ljubuškom</w:t>
      </w:r>
      <w:proofErr w:type="spellEnd"/>
      <w:r w:rsidRPr="00B02838">
        <w:rPr>
          <w:rFonts w:eastAsia="Times New Roman" w:cstheme="minorHAnsi"/>
          <w:lang w:eastAsia="hr-HR"/>
        </w:rPr>
        <w:t xml:space="preserve"> - continuous measurement of water levels and seasonal measurements of discharge.</w:t>
      </w:r>
    </w:p>
    <w:p w14:paraId="33677B97" w14:textId="26646CC5" w:rsidR="000348DD" w:rsidRPr="00B02838" w:rsidRDefault="000348DD" w:rsidP="00B02838">
      <w:pPr>
        <w:jc w:val="both"/>
        <w:rPr>
          <w:rFonts w:cstheme="minorHAnsi"/>
          <w:bCs/>
        </w:rPr>
      </w:pPr>
      <w:r w:rsidRPr="00B02838">
        <w:rPr>
          <w:rFonts w:cstheme="minorHAnsi"/>
          <w:bCs/>
        </w:rPr>
        <w:t xml:space="preserve">Unlike groundwater monitoring, surface water monitoring in both countries is largely harmonised with the requirements of the EU Water Framework Directive (WFD) and relevant EU standards. The ecological status of surface waters is assessed based on biological, basic </w:t>
      </w:r>
      <w:proofErr w:type="spellStart"/>
      <w:r w:rsidRPr="00B02838">
        <w:rPr>
          <w:rFonts w:cstheme="minorHAnsi"/>
          <w:bCs/>
        </w:rPr>
        <w:t>physico</w:t>
      </w:r>
      <w:proofErr w:type="spellEnd"/>
      <w:r w:rsidRPr="00B02838">
        <w:rPr>
          <w:rFonts w:cstheme="minorHAnsi"/>
          <w:bCs/>
        </w:rPr>
        <w:t xml:space="preserve">-chemical, and chemical quality elements, which complement the biological and </w:t>
      </w:r>
      <w:proofErr w:type="spellStart"/>
      <w:r w:rsidRPr="00B02838">
        <w:rPr>
          <w:rFonts w:cstheme="minorHAnsi"/>
          <w:bCs/>
        </w:rPr>
        <w:t>hydromorphological</w:t>
      </w:r>
      <w:proofErr w:type="spellEnd"/>
      <w:r w:rsidRPr="00B02838">
        <w:rPr>
          <w:rFonts w:cstheme="minorHAnsi"/>
          <w:bCs/>
        </w:rPr>
        <w:t xml:space="preserve"> components. Chemical status is assessed with respect to the relevant chemical status indicators.</w:t>
      </w:r>
    </w:p>
    <w:p w14:paraId="23FD1B76" w14:textId="77777777" w:rsidR="000348DD" w:rsidRPr="00B02838" w:rsidRDefault="000348DD" w:rsidP="000348DD">
      <w:pPr>
        <w:jc w:val="both"/>
        <w:rPr>
          <w:rFonts w:cstheme="minorHAnsi"/>
          <w:bCs/>
        </w:rPr>
      </w:pPr>
      <w:r w:rsidRPr="00B02838">
        <w:rPr>
          <w:rFonts w:cstheme="minorHAnsi"/>
          <w:bCs/>
        </w:rPr>
        <w:t xml:space="preserve">According to the definitions set out in the WFD, four biological quality elements are distinguished for rivers and lakes: phytoplankton, macrophytes and </w:t>
      </w:r>
      <w:proofErr w:type="spellStart"/>
      <w:r w:rsidRPr="00B02838">
        <w:rPr>
          <w:rFonts w:cstheme="minorHAnsi"/>
          <w:bCs/>
        </w:rPr>
        <w:t>phytobenthos</w:t>
      </w:r>
      <w:proofErr w:type="spellEnd"/>
      <w:r w:rsidRPr="00B02838">
        <w:rPr>
          <w:rFonts w:cstheme="minorHAnsi"/>
          <w:bCs/>
        </w:rPr>
        <w:t xml:space="preserve">, </w:t>
      </w:r>
      <w:proofErr w:type="spellStart"/>
      <w:r w:rsidRPr="00B02838">
        <w:rPr>
          <w:rFonts w:cstheme="minorHAnsi"/>
          <w:bCs/>
        </w:rPr>
        <w:t>macrozoobenthos</w:t>
      </w:r>
      <w:proofErr w:type="spellEnd"/>
      <w:r w:rsidRPr="00B02838">
        <w:rPr>
          <w:rFonts w:cstheme="minorHAnsi"/>
          <w:bCs/>
        </w:rPr>
        <w:t xml:space="preserve"> (benthic </w:t>
      </w:r>
      <w:r w:rsidRPr="00B02838">
        <w:rPr>
          <w:rFonts w:cstheme="minorHAnsi"/>
          <w:bCs/>
        </w:rPr>
        <w:lastRenderedPageBreak/>
        <w:t xml:space="preserve">invertebrates), and fish. The basic </w:t>
      </w:r>
      <w:proofErr w:type="spellStart"/>
      <w:r w:rsidRPr="00B02838">
        <w:rPr>
          <w:rFonts w:cstheme="minorHAnsi"/>
          <w:bCs/>
        </w:rPr>
        <w:t>physico</w:t>
      </w:r>
      <w:proofErr w:type="spellEnd"/>
      <w:r w:rsidRPr="00B02838">
        <w:rPr>
          <w:rFonts w:cstheme="minorHAnsi"/>
          <w:bCs/>
        </w:rPr>
        <w:t>-chemical and chemical quality elements for surface freshwater bodies include temperature, salinity, pH, oxygen regime, nutrient concentrations, and specific pollutants, such as arsenic, copper, zinc, chromium and their compounds, fluorides, and organically bound halogens.</w:t>
      </w:r>
    </w:p>
    <w:p w14:paraId="40133BE8" w14:textId="77777777" w:rsidR="000348DD" w:rsidRPr="00B02838" w:rsidRDefault="000348DD" w:rsidP="000348DD">
      <w:pPr>
        <w:jc w:val="both"/>
        <w:rPr>
          <w:rFonts w:cstheme="minorHAnsi"/>
          <w:bCs/>
        </w:rPr>
      </w:pPr>
      <w:proofErr w:type="spellStart"/>
      <w:r w:rsidRPr="00B02838">
        <w:rPr>
          <w:rFonts w:cstheme="minorHAnsi"/>
          <w:bCs/>
        </w:rPr>
        <w:t>Hydromorphological</w:t>
      </w:r>
      <w:proofErr w:type="spellEnd"/>
      <w:r w:rsidRPr="00B02838">
        <w:rPr>
          <w:rFonts w:cstheme="minorHAnsi"/>
          <w:bCs/>
        </w:rPr>
        <w:t xml:space="preserve"> quality elements for rivers comprise components of the hydrological regime, river continuity, and morphological conditions.</w:t>
      </w:r>
    </w:p>
    <w:p w14:paraId="3CEE1C68" w14:textId="77777777" w:rsidR="000348DD" w:rsidRPr="00B02838" w:rsidRDefault="000348DD" w:rsidP="000348DD">
      <w:pPr>
        <w:jc w:val="both"/>
        <w:rPr>
          <w:rFonts w:cstheme="minorHAnsi"/>
          <w:bCs/>
        </w:rPr>
      </w:pPr>
      <w:r w:rsidRPr="00B02838">
        <w:rPr>
          <w:rFonts w:cstheme="minorHAnsi"/>
          <w:bCs/>
        </w:rPr>
        <w:t>Chemical status is determined based on priority and hazardous substances, which are assessed in relation to environmental quality standards (EQS) defined for each group of substances. A good chemical status is achieved when monitored concentrations do not exceed the prescribed threshold values, expressed as annual average concentrations, maximum allowable concentrations, and biota quality standards for specific categories of substances.</w:t>
      </w:r>
    </w:p>
    <w:p w14:paraId="3B0B81E5" w14:textId="6B76426D" w:rsidR="000348DD" w:rsidRPr="00B02838" w:rsidRDefault="000348DD" w:rsidP="000348DD">
      <w:pPr>
        <w:jc w:val="both"/>
        <w:rPr>
          <w:rFonts w:cstheme="minorHAnsi"/>
          <w:bCs/>
        </w:rPr>
      </w:pPr>
      <w:r w:rsidRPr="00B02838">
        <w:rPr>
          <w:rFonts w:cstheme="minorHAnsi"/>
          <w:bCs/>
        </w:rPr>
        <w:t>Within Neretva TBA, there are seven surface water monitoring stations located in the territory of Croatia and one in Bosnia and Herzegovina. Of the seven stations in Croatia, only one is classified as a surveillance monitoring station (code 40502), while the remaining stations operate as operational monitoring sites.</w:t>
      </w:r>
    </w:p>
    <w:p w14:paraId="0EDD1746" w14:textId="456F9E08" w:rsidR="000348DD" w:rsidRPr="000348DD" w:rsidRDefault="002F4776" w:rsidP="002F4776">
      <w:pPr>
        <w:pStyle w:val="Caption"/>
        <w:rPr>
          <w:rFonts w:cstheme="minorHAnsi"/>
        </w:rPr>
      </w:pPr>
      <w:bookmarkStart w:id="227" w:name="_Toc229037747"/>
      <w:r>
        <w:t xml:space="preserve">Table </w:t>
      </w:r>
      <w:r>
        <w:fldChar w:fldCharType="begin"/>
      </w:r>
      <w:r>
        <w:instrText xml:space="preserve"> SEQ Table \* ARABIC </w:instrText>
      </w:r>
      <w:r>
        <w:fldChar w:fldCharType="separate"/>
      </w:r>
      <w:r>
        <w:rPr>
          <w:noProof/>
        </w:rPr>
        <w:t>25</w:t>
      </w:r>
      <w:r>
        <w:fldChar w:fldCharType="end"/>
      </w:r>
      <w:r>
        <w:t xml:space="preserve"> </w:t>
      </w:r>
      <w:r w:rsidRPr="00EA6276">
        <w:t>Surface water monitoring in TBA Neretva</w:t>
      </w:r>
      <w:bookmarkEnd w:id="227"/>
    </w:p>
    <w:tbl>
      <w:tblPr>
        <w:tblW w:w="9048" w:type="dxa"/>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802"/>
        <w:gridCol w:w="3776"/>
        <w:gridCol w:w="1302"/>
        <w:gridCol w:w="1112"/>
        <w:gridCol w:w="937"/>
        <w:gridCol w:w="1119"/>
      </w:tblGrid>
      <w:tr w:rsidR="000348DD" w:rsidRPr="000348DD" w14:paraId="66AC7A12" w14:textId="77777777" w:rsidTr="00136280">
        <w:trPr>
          <w:trHeight w:val="301"/>
        </w:trPr>
        <w:tc>
          <w:tcPr>
            <w:tcW w:w="802" w:type="dxa"/>
            <w:shd w:val="clear" w:color="auto" w:fill="A5C9EB"/>
          </w:tcPr>
          <w:p w14:paraId="52D28802" w14:textId="77777777" w:rsidR="000348DD" w:rsidRPr="000348DD" w:rsidRDefault="000348DD" w:rsidP="00136280">
            <w:pPr>
              <w:pStyle w:val="TableParagraph"/>
              <w:spacing w:before="15" w:line="266" w:lineRule="exact"/>
              <w:ind w:left="44" w:right="31"/>
              <w:rPr>
                <w:rFonts w:asciiTheme="minorHAnsi" w:hAnsiTheme="minorHAnsi" w:cstheme="minorHAnsi"/>
                <w:b/>
                <w:sz w:val="16"/>
                <w:szCs w:val="16"/>
              </w:rPr>
            </w:pPr>
            <w:r w:rsidRPr="000348DD">
              <w:rPr>
                <w:rFonts w:asciiTheme="minorHAnsi" w:hAnsiTheme="minorHAnsi" w:cstheme="minorHAnsi"/>
                <w:b/>
                <w:spacing w:val="-4"/>
                <w:sz w:val="16"/>
                <w:szCs w:val="16"/>
              </w:rPr>
              <w:t>CODE</w:t>
            </w:r>
          </w:p>
        </w:tc>
        <w:tc>
          <w:tcPr>
            <w:tcW w:w="3776" w:type="dxa"/>
            <w:shd w:val="clear" w:color="auto" w:fill="A5C9EB"/>
          </w:tcPr>
          <w:p w14:paraId="71B89BAD" w14:textId="77777777" w:rsidR="000348DD" w:rsidRPr="000348DD" w:rsidRDefault="000348DD" w:rsidP="00136280">
            <w:pPr>
              <w:pStyle w:val="TableParagraph"/>
              <w:spacing w:before="15" w:line="266" w:lineRule="exact"/>
              <w:ind w:left="14"/>
              <w:rPr>
                <w:rFonts w:asciiTheme="minorHAnsi" w:hAnsiTheme="minorHAnsi" w:cstheme="minorHAnsi"/>
                <w:b/>
                <w:sz w:val="16"/>
                <w:szCs w:val="16"/>
              </w:rPr>
            </w:pPr>
            <w:r w:rsidRPr="000348DD">
              <w:rPr>
                <w:rFonts w:asciiTheme="minorHAnsi" w:hAnsiTheme="minorHAnsi" w:cstheme="minorHAnsi"/>
                <w:b/>
                <w:spacing w:val="-4"/>
                <w:sz w:val="16"/>
                <w:szCs w:val="16"/>
              </w:rPr>
              <w:t>NAME</w:t>
            </w:r>
          </w:p>
        </w:tc>
        <w:tc>
          <w:tcPr>
            <w:tcW w:w="1302" w:type="dxa"/>
            <w:shd w:val="clear" w:color="auto" w:fill="A5C9EB"/>
          </w:tcPr>
          <w:p w14:paraId="52392BB7" w14:textId="77777777" w:rsidR="000348DD" w:rsidRPr="000348DD" w:rsidRDefault="000348DD" w:rsidP="00136280">
            <w:pPr>
              <w:pStyle w:val="TableParagraph"/>
              <w:spacing w:before="15" w:line="266" w:lineRule="exact"/>
              <w:ind w:left="0" w:right="84"/>
              <w:jc w:val="right"/>
              <w:rPr>
                <w:rFonts w:asciiTheme="minorHAnsi" w:hAnsiTheme="minorHAnsi" w:cstheme="minorHAnsi"/>
                <w:b/>
                <w:sz w:val="16"/>
                <w:szCs w:val="16"/>
              </w:rPr>
            </w:pPr>
            <w:r w:rsidRPr="000348DD">
              <w:rPr>
                <w:rFonts w:asciiTheme="minorHAnsi" w:hAnsiTheme="minorHAnsi" w:cstheme="minorHAnsi"/>
                <w:b/>
                <w:spacing w:val="-2"/>
                <w:sz w:val="16"/>
                <w:szCs w:val="16"/>
              </w:rPr>
              <w:t>LONGITUDE</w:t>
            </w:r>
          </w:p>
        </w:tc>
        <w:tc>
          <w:tcPr>
            <w:tcW w:w="1112" w:type="dxa"/>
            <w:shd w:val="clear" w:color="auto" w:fill="A5C9EB"/>
          </w:tcPr>
          <w:p w14:paraId="764EECA9" w14:textId="77777777" w:rsidR="000348DD" w:rsidRPr="000348DD" w:rsidRDefault="000348DD" w:rsidP="00136280">
            <w:pPr>
              <w:pStyle w:val="TableParagraph"/>
              <w:spacing w:before="15" w:line="266" w:lineRule="exact"/>
              <w:ind w:left="0" w:right="87"/>
              <w:jc w:val="right"/>
              <w:rPr>
                <w:rFonts w:asciiTheme="minorHAnsi" w:hAnsiTheme="minorHAnsi" w:cstheme="minorHAnsi"/>
                <w:b/>
                <w:sz w:val="16"/>
                <w:szCs w:val="16"/>
              </w:rPr>
            </w:pPr>
            <w:r w:rsidRPr="000348DD">
              <w:rPr>
                <w:rFonts w:asciiTheme="minorHAnsi" w:hAnsiTheme="minorHAnsi" w:cstheme="minorHAnsi"/>
                <w:b/>
                <w:spacing w:val="-2"/>
                <w:sz w:val="16"/>
                <w:szCs w:val="16"/>
              </w:rPr>
              <w:t>LATITUDE</w:t>
            </w:r>
          </w:p>
        </w:tc>
        <w:tc>
          <w:tcPr>
            <w:tcW w:w="937" w:type="dxa"/>
            <w:shd w:val="clear" w:color="auto" w:fill="A5C9EB"/>
          </w:tcPr>
          <w:p w14:paraId="4CD9FFC9" w14:textId="77777777" w:rsidR="000348DD" w:rsidRPr="000348DD" w:rsidRDefault="000348DD" w:rsidP="00136280">
            <w:pPr>
              <w:pStyle w:val="TableParagraph"/>
              <w:spacing w:before="15" w:line="266" w:lineRule="exact"/>
              <w:ind w:left="6"/>
              <w:rPr>
                <w:rFonts w:asciiTheme="minorHAnsi" w:hAnsiTheme="minorHAnsi" w:cstheme="minorHAnsi"/>
                <w:b/>
                <w:sz w:val="16"/>
                <w:szCs w:val="16"/>
              </w:rPr>
            </w:pPr>
            <w:r w:rsidRPr="000348DD">
              <w:rPr>
                <w:rFonts w:asciiTheme="minorHAnsi" w:hAnsiTheme="minorHAnsi" w:cstheme="minorHAnsi"/>
                <w:b/>
                <w:spacing w:val="-4"/>
                <w:sz w:val="16"/>
                <w:szCs w:val="16"/>
              </w:rPr>
              <w:t>TYPE</w:t>
            </w:r>
          </w:p>
        </w:tc>
        <w:tc>
          <w:tcPr>
            <w:tcW w:w="1119" w:type="dxa"/>
            <w:shd w:val="clear" w:color="auto" w:fill="A5C9EB"/>
          </w:tcPr>
          <w:p w14:paraId="6236AD8A" w14:textId="77777777" w:rsidR="000348DD" w:rsidRPr="000348DD" w:rsidRDefault="000348DD" w:rsidP="00136280">
            <w:pPr>
              <w:pStyle w:val="TableParagraph"/>
              <w:spacing w:before="15" w:line="266" w:lineRule="exact"/>
              <w:ind w:left="95"/>
              <w:jc w:val="left"/>
              <w:rPr>
                <w:rFonts w:asciiTheme="minorHAnsi" w:hAnsiTheme="minorHAnsi" w:cstheme="minorHAnsi"/>
                <w:b/>
                <w:sz w:val="16"/>
                <w:szCs w:val="16"/>
              </w:rPr>
            </w:pPr>
            <w:r w:rsidRPr="000348DD">
              <w:rPr>
                <w:rFonts w:asciiTheme="minorHAnsi" w:hAnsiTheme="minorHAnsi" w:cstheme="minorHAnsi"/>
                <w:b/>
                <w:spacing w:val="-2"/>
                <w:sz w:val="16"/>
                <w:szCs w:val="16"/>
              </w:rPr>
              <w:t>COUNTRY</w:t>
            </w:r>
          </w:p>
        </w:tc>
      </w:tr>
      <w:tr w:rsidR="000348DD" w:rsidRPr="000348DD" w14:paraId="71D1BA14" w14:textId="77777777" w:rsidTr="00136280">
        <w:trPr>
          <w:trHeight w:val="298"/>
        </w:trPr>
        <w:tc>
          <w:tcPr>
            <w:tcW w:w="802" w:type="dxa"/>
          </w:tcPr>
          <w:p w14:paraId="01D3F6CF" w14:textId="77777777" w:rsidR="000348DD" w:rsidRPr="000348DD" w:rsidRDefault="000348DD" w:rsidP="00136280">
            <w:pPr>
              <w:pStyle w:val="TableParagraph"/>
              <w:spacing w:before="30" w:line="249" w:lineRule="exact"/>
              <w:ind w:left="44"/>
              <w:rPr>
                <w:rFonts w:asciiTheme="minorHAnsi" w:hAnsiTheme="minorHAnsi" w:cstheme="minorHAnsi"/>
                <w:sz w:val="16"/>
                <w:szCs w:val="16"/>
              </w:rPr>
            </w:pPr>
            <w:r w:rsidRPr="000348DD">
              <w:rPr>
                <w:rFonts w:asciiTheme="minorHAnsi" w:hAnsiTheme="minorHAnsi" w:cstheme="minorHAnsi"/>
                <w:spacing w:val="-2"/>
                <w:sz w:val="16"/>
                <w:szCs w:val="16"/>
              </w:rPr>
              <w:t>40500</w:t>
            </w:r>
          </w:p>
        </w:tc>
        <w:tc>
          <w:tcPr>
            <w:tcW w:w="3776" w:type="dxa"/>
          </w:tcPr>
          <w:p w14:paraId="3BB016C0" w14:textId="77777777" w:rsidR="000348DD" w:rsidRPr="000348DD" w:rsidRDefault="000348DD" w:rsidP="00136280">
            <w:pPr>
              <w:pStyle w:val="TableParagraph"/>
              <w:spacing w:before="30" w:line="249" w:lineRule="exact"/>
              <w:ind w:left="99"/>
              <w:jc w:val="left"/>
              <w:rPr>
                <w:rFonts w:asciiTheme="minorHAnsi" w:hAnsiTheme="minorHAnsi" w:cstheme="minorHAnsi"/>
                <w:sz w:val="16"/>
                <w:szCs w:val="16"/>
              </w:rPr>
            </w:pPr>
            <w:proofErr w:type="spellStart"/>
            <w:r w:rsidRPr="000348DD">
              <w:rPr>
                <w:rFonts w:asciiTheme="minorHAnsi" w:hAnsiTheme="minorHAnsi" w:cstheme="minorHAnsi"/>
                <w:sz w:val="16"/>
                <w:szCs w:val="16"/>
              </w:rPr>
              <w:t>Vrljika</w:t>
            </w:r>
            <w:proofErr w:type="spellEnd"/>
            <w:r w:rsidRPr="000348DD">
              <w:rPr>
                <w:rFonts w:asciiTheme="minorHAnsi" w:hAnsiTheme="minorHAnsi" w:cstheme="minorHAnsi"/>
                <w:spacing w:val="-11"/>
                <w:sz w:val="16"/>
                <w:szCs w:val="16"/>
              </w:rPr>
              <w:t xml:space="preserve"> </w:t>
            </w:r>
            <w:r w:rsidRPr="000348DD">
              <w:rPr>
                <w:rFonts w:asciiTheme="minorHAnsi" w:hAnsiTheme="minorHAnsi" w:cstheme="minorHAnsi"/>
                <w:sz w:val="16"/>
                <w:szCs w:val="16"/>
              </w:rPr>
              <w:t>(Matica),</w:t>
            </w:r>
            <w:r w:rsidRPr="000348DD">
              <w:rPr>
                <w:rFonts w:asciiTheme="minorHAnsi" w:hAnsiTheme="minorHAnsi" w:cstheme="minorHAnsi"/>
                <w:spacing w:val="-10"/>
                <w:sz w:val="16"/>
                <w:szCs w:val="16"/>
              </w:rPr>
              <w:t xml:space="preserve"> </w:t>
            </w:r>
            <w:proofErr w:type="spellStart"/>
            <w:r w:rsidRPr="000348DD">
              <w:rPr>
                <w:rFonts w:asciiTheme="minorHAnsi" w:hAnsiTheme="minorHAnsi" w:cstheme="minorHAnsi"/>
                <w:sz w:val="16"/>
                <w:szCs w:val="16"/>
              </w:rPr>
              <w:t>nizvodno</w:t>
            </w:r>
            <w:proofErr w:type="spellEnd"/>
            <w:r w:rsidRPr="000348DD">
              <w:rPr>
                <w:rFonts w:asciiTheme="minorHAnsi" w:hAnsiTheme="minorHAnsi" w:cstheme="minorHAnsi"/>
                <w:spacing w:val="-11"/>
                <w:sz w:val="16"/>
                <w:szCs w:val="16"/>
              </w:rPr>
              <w:t xml:space="preserve"> </w:t>
            </w:r>
            <w:r w:rsidRPr="000348DD">
              <w:rPr>
                <w:rFonts w:asciiTheme="minorHAnsi" w:hAnsiTheme="minorHAnsi" w:cstheme="minorHAnsi"/>
                <w:sz w:val="16"/>
                <w:szCs w:val="16"/>
              </w:rPr>
              <w:t>od</w:t>
            </w:r>
            <w:r w:rsidRPr="000348DD">
              <w:rPr>
                <w:rFonts w:asciiTheme="minorHAnsi" w:hAnsiTheme="minorHAnsi" w:cstheme="minorHAnsi"/>
                <w:spacing w:val="-11"/>
                <w:sz w:val="16"/>
                <w:szCs w:val="16"/>
              </w:rPr>
              <w:t xml:space="preserve"> </w:t>
            </w:r>
            <w:proofErr w:type="spellStart"/>
            <w:r w:rsidRPr="000348DD">
              <w:rPr>
                <w:rFonts w:asciiTheme="minorHAnsi" w:hAnsiTheme="minorHAnsi" w:cstheme="minorHAnsi"/>
                <w:spacing w:val="-2"/>
                <w:sz w:val="16"/>
                <w:szCs w:val="16"/>
              </w:rPr>
              <w:t>Runovića</w:t>
            </w:r>
            <w:proofErr w:type="spellEnd"/>
          </w:p>
        </w:tc>
        <w:tc>
          <w:tcPr>
            <w:tcW w:w="1302" w:type="dxa"/>
          </w:tcPr>
          <w:p w14:paraId="6D659C64" w14:textId="77777777" w:rsidR="000348DD" w:rsidRPr="000348DD" w:rsidRDefault="000348DD" w:rsidP="00136280">
            <w:pPr>
              <w:pStyle w:val="TableParagraph"/>
              <w:spacing w:before="30" w:line="249" w:lineRule="exact"/>
              <w:ind w:left="0" w:right="84"/>
              <w:jc w:val="right"/>
              <w:rPr>
                <w:rFonts w:asciiTheme="minorHAnsi" w:hAnsiTheme="minorHAnsi" w:cstheme="minorHAnsi"/>
                <w:sz w:val="16"/>
                <w:szCs w:val="16"/>
              </w:rPr>
            </w:pPr>
            <w:r w:rsidRPr="000348DD">
              <w:rPr>
                <w:rFonts w:asciiTheme="minorHAnsi" w:hAnsiTheme="minorHAnsi" w:cstheme="minorHAnsi"/>
                <w:spacing w:val="-2"/>
                <w:sz w:val="16"/>
                <w:szCs w:val="16"/>
              </w:rPr>
              <w:t>43,374</w:t>
            </w:r>
          </w:p>
        </w:tc>
        <w:tc>
          <w:tcPr>
            <w:tcW w:w="1112" w:type="dxa"/>
          </w:tcPr>
          <w:p w14:paraId="6E2D9499" w14:textId="77777777" w:rsidR="000348DD" w:rsidRPr="000348DD" w:rsidRDefault="000348DD" w:rsidP="00136280">
            <w:pPr>
              <w:pStyle w:val="TableParagraph"/>
              <w:spacing w:before="30" w:line="249" w:lineRule="exact"/>
              <w:ind w:left="0" w:right="87"/>
              <w:jc w:val="right"/>
              <w:rPr>
                <w:rFonts w:asciiTheme="minorHAnsi" w:hAnsiTheme="minorHAnsi" w:cstheme="minorHAnsi"/>
                <w:sz w:val="16"/>
                <w:szCs w:val="16"/>
              </w:rPr>
            </w:pPr>
            <w:r w:rsidRPr="000348DD">
              <w:rPr>
                <w:rFonts w:asciiTheme="minorHAnsi" w:hAnsiTheme="minorHAnsi" w:cstheme="minorHAnsi"/>
                <w:spacing w:val="-2"/>
                <w:sz w:val="16"/>
                <w:szCs w:val="16"/>
              </w:rPr>
              <w:t>17,265</w:t>
            </w:r>
          </w:p>
        </w:tc>
        <w:tc>
          <w:tcPr>
            <w:tcW w:w="937" w:type="dxa"/>
          </w:tcPr>
          <w:p w14:paraId="65AA9D8D" w14:textId="77777777" w:rsidR="000348DD" w:rsidRPr="000348DD" w:rsidRDefault="000348DD" w:rsidP="00136280">
            <w:pPr>
              <w:pStyle w:val="TableParagraph"/>
              <w:spacing w:before="30" w:line="249" w:lineRule="exact"/>
              <w:ind w:left="6" w:right="2"/>
              <w:rPr>
                <w:rFonts w:asciiTheme="minorHAnsi" w:hAnsiTheme="minorHAnsi" w:cstheme="minorHAnsi"/>
                <w:sz w:val="16"/>
                <w:szCs w:val="16"/>
              </w:rPr>
            </w:pPr>
            <w:r w:rsidRPr="000348DD">
              <w:rPr>
                <w:rFonts w:asciiTheme="minorHAnsi" w:hAnsiTheme="minorHAnsi" w:cstheme="minorHAnsi"/>
                <w:spacing w:val="-10"/>
                <w:sz w:val="16"/>
                <w:szCs w:val="16"/>
              </w:rPr>
              <w:t>O</w:t>
            </w:r>
          </w:p>
        </w:tc>
        <w:tc>
          <w:tcPr>
            <w:tcW w:w="1119" w:type="dxa"/>
          </w:tcPr>
          <w:p w14:paraId="5D6B20AF" w14:textId="77777777" w:rsidR="000348DD" w:rsidRPr="000348DD" w:rsidRDefault="000348DD" w:rsidP="00136280">
            <w:pPr>
              <w:pStyle w:val="TableParagraph"/>
              <w:spacing w:before="30" w:line="249" w:lineRule="exact"/>
              <w:ind w:left="95"/>
              <w:jc w:val="left"/>
              <w:rPr>
                <w:rFonts w:asciiTheme="minorHAnsi" w:hAnsiTheme="minorHAnsi" w:cstheme="minorHAnsi"/>
                <w:sz w:val="16"/>
                <w:szCs w:val="16"/>
              </w:rPr>
            </w:pPr>
            <w:r w:rsidRPr="000348DD">
              <w:rPr>
                <w:rFonts w:asciiTheme="minorHAnsi" w:hAnsiTheme="minorHAnsi" w:cstheme="minorHAnsi"/>
                <w:spacing w:val="-2"/>
                <w:sz w:val="16"/>
                <w:szCs w:val="16"/>
              </w:rPr>
              <w:t>Croatia</w:t>
            </w:r>
          </w:p>
        </w:tc>
      </w:tr>
      <w:tr w:rsidR="000348DD" w:rsidRPr="000348DD" w14:paraId="765AFC29" w14:textId="77777777" w:rsidTr="00136280">
        <w:trPr>
          <w:trHeight w:val="301"/>
        </w:trPr>
        <w:tc>
          <w:tcPr>
            <w:tcW w:w="802" w:type="dxa"/>
          </w:tcPr>
          <w:p w14:paraId="15DC8FAC" w14:textId="77777777" w:rsidR="000348DD" w:rsidRPr="000348DD" w:rsidRDefault="000348DD" w:rsidP="00136280">
            <w:pPr>
              <w:pStyle w:val="TableParagraph"/>
              <w:spacing w:before="32" w:line="249" w:lineRule="exact"/>
              <w:ind w:left="44"/>
              <w:rPr>
                <w:rFonts w:asciiTheme="minorHAnsi" w:hAnsiTheme="minorHAnsi" w:cstheme="minorHAnsi"/>
                <w:sz w:val="16"/>
                <w:szCs w:val="16"/>
              </w:rPr>
            </w:pPr>
            <w:r w:rsidRPr="000348DD">
              <w:rPr>
                <w:rFonts w:asciiTheme="minorHAnsi" w:hAnsiTheme="minorHAnsi" w:cstheme="minorHAnsi"/>
                <w:spacing w:val="-2"/>
                <w:sz w:val="16"/>
                <w:szCs w:val="16"/>
              </w:rPr>
              <w:t>40502</w:t>
            </w:r>
          </w:p>
        </w:tc>
        <w:tc>
          <w:tcPr>
            <w:tcW w:w="3776" w:type="dxa"/>
          </w:tcPr>
          <w:p w14:paraId="49807D72" w14:textId="77777777" w:rsidR="000348DD" w:rsidRPr="000348DD" w:rsidRDefault="000348DD" w:rsidP="00136280">
            <w:pPr>
              <w:pStyle w:val="TableParagraph"/>
              <w:spacing w:before="32" w:line="249" w:lineRule="exact"/>
              <w:ind w:left="99"/>
              <w:jc w:val="left"/>
              <w:rPr>
                <w:rFonts w:asciiTheme="minorHAnsi" w:hAnsiTheme="minorHAnsi" w:cstheme="minorHAnsi"/>
                <w:sz w:val="16"/>
                <w:szCs w:val="16"/>
              </w:rPr>
            </w:pPr>
            <w:proofErr w:type="spellStart"/>
            <w:r w:rsidRPr="000348DD">
              <w:rPr>
                <w:rFonts w:asciiTheme="minorHAnsi" w:hAnsiTheme="minorHAnsi" w:cstheme="minorHAnsi"/>
                <w:sz w:val="16"/>
                <w:szCs w:val="16"/>
              </w:rPr>
              <w:t>Vrljika</w:t>
            </w:r>
            <w:proofErr w:type="spellEnd"/>
            <w:r w:rsidRPr="000348DD">
              <w:rPr>
                <w:rFonts w:asciiTheme="minorHAnsi" w:hAnsiTheme="minorHAnsi" w:cstheme="minorHAnsi"/>
                <w:sz w:val="16"/>
                <w:szCs w:val="16"/>
              </w:rPr>
              <w:t>,</w:t>
            </w:r>
            <w:r w:rsidRPr="000348DD">
              <w:rPr>
                <w:rFonts w:asciiTheme="minorHAnsi" w:hAnsiTheme="minorHAnsi" w:cstheme="minorHAnsi"/>
                <w:spacing w:val="-11"/>
                <w:sz w:val="16"/>
                <w:szCs w:val="16"/>
              </w:rPr>
              <w:t xml:space="preserve"> </w:t>
            </w:r>
            <w:r w:rsidRPr="000348DD">
              <w:rPr>
                <w:rFonts w:asciiTheme="minorHAnsi" w:hAnsiTheme="minorHAnsi" w:cstheme="minorHAnsi"/>
                <w:sz w:val="16"/>
                <w:szCs w:val="16"/>
              </w:rPr>
              <w:t>Kamen</w:t>
            </w:r>
            <w:r w:rsidRPr="000348DD">
              <w:rPr>
                <w:rFonts w:asciiTheme="minorHAnsi" w:hAnsiTheme="minorHAnsi" w:cstheme="minorHAnsi"/>
                <w:spacing w:val="-11"/>
                <w:sz w:val="16"/>
                <w:szCs w:val="16"/>
              </w:rPr>
              <w:t xml:space="preserve"> </w:t>
            </w:r>
            <w:r w:rsidRPr="000348DD">
              <w:rPr>
                <w:rFonts w:asciiTheme="minorHAnsi" w:hAnsiTheme="minorHAnsi" w:cstheme="minorHAnsi"/>
                <w:spacing w:val="-4"/>
                <w:sz w:val="16"/>
                <w:szCs w:val="16"/>
              </w:rPr>
              <w:t>Most</w:t>
            </w:r>
          </w:p>
        </w:tc>
        <w:tc>
          <w:tcPr>
            <w:tcW w:w="1302" w:type="dxa"/>
          </w:tcPr>
          <w:p w14:paraId="61594E96" w14:textId="77777777" w:rsidR="000348DD" w:rsidRPr="000348DD" w:rsidRDefault="000348DD" w:rsidP="00136280">
            <w:pPr>
              <w:pStyle w:val="TableParagraph"/>
              <w:spacing w:before="32" w:line="249" w:lineRule="exact"/>
              <w:ind w:left="0" w:right="84"/>
              <w:jc w:val="right"/>
              <w:rPr>
                <w:rFonts w:asciiTheme="minorHAnsi" w:hAnsiTheme="minorHAnsi" w:cstheme="minorHAnsi"/>
                <w:sz w:val="16"/>
                <w:szCs w:val="16"/>
              </w:rPr>
            </w:pPr>
            <w:r w:rsidRPr="000348DD">
              <w:rPr>
                <w:rFonts w:asciiTheme="minorHAnsi" w:hAnsiTheme="minorHAnsi" w:cstheme="minorHAnsi"/>
                <w:spacing w:val="-2"/>
                <w:sz w:val="16"/>
                <w:szCs w:val="16"/>
              </w:rPr>
              <w:t>43,431</w:t>
            </w:r>
          </w:p>
        </w:tc>
        <w:tc>
          <w:tcPr>
            <w:tcW w:w="1112" w:type="dxa"/>
          </w:tcPr>
          <w:p w14:paraId="3A28B7F8" w14:textId="77777777" w:rsidR="000348DD" w:rsidRPr="000348DD" w:rsidRDefault="000348DD" w:rsidP="00136280">
            <w:pPr>
              <w:pStyle w:val="TableParagraph"/>
              <w:spacing w:before="32" w:line="249" w:lineRule="exact"/>
              <w:ind w:left="0" w:right="87"/>
              <w:jc w:val="right"/>
              <w:rPr>
                <w:rFonts w:asciiTheme="minorHAnsi" w:hAnsiTheme="minorHAnsi" w:cstheme="minorHAnsi"/>
                <w:sz w:val="16"/>
                <w:szCs w:val="16"/>
              </w:rPr>
            </w:pPr>
            <w:r w:rsidRPr="000348DD">
              <w:rPr>
                <w:rFonts w:asciiTheme="minorHAnsi" w:hAnsiTheme="minorHAnsi" w:cstheme="minorHAnsi"/>
                <w:spacing w:val="-2"/>
                <w:sz w:val="16"/>
                <w:szCs w:val="16"/>
              </w:rPr>
              <w:t>17,195</w:t>
            </w:r>
          </w:p>
        </w:tc>
        <w:tc>
          <w:tcPr>
            <w:tcW w:w="937" w:type="dxa"/>
          </w:tcPr>
          <w:p w14:paraId="47267903" w14:textId="77777777" w:rsidR="000348DD" w:rsidRPr="000348DD" w:rsidRDefault="000348DD" w:rsidP="00136280">
            <w:pPr>
              <w:pStyle w:val="TableParagraph"/>
              <w:spacing w:before="32" w:line="249" w:lineRule="exact"/>
              <w:ind w:left="6" w:right="4"/>
              <w:rPr>
                <w:rFonts w:asciiTheme="minorHAnsi" w:hAnsiTheme="minorHAnsi" w:cstheme="minorHAnsi"/>
                <w:sz w:val="16"/>
                <w:szCs w:val="16"/>
              </w:rPr>
            </w:pPr>
            <w:r w:rsidRPr="000348DD">
              <w:rPr>
                <w:rFonts w:asciiTheme="minorHAnsi" w:hAnsiTheme="minorHAnsi" w:cstheme="minorHAnsi"/>
                <w:spacing w:val="-10"/>
                <w:sz w:val="16"/>
                <w:szCs w:val="16"/>
              </w:rPr>
              <w:t>S</w:t>
            </w:r>
          </w:p>
        </w:tc>
        <w:tc>
          <w:tcPr>
            <w:tcW w:w="1119" w:type="dxa"/>
          </w:tcPr>
          <w:p w14:paraId="29FD52B7" w14:textId="77777777" w:rsidR="000348DD" w:rsidRPr="000348DD" w:rsidRDefault="000348DD" w:rsidP="00136280">
            <w:pPr>
              <w:pStyle w:val="TableParagraph"/>
              <w:spacing w:before="32" w:line="249" w:lineRule="exact"/>
              <w:ind w:left="95"/>
              <w:jc w:val="left"/>
              <w:rPr>
                <w:rFonts w:asciiTheme="minorHAnsi" w:hAnsiTheme="minorHAnsi" w:cstheme="minorHAnsi"/>
                <w:sz w:val="16"/>
                <w:szCs w:val="16"/>
              </w:rPr>
            </w:pPr>
            <w:r w:rsidRPr="000348DD">
              <w:rPr>
                <w:rFonts w:asciiTheme="minorHAnsi" w:hAnsiTheme="minorHAnsi" w:cstheme="minorHAnsi"/>
                <w:spacing w:val="-2"/>
                <w:sz w:val="16"/>
                <w:szCs w:val="16"/>
              </w:rPr>
              <w:t>Croatia</w:t>
            </w:r>
          </w:p>
        </w:tc>
      </w:tr>
      <w:tr w:rsidR="000348DD" w:rsidRPr="000348DD" w14:paraId="5D5F60B9" w14:textId="77777777" w:rsidTr="00136280">
        <w:trPr>
          <w:trHeight w:val="298"/>
        </w:trPr>
        <w:tc>
          <w:tcPr>
            <w:tcW w:w="802" w:type="dxa"/>
          </w:tcPr>
          <w:p w14:paraId="1B88AE41" w14:textId="77777777" w:rsidR="000348DD" w:rsidRPr="000348DD" w:rsidRDefault="000348DD" w:rsidP="00136280">
            <w:pPr>
              <w:pStyle w:val="TableParagraph"/>
              <w:spacing w:before="30" w:line="249" w:lineRule="exact"/>
              <w:ind w:left="44"/>
              <w:rPr>
                <w:rFonts w:asciiTheme="minorHAnsi" w:hAnsiTheme="minorHAnsi" w:cstheme="minorHAnsi"/>
                <w:sz w:val="16"/>
                <w:szCs w:val="16"/>
              </w:rPr>
            </w:pPr>
            <w:r w:rsidRPr="000348DD">
              <w:rPr>
                <w:rFonts w:asciiTheme="minorHAnsi" w:hAnsiTheme="minorHAnsi" w:cstheme="minorHAnsi"/>
                <w:spacing w:val="-2"/>
                <w:sz w:val="16"/>
                <w:szCs w:val="16"/>
              </w:rPr>
              <w:t>40503</w:t>
            </w:r>
          </w:p>
        </w:tc>
        <w:tc>
          <w:tcPr>
            <w:tcW w:w="3776" w:type="dxa"/>
          </w:tcPr>
          <w:p w14:paraId="6591A2BE" w14:textId="77777777" w:rsidR="000348DD" w:rsidRPr="000348DD" w:rsidRDefault="000348DD" w:rsidP="00136280">
            <w:pPr>
              <w:pStyle w:val="TableParagraph"/>
              <w:spacing w:before="30" w:line="249" w:lineRule="exact"/>
              <w:ind w:left="99"/>
              <w:jc w:val="left"/>
              <w:rPr>
                <w:rFonts w:asciiTheme="minorHAnsi" w:hAnsiTheme="minorHAnsi" w:cstheme="minorHAnsi"/>
                <w:sz w:val="16"/>
                <w:szCs w:val="16"/>
              </w:rPr>
            </w:pPr>
            <w:proofErr w:type="spellStart"/>
            <w:r w:rsidRPr="000348DD">
              <w:rPr>
                <w:rFonts w:asciiTheme="minorHAnsi" w:hAnsiTheme="minorHAnsi" w:cstheme="minorHAnsi"/>
                <w:sz w:val="16"/>
                <w:szCs w:val="16"/>
              </w:rPr>
              <w:t>pritok</w:t>
            </w:r>
            <w:proofErr w:type="spellEnd"/>
            <w:r w:rsidRPr="000348DD">
              <w:rPr>
                <w:rFonts w:asciiTheme="minorHAnsi" w:hAnsiTheme="minorHAnsi" w:cstheme="minorHAnsi"/>
                <w:spacing w:val="-8"/>
                <w:sz w:val="16"/>
                <w:szCs w:val="16"/>
              </w:rPr>
              <w:t xml:space="preserve"> </w:t>
            </w:r>
            <w:proofErr w:type="spellStart"/>
            <w:r w:rsidRPr="000348DD">
              <w:rPr>
                <w:rFonts w:asciiTheme="minorHAnsi" w:hAnsiTheme="minorHAnsi" w:cstheme="minorHAnsi"/>
                <w:sz w:val="16"/>
                <w:szCs w:val="16"/>
              </w:rPr>
              <w:t>Vrljike</w:t>
            </w:r>
            <w:proofErr w:type="spellEnd"/>
            <w:r w:rsidRPr="000348DD">
              <w:rPr>
                <w:rFonts w:asciiTheme="minorHAnsi" w:hAnsiTheme="minorHAnsi" w:cstheme="minorHAnsi"/>
                <w:spacing w:val="-9"/>
                <w:sz w:val="16"/>
                <w:szCs w:val="16"/>
              </w:rPr>
              <w:t xml:space="preserve"> </w:t>
            </w:r>
            <w:proofErr w:type="spellStart"/>
            <w:r w:rsidRPr="000348DD">
              <w:rPr>
                <w:rFonts w:asciiTheme="minorHAnsi" w:hAnsiTheme="minorHAnsi" w:cstheme="minorHAnsi"/>
                <w:sz w:val="16"/>
                <w:szCs w:val="16"/>
              </w:rPr>
              <w:t>kod</w:t>
            </w:r>
            <w:proofErr w:type="spellEnd"/>
            <w:r w:rsidRPr="000348DD">
              <w:rPr>
                <w:rFonts w:asciiTheme="minorHAnsi" w:hAnsiTheme="minorHAnsi" w:cstheme="minorHAnsi"/>
                <w:spacing w:val="-10"/>
                <w:sz w:val="16"/>
                <w:szCs w:val="16"/>
              </w:rPr>
              <w:t xml:space="preserve"> </w:t>
            </w:r>
            <w:proofErr w:type="spellStart"/>
            <w:r w:rsidRPr="000348DD">
              <w:rPr>
                <w:rFonts w:asciiTheme="minorHAnsi" w:hAnsiTheme="minorHAnsi" w:cstheme="minorHAnsi"/>
                <w:spacing w:val="-2"/>
                <w:sz w:val="16"/>
                <w:szCs w:val="16"/>
              </w:rPr>
              <w:t>Todorića</w:t>
            </w:r>
            <w:proofErr w:type="spellEnd"/>
          </w:p>
        </w:tc>
        <w:tc>
          <w:tcPr>
            <w:tcW w:w="1302" w:type="dxa"/>
          </w:tcPr>
          <w:p w14:paraId="1F1D3688" w14:textId="77777777" w:rsidR="000348DD" w:rsidRPr="000348DD" w:rsidRDefault="000348DD" w:rsidP="00136280">
            <w:pPr>
              <w:pStyle w:val="TableParagraph"/>
              <w:spacing w:before="30" w:line="249" w:lineRule="exact"/>
              <w:ind w:left="0" w:right="84"/>
              <w:jc w:val="right"/>
              <w:rPr>
                <w:rFonts w:asciiTheme="minorHAnsi" w:hAnsiTheme="minorHAnsi" w:cstheme="minorHAnsi"/>
                <w:sz w:val="16"/>
                <w:szCs w:val="16"/>
              </w:rPr>
            </w:pPr>
            <w:r w:rsidRPr="000348DD">
              <w:rPr>
                <w:rFonts w:asciiTheme="minorHAnsi" w:hAnsiTheme="minorHAnsi" w:cstheme="minorHAnsi"/>
                <w:spacing w:val="-2"/>
                <w:sz w:val="16"/>
                <w:szCs w:val="16"/>
              </w:rPr>
              <w:t>43,400</w:t>
            </w:r>
          </w:p>
        </w:tc>
        <w:tc>
          <w:tcPr>
            <w:tcW w:w="1112" w:type="dxa"/>
          </w:tcPr>
          <w:p w14:paraId="3EC1BB46" w14:textId="77777777" w:rsidR="000348DD" w:rsidRPr="000348DD" w:rsidRDefault="000348DD" w:rsidP="00136280">
            <w:pPr>
              <w:pStyle w:val="TableParagraph"/>
              <w:spacing w:before="30" w:line="249" w:lineRule="exact"/>
              <w:ind w:left="0" w:right="87"/>
              <w:jc w:val="right"/>
              <w:rPr>
                <w:rFonts w:asciiTheme="minorHAnsi" w:hAnsiTheme="minorHAnsi" w:cstheme="minorHAnsi"/>
                <w:sz w:val="16"/>
                <w:szCs w:val="16"/>
              </w:rPr>
            </w:pPr>
            <w:r w:rsidRPr="000348DD">
              <w:rPr>
                <w:rFonts w:asciiTheme="minorHAnsi" w:hAnsiTheme="minorHAnsi" w:cstheme="minorHAnsi"/>
                <w:spacing w:val="-2"/>
                <w:sz w:val="16"/>
                <w:szCs w:val="16"/>
              </w:rPr>
              <w:t>17,217</w:t>
            </w:r>
          </w:p>
        </w:tc>
        <w:tc>
          <w:tcPr>
            <w:tcW w:w="937" w:type="dxa"/>
          </w:tcPr>
          <w:p w14:paraId="293A4B4A" w14:textId="77777777" w:rsidR="000348DD" w:rsidRPr="000348DD" w:rsidRDefault="000348DD" w:rsidP="00136280">
            <w:pPr>
              <w:pStyle w:val="TableParagraph"/>
              <w:spacing w:before="30" w:line="249" w:lineRule="exact"/>
              <w:ind w:left="6" w:right="2"/>
              <w:rPr>
                <w:rFonts w:asciiTheme="minorHAnsi" w:hAnsiTheme="minorHAnsi" w:cstheme="minorHAnsi"/>
                <w:sz w:val="16"/>
                <w:szCs w:val="16"/>
              </w:rPr>
            </w:pPr>
            <w:r w:rsidRPr="000348DD">
              <w:rPr>
                <w:rFonts w:asciiTheme="minorHAnsi" w:hAnsiTheme="minorHAnsi" w:cstheme="minorHAnsi"/>
                <w:spacing w:val="-10"/>
                <w:sz w:val="16"/>
                <w:szCs w:val="16"/>
              </w:rPr>
              <w:t>O</w:t>
            </w:r>
          </w:p>
        </w:tc>
        <w:tc>
          <w:tcPr>
            <w:tcW w:w="1119" w:type="dxa"/>
          </w:tcPr>
          <w:p w14:paraId="3C672E13" w14:textId="77777777" w:rsidR="000348DD" w:rsidRPr="000348DD" w:rsidRDefault="000348DD" w:rsidP="00136280">
            <w:pPr>
              <w:pStyle w:val="TableParagraph"/>
              <w:spacing w:before="30" w:line="249" w:lineRule="exact"/>
              <w:ind w:left="95"/>
              <w:jc w:val="left"/>
              <w:rPr>
                <w:rFonts w:asciiTheme="minorHAnsi" w:hAnsiTheme="minorHAnsi" w:cstheme="minorHAnsi"/>
                <w:sz w:val="16"/>
                <w:szCs w:val="16"/>
              </w:rPr>
            </w:pPr>
            <w:r w:rsidRPr="000348DD">
              <w:rPr>
                <w:rFonts w:asciiTheme="minorHAnsi" w:hAnsiTheme="minorHAnsi" w:cstheme="minorHAnsi"/>
                <w:spacing w:val="-2"/>
                <w:sz w:val="16"/>
                <w:szCs w:val="16"/>
              </w:rPr>
              <w:t>Croatia</w:t>
            </w:r>
          </w:p>
        </w:tc>
      </w:tr>
      <w:tr w:rsidR="000348DD" w:rsidRPr="000348DD" w14:paraId="61892038" w14:textId="77777777" w:rsidTr="00136280">
        <w:trPr>
          <w:trHeight w:val="301"/>
        </w:trPr>
        <w:tc>
          <w:tcPr>
            <w:tcW w:w="802" w:type="dxa"/>
          </w:tcPr>
          <w:p w14:paraId="2F0E8089" w14:textId="77777777" w:rsidR="000348DD" w:rsidRPr="000348DD" w:rsidRDefault="000348DD" w:rsidP="00136280">
            <w:pPr>
              <w:pStyle w:val="TableParagraph"/>
              <w:spacing w:before="32" w:line="249" w:lineRule="exact"/>
              <w:ind w:left="44"/>
              <w:rPr>
                <w:rFonts w:asciiTheme="minorHAnsi" w:hAnsiTheme="minorHAnsi" w:cstheme="minorHAnsi"/>
                <w:sz w:val="16"/>
                <w:szCs w:val="16"/>
              </w:rPr>
            </w:pPr>
            <w:r w:rsidRPr="000348DD">
              <w:rPr>
                <w:rFonts w:asciiTheme="minorHAnsi" w:hAnsiTheme="minorHAnsi" w:cstheme="minorHAnsi"/>
                <w:spacing w:val="-2"/>
                <w:sz w:val="16"/>
                <w:szCs w:val="16"/>
              </w:rPr>
              <w:t>40507</w:t>
            </w:r>
          </w:p>
        </w:tc>
        <w:tc>
          <w:tcPr>
            <w:tcW w:w="3776" w:type="dxa"/>
          </w:tcPr>
          <w:p w14:paraId="5A65CDC0" w14:textId="77777777" w:rsidR="000348DD" w:rsidRPr="000348DD" w:rsidRDefault="000348DD" w:rsidP="00136280">
            <w:pPr>
              <w:pStyle w:val="TableParagraph"/>
              <w:spacing w:before="32" w:line="249" w:lineRule="exact"/>
              <w:ind w:left="99"/>
              <w:jc w:val="left"/>
              <w:rPr>
                <w:rFonts w:asciiTheme="minorHAnsi" w:hAnsiTheme="minorHAnsi" w:cstheme="minorHAnsi"/>
                <w:sz w:val="16"/>
                <w:szCs w:val="16"/>
              </w:rPr>
            </w:pPr>
            <w:proofErr w:type="spellStart"/>
            <w:r w:rsidRPr="000348DD">
              <w:rPr>
                <w:rFonts w:asciiTheme="minorHAnsi" w:hAnsiTheme="minorHAnsi" w:cstheme="minorHAnsi"/>
                <w:sz w:val="16"/>
                <w:szCs w:val="16"/>
              </w:rPr>
              <w:t>Jaruga</w:t>
            </w:r>
            <w:proofErr w:type="spellEnd"/>
            <w:r w:rsidRPr="000348DD">
              <w:rPr>
                <w:rFonts w:asciiTheme="minorHAnsi" w:hAnsiTheme="minorHAnsi" w:cstheme="minorHAnsi"/>
                <w:sz w:val="16"/>
                <w:szCs w:val="16"/>
              </w:rPr>
              <w:t>,</w:t>
            </w:r>
            <w:r w:rsidRPr="000348DD">
              <w:rPr>
                <w:rFonts w:asciiTheme="minorHAnsi" w:hAnsiTheme="minorHAnsi" w:cstheme="minorHAnsi"/>
                <w:spacing w:val="-12"/>
                <w:sz w:val="16"/>
                <w:szCs w:val="16"/>
              </w:rPr>
              <w:t xml:space="preserve"> </w:t>
            </w:r>
            <w:proofErr w:type="spellStart"/>
            <w:r w:rsidRPr="000348DD">
              <w:rPr>
                <w:rFonts w:asciiTheme="minorHAnsi" w:hAnsiTheme="minorHAnsi" w:cstheme="minorHAnsi"/>
                <w:sz w:val="16"/>
                <w:szCs w:val="16"/>
              </w:rPr>
              <w:t>Jelavića</w:t>
            </w:r>
            <w:proofErr w:type="spellEnd"/>
            <w:r w:rsidRPr="000348DD">
              <w:rPr>
                <w:rFonts w:asciiTheme="minorHAnsi" w:hAnsiTheme="minorHAnsi" w:cstheme="minorHAnsi"/>
                <w:spacing w:val="-12"/>
                <w:sz w:val="16"/>
                <w:szCs w:val="16"/>
              </w:rPr>
              <w:t xml:space="preserve"> </w:t>
            </w:r>
            <w:r w:rsidRPr="000348DD">
              <w:rPr>
                <w:rFonts w:asciiTheme="minorHAnsi" w:hAnsiTheme="minorHAnsi" w:cstheme="minorHAnsi"/>
                <w:spacing w:val="-4"/>
                <w:sz w:val="16"/>
                <w:szCs w:val="16"/>
              </w:rPr>
              <w:t>most</w:t>
            </w:r>
          </w:p>
        </w:tc>
        <w:tc>
          <w:tcPr>
            <w:tcW w:w="1302" w:type="dxa"/>
          </w:tcPr>
          <w:p w14:paraId="0E93319E" w14:textId="77777777" w:rsidR="000348DD" w:rsidRPr="000348DD" w:rsidRDefault="000348DD" w:rsidP="00136280">
            <w:pPr>
              <w:pStyle w:val="TableParagraph"/>
              <w:spacing w:before="32" w:line="249" w:lineRule="exact"/>
              <w:ind w:left="0" w:right="84"/>
              <w:jc w:val="right"/>
              <w:rPr>
                <w:rFonts w:asciiTheme="minorHAnsi" w:hAnsiTheme="minorHAnsi" w:cstheme="minorHAnsi"/>
                <w:sz w:val="16"/>
                <w:szCs w:val="16"/>
              </w:rPr>
            </w:pPr>
            <w:r w:rsidRPr="000348DD">
              <w:rPr>
                <w:rFonts w:asciiTheme="minorHAnsi" w:hAnsiTheme="minorHAnsi" w:cstheme="minorHAnsi"/>
                <w:spacing w:val="-2"/>
                <w:sz w:val="16"/>
                <w:szCs w:val="16"/>
              </w:rPr>
              <w:t>43,413</w:t>
            </w:r>
          </w:p>
        </w:tc>
        <w:tc>
          <w:tcPr>
            <w:tcW w:w="1112" w:type="dxa"/>
          </w:tcPr>
          <w:p w14:paraId="3FE33F55" w14:textId="77777777" w:rsidR="000348DD" w:rsidRPr="000348DD" w:rsidRDefault="000348DD" w:rsidP="00136280">
            <w:pPr>
              <w:pStyle w:val="TableParagraph"/>
              <w:spacing w:before="32" w:line="249" w:lineRule="exact"/>
              <w:ind w:left="0" w:right="87"/>
              <w:jc w:val="right"/>
              <w:rPr>
                <w:rFonts w:asciiTheme="minorHAnsi" w:hAnsiTheme="minorHAnsi" w:cstheme="minorHAnsi"/>
                <w:sz w:val="16"/>
                <w:szCs w:val="16"/>
              </w:rPr>
            </w:pPr>
            <w:r w:rsidRPr="000348DD">
              <w:rPr>
                <w:rFonts w:asciiTheme="minorHAnsi" w:hAnsiTheme="minorHAnsi" w:cstheme="minorHAnsi"/>
                <w:spacing w:val="-2"/>
                <w:sz w:val="16"/>
                <w:szCs w:val="16"/>
              </w:rPr>
              <w:t>17,253</w:t>
            </w:r>
          </w:p>
        </w:tc>
        <w:tc>
          <w:tcPr>
            <w:tcW w:w="937" w:type="dxa"/>
          </w:tcPr>
          <w:p w14:paraId="0C017DEB" w14:textId="77777777" w:rsidR="000348DD" w:rsidRPr="000348DD" w:rsidRDefault="000348DD" w:rsidP="00136280">
            <w:pPr>
              <w:pStyle w:val="TableParagraph"/>
              <w:spacing w:before="32" w:line="249" w:lineRule="exact"/>
              <w:ind w:left="6" w:right="2"/>
              <w:rPr>
                <w:rFonts w:asciiTheme="minorHAnsi" w:hAnsiTheme="minorHAnsi" w:cstheme="minorHAnsi"/>
                <w:sz w:val="16"/>
                <w:szCs w:val="16"/>
              </w:rPr>
            </w:pPr>
            <w:r w:rsidRPr="000348DD">
              <w:rPr>
                <w:rFonts w:asciiTheme="minorHAnsi" w:hAnsiTheme="minorHAnsi" w:cstheme="minorHAnsi"/>
                <w:spacing w:val="-10"/>
                <w:sz w:val="16"/>
                <w:szCs w:val="16"/>
              </w:rPr>
              <w:t>O</w:t>
            </w:r>
          </w:p>
        </w:tc>
        <w:tc>
          <w:tcPr>
            <w:tcW w:w="1119" w:type="dxa"/>
          </w:tcPr>
          <w:p w14:paraId="30485246" w14:textId="77777777" w:rsidR="000348DD" w:rsidRPr="000348DD" w:rsidRDefault="000348DD" w:rsidP="00136280">
            <w:pPr>
              <w:pStyle w:val="TableParagraph"/>
              <w:spacing w:before="32" w:line="249" w:lineRule="exact"/>
              <w:ind w:left="95"/>
              <w:jc w:val="left"/>
              <w:rPr>
                <w:rFonts w:asciiTheme="minorHAnsi" w:hAnsiTheme="minorHAnsi" w:cstheme="minorHAnsi"/>
                <w:sz w:val="16"/>
                <w:szCs w:val="16"/>
              </w:rPr>
            </w:pPr>
            <w:r w:rsidRPr="000348DD">
              <w:rPr>
                <w:rFonts w:asciiTheme="minorHAnsi" w:hAnsiTheme="minorHAnsi" w:cstheme="minorHAnsi"/>
                <w:spacing w:val="-2"/>
                <w:sz w:val="16"/>
                <w:szCs w:val="16"/>
              </w:rPr>
              <w:t>Croatia</w:t>
            </w:r>
          </w:p>
        </w:tc>
      </w:tr>
      <w:tr w:rsidR="000348DD" w:rsidRPr="000348DD" w14:paraId="4018BE25" w14:textId="77777777" w:rsidTr="00136280">
        <w:trPr>
          <w:trHeight w:val="298"/>
        </w:trPr>
        <w:tc>
          <w:tcPr>
            <w:tcW w:w="802" w:type="dxa"/>
          </w:tcPr>
          <w:p w14:paraId="64A5E78C" w14:textId="77777777" w:rsidR="000348DD" w:rsidRPr="000348DD" w:rsidRDefault="000348DD" w:rsidP="00136280">
            <w:pPr>
              <w:pStyle w:val="TableParagraph"/>
              <w:spacing w:before="30" w:line="249" w:lineRule="exact"/>
              <w:ind w:left="44"/>
              <w:rPr>
                <w:rFonts w:asciiTheme="minorHAnsi" w:hAnsiTheme="minorHAnsi" w:cstheme="minorHAnsi"/>
                <w:sz w:val="16"/>
                <w:szCs w:val="16"/>
              </w:rPr>
            </w:pPr>
            <w:r w:rsidRPr="000348DD">
              <w:rPr>
                <w:rFonts w:asciiTheme="minorHAnsi" w:hAnsiTheme="minorHAnsi" w:cstheme="minorHAnsi"/>
                <w:spacing w:val="-2"/>
                <w:sz w:val="16"/>
                <w:szCs w:val="16"/>
              </w:rPr>
              <w:t>40510</w:t>
            </w:r>
          </w:p>
        </w:tc>
        <w:tc>
          <w:tcPr>
            <w:tcW w:w="3776" w:type="dxa"/>
          </w:tcPr>
          <w:p w14:paraId="4BB0D294" w14:textId="77777777" w:rsidR="000348DD" w:rsidRPr="000348DD" w:rsidRDefault="000348DD" w:rsidP="00136280">
            <w:pPr>
              <w:pStyle w:val="TableParagraph"/>
              <w:spacing w:before="30" w:line="249" w:lineRule="exact"/>
              <w:ind w:left="99"/>
              <w:jc w:val="left"/>
              <w:rPr>
                <w:rFonts w:asciiTheme="minorHAnsi" w:hAnsiTheme="minorHAnsi" w:cstheme="minorHAnsi"/>
                <w:sz w:val="16"/>
                <w:szCs w:val="16"/>
              </w:rPr>
            </w:pPr>
            <w:r w:rsidRPr="000348DD">
              <w:rPr>
                <w:rFonts w:asciiTheme="minorHAnsi" w:hAnsiTheme="minorHAnsi" w:cstheme="minorHAnsi"/>
                <w:sz w:val="16"/>
                <w:szCs w:val="16"/>
              </w:rPr>
              <w:t>Suvaja,</w:t>
            </w:r>
            <w:r w:rsidRPr="000348DD">
              <w:rPr>
                <w:rFonts w:asciiTheme="minorHAnsi" w:hAnsiTheme="minorHAnsi" w:cstheme="minorHAnsi"/>
                <w:spacing w:val="-8"/>
                <w:sz w:val="16"/>
                <w:szCs w:val="16"/>
              </w:rPr>
              <w:t xml:space="preserve"> </w:t>
            </w:r>
            <w:proofErr w:type="spellStart"/>
            <w:r w:rsidRPr="000348DD">
              <w:rPr>
                <w:rFonts w:asciiTheme="minorHAnsi" w:hAnsiTheme="minorHAnsi" w:cstheme="minorHAnsi"/>
                <w:sz w:val="16"/>
                <w:szCs w:val="16"/>
              </w:rPr>
              <w:t>nakon</w:t>
            </w:r>
            <w:proofErr w:type="spellEnd"/>
            <w:r w:rsidRPr="000348DD">
              <w:rPr>
                <w:rFonts w:asciiTheme="minorHAnsi" w:hAnsiTheme="minorHAnsi" w:cstheme="minorHAnsi"/>
                <w:spacing w:val="-8"/>
                <w:sz w:val="16"/>
                <w:szCs w:val="16"/>
              </w:rPr>
              <w:t xml:space="preserve"> </w:t>
            </w:r>
            <w:proofErr w:type="spellStart"/>
            <w:r w:rsidRPr="000348DD">
              <w:rPr>
                <w:rFonts w:asciiTheme="minorHAnsi" w:hAnsiTheme="minorHAnsi" w:cstheme="minorHAnsi"/>
                <w:sz w:val="16"/>
                <w:szCs w:val="16"/>
              </w:rPr>
              <w:t>ak</w:t>
            </w:r>
            <w:proofErr w:type="spellEnd"/>
            <w:r w:rsidRPr="000348DD">
              <w:rPr>
                <w:rFonts w:asciiTheme="minorHAnsi" w:hAnsiTheme="minorHAnsi" w:cstheme="minorHAnsi"/>
                <w:sz w:val="16"/>
                <w:szCs w:val="16"/>
              </w:rPr>
              <w:t>.</w:t>
            </w:r>
            <w:r w:rsidRPr="000348DD">
              <w:rPr>
                <w:rFonts w:asciiTheme="minorHAnsi" w:hAnsiTheme="minorHAnsi" w:cstheme="minorHAnsi"/>
                <w:spacing w:val="-10"/>
                <w:sz w:val="16"/>
                <w:szCs w:val="16"/>
              </w:rPr>
              <w:t xml:space="preserve"> </w:t>
            </w:r>
            <w:proofErr w:type="spellStart"/>
            <w:r w:rsidRPr="000348DD">
              <w:rPr>
                <w:rFonts w:asciiTheme="minorHAnsi" w:hAnsiTheme="minorHAnsi" w:cstheme="minorHAnsi"/>
                <w:spacing w:val="-2"/>
                <w:sz w:val="16"/>
                <w:szCs w:val="16"/>
              </w:rPr>
              <w:t>Ričice</w:t>
            </w:r>
            <w:proofErr w:type="spellEnd"/>
          </w:p>
        </w:tc>
        <w:tc>
          <w:tcPr>
            <w:tcW w:w="1302" w:type="dxa"/>
          </w:tcPr>
          <w:p w14:paraId="598B671C" w14:textId="77777777" w:rsidR="000348DD" w:rsidRPr="000348DD" w:rsidRDefault="000348DD" w:rsidP="00136280">
            <w:pPr>
              <w:pStyle w:val="TableParagraph"/>
              <w:spacing w:before="30" w:line="249" w:lineRule="exact"/>
              <w:ind w:left="0" w:right="84"/>
              <w:jc w:val="right"/>
              <w:rPr>
                <w:rFonts w:asciiTheme="minorHAnsi" w:hAnsiTheme="minorHAnsi" w:cstheme="minorHAnsi"/>
                <w:sz w:val="16"/>
                <w:szCs w:val="16"/>
              </w:rPr>
            </w:pPr>
            <w:r w:rsidRPr="000348DD">
              <w:rPr>
                <w:rFonts w:asciiTheme="minorHAnsi" w:hAnsiTheme="minorHAnsi" w:cstheme="minorHAnsi"/>
                <w:spacing w:val="-2"/>
                <w:sz w:val="16"/>
                <w:szCs w:val="16"/>
              </w:rPr>
              <w:t>43,496</w:t>
            </w:r>
          </w:p>
        </w:tc>
        <w:tc>
          <w:tcPr>
            <w:tcW w:w="1112" w:type="dxa"/>
          </w:tcPr>
          <w:p w14:paraId="53FF73DD" w14:textId="77777777" w:rsidR="000348DD" w:rsidRPr="000348DD" w:rsidRDefault="000348DD" w:rsidP="00136280">
            <w:pPr>
              <w:pStyle w:val="TableParagraph"/>
              <w:spacing w:before="30" w:line="249" w:lineRule="exact"/>
              <w:ind w:left="0" w:right="87"/>
              <w:jc w:val="right"/>
              <w:rPr>
                <w:rFonts w:asciiTheme="minorHAnsi" w:hAnsiTheme="minorHAnsi" w:cstheme="minorHAnsi"/>
                <w:sz w:val="16"/>
                <w:szCs w:val="16"/>
              </w:rPr>
            </w:pPr>
            <w:r w:rsidRPr="000348DD">
              <w:rPr>
                <w:rFonts w:asciiTheme="minorHAnsi" w:hAnsiTheme="minorHAnsi" w:cstheme="minorHAnsi"/>
                <w:spacing w:val="-2"/>
                <w:sz w:val="16"/>
                <w:szCs w:val="16"/>
              </w:rPr>
              <w:t>17,135</w:t>
            </w:r>
          </w:p>
        </w:tc>
        <w:tc>
          <w:tcPr>
            <w:tcW w:w="937" w:type="dxa"/>
          </w:tcPr>
          <w:p w14:paraId="0A0CC532" w14:textId="77777777" w:rsidR="000348DD" w:rsidRPr="000348DD" w:rsidRDefault="000348DD" w:rsidP="00136280">
            <w:pPr>
              <w:pStyle w:val="TableParagraph"/>
              <w:spacing w:before="30" w:line="249" w:lineRule="exact"/>
              <w:ind w:left="6" w:right="2"/>
              <w:rPr>
                <w:rFonts w:asciiTheme="minorHAnsi" w:hAnsiTheme="minorHAnsi" w:cstheme="minorHAnsi"/>
                <w:sz w:val="16"/>
                <w:szCs w:val="16"/>
              </w:rPr>
            </w:pPr>
            <w:r w:rsidRPr="000348DD">
              <w:rPr>
                <w:rFonts w:asciiTheme="minorHAnsi" w:hAnsiTheme="minorHAnsi" w:cstheme="minorHAnsi"/>
                <w:spacing w:val="-10"/>
                <w:sz w:val="16"/>
                <w:szCs w:val="16"/>
              </w:rPr>
              <w:t>O</w:t>
            </w:r>
          </w:p>
        </w:tc>
        <w:tc>
          <w:tcPr>
            <w:tcW w:w="1119" w:type="dxa"/>
          </w:tcPr>
          <w:p w14:paraId="26F5D5D3" w14:textId="77777777" w:rsidR="000348DD" w:rsidRPr="000348DD" w:rsidRDefault="000348DD" w:rsidP="00136280">
            <w:pPr>
              <w:pStyle w:val="TableParagraph"/>
              <w:spacing w:before="30" w:line="249" w:lineRule="exact"/>
              <w:ind w:left="95"/>
              <w:jc w:val="left"/>
              <w:rPr>
                <w:rFonts w:asciiTheme="minorHAnsi" w:hAnsiTheme="minorHAnsi" w:cstheme="minorHAnsi"/>
                <w:sz w:val="16"/>
                <w:szCs w:val="16"/>
              </w:rPr>
            </w:pPr>
            <w:r w:rsidRPr="000348DD">
              <w:rPr>
                <w:rFonts w:asciiTheme="minorHAnsi" w:hAnsiTheme="minorHAnsi" w:cstheme="minorHAnsi"/>
                <w:spacing w:val="-2"/>
                <w:sz w:val="16"/>
                <w:szCs w:val="16"/>
              </w:rPr>
              <w:t>Croatia</w:t>
            </w:r>
          </w:p>
        </w:tc>
      </w:tr>
      <w:tr w:rsidR="000348DD" w:rsidRPr="000348DD" w14:paraId="5B75C022" w14:textId="77777777" w:rsidTr="00136280">
        <w:trPr>
          <w:trHeight w:val="301"/>
        </w:trPr>
        <w:tc>
          <w:tcPr>
            <w:tcW w:w="802" w:type="dxa"/>
          </w:tcPr>
          <w:p w14:paraId="104357A7" w14:textId="77777777" w:rsidR="000348DD" w:rsidRPr="000348DD" w:rsidRDefault="000348DD" w:rsidP="00136280">
            <w:pPr>
              <w:pStyle w:val="TableParagraph"/>
              <w:spacing w:before="32" w:line="249" w:lineRule="exact"/>
              <w:ind w:left="44"/>
              <w:rPr>
                <w:rFonts w:asciiTheme="minorHAnsi" w:hAnsiTheme="minorHAnsi" w:cstheme="minorHAnsi"/>
                <w:sz w:val="16"/>
                <w:szCs w:val="16"/>
              </w:rPr>
            </w:pPr>
            <w:r w:rsidRPr="000348DD">
              <w:rPr>
                <w:rFonts w:asciiTheme="minorHAnsi" w:hAnsiTheme="minorHAnsi" w:cstheme="minorHAnsi"/>
                <w:spacing w:val="-2"/>
                <w:sz w:val="16"/>
                <w:szCs w:val="16"/>
              </w:rPr>
              <w:t>40512</w:t>
            </w:r>
          </w:p>
        </w:tc>
        <w:tc>
          <w:tcPr>
            <w:tcW w:w="3776" w:type="dxa"/>
          </w:tcPr>
          <w:p w14:paraId="02865CB7" w14:textId="77777777" w:rsidR="000348DD" w:rsidRPr="000348DD" w:rsidRDefault="000348DD" w:rsidP="00136280">
            <w:pPr>
              <w:pStyle w:val="TableParagraph"/>
              <w:spacing w:before="32" w:line="249" w:lineRule="exact"/>
              <w:ind w:left="99"/>
              <w:jc w:val="left"/>
              <w:rPr>
                <w:rFonts w:asciiTheme="minorHAnsi" w:hAnsiTheme="minorHAnsi" w:cstheme="minorHAnsi"/>
                <w:sz w:val="16"/>
                <w:szCs w:val="16"/>
              </w:rPr>
            </w:pPr>
            <w:proofErr w:type="spellStart"/>
            <w:r w:rsidRPr="000348DD">
              <w:rPr>
                <w:rFonts w:asciiTheme="minorHAnsi" w:hAnsiTheme="minorHAnsi" w:cstheme="minorHAnsi"/>
                <w:sz w:val="16"/>
                <w:szCs w:val="16"/>
              </w:rPr>
              <w:t>Akumulacija</w:t>
            </w:r>
            <w:proofErr w:type="spellEnd"/>
            <w:r w:rsidRPr="000348DD">
              <w:rPr>
                <w:rFonts w:asciiTheme="minorHAnsi" w:hAnsiTheme="minorHAnsi" w:cstheme="minorHAnsi"/>
                <w:spacing w:val="-13"/>
                <w:sz w:val="16"/>
                <w:szCs w:val="16"/>
              </w:rPr>
              <w:t xml:space="preserve"> </w:t>
            </w:r>
            <w:proofErr w:type="spellStart"/>
            <w:r w:rsidRPr="000348DD">
              <w:rPr>
                <w:rFonts w:asciiTheme="minorHAnsi" w:hAnsiTheme="minorHAnsi" w:cstheme="minorHAnsi"/>
                <w:spacing w:val="-2"/>
                <w:sz w:val="16"/>
                <w:szCs w:val="16"/>
              </w:rPr>
              <w:t>Ričica</w:t>
            </w:r>
            <w:proofErr w:type="spellEnd"/>
          </w:p>
        </w:tc>
        <w:tc>
          <w:tcPr>
            <w:tcW w:w="1302" w:type="dxa"/>
          </w:tcPr>
          <w:p w14:paraId="779F910C" w14:textId="77777777" w:rsidR="000348DD" w:rsidRPr="000348DD" w:rsidRDefault="000348DD" w:rsidP="00136280">
            <w:pPr>
              <w:pStyle w:val="TableParagraph"/>
              <w:spacing w:before="32" w:line="249" w:lineRule="exact"/>
              <w:ind w:left="0" w:right="84"/>
              <w:jc w:val="right"/>
              <w:rPr>
                <w:rFonts w:asciiTheme="minorHAnsi" w:hAnsiTheme="minorHAnsi" w:cstheme="minorHAnsi"/>
                <w:sz w:val="16"/>
                <w:szCs w:val="16"/>
              </w:rPr>
            </w:pPr>
            <w:r w:rsidRPr="000348DD">
              <w:rPr>
                <w:rFonts w:asciiTheme="minorHAnsi" w:hAnsiTheme="minorHAnsi" w:cstheme="minorHAnsi"/>
                <w:spacing w:val="-2"/>
                <w:sz w:val="16"/>
                <w:szCs w:val="16"/>
              </w:rPr>
              <w:t>43,495</w:t>
            </w:r>
          </w:p>
        </w:tc>
        <w:tc>
          <w:tcPr>
            <w:tcW w:w="1112" w:type="dxa"/>
          </w:tcPr>
          <w:p w14:paraId="3F8C7EE2" w14:textId="77777777" w:rsidR="000348DD" w:rsidRPr="000348DD" w:rsidRDefault="000348DD" w:rsidP="00136280">
            <w:pPr>
              <w:pStyle w:val="TableParagraph"/>
              <w:spacing w:before="32" w:line="249" w:lineRule="exact"/>
              <w:ind w:left="0" w:right="87"/>
              <w:jc w:val="right"/>
              <w:rPr>
                <w:rFonts w:asciiTheme="minorHAnsi" w:hAnsiTheme="minorHAnsi" w:cstheme="minorHAnsi"/>
                <w:sz w:val="16"/>
                <w:szCs w:val="16"/>
              </w:rPr>
            </w:pPr>
            <w:r w:rsidRPr="000348DD">
              <w:rPr>
                <w:rFonts w:asciiTheme="minorHAnsi" w:hAnsiTheme="minorHAnsi" w:cstheme="minorHAnsi"/>
                <w:spacing w:val="-2"/>
                <w:sz w:val="16"/>
                <w:szCs w:val="16"/>
              </w:rPr>
              <w:t>17,134</w:t>
            </w:r>
          </w:p>
        </w:tc>
        <w:tc>
          <w:tcPr>
            <w:tcW w:w="937" w:type="dxa"/>
          </w:tcPr>
          <w:p w14:paraId="0BEC88E2" w14:textId="77777777" w:rsidR="000348DD" w:rsidRPr="000348DD" w:rsidRDefault="000348DD" w:rsidP="00136280">
            <w:pPr>
              <w:pStyle w:val="TableParagraph"/>
              <w:spacing w:before="32" w:line="249" w:lineRule="exact"/>
              <w:ind w:left="6" w:right="2"/>
              <w:rPr>
                <w:rFonts w:asciiTheme="minorHAnsi" w:hAnsiTheme="minorHAnsi" w:cstheme="minorHAnsi"/>
                <w:sz w:val="16"/>
                <w:szCs w:val="16"/>
              </w:rPr>
            </w:pPr>
            <w:r w:rsidRPr="000348DD">
              <w:rPr>
                <w:rFonts w:asciiTheme="minorHAnsi" w:hAnsiTheme="minorHAnsi" w:cstheme="minorHAnsi"/>
                <w:spacing w:val="-10"/>
                <w:sz w:val="16"/>
                <w:szCs w:val="16"/>
              </w:rPr>
              <w:t>O</w:t>
            </w:r>
          </w:p>
        </w:tc>
        <w:tc>
          <w:tcPr>
            <w:tcW w:w="1119" w:type="dxa"/>
          </w:tcPr>
          <w:p w14:paraId="0C4C0558" w14:textId="77777777" w:rsidR="000348DD" w:rsidRPr="000348DD" w:rsidRDefault="000348DD" w:rsidP="00136280">
            <w:pPr>
              <w:pStyle w:val="TableParagraph"/>
              <w:spacing w:before="32" w:line="249" w:lineRule="exact"/>
              <w:ind w:left="95"/>
              <w:jc w:val="left"/>
              <w:rPr>
                <w:rFonts w:asciiTheme="minorHAnsi" w:hAnsiTheme="minorHAnsi" w:cstheme="minorHAnsi"/>
                <w:sz w:val="16"/>
                <w:szCs w:val="16"/>
              </w:rPr>
            </w:pPr>
            <w:r w:rsidRPr="000348DD">
              <w:rPr>
                <w:rFonts w:asciiTheme="minorHAnsi" w:hAnsiTheme="minorHAnsi" w:cstheme="minorHAnsi"/>
                <w:spacing w:val="-2"/>
                <w:sz w:val="16"/>
                <w:szCs w:val="16"/>
              </w:rPr>
              <w:t>Croatia</w:t>
            </w:r>
          </w:p>
        </w:tc>
      </w:tr>
      <w:tr w:rsidR="000348DD" w:rsidRPr="000348DD" w14:paraId="65D488C2" w14:textId="77777777" w:rsidTr="00136280">
        <w:trPr>
          <w:trHeight w:val="298"/>
        </w:trPr>
        <w:tc>
          <w:tcPr>
            <w:tcW w:w="802" w:type="dxa"/>
          </w:tcPr>
          <w:p w14:paraId="4F58B6E9" w14:textId="77777777" w:rsidR="000348DD" w:rsidRPr="000348DD" w:rsidRDefault="000348DD" w:rsidP="00136280">
            <w:pPr>
              <w:pStyle w:val="TableParagraph"/>
              <w:spacing w:before="30" w:line="249" w:lineRule="exact"/>
              <w:ind w:left="44"/>
              <w:rPr>
                <w:rFonts w:asciiTheme="minorHAnsi" w:hAnsiTheme="minorHAnsi" w:cstheme="minorHAnsi"/>
                <w:sz w:val="16"/>
                <w:szCs w:val="16"/>
              </w:rPr>
            </w:pPr>
            <w:r w:rsidRPr="000348DD">
              <w:rPr>
                <w:rFonts w:asciiTheme="minorHAnsi" w:hAnsiTheme="minorHAnsi" w:cstheme="minorHAnsi"/>
                <w:spacing w:val="-2"/>
                <w:sz w:val="16"/>
                <w:szCs w:val="16"/>
              </w:rPr>
              <w:t>40514</w:t>
            </w:r>
          </w:p>
        </w:tc>
        <w:tc>
          <w:tcPr>
            <w:tcW w:w="3776" w:type="dxa"/>
          </w:tcPr>
          <w:p w14:paraId="196DEB54" w14:textId="77777777" w:rsidR="000348DD" w:rsidRPr="000348DD" w:rsidRDefault="000348DD" w:rsidP="00136280">
            <w:pPr>
              <w:pStyle w:val="TableParagraph"/>
              <w:spacing w:before="30" w:line="249" w:lineRule="exact"/>
              <w:ind w:left="99"/>
              <w:jc w:val="left"/>
              <w:rPr>
                <w:rFonts w:asciiTheme="minorHAnsi" w:hAnsiTheme="minorHAnsi" w:cstheme="minorHAnsi"/>
                <w:sz w:val="16"/>
                <w:szCs w:val="16"/>
              </w:rPr>
            </w:pPr>
            <w:proofErr w:type="spellStart"/>
            <w:r w:rsidRPr="000348DD">
              <w:rPr>
                <w:rFonts w:asciiTheme="minorHAnsi" w:hAnsiTheme="minorHAnsi" w:cstheme="minorHAnsi"/>
                <w:sz w:val="16"/>
                <w:szCs w:val="16"/>
              </w:rPr>
              <w:t>Prološko</w:t>
            </w:r>
            <w:proofErr w:type="spellEnd"/>
            <w:r w:rsidRPr="000348DD">
              <w:rPr>
                <w:rFonts w:asciiTheme="minorHAnsi" w:hAnsiTheme="minorHAnsi" w:cstheme="minorHAnsi"/>
                <w:spacing w:val="-7"/>
                <w:sz w:val="16"/>
                <w:szCs w:val="16"/>
              </w:rPr>
              <w:t xml:space="preserve"> </w:t>
            </w:r>
            <w:proofErr w:type="spellStart"/>
            <w:r w:rsidRPr="000348DD">
              <w:rPr>
                <w:rFonts w:asciiTheme="minorHAnsi" w:hAnsiTheme="minorHAnsi" w:cstheme="minorHAnsi"/>
                <w:spacing w:val="-4"/>
                <w:sz w:val="16"/>
                <w:szCs w:val="16"/>
              </w:rPr>
              <w:t>blato</w:t>
            </w:r>
            <w:proofErr w:type="spellEnd"/>
          </w:p>
        </w:tc>
        <w:tc>
          <w:tcPr>
            <w:tcW w:w="1302" w:type="dxa"/>
          </w:tcPr>
          <w:p w14:paraId="28E9B176" w14:textId="77777777" w:rsidR="000348DD" w:rsidRPr="000348DD" w:rsidRDefault="000348DD" w:rsidP="00136280">
            <w:pPr>
              <w:pStyle w:val="TableParagraph"/>
              <w:spacing w:before="30" w:line="249" w:lineRule="exact"/>
              <w:ind w:left="0" w:right="84"/>
              <w:jc w:val="right"/>
              <w:rPr>
                <w:rFonts w:asciiTheme="minorHAnsi" w:hAnsiTheme="minorHAnsi" w:cstheme="minorHAnsi"/>
                <w:sz w:val="16"/>
                <w:szCs w:val="16"/>
              </w:rPr>
            </w:pPr>
            <w:r w:rsidRPr="000348DD">
              <w:rPr>
                <w:rFonts w:asciiTheme="minorHAnsi" w:hAnsiTheme="minorHAnsi" w:cstheme="minorHAnsi"/>
                <w:spacing w:val="-2"/>
                <w:sz w:val="16"/>
                <w:szCs w:val="16"/>
              </w:rPr>
              <w:t>43,476</w:t>
            </w:r>
          </w:p>
        </w:tc>
        <w:tc>
          <w:tcPr>
            <w:tcW w:w="1112" w:type="dxa"/>
          </w:tcPr>
          <w:p w14:paraId="2849BB55" w14:textId="77777777" w:rsidR="000348DD" w:rsidRPr="000348DD" w:rsidRDefault="000348DD" w:rsidP="00136280">
            <w:pPr>
              <w:pStyle w:val="TableParagraph"/>
              <w:spacing w:before="30" w:line="249" w:lineRule="exact"/>
              <w:ind w:left="0" w:right="87"/>
              <w:jc w:val="right"/>
              <w:rPr>
                <w:rFonts w:asciiTheme="minorHAnsi" w:hAnsiTheme="minorHAnsi" w:cstheme="minorHAnsi"/>
                <w:sz w:val="16"/>
                <w:szCs w:val="16"/>
              </w:rPr>
            </w:pPr>
            <w:r w:rsidRPr="000348DD">
              <w:rPr>
                <w:rFonts w:asciiTheme="minorHAnsi" w:hAnsiTheme="minorHAnsi" w:cstheme="minorHAnsi"/>
                <w:spacing w:val="-2"/>
                <w:sz w:val="16"/>
                <w:szCs w:val="16"/>
              </w:rPr>
              <w:t>17,122</w:t>
            </w:r>
          </w:p>
        </w:tc>
        <w:tc>
          <w:tcPr>
            <w:tcW w:w="937" w:type="dxa"/>
          </w:tcPr>
          <w:p w14:paraId="2FA47FF3" w14:textId="77777777" w:rsidR="000348DD" w:rsidRPr="000348DD" w:rsidRDefault="000348DD" w:rsidP="00136280">
            <w:pPr>
              <w:pStyle w:val="TableParagraph"/>
              <w:spacing w:before="30" w:line="249" w:lineRule="exact"/>
              <w:ind w:left="6" w:right="2"/>
              <w:rPr>
                <w:rFonts w:asciiTheme="minorHAnsi" w:hAnsiTheme="minorHAnsi" w:cstheme="minorHAnsi"/>
                <w:sz w:val="16"/>
                <w:szCs w:val="16"/>
              </w:rPr>
            </w:pPr>
            <w:r w:rsidRPr="000348DD">
              <w:rPr>
                <w:rFonts w:asciiTheme="minorHAnsi" w:hAnsiTheme="minorHAnsi" w:cstheme="minorHAnsi"/>
                <w:spacing w:val="-10"/>
                <w:sz w:val="16"/>
                <w:szCs w:val="16"/>
              </w:rPr>
              <w:t>O</w:t>
            </w:r>
          </w:p>
        </w:tc>
        <w:tc>
          <w:tcPr>
            <w:tcW w:w="1119" w:type="dxa"/>
          </w:tcPr>
          <w:p w14:paraId="54CD5F79" w14:textId="77777777" w:rsidR="000348DD" w:rsidRPr="000348DD" w:rsidRDefault="000348DD" w:rsidP="00136280">
            <w:pPr>
              <w:pStyle w:val="TableParagraph"/>
              <w:spacing w:before="30" w:line="249" w:lineRule="exact"/>
              <w:ind w:left="95"/>
              <w:jc w:val="left"/>
              <w:rPr>
                <w:rFonts w:asciiTheme="minorHAnsi" w:hAnsiTheme="minorHAnsi" w:cstheme="minorHAnsi"/>
                <w:sz w:val="16"/>
                <w:szCs w:val="16"/>
              </w:rPr>
            </w:pPr>
            <w:r w:rsidRPr="000348DD">
              <w:rPr>
                <w:rFonts w:asciiTheme="minorHAnsi" w:hAnsiTheme="minorHAnsi" w:cstheme="minorHAnsi"/>
                <w:spacing w:val="-2"/>
                <w:sz w:val="16"/>
                <w:szCs w:val="16"/>
              </w:rPr>
              <w:t>Croatia</w:t>
            </w:r>
          </w:p>
        </w:tc>
      </w:tr>
      <w:tr w:rsidR="000348DD" w:rsidRPr="000348DD" w14:paraId="58A45EE9" w14:textId="77777777" w:rsidTr="00136280">
        <w:trPr>
          <w:trHeight w:val="301"/>
        </w:trPr>
        <w:tc>
          <w:tcPr>
            <w:tcW w:w="802" w:type="dxa"/>
          </w:tcPr>
          <w:p w14:paraId="258F7895" w14:textId="77777777" w:rsidR="000348DD" w:rsidRPr="000348DD" w:rsidRDefault="000348DD" w:rsidP="00136280">
            <w:pPr>
              <w:pStyle w:val="TableParagraph"/>
              <w:spacing w:before="32" w:line="249" w:lineRule="exact"/>
              <w:ind w:left="44"/>
              <w:rPr>
                <w:rFonts w:asciiTheme="minorHAnsi" w:hAnsiTheme="minorHAnsi" w:cstheme="minorHAnsi"/>
                <w:sz w:val="16"/>
                <w:szCs w:val="16"/>
              </w:rPr>
            </w:pPr>
            <w:r w:rsidRPr="000348DD">
              <w:rPr>
                <w:rFonts w:asciiTheme="minorHAnsi" w:hAnsiTheme="minorHAnsi" w:cstheme="minorHAnsi"/>
                <w:spacing w:val="-2"/>
                <w:sz w:val="16"/>
                <w:szCs w:val="16"/>
              </w:rPr>
              <w:t>40515</w:t>
            </w:r>
          </w:p>
        </w:tc>
        <w:tc>
          <w:tcPr>
            <w:tcW w:w="3776" w:type="dxa"/>
          </w:tcPr>
          <w:p w14:paraId="0C11BA82" w14:textId="77777777" w:rsidR="000348DD" w:rsidRPr="000348DD" w:rsidRDefault="000348DD" w:rsidP="00136280">
            <w:pPr>
              <w:pStyle w:val="TableParagraph"/>
              <w:spacing w:before="32" w:line="249" w:lineRule="exact"/>
              <w:ind w:left="99"/>
              <w:jc w:val="left"/>
              <w:rPr>
                <w:rFonts w:asciiTheme="minorHAnsi" w:hAnsiTheme="minorHAnsi" w:cstheme="minorHAnsi"/>
                <w:sz w:val="16"/>
                <w:szCs w:val="16"/>
              </w:rPr>
            </w:pPr>
            <w:r w:rsidRPr="000348DD">
              <w:rPr>
                <w:rFonts w:asciiTheme="minorHAnsi" w:hAnsiTheme="minorHAnsi" w:cstheme="minorHAnsi"/>
                <w:sz w:val="16"/>
                <w:szCs w:val="16"/>
              </w:rPr>
              <w:t>Norin,</w:t>
            </w:r>
            <w:r w:rsidRPr="000348DD">
              <w:rPr>
                <w:rFonts w:asciiTheme="minorHAnsi" w:hAnsiTheme="minorHAnsi" w:cstheme="minorHAnsi"/>
                <w:spacing w:val="-8"/>
                <w:sz w:val="16"/>
                <w:szCs w:val="16"/>
              </w:rPr>
              <w:t xml:space="preserve"> </w:t>
            </w:r>
            <w:r w:rsidRPr="000348DD">
              <w:rPr>
                <w:rFonts w:asciiTheme="minorHAnsi" w:hAnsiTheme="minorHAnsi" w:cstheme="minorHAnsi"/>
                <w:spacing w:val="-5"/>
                <w:sz w:val="16"/>
                <w:szCs w:val="16"/>
              </w:rPr>
              <w:t>Vid</w:t>
            </w:r>
          </w:p>
        </w:tc>
        <w:tc>
          <w:tcPr>
            <w:tcW w:w="1302" w:type="dxa"/>
          </w:tcPr>
          <w:p w14:paraId="1F2CC08E" w14:textId="77777777" w:rsidR="000348DD" w:rsidRPr="000348DD" w:rsidRDefault="000348DD" w:rsidP="00136280">
            <w:pPr>
              <w:pStyle w:val="TableParagraph"/>
              <w:spacing w:before="32" w:line="249" w:lineRule="exact"/>
              <w:ind w:left="0" w:right="84"/>
              <w:jc w:val="right"/>
              <w:rPr>
                <w:rFonts w:asciiTheme="minorHAnsi" w:hAnsiTheme="minorHAnsi" w:cstheme="minorHAnsi"/>
                <w:sz w:val="16"/>
                <w:szCs w:val="16"/>
              </w:rPr>
            </w:pPr>
            <w:r w:rsidRPr="000348DD">
              <w:rPr>
                <w:rFonts w:asciiTheme="minorHAnsi" w:hAnsiTheme="minorHAnsi" w:cstheme="minorHAnsi"/>
                <w:spacing w:val="-2"/>
                <w:sz w:val="16"/>
                <w:szCs w:val="16"/>
              </w:rPr>
              <w:t>43,080</w:t>
            </w:r>
          </w:p>
        </w:tc>
        <w:tc>
          <w:tcPr>
            <w:tcW w:w="1112" w:type="dxa"/>
          </w:tcPr>
          <w:p w14:paraId="12E3CB53" w14:textId="77777777" w:rsidR="000348DD" w:rsidRPr="000348DD" w:rsidRDefault="000348DD" w:rsidP="00136280">
            <w:pPr>
              <w:pStyle w:val="TableParagraph"/>
              <w:spacing w:before="32" w:line="249" w:lineRule="exact"/>
              <w:ind w:left="0" w:right="87"/>
              <w:jc w:val="right"/>
              <w:rPr>
                <w:rFonts w:asciiTheme="minorHAnsi" w:hAnsiTheme="minorHAnsi" w:cstheme="minorHAnsi"/>
                <w:sz w:val="16"/>
                <w:szCs w:val="16"/>
              </w:rPr>
            </w:pPr>
            <w:r w:rsidRPr="000348DD">
              <w:rPr>
                <w:rFonts w:asciiTheme="minorHAnsi" w:hAnsiTheme="minorHAnsi" w:cstheme="minorHAnsi"/>
                <w:spacing w:val="-2"/>
                <w:sz w:val="16"/>
                <w:szCs w:val="16"/>
              </w:rPr>
              <w:t>17,629</w:t>
            </w:r>
          </w:p>
        </w:tc>
        <w:tc>
          <w:tcPr>
            <w:tcW w:w="937" w:type="dxa"/>
          </w:tcPr>
          <w:p w14:paraId="47FBEA6C" w14:textId="77777777" w:rsidR="000348DD" w:rsidRPr="000348DD" w:rsidRDefault="000348DD" w:rsidP="00136280">
            <w:pPr>
              <w:pStyle w:val="TableParagraph"/>
              <w:spacing w:before="32" w:line="249" w:lineRule="exact"/>
              <w:ind w:left="6" w:right="2"/>
              <w:rPr>
                <w:rFonts w:asciiTheme="minorHAnsi" w:hAnsiTheme="minorHAnsi" w:cstheme="minorHAnsi"/>
                <w:sz w:val="16"/>
                <w:szCs w:val="16"/>
              </w:rPr>
            </w:pPr>
            <w:r w:rsidRPr="000348DD">
              <w:rPr>
                <w:rFonts w:asciiTheme="minorHAnsi" w:hAnsiTheme="minorHAnsi" w:cstheme="minorHAnsi"/>
                <w:spacing w:val="-10"/>
                <w:sz w:val="16"/>
                <w:szCs w:val="16"/>
              </w:rPr>
              <w:t>O</w:t>
            </w:r>
          </w:p>
        </w:tc>
        <w:tc>
          <w:tcPr>
            <w:tcW w:w="1119" w:type="dxa"/>
          </w:tcPr>
          <w:p w14:paraId="265CFEB6" w14:textId="77777777" w:rsidR="000348DD" w:rsidRPr="000348DD" w:rsidRDefault="000348DD" w:rsidP="00136280">
            <w:pPr>
              <w:pStyle w:val="TableParagraph"/>
              <w:spacing w:before="32" w:line="249" w:lineRule="exact"/>
              <w:ind w:left="95"/>
              <w:jc w:val="left"/>
              <w:rPr>
                <w:rFonts w:asciiTheme="minorHAnsi" w:hAnsiTheme="minorHAnsi" w:cstheme="minorHAnsi"/>
                <w:sz w:val="16"/>
                <w:szCs w:val="16"/>
              </w:rPr>
            </w:pPr>
            <w:r w:rsidRPr="000348DD">
              <w:rPr>
                <w:rFonts w:asciiTheme="minorHAnsi" w:hAnsiTheme="minorHAnsi" w:cstheme="minorHAnsi"/>
                <w:spacing w:val="-2"/>
                <w:sz w:val="16"/>
                <w:szCs w:val="16"/>
              </w:rPr>
              <w:t>Croatia</w:t>
            </w:r>
          </w:p>
        </w:tc>
      </w:tr>
      <w:tr w:rsidR="000348DD" w:rsidRPr="000348DD" w14:paraId="02A1A6BC" w14:textId="77777777" w:rsidTr="00136280">
        <w:trPr>
          <w:trHeight w:val="301"/>
        </w:trPr>
        <w:tc>
          <w:tcPr>
            <w:tcW w:w="802" w:type="dxa"/>
          </w:tcPr>
          <w:p w14:paraId="34DA05D5" w14:textId="77777777" w:rsidR="000348DD" w:rsidRPr="000348DD" w:rsidRDefault="000348DD" w:rsidP="00136280">
            <w:pPr>
              <w:pStyle w:val="TableParagraph"/>
              <w:ind w:left="0"/>
              <w:jc w:val="left"/>
              <w:rPr>
                <w:rFonts w:asciiTheme="minorHAnsi" w:hAnsiTheme="minorHAnsi" w:cstheme="minorHAnsi"/>
                <w:sz w:val="16"/>
                <w:szCs w:val="16"/>
              </w:rPr>
            </w:pPr>
          </w:p>
        </w:tc>
        <w:tc>
          <w:tcPr>
            <w:tcW w:w="3776" w:type="dxa"/>
          </w:tcPr>
          <w:p w14:paraId="2B1E9984" w14:textId="77777777" w:rsidR="000348DD" w:rsidRPr="000348DD" w:rsidRDefault="000348DD" w:rsidP="00136280">
            <w:pPr>
              <w:pStyle w:val="TableParagraph"/>
              <w:spacing w:before="30" w:line="251" w:lineRule="exact"/>
              <w:ind w:left="99"/>
              <w:jc w:val="left"/>
              <w:rPr>
                <w:rFonts w:asciiTheme="minorHAnsi" w:hAnsiTheme="minorHAnsi" w:cstheme="minorHAnsi"/>
                <w:sz w:val="16"/>
                <w:szCs w:val="16"/>
              </w:rPr>
            </w:pPr>
            <w:r w:rsidRPr="000348DD">
              <w:rPr>
                <w:rFonts w:asciiTheme="minorHAnsi" w:hAnsiTheme="minorHAnsi" w:cstheme="minorHAnsi"/>
                <w:spacing w:val="-2"/>
                <w:sz w:val="16"/>
                <w:szCs w:val="16"/>
              </w:rPr>
              <w:t>Zuko_1</w:t>
            </w:r>
          </w:p>
        </w:tc>
        <w:tc>
          <w:tcPr>
            <w:tcW w:w="1302" w:type="dxa"/>
          </w:tcPr>
          <w:p w14:paraId="4FF42E53" w14:textId="77777777" w:rsidR="000348DD" w:rsidRPr="000348DD" w:rsidRDefault="000348DD" w:rsidP="00136280">
            <w:pPr>
              <w:pStyle w:val="TableParagraph"/>
              <w:spacing w:before="30" w:line="251" w:lineRule="exact"/>
              <w:ind w:left="0" w:right="84"/>
              <w:jc w:val="right"/>
              <w:rPr>
                <w:rFonts w:asciiTheme="minorHAnsi" w:hAnsiTheme="minorHAnsi" w:cstheme="minorHAnsi"/>
                <w:sz w:val="16"/>
                <w:szCs w:val="16"/>
              </w:rPr>
            </w:pPr>
            <w:r w:rsidRPr="000348DD">
              <w:rPr>
                <w:rFonts w:asciiTheme="minorHAnsi" w:hAnsiTheme="minorHAnsi" w:cstheme="minorHAnsi"/>
                <w:spacing w:val="-2"/>
                <w:sz w:val="16"/>
                <w:szCs w:val="16"/>
              </w:rPr>
              <w:t>17,21214</w:t>
            </w:r>
          </w:p>
        </w:tc>
        <w:tc>
          <w:tcPr>
            <w:tcW w:w="1112" w:type="dxa"/>
          </w:tcPr>
          <w:p w14:paraId="65A20A08" w14:textId="77777777" w:rsidR="000348DD" w:rsidRPr="000348DD" w:rsidRDefault="000348DD" w:rsidP="00136280">
            <w:pPr>
              <w:pStyle w:val="TableParagraph"/>
              <w:spacing w:before="30" w:line="251" w:lineRule="exact"/>
              <w:ind w:left="0" w:right="87"/>
              <w:jc w:val="right"/>
              <w:rPr>
                <w:rFonts w:asciiTheme="minorHAnsi" w:hAnsiTheme="minorHAnsi" w:cstheme="minorHAnsi"/>
                <w:sz w:val="16"/>
                <w:szCs w:val="16"/>
              </w:rPr>
            </w:pPr>
            <w:r w:rsidRPr="000348DD">
              <w:rPr>
                <w:rFonts w:asciiTheme="minorHAnsi" w:hAnsiTheme="minorHAnsi" w:cstheme="minorHAnsi"/>
                <w:spacing w:val="-2"/>
                <w:sz w:val="16"/>
                <w:szCs w:val="16"/>
              </w:rPr>
              <w:t>43,5255</w:t>
            </w:r>
          </w:p>
        </w:tc>
        <w:tc>
          <w:tcPr>
            <w:tcW w:w="937" w:type="dxa"/>
          </w:tcPr>
          <w:p w14:paraId="1467B39E" w14:textId="77777777" w:rsidR="000348DD" w:rsidRPr="000348DD" w:rsidRDefault="000348DD" w:rsidP="00136280">
            <w:pPr>
              <w:pStyle w:val="TableParagraph"/>
              <w:spacing w:before="30" w:line="251" w:lineRule="exact"/>
              <w:ind w:left="6" w:right="1"/>
              <w:rPr>
                <w:rFonts w:asciiTheme="minorHAnsi" w:hAnsiTheme="minorHAnsi" w:cstheme="minorHAnsi"/>
                <w:sz w:val="16"/>
                <w:szCs w:val="16"/>
              </w:rPr>
            </w:pPr>
            <w:r w:rsidRPr="000348DD">
              <w:rPr>
                <w:rFonts w:asciiTheme="minorHAnsi" w:hAnsiTheme="minorHAnsi" w:cstheme="minorHAnsi"/>
                <w:spacing w:val="-5"/>
                <w:sz w:val="16"/>
                <w:szCs w:val="16"/>
              </w:rPr>
              <w:t>O'</w:t>
            </w:r>
          </w:p>
        </w:tc>
        <w:tc>
          <w:tcPr>
            <w:tcW w:w="1119" w:type="dxa"/>
          </w:tcPr>
          <w:p w14:paraId="69627EA6" w14:textId="77777777" w:rsidR="000348DD" w:rsidRPr="000348DD" w:rsidRDefault="000348DD" w:rsidP="00136280">
            <w:pPr>
              <w:pStyle w:val="TableParagraph"/>
              <w:spacing w:before="30" w:line="251" w:lineRule="exact"/>
              <w:ind w:left="95"/>
              <w:jc w:val="left"/>
              <w:rPr>
                <w:rFonts w:asciiTheme="minorHAnsi" w:hAnsiTheme="minorHAnsi" w:cstheme="minorHAnsi"/>
                <w:sz w:val="16"/>
                <w:szCs w:val="16"/>
              </w:rPr>
            </w:pPr>
            <w:r w:rsidRPr="000348DD">
              <w:rPr>
                <w:rFonts w:asciiTheme="minorHAnsi" w:hAnsiTheme="minorHAnsi" w:cstheme="minorHAnsi"/>
                <w:spacing w:val="-5"/>
                <w:sz w:val="16"/>
                <w:szCs w:val="16"/>
              </w:rPr>
              <w:t>BIH</w:t>
            </w:r>
          </w:p>
        </w:tc>
      </w:tr>
    </w:tbl>
    <w:p w14:paraId="37E08D04" w14:textId="77777777" w:rsidR="000348DD" w:rsidRDefault="000348DD" w:rsidP="00B02838">
      <w:pPr>
        <w:jc w:val="both"/>
        <w:rPr>
          <w:rFonts w:cstheme="minorHAnsi"/>
          <w:bCs/>
        </w:rPr>
      </w:pPr>
    </w:p>
    <w:p w14:paraId="549BF926" w14:textId="77777777" w:rsidR="00C65720" w:rsidRPr="00C65720" w:rsidRDefault="00C65720" w:rsidP="00B02838">
      <w:pPr>
        <w:jc w:val="both"/>
        <w:rPr>
          <w:rFonts w:cstheme="minorHAnsi"/>
          <w:bCs/>
        </w:rPr>
      </w:pPr>
      <w:r w:rsidRPr="00C65720">
        <w:rPr>
          <w:rFonts w:cstheme="minorHAnsi"/>
          <w:bCs/>
        </w:rPr>
        <w:t>The Croatian National Hydrometeorological Service (DHMZ) and the Federal Hydrometeorological Institute (FHMI) are responsible for the collection and management of meteorological and hydrological data.</w:t>
      </w:r>
    </w:p>
    <w:p w14:paraId="409F9DEB" w14:textId="0B94BFFF" w:rsidR="00C65720" w:rsidRDefault="00C65720" w:rsidP="00B02838">
      <w:pPr>
        <w:jc w:val="both"/>
        <w:rPr>
          <w:rFonts w:cstheme="minorHAnsi"/>
          <w:bCs/>
        </w:rPr>
      </w:pPr>
      <w:r w:rsidRPr="00C65720">
        <w:rPr>
          <w:rFonts w:cstheme="minorHAnsi"/>
          <w:bCs/>
        </w:rPr>
        <w:t>Within Neretva TBA, there are currently five active meteorological stations</w:t>
      </w:r>
      <w:r>
        <w:rPr>
          <w:rFonts w:cstheme="minorHAnsi"/>
          <w:bCs/>
        </w:rPr>
        <w:t xml:space="preserve">: </w:t>
      </w:r>
      <w:r w:rsidRPr="00C65720">
        <w:rPr>
          <w:rFonts w:cstheme="minorHAnsi"/>
          <w:bCs/>
        </w:rPr>
        <w:t>three climatological stations and two rain gauge stations. All these stations are located within the territory of Croatia, while no meteorological stations are currently operated within the Federation of Bosnia and Herzegovina.</w:t>
      </w:r>
    </w:p>
    <w:p w14:paraId="54C2617F" w14:textId="1148D0DF" w:rsidR="00C65720" w:rsidRDefault="002F4776" w:rsidP="002F4776">
      <w:pPr>
        <w:pStyle w:val="Caption"/>
        <w:rPr>
          <w:rFonts w:cstheme="minorHAnsi"/>
          <w:bCs/>
        </w:rPr>
      </w:pPr>
      <w:bookmarkStart w:id="228" w:name="_Toc229037748"/>
      <w:r>
        <w:t xml:space="preserve">Table </w:t>
      </w:r>
      <w:r>
        <w:fldChar w:fldCharType="begin"/>
      </w:r>
      <w:r>
        <w:instrText xml:space="preserve"> SEQ Table \* ARABIC </w:instrText>
      </w:r>
      <w:r>
        <w:fldChar w:fldCharType="separate"/>
      </w:r>
      <w:r>
        <w:rPr>
          <w:noProof/>
        </w:rPr>
        <w:t>26</w:t>
      </w:r>
      <w:r>
        <w:fldChar w:fldCharType="end"/>
      </w:r>
      <w:r>
        <w:t xml:space="preserve"> </w:t>
      </w:r>
      <w:r w:rsidRPr="00616E05">
        <w:t>Groundwater quality monitoring parameters and annual testing frequency (Croatian legislation), with differences in BiH legislation</w:t>
      </w:r>
      <w:bookmarkEnd w:id="228"/>
    </w:p>
    <w:tbl>
      <w:tblPr>
        <w:tblW w:w="0" w:type="auto"/>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4740"/>
        <w:gridCol w:w="1450"/>
        <w:gridCol w:w="1414"/>
        <w:gridCol w:w="1284"/>
      </w:tblGrid>
      <w:tr w:rsidR="00C65720" w:rsidRPr="00C65720" w14:paraId="5DDAAF9E" w14:textId="77777777" w:rsidTr="00B02838">
        <w:trPr>
          <w:trHeight w:val="262"/>
          <w:tblHeader/>
        </w:trPr>
        <w:tc>
          <w:tcPr>
            <w:tcW w:w="4740" w:type="dxa"/>
            <w:vMerge w:val="restart"/>
            <w:shd w:val="clear" w:color="auto" w:fill="A5C9EB"/>
          </w:tcPr>
          <w:p w14:paraId="6B931AFC" w14:textId="77777777" w:rsidR="00C65720" w:rsidRPr="00C65720" w:rsidRDefault="00C65720" w:rsidP="00136280">
            <w:pPr>
              <w:pStyle w:val="TableParagraph"/>
              <w:spacing w:before="173"/>
              <w:ind w:left="97"/>
              <w:jc w:val="left"/>
              <w:rPr>
                <w:rFonts w:asciiTheme="minorHAnsi" w:hAnsiTheme="minorHAnsi" w:cstheme="minorHAnsi"/>
                <w:b/>
                <w:sz w:val="16"/>
                <w:szCs w:val="16"/>
              </w:rPr>
            </w:pPr>
            <w:r w:rsidRPr="00C65720">
              <w:rPr>
                <w:rFonts w:asciiTheme="minorHAnsi" w:hAnsiTheme="minorHAnsi" w:cstheme="minorHAnsi"/>
                <w:b/>
                <w:spacing w:val="-2"/>
                <w:sz w:val="16"/>
                <w:szCs w:val="16"/>
              </w:rPr>
              <w:t>INDICATOR</w:t>
            </w:r>
          </w:p>
        </w:tc>
        <w:tc>
          <w:tcPr>
            <w:tcW w:w="2864" w:type="dxa"/>
            <w:gridSpan w:val="2"/>
            <w:shd w:val="clear" w:color="auto" w:fill="A5C9EB"/>
          </w:tcPr>
          <w:p w14:paraId="057F365A" w14:textId="77777777" w:rsidR="00C65720" w:rsidRPr="00C65720" w:rsidRDefault="00C65720" w:rsidP="00136280">
            <w:pPr>
              <w:pStyle w:val="TableParagraph"/>
              <w:spacing w:before="29"/>
              <w:ind w:left="8"/>
              <w:rPr>
                <w:rFonts w:asciiTheme="minorHAnsi" w:hAnsiTheme="minorHAnsi" w:cstheme="minorHAnsi"/>
                <w:b/>
                <w:sz w:val="16"/>
                <w:szCs w:val="16"/>
              </w:rPr>
            </w:pPr>
            <w:r w:rsidRPr="00C65720">
              <w:rPr>
                <w:rFonts w:asciiTheme="minorHAnsi" w:hAnsiTheme="minorHAnsi" w:cstheme="minorHAnsi"/>
                <w:b/>
                <w:spacing w:val="-2"/>
                <w:sz w:val="16"/>
                <w:szCs w:val="16"/>
              </w:rPr>
              <w:t>FREQUENCY</w:t>
            </w:r>
          </w:p>
        </w:tc>
        <w:tc>
          <w:tcPr>
            <w:tcW w:w="1284" w:type="dxa"/>
            <w:vMerge w:val="restart"/>
            <w:shd w:val="clear" w:color="auto" w:fill="A5C9EB"/>
          </w:tcPr>
          <w:p w14:paraId="7C54D775" w14:textId="4D54183A" w:rsidR="00C65720" w:rsidRPr="00C65720" w:rsidRDefault="00C65720" w:rsidP="00136280">
            <w:pPr>
              <w:pStyle w:val="TableParagraph"/>
              <w:spacing w:before="173"/>
              <w:ind w:left="10"/>
              <w:rPr>
                <w:rFonts w:asciiTheme="minorHAnsi" w:hAnsiTheme="minorHAnsi" w:cstheme="minorHAnsi"/>
                <w:b/>
                <w:sz w:val="16"/>
                <w:szCs w:val="16"/>
              </w:rPr>
            </w:pPr>
            <w:r w:rsidRPr="00C65720">
              <w:rPr>
                <w:rFonts w:asciiTheme="minorHAnsi" w:hAnsiTheme="minorHAnsi" w:cstheme="minorHAnsi"/>
                <w:b/>
                <w:spacing w:val="-4"/>
                <w:sz w:val="16"/>
                <w:szCs w:val="16"/>
              </w:rPr>
              <w:t>FB</w:t>
            </w:r>
            <w:r>
              <w:rPr>
                <w:rFonts w:asciiTheme="minorHAnsi" w:hAnsiTheme="minorHAnsi" w:cstheme="minorHAnsi"/>
                <w:b/>
                <w:spacing w:val="-4"/>
                <w:sz w:val="16"/>
                <w:szCs w:val="16"/>
              </w:rPr>
              <w:t>i</w:t>
            </w:r>
            <w:r w:rsidRPr="00C65720">
              <w:rPr>
                <w:rFonts w:asciiTheme="minorHAnsi" w:hAnsiTheme="minorHAnsi" w:cstheme="minorHAnsi"/>
                <w:b/>
                <w:spacing w:val="-4"/>
                <w:sz w:val="16"/>
                <w:szCs w:val="16"/>
              </w:rPr>
              <w:t>H</w:t>
            </w:r>
          </w:p>
        </w:tc>
      </w:tr>
      <w:tr w:rsidR="00C65720" w:rsidRPr="00C65720" w14:paraId="0FC9AC70" w14:textId="77777777" w:rsidTr="00B02838">
        <w:trPr>
          <w:trHeight w:val="262"/>
          <w:tblHeader/>
        </w:trPr>
        <w:tc>
          <w:tcPr>
            <w:tcW w:w="4740" w:type="dxa"/>
            <w:vMerge/>
            <w:tcBorders>
              <w:top w:val="nil"/>
            </w:tcBorders>
            <w:shd w:val="clear" w:color="auto" w:fill="A5C9EB"/>
          </w:tcPr>
          <w:p w14:paraId="29903404" w14:textId="77777777" w:rsidR="00C65720" w:rsidRPr="00C65720" w:rsidRDefault="00C65720" w:rsidP="00136280">
            <w:pPr>
              <w:rPr>
                <w:rFonts w:cstheme="minorHAnsi"/>
                <w:sz w:val="16"/>
                <w:szCs w:val="16"/>
              </w:rPr>
            </w:pPr>
          </w:p>
        </w:tc>
        <w:tc>
          <w:tcPr>
            <w:tcW w:w="1450" w:type="dxa"/>
            <w:shd w:val="clear" w:color="auto" w:fill="A5C9EB"/>
          </w:tcPr>
          <w:p w14:paraId="1C283B59" w14:textId="77777777" w:rsidR="00C65720" w:rsidRPr="00C65720" w:rsidRDefault="00C65720" w:rsidP="00136280">
            <w:pPr>
              <w:pStyle w:val="TableParagraph"/>
              <w:spacing w:before="27"/>
              <w:ind w:left="12" w:right="4"/>
              <w:rPr>
                <w:rFonts w:asciiTheme="minorHAnsi" w:hAnsiTheme="minorHAnsi" w:cstheme="minorHAnsi"/>
                <w:b/>
                <w:sz w:val="16"/>
                <w:szCs w:val="16"/>
              </w:rPr>
            </w:pPr>
            <w:r w:rsidRPr="00C65720">
              <w:rPr>
                <w:rFonts w:asciiTheme="minorHAnsi" w:hAnsiTheme="minorHAnsi" w:cstheme="minorHAnsi"/>
                <w:b/>
                <w:spacing w:val="-2"/>
                <w:sz w:val="16"/>
                <w:szCs w:val="16"/>
              </w:rPr>
              <w:t>SURVEILLANCE</w:t>
            </w:r>
          </w:p>
        </w:tc>
        <w:tc>
          <w:tcPr>
            <w:tcW w:w="1414" w:type="dxa"/>
            <w:shd w:val="clear" w:color="auto" w:fill="A5C9EB"/>
          </w:tcPr>
          <w:p w14:paraId="4E797A28" w14:textId="77777777" w:rsidR="00C65720" w:rsidRPr="00C65720" w:rsidRDefault="00C65720" w:rsidP="00136280">
            <w:pPr>
              <w:pStyle w:val="TableParagraph"/>
              <w:spacing w:before="27"/>
              <w:ind w:left="9" w:right="3"/>
              <w:rPr>
                <w:rFonts w:asciiTheme="minorHAnsi" w:hAnsiTheme="minorHAnsi" w:cstheme="minorHAnsi"/>
                <w:b/>
                <w:sz w:val="16"/>
                <w:szCs w:val="16"/>
              </w:rPr>
            </w:pPr>
            <w:r w:rsidRPr="00C65720">
              <w:rPr>
                <w:rFonts w:asciiTheme="minorHAnsi" w:hAnsiTheme="minorHAnsi" w:cstheme="minorHAnsi"/>
                <w:b/>
                <w:spacing w:val="-2"/>
                <w:sz w:val="16"/>
                <w:szCs w:val="16"/>
              </w:rPr>
              <w:t>OPERATIONAL</w:t>
            </w:r>
          </w:p>
        </w:tc>
        <w:tc>
          <w:tcPr>
            <w:tcW w:w="1284" w:type="dxa"/>
            <w:vMerge/>
            <w:tcBorders>
              <w:top w:val="nil"/>
            </w:tcBorders>
            <w:shd w:val="clear" w:color="auto" w:fill="A5C9EB"/>
          </w:tcPr>
          <w:p w14:paraId="25502C8C" w14:textId="77777777" w:rsidR="00C65720" w:rsidRPr="00C65720" w:rsidRDefault="00C65720" w:rsidP="00136280">
            <w:pPr>
              <w:rPr>
                <w:rFonts w:cstheme="minorHAnsi"/>
                <w:sz w:val="16"/>
                <w:szCs w:val="16"/>
              </w:rPr>
            </w:pPr>
          </w:p>
        </w:tc>
      </w:tr>
      <w:tr w:rsidR="00C65720" w:rsidRPr="00C65720" w14:paraId="1BC92014" w14:textId="77777777" w:rsidTr="00DA3C15">
        <w:trPr>
          <w:trHeight w:val="260"/>
        </w:trPr>
        <w:tc>
          <w:tcPr>
            <w:tcW w:w="4740" w:type="dxa"/>
            <w:shd w:val="clear" w:color="auto" w:fill="D9E2F3"/>
          </w:tcPr>
          <w:p w14:paraId="46E8F34B" w14:textId="77777777" w:rsidR="00C65720" w:rsidRPr="00C65720" w:rsidRDefault="00C65720" w:rsidP="00136280">
            <w:pPr>
              <w:pStyle w:val="TableParagraph"/>
              <w:spacing w:before="27"/>
              <w:ind w:left="97"/>
              <w:jc w:val="left"/>
              <w:rPr>
                <w:rFonts w:asciiTheme="minorHAnsi" w:hAnsiTheme="minorHAnsi" w:cstheme="minorHAnsi"/>
                <w:b/>
                <w:sz w:val="16"/>
                <w:szCs w:val="16"/>
              </w:rPr>
            </w:pPr>
            <w:r w:rsidRPr="00C65720">
              <w:rPr>
                <w:rFonts w:asciiTheme="minorHAnsi" w:hAnsiTheme="minorHAnsi" w:cstheme="minorHAnsi"/>
                <w:b/>
                <w:spacing w:val="-2"/>
                <w:sz w:val="16"/>
                <w:szCs w:val="16"/>
              </w:rPr>
              <w:t>CHEMICHAL</w:t>
            </w:r>
            <w:r w:rsidRPr="00C65720">
              <w:rPr>
                <w:rFonts w:asciiTheme="minorHAnsi" w:hAnsiTheme="minorHAnsi" w:cstheme="minorHAnsi"/>
                <w:spacing w:val="6"/>
                <w:sz w:val="16"/>
                <w:szCs w:val="16"/>
              </w:rPr>
              <w:t xml:space="preserve"> </w:t>
            </w:r>
            <w:r w:rsidRPr="00C65720">
              <w:rPr>
                <w:rFonts w:asciiTheme="minorHAnsi" w:hAnsiTheme="minorHAnsi" w:cstheme="minorHAnsi"/>
                <w:b/>
                <w:spacing w:val="-2"/>
                <w:sz w:val="16"/>
                <w:szCs w:val="16"/>
              </w:rPr>
              <w:t>STATUS</w:t>
            </w:r>
          </w:p>
        </w:tc>
        <w:tc>
          <w:tcPr>
            <w:tcW w:w="1450" w:type="dxa"/>
            <w:shd w:val="clear" w:color="auto" w:fill="D9E2F3"/>
          </w:tcPr>
          <w:p w14:paraId="71CA5D55"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414" w:type="dxa"/>
            <w:shd w:val="clear" w:color="auto" w:fill="D9E2F3"/>
          </w:tcPr>
          <w:p w14:paraId="7B6B84F4"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284" w:type="dxa"/>
            <w:shd w:val="clear" w:color="auto" w:fill="D9E2F3"/>
          </w:tcPr>
          <w:p w14:paraId="66D8873D"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721DC930" w14:textId="77777777" w:rsidTr="00DA3C15">
        <w:trPr>
          <w:trHeight w:val="255"/>
        </w:trPr>
        <w:tc>
          <w:tcPr>
            <w:tcW w:w="4740" w:type="dxa"/>
          </w:tcPr>
          <w:p w14:paraId="0DE06ED8" w14:textId="77777777" w:rsidR="00C65720" w:rsidRPr="00C65720" w:rsidRDefault="00C65720" w:rsidP="00136280">
            <w:pPr>
              <w:pStyle w:val="TableParagraph"/>
              <w:spacing w:before="24"/>
              <w:ind w:left="97"/>
              <w:jc w:val="left"/>
              <w:rPr>
                <w:rFonts w:asciiTheme="minorHAnsi" w:hAnsiTheme="minorHAnsi" w:cstheme="minorHAnsi"/>
                <w:sz w:val="16"/>
                <w:szCs w:val="16"/>
              </w:rPr>
            </w:pPr>
            <w:r w:rsidRPr="00C65720">
              <w:rPr>
                <w:rFonts w:asciiTheme="minorHAnsi" w:hAnsiTheme="minorHAnsi" w:cstheme="minorHAnsi"/>
                <w:spacing w:val="-2"/>
                <w:sz w:val="16"/>
                <w:szCs w:val="16"/>
              </w:rPr>
              <w:t>Nitrates</w:t>
            </w:r>
          </w:p>
        </w:tc>
        <w:tc>
          <w:tcPr>
            <w:tcW w:w="1450" w:type="dxa"/>
          </w:tcPr>
          <w:p w14:paraId="76090432" w14:textId="77777777" w:rsidR="00C65720" w:rsidRPr="00C65720" w:rsidRDefault="00C65720" w:rsidP="00136280">
            <w:pPr>
              <w:pStyle w:val="TableParagraph"/>
              <w:spacing w:before="24"/>
              <w:ind w:left="1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414" w:type="dxa"/>
          </w:tcPr>
          <w:p w14:paraId="52F2E70D" w14:textId="77777777" w:rsidR="00C65720" w:rsidRPr="00C65720" w:rsidRDefault="00C65720" w:rsidP="00136280">
            <w:pPr>
              <w:pStyle w:val="TableParagraph"/>
              <w:spacing w:before="24"/>
              <w:ind w:left="9"/>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284" w:type="dxa"/>
          </w:tcPr>
          <w:p w14:paraId="4B96C559" w14:textId="77777777" w:rsidR="00C65720" w:rsidRPr="00C65720" w:rsidRDefault="00C65720" w:rsidP="00136280">
            <w:pPr>
              <w:pStyle w:val="TableParagraph"/>
              <w:spacing w:before="3"/>
              <w:ind w:left="8"/>
              <w:rPr>
                <w:rFonts w:asciiTheme="minorHAnsi" w:hAnsiTheme="minorHAnsi" w:cstheme="minorHAnsi"/>
                <w:sz w:val="16"/>
                <w:szCs w:val="16"/>
              </w:rPr>
            </w:pPr>
            <w:r w:rsidRPr="00C65720">
              <w:rPr>
                <w:rFonts w:asciiTheme="minorHAnsi" w:hAnsiTheme="minorHAnsi" w:cstheme="minorHAnsi"/>
                <w:spacing w:val="-10"/>
                <w:sz w:val="16"/>
                <w:szCs w:val="16"/>
              </w:rPr>
              <w:t>+</w:t>
            </w:r>
          </w:p>
        </w:tc>
      </w:tr>
      <w:tr w:rsidR="00C65720" w:rsidRPr="00C65720" w14:paraId="1D45C562" w14:textId="77777777" w:rsidTr="00DA3C15">
        <w:trPr>
          <w:trHeight w:val="632"/>
        </w:trPr>
        <w:tc>
          <w:tcPr>
            <w:tcW w:w="4740" w:type="dxa"/>
          </w:tcPr>
          <w:p w14:paraId="7BBC18D1" w14:textId="77777777" w:rsidR="00C65720" w:rsidRPr="00C65720" w:rsidRDefault="00C65720" w:rsidP="00136280">
            <w:pPr>
              <w:pStyle w:val="TableParagraph"/>
              <w:spacing w:line="259" w:lineRule="auto"/>
              <w:ind w:left="97"/>
              <w:jc w:val="left"/>
              <w:rPr>
                <w:rFonts w:asciiTheme="minorHAnsi" w:hAnsiTheme="minorHAnsi" w:cstheme="minorHAnsi"/>
                <w:sz w:val="16"/>
                <w:szCs w:val="16"/>
              </w:rPr>
            </w:pPr>
            <w:r w:rsidRPr="00C65720">
              <w:rPr>
                <w:rFonts w:asciiTheme="minorHAnsi" w:hAnsiTheme="minorHAnsi" w:cstheme="minorHAnsi"/>
                <w:sz w:val="16"/>
                <w:szCs w:val="16"/>
              </w:rPr>
              <w:lastRenderedPageBreak/>
              <w:t>Pesticide active substances (plant protection products and</w:t>
            </w:r>
            <w:r w:rsidRPr="00C65720">
              <w:rPr>
                <w:rFonts w:asciiTheme="minorHAnsi" w:hAnsiTheme="minorHAnsi" w:cstheme="minorHAnsi"/>
                <w:spacing w:val="40"/>
                <w:sz w:val="16"/>
                <w:szCs w:val="16"/>
              </w:rPr>
              <w:t xml:space="preserve"> </w:t>
            </w:r>
            <w:r w:rsidRPr="00C65720">
              <w:rPr>
                <w:rFonts w:asciiTheme="minorHAnsi" w:hAnsiTheme="minorHAnsi" w:cstheme="minorHAnsi"/>
                <w:sz w:val="16"/>
                <w:szCs w:val="16"/>
              </w:rPr>
              <w:t>biocides,</w:t>
            </w:r>
            <w:r w:rsidRPr="00C65720">
              <w:rPr>
                <w:rFonts w:asciiTheme="minorHAnsi" w:hAnsiTheme="minorHAnsi" w:cstheme="minorHAnsi"/>
                <w:spacing w:val="-9"/>
                <w:sz w:val="16"/>
                <w:szCs w:val="16"/>
              </w:rPr>
              <w:t xml:space="preserve"> </w:t>
            </w:r>
            <w:r w:rsidRPr="00C65720">
              <w:rPr>
                <w:rFonts w:asciiTheme="minorHAnsi" w:hAnsiTheme="minorHAnsi" w:cstheme="minorHAnsi"/>
                <w:sz w:val="16"/>
                <w:szCs w:val="16"/>
              </w:rPr>
              <w:t>in</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accordance</w:t>
            </w:r>
            <w:r w:rsidRPr="00C65720">
              <w:rPr>
                <w:rFonts w:asciiTheme="minorHAnsi" w:hAnsiTheme="minorHAnsi" w:cstheme="minorHAnsi"/>
                <w:spacing w:val="-8"/>
                <w:sz w:val="16"/>
                <w:szCs w:val="16"/>
              </w:rPr>
              <w:t xml:space="preserve"> </w:t>
            </w:r>
            <w:r w:rsidRPr="00C65720">
              <w:rPr>
                <w:rFonts w:asciiTheme="minorHAnsi" w:hAnsiTheme="minorHAnsi" w:cstheme="minorHAnsi"/>
                <w:sz w:val="16"/>
                <w:szCs w:val="16"/>
              </w:rPr>
              <w:t>with</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regulations</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on</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permitted</w:t>
            </w:r>
            <w:r w:rsidRPr="00C65720">
              <w:rPr>
                <w:rFonts w:asciiTheme="minorHAnsi" w:hAnsiTheme="minorHAnsi" w:cstheme="minorHAnsi"/>
                <w:spacing w:val="-8"/>
                <w:sz w:val="16"/>
                <w:szCs w:val="16"/>
              </w:rPr>
              <w:t xml:space="preserve"> </w:t>
            </w:r>
            <w:r w:rsidRPr="00C65720">
              <w:rPr>
                <w:rFonts w:asciiTheme="minorHAnsi" w:hAnsiTheme="minorHAnsi" w:cstheme="minorHAnsi"/>
                <w:sz w:val="16"/>
                <w:szCs w:val="16"/>
              </w:rPr>
              <w:t>active</w:t>
            </w:r>
          </w:p>
          <w:p w14:paraId="7A10F6CB" w14:textId="77777777" w:rsidR="00C65720" w:rsidRPr="00C65720" w:rsidRDefault="00C65720" w:rsidP="00136280">
            <w:pPr>
              <w:pStyle w:val="TableParagraph"/>
              <w:spacing w:before="1" w:line="189" w:lineRule="exact"/>
              <w:ind w:left="97"/>
              <w:jc w:val="left"/>
              <w:rPr>
                <w:rFonts w:asciiTheme="minorHAnsi" w:hAnsiTheme="minorHAnsi" w:cstheme="minorHAnsi"/>
                <w:sz w:val="16"/>
                <w:szCs w:val="16"/>
              </w:rPr>
            </w:pPr>
            <w:r w:rsidRPr="00C65720">
              <w:rPr>
                <w:rFonts w:asciiTheme="minorHAnsi" w:hAnsiTheme="minorHAnsi" w:cstheme="minorHAnsi"/>
                <w:spacing w:val="-2"/>
                <w:sz w:val="16"/>
                <w:szCs w:val="16"/>
              </w:rPr>
              <w:t>substances)</w:t>
            </w:r>
            <w:r w:rsidRPr="00C65720">
              <w:rPr>
                <w:rFonts w:asciiTheme="minorHAnsi" w:hAnsiTheme="minorHAnsi" w:cstheme="minorHAnsi"/>
                <w:spacing w:val="6"/>
                <w:sz w:val="16"/>
                <w:szCs w:val="16"/>
              </w:rPr>
              <w:t xml:space="preserve"> </w:t>
            </w:r>
            <w:r w:rsidRPr="00C65720">
              <w:rPr>
                <w:rFonts w:asciiTheme="minorHAnsi" w:hAnsiTheme="minorHAnsi" w:cstheme="minorHAnsi"/>
                <w:spacing w:val="-10"/>
                <w:sz w:val="16"/>
                <w:szCs w:val="16"/>
              </w:rPr>
              <w:t>*</w:t>
            </w:r>
          </w:p>
        </w:tc>
        <w:tc>
          <w:tcPr>
            <w:tcW w:w="1450" w:type="dxa"/>
          </w:tcPr>
          <w:p w14:paraId="77D8C719" w14:textId="77777777" w:rsidR="00C65720" w:rsidRPr="00C65720" w:rsidRDefault="00C65720" w:rsidP="00136280">
            <w:pPr>
              <w:pStyle w:val="TableParagraph"/>
              <w:spacing w:before="16"/>
              <w:ind w:left="0"/>
              <w:jc w:val="left"/>
              <w:rPr>
                <w:rFonts w:asciiTheme="minorHAnsi" w:hAnsiTheme="minorHAnsi" w:cstheme="minorHAnsi"/>
                <w:i/>
                <w:sz w:val="16"/>
                <w:szCs w:val="16"/>
              </w:rPr>
            </w:pPr>
          </w:p>
          <w:p w14:paraId="525B05F0" w14:textId="77777777" w:rsidR="00C65720" w:rsidRPr="00C65720" w:rsidRDefault="00C65720" w:rsidP="00136280">
            <w:pPr>
              <w:pStyle w:val="TableParagraph"/>
              <w:ind w:left="12" w:right="5"/>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414" w:type="dxa"/>
          </w:tcPr>
          <w:p w14:paraId="08FFABC5" w14:textId="77777777" w:rsidR="00C65720" w:rsidRPr="00C65720" w:rsidRDefault="00C65720" w:rsidP="00136280">
            <w:pPr>
              <w:pStyle w:val="TableParagraph"/>
              <w:spacing w:before="16"/>
              <w:ind w:left="0"/>
              <w:jc w:val="left"/>
              <w:rPr>
                <w:rFonts w:asciiTheme="minorHAnsi" w:hAnsiTheme="minorHAnsi" w:cstheme="minorHAnsi"/>
                <w:i/>
                <w:sz w:val="16"/>
                <w:szCs w:val="16"/>
              </w:rPr>
            </w:pPr>
          </w:p>
          <w:p w14:paraId="536D6767" w14:textId="77777777" w:rsidR="00C65720" w:rsidRPr="00C65720" w:rsidRDefault="00C65720" w:rsidP="00136280">
            <w:pPr>
              <w:pStyle w:val="TableParagraph"/>
              <w:ind w:left="9"/>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284" w:type="dxa"/>
          </w:tcPr>
          <w:p w14:paraId="2724B528" w14:textId="77777777" w:rsidR="00C65720" w:rsidRPr="00C65720" w:rsidRDefault="00C65720" w:rsidP="00136280">
            <w:pPr>
              <w:pStyle w:val="TableParagraph"/>
              <w:spacing w:before="16"/>
              <w:ind w:left="0"/>
              <w:jc w:val="left"/>
              <w:rPr>
                <w:rFonts w:asciiTheme="minorHAnsi" w:hAnsiTheme="minorHAnsi" w:cstheme="minorHAnsi"/>
                <w:i/>
                <w:sz w:val="16"/>
                <w:szCs w:val="16"/>
              </w:rPr>
            </w:pPr>
          </w:p>
          <w:p w14:paraId="46469819" w14:textId="77777777" w:rsidR="00C65720" w:rsidRPr="00C65720" w:rsidRDefault="00C65720" w:rsidP="00136280">
            <w:pPr>
              <w:pStyle w:val="TableParagraph"/>
              <w:ind w:left="8"/>
              <w:rPr>
                <w:rFonts w:asciiTheme="minorHAnsi" w:hAnsiTheme="minorHAnsi" w:cstheme="minorHAnsi"/>
                <w:b/>
                <w:sz w:val="16"/>
                <w:szCs w:val="16"/>
              </w:rPr>
            </w:pPr>
            <w:r w:rsidRPr="00C65720">
              <w:rPr>
                <w:rFonts w:asciiTheme="minorHAnsi" w:hAnsiTheme="minorHAnsi" w:cstheme="minorHAnsi"/>
                <w:b/>
                <w:spacing w:val="-10"/>
                <w:sz w:val="16"/>
                <w:szCs w:val="16"/>
              </w:rPr>
              <w:t>+</w:t>
            </w:r>
          </w:p>
        </w:tc>
      </w:tr>
      <w:tr w:rsidR="00C65720" w:rsidRPr="00C65720" w14:paraId="1B4F86E7" w14:textId="77777777" w:rsidTr="00DA3C15">
        <w:trPr>
          <w:trHeight w:val="284"/>
        </w:trPr>
        <w:tc>
          <w:tcPr>
            <w:tcW w:w="4740" w:type="dxa"/>
            <w:shd w:val="clear" w:color="auto" w:fill="D9E2F3"/>
          </w:tcPr>
          <w:p w14:paraId="18B21353" w14:textId="77777777" w:rsidR="00C65720" w:rsidRPr="00C65720" w:rsidRDefault="00C65720" w:rsidP="00136280">
            <w:pPr>
              <w:pStyle w:val="TableParagraph"/>
              <w:spacing w:before="36"/>
              <w:ind w:left="97"/>
              <w:jc w:val="left"/>
              <w:rPr>
                <w:rFonts w:asciiTheme="minorHAnsi" w:hAnsiTheme="minorHAnsi" w:cstheme="minorHAnsi"/>
                <w:b/>
                <w:sz w:val="16"/>
                <w:szCs w:val="16"/>
              </w:rPr>
            </w:pPr>
            <w:r w:rsidRPr="00C65720">
              <w:rPr>
                <w:rFonts w:asciiTheme="minorHAnsi" w:hAnsiTheme="minorHAnsi" w:cstheme="minorHAnsi"/>
                <w:b/>
                <w:spacing w:val="-2"/>
                <w:sz w:val="16"/>
                <w:szCs w:val="16"/>
              </w:rPr>
              <w:t>SPECIFIC</w:t>
            </w:r>
            <w:r w:rsidRPr="00C65720">
              <w:rPr>
                <w:rFonts w:asciiTheme="minorHAnsi" w:hAnsiTheme="minorHAnsi" w:cstheme="minorHAnsi"/>
                <w:spacing w:val="5"/>
                <w:sz w:val="16"/>
                <w:szCs w:val="16"/>
              </w:rPr>
              <w:t xml:space="preserve"> </w:t>
            </w:r>
            <w:r w:rsidRPr="00C65720">
              <w:rPr>
                <w:rFonts w:asciiTheme="minorHAnsi" w:hAnsiTheme="minorHAnsi" w:cstheme="minorHAnsi"/>
                <w:b/>
                <w:spacing w:val="-2"/>
                <w:sz w:val="16"/>
                <w:szCs w:val="16"/>
              </w:rPr>
              <w:t>POLLUTANTS</w:t>
            </w:r>
          </w:p>
        </w:tc>
        <w:tc>
          <w:tcPr>
            <w:tcW w:w="1450" w:type="dxa"/>
            <w:shd w:val="clear" w:color="auto" w:fill="D9E2F3"/>
          </w:tcPr>
          <w:p w14:paraId="029C1F03"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414" w:type="dxa"/>
            <w:shd w:val="clear" w:color="auto" w:fill="D9E2F3"/>
          </w:tcPr>
          <w:p w14:paraId="3A5E70FC"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284" w:type="dxa"/>
            <w:shd w:val="clear" w:color="auto" w:fill="D9E2F3"/>
          </w:tcPr>
          <w:p w14:paraId="5421448C"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2174B0F8" w14:textId="77777777" w:rsidTr="00DA3C15">
        <w:trPr>
          <w:trHeight w:val="253"/>
        </w:trPr>
        <w:tc>
          <w:tcPr>
            <w:tcW w:w="4740" w:type="dxa"/>
          </w:tcPr>
          <w:p w14:paraId="54F70FCD" w14:textId="77777777" w:rsidR="00C65720" w:rsidRPr="00C65720" w:rsidRDefault="00C65720" w:rsidP="00136280">
            <w:pPr>
              <w:pStyle w:val="TableParagraph"/>
              <w:spacing w:before="22"/>
              <w:ind w:left="97"/>
              <w:jc w:val="left"/>
              <w:rPr>
                <w:rFonts w:asciiTheme="minorHAnsi" w:hAnsiTheme="minorHAnsi" w:cstheme="minorHAnsi"/>
                <w:sz w:val="16"/>
                <w:szCs w:val="16"/>
              </w:rPr>
            </w:pPr>
            <w:r w:rsidRPr="00C65720">
              <w:rPr>
                <w:rFonts w:asciiTheme="minorHAnsi" w:hAnsiTheme="minorHAnsi" w:cstheme="minorHAnsi"/>
                <w:sz w:val="16"/>
                <w:szCs w:val="16"/>
              </w:rPr>
              <w:t>Arsenic</w:t>
            </w:r>
            <w:r w:rsidRPr="00C65720">
              <w:rPr>
                <w:rFonts w:asciiTheme="minorHAnsi" w:hAnsiTheme="minorHAnsi" w:cstheme="minorHAnsi"/>
                <w:spacing w:val="-8"/>
                <w:sz w:val="16"/>
                <w:szCs w:val="16"/>
              </w:rPr>
              <w:t xml:space="preserve"> </w:t>
            </w:r>
            <w:r w:rsidRPr="00C65720">
              <w:rPr>
                <w:rFonts w:asciiTheme="minorHAnsi" w:hAnsiTheme="minorHAnsi" w:cstheme="minorHAnsi"/>
                <w:sz w:val="16"/>
                <w:szCs w:val="16"/>
              </w:rPr>
              <w:t>(µg/l</w:t>
            </w:r>
            <w:r w:rsidRPr="00C65720">
              <w:rPr>
                <w:rFonts w:asciiTheme="minorHAnsi" w:hAnsiTheme="minorHAnsi" w:cstheme="minorHAnsi"/>
                <w:spacing w:val="-7"/>
                <w:sz w:val="16"/>
                <w:szCs w:val="16"/>
              </w:rPr>
              <w:t xml:space="preserve"> </w:t>
            </w:r>
            <w:proofErr w:type="gramStart"/>
            <w:r w:rsidRPr="00C65720">
              <w:rPr>
                <w:rFonts w:asciiTheme="minorHAnsi" w:hAnsiTheme="minorHAnsi" w:cstheme="minorHAnsi"/>
                <w:spacing w:val="-5"/>
                <w:sz w:val="16"/>
                <w:szCs w:val="16"/>
              </w:rPr>
              <w:t>As</w:t>
            </w:r>
            <w:proofErr w:type="gramEnd"/>
            <w:r w:rsidRPr="00C65720">
              <w:rPr>
                <w:rFonts w:asciiTheme="minorHAnsi" w:hAnsiTheme="minorHAnsi" w:cstheme="minorHAnsi"/>
                <w:spacing w:val="-5"/>
                <w:sz w:val="16"/>
                <w:szCs w:val="16"/>
              </w:rPr>
              <w:t>)</w:t>
            </w:r>
          </w:p>
        </w:tc>
        <w:tc>
          <w:tcPr>
            <w:tcW w:w="1450" w:type="dxa"/>
          </w:tcPr>
          <w:p w14:paraId="25261B0B" w14:textId="77777777" w:rsidR="00C65720" w:rsidRPr="00C65720" w:rsidRDefault="00C65720" w:rsidP="00136280">
            <w:pPr>
              <w:pStyle w:val="TableParagraph"/>
              <w:spacing w:before="22"/>
              <w:ind w:left="12"/>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414" w:type="dxa"/>
          </w:tcPr>
          <w:p w14:paraId="41E83A3B" w14:textId="77777777" w:rsidR="00C65720" w:rsidRPr="00C65720" w:rsidRDefault="00C65720" w:rsidP="00136280">
            <w:pPr>
              <w:pStyle w:val="TableParagraph"/>
              <w:spacing w:before="22"/>
              <w:ind w:left="9"/>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284" w:type="dxa"/>
          </w:tcPr>
          <w:p w14:paraId="050EBCFC" w14:textId="77777777" w:rsidR="00C65720" w:rsidRPr="00C65720" w:rsidRDefault="00C65720" w:rsidP="00136280">
            <w:pPr>
              <w:pStyle w:val="TableParagraph"/>
              <w:spacing w:before="22"/>
              <w:ind w:left="8"/>
              <w:rPr>
                <w:rFonts w:asciiTheme="minorHAnsi" w:hAnsiTheme="minorHAnsi" w:cstheme="minorHAnsi"/>
                <w:sz w:val="16"/>
                <w:szCs w:val="16"/>
              </w:rPr>
            </w:pPr>
            <w:r w:rsidRPr="00C65720">
              <w:rPr>
                <w:rFonts w:asciiTheme="minorHAnsi" w:hAnsiTheme="minorHAnsi" w:cstheme="minorHAnsi"/>
                <w:spacing w:val="-10"/>
                <w:sz w:val="16"/>
                <w:szCs w:val="16"/>
              </w:rPr>
              <w:t>+</w:t>
            </w:r>
          </w:p>
        </w:tc>
      </w:tr>
      <w:tr w:rsidR="00C65720" w:rsidRPr="00C65720" w14:paraId="017BED1C" w14:textId="77777777" w:rsidTr="00DA3C15">
        <w:trPr>
          <w:trHeight w:val="284"/>
        </w:trPr>
        <w:tc>
          <w:tcPr>
            <w:tcW w:w="4740" w:type="dxa"/>
          </w:tcPr>
          <w:p w14:paraId="14B5CE06" w14:textId="77777777" w:rsidR="00C65720" w:rsidRPr="00C65720" w:rsidRDefault="00C65720" w:rsidP="00136280">
            <w:pPr>
              <w:pStyle w:val="TableParagraph"/>
              <w:spacing w:before="39"/>
              <w:ind w:left="97"/>
              <w:jc w:val="left"/>
              <w:rPr>
                <w:rFonts w:asciiTheme="minorHAnsi" w:hAnsiTheme="minorHAnsi" w:cstheme="minorHAnsi"/>
                <w:sz w:val="16"/>
                <w:szCs w:val="16"/>
              </w:rPr>
            </w:pPr>
            <w:r w:rsidRPr="00C65720">
              <w:rPr>
                <w:rFonts w:asciiTheme="minorHAnsi" w:hAnsiTheme="minorHAnsi" w:cstheme="minorHAnsi"/>
                <w:sz w:val="16"/>
                <w:szCs w:val="16"/>
              </w:rPr>
              <w:t>Cadmium</w:t>
            </w:r>
            <w:r w:rsidRPr="00C65720">
              <w:rPr>
                <w:rFonts w:asciiTheme="minorHAnsi" w:hAnsiTheme="minorHAnsi" w:cstheme="minorHAnsi"/>
                <w:spacing w:val="-8"/>
                <w:sz w:val="16"/>
                <w:szCs w:val="16"/>
              </w:rPr>
              <w:t xml:space="preserve"> </w:t>
            </w:r>
            <w:r w:rsidRPr="00C65720">
              <w:rPr>
                <w:rFonts w:asciiTheme="minorHAnsi" w:hAnsiTheme="minorHAnsi" w:cstheme="minorHAnsi"/>
                <w:sz w:val="16"/>
                <w:szCs w:val="16"/>
              </w:rPr>
              <w:t>(µg/l</w:t>
            </w:r>
            <w:r w:rsidRPr="00C65720">
              <w:rPr>
                <w:rFonts w:asciiTheme="minorHAnsi" w:hAnsiTheme="minorHAnsi" w:cstheme="minorHAnsi"/>
                <w:spacing w:val="-8"/>
                <w:sz w:val="16"/>
                <w:szCs w:val="16"/>
              </w:rPr>
              <w:t xml:space="preserve"> </w:t>
            </w:r>
            <w:r w:rsidRPr="00C65720">
              <w:rPr>
                <w:rFonts w:asciiTheme="minorHAnsi" w:hAnsiTheme="minorHAnsi" w:cstheme="minorHAnsi"/>
                <w:spacing w:val="-5"/>
                <w:sz w:val="16"/>
                <w:szCs w:val="16"/>
              </w:rPr>
              <w:t>Cd)</w:t>
            </w:r>
          </w:p>
        </w:tc>
        <w:tc>
          <w:tcPr>
            <w:tcW w:w="1450" w:type="dxa"/>
          </w:tcPr>
          <w:p w14:paraId="1DAD6AF0" w14:textId="77777777" w:rsidR="00C65720" w:rsidRPr="00C65720" w:rsidRDefault="00C65720" w:rsidP="00136280">
            <w:pPr>
              <w:pStyle w:val="TableParagraph"/>
              <w:spacing w:before="39"/>
              <w:ind w:left="12"/>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414" w:type="dxa"/>
          </w:tcPr>
          <w:p w14:paraId="20EC39DA" w14:textId="77777777" w:rsidR="00C65720" w:rsidRPr="00C65720" w:rsidRDefault="00C65720" w:rsidP="00136280">
            <w:pPr>
              <w:pStyle w:val="TableParagraph"/>
              <w:spacing w:before="39"/>
              <w:ind w:left="9"/>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284" w:type="dxa"/>
          </w:tcPr>
          <w:p w14:paraId="217430AC" w14:textId="77777777" w:rsidR="00C65720" w:rsidRPr="00C65720" w:rsidRDefault="00C65720" w:rsidP="00136280">
            <w:pPr>
              <w:pStyle w:val="TableParagraph"/>
              <w:spacing w:before="39"/>
              <w:ind w:left="8"/>
              <w:rPr>
                <w:rFonts w:asciiTheme="minorHAnsi" w:hAnsiTheme="minorHAnsi" w:cstheme="minorHAnsi"/>
                <w:sz w:val="16"/>
                <w:szCs w:val="16"/>
              </w:rPr>
            </w:pPr>
            <w:r w:rsidRPr="00C65720">
              <w:rPr>
                <w:rFonts w:asciiTheme="minorHAnsi" w:hAnsiTheme="minorHAnsi" w:cstheme="minorHAnsi"/>
                <w:spacing w:val="-10"/>
                <w:sz w:val="16"/>
                <w:szCs w:val="16"/>
              </w:rPr>
              <w:t>+</w:t>
            </w:r>
          </w:p>
        </w:tc>
      </w:tr>
      <w:tr w:rsidR="00C65720" w:rsidRPr="00C65720" w14:paraId="38191DF8" w14:textId="77777777" w:rsidTr="00DA3C15">
        <w:trPr>
          <w:trHeight w:val="284"/>
        </w:trPr>
        <w:tc>
          <w:tcPr>
            <w:tcW w:w="4740" w:type="dxa"/>
          </w:tcPr>
          <w:p w14:paraId="0A440E9C" w14:textId="77777777" w:rsidR="00C65720" w:rsidRPr="00C65720" w:rsidRDefault="00C65720" w:rsidP="00136280">
            <w:pPr>
              <w:pStyle w:val="TableParagraph"/>
              <w:spacing w:before="36"/>
              <w:ind w:left="97"/>
              <w:jc w:val="left"/>
              <w:rPr>
                <w:rFonts w:asciiTheme="minorHAnsi" w:hAnsiTheme="minorHAnsi" w:cstheme="minorHAnsi"/>
                <w:sz w:val="16"/>
                <w:szCs w:val="16"/>
              </w:rPr>
            </w:pPr>
            <w:r w:rsidRPr="00C65720">
              <w:rPr>
                <w:rFonts w:asciiTheme="minorHAnsi" w:hAnsiTheme="minorHAnsi" w:cstheme="minorHAnsi"/>
                <w:sz w:val="16"/>
                <w:szCs w:val="16"/>
              </w:rPr>
              <w:t>Lead</w:t>
            </w:r>
            <w:r w:rsidRPr="00C65720">
              <w:rPr>
                <w:rFonts w:asciiTheme="minorHAnsi" w:hAnsiTheme="minorHAnsi" w:cstheme="minorHAnsi"/>
                <w:spacing w:val="-7"/>
                <w:sz w:val="16"/>
                <w:szCs w:val="16"/>
              </w:rPr>
              <w:t xml:space="preserve"> </w:t>
            </w:r>
            <w:r w:rsidRPr="00C65720">
              <w:rPr>
                <w:rFonts w:asciiTheme="minorHAnsi" w:hAnsiTheme="minorHAnsi" w:cstheme="minorHAnsi"/>
                <w:sz w:val="16"/>
                <w:szCs w:val="16"/>
              </w:rPr>
              <w:t>(µg/l</w:t>
            </w:r>
            <w:r w:rsidRPr="00C65720">
              <w:rPr>
                <w:rFonts w:asciiTheme="minorHAnsi" w:hAnsiTheme="minorHAnsi" w:cstheme="minorHAnsi"/>
                <w:spacing w:val="-6"/>
                <w:sz w:val="16"/>
                <w:szCs w:val="16"/>
              </w:rPr>
              <w:t xml:space="preserve"> </w:t>
            </w:r>
            <w:r w:rsidRPr="00C65720">
              <w:rPr>
                <w:rFonts w:asciiTheme="minorHAnsi" w:hAnsiTheme="minorHAnsi" w:cstheme="minorHAnsi"/>
                <w:spacing w:val="-5"/>
                <w:sz w:val="16"/>
                <w:szCs w:val="16"/>
              </w:rPr>
              <w:t>Pb)</w:t>
            </w:r>
          </w:p>
        </w:tc>
        <w:tc>
          <w:tcPr>
            <w:tcW w:w="1450" w:type="dxa"/>
          </w:tcPr>
          <w:p w14:paraId="6FF13C6E" w14:textId="77777777" w:rsidR="00C65720" w:rsidRPr="00C65720" w:rsidRDefault="00C65720" w:rsidP="00136280">
            <w:pPr>
              <w:pStyle w:val="TableParagraph"/>
              <w:spacing w:before="36"/>
              <w:ind w:left="12"/>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414" w:type="dxa"/>
          </w:tcPr>
          <w:p w14:paraId="14A8316D" w14:textId="77777777" w:rsidR="00C65720" w:rsidRPr="00C65720" w:rsidRDefault="00C65720" w:rsidP="00136280">
            <w:pPr>
              <w:pStyle w:val="TableParagraph"/>
              <w:spacing w:before="36"/>
              <w:ind w:left="9"/>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284" w:type="dxa"/>
          </w:tcPr>
          <w:p w14:paraId="137CDC38" w14:textId="77777777" w:rsidR="00C65720" w:rsidRPr="00C65720" w:rsidRDefault="00C65720" w:rsidP="00136280">
            <w:pPr>
              <w:pStyle w:val="TableParagraph"/>
              <w:spacing w:before="36"/>
              <w:ind w:left="8"/>
              <w:rPr>
                <w:rFonts w:asciiTheme="minorHAnsi" w:hAnsiTheme="minorHAnsi" w:cstheme="minorHAnsi"/>
                <w:sz w:val="16"/>
                <w:szCs w:val="16"/>
              </w:rPr>
            </w:pPr>
            <w:r w:rsidRPr="00C65720">
              <w:rPr>
                <w:rFonts w:asciiTheme="minorHAnsi" w:hAnsiTheme="minorHAnsi" w:cstheme="minorHAnsi"/>
                <w:spacing w:val="-10"/>
                <w:sz w:val="16"/>
                <w:szCs w:val="16"/>
              </w:rPr>
              <w:t>+</w:t>
            </w:r>
          </w:p>
        </w:tc>
      </w:tr>
      <w:tr w:rsidR="00C65720" w:rsidRPr="00C65720" w14:paraId="4977ECC4" w14:textId="77777777" w:rsidTr="00DA3C15">
        <w:trPr>
          <w:trHeight w:val="281"/>
        </w:trPr>
        <w:tc>
          <w:tcPr>
            <w:tcW w:w="4740" w:type="dxa"/>
          </w:tcPr>
          <w:p w14:paraId="369F93D4" w14:textId="77777777" w:rsidR="00C65720" w:rsidRPr="00C65720" w:rsidRDefault="00C65720" w:rsidP="00136280">
            <w:pPr>
              <w:pStyle w:val="TableParagraph"/>
              <w:spacing w:before="36"/>
              <w:ind w:left="97"/>
              <w:jc w:val="left"/>
              <w:rPr>
                <w:rFonts w:asciiTheme="minorHAnsi" w:hAnsiTheme="minorHAnsi" w:cstheme="minorHAnsi"/>
                <w:sz w:val="16"/>
                <w:szCs w:val="16"/>
              </w:rPr>
            </w:pPr>
            <w:r w:rsidRPr="00C65720">
              <w:rPr>
                <w:rFonts w:asciiTheme="minorHAnsi" w:hAnsiTheme="minorHAnsi" w:cstheme="minorHAnsi"/>
                <w:sz w:val="16"/>
                <w:szCs w:val="16"/>
              </w:rPr>
              <w:t>Mercury</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(µg/l</w:t>
            </w:r>
            <w:r w:rsidRPr="00C65720">
              <w:rPr>
                <w:rFonts w:asciiTheme="minorHAnsi" w:hAnsiTheme="minorHAnsi" w:cstheme="minorHAnsi"/>
                <w:spacing w:val="-8"/>
                <w:sz w:val="16"/>
                <w:szCs w:val="16"/>
              </w:rPr>
              <w:t xml:space="preserve"> </w:t>
            </w:r>
            <w:r w:rsidRPr="00C65720">
              <w:rPr>
                <w:rFonts w:asciiTheme="minorHAnsi" w:hAnsiTheme="minorHAnsi" w:cstheme="minorHAnsi"/>
                <w:spacing w:val="-5"/>
                <w:sz w:val="16"/>
                <w:szCs w:val="16"/>
              </w:rPr>
              <w:t>Hg)</w:t>
            </w:r>
          </w:p>
        </w:tc>
        <w:tc>
          <w:tcPr>
            <w:tcW w:w="1450" w:type="dxa"/>
          </w:tcPr>
          <w:p w14:paraId="22F6F29A" w14:textId="77777777" w:rsidR="00C65720" w:rsidRPr="00C65720" w:rsidRDefault="00C65720" w:rsidP="00136280">
            <w:pPr>
              <w:pStyle w:val="TableParagraph"/>
              <w:spacing w:before="36"/>
              <w:ind w:left="12"/>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414" w:type="dxa"/>
          </w:tcPr>
          <w:p w14:paraId="76C5B577" w14:textId="77777777" w:rsidR="00C65720" w:rsidRPr="00C65720" w:rsidRDefault="00C65720" w:rsidP="00136280">
            <w:pPr>
              <w:pStyle w:val="TableParagraph"/>
              <w:spacing w:before="36"/>
              <w:ind w:left="9"/>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284" w:type="dxa"/>
          </w:tcPr>
          <w:p w14:paraId="19CF86ED" w14:textId="77777777" w:rsidR="00C65720" w:rsidRPr="00C65720" w:rsidRDefault="00C65720" w:rsidP="00136280">
            <w:pPr>
              <w:pStyle w:val="TableParagraph"/>
              <w:spacing w:before="36"/>
              <w:ind w:left="8"/>
              <w:rPr>
                <w:rFonts w:asciiTheme="minorHAnsi" w:hAnsiTheme="minorHAnsi" w:cstheme="minorHAnsi"/>
                <w:sz w:val="16"/>
                <w:szCs w:val="16"/>
              </w:rPr>
            </w:pPr>
            <w:r w:rsidRPr="00C65720">
              <w:rPr>
                <w:rFonts w:asciiTheme="minorHAnsi" w:hAnsiTheme="minorHAnsi" w:cstheme="minorHAnsi"/>
                <w:spacing w:val="-10"/>
                <w:sz w:val="16"/>
                <w:szCs w:val="16"/>
              </w:rPr>
              <w:t>+</w:t>
            </w:r>
          </w:p>
        </w:tc>
      </w:tr>
      <w:tr w:rsidR="00C65720" w:rsidRPr="00C65720" w14:paraId="7136891C" w14:textId="77777777" w:rsidTr="00DA3C15">
        <w:trPr>
          <w:trHeight w:val="284"/>
        </w:trPr>
        <w:tc>
          <w:tcPr>
            <w:tcW w:w="4740" w:type="dxa"/>
          </w:tcPr>
          <w:p w14:paraId="18C2FDA9" w14:textId="77777777" w:rsidR="00C65720" w:rsidRPr="00C65720" w:rsidRDefault="00C65720" w:rsidP="00136280">
            <w:pPr>
              <w:pStyle w:val="TableParagraph"/>
              <w:spacing w:before="39"/>
              <w:ind w:left="128"/>
              <w:jc w:val="left"/>
              <w:rPr>
                <w:rFonts w:asciiTheme="minorHAnsi" w:hAnsiTheme="minorHAnsi" w:cstheme="minorHAnsi"/>
                <w:sz w:val="16"/>
                <w:szCs w:val="16"/>
              </w:rPr>
            </w:pPr>
            <w:r w:rsidRPr="00C65720">
              <w:rPr>
                <w:rFonts w:asciiTheme="minorHAnsi" w:hAnsiTheme="minorHAnsi" w:cstheme="minorHAnsi"/>
                <w:sz w:val="16"/>
                <w:szCs w:val="16"/>
              </w:rPr>
              <w:t>Ammonium</w:t>
            </w:r>
            <w:r w:rsidRPr="00C65720">
              <w:rPr>
                <w:rFonts w:asciiTheme="minorHAnsi" w:hAnsiTheme="minorHAnsi" w:cstheme="minorHAnsi"/>
                <w:spacing w:val="-9"/>
                <w:sz w:val="16"/>
                <w:szCs w:val="16"/>
              </w:rPr>
              <w:t xml:space="preserve"> </w:t>
            </w:r>
            <w:r w:rsidRPr="00C65720">
              <w:rPr>
                <w:rFonts w:asciiTheme="minorHAnsi" w:hAnsiTheme="minorHAnsi" w:cstheme="minorHAnsi"/>
                <w:sz w:val="16"/>
                <w:szCs w:val="16"/>
              </w:rPr>
              <w:t>(mg/l</w:t>
            </w:r>
            <w:r w:rsidRPr="00C65720">
              <w:rPr>
                <w:rFonts w:asciiTheme="minorHAnsi" w:hAnsiTheme="minorHAnsi" w:cstheme="minorHAnsi"/>
                <w:spacing w:val="-8"/>
                <w:sz w:val="16"/>
                <w:szCs w:val="16"/>
              </w:rPr>
              <w:t xml:space="preserve"> </w:t>
            </w:r>
            <w:r w:rsidRPr="00C65720">
              <w:rPr>
                <w:rFonts w:asciiTheme="minorHAnsi" w:hAnsiTheme="minorHAnsi" w:cstheme="minorHAnsi"/>
                <w:spacing w:val="-4"/>
                <w:sz w:val="16"/>
                <w:szCs w:val="16"/>
              </w:rPr>
              <w:t>NH₄⁺)</w:t>
            </w:r>
          </w:p>
        </w:tc>
        <w:tc>
          <w:tcPr>
            <w:tcW w:w="1450" w:type="dxa"/>
          </w:tcPr>
          <w:p w14:paraId="0B8A09CD" w14:textId="77777777" w:rsidR="00C65720" w:rsidRPr="00C65720" w:rsidRDefault="00C65720" w:rsidP="00136280">
            <w:pPr>
              <w:pStyle w:val="TableParagraph"/>
              <w:spacing w:before="39"/>
              <w:ind w:left="1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414" w:type="dxa"/>
          </w:tcPr>
          <w:p w14:paraId="49A6A2F0" w14:textId="77777777" w:rsidR="00C65720" w:rsidRPr="00C65720" w:rsidRDefault="00C65720" w:rsidP="00136280">
            <w:pPr>
              <w:pStyle w:val="TableParagraph"/>
              <w:spacing w:before="39"/>
              <w:ind w:left="9"/>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284" w:type="dxa"/>
          </w:tcPr>
          <w:p w14:paraId="18C5A423" w14:textId="77777777" w:rsidR="00C65720" w:rsidRPr="00C65720" w:rsidRDefault="00C65720" w:rsidP="00136280">
            <w:pPr>
              <w:pStyle w:val="TableParagraph"/>
              <w:spacing w:before="39"/>
              <w:ind w:left="8"/>
              <w:rPr>
                <w:rFonts w:asciiTheme="minorHAnsi" w:hAnsiTheme="minorHAnsi" w:cstheme="minorHAnsi"/>
                <w:sz w:val="16"/>
                <w:szCs w:val="16"/>
              </w:rPr>
            </w:pPr>
            <w:r w:rsidRPr="00C65720">
              <w:rPr>
                <w:rFonts w:asciiTheme="minorHAnsi" w:hAnsiTheme="minorHAnsi" w:cstheme="minorHAnsi"/>
                <w:sz w:val="16"/>
                <w:szCs w:val="16"/>
              </w:rPr>
              <w:t>Ammonia</w:t>
            </w:r>
            <w:r w:rsidRPr="00C65720">
              <w:rPr>
                <w:rFonts w:asciiTheme="minorHAnsi" w:hAnsiTheme="minorHAnsi" w:cstheme="minorHAnsi"/>
                <w:spacing w:val="-11"/>
                <w:sz w:val="16"/>
                <w:szCs w:val="16"/>
              </w:rPr>
              <w:t xml:space="preserve"> </w:t>
            </w:r>
            <w:r w:rsidRPr="00C65720">
              <w:rPr>
                <w:rFonts w:asciiTheme="minorHAnsi" w:hAnsiTheme="minorHAnsi" w:cstheme="minorHAnsi"/>
                <w:spacing w:val="-2"/>
                <w:sz w:val="16"/>
                <w:szCs w:val="16"/>
              </w:rPr>
              <w:t>(NH₃)</w:t>
            </w:r>
          </w:p>
        </w:tc>
      </w:tr>
      <w:tr w:rsidR="00C65720" w:rsidRPr="00C65720" w14:paraId="6890ADEB" w14:textId="77777777" w:rsidTr="00DA3C15">
        <w:trPr>
          <w:trHeight w:val="284"/>
        </w:trPr>
        <w:tc>
          <w:tcPr>
            <w:tcW w:w="4740" w:type="dxa"/>
          </w:tcPr>
          <w:p w14:paraId="5436F26E" w14:textId="77777777" w:rsidR="00C65720" w:rsidRPr="00C65720" w:rsidRDefault="00C65720" w:rsidP="00136280">
            <w:pPr>
              <w:pStyle w:val="TableParagraph"/>
              <w:spacing w:before="39"/>
              <w:ind w:left="128"/>
              <w:jc w:val="left"/>
              <w:rPr>
                <w:rFonts w:asciiTheme="minorHAnsi" w:hAnsiTheme="minorHAnsi" w:cstheme="minorHAnsi"/>
                <w:sz w:val="16"/>
                <w:szCs w:val="16"/>
              </w:rPr>
            </w:pPr>
            <w:r w:rsidRPr="00C65720">
              <w:rPr>
                <w:rFonts w:asciiTheme="minorHAnsi" w:hAnsiTheme="minorHAnsi" w:cstheme="minorHAnsi"/>
                <w:sz w:val="16"/>
                <w:szCs w:val="16"/>
              </w:rPr>
              <w:t>Chloride</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(mg/l</w:t>
            </w:r>
            <w:r w:rsidRPr="00C65720">
              <w:rPr>
                <w:rFonts w:asciiTheme="minorHAnsi" w:hAnsiTheme="minorHAnsi" w:cstheme="minorHAnsi"/>
                <w:spacing w:val="-7"/>
                <w:sz w:val="16"/>
                <w:szCs w:val="16"/>
              </w:rPr>
              <w:t xml:space="preserve"> </w:t>
            </w:r>
            <w:r w:rsidRPr="00C65720">
              <w:rPr>
                <w:rFonts w:asciiTheme="minorHAnsi" w:hAnsiTheme="minorHAnsi" w:cstheme="minorHAnsi"/>
                <w:spacing w:val="-4"/>
                <w:sz w:val="16"/>
                <w:szCs w:val="16"/>
              </w:rPr>
              <w:t>Cl⁻)</w:t>
            </w:r>
          </w:p>
        </w:tc>
        <w:tc>
          <w:tcPr>
            <w:tcW w:w="1450" w:type="dxa"/>
          </w:tcPr>
          <w:p w14:paraId="5AFF3828" w14:textId="77777777" w:rsidR="00C65720" w:rsidRPr="00C65720" w:rsidRDefault="00C65720" w:rsidP="00136280">
            <w:pPr>
              <w:pStyle w:val="TableParagraph"/>
              <w:spacing w:before="39"/>
              <w:ind w:left="1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414" w:type="dxa"/>
          </w:tcPr>
          <w:p w14:paraId="0C1A3A57" w14:textId="77777777" w:rsidR="00C65720" w:rsidRPr="00C65720" w:rsidRDefault="00C65720" w:rsidP="00136280">
            <w:pPr>
              <w:pStyle w:val="TableParagraph"/>
              <w:spacing w:before="39"/>
              <w:ind w:left="9"/>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284" w:type="dxa"/>
          </w:tcPr>
          <w:p w14:paraId="653CCCFB" w14:textId="77777777" w:rsidR="00C65720" w:rsidRPr="00C65720" w:rsidRDefault="00C65720" w:rsidP="00136280">
            <w:pPr>
              <w:pStyle w:val="TableParagraph"/>
              <w:spacing w:before="39"/>
              <w:ind w:left="8"/>
              <w:rPr>
                <w:rFonts w:asciiTheme="minorHAnsi" w:hAnsiTheme="minorHAnsi" w:cstheme="minorHAnsi"/>
                <w:sz w:val="16"/>
                <w:szCs w:val="16"/>
              </w:rPr>
            </w:pPr>
            <w:r w:rsidRPr="00C65720">
              <w:rPr>
                <w:rFonts w:asciiTheme="minorHAnsi" w:hAnsiTheme="minorHAnsi" w:cstheme="minorHAnsi"/>
                <w:spacing w:val="-10"/>
                <w:sz w:val="16"/>
                <w:szCs w:val="16"/>
              </w:rPr>
              <w:t>+</w:t>
            </w:r>
          </w:p>
        </w:tc>
      </w:tr>
      <w:tr w:rsidR="00C65720" w:rsidRPr="00C65720" w14:paraId="52A84CF9" w14:textId="77777777" w:rsidTr="00DA3C15">
        <w:trPr>
          <w:trHeight w:val="284"/>
        </w:trPr>
        <w:tc>
          <w:tcPr>
            <w:tcW w:w="4740" w:type="dxa"/>
          </w:tcPr>
          <w:p w14:paraId="116D106D" w14:textId="77777777" w:rsidR="00C65720" w:rsidRPr="00C65720" w:rsidRDefault="00C65720" w:rsidP="00136280">
            <w:pPr>
              <w:pStyle w:val="TableParagraph"/>
              <w:spacing w:before="39"/>
              <w:ind w:left="128"/>
              <w:jc w:val="left"/>
              <w:rPr>
                <w:rFonts w:asciiTheme="minorHAnsi" w:hAnsiTheme="minorHAnsi" w:cstheme="minorHAnsi"/>
                <w:sz w:val="16"/>
                <w:szCs w:val="16"/>
              </w:rPr>
            </w:pPr>
            <w:r w:rsidRPr="00C65720">
              <w:rPr>
                <w:rFonts w:asciiTheme="minorHAnsi" w:hAnsiTheme="minorHAnsi" w:cstheme="minorHAnsi"/>
                <w:sz w:val="16"/>
                <w:szCs w:val="16"/>
              </w:rPr>
              <w:t>Sulfate</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(mg/l</w:t>
            </w:r>
            <w:r w:rsidRPr="00C65720">
              <w:rPr>
                <w:rFonts w:asciiTheme="minorHAnsi" w:hAnsiTheme="minorHAnsi" w:cstheme="minorHAnsi"/>
                <w:spacing w:val="-8"/>
                <w:sz w:val="16"/>
                <w:szCs w:val="16"/>
              </w:rPr>
              <w:t xml:space="preserve"> </w:t>
            </w:r>
            <w:r w:rsidRPr="00C65720">
              <w:rPr>
                <w:rFonts w:asciiTheme="minorHAnsi" w:hAnsiTheme="minorHAnsi" w:cstheme="minorHAnsi"/>
                <w:spacing w:val="-2"/>
                <w:sz w:val="16"/>
                <w:szCs w:val="16"/>
              </w:rPr>
              <w:t>SO₄²⁻)</w:t>
            </w:r>
          </w:p>
        </w:tc>
        <w:tc>
          <w:tcPr>
            <w:tcW w:w="1450" w:type="dxa"/>
          </w:tcPr>
          <w:p w14:paraId="201BE956" w14:textId="77777777" w:rsidR="00C65720" w:rsidRPr="00C65720" w:rsidRDefault="00C65720" w:rsidP="00136280">
            <w:pPr>
              <w:pStyle w:val="TableParagraph"/>
              <w:spacing w:before="39"/>
              <w:ind w:left="1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414" w:type="dxa"/>
          </w:tcPr>
          <w:p w14:paraId="69D34382" w14:textId="77777777" w:rsidR="00C65720" w:rsidRPr="00C65720" w:rsidRDefault="00C65720" w:rsidP="00136280">
            <w:pPr>
              <w:pStyle w:val="TableParagraph"/>
              <w:spacing w:before="39"/>
              <w:ind w:left="9"/>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284" w:type="dxa"/>
          </w:tcPr>
          <w:p w14:paraId="68D1C610" w14:textId="77777777" w:rsidR="00C65720" w:rsidRPr="00C65720" w:rsidRDefault="00C65720" w:rsidP="00136280">
            <w:pPr>
              <w:pStyle w:val="TableParagraph"/>
              <w:spacing w:before="39"/>
              <w:ind w:left="8"/>
              <w:rPr>
                <w:rFonts w:asciiTheme="minorHAnsi" w:hAnsiTheme="minorHAnsi" w:cstheme="minorHAnsi"/>
                <w:sz w:val="16"/>
                <w:szCs w:val="16"/>
              </w:rPr>
            </w:pPr>
            <w:r w:rsidRPr="00C65720">
              <w:rPr>
                <w:rFonts w:asciiTheme="minorHAnsi" w:hAnsiTheme="minorHAnsi" w:cstheme="minorHAnsi"/>
                <w:spacing w:val="-10"/>
                <w:sz w:val="16"/>
                <w:szCs w:val="16"/>
              </w:rPr>
              <w:t>+</w:t>
            </w:r>
          </w:p>
        </w:tc>
      </w:tr>
      <w:tr w:rsidR="00C65720" w:rsidRPr="00C65720" w14:paraId="0A101B82" w14:textId="77777777" w:rsidTr="00DA3C15">
        <w:trPr>
          <w:trHeight w:val="284"/>
        </w:trPr>
        <w:tc>
          <w:tcPr>
            <w:tcW w:w="4740" w:type="dxa"/>
          </w:tcPr>
          <w:p w14:paraId="1D9DBB49" w14:textId="77777777" w:rsidR="00C65720" w:rsidRPr="00C65720" w:rsidRDefault="00C65720" w:rsidP="00136280">
            <w:pPr>
              <w:pStyle w:val="TableParagraph"/>
              <w:spacing w:before="39"/>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Orthophosphate</w:t>
            </w:r>
            <w:r w:rsidRPr="00C65720">
              <w:rPr>
                <w:rFonts w:asciiTheme="minorHAnsi" w:hAnsiTheme="minorHAnsi" w:cstheme="minorHAnsi"/>
                <w:spacing w:val="8"/>
                <w:sz w:val="16"/>
                <w:szCs w:val="16"/>
              </w:rPr>
              <w:t xml:space="preserve"> </w:t>
            </w:r>
            <w:r w:rsidRPr="00C65720">
              <w:rPr>
                <w:rFonts w:asciiTheme="minorHAnsi" w:hAnsiTheme="minorHAnsi" w:cstheme="minorHAnsi"/>
                <w:spacing w:val="-2"/>
                <w:sz w:val="16"/>
                <w:szCs w:val="16"/>
              </w:rPr>
              <w:t>(mg/l</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5"/>
                <w:sz w:val="16"/>
                <w:szCs w:val="16"/>
              </w:rPr>
              <w:t>P)</w:t>
            </w:r>
          </w:p>
        </w:tc>
        <w:tc>
          <w:tcPr>
            <w:tcW w:w="1450" w:type="dxa"/>
          </w:tcPr>
          <w:p w14:paraId="4726964B" w14:textId="77777777" w:rsidR="00C65720" w:rsidRPr="00C65720" w:rsidRDefault="00C65720" w:rsidP="00136280">
            <w:pPr>
              <w:pStyle w:val="TableParagraph"/>
              <w:spacing w:before="39"/>
              <w:ind w:left="1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414" w:type="dxa"/>
          </w:tcPr>
          <w:p w14:paraId="2E608C9F" w14:textId="77777777" w:rsidR="00C65720" w:rsidRPr="00C65720" w:rsidRDefault="00C65720" w:rsidP="00136280">
            <w:pPr>
              <w:pStyle w:val="TableParagraph"/>
              <w:spacing w:before="39"/>
              <w:ind w:left="9"/>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284" w:type="dxa"/>
          </w:tcPr>
          <w:p w14:paraId="48FF6D47" w14:textId="77777777" w:rsidR="00C65720" w:rsidRPr="00C65720" w:rsidRDefault="00C65720" w:rsidP="00136280">
            <w:pPr>
              <w:pStyle w:val="TableParagraph"/>
              <w:spacing w:before="39"/>
              <w:ind w:left="8" w:right="2"/>
              <w:rPr>
                <w:rFonts w:asciiTheme="minorHAnsi" w:hAnsiTheme="minorHAnsi" w:cstheme="minorHAnsi"/>
                <w:b/>
                <w:sz w:val="16"/>
                <w:szCs w:val="16"/>
              </w:rPr>
            </w:pPr>
            <w:r w:rsidRPr="00C65720">
              <w:rPr>
                <w:rFonts w:asciiTheme="minorHAnsi" w:hAnsiTheme="minorHAnsi" w:cstheme="minorHAnsi"/>
                <w:b/>
                <w:spacing w:val="-10"/>
                <w:sz w:val="16"/>
                <w:szCs w:val="16"/>
              </w:rPr>
              <w:t>-</w:t>
            </w:r>
          </w:p>
        </w:tc>
      </w:tr>
      <w:tr w:rsidR="00C65720" w:rsidRPr="00C65720" w14:paraId="64F2DDE6" w14:textId="77777777" w:rsidTr="00DA3C15">
        <w:trPr>
          <w:trHeight w:val="284"/>
        </w:trPr>
        <w:tc>
          <w:tcPr>
            <w:tcW w:w="4740" w:type="dxa"/>
          </w:tcPr>
          <w:p w14:paraId="26FBEE1E" w14:textId="77777777" w:rsidR="00C65720" w:rsidRPr="00C65720" w:rsidRDefault="00C65720" w:rsidP="00136280">
            <w:pPr>
              <w:pStyle w:val="TableParagraph"/>
              <w:spacing w:before="36"/>
              <w:ind w:left="128"/>
              <w:jc w:val="left"/>
              <w:rPr>
                <w:rFonts w:asciiTheme="minorHAnsi" w:hAnsiTheme="minorHAnsi" w:cstheme="minorHAnsi"/>
                <w:sz w:val="16"/>
                <w:szCs w:val="16"/>
              </w:rPr>
            </w:pPr>
            <w:r w:rsidRPr="00C65720">
              <w:rPr>
                <w:rFonts w:asciiTheme="minorHAnsi" w:hAnsiTheme="minorHAnsi" w:cstheme="minorHAnsi"/>
                <w:sz w:val="16"/>
                <w:szCs w:val="16"/>
              </w:rPr>
              <w:t>Nitrites</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(mg/l</w:t>
            </w:r>
            <w:r w:rsidRPr="00C65720">
              <w:rPr>
                <w:rFonts w:asciiTheme="minorHAnsi" w:hAnsiTheme="minorHAnsi" w:cstheme="minorHAnsi"/>
                <w:spacing w:val="-8"/>
                <w:sz w:val="16"/>
                <w:szCs w:val="16"/>
              </w:rPr>
              <w:t xml:space="preserve"> </w:t>
            </w:r>
            <w:r w:rsidRPr="00C65720">
              <w:rPr>
                <w:rFonts w:asciiTheme="minorHAnsi" w:hAnsiTheme="minorHAnsi" w:cstheme="minorHAnsi"/>
                <w:spacing w:val="-2"/>
                <w:sz w:val="16"/>
                <w:szCs w:val="16"/>
              </w:rPr>
              <w:t>NO₂⁻)</w:t>
            </w:r>
          </w:p>
        </w:tc>
        <w:tc>
          <w:tcPr>
            <w:tcW w:w="1450" w:type="dxa"/>
          </w:tcPr>
          <w:p w14:paraId="29EACEF7" w14:textId="77777777" w:rsidR="00C65720" w:rsidRPr="00C65720" w:rsidRDefault="00C65720" w:rsidP="00136280">
            <w:pPr>
              <w:pStyle w:val="TableParagraph"/>
              <w:spacing w:before="36"/>
              <w:ind w:left="1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414" w:type="dxa"/>
          </w:tcPr>
          <w:p w14:paraId="301299F2" w14:textId="77777777" w:rsidR="00C65720" w:rsidRPr="00C65720" w:rsidRDefault="00C65720" w:rsidP="00136280">
            <w:pPr>
              <w:pStyle w:val="TableParagraph"/>
              <w:spacing w:before="36"/>
              <w:ind w:left="9"/>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284" w:type="dxa"/>
          </w:tcPr>
          <w:p w14:paraId="54A8A5F0" w14:textId="77777777" w:rsidR="00C65720" w:rsidRPr="00C65720" w:rsidRDefault="00C65720" w:rsidP="00136280">
            <w:pPr>
              <w:pStyle w:val="TableParagraph"/>
              <w:spacing w:before="36"/>
              <w:ind w:left="8" w:right="2"/>
              <w:rPr>
                <w:rFonts w:asciiTheme="minorHAnsi" w:hAnsiTheme="minorHAnsi" w:cstheme="minorHAnsi"/>
                <w:b/>
                <w:sz w:val="16"/>
                <w:szCs w:val="16"/>
              </w:rPr>
            </w:pPr>
            <w:r w:rsidRPr="00C65720">
              <w:rPr>
                <w:rFonts w:asciiTheme="minorHAnsi" w:hAnsiTheme="minorHAnsi" w:cstheme="minorHAnsi"/>
                <w:b/>
                <w:spacing w:val="-10"/>
                <w:sz w:val="16"/>
                <w:szCs w:val="16"/>
              </w:rPr>
              <w:t>-</w:t>
            </w:r>
          </w:p>
        </w:tc>
      </w:tr>
      <w:tr w:rsidR="00C65720" w:rsidRPr="00C65720" w14:paraId="74F1F2AE" w14:textId="77777777" w:rsidTr="00DA3C15">
        <w:trPr>
          <w:trHeight w:val="281"/>
        </w:trPr>
        <w:tc>
          <w:tcPr>
            <w:tcW w:w="4740" w:type="dxa"/>
          </w:tcPr>
          <w:p w14:paraId="5437A81B" w14:textId="77777777" w:rsidR="00C65720" w:rsidRPr="00C65720" w:rsidRDefault="00C65720" w:rsidP="00136280">
            <w:pPr>
              <w:pStyle w:val="TableParagraph"/>
              <w:spacing w:before="36"/>
              <w:ind w:left="128"/>
              <w:jc w:val="left"/>
              <w:rPr>
                <w:rFonts w:asciiTheme="minorHAnsi" w:hAnsiTheme="minorHAnsi" w:cstheme="minorHAnsi"/>
                <w:sz w:val="16"/>
                <w:szCs w:val="16"/>
              </w:rPr>
            </w:pPr>
            <w:r w:rsidRPr="00C65720">
              <w:rPr>
                <w:rFonts w:asciiTheme="minorHAnsi" w:hAnsiTheme="minorHAnsi" w:cstheme="minorHAnsi"/>
                <w:sz w:val="16"/>
                <w:szCs w:val="16"/>
              </w:rPr>
              <w:t>Total</w:t>
            </w:r>
            <w:r w:rsidRPr="00C65720">
              <w:rPr>
                <w:rFonts w:asciiTheme="minorHAnsi" w:hAnsiTheme="minorHAnsi" w:cstheme="minorHAnsi"/>
                <w:spacing w:val="-9"/>
                <w:sz w:val="16"/>
                <w:szCs w:val="16"/>
              </w:rPr>
              <w:t xml:space="preserve"> </w:t>
            </w:r>
            <w:r w:rsidRPr="00C65720">
              <w:rPr>
                <w:rFonts w:asciiTheme="minorHAnsi" w:hAnsiTheme="minorHAnsi" w:cstheme="minorHAnsi"/>
                <w:sz w:val="16"/>
                <w:szCs w:val="16"/>
              </w:rPr>
              <w:t>phosphorus</w:t>
            </w:r>
            <w:r w:rsidRPr="00C65720">
              <w:rPr>
                <w:rFonts w:asciiTheme="minorHAnsi" w:hAnsiTheme="minorHAnsi" w:cstheme="minorHAnsi"/>
                <w:spacing w:val="-9"/>
                <w:sz w:val="16"/>
                <w:szCs w:val="16"/>
              </w:rPr>
              <w:t xml:space="preserve"> </w:t>
            </w:r>
            <w:r w:rsidRPr="00C65720">
              <w:rPr>
                <w:rFonts w:asciiTheme="minorHAnsi" w:hAnsiTheme="minorHAnsi" w:cstheme="minorHAnsi"/>
                <w:sz w:val="16"/>
                <w:szCs w:val="16"/>
              </w:rPr>
              <w:t>(mg/l</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5"/>
                <w:sz w:val="16"/>
                <w:szCs w:val="16"/>
              </w:rPr>
              <w:t>P)</w:t>
            </w:r>
          </w:p>
        </w:tc>
        <w:tc>
          <w:tcPr>
            <w:tcW w:w="1450" w:type="dxa"/>
          </w:tcPr>
          <w:p w14:paraId="7638EEB2" w14:textId="77777777" w:rsidR="00C65720" w:rsidRPr="00C65720" w:rsidRDefault="00C65720" w:rsidP="00136280">
            <w:pPr>
              <w:pStyle w:val="TableParagraph"/>
              <w:spacing w:before="36"/>
              <w:ind w:left="1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414" w:type="dxa"/>
          </w:tcPr>
          <w:p w14:paraId="012A092C" w14:textId="77777777" w:rsidR="00C65720" w:rsidRPr="00C65720" w:rsidRDefault="00C65720" w:rsidP="00136280">
            <w:pPr>
              <w:pStyle w:val="TableParagraph"/>
              <w:spacing w:before="36"/>
              <w:ind w:left="9"/>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284" w:type="dxa"/>
          </w:tcPr>
          <w:p w14:paraId="44AE7CAE" w14:textId="77777777" w:rsidR="00C65720" w:rsidRPr="00C65720" w:rsidRDefault="00C65720" w:rsidP="00136280">
            <w:pPr>
              <w:pStyle w:val="TableParagraph"/>
              <w:spacing w:before="36"/>
              <w:ind w:left="8" w:right="2"/>
              <w:rPr>
                <w:rFonts w:asciiTheme="minorHAnsi" w:hAnsiTheme="minorHAnsi" w:cstheme="minorHAnsi"/>
                <w:b/>
                <w:sz w:val="16"/>
                <w:szCs w:val="16"/>
              </w:rPr>
            </w:pPr>
            <w:r w:rsidRPr="00C65720">
              <w:rPr>
                <w:rFonts w:asciiTheme="minorHAnsi" w:hAnsiTheme="minorHAnsi" w:cstheme="minorHAnsi"/>
                <w:b/>
                <w:spacing w:val="-10"/>
                <w:sz w:val="16"/>
                <w:szCs w:val="16"/>
              </w:rPr>
              <w:t>-</w:t>
            </w:r>
          </w:p>
        </w:tc>
      </w:tr>
      <w:tr w:rsidR="00C65720" w:rsidRPr="00C65720" w14:paraId="5C97FF11" w14:textId="77777777" w:rsidTr="00DA3C15">
        <w:trPr>
          <w:trHeight w:val="284"/>
        </w:trPr>
        <w:tc>
          <w:tcPr>
            <w:tcW w:w="4740" w:type="dxa"/>
          </w:tcPr>
          <w:p w14:paraId="00F7EFDB" w14:textId="77777777" w:rsidR="00C65720" w:rsidRPr="00C65720" w:rsidRDefault="00C65720" w:rsidP="00136280">
            <w:pPr>
              <w:pStyle w:val="TableParagraph"/>
              <w:spacing w:before="39"/>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Trichloroethylene</w:t>
            </w:r>
            <w:r w:rsidRPr="00C65720">
              <w:rPr>
                <w:rFonts w:asciiTheme="minorHAnsi" w:hAnsiTheme="minorHAnsi" w:cstheme="minorHAnsi"/>
                <w:spacing w:val="11"/>
                <w:sz w:val="16"/>
                <w:szCs w:val="16"/>
              </w:rPr>
              <w:t xml:space="preserve"> </w:t>
            </w:r>
            <w:r w:rsidRPr="00C65720">
              <w:rPr>
                <w:rFonts w:asciiTheme="minorHAnsi" w:hAnsiTheme="minorHAnsi" w:cstheme="minorHAnsi"/>
                <w:spacing w:val="-2"/>
                <w:sz w:val="16"/>
                <w:szCs w:val="16"/>
              </w:rPr>
              <w:t>(µg/l</w:t>
            </w:r>
            <w:r w:rsidRPr="00C65720">
              <w:rPr>
                <w:rFonts w:asciiTheme="minorHAnsi" w:hAnsiTheme="minorHAnsi" w:cstheme="minorHAnsi"/>
                <w:spacing w:val="11"/>
                <w:sz w:val="16"/>
                <w:szCs w:val="16"/>
              </w:rPr>
              <w:t xml:space="preserve"> </w:t>
            </w:r>
            <w:r w:rsidRPr="00C65720">
              <w:rPr>
                <w:rFonts w:asciiTheme="minorHAnsi" w:hAnsiTheme="minorHAnsi" w:cstheme="minorHAnsi"/>
                <w:spacing w:val="-4"/>
                <w:sz w:val="16"/>
                <w:szCs w:val="16"/>
              </w:rPr>
              <w:t>TCE)</w:t>
            </w:r>
          </w:p>
        </w:tc>
        <w:tc>
          <w:tcPr>
            <w:tcW w:w="1450" w:type="dxa"/>
          </w:tcPr>
          <w:p w14:paraId="42B954BD" w14:textId="77777777" w:rsidR="00C65720" w:rsidRPr="00C65720" w:rsidRDefault="00C65720" w:rsidP="00136280">
            <w:pPr>
              <w:pStyle w:val="TableParagraph"/>
              <w:spacing w:before="39"/>
              <w:ind w:left="1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414" w:type="dxa"/>
          </w:tcPr>
          <w:p w14:paraId="5AF4A8A2" w14:textId="77777777" w:rsidR="00C65720" w:rsidRPr="00C65720" w:rsidRDefault="00C65720" w:rsidP="00136280">
            <w:pPr>
              <w:pStyle w:val="TableParagraph"/>
              <w:spacing w:before="39"/>
              <w:ind w:left="9"/>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284" w:type="dxa"/>
          </w:tcPr>
          <w:p w14:paraId="76F62936" w14:textId="77777777" w:rsidR="00C65720" w:rsidRPr="00C65720" w:rsidRDefault="00C65720" w:rsidP="00136280">
            <w:pPr>
              <w:pStyle w:val="TableParagraph"/>
              <w:spacing w:before="39"/>
              <w:ind w:left="8"/>
              <w:rPr>
                <w:rFonts w:asciiTheme="minorHAnsi" w:hAnsiTheme="minorHAnsi" w:cstheme="minorHAnsi"/>
                <w:sz w:val="16"/>
                <w:szCs w:val="16"/>
              </w:rPr>
            </w:pPr>
            <w:r w:rsidRPr="00C65720">
              <w:rPr>
                <w:rFonts w:asciiTheme="minorHAnsi" w:hAnsiTheme="minorHAnsi" w:cstheme="minorHAnsi"/>
                <w:spacing w:val="-10"/>
                <w:sz w:val="16"/>
                <w:szCs w:val="16"/>
              </w:rPr>
              <w:t>+</w:t>
            </w:r>
          </w:p>
        </w:tc>
      </w:tr>
      <w:tr w:rsidR="00C65720" w:rsidRPr="00C65720" w14:paraId="5F13EA21" w14:textId="77777777" w:rsidTr="00DA3C15">
        <w:trPr>
          <w:trHeight w:val="284"/>
        </w:trPr>
        <w:tc>
          <w:tcPr>
            <w:tcW w:w="4740" w:type="dxa"/>
          </w:tcPr>
          <w:p w14:paraId="4E211228" w14:textId="77777777" w:rsidR="00C65720" w:rsidRPr="00C65720" w:rsidRDefault="00C65720" w:rsidP="00136280">
            <w:pPr>
              <w:pStyle w:val="TableParagraph"/>
              <w:spacing w:before="39"/>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Tetrachloroethylene</w:t>
            </w:r>
            <w:r w:rsidRPr="00C65720">
              <w:rPr>
                <w:rFonts w:asciiTheme="minorHAnsi" w:hAnsiTheme="minorHAnsi" w:cstheme="minorHAnsi"/>
                <w:spacing w:val="11"/>
                <w:sz w:val="16"/>
                <w:szCs w:val="16"/>
              </w:rPr>
              <w:t xml:space="preserve"> </w:t>
            </w:r>
            <w:r w:rsidRPr="00C65720">
              <w:rPr>
                <w:rFonts w:asciiTheme="minorHAnsi" w:hAnsiTheme="minorHAnsi" w:cstheme="minorHAnsi"/>
                <w:spacing w:val="-2"/>
                <w:sz w:val="16"/>
                <w:szCs w:val="16"/>
              </w:rPr>
              <w:t>(µg/l</w:t>
            </w:r>
            <w:r w:rsidRPr="00C65720">
              <w:rPr>
                <w:rFonts w:asciiTheme="minorHAnsi" w:hAnsiTheme="minorHAnsi" w:cstheme="minorHAnsi"/>
                <w:spacing w:val="12"/>
                <w:sz w:val="16"/>
                <w:szCs w:val="16"/>
              </w:rPr>
              <w:t xml:space="preserve"> </w:t>
            </w:r>
            <w:r w:rsidRPr="00C65720">
              <w:rPr>
                <w:rFonts w:asciiTheme="minorHAnsi" w:hAnsiTheme="minorHAnsi" w:cstheme="minorHAnsi"/>
                <w:spacing w:val="-4"/>
                <w:sz w:val="16"/>
                <w:szCs w:val="16"/>
              </w:rPr>
              <w:t>PCE)</w:t>
            </w:r>
          </w:p>
        </w:tc>
        <w:tc>
          <w:tcPr>
            <w:tcW w:w="1450" w:type="dxa"/>
          </w:tcPr>
          <w:p w14:paraId="65C26058" w14:textId="77777777" w:rsidR="00C65720" w:rsidRPr="00C65720" w:rsidRDefault="00C65720" w:rsidP="00136280">
            <w:pPr>
              <w:pStyle w:val="TableParagraph"/>
              <w:spacing w:before="39"/>
              <w:ind w:left="1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414" w:type="dxa"/>
          </w:tcPr>
          <w:p w14:paraId="6CF70BAC" w14:textId="77777777" w:rsidR="00C65720" w:rsidRPr="00C65720" w:rsidRDefault="00C65720" w:rsidP="00136280">
            <w:pPr>
              <w:pStyle w:val="TableParagraph"/>
              <w:spacing w:before="39"/>
              <w:ind w:left="9"/>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284" w:type="dxa"/>
          </w:tcPr>
          <w:p w14:paraId="5C87C16A" w14:textId="77777777" w:rsidR="00C65720" w:rsidRPr="00C65720" w:rsidRDefault="00C65720" w:rsidP="00136280">
            <w:pPr>
              <w:pStyle w:val="TableParagraph"/>
              <w:spacing w:before="39"/>
              <w:ind w:left="8"/>
              <w:rPr>
                <w:rFonts w:asciiTheme="minorHAnsi" w:hAnsiTheme="minorHAnsi" w:cstheme="minorHAnsi"/>
                <w:sz w:val="16"/>
                <w:szCs w:val="16"/>
              </w:rPr>
            </w:pPr>
            <w:r w:rsidRPr="00C65720">
              <w:rPr>
                <w:rFonts w:asciiTheme="minorHAnsi" w:hAnsiTheme="minorHAnsi" w:cstheme="minorHAnsi"/>
                <w:spacing w:val="-10"/>
                <w:sz w:val="16"/>
                <w:szCs w:val="16"/>
              </w:rPr>
              <w:t>+</w:t>
            </w:r>
          </w:p>
        </w:tc>
      </w:tr>
      <w:tr w:rsidR="00C65720" w:rsidRPr="00C65720" w14:paraId="23521372" w14:textId="77777777" w:rsidTr="00DA3C15">
        <w:trPr>
          <w:trHeight w:val="284"/>
        </w:trPr>
        <w:tc>
          <w:tcPr>
            <w:tcW w:w="4740" w:type="dxa"/>
          </w:tcPr>
          <w:p w14:paraId="1A09E00A" w14:textId="77777777" w:rsidR="00C65720" w:rsidRPr="00C65720" w:rsidRDefault="00C65720" w:rsidP="00136280">
            <w:pPr>
              <w:pStyle w:val="TableParagraph"/>
              <w:spacing w:before="39"/>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Electrical</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2"/>
                <w:sz w:val="16"/>
                <w:szCs w:val="16"/>
              </w:rPr>
              <w:t>conductivity</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(µS/cm)</w:t>
            </w:r>
          </w:p>
        </w:tc>
        <w:tc>
          <w:tcPr>
            <w:tcW w:w="1450" w:type="dxa"/>
          </w:tcPr>
          <w:p w14:paraId="07E49044" w14:textId="77777777" w:rsidR="00C65720" w:rsidRPr="00C65720" w:rsidRDefault="00C65720" w:rsidP="00136280">
            <w:pPr>
              <w:pStyle w:val="TableParagraph"/>
              <w:spacing w:before="39"/>
              <w:ind w:left="1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414" w:type="dxa"/>
          </w:tcPr>
          <w:p w14:paraId="667F2FC2" w14:textId="77777777" w:rsidR="00C65720" w:rsidRPr="00C65720" w:rsidRDefault="00C65720" w:rsidP="00136280">
            <w:pPr>
              <w:pStyle w:val="TableParagraph"/>
              <w:spacing w:before="39"/>
              <w:ind w:left="9"/>
              <w:rPr>
                <w:rFonts w:asciiTheme="minorHAnsi" w:hAnsiTheme="minorHAnsi" w:cstheme="minorHAnsi"/>
                <w:sz w:val="16"/>
                <w:szCs w:val="16"/>
              </w:rPr>
            </w:pPr>
            <w:r w:rsidRPr="00C65720">
              <w:rPr>
                <w:rFonts w:asciiTheme="minorHAnsi" w:hAnsiTheme="minorHAnsi" w:cstheme="minorHAnsi"/>
                <w:spacing w:val="-2"/>
                <w:sz w:val="16"/>
                <w:szCs w:val="16"/>
              </w:rPr>
              <w:t>6/yr-12/yr</w:t>
            </w:r>
          </w:p>
        </w:tc>
        <w:tc>
          <w:tcPr>
            <w:tcW w:w="1284" w:type="dxa"/>
          </w:tcPr>
          <w:p w14:paraId="38580204"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2BDCCCB8" w14:textId="77777777" w:rsidTr="00DA3C15">
        <w:trPr>
          <w:trHeight w:val="284"/>
        </w:trPr>
        <w:tc>
          <w:tcPr>
            <w:tcW w:w="4740" w:type="dxa"/>
          </w:tcPr>
          <w:p w14:paraId="1EC0B48A" w14:textId="77777777" w:rsidR="00C65720" w:rsidRPr="00C65720" w:rsidRDefault="00C65720" w:rsidP="00136280">
            <w:pPr>
              <w:pStyle w:val="TableParagraph"/>
              <w:spacing w:before="39"/>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Cyanides</w:t>
            </w:r>
            <w:r w:rsidRPr="00C65720">
              <w:rPr>
                <w:rFonts w:asciiTheme="minorHAnsi" w:hAnsiTheme="minorHAnsi" w:cstheme="minorHAnsi"/>
                <w:spacing w:val="3"/>
                <w:sz w:val="16"/>
                <w:szCs w:val="16"/>
              </w:rPr>
              <w:t xml:space="preserve"> </w:t>
            </w:r>
            <w:r w:rsidRPr="00C65720">
              <w:rPr>
                <w:rFonts w:asciiTheme="minorHAnsi" w:hAnsiTheme="minorHAnsi" w:cstheme="minorHAnsi"/>
                <w:spacing w:val="-2"/>
                <w:sz w:val="16"/>
                <w:szCs w:val="16"/>
              </w:rPr>
              <w:t>(CN⁻)</w:t>
            </w:r>
          </w:p>
        </w:tc>
        <w:tc>
          <w:tcPr>
            <w:tcW w:w="1450" w:type="dxa"/>
          </w:tcPr>
          <w:p w14:paraId="61DAC77B" w14:textId="77777777" w:rsidR="00C65720" w:rsidRPr="00C65720" w:rsidRDefault="00C65720" w:rsidP="00136280">
            <w:pPr>
              <w:pStyle w:val="TableParagraph"/>
              <w:spacing w:before="39"/>
              <w:ind w:left="12" w:right="2"/>
              <w:rPr>
                <w:rFonts w:asciiTheme="minorHAnsi" w:hAnsiTheme="minorHAnsi" w:cstheme="minorHAnsi"/>
                <w:sz w:val="16"/>
                <w:szCs w:val="16"/>
              </w:rPr>
            </w:pPr>
            <w:r w:rsidRPr="00C65720">
              <w:rPr>
                <w:rFonts w:asciiTheme="minorHAnsi" w:hAnsiTheme="minorHAnsi" w:cstheme="minorHAnsi"/>
                <w:spacing w:val="-10"/>
                <w:sz w:val="16"/>
                <w:szCs w:val="16"/>
              </w:rPr>
              <w:t>-</w:t>
            </w:r>
          </w:p>
        </w:tc>
        <w:tc>
          <w:tcPr>
            <w:tcW w:w="1414" w:type="dxa"/>
          </w:tcPr>
          <w:p w14:paraId="2123A01D" w14:textId="77777777" w:rsidR="00C65720" w:rsidRPr="00C65720" w:rsidRDefault="00C65720" w:rsidP="00136280">
            <w:pPr>
              <w:pStyle w:val="TableParagraph"/>
              <w:spacing w:before="39"/>
              <w:ind w:left="9" w:right="2"/>
              <w:rPr>
                <w:rFonts w:asciiTheme="minorHAnsi" w:hAnsiTheme="minorHAnsi" w:cstheme="minorHAnsi"/>
                <w:sz w:val="16"/>
                <w:szCs w:val="16"/>
              </w:rPr>
            </w:pPr>
            <w:r w:rsidRPr="00C65720">
              <w:rPr>
                <w:rFonts w:asciiTheme="minorHAnsi" w:hAnsiTheme="minorHAnsi" w:cstheme="minorHAnsi"/>
                <w:spacing w:val="-10"/>
                <w:sz w:val="16"/>
                <w:szCs w:val="16"/>
              </w:rPr>
              <w:t>-</w:t>
            </w:r>
          </w:p>
        </w:tc>
        <w:tc>
          <w:tcPr>
            <w:tcW w:w="1284" w:type="dxa"/>
          </w:tcPr>
          <w:p w14:paraId="6EC2379F" w14:textId="77777777" w:rsidR="00C65720" w:rsidRPr="00C65720" w:rsidRDefault="00C65720" w:rsidP="00136280">
            <w:pPr>
              <w:pStyle w:val="TableParagraph"/>
              <w:spacing w:before="39"/>
              <w:ind w:left="8"/>
              <w:rPr>
                <w:rFonts w:asciiTheme="minorHAnsi" w:hAnsiTheme="minorHAnsi" w:cstheme="minorHAnsi"/>
                <w:sz w:val="16"/>
                <w:szCs w:val="16"/>
              </w:rPr>
            </w:pPr>
            <w:r w:rsidRPr="00C65720">
              <w:rPr>
                <w:rFonts w:asciiTheme="minorHAnsi" w:hAnsiTheme="minorHAnsi" w:cstheme="minorHAnsi"/>
                <w:spacing w:val="-10"/>
                <w:sz w:val="16"/>
                <w:szCs w:val="16"/>
              </w:rPr>
              <w:t>+</w:t>
            </w:r>
          </w:p>
        </w:tc>
      </w:tr>
    </w:tbl>
    <w:p w14:paraId="537E0208" w14:textId="77777777" w:rsidR="00C65720" w:rsidRDefault="00C65720" w:rsidP="00C65720">
      <w:pPr>
        <w:jc w:val="both"/>
        <w:rPr>
          <w:rFonts w:cstheme="minorHAnsi"/>
          <w:bCs/>
        </w:rPr>
      </w:pPr>
    </w:p>
    <w:p w14:paraId="08DE5509" w14:textId="11661775" w:rsidR="00C65720" w:rsidRPr="00C65720" w:rsidRDefault="002F4776" w:rsidP="002F4776">
      <w:pPr>
        <w:pStyle w:val="Caption"/>
        <w:rPr>
          <w:rFonts w:eastAsia="Aptos" w:cstheme="minorHAnsi"/>
          <w:lang w:val="en-US"/>
        </w:rPr>
      </w:pPr>
      <w:bookmarkStart w:id="229" w:name="_Toc229037749"/>
      <w:r>
        <w:t xml:space="preserve">Table </w:t>
      </w:r>
      <w:r>
        <w:fldChar w:fldCharType="begin"/>
      </w:r>
      <w:r>
        <w:instrText xml:space="preserve"> SEQ Table \* ARABIC </w:instrText>
      </w:r>
      <w:r>
        <w:fldChar w:fldCharType="separate"/>
      </w:r>
      <w:r>
        <w:rPr>
          <w:noProof/>
        </w:rPr>
        <w:t>27</w:t>
      </w:r>
      <w:r>
        <w:fldChar w:fldCharType="end"/>
      </w:r>
      <w:r>
        <w:t xml:space="preserve"> </w:t>
      </w:r>
      <w:r w:rsidRPr="00AC4453">
        <w:t>Additional parameters for groundwater quality monitoring and required annual testing frequency</w:t>
      </w:r>
      <w:bookmarkEnd w:id="229"/>
    </w:p>
    <w:tbl>
      <w:tblPr>
        <w:tblW w:w="0" w:type="auto"/>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4962"/>
        <w:gridCol w:w="708"/>
        <w:gridCol w:w="1701"/>
        <w:gridCol w:w="1560"/>
      </w:tblGrid>
      <w:tr w:rsidR="00C65720" w:rsidRPr="00C65720" w14:paraId="2041AA14" w14:textId="77777777" w:rsidTr="00DA3C15">
        <w:trPr>
          <w:trHeight w:val="253"/>
          <w:tblHeader/>
        </w:trPr>
        <w:tc>
          <w:tcPr>
            <w:tcW w:w="4962" w:type="dxa"/>
            <w:vMerge w:val="restart"/>
            <w:shd w:val="clear" w:color="auto" w:fill="A5C9EB"/>
          </w:tcPr>
          <w:p w14:paraId="5470E9C6" w14:textId="77777777" w:rsidR="00C65720" w:rsidRPr="00C65720" w:rsidRDefault="00C65720" w:rsidP="00136280">
            <w:pPr>
              <w:pStyle w:val="TableParagraph"/>
              <w:spacing w:before="166"/>
              <w:ind w:left="97"/>
              <w:jc w:val="left"/>
              <w:rPr>
                <w:rFonts w:asciiTheme="minorHAnsi" w:hAnsiTheme="minorHAnsi" w:cstheme="minorHAnsi"/>
                <w:b/>
                <w:sz w:val="16"/>
                <w:szCs w:val="16"/>
              </w:rPr>
            </w:pPr>
            <w:r w:rsidRPr="00C65720">
              <w:rPr>
                <w:rFonts w:asciiTheme="minorHAnsi" w:hAnsiTheme="minorHAnsi" w:cstheme="minorHAnsi"/>
                <w:b/>
                <w:spacing w:val="-2"/>
                <w:sz w:val="16"/>
                <w:szCs w:val="16"/>
              </w:rPr>
              <w:t>INDICATOR</w:t>
            </w:r>
          </w:p>
        </w:tc>
        <w:tc>
          <w:tcPr>
            <w:tcW w:w="708" w:type="dxa"/>
            <w:vMerge w:val="restart"/>
            <w:shd w:val="clear" w:color="auto" w:fill="A5C9EB"/>
          </w:tcPr>
          <w:p w14:paraId="0AC530EB"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5"/>
                <w:sz w:val="16"/>
                <w:szCs w:val="16"/>
              </w:rPr>
              <w:t>DWD</w:t>
            </w:r>
          </w:p>
          <w:p w14:paraId="49F24EA2" w14:textId="77777777" w:rsidR="00C65720" w:rsidRPr="00C65720" w:rsidRDefault="00C65720" w:rsidP="00136280">
            <w:pPr>
              <w:pStyle w:val="TableParagraph"/>
              <w:spacing w:before="13"/>
              <w:ind w:left="4"/>
              <w:rPr>
                <w:rFonts w:asciiTheme="minorHAnsi" w:hAnsiTheme="minorHAnsi" w:cstheme="minorHAnsi"/>
                <w:b/>
                <w:sz w:val="16"/>
                <w:szCs w:val="16"/>
              </w:rPr>
            </w:pPr>
            <w:r w:rsidRPr="00C65720">
              <w:rPr>
                <w:rFonts w:asciiTheme="minorHAnsi" w:hAnsiTheme="minorHAnsi" w:cstheme="minorHAnsi"/>
                <w:b/>
                <w:spacing w:val="-2"/>
                <w:sz w:val="16"/>
                <w:szCs w:val="16"/>
              </w:rPr>
              <w:t>Indicator</w:t>
            </w:r>
          </w:p>
        </w:tc>
        <w:tc>
          <w:tcPr>
            <w:tcW w:w="3261" w:type="dxa"/>
            <w:gridSpan w:val="2"/>
            <w:shd w:val="clear" w:color="auto" w:fill="A5C9EB"/>
          </w:tcPr>
          <w:p w14:paraId="6FBF7D95" w14:textId="77777777" w:rsidR="00C65720" w:rsidRPr="00C65720" w:rsidRDefault="00C65720" w:rsidP="00136280">
            <w:pPr>
              <w:pStyle w:val="TableParagraph"/>
              <w:spacing w:before="24"/>
              <w:ind w:left="12"/>
              <w:rPr>
                <w:rFonts w:asciiTheme="minorHAnsi" w:hAnsiTheme="minorHAnsi" w:cstheme="minorHAnsi"/>
                <w:b/>
                <w:sz w:val="16"/>
                <w:szCs w:val="16"/>
              </w:rPr>
            </w:pPr>
            <w:r w:rsidRPr="00C65720">
              <w:rPr>
                <w:rFonts w:asciiTheme="minorHAnsi" w:hAnsiTheme="minorHAnsi" w:cstheme="minorHAnsi"/>
                <w:b/>
                <w:spacing w:val="-2"/>
                <w:sz w:val="16"/>
                <w:szCs w:val="16"/>
              </w:rPr>
              <w:t>FREQUENCY</w:t>
            </w:r>
          </w:p>
        </w:tc>
      </w:tr>
      <w:tr w:rsidR="00C65720" w:rsidRPr="00C65720" w14:paraId="24A12C7B" w14:textId="77777777" w:rsidTr="00DA3C15">
        <w:trPr>
          <w:trHeight w:val="255"/>
          <w:tblHeader/>
        </w:trPr>
        <w:tc>
          <w:tcPr>
            <w:tcW w:w="4962" w:type="dxa"/>
            <w:vMerge/>
            <w:tcBorders>
              <w:top w:val="nil"/>
            </w:tcBorders>
            <w:shd w:val="clear" w:color="auto" w:fill="A5C9EB"/>
          </w:tcPr>
          <w:p w14:paraId="122678F1" w14:textId="77777777" w:rsidR="00C65720" w:rsidRPr="00C65720" w:rsidRDefault="00C65720" w:rsidP="00136280">
            <w:pPr>
              <w:rPr>
                <w:rFonts w:cstheme="minorHAnsi"/>
                <w:sz w:val="16"/>
                <w:szCs w:val="16"/>
              </w:rPr>
            </w:pPr>
          </w:p>
        </w:tc>
        <w:tc>
          <w:tcPr>
            <w:tcW w:w="708" w:type="dxa"/>
            <w:vMerge/>
            <w:tcBorders>
              <w:top w:val="nil"/>
            </w:tcBorders>
            <w:shd w:val="clear" w:color="auto" w:fill="A5C9EB"/>
          </w:tcPr>
          <w:p w14:paraId="68FA6773" w14:textId="77777777" w:rsidR="00C65720" w:rsidRPr="00C65720" w:rsidRDefault="00C65720" w:rsidP="00136280">
            <w:pPr>
              <w:rPr>
                <w:rFonts w:cstheme="minorHAnsi"/>
                <w:sz w:val="16"/>
                <w:szCs w:val="16"/>
              </w:rPr>
            </w:pPr>
          </w:p>
        </w:tc>
        <w:tc>
          <w:tcPr>
            <w:tcW w:w="1701" w:type="dxa"/>
            <w:shd w:val="clear" w:color="auto" w:fill="A5C9EB"/>
          </w:tcPr>
          <w:p w14:paraId="695FA5EE" w14:textId="77777777" w:rsidR="00C65720" w:rsidRPr="00C65720" w:rsidRDefault="00C65720" w:rsidP="00136280">
            <w:pPr>
              <w:pStyle w:val="TableParagraph"/>
              <w:spacing w:before="24"/>
              <w:rPr>
                <w:rFonts w:asciiTheme="minorHAnsi" w:hAnsiTheme="minorHAnsi" w:cstheme="minorHAnsi"/>
                <w:b/>
                <w:sz w:val="16"/>
                <w:szCs w:val="16"/>
              </w:rPr>
            </w:pPr>
            <w:r w:rsidRPr="00C65720">
              <w:rPr>
                <w:rFonts w:asciiTheme="minorHAnsi" w:hAnsiTheme="minorHAnsi" w:cstheme="minorHAnsi"/>
                <w:b/>
                <w:spacing w:val="-2"/>
                <w:sz w:val="16"/>
                <w:szCs w:val="16"/>
              </w:rPr>
              <w:t>SURVEILLANCE</w:t>
            </w:r>
          </w:p>
        </w:tc>
        <w:tc>
          <w:tcPr>
            <w:tcW w:w="1560" w:type="dxa"/>
            <w:shd w:val="clear" w:color="auto" w:fill="A5C9EB"/>
          </w:tcPr>
          <w:p w14:paraId="156D7EAB" w14:textId="77777777" w:rsidR="00C65720" w:rsidRPr="00C65720" w:rsidRDefault="00C65720" w:rsidP="00136280">
            <w:pPr>
              <w:pStyle w:val="TableParagraph"/>
              <w:spacing w:before="24"/>
              <w:ind w:right="2"/>
              <w:rPr>
                <w:rFonts w:asciiTheme="minorHAnsi" w:hAnsiTheme="minorHAnsi" w:cstheme="minorHAnsi"/>
                <w:b/>
                <w:sz w:val="16"/>
                <w:szCs w:val="16"/>
              </w:rPr>
            </w:pPr>
            <w:r w:rsidRPr="00C65720">
              <w:rPr>
                <w:rFonts w:asciiTheme="minorHAnsi" w:hAnsiTheme="minorHAnsi" w:cstheme="minorHAnsi"/>
                <w:b/>
                <w:spacing w:val="-2"/>
                <w:sz w:val="16"/>
                <w:szCs w:val="16"/>
              </w:rPr>
              <w:t>OPERATIONAL</w:t>
            </w:r>
          </w:p>
        </w:tc>
      </w:tr>
      <w:tr w:rsidR="00C65720" w:rsidRPr="00C65720" w14:paraId="18F4E026" w14:textId="77777777" w:rsidTr="00DA3C15">
        <w:trPr>
          <w:trHeight w:val="253"/>
        </w:trPr>
        <w:tc>
          <w:tcPr>
            <w:tcW w:w="4962" w:type="dxa"/>
            <w:shd w:val="clear" w:color="auto" w:fill="D9E2F3"/>
          </w:tcPr>
          <w:p w14:paraId="563433AA" w14:textId="77777777" w:rsidR="00C65720" w:rsidRPr="00C65720" w:rsidRDefault="00C65720" w:rsidP="00136280">
            <w:pPr>
              <w:pStyle w:val="TableParagraph"/>
              <w:spacing w:before="22"/>
              <w:ind w:left="97"/>
              <w:jc w:val="left"/>
              <w:rPr>
                <w:rFonts w:asciiTheme="minorHAnsi" w:hAnsiTheme="minorHAnsi" w:cstheme="minorHAnsi"/>
                <w:b/>
                <w:sz w:val="16"/>
                <w:szCs w:val="16"/>
              </w:rPr>
            </w:pPr>
            <w:r w:rsidRPr="00C65720">
              <w:rPr>
                <w:rFonts w:asciiTheme="minorHAnsi" w:hAnsiTheme="minorHAnsi" w:cstheme="minorHAnsi"/>
                <w:b/>
                <w:spacing w:val="-2"/>
                <w:sz w:val="16"/>
                <w:szCs w:val="16"/>
              </w:rPr>
              <w:t>BASIC</w:t>
            </w:r>
            <w:r w:rsidRPr="00C65720">
              <w:rPr>
                <w:rFonts w:asciiTheme="minorHAnsi" w:hAnsiTheme="minorHAnsi" w:cstheme="minorHAnsi"/>
                <w:spacing w:val="8"/>
                <w:sz w:val="16"/>
                <w:szCs w:val="16"/>
              </w:rPr>
              <w:t xml:space="preserve"> </w:t>
            </w:r>
            <w:r w:rsidRPr="00C65720">
              <w:rPr>
                <w:rFonts w:asciiTheme="minorHAnsi" w:hAnsiTheme="minorHAnsi" w:cstheme="minorHAnsi"/>
                <w:b/>
                <w:spacing w:val="-2"/>
                <w:sz w:val="16"/>
                <w:szCs w:val="16"/>
              </w:rPr>
              <w:t>PHYSICO-CHEMICAL</w:t>
            </w:r>
            <w:r w:rsidRPr="00C65720">
              <w:rPr>
                <w:rFonts w:asciiTheme="minorHAnsi" w:hAnsiTheme="minorHAnsi" w:cstheme="minorHAnsi"/>
                <w:spacing w:val="10"/>
                <w:sz w:val="16"/>
                <w:szCs w:val="16"/>
              </w:rPr>
              <w:t xml:space="preserve"> </w:t>
            </w:r>
            <w:r w:rsidRPr="00C65720">
              <w:rPr>
                <w:rFonts w:asciiTheme="minorHAnsi" w:hAnsiTheme="minorHAnsi" w:cstheme="minorHAnsi"/>
                <w:b/>
                <w:spacing w:val="-2"/>
                <w:sz w:val="16"/>
                <w:szCs w:val="16"/>
              </w:rPr>
              <w:t>INDICATORS</w:t>
            </w:r>
          </w:p>
        </w:tc>
        <w:tc>
          <w:tcPr>
            <w:tcW w:w="708" w:type="dxa"/>
            <w:shd w:val="clear" w:color="auto" w:fill="D9E2F3"/>
          </w:tcPr>
          <w:p w14:paraId="2BAED774"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shd w:val="clear" w:color="auto" w:fill="D9E2F3"/>
          </w:tcPr>
          <w:p w14:paraId="6D8C36AF"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560" w:type="dxa"/>
            <w:shd w:val="clear" w:color="auto" w:fill="D9E2F3"/>
          </w:tcPr>
          <w:p w14:paraId="371AC499"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3ECCE60C" w14:textId="77777777" w:rsidTr="00DA3C15">
        <w:trPr>
          <w:trHeight w:val="253"/>
        </w:trPr>
        <w:tc>
          <w:tcPr>
            <w:tcW w:w="4962" w:type="dxa"/>
          </w:tcPr>
          <w:p w14:paraId="0547DEFC" w14:textId="77777777" w:rsidR="00C65720" w:rsidRPr="00C65720" w:rsidRDefault="00C65720" w:rsidP="00136280">
            <w:pPr>
              <w:pStyle w:val="TableParagraph"/>
              <w:spacing w:before="24"/>
              <w:ind w:left="97"/>
              <w:jc w:val="left"/>
              <w:rPr>
                <w:rFonts w:asciiTheme="minorHAnsi" w:hAnsiTheme="minorHAnsi" w:cstheme="minorHAnsi"/>
                <w:sz w:val="16"/>
                <w:szCs w:val="16"/>
              </w:rPr>
            </w:pPr>
            <w:r w:rsidRPr="00C65720">
              <w:rPr>
                <w:rFonts w:asciiTheme="minorHAnsi" w:hAnsiTheme="minorHAnsi" w:cstheme="minorHAnsi"/>
                <w:spacing w:val="-2"/>
                <w:sz w:val="16"/>
                <w:szCs w:val="16"/>
              </w:rPr>
              <w:t>Temperature</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5"/>
                <w:sz w:val="16"/>
                <w:szCs w:val="16"/>
              </w:rPr>
              <w:t>°C</w:t>
            </w:r>
          </w:p>
        </w:tc>
        <w:tc>
          <w:tcPr>
            <w:tcW w:w="708" w:type="dxa"/>
          </w:tcPr>
          <w:p w14:paraId="31422078"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50E47AE7"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684BCB8E"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62E35FE5" w14:textId="77777777" w:rsidTr="00DA3C15">
        <w:trPr>
          <w:trHeight w:val="255"/>
        </w:trPr>
        <w:tc>
          <w:tcPr>
            <w:tcW w:w="4962" w:type="dxa"/>
          </w:tcPr>
          <w:p w14:paraId="55A21D92" w14:textId="77777777" w:rsidR="00C65720" w:rsidRPr="00C65720" w:rsidRDefault="00C65720" w:rsidP="00136280">
            <w:pPr>
              <w:pStyle w:val="TableParagraph"/>
              <w:spacing w:before="24"/>
              <w:ind w:left="97"/>
              <w:jc w:val="left"/>
              <w:rPr>
                <w:rFonts w:asciiTheme="minorHAnsi" w:hAnsiTheme="minorHAnsi" w:cstheme="minorHAnsi"/>
                <w:sz w:val="16"/>
                <w:szCs w:val="16"/>
              </w:rPr>
            </w:pPr>
            <w:r w:rsidRPr="00C65720">
              <w:rPr>
                <w:rFonts w:asciiTheme="minorHAnsi" w:hAnsiTheme="minorHAnsi" w:cstheme="minorHAnsi"/>
                <w:spacing w:val="-5"/>
                <w:sz w:val="16"/>
                <w:szCs w:val="16"/>
              </w:rPr>
              <w:t>pH</w:t>
            </w:r>
          </w:p>
        </w:tc>
        <w:tc>
          <w:tcPr>
            <w:tcW w:w="708" w:type="dxa"/>
          </w:tcPr>
          <w:p w14:paraId="47554141"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2CB544F0" w14:textId="77777777" w:rsidR="00C65720" w:rsidRPr="00C65720" w:rsidRDefault="00C65720" w:rsidP="00136280">
            <w:pPr>
              <w:pStyle w:val="TableParagraph"/>
              <w:spacing w:before="24"/>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41227B5C"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3F75E201" w14:textId="77777777" w:rsidTr="00DA3C15">
        <w:trPr>
          <w:trHeight w:val="253"/>
        </w:trPr>
        <w:tc>
          <w:tcPr>
            <w:tcW w:w="4962" w:type="dxa"/>
          </w:tcPr>
          <w:p w14:paraId="47E2CE79" w14:textId="77777777" w:rsidR="00C65720" w:rsidRPr="00C65720" w:rsidRDefault="00C65720" w:rsidP="00136280">
            <w:pPr>
              <w:pStyle w:val="TableParagraph"/>
              <w:spacing w:before="22"/>
              <w:ind w:left="97"/>
              <w:jc w:val="left"/>
              <w:rPr>
                <w:rFonts w:asciiTheme="minorHAnsi" w:hAnsiTheme="minorHAnsi" w:cstheme="minorHAnsi"/>
                <w:sz w:val="16"/>
                <w:szCs w:val="16"/>
              </w:rPr>
            </w:pPr>
            <w:r w:rsidRPr="00C65720">
              <w:rPr>
                <w:rFonts w:asciiTheme="minorHAnsi" w:hAnsiTheme="minorHAnsi" w:cstheme="minorHAnsi"/>
                <w:spacing w:val="-2"/>
                <w:sz w:val="16"/>
                <w:szCs w:val="16"/>
              </w:rPr>
              <w:t>Redox</w:t>
            </w:r>
            <w:r w:rsidRPr="00C65720">
              <w:rPr>
                <w:rFonts w:asciiTheme="minorHAnsi" w:hAnsiTheme="minorHAnsi" w:cstheme="minorHAnsi"/>
                <w:spacing w:val="2"/>
                <w:sz w:val="16"/>
                <w:szCs w:val="16"/>
              </w:rPr>
              <w:t xml:space="preserve"> </w:t>
            </w:r>
            <w:r w:rsidRPr="00C65720">
              <w:rPr>
                <w:rFonts w:asciiTheme="minorHAnsi" w:hAnsiTheme="minorHAnsi" w:cstheme="minorHAnsi"/>
                <w:spacing w:val="-2"/>
                <w:sz w:val="16"/>
                <w:szCs w:val="16"/>
              </w:rPr>
              <w:t>potential</w:t>
            </w:r>
            <w:r w:rsidRPr="00C65720">
              <w:rPr>
                <w:rFonts w:asciiTheme="minorHAnsi" w:hAnsiTheme="minorHAnsi" w:cstheme="minorHAnsi"/>
                <w:spacing w:val="3"/>
                <w:sz w:val="16"/>
                <w:szCs w:val="16"/>
              </w:rPr>
              <w:t xml:space="preserve"> </w:t>
            </w:r>
            <w:r w:rsidRPr="00C65720">
              <w:rPr>
                <w:rFonts w:asciiTheme="minorHAnsi" w:hAnsiTheme="minorHAnsi" w:cstheme="minorHAnsi"/>
                <w:spacing w:val="-4"/>
                <w:sz w:val="16"/>
                <w:szCs w:val="16"/>
              </w:rPr>
              <w:t>(Mv)</w:t>
            </w:r>
          </w:p>
        </w:tc>
        <w:tc>
          <w:tcPr>
            <w:tcW w:w="708" w:type="dxa"/>
          </w:tcPr>
          <w:p w14:paraId="6317E294"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265C33D0"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3A3C898E"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4E3EE86F" w14:textId="77777777" w:rsidTr="00DA3C15">
        <w:trPr>
          <w:trHeight w:val="253"/>
        </w:trPr>
        <w:tc>
          <w:tcPr>
            <w:tcW w:w="4962" w:type="dxa"/>
          </w:tcPr>
          <w:p w14:paraId="286C1CE7" w14:textId="77777777" w:rsidR="00C65720" w:rsidRPr="00C65720" w:rsidRDefault="00C65720" w:rsidP="00136280">
            <w:pPr>
              <w:pStyle w:val="TableParagraph"/>
              <w:spacing w:before="24"/>
              <w:ind w:left="97"/>
              <w:jc w:val="left"/>
              <w:rPr>
                <w:rFonts w:asciiTheme="minorHAnsi" w:hAnsiTheme="minorHAnsi" w:cstheme="minorHAnsi"/>
                <w:sz w:val="16"/>
                <w:szCs w:val="16"/>
              </w:rPr>
            </w:pPr>
            <w:r w:rsidRPr="00C65720">
              <w:rPr>
                <w:rFonts w:asciiTheme="minorHAnsi" w:hAnsiTheme="minorHAnsi" w:cstheme="minorHAnsi"/>
                <w:sz w:val="16"/>
                <w:szCs w:val="16"/>
              </w:rPr>
              <w:t>Total</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suspended</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solids</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(TSS)</w:t>
            </w:r>
          </w:p>
        </w:tc>
        <w:tc>
          <w:tcPr>
            <w:tcW w:w="708" w:type="dxa"/>
          </w:tcPr>
          <w:p w14:paraId="569D89E8"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74C067C3"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1459A5EB"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009AC130" w14:textId="77777777" w:rsidTr="00DA3C15">
        <w:trPr>
          <w:trHeight w:val="255"/>
        </w:trPr>
        <w:tc>
          <w:tcPr>
            <w:tcW w:w="4962" w:type="dxa"/>
          </w:tcPr>
          <w:p w14:paraId="5E67CFC7" w14:textId="77777777" w:rsidR="00C65720" w:rsidRPr="00C65720" w:rsidRDefault="00C65720" w:rsidP="00136280">
            <w:pPr>
              <w:pStyle w:val="TableParagraph"/>
              <w:spacing w:before="24"/>
              <w:ind w:left="97"/>
              <w:jc w:val="left"/>
              <w:rPr>
                <w:rFonts w:asciiTheme="minorHAnsi" w:hAnsiTheme="minorHAnsi" w:cstheme="minorHAnsi"/>
                <w:position w:val="1"/>
                <w:sz w:val="16"/>
                <w:szCs w:val="16"/>
              </w:rPr>
            </w:pPr>
            <w:r w:rsidRPr="00C65720">
              <w:rPr>
                <w:rFonts w:asciiTheme="minorHAnsi" w:hAnsiTheme="minorHAnsi" w:cstheme="minorHAnsi"/>
                <w:position w:val="1"/>
                <w:sz w:val="16"/>
                <w:szCs w:val="16"/>
              </w:rPr>
              <w:t>Alkalinity</w:t>
            </w:r>
            <w:r w:rsidRPr="00C65720">
              <w:rPr>
                <w:rFonts w:asciiTheme="minorHAnsi" w:hAnsiTheme="minorHAnsi" w:cstheme="minorHAnsi"/>
                <w:spacing w:val="-8"/>
                <w:position w:val="1"/>
                <w:sz w:val="16"/>
                <w:szCs w:val="16"/>
              </w:rPr>
              <w:t xml:space="preserve"> </w:t>
            </w:r>
            <w:r w:rsidRPr="00C65720">
              <w:rPr>
                <w:rFonts w:asciiTheme="minorHAnsi" w:hAnsiTheme="minorHAnsi" w:cstheme="minorHAnsi"/>
                <w:position w:val="1"/>
                <w:sz w:val="16"/>
                <w:szCs w:val="16"/>
              </w:rPr>
              <w:t>(mg/l</w:t>
            </w:r>
            <w:r w:rsidRPr="00C65720">
              <w:rPr>
                <w:rFonts w:asciiTheme="minorHAnsi" w:hAnsiTheme="minorHAnsi" w:cstheme="minorHAnsi"/>
                <w:spacing w:val="-8"/>
                <w:position w:val="1"/>
                <w:sz w:val="16"/>
                <w:szCs w:val="16"/>
              </w:rPr>
              <w:t xml:space="preserve"> </w:t>
            </w:r>
            <w:proofErr w:type="spellStart"/>
            <w:r w:rsidRPr="00C65720">
              <w:rPr>
                <w:rFonts w:asciiTheme="minorHAnsi" w:hAnsiTheme="minorHAnsi" w:cstheme="minorHAnsi"/>
                <w:spacing w:val="-2"/>
                <w:position w:val="1"/>
                <w:sz w:val="16"/>
                <w:szCs w:val="16"/>
              </w:rPr>
              <w:t>CaCO</w:t>
            </w:r>
            <w:proofErr w:type="spellEnd"/>
            <w:r w:rsidRPr="00C65720">
              <w:rPr>
                <w:rFonts w:asciiTheme="minorHAnsi" w:hAnsiTheme="minorHAnsi" w:cstheme="minorHAnsi"/>
                <w:spacing w:val="-2"/>
                <w:sz w:val="16"/>
                <w:szCs w:val="16"/>
              </w:rPr>
              <w:t>3</w:t>
            </w:r>
            <w:r w:rsidRPr="00C65720">
              <w:rPr>
                <w:rFonts w:asciiTheme="minorHAnsi" w:hAnsiTheme="minorHAnsi" w:cstheme="minorHAnsi"/>
                <w:spacing w:val="-2"/>
                <w:position w:val="1"/>
                <w:sz w:val="16"/>
                <w:szCs w:val="16"/>
              </w:rPr>
              <w:t>)</w:t>
            </w:r>
          </w:p>
        </w:tc>
        <w:tc>
          <w:tcPr>
            <w:tcW w:w="708" w:type="dxa"/>
          </w:tcPr>
          <w:p w14:paraId="4F9ADCE2"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0318B0E8" w14:textId="77777777" w:rsidR="00C65720" w:rsidRPr="00C65720" w:rsidRDefault="00C65720" w:rsidP="00136280">
            <w:pPr>
              <w:pStyle w:val="TableParagraph"/>
              <w:spacing w:before="24"/>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65476FD9"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5B9C6A6D" w14:textId="77777777" w:rsidTr="00DA3C15">
        <w:trPr>
          <w:trHeight w:val="253"/>
        </w:trPr>
        <w:tc>
          <w:tcPr>
            <w:tcW w:w="4962" w:type="dxa"/>
          </w:tcPr>
          <w:p w14:paraId="4BF20163" w14:textId="77777777" w:rsidR="00C65720" w:rsidRPr="00C65720" w:rsidRDefault="00C65720" w:rsidP="00136280">
            <w:pPr>
              <w:pStyle w:val="TableParagraph"/>
              <w:spacing w:before="22"/>
              <w:ind w:left="97"/>
              <w:jc w:val="left"/>
              <w:rPr>
                <w:rFonts w:asciiTheme="minorHAnsi" w:hAnsiTheme="minorHAnsi" w:cstheme="minorHAnsi"/>
                <w:position w:val="1"/>
                <w:sz w:val="16"/>
                <w:szCs w:val="16"/>
              </w:rPr>
            </w:pPr>
            <w:r w:rsidRPr="00C65720">
              <w:rPr>
                <w:rFonts w:asciiTheme="minorHAnsi" w:hAnsiTheme="minorHAnsi" w:cstheme="minorHAnsi"/>
                <w:position w:val="1"/>
                <w:sz w:val="16"/>
                <w:szCs w:val="16"/>
              </w:rPr>
              <w:t>Total</w:t>
            </w:r>
            <w:r w:rsidRPr="00C65720">
              <w:rPr>
                <w:rFonts w:asciiTheme="minorHAnsi" w:hAnsiTheme="minorHAnsi" w:cstheme="minorHAnsi"/>
                <w:spacing w:val="-9"/>
                <w:position w:val="1"/>
                <w:sz w:val="16"/>
                <w:szCs w:val="16"/>
              </w:rPr>
              <w:t xml:space="preserve"> </w:t>
            </w:r>
            <w:r w:rsidRPr="00C65720">
              <w:rPr>
                <w:rFonts w:asciiTheme="minorHAnsi" w:hAnsiTheme="minorHAnsi" w:cstheme="minorHAnsi"/>
                <w:position w:val="1"/>
                <w:sz w:val="16"/>
                <w:szCs w:val="16"/>
              </w:rPr>
              <w:t>hardness</w:t>
            </w:r>
            <w:r w:rsidRPr="00C65720">
              <w:rPr>
                <w:rFonts w:asciiTheme="minorHAnsi" w:hAnsiTheme="minorHAnsi" w:cstheme="minorHAnsi"/>
                <w:spacing w:val="-8"/>
                <w:position w:val="1"/>
                <w:sz w:val="16"/>
                <w:szCs w:val="16"/>
              </w:rPr>
              <w:t xml:space="preserve"> </w:t>
            </w:r>
            <w:r w:rsidRPr="00C65720">
              <w:rPr>
                <w:rFonts w:asciiTheme="minorHAnsi" w:hAnsiTheme="minorHAnsi" w:cstheme="minorHAnsi"/>
                <w:position w:val="1"/>
                <w:sz w:val="16"/>
                <w:szCs w:val="16"/>
              </w:rPr>
              <w:t>(mg/l</w:t>
            </w:r>
            <w:r w:rsidRPr="00C65720">
              <w:rPr>
                <w:rFonts w:asciiTheme="minorHAnsi" w:hAnsiTheme="minorHAnsi" w:cstheme="minorHAnsi"/>
                <w:spacing w:val="-8"/>
                <w:position w:val="1"/>
                <w:sz w:val="16"/>
                <w:szCs w:val="16"/>
              </w:rPr>
              <w:t xml:space="preserve"> </w:t>
            </w:r>
            <w:proofErr w:type="spellStart"/>
            <w:r w:rsidRPr="00C65720">
              <w:rPr>
                <w:rFonts w:asciiTheme="minorHAnsi" w:hAnsiTheme="minorHAnsi" w:cstheme="minorHAnsi"/>
                <w:spacing w:val="-2"/>
                <w:position w:val="1"/>
                <w:sz w:val="16"/>
                <w:szCs w:val="16"/>
              </w:rPr>
              <w:t>CaCO</w:t>
            </w:r>
            <w:proofErr w:type="spellEnd"/>
            <w:r w:rsidRPr="00C65720">
              <w:rPr>
                <w:rFonts w:asciiTheme="minorHAnsi" w:hAnsiTheme="minorHAnsi" w:cstheme="minorHAnsi"/>
                <w:spacing w:val="-2"/>
                <w:sz w:val="16"/>
                <w:szCs w:val="16"/>
              </w:rPr>
              <w:t>3</w:t>
            </w:r>
            <w:r w:rsidRPr="00C65720">
              <w:rPr>
                <w:rFonts w:asciiTheme="minorHAnsi" w:hAnsiTheme="minorHAnsi" w:cstheme="minorHAnsi"/>
                <w:spacing w:val="-2"/>
                <w:position w:val="1"/>
                <w:sz w:val="16"/>
                <w:szCs w:val="16"/>
              </w:rPr>
              <w:t>)</w:t>
            </w:r>
          </w:p>
        </w:tc>
        <w:tc>
          <w:tcPr>
            <w:tcW w:w="708" w:type="dxa"/>
          </w:tcPr>
          <w:p w14:paraId="1E2C2097"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1DEAF5D5"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59E5AFF7"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7455F5D6" w14:textId="77777777" w:rsidTr="00DA3C15">
        <w:trPr>
          <w:trHeight w:val="253"/>
        </w:trPr>
        <w:tc>
          <w:tcPr>
            <w:tcW w:w="4962" w:type="dxa"/>
          </w:tcPr>
          <w:p w14:paraId="1AABAD51" w14:textId="77777777" w:rsidR="00C65720" w:rsidRPr="00C65720" w:rsidRDefault="00C65720" w:rsidP="00136280">
            <w:pPr>
              <w:pStyle w:val="TableParagraph"/>
              <w:spacing w:before="24"/>
              <w:ind w:left="97"/>
              <w:jc w:val="left"/>
              <w:rPr>
                <w:rFonts w:asciiTheme="minorHAnsi" w:hAnsiTheme="minorHAnsi" w:cstheme="minorHAnsi"/>
                <w:sz w:val="16"/>
                <w:szCs w:val="16"/>
              </w:rPr>
            </w:pPr>
            <w:r w:rsidRPr="00C65720">
              <w:rPr>
                <w:rFonts w:asciiTheme="minorHAnsi" w:hAnsiTheme="minorHAnsi" w:cstheme="minorHAnsi"/>
                <w:spacing w:val="-2"/>
                <w:sz w:val="16"/>
                <w:szCs w:val="16"/>
              </w:rPr>
              <w:t>Turbidity</w:t>
            </w:r>
            <w:r w:rsidRPr="00C65720">
              <w:rPr>
                <w:rFonts w:asciiTheme="minorHAnsi" w:hAnsiTheme="minorHAnsi" w:cstheme="minorHAnsi"/>
                <w:spacing w:val="5"/>
                <w:sz w:val="16"/>
                <w:szCs w:val="16"/>
              </w:rPr>
              <w:t xml:space="preserve"> </w:t>
            </w:r>
            <w:r w:rsidRPr="00C65720">
              <w:rPr>
                <w:rFonts w:asciiTheme="minorHAnsi" w:hAnsiTheme="minorHAnsi" w:cstheme="minorHAnsi"/>
                <w:spacing w:val="-4"/>
                <w:sz w:val="16"/>
                <w:szCs w:val="16"/>
              </w:rPr>
              <w:t>(NTU)</w:t>
            </w:r>
          </w:p>
        </w:tc>
        <w:tc>
          <w:tcPr>
            <w:tcW w:w="708" w:type="dxa"/>
          </w:tcPr>
          <w:p w14:paraId="4724CE79"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6A11CDD3" w14:textId="77777777" w:rsidR="00C65720" w:rsidRPr="00C65720" w:rsidRDefault="00C65720" w:rsidP="00136280">
            <w:pPr>
              <w:pStyle w:val="TableParagraph"/>
              <w:spacing w:before="24"/>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4811F7A3"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1831DA6C" w14:textId="77777777" w:rsidTr="00DA3C15">
        <w:trPr>
          <w:trHeight w:val="255"/>
        </w:trPr>
        <w:tc>
          <w:tcPr>
            <w:tcW w:w="4962" w:type="dxa"/>
          </w:tcPr>
          <w:p w14:paraId="20C519D7" w14:textId="77777777" w:rsidR="00C65720" w:rsidRPr="00C65720" w:rsidRDefault="00C65720" w:rsidP="00136280">
            <w:pPr>
              <w:pStyle w:val="TableParagraph"/>
              <w:spacing w:before="24"/>
              <w:ind w:left="97"/>
              <w:jc w:val="left"/>
              <w:rPr>
                <w:rFonts w:asciiTheme="minorHAnsi" w:hAnsiTheme="minorHAnsi" w:cstheme="minorHAnsi"/>
                <w:position w:val="1"/>
                <w:sz w:val="16"/>
                <w:szCs w:val="16"/>
              </w:rPr>
            </w:pPr>
            <w:r w:rsidRPr="00C65720">
              <w:rPr>
                <w:rFonts w:asciiTheme="minorHAnsi" w:hAnsiTheme="minorHAnsi" w:cstheme="minorHAnsi"/>
                <w:position w:val="1"/>
                <w:sz w:val="16"/>
                <w:szCs w:val="16"/>
              </w:rPr>
              <w:t>Dissolved</w:t>
            </w:r>
            <w:r w:rsidRPr="00C65720">
              <w:rPr>
                <w:rFonts w:asciiTheme="minorHAnsi" w:hAnsiTheme="minorHAnsi" w:cstheme="minorHAnsi"/>
                <w:spacing w:val="-8"/>
                <w:position w:val="1"/>
                <w:sz w:val="16"/>
                <w:szCs w:val="16"/>
              </w:rPr>
              <w:t xml:space="preserve"> </w:t>
            </w:r>
            <w:r w:rsidRPr="00C65720">
              <w:rPr>
                <w:rFonts w:asciiTheme="minorHAnsi" w:hAnsiTheme="minorHAnsi" w:cstheme="minorHAnsi"/>
                <w:position w:val="1"/>
                <w:sz w:val="16"/>
                <w:szCs w:val="16"/>
              </w:rPr>
              <w:t>oxygen</w:t>
            </w:r>
            <w:r w:rsidRPr="00C65720">
              <w:rPr>
                <w:rFonts w:asciiTheme="minorHAnsi" w:hAnsiTheme="minorHAnsi" w:cstheme="minorHAnsi"/>
                <w:spacing w:val="-7"/>
                <w:position w:val="1"/>
                <w:sz w:val="16"/>
                <w:szCs w:val="16"/>
              </w:rPr>
              <w:t xml:space="preserve"> </w:t>
            </w:r>
            <w:r w:rsidRPr="00C65720">
              <w:rPr>
                <w:rFonts w:asciiTheme="minorHAnsi" w:hAnsiTheme="minorHAnsi" w:cstheme="minorHAnsi"/>
                <w:position w:val="1"/>
                <w:sz w:val="16"/>
                <w:szCs w:val="16"/>
              </w:rPr>
              <w:t>(DO)</w:t>
            </w:r>
            <w:r w:rsidRPr="00C65720">
              <w:rPr>
                <w:rFonts w:asciiTheme="minorHAnsi" w:hAnsiTheme="minorHAnsi" w:cstheme="minorHAnsi"/>
                <w:spacing w:val="-8"/>
                <w:position w:val="1"/>
                <w:sz w:val="16"/>
                <w:szCs w:val="16"/>
              </w:rPr>
              <w:t xml:space="preserve"> </w:t>
            </w:r>
            <w:r w:rsidRPr="00C65720">
              <w:rPr>
                <w:rFonts w:asciiTheme="minorHAnsi" w:hAnsiTheme="minorHAnsi" w:cstheme="minorHAnsi"/>
                <w:position w:val="1"/>
                <w:sz w:val="16"/>
                <w:szCs w:val="16"/>
              </w:rPr>
              <w:t>(mg/l</w:t>
            </w:r>
            <w:r w:rsidRPr="00C65720">
              <w:rPr>
                <w:rFonts w:asciiTheme="minorHAnsi" w:hAnsiTheme="minorHAnsi" w:cstheme="minorHAnsi"/>
                <w:spacing w:val="-7"/>
                <w:position w:val="1"/>
                <w:sz w:val="16"/>
                <w:szCs w:val="16"/>
              </w:rPr>
              <w:t xml:space="preserve"> </w:t>
            </w:r>
            <w:r w:rsidRPr="00C65720">
              <w:rPr>
                <w:rFonts w:asciiTheme="minorHAnsi" w:hAnsiTheme="minorHAnsi" w:cstheme="minorHAnsi"/>
                <w:spacing w:val="-5"/>
                <w:position w:val="1"/>
                <w:sz w:val="16"/>
                <w:szCs w:val="16"/>
              </w:rPr>
              <w:t>O</w:t>
            </w:r>
            <w:r w:rsidRPr="00C65720">
              <w:rPr>
                <w:rFonts w:asciiTheme="minorHAnsi" w:hAnsiTheme="minorHAnsi" w:cstheme="minorHAnsi"/>
                <w:spacing w:val="-5"/>
                <w:sz w:val="16"/>
                <w:szCs w:val="16"/>
              </w:rPr>
              <w:t>2</w:t>
            </w:r>
            <w:r w:rsidRPr="00C65720">
              <w:rPr>
                <w:rFonts w:asciiTheme="minorHAnsi" w:hAnsiTheme="minorHAnsi" w:cstheme="minorHAnsi"/>
                <w:spacing w:val="-5"/>
                <w:position w:val="1"/>
                <w:sz w:val="16"/>
                <w:szCs w:val="16"/>
              </w:rPr>
              <w:t>)</w:t>
            </w:r>
          </w:p>
        </w:tc>
        <w:tc>
          <w:tcPr>
            <w:tcW w:w="708" w:type="dxa"/>
          </w:tcPr>
          <w:p w14:paraId="447D13C3"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0D6C04B2" w14:textId="77777777" w:rsidR="00C65720" w:rsidRPr="00C65720" w:rsidRDefault="00C65720" w:rsidP="00136280">
            <w:pPr>
              <w:pStyle w:val="TableParagraph"/>
              <w:spacing w:before="24"/>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03FCE6E0"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14D8A661" w14:textId="77777777" w:rsidTr="00DA3C15">
        <w:trPr>
          <w:trHeight w:val="253"/>
        </w:trPr>
        <w:tc>
          <w:tcPr>
            <w:tcW w:w="4962" w:type="dxa"/>
          </w:tcPr>
          <w:p w14:paraId="4B9519CE" w14:textId="77777777" w:rsidR="00C65720" w:rsidRPr="00C65720" w:rsidRDefault="00C65720" w:rsidP="00136280">
            <w:pPr>
              <w:pStyle w:val="TableParagraph"/>
              <w:spacing w:before="22"/>
              <w:ind w:left="97"/>
              <w:jc w:val="left"/>
              <w:rPr>
                <w:rFonts w:asciiTheme="minorHAnsi" w:hAnsiTheme="minorHAnsi" w:cstheme="minorHAnsi"/>
                <w:sz w:val="16"/>
                <w:szCs w:val="16"/>
              </w:rPr>
            </w:pPr>
            <w:r w:rsidRPr="00C65720">
              <w:rPr>
                <w:rFonts w:asciiTheme="minorHAnsi" w:hAnsiTheme="minorHAnsi" w:cstheme="minorHAnsi"/>
                <w:sz w:val="16"/>
                <w:szCs w:val="16"/>
              </w:rPr>
              <w:t>COD</w:t>
            </w:r>
            <w:r w:rsidRPr="00C65720">
              <w:rPr>
                <w:rFonts w:asciiTheme="minorHAnsi" w:hAnsiTheme="minorHAnsi" w:cstheme="minorHAnsi"/>
                <w:spacing w:val="-8"/>
                <w:sz w:val="16"/>
                <w:szCs w:val="16"/>
              </w:rPr>
              <w:t xml:space="preserve"> </w:t>
            </w:r>
            <w:r w:rsidRPr="00C65720">
              <w:rPr>
                <w:rFonts w:asciiTheme="minorHAnsi" w:hAnsiTheme="minorHAnsi" w:cstheme="minorHAnsi"/>
                <w:sz w:val="16"/>
                <w:szCs w:val="16"/>
              </w:rPr>
              <w:t>Mn</w:t>
            </w:r>
            <w:r w:rsidRPr="00C65720">
              <w:rPr>
                <w:rFonts w:asciiTheme="minorHAnsi" w:hAnsiTheme="minorHAnsi" w:cstheme="minorHAnsi"/>
                <w:spacing w:val="-6"/>
                <w:sz w:val="16"/>
                <w:szCs w:val="16"/>
              </w:rPr>
              <w:t xml:space="preserve"> </w:t>
            </w:r>
            <w:r w:rsidRPr="00C65720">
              <w:rPr>
                <w:rFonts w:asciiTheme="minorHAnsi" w:hAnsiTheme="minorHAnsi" w:cstheme="minorHAnsi"/>
                <w:sz w:val="16"/>
                <w:szCs w:val="16"/>
              </w:rPr>
              <w:t>(mg</w:t>
            </w:r>
            <w:r w:rsidRPr="00C65720">
              <w:rPr>
                <w:rFonts w:asciiTheme="minorHAnsi" w:hAnsiTheme="minorHAnsi" w:cstheme="minorHAnsi"/>
                <w:spacing w:val="-3"/>
                <w:sz w:val="16"/>
                <w:szCs w:val="16"/>
              </w:rPr>
              <w:t xml:space="preserve"> </w:t>
            </w:r>
            <w:r w:rsidRPr="00C65720">
              <w:rPr>
                <w:rFonts w:asciiTheme="minorHAnsi" w:hAnsiTheme="minorHAnsi" w:cstheme="minorHAnsi"/>
                <w:spacing w:val="-2"/>
                <w:sz w:val="16"/>
                <w:szCs w:val="16"/>
              </w:rPr>
              <w:t>O₂/l)</w:t>
            </w:r>
          </w:p>
        </w:tc>
        <w:tc>
          <w:tcPr>
            <w:tcW w:w="708" w:type="dxa"/>
          </w:tcPr>
          <w:p w14:paraId="320BD2FF"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0AAA4E57"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428C20F1"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12E9D1F3" w14:textId="77777777" w:rsidTr="00DA3C15">
        <w:trPr>
          <w:trHeight w:val="253"/>
        </w:trPr>
        <w:tc>
          <w:tcPr>
            <w:tcW w:w="4962" w:type="dxa"/>
          </w:tcPr>
          <w:p w14:paraId="56738F22" w14:textId="77777777" w:rsidR="00C65720" w:rsidRPr="00C65720" w:rsidRDefault="00C65720" w:rsidP="00136280">
            <w:pPr>
              <w:pStyle w:val="TableParagraph"/>
              <w:spacing w:before="24"/>
              <w:ind w:left="97"/>
              <w:jc w:val="left"/>
              <w:rPr>
                <w:rFonts w:asciiTheme="minorHAnsi" w:hAnsiTheme="minorHAnsi" w:cstheme="minorHAnsi"/>
                <w:sz w:val="16"/>
                <w:szCs w:val="16"/>
              </w:rPr>
            </w:pPr>
            <w:r w:rsidRPr="00C65720">
              <w:rPr>
                <w:rFonts w:asciiTheme="minorHAnsi" w:hAnsiTheme="minorHAnsi" w:cstheme="minorHAnsi"/>
                <w:sz w:val="16"/>
                <w:szCs w:val="16"/>
              </w:rPr>
              <w:t>Total</w:t>
            </w:r>
            <w:r w:rsidRPr="00C65720">
              <w:rPr>
                <w:rFonts w:asciiTheme="minorHAnsi" w:hAnsiTheme="minorHAnsi" w:cstheme="minorHAnsi"/>
                <w:spacing w:val="-8"/>
                <w:sz w:val="16"/>
                <w:szCs w:val="16"/>
              </w:rPr>
              <w:t xml:space="preserve"> </w:t>
            </w:r>
            <w:r w:rsidRPr="00C65720">
              <w:rPr>
                <w:rFonts w:asciiTheme="minorHAnsi" w:hAnsiTheme="minorHAnsi" w:cstheme="minorHAnsi"/>
                <w:sz w:val="16"/>
                <w:szCs w:val="16"/>
              </w:rPr>
              <w:t>Organic</w:t>
            </w:r>
            <w:r w:rsidRPr="00C65720">
              <w:rPr>
                <w:rFonts w:asciiTheme="minorHAnsi" w:hAnsiTheme="minorHAnsi" w:cstheme="minorHAnsi"/>
                <w:spacing w:val="-8"/>
                <w:sz w:val="16"/>
                <w:szCs w:val="16"/>
              </w:rPr>
              <w:t xml:space="preserve"> </w:t>
            </w:r>
            <w:r w:rsidRPr="00C65720">
              <w:rPr>
                <w:rFonts w:asciiTheme="minorHAnsi" w:hAnsiTheme="minorHAnsi" w:cstheme="minorHAnsi"/>
                <w:sz w:val="16"/>
                <w:szCs w:val="16"/>
              </w:rPr>
              <w:t>Carbon</w:t>
            </w:r>
            <w:r w:rsidRPr="00C65720">
              <w:rPr>
                <w:rFonts w:asciiTheme="minorHAnsi" w:hAnsiTheme="minorHAnsi" w:cstheme="minorHAnsi"/>
                <w:spacing w:val="-7"/>
                <w:sz w:val="16"/>
                <w:szCs w:val="16"/>
              </w:rPr>
              <w:t xml:space="preserve"> </w:t>
            </w:r>
            <w:r w:rsidRPr="00C65720">
              <w:rPr>
                <w:rFonts w:asciiTheme="minorHAnsi" w:hAnsiTheme="minorHAnsi" w:cstheme="minorHAnsi"/>
                <w:sz w:val="16"/>
                <w:szCs w:val="16"/>
              </w:rPr>
              <w:t>(TOC)</w:t>
            </w:r>
            <w:r w:rsidRPr="00C65720">
              <w:rPr>
                <w:rFonts w:asciiTheme="minorHAnsi" w:hAnsiTheme="minorHAnsi" w:cstheme="minorHAnsi"/>
                <w:spacing w:val="-8"/>
                <w:sz w:val="16"/>
                <w:szCs w:val="16"/>
              </w:rPr>
              <w:t xml:space="preserve"> </w:t>
            </w:r>
            <w:r w:rsidRPr="00C65720">
              <w:rPr>
                <w:rFonts w:asciiTheme="minorHAnsi" w:hAnsiTheme="minorHAnsi" w:cstheme="minorHAnsi"/>
                <w:sz w:val="16"/>
                <w:szCs w:val="16"/>
              </w:rPr>
              <w:t>(mg/l</w:t>
            </w:r>
            <w:r w:rsidRPr="00C65720">
              <w:rPr>
                <w:rFonts w:asciiTheme="minorHAnsi" w:hAnsiTheme="minorHAnsi" w:cstheme="minorHAnsi"/>
                <w:spacing w:val="-7"/>
                <w:sz w:val="16"/>
                <w:szCs w:val="16"/>
              </w:rPr>
              <w:t xml:space="preserve"> </w:t>
            </w:r>
            <w:r w:rsidRPr="00C65720">
              <w:rPr>
                <w:rFonts w:asciiTheme="minorHAnsi" w:hAnsiTheme="minorHAnsi" w:cstheme="minorHAnsi"/>
                <w:spacing w:val="-5"/>
                <w:sz w:val="16"/>
                <w:szCs w:val="16"/>
              </w:rPr>
              <w:t>C)</w:t>
            </w:r>
          </w:p>
        </w:tc>
        <w:tc>
          <w:tcPr>
            <w:tcW w:w="708" w:type="dxa"/>
          </w:tcPr>
          <w:p w14:paraId="2A46F886"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7FB8F91A" w14:textId="77777777" w:rsidR="00C65720" w:rsidRPr="00C65720" w:rsidRDefault="00C65720" w:rsidP="00136280">
            <w:pPr>
              <w:pStyle w:val="TableParagraph"/>
              <w:spacing w:before="24"/>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76396522"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4FB1F25C" w14:textId="77777777" w:rsidTr="00DA3C15">
        <w:trPr>
          <w:trHeight w:val="255"/>
        </w:trPr>
        <w:tc>
          <w:tcPr>
            <w:tcW w:w="4962" w:type="dxa"/>
          </w:tcPr>
          <w:p w14:paraId="2F280FD9" w14:textId="77777777" w:rsidR="00C65720" w:rsidRPr="00C65720" w:rsidRDefault="00C65720" w:rsidP="00136280">
            <w:pPr>
              <w:pStyle w:val="TableParagraph"/>
              <w:spacing w:before="24"/>
              <w:ind w:left="97"/>
              <w:jc w:val="left"/>
              <w:rPr>
                <w:rFonts w:asciiTheme="minorHAnsi" w:hAnsiTheme="minorHAnsi" w:cstheme="minorHAnsi"/>
                <w:sz w:val="16"/>
                <w:szCs w:val="16"/>
              </w:rPr>
            </w:pPr>
            <w:r w:rsidRPr="00C65720">
              <w:rPr>
                <w:rFonts w:asciiTheme="minorHAnsi" w:hAnsiTheme="minorHAnsi" w:cstheme="minorHAnsi"/>
                <w:sz w:val="16"/>
                <w:szCs w:val="16"/>
              </w:rPr>
              <w:t>Total</w:t>
            </w:r>
            <w:r w:rsidRPr="00C65720">
              <w:rPr>
                <w:rFonts w:asciiTheme="minorHAnsi" w:hAnsiTheme="minorHAnsi" w:cstheme="minorHAnsi"/>
                <w:spacing w:val="-8"/>
                <w:sz w:val="16"/>
                <w:szCs w:val="16"/>
              </w:rPr>
              <w:t xml:space="preserve"> </w:t>
            </w:r>
            <w:r w:rsidRPr="00C65720">
              <w:rPr>
                <w:rFonts w:asciiTheme="minorHAnsi" w:hAnsiTheme="minorHAnsi" w:cstheme="minorHAnsi"/>
                <w:sz w:val="16"/>
                <w:szCs w:val="16"/>
              </w:rPr>
              <w:t>Nitrogen</w:t>
            </w:r>
            <w:r w:rsidRPr="00C65720">
              <w:rPr>
                <w:rFonts w:asciiTheme="minorHAnsi" w:hAnsiTheme="minorHAnsi" w:cstheme="minorHAnsi"/>
                <w:spacing w:val="-8"/>
                <w:sz w:val="16"/>
                <w:szCs w:val="16"/>
              </w:rPr>
              <w:t xml:space="preserve"> </w:t>
            </w:r>
            <w:r w:rsidRPr="00C65720">
              <w:rPr>
                <w:rFonts w:asciiTheme="minorHAnsi" w:hAnsiTheme="minorHAnsi" w:cstheme="minorHAnsi"/>
                <w:sz w:val="16"/>
                <w:szCs w:val="16"/>
              </w:rPr>
              <w:t>(mg/l</w:t>
            </w:r>
            <w:r w:rsidRPr="00C65720">
              <w:rPr>
                <w:rFonts w:asciiTheme="minorHAnsi" w:hAnsiTheme="minorHAnsi" w:cstheme="minorHAnsi"/>
                <w:spacing w:val="-8"/>
                <w:sz w:val="16"/>
                <w:szCs w:val="16"/>
              </w:rPr>
              <w:t xml:space="preserve"> </w:t>
            </w:r>
            <w:r w:rsidRPr="00C65720">
              <w:rPr>
                <w:rFonts w:asciiTheme="minorHAnsi" w:hAnsiTheme="minorHAnsi" w:cstheme="minorHAnsi"/>
                <w:spacing w:val="-5"/>
                <w:sz w:val="16"/>
                <w:szCs w:val="16"/>
              </w:rPr>
              <w:t>N)</w:t>
            </w:r>
          </w:p>
        </w:tc>
        <w:tc>
          <w:tcPr>
            <w:tcW w:w="708" w:type="dxa"/>
          </w:tcPr>
          <w:p w14:paraId="2EF4D6FE"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01E89BFA"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53B48728"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745DC385" w14:textId="77777777" w:rsidTr="00DA3C15">
        <w:trPr>
          <w:trHeight w:val="253"/>
        </w:trPr>
        <w:tc>
          <w:tcPr>
            <w:tcW w:w="4962" w:type="dxa"/>
          </w:tcPr>
          <w:p w14:paraId="78AB8251" w14:textId="77777777" w:rsidR="00C65720" w:rsidRPr="00C65720" w:rsidRDefault="00C65720" w:rsidP="00136280">
            <w:pPr>
              <w:pStyle w:val="TableParagraph"/>
              <w:spacing w:before="22"/>
              <w:ind w:left="97"/>
              <w:jc w:val="left"/>
              <w:rPr>
                <w:rFonts w:asciiTheme="minorHAnsi" w:hAnsiTheme="minorHAnsi" w:cstheme="minorHAnsi"/>
                <w:sz w:val="16"/>
                <w:szCs w:val="16"/>
              </w:rPr>
            </w:pPr>
            <w:r w:rsidRPr="00C65720">
              <w:rPr>
                <w:rFonts w:asciiTheme="minorHAnsi" w:hAnsiTheme="minorHAnsi" w:cstheme="minorHAnsi"/>
                <w:spacing w:val="-2"/>
                <w:sz w:val="16"/>
                <w:szCs w:val="16"/>
              </w:rPr>
              <w:t>Color</w:t>
            </w:r>
          </w:p>
        </w:tc>
        <w:tc>
          <w:tcPr>
            <w:tcW w:w="708" w:type="dxa"/>
          </w:tcPr>
          <w:p w14:paraId="66B367E4"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0BA58972"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560" w:type="dxa"/>
          </w:tcPr>
          <w:p w14:paraId="6896984D"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2"/>
                <w:sz w:val="16"/>
                <w:szCs w:val="16"/>
              </w:rPr>
              <w:t>4/yr-12/yr</w:t>
            </w:r>
          </w:p>
        </w:tc>
      </w:tr>
      <w:tr w:rsidR="00C65720" w:rsidRPr="00C65720" w14:paraId="718E38B8" w14:textId="77777777" w:rsidTr="00DA3C15">
        <w:trPr>
          <w:trHeight w:val="253"/>
        </w:trPr>
        <w:tc>
          <w:tcPr>
            <w:tcW w:w="4962" w:type="dxa"/>
          </w:tcPr>
          <w:p w14:paraId="4C22C7B1" w14:textId="77777777" w:rsidR="00C65720" w:rsidRPr="00C65720" w:rsidRDefault="00C65720" w:rsidP="00136280">
            <w:pPr>
              <w:pStyle w:val="TableParagraph"/>
              <w:spacing w:before="24"/>
              <w:ind w:left="97"/>
              <w:jc w:val="left"/>
              <w:rPr>
                <w:rFonts w:asciiTheme="minorHAnsi" w:hAnsiTheme="minorHAnsi" w:cstheme="minorHAnsi"/>
                <w:sz w:val="16"/>
                <w:szCs w:val="16"/>
              </w:rPr>
            </w:pPr>
            <w:r w:rsidRPr="00C65720">
              <w:rPr>
                <w:rFonts w:asciiTheme="minorHAnsi" w:hAnsiTheme="minorHAnsi" w:cstheme="minorHAnsi"/>
                <w:sz w:val="16"/>
                <w:szCs w:val="16"/>
              </w:rPr>
              <w:t>Odor</w:t>
            </w:r>
            <w:r w:rsidRPr="00C65720">
              <w:rPr>
                <w:rFonts w:asciiTheme="minorHAnsi" w:hAnsiTheme="minorHAnsi" w:cstheme="minorHAnsi"/>
                <w:spacing w:val="-9"/>
                <w:sz w:val="16"/>
                <w:szCs w:val="16"/>
              </w:rPr>
              <w:t xml:space="preserve"> </w:t>
            </w:r>
            <w:r w:rsidRPr="00C65720">
              <w:rPr>
                <w:rFonts w:asciiTheme="minorHAnsi" w:hAnsiTheme="minorHAnsi" w:cstheme="minorHAnsi"/>
                <w:sz w:val="16"/>
                <w:szCs w:val="16"/>
              </w:rPr>
              <w:t>/</w:t>
            </w:r>
            <w:r w:rsidRPr="00C65720">
              <w:rPr>
                <w:rFonts w:asciiTheme="minorHAnsi" w:hAnsiTheme="minorHAnsi" w:cstheme="minorHAnsi"/>
                <w:spacing w:val="-5"/>
                <w:sz w:val="16"/>
                <w:szCs w:val="16"/>
              </w:rPr>
              <w:t xml:space="preserve"> </w:t>
            </w:r>
            <w:r w:rsidRPr="00C65720">
              <w:rPr>
                <w:rFonts w:asciiTheme="minorHAnsi" w:hAnsiTheme="minorHAnsi" w:cstheme="minorHAnsi"/>
                <w:spacing w:val="-2"/>
                <w:sz w:val="16"/>
                <w:szCs w:val="16"/>
              </w:rPr>
              <w:t>Smell</w:t>
            </w:r>
          </w:p>
        </w:tc>
        <w:tc>
          <w:tcPr>
            <w:tcW w:w="708" w:type="dxa"/>
          </w:tcPr>
          <w:p w14:paraId="6D53AD3C"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3E29D221"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560" w:type="dxa"/>
          </w:tcPr>
          <w:p w14:paraId="656F153A"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4/yr-12/yr</w:t>
            </w:r>
          </w:p>
        </w:tc>
      </w:tr>
      <w:tr w:rsidR="00C65720" w:rsidRPr="00C65720" w14:paraId="357C02C1" w14:textId="77777777" w:rsidTr="00DA3C15">
        <w:trPr>
          <w:trHeight w:val="255"/>
        </w:trPr>
        <w:tc>
          <w:tcPr>
            <w:tcW w:w="4962" w:type="dxa"/>
            <w:shd w:val="clear" w:color="auto" w:fill="D9E2F3"/>
          </w:tcPr>
          <w:p w14:paraId="7822E533" w14:textId="77777777" w:rsidR="00C65720" w:rsidRPr="00C65720" w:rsidRDefault="00C65720" w:rsidP="00136280">
            <w:pPr>
              <w:pStyle w:val="TableParagraph"/>
              <w:spacing w:before="24"/>
              <w:ind w:left="97"/>
              <w:jc w:val="left"/>
              <w:rPr>
                <w:rFonts w:asciiTheme="minorHAnsi" w:hAnsiTheme="minorHAnsi" w:cstheme="minorHAnsi"/>
                <w:b/>
                <w:sz w:val="16"/>
                <w:szCs w:val="16"/>
              </w:rPr>
            </w:pPr>
            <w:r w:rsidRPr="00C65720">
              <w:rPr>
                <w:rFonts w:asciiTheme="minorHAnsi" w:hAnsiTheme="minorHAnsi" w:cstheme="minorHAnsi"/>
                <w:b/>
                <w:spacing w:val="-4"/>
                <w:sz w:val="16"/>
                <w:szCs w:val="16"/>
              </w:rPr>
              <w:t>IONS</w:t>
            </w:r>
          </w:p>
        </w:tc>
        <w:tc>
          <w:tcPr>
            <w:tcW w:w="708" w:type="dxa"/>
            <w:shd w:val="clear" w:color="auto" w:fill="D9E2F3"/>
          </w:tcPr>
          <w:p w14:paraId="6DBFC731"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shd w:val="clear" w:color="auto" w:fill="D9E2F3"/>
          </w:tcPr>
          <w:p w14:paraId="714991C4"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560" w:type="dxa"/>
            <w:shd w:val="clear" w:color="auto" w:fill="D9E2F3"/>
          </w:tcPr>
          <w:p w14:paraId="2E6A0CDB"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4973EC20" w14:textId="77777777" w:rsidTr="00DA3C15">
        <w:trPr>
          <w:trHeight w:val="253"/>
        </w:trPr>
        <w:tc>
          <w:tcPr>
            <w:tcW w:w="4962" w:type="dxa"/>
          </w:tcPr>
          <w:p w14:paraId="71826DBE" w14:textId="77777777" w:rsidR="00C65720" w:rsidRPr="00C65720" w:rsidRDefault="00C65720" w:rsidP="00136280">
            <w:pPr>
              <w:pStyle w:val="TableParagraph"/>
              <w:spacing w:before="22"/>
              <w:ind w:left="97"/>
              <w:jc w:val="left"/>
              <w:rPr>
                <w:rFonts w:asciiTheme="minorHAnsi" w:hAnsiTheme="minorHAnsi" w:cstheme="minorHAnsi"/>
                <w:sz w:val="16"/>
                <w:szCs w:val="16"/>
              </w:rPr>
            </w:pPr>
            <w:r w:rsidRPr="00C65720">
              <w:rPr>
                <w:rFonts w:asciiTheme="minorHAnsi" w:hAnsiTheme="minorHAnsi" w:cstheme="minorHAnsi"/>
                <w:sz w:val="16"/>
                <w:szCs w:val="16"/>
              </w:rPr>
              <w:t>Calcium</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(mg/l)</w:t>
            </w:r>
          </w:p>
        </w:tc>
        <w:tc>
          <w:tcPr>
            <w:tcW w:w="708" w:type="dxa"/>
          </w:tcPr>
          <w:p w14:paraId="33B904BD" w14:textId="77777777" w:rsidR="00C65720" w:rsidRPr="00C65720" w:rsidRDefault="00C65720" w:rsidP="00136280">
            <w:pPr>
              <w:pStyle w:val="TableParagraph"/>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5BF7A418" w14:textId="77777777" w:rsidR="00C65720" w:rsidRPr="00C65720" w:rsidRDefault="00C65720" w:rsidP="00136280">
            <w:pPr>
              <w:pStyle w:val="TableParagraph"/>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465F19F7"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10FEAE1C" w14:textId="77777777" w:rsidTr="00DA3C15">
        <w:trPr>
          <w:trHeight w:val="253"/>
        </w:trPr>
        <w:tc>
          <w:tcPr>
            <w:tcW w:w="4962" w:type="dxa"/>
          </w:tcPr>
          <w:p w14:paraId="7F3667D4" w14:textId="77777777" w:rsidR="00C65720" w:rsidRPr="00C65720" w:rsidRDefault="00C65720" w:rsidP="00136280">
            <w:pPr>
              <w:pStyle w:val="TableParagraph"/>
              <w:spacing w:before="24"/>
              <w:ind w:left="97"/>
              <w:jc w:val="left"/>
              <w:rPr>
                <w:rFonts w:asciiTheme="minorHAnsi" w:hAnsiTheme="minorHAnsi" w:cstheme="minorHAnsi"/>
                <w:sz w:val="16"/>
                <w:szCs w:val="16"/>
              </w:rPr>
            </w:pPr>
            <w:r w:rsidRPr="00C65720">
              <w:rPr>
                <w:rFonts w:asciiTheme="minorHAnsi" w:hAnsiTheme="minorHAnsi" w:cstheme="minorHAnsi"/>
                <w:sz w:val="16"/>
                <w:szCs w:val="16"/>
              </w:rPr>
              <w:t>Magnesium</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2"/>
                <w:sz w:val="16"/>
                <w:szCs w:val="16"/>
              </w:rPr>
              <w:t>(mg/l)</w:t>
            </w:r>
          </w:p>
        </w:tc>
        <w:tc>
          <w:tcPr>
            <w:tcW w:w="708" w:type="dxa"/>
          </w:tcPr>
          <w:p w14:paraId="653A38E8"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05A61718" w14:textId="77777777" w:rsidR="00C65720" w:rsidRPr="00C65720" w:rsidRDefault="00C65720" w:rsidP="00136280">
            <w:pPr>
              <w:pStyle w:val="TableParagraph"/>
              <w:spacing w:before="3"/>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4FD09C08"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10F2251E" w14:textId="77777777" w:rsidTr="00DA3C15">
        <w:trPr>
          <w:trHeight w:val="255"/>
        </w:trPr>
        <w:tc>
          <w:tcPr>
            <w:tcW w:w="4962" w:type="dxa"/>
          </w:tcPr>
          <w:p w14:paraId="156A1B6D" w14:textId="77777777" w:rsidR="00C65720" w:rsidRPr="00C65720" w:rsidRDefault="00C65720" w:rsidP="00136280">
            <w:pPr>
              <w:pStyle w:val="TableParagraph"/>
              <w:spacing w:before="24"/>
              <w:ind w:left="97"/>
              <w:jc w:val="left"/>
              <w:rPr>
                <w:rFonts w:asciiTheme="minorHAnsi" w:hAnsiTheme="minorHAnsi" w:cstheme="minorHAnsi"/>
                <w:sz w:val="16"/>
                <w:szCs w:val="16"/>
              </w:rPr>
            </w:pPr>
            <w:r w:rsidRPr="00C65720">
              <w:rPr>
                <w:rFonts w:asciiTheme="minorHAnsi" w:hAnsiTheme="minorHAnsi" w:cstheme="minorHAnsi"/>
                <w:sz w:val="16"/>
                <w:szCs w:val="16"/>
              </w:rPr>
              <w:t>Sodium</w:t>
            </w:r>
            <w:r w:rsidRPr="00C65720">
              <w:rPr>
                <w:rFonts w:asciiTheme="minorHAnsi" w:hAnsiTheme="minorHAnsi" w:cstheme="minorHAnsi"/>
                <w:spacing w:val="-7"/>
                <w:sz w:val="16"/>
                <w:szCs w:val="16"/>
              </w:rPr>
              <w:t xml:space="preserve"> </w:t>
            </w:r>
            <w:r w:rsidRPr="00C65720">
              <w:rPr>
                <w:rFonts w:asciiTheme="minorHAnsi" w:hAnsiTheme="minorHAnsi" w:cstheme="minorHAnsi"/>
                <w:spacing w:val="-2"/>
                <w:sz w:val="16"/>
                <w:szCs w:val="16"/>
              </w:rPr>
              <w:t>(mg/l)</w:t>
            </w:r>
          </w:p>
        </w:tc>
        <w:tc>
          <w:tcPr>
            <w:tcW w:w="708" w:type="dxa"/>
          </w:tcPr>
          <w:p w14:paraId="22AAE15E"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1094928A" w14:textId="77777777" w:rsidR="00C65720" w:rsidRPr="00C65720" w:rsidRDefault="00C65720" w:rsidP="00136280">
            <w:pPr>
              <w:pStyle w:val="TableParagraph"/>
              <w:spacing w:before="3"/>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2EC6853C"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1A66FF4F" w14:textId="77777777" w:rsidTr="00DA3C15">
        <w:trPr>
          <w:trHeight w:val="255"/>
        </w:trPr>
        <w:tc>
          <w:tcPr>
            <w:tcW w:w="4962" w:type="dxa"/>
          </w:tcPr>
          <w:p w14:paraId="3486ACF7" w14:textId="77777777" w:rsidR="00C65720" w:rsidRPr="00C65720" w:rsidRDefault="00C65720" w:rsidP="00136280">
            <w:pPr>
              <w:pStyle w:val="TableParagraph"/>
              <w:spacing w:before="22"/>
              <w:ind w:left="97"/>
              <w:jc w:val="left"/>
              <w:rPr>
                <w:rFonts w:asciiTheme="minorHAnsi" w:hAnsiTheme="minorHAnsi" w:cstheme="minorHAnsi"/>
                <w:sz w:val="16"/>
                <w:szCs w:val="16"/>
              </w:rPr>
            </w:pPr>
            <w:r w:rsidRPr="00C65720">
              <w:rPr>
                <w:rFonts w:asciiTheme="minorHAnsi" w:hAnsiTheme="minorHAnsi" w:cstheme="minorHAnsi"/>
                <w:spacing w:val="-2"/>
                <w:sz w:val="16"/>
                <w:szCs w:val="16"/>
              </w:rPr>
              <w:t>Potassium</w:t>
            </w:r>
            <w:r w:rsidRPr="00C65720">
              <w:rPr>
                <w:rFonts w:asciiTheme="minorHAnsi" w:hAnsiTheme="minorHAnsi" w:cstheme="minorHAnsi"/>
                <w:spacing w:val="5"/>
                <w:sz w:val="16"/>
                <w:szCs w:val="16"/>
              </w:rPr>
              <w:t xml:space="preserve"> </w:t>
            </w:r>
            <w:r w:rsidRPr="00C65720">
              <w:rPr>
                <w:rFonts w:asciiTheme="minorHAnsi" w:hAnsiTheme="minorHAnsi" w:cstheme="minorHAnsi"/>
                <w:spacing w:val="-2"/>
                <w:sz w:val="16"/>
                <w:szCs w:val="16"/>
              </w:rPr>
              <w:t>(mg/l)</w:t>
            </w:r>
          </w:p>
        </w:tc>
        <w:tc>
          <w:tcPr>
            <w:tcW w:w="708" w:type="dxa"/>
          </w:tcPr>
          <w:p w14:paraId="2DA65AFF" w14:textId="77777777" w:rsidR="00C65720" w:rsidRPr="00C65720" w:rsidRDefault="00C65720" w:rsidP="00136280">
            <w:pPr>
              <w:pStyle w:val="TableParagraph"/>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61FDA541" w14:textId="77777777" w:rsidR="00C65720" w:rsidRPr="00C65720" w:rsidRDefault="00C65720" w:rsidP="00136280">
            <w:pPr>
              <w:pStyle w:val="TableParagraph"/>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5AB9866E"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0E29C14C" w14:textId="77777777" w:rsidTr="00DA3C15">
        <w:trPr>
          <w:trHeight w:val="255"/>
        </w:trPr>
        <w:tc>
          <w:tcPr>
            <w:tcW w:w="4962" w:type="dxa"/>
          </w:tcPr>
          <w:p w14:paraId="7C5D28E7"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Cyanides</w:t>
            </w:r>
            <w:r w:rsidRPr="00C65720">
              <w:rPr>
                <w:rFonts w:asciiTheme="minorHAnsi" w:hAnsiTheme="minorHAnsi" w:cstheme="minorHAnsi"/>
                <w:spacing w:val="5"/>
                <w:sz w:val="16"/>
                <w:szCs w:val="16"/>
              </w:rPr>
              <w:t xml:space="preserve"> </w:t>
            </w:r>
            <w:r w:rsidRPr="00C65720">
              <w:rPr>
                <w:rFonts w:asciiTheme="minorHAnsi" w:hAnsiTheme="minorHAnsi" w:cstheme="minorHAnsi"/>
                <w:spacing w:val="-2"/>
                <w:sz w:val="16"/>
                <w:szCs w:val="16"/>
              </w:rPr>
              <w:t>(mg/l)</w:t>
            </w:r>
          </w:p>
        </w:tc>
        <w:tc>
          <w:tcPr>
            <w:tcW w:w="708" w:type="dxa"/>
          </w:tcPr>
          <w:p w14:paraId="1CF71065"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4D3CAA83" w14:textId="77777777" w:rsidR="00C65720" w:rsidRPr="00C65720" w:rsidRDefault="00C65720" w:rsidP="00136280">
            <w:pPr>
              <w:pStyle w:val="TableParagraph"/>
              <w:spacing w:before="3"/>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2B6649CB"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4F878B3C" w14:textId="77777777" w:rsidTr="00DA3C15">
        <w:trPr>
          <w:trHeight w:val="253"/>
        </w:trPr>
        <w:tc>
          <w:tcPr>
            <w:tcW w:w="4962" w:type="dxa"/>
          </w:tcPr>
          <w:p w14:paraId="72E93E33"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Fluorides</w:t>
            </w:r>
            <w:r w:rsidRPr="00C65720">
              <w:rPr>
                <w:rFonts w:asciiTheme="minorHAnsi" w:hAnsiTheme="minorHAnsi" w:cstheme="minorHAnsi"/>
                <w:spacing w:val="6"/>
                <w:sz w:val="16"/>
                <w:szCs w:val="16"/>
              </w:rPr>
              <w:t xml:space="preserve"> </w:t>
            </w:r>
            <w:r w:rsidRPr="00C65720">
              <w:rPr>
                <w:rFonts w:asciiTheme="minorHAnsi" w:hAnsiTheme="minorHAnsi" w:cstheme="minorHAnsi"/>
                <w:spacing w:val="-2"/>
                <w:sz w:val="16"/>
                <w:szCs w:val="16"/>
              </w:rPr>
              <w:t>(mg/l)</w:t>
            </w:r>
          </w:p>
        </w:tc>
        <w:tc>
          <w:tcPr>
            <w:tcW w:w="708" w:type="dxa"/>
          </w:tcPr>
          <w:p w14:paraId="79041034" w14:textId="77777777" w:rsidR="00C65720" w:rsidRPr="00C65720" w:rsidRDefault="00C65720" w:rsidP="00136280">
            <w:pPr>
              <w:pStyle w:val="TableParagraph"/>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2BEE8777" w14:textId="77777777" w:rsidR="00C65720" w:rsidRPr="00C65720" w:rsidRDefault="00C65720" w:rsidP="00136280">
            <w:pPr>
              <w:pStyle w:val="TableParagraph"/>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78CF9B59"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236914AE" w14:textId="77777777" w:rsidTr="00DA3C15">
        <w:trPr>
          <w:trHeight w:val="253"/>
        </w:trPr>
        <w:tc>
          <w:tcPr>
            <w:tcW w:w="4962" w:type="dxa"/>
          </w:tcPr>
          <w:p w14:paraId="1DF557D6"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Bromates</w:t>
            </w:r>
            <w:r w:rsidRPr="00C65720">
              <w:rPr>
                <w:rFonts w:asciiTheme="minorHAnsi" w:hAnsiTheme="minorHAnsi" w:cstheme="minorHAnsi"/>
                <w:spacing w:val="4"/>
                <w:sz w:val="16"/>
                <w:szCs w:val="16"/>
              </w:rPr>
              <w:t xml:space="preserve"> </w:t>
            </w:r>
            <w:r w:rsidRPr="00C65720">
              <w:rPr>
                <w:rFonts w:asciiTheme="minorHAnsi" w:hAnsiTheme="minorHAnsi" w:cstheme="minorHAnsi"/>
                <w:spacing w:val="-2"/>
                <w:sz w:val="16"/>
                <w:szCs w:val="16"/>
              </w:rPr>
              <w:t>(mg/l)</w:t>
            </w:r>
          </w:p>
        </w:tc>
        <w:tc>
          <w:tcPr>
            <w:tcW w:w="708" w:type="dxa"/>
          </w:tcPr>
          <w:p w14:paraId="68377AD1"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336F881B" w14:textId="77777777" w:rsidR="00C65720" w:rsidRPr="00C65720" w:rsidRDefault="00C65720" w:rsidP="00136280">
            <w:pPr>
              <w:pStyle w:val="TableParagraph"/>
              <w:spacing w:before="3"/>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58C54807"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365831E0" w14:textId="77777777" w:rsidTr="00DA3C15">
        <w:trPr>
          <w:trHeight w:val="255"/>
        </w:trPr>
        <w:tc>
          <w:tcPr>
            <w:tcW w:w="4962" w:type="dxa"/>
          </w:tcPr>
          <w:p w14:paraId="114B0C6A"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spacing w:val="-2"/>
                <w:sz w:val="16"/>
                <w:szCs w:val="16"/>
              </w:rPr>
              <w:lastRenderedPageBreak/>
              <w:t>Hydrogen</w:t>
            </w:r>
            <w:r w:rsidRPr="00C65720">
              <w:rPr>
                <w:rFonts w:asciiTheme="minorHAnsi" w:hAnsiTheme="minorHAnsi" w:cstheme="minorHAnsi"/>
                <w:spacing w:val="6"/>
                <w:sz w:val="16"/>
                <w:szCs w:val="16"/>
              </w:rPr>
              <w:t xml:space="preserve"> </w:t>
            </w:r>
            <w:r w:rsidRPr="00C65720">
              <w:rPr>
                <w:rFonts w:asciiTheme="minorHAnsi" w:hAnsiTheme="minorHAnsi" w:cstheme="minorHAnsi"/>
                <w:spacing w:val="-2"/>
                <w:sz w:val="16"/>
                <w:szCs w:val="16"/>
              </w:rPr>
              <w:t>carbonates</w:t>
            </w:r>
            <w:r w:rsidRPr="00C65720">
              <w:rPr>
                <w:rFonts w:asciiTheme="minorHAnsi" w:hAnsiTheme="minorHAnsi" w:cstheme="minorHAnsi"/>
                <w:spacing w:val="6"/>
                <w:sz w:val="16"/>
                <w:szCs w:val="16"/>
              </w:rPr>
              <w:t xml:space="preserve"> </w:t>
            </w:r>
            <w:r w:rsidRPr="00C65720">
              <w:rPr>
                <w:rFonts w:asciiTheme="minorHAnsi" w:hAnsiTheme="minorHAnsi" w:cstheme="minorHAnsi"/>
                <w:spacing w:val="-2"/>
                <w:sz w:val="16"/>
                <w:szCs w:val="16"/>
              </w:rPr>
              <w:t>(mg/l)</w:t>
            </w:r>
          </w:p>
        </w:tc>
        <w:tc>
          <w:tcPr>
            <w:tcW w:w="708" w:type="dxa"/>
          </w:tcPr>
          <w:p w14:paraId="0727F0A3"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2247648C" w14:textId="77777777" w:rsidR="00C65720" w:rsidRPr="00C65720" w:rsidRDefault="00C65720" w:rsidP="00136280">
            <w:pPr>
              <w:pStyle w:val="TableParagraph"/>
              <w:spacing w:before="3"/>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27E925B4"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106A6B8D" w14:textId="77777777" w:rsidTr="00DA3C15">
        <w:trPr>
          <w:trHeight w:val="253"/>
        </w:trPr>
        <w:tc>
          <w:tcPr>
            <w:tcW w:w="4962" w:type="dxa"/>
          </w:tcPr>
          <w:p w14:paraId="707E1CCA"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Hydrogen</w:t>
            </w:r>
            <w:r w:rsidRPr="00C65720">
              <w:rPr>
                <w:rFonts w:asciiTheme="minorHAnsi" w:hAnsiTheme="minorHAnsi" w:cstheme="minorHAnsi"/>
                <w:spacing w:val="4"/>
                <w:sz w:val="16"/>
                <w:szCs w:val="16"/>
              </w:rPr>
              <w:t xml:space="preserve"> </w:t>
            </w:r>
            <w:r w:rsidRPr="00C65720">
              <w:rPr>
                <w:rFonts w:asciiTheme="minorHAnsi" w:hAnsiTheme="minorHAnsi" w:cstheme="minorHAnsi"/>
                <w:spacing w:val="-2"/>
                <w:sz w:val="16"/>
                <w:szCs w:val="16"/>
              </w:rPr>
              <w:t>sulfide</w:t>
            </w:r>
            <w:r w:rsidRPr="00C65720">
              <w:rPr>
                <w:rFonts w:asciiTheme="minorHAnsi" w:hAnsiTheme="minorHAnsi" w:cstheme="minorHAnsi"/>
                <w:spacing w:val="5"/>
                <w:sz w:val="16"/>
                <w:szCs w:val="16"/>
              </w:rPr>
              <w:t xml:space="preserve"> </w:t>
            </w:r>
            <w:r w:rsidRPr="00C65720">
              <w:rPr>
                <w:rFonts w:asciiTheme="minorHAnsi" w:hAnsiTheme="minorHAnsi" w:cstheme="minorHAnsi"/>
                <w:spacing w:val="-2"/>
                <w:sz w:val="16"/>
                <w:szCs w:val="16"/>
              </w:rPr>
              <w:t>(mg/l)</w:t>
            </w:r>
          </w:p>
        </w:tc>
        <w:tc>
          <w:tcPr>
            <w:tcW w:w="708" w:type="dxa"/>
          </w:tcPr>
          <w:p w14:paraId="312356FD" w14:textId="77777777" w:rsidR="00C65720" w:rsidRPr="00C65720" w:rsidRDefault="00C65720" w:rsidP="00136280">
            <w:pPr>
              <w:pStyle w:val="TableParagraph"/>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33CCE713"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56C9A276"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1B7F1989" w14:textId="77777777" w:rsidTr="00DA3C15">
        <w:trPr>
          <w:trHeight w:val="253"/>
        </w:trPr>
        <w:tc>
          <w:tcPr>
            <w:tcW w:w="4962" w:type="dxa"/>
          </w:tcPr>
          <w:p w14:paraId="5DACBC2A"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Silicates</w:t>
            </w:r>
            <w:r w:rsidRPr="00C65720">
              <w:rPr>
                <w:rFonts w:asciiTheme="minorHAnsi" w:hAnsiTheme="minorHAnsi" w:cstheme="minorHAnsi"/>
                <w:spacing w:val="7"/>
                <w:sz w:val="16"/>
                <w:szCs w:val="16"/>
              </w:rPr>
              <w:t xml:space="preserve"> </w:t>
            </w:r>
            <w:r w:rsidRPr="00C65720">
              <w:rPr>
                <w:rFonts w:asciiTheme="minorHAnsi" w:hAnsiTheme="minorHAnsi" w:cstheme="minorHAnsi"/>
                <w:spacing w:val="-2"/>
                <w:sz w:val="16"/>
                <w:szCs w:val="16"/>
              </w:rPr>
              <w:t>(mg/l)</w:t>
            </w:r>
          </w:p>
        </w:tc>
        <w:tc>
          <w:tcPr>
            <w:tcW w:w="708" w:type="dxa"/>
          </w:tcPr>
          <w:p w14:paraId="46BB7D16"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21BA8910"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0C28FD03"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00AA5088" w14:textId="77777777" w:rsidTr="00DA3C15">
        <w:trPr>
          <w:trHeight w:val="255"/>
        </w:trPr>
        <w:tc>
          <w:tcPr>
            <w:tcW w:w="4962" w:type="dxa"/>
            <w:shd w:val="clear" w:color="auto" w:fill="D9E2F3"/>
          </w:tcPr>
          <w:p w14:paraId="76034E25" w14:textId="77777777" w:rsidR="00C65720" w:rsidRPr="00C65720" w:rsidRDefault="00C65720" w:rsidP="00136280">
            <w:pPr>
              <w:pStyle w:val="TableParagraph"/>
              <w:spacing w:before="24"/>
              <w:ind w:left="97"/>
              <w:jc w:val="left"/>
              <w:rPr>
                <w:rFonts w:asciiTheme="minorHAnsi" w:hAnsiTheme="minorHAnsi" w:cstheme="minorHAnsi"/>
                <w:b/>
                <w:sz w:val="16"/>
                <w:szCs w:val="16"/>
              </w:rPr>
            </w:pPr>
            <w:r w:rsidRPr="00C65720">
              <w:rPr>
                <w:rFonts w:asciiTheme="minorHAnsi" w:hAnsiTheme="minorHAnsi" w:cstheme="minorHAnsi"/>
                <w:b/>
                <w:spacing w:val="-2"/>
                <w:sz w:val="16"/>
                <w:szCs w:val="16"/>
              </w:rPr>
              <w:t>MICROBIOLOGICAL</w:t>
            </w:r>
            <w:r w:rsidRPr="00C65720">
              <w:rPr>
                <w:rFonts w:asciiTheme="minorHAnsi" w:hAnsiTheme="minorHAnsi" w:cstheme="minorHAnsi"/>
                <w:spacing w:val="15"/>
                <w:sz w:val="16"/>
                <w:szCs w:val="16"/>
              </w:rPr>
              <w:t xml:space="preserve"> </w:t>
            </w:r>
            <w:r w:rsidRPr="00C65720">
              <w:rPr>
                <w:rFonts w:asciiTheme="minorHAnsi" w:hAnsiTheme="minorHAnsi" w:cstheme="minorHAnsi"/>
                <w:b/>
                <w:spacing w:val="-2"/>
                <w:sz w:val="16"/>
                <w:szCs w:val="16"/>
              </w:rPr>
              <w:t>INDICATORS</w:t>
            </w:r>
          </w:p>
        </w:tc>
        <w:tc>
          <w:tcPr>
            <w:tcW w:w="708" w:type="dxa"/>
            <w:shd w:val="clear" w:color="auto" w:fill="D9E2F3"/>
          </w:tcPr>
          <w:p w14:paraId="77D9D62D"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shd w:val="clear" w:color="auto" w:fill="D9E2F3"/>
          </w:tcPr>
          <w:p w14:paraId="7AFA7C8C"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560" w:type="dxa"/>
            <w:shd w:val="clear" w:color="auto" w:fill="D9E2F3"/>
          </w:tcPr>
          <w:p w14:paraId="7688FEF7"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01C1B08F" w14:textId="77777777" w:rsidTr="00DA3C15">
        <w:trPr>
          <w:trHeight w:val="253"/>
        </w:trPr>
        <w:tc>
          <w:tcPr>
            <w:tcW w:w="4962" w:type="dxa"/>
          </w:tcPr>
          <w:p w14:paraId="20E01C31"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sz w:val="16"/>
                <w:szCs w:val="16"/>
              </w:rPr>
              <w:t>Total</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coliform</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bacteria</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(count/100</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5"/>
                <w:sz w:val="16"/>
                <w:szCs w:val="16"/>
              </w:rPr>
              <w:t>ml)</w:t>
            </w:r>
          </w:p>
        </w:tc>
        <w:tc>
          <w:tcPr>
            <w:tcW w:w="708" w:type="dxa"/>
          </w:tcPr>
          <w:p w14:paraId="50A652C7" w14:textId="77777777" w:rsidR="00C65720" w:rsidRPr="00C65720" w:rsidRDefault="00C65720" w:rsidP="00136280">
            <w:pPr>
              <w:pStyle w:val="TableParagraph"/>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17C26C82" w14:textId="77777777" w:rsidR="00C65720" w:rsidRPr="00C65720" w:rsidRDefault="00C65720" w:rsidP="00136280">
            <w:pPr>
              <w:pStyle w:val="TableParagraph"/>
              <w:spacing w:before="22"/>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18C968AF"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60F56C16" w14:textId="77777777" w:rsidTr="00DA3C15">
        <w:trPr>
          <w:trHeight w:val="253"/>
        </w:trPr>
        <w:tc>
          <w:tcPr>
            <w:tcW w:w="4962" w:type="dxa"/>
          </w:tcPr>
          <w:p w14:paraId="7E9F0D27"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sz w:val="16"/>
                <w:szCs w:val="16"/>
              </w:rPr>
              <w:t>Fecal</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coliform</w:t>
            </w:r>
            <w:r w:rsidRPr="00C65720">
              <w:rPr>
                <w:rFonts w:asciiTheme="minorHAnsi" w:hAnsiTheme="minorHAnsi" w:cstheme="minorHAnsi"/>
                <w:spacing w:val="-9"/>
                <w:sz w:val="16"/>
                <w:szCs w:val="16"/>
              </w:rPr>
              <w:t xml:space="preserve"> </w:t>
            </w:r>
            <w:r w:rsidRPr="00C65720">
              <w:rPr>
                <w:rFonts w:asciiTheme="minorHAnsi" w:hAnsiTheme="minorHAnsi" w:cstheme="minorHAnsi"/>
                <w:sz w:val="16"/>
                <w:szCs w:val="16"/>
              </w:rPr>
              <w:t>bacteria</w:t>
            </w:r>
            <w:r w:rsidRPr="00C65720">
              <w:rPr>
                <w:rFonts w:asciiTheme="minorHAnsi" w:hAnsiTheme="minorHAnsi" w:cstheme="minorHAnsi"/>
                <w:spacing w:val="-9"/>
                <w:sz w:val="16"/>
                <w:szCs w:val="16"/>
              </w:rPr>
              <w:t xml:space="preserve"> </w:t>
            </w:r>
            <w:r w:rsidRPr="00C65720">
              <w:rPr>
                <w:rFonts w:asciiTheme="minorHAnsi" w:hAnsiTheme="minorHAnsi" w:cstheme="minorHAnsi"/>
                <w:sz w:val="16"/>
                <w:szCs w:val="16"/>
              </w:rPr>
              <w:t>(count/100</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5"/>
                <w:sz w:val="16"/>
                <w:szCs w:val="16"/>
              </w:rPr>
              <w:t>ml)</w:t>
            </w:r>
          </w:p>
        </w:tc>
        <w:tc>
          <w:tcPr>
            <w:tcW w:w="708" w:type="dxa"/>
          </w:tcPr>
          <w:p w14:paraId="36C87BA5"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443C37B1"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55315778"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126D6732" w14:textId="77777777" w:rsidTr="00DA3C15">
        <w:trPr>
          <w:trHeight w:val="255"/>
        </w:trPr>
        <w:tc>
          <w:tcPr>
            <w:tcW w:w="4962" w:type="dxa"/>
          </w:tcPr>
          <w:p w14:paraId="42406B7F" w14:textId="77777777" w:rsidR="00C65720" w:rsidRPr="00C65720" w:rsidRDefault="00C65720" w:rsidP="00136280">
            <w:pPr>
              <w:pStyle w:val="TableParagraph"/>
              <w:spacing w:before="3"/>
              <w:ind w:left="128"/>
              <w:jc w:val="left"/>
              <w:rPr>
                <w:rFonts w:asciiTheme="minorHAnsi" w:hAnsiTheme="minorHAnsi" w:cstheme="minorHAnsi"/>
                <w:sz w:val="16"/>
                <w:szCs w:val="16"/>
              </w:rPr>
            </w:pPr>
            <w:r w:rsidRPr="00C65720">
              <w:rPr>
                <w:rFonts w:asciiTheme="minorHAnsi" w:hAnsiTheme="minorHAnsi" w:cstheme="minorHAnsi"/>
                <w:sz w:val="16"/>
                <w:szCs w:val="16"/>
              </w:rPr>
              <w:t>Fecal</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streptococci</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w:t>
            </w:r>
            <w:r w:rsidRPr="00C65720">
              <w:rPr>
                <w:rFonts w:asciiTheme="minorHAnsi" w:hAnsiTheme="minorHAnsi" w:cstheme="minorHAnsi"/>
                <w:spacing w:val="-9"/>
                <w:sz w:val="16"/>
                <w:szCs w:val="16"/>
              </w:rPr>
              <w:t xml:space="preserve"> </w:t>
            </w:r>
            <w:r w:rsidRPr="00C65720">
              <w:rPr>
                <w:rFonts w:asciiTheme="minorHAnsi" w:hAnsiTheme="minorHAnsi" w:cstheme="minorHAnsi"/>
                <w:sz w:val="16"/>
                <w:szCs w:val="16"/>
              </w:rPr>
              <w:t>intestinal</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enterococci</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2"/>
                <w:sz w:val="16"/>
                <w:szCs w:val="16"/>
              </w:rPr>
              <w:t>(count/100</w:t>
            </w:r>
          </w:p>
        </w:tc>
        <w:tc>
          <w:tcPr>
            <w:tcW w:w="708" w:type="dxa"/>
          </w:tcPr>
          <w:p w14:paraId="3C68C95E"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1B01FA03" w14:textId="77777777" w:rsidR="00C65720" w:rsidRPr="00C65720" w:rsidRDefault="00C65720" w:rsidP="00136280">
            <w:pPr>
              <w:pStyle w:val="TableParagraph"/>
              <w:spacing w:before="24"/>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35E0F6EB"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544D9B02" w14:textId="77777777" w:rsidTr="00DA3C15">
        <w:trPr>
          <w:trHeight w:val="253"/>
        </w:trPr>
        <w:tc>
          <w:tcPr>
            <w:tcW w:w="4962" w:type="dxa"/>
          </w:tcPr>
          <w:p w14:paraId="0A1CAA21"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sz w:val="16"/>
                <w:szCs w:val="16"/>
              </w:rPr>
              <w:t>Aerobic</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bacteria</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(22°C)</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(count/1</w:t>
            </w:r>
            <w:r w:rsidRPr="00C65720">
              <w:rPr>
                <w:rFonts w:asciiTheme="minorHAnsi" w:hAnsiTheme="minorHAnsi" w:cstheme="minorHAnsi"/>
                <w:spacing w:val="-8"/>
                <w:sz w:val="16"/>
                <w:szCs w:val="16"/>
              </w:rPr>
              <w:t xml:space="preserve"> </w:t>
            </w:r>
            <w:r w:rsidRPr="00C65720">
              <w:rPr>
                <w:rFonts w:asciiTheme="minorHAnsi" w:hAnsiTheme="minorHAnsi" w:cstheme="minorHAnsi"/>
                <w:spacing w:val="-5"/>
                <w:sz w:val="16"/>
                <w:szCs w:val="16"/>
              </w:rPr>
              <w:t>ml)</w:t>
            </w:r>
          </w:p>
        </w:tc>
        <w:tc>
          <w:tcPr>
            <w:tcW w:w="708" w:type="dxa"/>
          </w:tcPr>
          <w:p w14:paraId="08B779FA" w14:textId="77777777" w:rsidR="00C65720" w:rsidRPr="00C65720" w:rsidRDefault="00C65720" w:rsidP="00136280">
            <w:pPr>
              <w:pStyle w:val="TableParagraph"/>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01CF11F7" w14:textId="77777777" w:rsidR="00C65720" w:rsidRPr="00C65720" w:rsidRDefault="00C65720" w:rsidP="00136280">
            <w:pPr>
              <w:pStyle w:val="TableParagraph"/>
              <w:spacing w:before="22"/>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7FF0CF4C"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7E923C9B" w14:textId="77777777" w:rsidTr="00DA3C15">
        <w:trPr>
          <w:trHeight w:val="253"/>
        </w:trPr>
        <w:tc>
          <w:tcPr>
            <w:tcW w:w="4962" w:type="dxa"/>
          </w:tcPr>
          <w:p w14:paraId="40408AFF"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sz w:val="16"/>
                <w:szCs w:val="16"/>
              </w:rPr>
              <w:t>Aerobic</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bacteria</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(36°C)</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(count/1</w:t>
            </w:r>
            <w:r w:rsidRPr="00C65720">
              <w:rPr>
                <w:rFonts w:asciiTheme="minorHAnsi" w:hAnsiTheme="minorHAnsi" w:cstheme="minorHAnsi"/>
                <w:spacing w:val="-8"/>
                <w:sz w:val="16"/>
                <w:szCs w:val="16"/>
              </w:rPr>
              <w:t xml:space="preserve"> </w:t>
            </w:r>
            <w:r w:rsidRPr="00C65720">
              <w:rPr>
                <w:rFonts w:asciiTheme="minorHAnsi" w:hAnsiTheme="minorHAnsi" w:cstheme="minorHAnsi"/>
                <w:spacing w:val="-5"/>
                <w:sz w:val="16"/>
                <w:szCs w:val="16"/>
              </w:rPr>
              <w:t>ml)</w:t>
            </w:r>
          </w:p>
        </w:tc>
        <w:tc>
          <w:tcPr>
            <w:tcW w:w="708" w:type="dxa"/>
          </w:tcPr>
          <w:p w14:paraId="0721285D"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1E163574"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550D696C"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65F5042F" w14:textId="77777777" w:rsidTr="00DA3C15">
        <w:trPr>
          <w:trHeight w:val="255"/>
        </w:trPr>
        <w:tc>
          <w:tcPr>
            <w:tcW w:w="4962" w:type="dxa"/>
          </w:tcPr>
          <w:p w14:paraId="4B2C077C"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Clostridium</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2"/>
                <w:sz w:val="16"/>
                <w:szCs w:val="16"/>
              </w:rPr>
              <w:t>perfringens,</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2"/>
                <w:sz w:val="16"/>
                <w:szCs w:val="16"/>
              </w:rPr>
              <w:t>including</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spores</w:t>
            </w:r>
            <w:r w:rsidRPr="00C65720">
              <w:rPr>
                <w:rFonts w:asciiTheme="minorHAnsi" w:hAnsiTheme="minorHAnsi" w:cstheme="minorHAnsi"/>
                <w:spacing w:val="7"/>
                <w:sz w:val="16"/>
                <w:szCs w:val="16"/>
              </w:rPr>
              <w:t xml:space="preserve"> </w:t>
            </w:r>
            <w:r w:rsidRPr="00C65720">
              <w:rPr>
                <w:rFonts w:asciiTheme="minorHAnsi" w:hAnsiTheme="minorHAnsi" w:cstheme="minorHAnsi"/>
                <w:spacing w:val="-2"/>
                <w:sz w:val="16"/>
                <w:szCs w:val="16"/>
              </w:rPr>
              <w:t>(count/100</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5"/>
                <w:sz w:val="16"/>
                <w:szCs w:val="16"/>
              </w:rPr>
              <w:t>ml)</w:t>
            </w:r>
          </w:p>
        </w:tc>
        <w:tc>
          <w:tcPr>
            <w:tcW w:w="708" w:type="dxa"/>
          </w:tcPr>
          <w:p w14:paraId="7327FF94"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6084C14E"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5FF8C6F1"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23AF2D22" w14:textId="77777777" w:rsidTr="00DA3C15">
        <w:trPr>
          <w:trHeight w:val="253"/>
        </w:trPr>
        <w:tc>
          <w:tcPr>
            <w:tcW w:w="4962" w:type="dxa"/>
          </w:tcPr>
          <w:p w14:paraId="03AE69DA"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i/>
                <w:sz w:val="16"/>
                <w:szCs w:val="16"/>
              </w:rPr>
              <w:t>Escherichia</w:t>
            </w:r>
            <w:r w:rsidRPr="00C65720">
              <w:rPr>
                <w:rFonts w:asciiTheme="minorHAnsi" w:hAnsiTheme="minorHAnsi" w:cstheme="minorHAnsi"/>
                <w:spacing w:val="-10"/>
                <w:sz w:val="16"/>
                <w:szCs w:val="16"/>
              </w:rPr>
              <w:t xml:space="preserve"> </w:t>
            </w:r>
            <w:r w:rsidRPr="00C65720">
              <w:rPr>
                <w:rFonts w:asciiTheme="minorHAnsi" w:hAnsiTheme="minorHAnsi" w:cstheme="minorHAnsi"/>
                <w:i/>
                <w:sz w:val="16"/>
                <w:szCs w:val="16"/>
              </w:rPr>
              <w:t>coli</w:t>
            </w:r>
            <w:r w:rsidRPr="00C65720">
              <w:rPr>
                <w:rFonts w:asciiTheme="minorHAnsi" w:hAnsiTheme="minorHAnsi" w:cstheme="minorHAnsi"/>
                <w:spacing w:val="-10"/>
                <w:sz w:val="16"/>
                <w:szCs w:val="16"/>
              </w:rPr>
              <w:t xml:space="preserve"> </w:t>
            </w:r>
            <w:r w:rsidRPr="00C65720">
              <w:rPr>
                <w:rFonts w:asciiTheme="minorHAnsi" w:hAnsiTheme="minorHAnsi" w:cstheme="minorHAnsi"/>
                <w:sz w:val="16"/>
                <w:szCs w:val="16"/>
              </w:rPr>
              <w:t>(count/100</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5"/>
                <w:sz w:val="16"/>
                <w:szCs w:val="16"/>
              </w:rPr>
              <w:t>ml)</w:t>
            </w:r>
          </w:p>
        </w:tc>
        <w:tc>
          <w:tcPr>
            <w:tcW w:w="708" w:type="dxa"/>
          </w:tcPr>
          <w:p w14:paraId="551F7D73" w14:textId="77777777" w:rsidR="00C65720" w:rsidRPr="00C65720" w:rsidRDefault="00C65720" w:rsidP="00136280">
            <w:pPr>
              <w:pStyle w:val="TableParagraph"/>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341C99E4" w14:textId="77777777" w:rsidR="00C65720" w:rsidRPr="00C65720" w:rsidRDefault="00C65720" w:rsidP="00136280">
            <w:pPr>
              <w:pStyle w:val="TableParagraph"/>
              <w:spacing w:before="22"/>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484895FF"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42A34961" w14:textId="77777777" w:rsidTr="00DA3C15">
        <w:trPr>
          <w:trHeight w:val="253"/>
        </w:trPr>
        <w:tc>
          <w:tcPr>
            <w:tcW w:w="4962" w:type="dxa"/>
          </w:tcPr>
          <w:p w14:paraId="12632E7F"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i/>
                <w:spacing w:val="-2"/>
                <w:sz w:val="16"/>
                <w:szCs w:val="16"/>
              </w:rPr>
              <w:t>Pseudomonas</w:t>
            </w:r>
            <w:r w:rsidRPr="00C65720">
              <w:rPr>
                <w:rFonts w:asciiTheme="minorHAnsi" w:hAnsiTheme="minorHAnsi" w:cstheme="minorHAnsi"/>
                <w:spacing w:val="7"/>
                <w:sz w:val="16"/>
                <w:szCs w:val="16"/>
              </w:rPr>
              <w:t xml:space="preserve"> </w:t>
            </w:r>
            <w:r w:rsidRPr="00C65720">
              <w:rPr>
                <w:rFonts w:asciiTheme="minorHAnsi" w:hAnsiTheme="minorHAnsi" w:cstheme="minorHAnsi"/>
                <w:i/>
                <w:spacing w:val="-2"/>
                <w:sz w:val="16"/>
                <w:szCs w:val="16"/>
              </w:rPr>
              <w:t>aeruginosa</w:t>
            </w:r>
            <w:r w:rsidRPr="00C65720">
              <w:rPr>
                <w:rFonts w:asciiTheme="minorHAnsi" w:hAnsiTheme="minorHAnsi" w:cstheme="minorHAnsi"/>
                <w:spacing w:val="6"/>
                <w:sz w:val="16"/>
                <w:szCs w:val="16"/>
              </w:rPr>
              <w:t xml:space="preserve"> </w:t>
            </w:r>
            <w:r w:rsidRPr="00C65720">
              <w:rPr>
                <w:rFonts w:asciiTheme="minorHAnsi" w:hAnsiTheme="minorHAnsi" w:cstheme="minorHAnsi"/>
                <w:spacing w:val="-2"/>
                <w:sz w:val="16"/>
                <w:szCs w:val="16"/>
              </w:rPr>
              <w:t>(count/100</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5"/>
                <w:sz w:val="16"/>
                <w:szCs w:val="16"/>
              </w:rPr>
              <w:t>ml)</w:t>
            </w:r>
          </w:p>
        </w:tc>
        <w:tc>
          <w:tcPr>
            <w:tcW w:w="708" w:type="dxa"/>
          </w:tcPr>
          <w:p w14:paraId="01FB7A02"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27845739" w14:textId="77777777" w:rsidR="00C65720" w:rsidRPr="00C65720" w:rsidRDefault="00C65720" w:rsidP="00136280">
            <w:pPr>
              <w:pStyle w:val="TableParagraph"/>
              <w:spacing w:before="24"/>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1B12FDE7"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6/yr-12/yr</w:t>
            </w:r>
          </w:p>
        </w:tc>
      </w:tr>
      <w:tr w:rsidR="00C65720" w:rsidRPr="00C65720" w14:paraId="52E575CC" w14:textId="77777777" w:rsidTr="00DA3C15">
        <w:trPr>
          <w:trHeight w:val="255"/>
        </w:trPr>
        <w:tc>
          <w:tcPr>
            <w:tcW w:w="4962" w:type="dxa"/>
            <w:shd w:val="clear" w:color="auto" w:fill="D9E2F3"/>
          </w:tcPr>
          <w:p w14:paraId="0D42EC80" w14:textId="77777777" w:rsidR="00C65720" w:rsidRPr="00C65720" w:rsidRDefault="00C65720" w:rsidP="00136280">
            <w:pPr>
              <w:pStyle w:val="TableParagraph"/>
              <w:spacing w:before="24"/>
              <w:ind w:left="97"/>
              <w:jc w:val="left"/>
              <w:rPr>
                <w:rFonts w:asciiTheme="minorHAnsi" w:hAnsiTheme="minorHAnsi" w:cstheme="minorHAnsi"/>
                <w:b/>
                <w:sz w:val="16"/>
                <w:szCs w:val="16"/>
              </w:rPr>
            </w:pPr>
            <w:r w:rsidRPr="00C65720">
              <w:rPr>
                <w:rFonts w:asciiTheme="minorHAnsi" w:hAnsiTheme="minorHAnsi" w:cstheme="minorHAnsi"/>
                <w:b/>
                <w:spacing w:val="-2"/>
                <w:sz w:val="16"/>
                <w:szCs w:val="16"/>
              </w:rPr>
              <w:t>METALS</w:t>
            </w:r>
          </w:p>
        </w:tc>
        <w:tc>
          <w:tcPr>
            <w:tcW w:w="708" w:type="dxa"/>
            <w:shd w:val="clear" w:color="auto" w:fill="D9E2F3"/>
          </w:tcPr>
          <w:p w14:paraId="5B77B14E"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shd w:val="clear" w:color="auto" w:fill="D9E2F3"/>
          </w:tcPr>
          <w:p w14:paraId="19D9F021"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560" w:type="dxa"/>
            <w:shd w:val="clear" w:color="auto" w:fill="D9E2F3"/>
          </w:tcPr>
          <w:p w14:paraId="58DDDFF4"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2119A67E" w14:textId="77777777" w:rsidTr="00DA3C15">
        <w:trPr>
          <w:trHeight w:val="253"/>
        </w:trPr>
        <w:tc>
          <w:tcPr>
            <w:tcW w:w="4962" w:type="dxa"/>
          </w:tcPr>
          <w:p w14:paraId="47E4EB00"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bCs/>
                <w:sz w:val="16"/>
                <w:szCs w:val="16"/>
              </w:rPr>
              <w:t>Iron</w:t>
            </w:r>
            <w:r w:rsidRPr="00C65720">
              <w:rPr>
                <w:rFonts w:asciiTheme="minorHAnsi" w:hAnsiTheme="minorHAnsi" w:cstheme="minorHAnsi"/>
                <w:spacing w:val="-6"/>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34183B50" w14:textId="77777777" w:rsidR="00C65720" w:rsidRPr="00C65720" w:rsidRDefault="00C65720" w:rsidP="00136280">
            <w:pPr>
              <w:pStyle w:val="TableParagraph"/>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20A83D83" w14:textId="77777777" w:rsidR="00C65720" w:rsidRPr="00C65720" w:rsidRDefault="00C65720" w:rsidP="00136280">
            <w:pPr>
              <w:pStyle w:val="TableParagraph"/>
              <w:spacing w:before="22"/>
              <w:ind w:right="1"/>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560" w:type="dxa"/>
          </w:tcPr>
          <w:p w14:paraId="714C8F12"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4/yr-12/yr</w:t>
            </w:r>
          </w:p>
        </w:tc>
      </w:tr>
      <w:tr w:rsidR="00C65720" w:rsidRPr="00C65720" w14:paraId="17984236" w14:textId="77777777" w:rsidTr="00DA3C15">
        <w:trPr>
          <w:trHeight w:val="253"/>
        </w:trPr>
        <w:tc>
          <w:tcPr>
            <w:tcW w:w="4962" w:type="dxa"/>
          </w:tcPr>
          <w:p w14:paraId="7014FA79"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Manganese</w:t>
            </w:r>
            <w:r w:rsidRPr="00C65720">
              <w:rPr>
                <w:rFonts w:asciiTheme="minorHAnsi" w:hAnsiTheme="minorHAnsi" w:cstheme="minorHAnsi"/>
                <w:spacing w:val="-11"/>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6FD9F7D4"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1805743B"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560" w:type="dxa"/>
          </w:tcPr>
          <w:p w14:paraId="2448CAC9"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4/yr-12/yr</w:t>
            </w:r>
          </w:p>
        </w:tc>
      </w:tr>
      <w:tr w:rsidR="00C65720" w:rsidRPr="00C65720" w14:paraId="2A3DA676" w14:textId="77777777" w:rsidTr="00DA3C15">
        <w:trPr>
          <w:trHeight w:val="255"/>
        </w:trPr>
        <w:tc>
          <w:tcPr>
            <w:tcW w:w="4962" w:type="dxa"/>
          </w:tcPr>
          <w:p w14:paraId="4730C624"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Copper</w:t>
            </w:r>
            <w:r w:rsidRPr="00C65720">
              <w:rPr>
                <w:rFonts w:asciiTheme="minorHAnsi" w:hAnsiTheme="minorHAnsi" w:cstheme="minorHAnsi"/>
                <w:spacing w:val="-8"/>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352E3995"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4963CF30" w14:textId="77777777" w:rsidR="00C65720" w:rsidRPr="00C65720" w:rsidRDefault="00C65720" w:rsidP="00136280">
            <w:pPr>
              <w:pStyle w:val="TableParagraph"/>
              <w:spacing w:before="24"/>
              <w:ind w:right="1"/>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560" w:type="dxa"/>
          </w:tcPr>
          <w:p w14:paraId="151037E9"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4/yr-12/yr</w:t>
            </w:r>
          </w:p>
        </w:tc>
      </w:tr>
      <w:tr w:rsidR="00C65720" w:rsidRPr="00C65720" w14:paraId="7E020E6F" w14:textId="77777777" w:rsidTr="00DA3C15">
        <w:trPr>
          <w:trHeight w:val="253"/>
        </w:trPr>
        <w:tc>
          <w:tcPr>
            <w:tcW w:w="4962" w:type="dxa"/>
          </w:tcPr>
          <w:p w14:paraId="1A27B4EB"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bCs/>
                <w:sz w:val="16"/>
                <w:szCs w:val="16"/>
              </w:rPr>
              <w:t>Zinc</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005449C2"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3C9E354C"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1C6F89B1"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4D59E6E2" w14:textId="77777777" w:rsidTr="00DA3C15">
        <w:trPr>
          <w:trHeight w:val="253"/>
        </w:trPr>
        <w:tc>
          <w:tcPr>
            <w:tcW w:w="4962" w:type="dxa"/>
          </w:tcPr>
          <w:p w14:paraId="2FF0AEF0"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Chromium</w:t>
            </w:r>
            <w:r w:rsidRPr="00C65720">
              <w:rPr>
                <w:rFonts w:asciiTheme="minorHAnsi" w:hAnsiTheme="minorHAnsi" w:cstheme="minorHAnsi"/>
                <w:spacing w:val="-11"/>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3F73F558"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5E9807BC"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560" w:type="dxa"/>
          </w:tcPr>
          <w:p w14:paraId="096D9E2D"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4/yr-12/yr</w:t>
            </w:r>
          </w:p>
        </w:tc>
      </w:tr>
      <w:tr w:rsidR="00C65720" w:rsidRPr="00C65720" w14:paraId="10BC3F8B" w14:textId="77777777" w:rsidTr="00DA3C15">
        <w:trPr>
          <w:trHeight w:val="255"/>
        </w:trPr>
        <w:tc>
          <w:tcPr>
            <w:tcW w:w="4962" w:type="dxa"/>
          </w:tcPr>
          <w:p w14:paraId="0CFB5155"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pacing w:val="-2"/>
                <w:sz w:val="16"/>
                <w:szCs w:val="16"/>
              </w:rPr>
              <w:t>Nickel</w:t>
            </w:r>
            <w:r w:rsidRPr="00C65720">
              <w:rPr>
                <w:rFonts w:asciiTheme="minorHAnsi" w:hAnsiTheme="minorHAnsi" w:cstheme="minorHAnsi"/>
                <w:spacing w:val="-1"/>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206BEC91"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675F437A"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560" w:type="dxa"/>
          </w:tcPr>
          <w:p w14:paraId="4CAC8021"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4/yr-12/yr</w:t>
            </w:r>
          </w:p>
        </w:tc>
      </w:tr>
      <w:tr w:rsidR="00C65720" w:rsidRPr="00C65720" w14:paraId="1FF2FB9E" w14:textId="77777777" w:rsidTr="00DA3C15">
        <w:trPr>
          <w:trHeight w:val="253"/>
        </w:trPr>
        <w:tc>
          <w:tcPr>
            <w:tcW w:w="4962" w:type="dxa"/>
          </w:tcPr>
          <w:p w14:paraId="20DE6AE6" w14:textId="117B3F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bCs/>
                <w:sz w:val="16"/>
                <w:szCs w:val="16"/>
              </w:rPr>
              <w:t>Aluminum</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0FB7C443" w14:textId="77777777" w:rsidR="00C65720" w:rsidRPr="00C65720" w:rsidRDefault="00C65720" w:rsidP="00136280">
            <w:pPr>
              <w:pStyle w:val="TableParagraph"/>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17F0F57D" w14:textId="77777777" w:rsidR="00C65720" w:rsidRPr="00C65720" w:rsidRDefault="00C65720" w:rsidP="00136280">
            <w:pPr>
              <w:pStyle w:val="TableParagraph"/>
              <w:spacing w:before="22"/>
              <w:ind w:right="1"/>
              <w:rPr>
                <w:rFonts w:asciiTheme="minorHAnsi" w:hAnsiTheme="minorHAnsi" w:cstheme="minorHAnsi"/>
                <w:sz w:val="16"/>
                <w:szCs w:val="16"/>
              </w:rPr>
            </w:pPr>
            <w:r w:rsidRPr="00C65720">
              <w:rPr>
                <w:rFonts w:asciiTheme="minorHAnsi" w:hAnsiTheme="minorHAnsi" w:cstheme="minorHAnsi"/>
                <w:spacing w:val="-2"/>
                <w:sz w:val="16"/>
                <w:szCs w:val="16"/>
              </w:rPr>
              <w:t>4/yr-12/yr</w:t>
            </w:r>
          </w:p>
        </w:tc>
        <w:tc>
          <w:tcPr>
            <w:tcW w:w="1560" w:type="dxa"/>
          </w:tcPr>
          <w:p w14:paraId="12068A44"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4/yr-12/yr</w:t>
            </w:r>
          </w:p>
        </w:tc>
      </w:tr>
      <w:tr w:rsidR="00C65720" w:rsidRPr="00C65720" w14:paraId="6AD39BC8" w14:textId="77777777" w:rsidTr="00DA3C15">
        <w:trPr>
          <w:trHeight w:val="253"/>
        </w:trPr>
        <w:tc>
          <w:tcPr>
            <w:tcW w:w="4962" w:type="dxa"/>
          </w:tcPr>
          <w:p w14:paraId="47AB969E"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Barium</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1CBE0A69"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41A21DE9"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03623D3A" w14:textId="77777777" w:rsidR="00C65720" w:rsidRPr="00C65720" w:rsidRDefault="00C65720" w:rsidP="00136280">
            <w:pPr>
              <w:pStyle w:val="TableParagraph"/>
              <w:spacing w:before="24"/>
              <w:ind w:right="5"/>
              <w:rPr>
                <w:rFonts w:asciiTheme="minorHAnsi" w:hAnsiTheme="minorHAnsi" w:cstheme="minorHAnsi"/>
                <w:sz w:val="16"/>
                <w:szCs w:val="16"/>
              </w:rPr>
            </w:pPr>
            <w:r w:rsidRPr="00C65720">
              <w:rPr>
                <w:rFonts w:asciiTheme="minorHAnsi" w:hAnsiTheme="minorHAnsi" w:cstheme="minorHAnsi"/>
                <w:spacing w:val="-4"/>
                <w:sz w:val="16"/>
                <w:szCs w:val="16"/>
              </w:rPr>
              <w:t>4/yr</w:t>
            </w:r>
          </w:p>
        </w:tc>
      </w:tr>
      <w:tr w:rsidR="00C65720" w:rsidRPr="00C65720" w14:paraId="1C3677D7" w14:textId="77777777" w:rsidTr="00DA3C15">
        <w:trPr>
          <w:trHeight w:val="255"/>
        </w:trPr>
        <w:tc>
          <w:tcPr>
            <w:tcW w:w="4962" w:type="dxa"/>
          </w:tcPr>
          <w:p w14:paraId="530C2CF5"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Beryllium</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1525A306"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5FEBE5DC"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77DE0A1A" w14:textId="77777777" w:rsidR="00C65720" w:rsidRPr="00C65720" w:rsidRDefault="00C65720" w:rsidP="00136280">
            <w:pPr>
              <w:pStyle w:val="TableParagraph"/>
              <w:spacing w:before="3"/>
              <w:ind w:right="5"/>
              <w:rPr>
                <w:rFonts w:asciiTheme="minorHAnsi" w:hAnsiTheme="minorHAnsi" w:cstheme="minorHAnsi"/>
                <w:sz w:val="16"/>
                <w:szCs w:val="16"/>
              </w:rPr>
            </w:pPr>
            <w:r w:rsidRPr="00C65720">
              <w:rPr>
                <w:rFonts w:asciiTheme="minorHAnsi" w:hAnsiTheme="minorHAnsi" w:cstheme="minorHAnsi"/>
                <w:spacing w:val="-4"/>
                <w:sz w:val="16"/>
                <w:szCs w:val="16"/>
              </w:rPr>
              <w:t>4/yr</w:t>
            </w:r>
          </w:p>
        </w:tc>
      </w:tr>
      <w:tr w:rsidR="00C65720" w:rsidRPr="00C65720" w14:paraId="108D2036" w14:textId="77777777" w:rsidTr="00DA3C15">
        <w:trPr>
          <w:trHeight w:val="253"/>
        </w:trPr>
        <w:tc>
          <w:tcPr>
            <w:tcW w:w="4962" w:type="dxa"/>
          </w:tcPr>
          <w:p w14:paraId="70A03843"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bCs/>
                <w:sz w:val="16"/>
                <w:szCs w:val="16"/>
              </w:rPr>
              <w:t>Vanadium</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4D9B5548"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5B237735"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7AA1141A" w14:textId="77777777" w:rsidR="00C65720" w:rsidRPr="00C65720" w:rsidRDefault="00C65720" w:rsidP="00136280">
            <w:pPr>
              <w:pStyle w:val="TableParagraph"/>
              <w:ind w:right="4"/>
              <w:rPr>
                <w:rFonts w:asciiTheme="minorHAnsi" w:hAnsiTheme="minorHAnsi" w:cstheme="minorHAnsi"/>
                <w:sz w:val="16"/>
                <w:szCs w:val="16"/>
              </w:rPr>
            </w:pPr>
            <w:r w:rsidRPr="00C65720">
              <w:rPr>
                <w:rFonts w:asciiTheme="minorHAnsi" w:hAnsiTheme="minorHAnsi" w:cstheme="minorHAnsi"/>
                <w:spacing w:val="-4"/>
                <w:sz w:val="16"/>
                <w:szCs w:val="16"/>
              </w:rPr>
              <w:t>4/yr</w:t>
            </w:r>
          </w:p>
        </w:tc>
      </w:tr>
      <w:tr w:rsidR="00C65720" w:rsidRPr="00C65720" w14:paraId="33C154D8" w14:textId="77777777" w:rsidTr="00DA3C15">
        <w:trPr>
          <w:trHeight w:val="253"/>
        </w:trPr>
        <w:tc>
          <w:tcPr>
            <w:tcW w:w="4962" w:type="dxa"/>
          </w:tcPr>
          <w:p w14:paraId="1119675A"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Antimony</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169E8FDC"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5C01AC2F" w14:textId="77777777" w:rsidR="00C65720" w:rsidRPr="00C65720" w:rsidRDefault="00C65720" w:rsidP="00136280">
            <w:pPr>
              <w:pStyle w:val="TableParagraph"/>
              <w:spacing w:before="24"/>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473768EE"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4/yr-12/yr</w:t>
            </w:r>
          </w:p>
        </w:tc>
      </w:tr>
      <w:tr w:rsidR="00C65720" w:rsidRPr="00C65720" w14:paraId="6237EF9F" w14:textId="77777777" w:rsidTr="00DA3C15">
        <w:trPr>
          <w:trHeight w:val="255"/>
        </w:trPr>
        <w:tc>
          <w:tcPr>
            <w:tcW w:w="4962" w:type="dxa"/>
          </w:tcPr>
          <w:p w14:paraId="1AE0A8E7"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Boron</w:t>
            </w:r>
            <w:r w:rsidRPr="00C65720">
              <w:rPr>
                <w:rFonts w:asciiTheme="minorHAnsi" w:hAnsiTheme="minorHAnsi" w:cstheme="minorHAnsi"/>
                <w:spacing w:val="-5"/>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37BC75DE"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54029838"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02967CA1" w14:textId="77777777" w:rsidR="00C65720" w:rsidRPr="00C65720" w:rsidRDefault="00C65720" w:rsidP="00136280">
            <w:pPr>
              <w:pStyle w:val="TableParagraph"/>
              <w:spacing w:before="24"/>
              <w:rPr>
                <w:rFonts w:asciiTheme="minorHAnsi" w:hAnsiTheme="minorHAnsi" w:cstheme="minorHAnsi"/>
                <w:sz w:val="16"/>
                <w:szCs w:val="16"/>
              </w:rPr>
            </w:pPr>
            <w:r w:rsidRPr="00C65720">
              <w:rPr>
                <w:rFonts w:asciiTheme="minorHAnsi" w:hAnsiTheme="minorHAnsi" w:cstheme="minorHAnsi"/>
                <w:spacing w:val="-2"/>
                <w:sz w:val="16"/>
                <w:szCs w:val="16"/>
              </w:rPr>
              <w:t>4/yr-12/yr</w:t>
            </w:r>
          </w:p>
        </w:tc>
      </w:tr>
      <w:tr w:rsidR="00C65720" w:rsidRPr="00C65720" w14:paraId="54727E5E" w14:textId="77777777" w:rsidTr="00DA3C15">
        <w:trPr>
          <w:trHeight w:val="253"/>
        </w:trPr>
        <w:tc>
          <w:tcPr>
            <w:tcW w:w="4962" w:type="dxa"/>
          </w:tcPr>
          <w:p w14:paraId="16F09D61"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bCs/>
                <w:sz w:val="16"/>
                <w:szCs w:val="16"/>
              </w:rPr>
              <w:t>Selenium</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27D24AF6" w14:textId="77777777" w:rsidR="00C65720" w:rsidRPr="00C65720" w:rsidRDefault="00C65720" w:rsidP="00136280">
            <w:pPr>
              <w:pStyle w:val="TableParagraph"/>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49928619" w14:textId="77777777" w:rsidR="00C65720" w:rsidRPr="00C65720" w:rsidRDefault="00C65720" w:rsidP="00136280">
            <w:pPr>
              <w:pStyle w:val="TableParagraph"/>
              <w:spacing w:before="22"/>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152F58E8"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4/yr-12/yr</w:t>
            </w:r>
          </w:p>
        </w:tc>
      </w:tr>
      <w:tr w:rsidR="00C65720" w:rsidRPr="00C65720" w14:paraId="7320DA5C" w14:textId="77777777" w:rsidTr="00DA3C15">
        <w:trPr>
          <w:trHeight w:val="253"/>
        </w:trPr>
        <w:tc>
          <w:tcPr>
            <w:tcW w:w="4962" w:type="dxa"/>
          </w:tcPr>
          <w:p w14:paraId="4766BDEE"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Cobalt</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4B912EE0"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1BC011EE"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327CA709"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04F513AF" w14:textId="77777777" w:rsidTr="00DA3C15">
        <w:trPr>
          <w:trHeight w:val="255"/>
        </w:trPr>
        <w:tc>
          <w:tcPr>
            <w:tcW w:w="4962" w:type="dxa"/>
          </w:tcPr>
          <w:p w14:paraId="4E65F04F"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Silver</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37C0EE53"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7F83C801"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7D9CD71B"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5392B04A" w14:textId="77777777" w:rsidTr="00DA3C15">
        <w:trPr>
          <w:trHeight w:val="253"/>
        </w:trPr>
        <w:tc>
          <w:tcPr>
            <w:tcW w:w="4962" w:type="dxa"/>
          </w:tcPr>
          <w:p w14:paraId="4900D134"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bCs/>
                <w:sz w:val="16"/>
                <w:szCs w:val="16"/>
              </w:rPr>
              <w:t>Uranium</w:t>
            </w:r>
            <w:r w:rsidRPr="00C65720">
              <w:rPr>
                <w:rFonts w:asciiTheme="minorHAnsi" w:hAnsiTheme="minorHAnsi" w:cstheme="minorHAnsi"/>
                <w:spacing w:val="-11"/>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3F668D4F" w14:textId="77777777" w:rsidR="00C65720" w:rsidRPr="00C65720" w:rsidRDefault="00C65720" w:rsidP="00136280">
            <w:pPr>
              <w:pStyle w:val="TableParagraph"/>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5C47EC3C" w14:textId="77777777" w:rsidR="00C65720" w:rsidRPr="00C65720" w:rsidRDefault="00C65720" w:rsidP="00136280">
            <w:pPr>
              <w:pStyle w:val="TableParagraph"/>
              <w:spacing w:before="22"/>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4E3EA026"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4/yr-12/yr</w:t>
            </w:r>
          </w:p>
        </w:tc>
      </w:tr>
      <w:tr w:rsidR="00C65720" w:rsidRPr="00C65720" w14:paraId="0A1C3CF6" w14:textId="77777777" w:rsidTr="00DA3C15">
        <w:trPr>
          <w:trHeight w:val="253"/>
        </w:trPr>
        <w:tc>
          <w:tcPr>
            <w:tcW w:w="4962" w:type="dxa"/>
            <w:shd w:val="clear" w:color="auto" w:fill="D9E2F3"/>
          </w:tcPr>
          <w:p w14:paraId="3D81E298" w14:textId="77777777" w:rsidR="00C65720" w:rsidRPr="00C65720" w:rsidRDefault="00C65720" w:rsidP="00136280">
            <w:pPr>
              <w:pStyle w:val="TableParagraph"/>
              <w:spacing w:before="24"/>
              <w:ind w:left="128"/>
              <w:jc w:val="left"/>
              <w:rPr>
                <w:rFonts w:asciiTheme="minorHAnsi" w:hAnsiTheme="minorHAnsi" w:cstheme="minorHAnsi"/>
                <w:b/>
                <w:sz w:val="16"/>
                <w:szCs w:val="16"/>
              </w:rPr>
            </w:pPr>
            <w:r w:rsidRPr="00C65720">
              <w:rPr>
                <w:rFonts w:asciiTheme="minorHAnsi" w:hAnsiTheme="minorHAnsi" w:cstheme="minorHAnsi"/>
                <w:b/>
                <w:spacing w:val="-2"/>
                <w:sz w:val="16"/>
                <w:szCs w:val="16"/>
              </w:rPr>
              <w:t>PHARMACEUTICAL</w:t>
            </w:r>
            <w:r w:rsidRPr="00C65720">
              <w:rPr>
                <w:rFonts w:asciiTheme="minorHAnsi" w:hAnsiTheme="minorHAnsi" w:cstheme="minorHAnsi"/>
                <w:spacing w:val="13"/>
                <w:sz w:val="16"/>
                <w:szCs w:val="16"/>
              </w:rPr>
              <w:t xml:space="preserve"> </w:t>
            </w:r>
            <w:r w:rsidRPr="00C65720">
              <w:rPr>
                <w:rFonts w:asciiTheme="minorHAnsi" w:hAnsiTheme="minorHAnsi" w:cstheme="minorHAnsi"/>
                <w:b/>
                <w:spacing w:val="-2"/>
                <w:sz w:val="16"/>
                <w:szCs w:val="16"/>
              </w:rPr>
              <w:t>COMPOUNDS</w:t>
            </w:r>
          </w:p>
        </w:tc>
        <w:tc>
          <w:tcPr>
            <w:tcW w:w="708" w:type="dxa"/>
            <w:shd w:val="clear" w:color="auto" w:fill="D9E2F3"/>
          </w:tcPr>
          <w:p w14:paraId="3ADEC7A5"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shd w:val="clear" w:color="auto" w:fill="D9E2F3"/>
          </w:tcPr>
          <w:p w14:paraId="0F9DEA66"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560" w:type="dxa"/>
            <w:shd w:val="clear" w:color="auto" w:fill="D9E2F3"/>
          </w:tcPr>
          <w:p w14:paraId="3835FC49"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14ADB2AD" w14:textId="77777777" w:rsidTr="00DA3C15">
        <w:trPr>
          <w:trHeight w:val="255"/>
        </w:trPr>
        <w:tc>
          <w:tcPr>
            <w:tcW w:w="4962" w:type="dxa"/>
          </w:tcPr>
          <w:p w14:paraId="785B64EF"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pacing w:val="-2"/>
                <w:sz w:val="16"/>
                <w:szCs w:val="16"/>
              </w:rPr>
              <w:t>Erythromycin</w:t>
            </w:r>
            <w:r w:rsidRPr="00C65720">
              <w:rPr>
                <w:rFonts w:asciiTheme="minorHAnsi" w:hAnsiTheme="minorHAnsi" w:cstheme="minorHAnsi"/>
                <w:spacing w:val="11"/>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653C0E2C"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4BF896CF"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1ABE6176" w14:textId="77777777" w:rsidR="00C65720" w:rsidRPr="00C65720" w:rsidRDefault="00C65720" w:rsidP="00136280">
            <w:pPr>
              <w:pStyle w:val="TableParagraph"/>
              <w:spacing w:before="3"/>
              <w:ind w:right="4"/>
              <w:rPr>
                <w:rFonts w:asciiTheme="minorHAnsi" w:hAnsiTheme="minorHAnsi" w:cstheme="minorHAnsi"/>
                <w:sz w:val="16"/>
                <w:szCs w:val="16"/>
              </w:rPr>
            </w:pPr>
            <w:r w:rsidRPr="00C65720">
              <w:rPr>
                <w:rFonts w:asciiTheme="minorHAnsi" w:hAnsiTheme="minorHAnsi" w:cstheme="minorHAnsi"/>
                <w:spacing w:val="-4"/>
                <w:sz w:val="16"/>
                <w:szCs w:val="16"/>
              </w:rPr>
              <w:t>4/yr</w:t>
            </w:r>
          </w:p>
        </w:tc>
      </w:tr>
      <w:tr w:rsidR="00C65720" w:rsidRPr="00C65720" w14:paraId="20024714" w14:textId="77777777" w:rsidTr="00DA3C15">
        <w:trPr>
          <w:trHeight w:val="253"/>
        </w:trPr>
        <w:tc>
          <w:tcPr>
            <w:tcW w:w="4962" w:type="dxa"/>
          </w:tcPr>
          <w:p w14:paraId="66AC6346"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bCs/>
                <w:spacing w:val="-2"/>
                <w:sz w:val="16"/>
                <w:szCs w:val="16"/>
              </w:rPr>
              <w:t>Azithromycin</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7E6958C1"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2A7EECA2"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6248DAE4"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224361D3" w14:textId="77777777" w:rsidTr="00DA3C15">
        <w:trPr>
          <w:trHeight w:val="253"/>
        </w:trPr>
        <w:tc>
          <w:tcPr>
            <w:tcW w:w="4962" w:type="dxa"/>
          </w:tcPr>
          <w:p w14:paraId="126D9379"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pacing w:val="-2"/>
                <w:sz w:val="16"/>
                <w:szCs w:val="16"/>
              </w:rPr>
              <w:t>Sulfamethoxazole</w:t>
            </w:r>
            <w:r w:rsidRPr="00C65720">
              <w:rPr>
                <w:rFonts w:asciiTheme="minorHAnsi" w:hAnsiTheme="minorHAnsi" w:cstheme="minorHAnsi"/>
                <w:spacing w:val="16"/>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10BF4E32"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16278159"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0499FB1E" w14:textId="77777777" w:rsidR="00C65720" w:rsidRPr="00C65720" w:rsidRDefault="00C65720" w:rsidP="00136280">
            <w:pPr>
              <w:pStyle w:val="TableParagraph"/>
              <w:spacing w:before="3"/>
              <w:ind w:right="5"/>
              <w:rPr>
                <w:rFonts w:asciiTheme="minorHAnsi" w:hAnsiTheme="minorHAnsi" w:cstheme="minorHAnsi"/>
                <w:sz w:val="16"/>
                <w:szCs w:val="16"/>
              </w:rPr>
            </w:pPr>
            <w:r w:rsidRPr="00C65720">
              <w:rPr>
                <w:rFonts w:asciiTheme="minorHAnsi" w:hAnsiTheme="minorHAnsi" w:cstheme="minorHAnsi"/>
                <w:spacing w:val="-4"/>
                <w:sz w:val="16"/>
                <w:szCs w:val="16"/>
              </w:rPr>
              <w:t>4/yr</w:t>
            </w:r>
          </w:p>
        </w:tc>
      </w:tr>
      <w:tr w:rsidR="00C65720" w:rsidRPr="00C65720" w14:paraId="52E52C64" w14:textId="77777777" w:rsidTr="00DA3C15">
        <w:trPr>
          <w:trHeight w:val="255"/>
        </w:trPr>
        <w:tc>
          <w:tcPr>
            <w:tcW w:w="4962" w:type="dxa"/>
          </w:tcPr>
          <w:p w14:paraId="0E0CB0C6" w14:textId="37579DAD"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Torsemide</w:t>
            </w:r>
            <w:r w:rsidRPr="00C65720">
              <w:rPr>
                <w:rFonts w:asciiTheme="minorHAnsi" w:hAnsiTheme="minorHAnsi" w:cstheme="minorHAnsi"/>
                <w:spacing w:val="-11"/>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17E65C98"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7B7B03B0"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39497A4A" w14:textId="77777777" w:rsidR="00C65720" w:rsidRPr="00C65720" w:rsidRDefault="00C65720" w:rsidP="00136280">
            <w:pPr>
              <w:pStyle w:val="TableParagraph"/>
              <w:spacing w:before="3"/>
              <w:ind w:right="4"/>
              <w:rPr>
                <w:rFonts w:asciiTheme="minorHAnsi" w:hAnsiTheme="minorHAnsi" w:cstheme="minorHAnsi"/>
                <w:sz w:val="16"/>
                <w:szCs w:val="16"/>
              </w:rPr>
            </w:pPr>
            <w:r w:rsidRPr="00C65720">
              <w:rPr>
                <w:rFonts w:asciiTheme="minorHAnsi" w:hAnsiTheme="minorHAnsi" w:cstheme="minorHAnsi"/>
                <w:spacing w:val="-4"/>
                <w:sz w:val="16"/>
                <w:szCs w:val="16"/>
              </w:rPr>
              <w:t>4/yr</w:t>
            </w:r>
          </w:p>
        </w:tc>
      </w:tr>
      <w:tr w:rsidR="00C65720" w:rsidRPr="00C65720" w14:paraId="044EB429" w14:textId="77777777" w:rsidTr="00DA3C15">
        <w:trPr>
          <w:trHeight w:val="253"/>
        </w:trPr>
        <w:tc>
          <w:tcPr>
            <w:tcW w:w="4962" w:type="dxa"/>
          </w:tcPr>
          <w:p w14:paraId="3CE4EB6B" w14:textId="77777777" w:rsidR="00C65720" w:rsidRPr="00C65720" w:rsidRDefault="00C65720" w:rsidP="00136280">
            <w:pPr>
              <w:pStyle w:val="TableParagraph"/>
              <w:spacing w:before="22"/>
              <w:ind w:left="128"/>
              <w:jc w:val="left"/>
              <w:rPr>
                <w:rFonts w:asciiTheme="minorHAnsi" w:hAnsiTheme="minorHAnsi" w:cstheme="minorHAnsi"/>
                <w:bCs/>
                <w:sz w:val="16"/>
                <w:szCs w:val="16"/>
              </w:rPr>
            </w:pPr>
            <w:r w:rsidRPr="00C65720">
              <w:rPr>
                <w:rFonts w:asciiTheme="minorHAnsi" w:hAnsiTheme="minorHAnsi" w:cstheme="minorHAnsi"/>
                <w:bCs/>
                <w:spacing w:val="-2"/>
                <w:sz w:val="16"/>
                <w:szCs w:val="16"/>
              </w:rPr>
              <w:t>Azithromycin</w:t>
            </w:r>
            <w:r w:rsidRPr="00C65720">
              <w:rPr>
                <w:rFonts w:asciiTheme="minorHAnsi" w:hAnsiTheme="minorHAnsi" w:cstheme="minorHAnsi"/>
                <w:bCs/>
                <w:spacing w:val="16"/>
                <w:sz w:val="16"/>
                <w:szCs w:val="16"/>
              </w:rPr>
              <w:t xml:space="preserve"> </w:t>
            </w:r>
            <w:r w:rsidRPr="00C65720">
              <w:rPr>
                <w:rFonts w:asciiTheme="minorHAnsi" w:hAnsiTheme="minorHAnsi" w:cstheme="minorHAnsi"/>
                <w:bCs/>
                <w:spacing w:val="-2"/>
                <w:sz w:val="16"/>
                <w:szCs w:val="16"/>
              </w:rPr>
              <w:t>N-</w:t>
            </w:r>
            <w:proofErr w:type="spellStart"/>
            <w:r w:rsidRPr="00C65720">
              <w:rPr>
                <w:rFonts w:asciiTheme="minorHAnsi" w:hAnsiTheme="minorHAnsi" w:cstheme="minorHAnsi"/>
                <w:bCs/>
                <w:spacing w:val="-2"/>
                <w:sz w:val="16"/>
                <w:szCs w:val="16"/>
              </w:rPr>
              <w:t>desmethylazithromycin</w:t>
            </w:r>
            <w:proofErr w:type="spellEnd"/>
            <w:r w:rsidRPr="00C65720">
              <w:rPr>
                <w:rFonts w:asciiTheme="minorHAnsi" w:hAnsiTheme="minorHAnsi" w:cstheme="minorHAnsi"/>
                <w:bCs/>
                <w:spacing w:val="16"/>
                <w:sz w:val="16"/>
                <w:szCs w:val="16"/>
              </w:rPr>
              <w:t xml:space="preserve"> </w:t>
            </w:r>
            <w:r w:rsidRPr="00C65720">
              <w:rPr>
                <w:rFonts w:asciiTheme="minorHAnsi" w:hAnsiTheme="minorHAnsi" w:cstheme="minorHAnsi"/>
                <w:bCs/>
                <w:spacing w:val="-2"/>
                <w:sz w:val="16"/>
                <w:szCs w:val="16"/>
              </w:rPr>
              <w:t>(</w:t>
            </w:r>
            <w:proofErr w:type="spellStart"/>
            <w:r w:rsidRPr="00C65720">
              <w:rPr>
                <w:rFonts w:asciiTheme="minorHAnsi" w:hAnsiTheme="minorHAnsi" w:cstheme="minorHAnsi"/>
                <w:bCs/>
                <w:spacing w:val="-2"/>
                <w:sz w:val="16"/>
                <w:szCs w:val="16"/>
              </w:rPr>
              <w:t>μg</w:t>
            </w:r>
            <w:proofErr w:type="spellEnd"/>
            <w:r w:rsidRPr="00C65720">
              <w:rPr>
                <w:rFonts w:asciiTheme="minorHAnsi" w:hAnsiTheme="minorHAnsi" w:cstheme="minorHAnsi"/>
                <w:bCs/>
                <w:spacing w:val="-2"/>
                <w:sz w:val="16"/>
                <w:szCs w:val="16"/>
              </w:rPr>
              <w:t>/l)</w:t>
            </w:r>
          </w:p>
        </w:tc>
        <w:tc>
          <w:tcPr>
            <w:tcW w:w="708" w:type="dxa"/>
          </w:tcPr>
          <w:p w14:paraId="352841B6"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646DB4CA"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5FBD82C5" w14:textId="77777777" w:rsidR="00C65720" w:rsidRPr="00C65720" w:rsidRDefault="00C65720" w:rsidP="00136280">
            <w:pPr>
              <w:pStyle w:val="TableParagraph"/>
              <w:ind w:right="4"/>
              <w:rPr>
                <w:rFonts w:asciiTheme="minorHAnsi" w:hAnsiTheme="minorHAnsi" w:cstheme="minorHAnsi"/>
                <w:sz w:val="16"/>
                <w:szCs w:val="16"/>
              </w:rPr>
            </w:pPr>
            <w:r w:rsidRPr="00C65720">
              <w:rPr>
                <w:rFonts w:asciiTheme="minorHAnsi" w:hAnsiTheme="minorHAnsi" w:cstheme="minorHAnsi"/>
                <w:spacing w:val="-4"/>
                <w:sz w:val="16"/>
                <w:szCs w:val="16"/>
              </w:rPr>
              <w:t>4/yr</w:t>
            </w:r>
          </w:p>
        </w:tc>
      </w:tr>
      <w:tr w:rsidR="00C65720" w:rsidRPr="00C65720" w14:paraId="3613A7E3" w14:textId="77777777" w:rsidTr="00DA3C15">
        <w:trPr>
          <w:trHeight w:val="253"/>
        </w:trPr>
        <w:tc>
          <w:tcPr>
            <w:tcW w:w="4962" w:type="dxa"/>
          </w:tcPr>
          <w:p w14:paraId="5A622E48"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Memantine</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03967280"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3DB35305"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2384BB56" w14:textId="77777777" w:rsidR="00C65720" w:rsidRPr="00C65720" w:rsidRDefault="00C65720" w:rsidP="00136280">
            <w:pPr>
              <w:pStyle w:val="TableParagraph"/>
              <w:spacing w:before="3"/>
              <w:ind w:right="4"/>
              <w:rPr>
                <w:rFonts w:asciiTheme="minorHAnsi" w:hAnsiTheme="minorHAnsi" w:cstheme="minorHAnsi"/>
                <w:sz w:val="16"/>
                <w:szCs w:val="16"/>
              </w:rPr>
            </w:pPr>
            <w:r w:rsidRPr="00C65720">
              <w:rPr>
                <w:rFonts w:asciiTheme="minorHAnsi" w:hAnsiTheme="minorHAnsi" w:cstheme="minorHAnsi"/>
                <w:spacing w:val="-4"/>
                <w:sz w:val="16"/>
                <w:szCs w:val="16"/>
              </w:rPr>
              <w:t>4/yr</w:t>
            </w:r>
          </w:p>
        </w:tc>
      </w:tr>
      <w:tr w:rsidR="00C65720" w:rsidRPr="00C65720" w14:paraId="54D90DAF" w14:textId="77777777" w:rsidTr="00DA3C15">
        <w:trPr>
          <w:trHeight w:val="255"/>
        </w:trPr>
        <w:tc>
          <w:tcPr>
            <w:tcW w:w="4962" w:type="dxa"/>
          </w:tcPr>
          <w:p w14:paraId="2B1C7A8B"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Warfarin</w:t>
            </w:r>
            <w:r w:rsidRPr="00C65720">
              <w:rPr>
                <w:rFonts w:asciiTheme="minorHAnsi" w:hAnsiTheme="minorHAnsi" w:cstheme="minorHAnsi"/>
                <w:spacing w:val="-11"/>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7E96007B"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5B9D74A7"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4291222E" w14:textId="77777777" w:rsidR="00C65720" w:rsidRPr="00C65720" w:rsidRDefault="00C65720" w:rsidP="00136280">
            <w:pPr>
              <w:pStyle w:val="TableParagraph"/>
              <w:spacing w:before="3"/>
              <w:ind w:right="5"/>
              <w:rPr>
                <w:rFonts w:asciiTheme="minorHAnsi" w:hAnsiTheme="minorHAnsi" w:cstheme="minorHAnsi"/>
                <w:sz w:val="16"/>
                <w:szCs w:val="16"/>
              </w:rPr>
            </w:pPr>
            <w:r w:rsidRPr="00C65720">
              <w:rPr>
                <w:rFonts w:asciiTheme="minorHAnsi" w:hAnsiTheme="minorHAnsi" w:cstheme="minorHAnsi"/>
                <w:spacing w:val="-4"/>
                <w:sz w:val="16"/>
                <w:szCs w:val="16"/>
              </w:rPr>
              <w:t>4/yr</w:t>
            </w:r>
          </w:p>
        </w:tc>
      </w:tr>
      <w:tr w:rsidR="00C65720" w:rsidRPr="00C65720" w14:paraId="5349561B" w14:textId="77777777" w:rsidTr="00DA3C15">
        <w:trPr>
          <w:trHeight w:val="253"/>
        </w:trPr>
        <w:tc>
          <w:tcPr>
            <w:tcW w:w="4962" w:type="dxa"/>
          </w:tcPr>
          <w:p w14:paraId="25EEDDA6"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bCs/>
                <w:spacing w:val="-2"/>
                <w:sz w:val="16"/>
                <w:szCs w:val="16"/>
              </w:rPr>
              <w:t>Carbamazepine</w:t>
            </w:r>
            <w:r w:rsidRPr="00C65720">
              <w:rPr>
                <w:rFonts w:asciiTheme="minorHAnsi" w:hAnsiTheme="minorHAnsi" w:cstheme="minorHAnsi"/>
                <w:spacing w:val="11"/>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57B9F26F"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139670F5"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0D78184F" w14:textId="77777777" w:rsidR="00C65720" w:rsidRPr="00C65720" w:rsidRDefault="00C65720" w:rsidP="00136280">
            <w:pPr>
              <w:pStyle w:val="TableParagraph"/>
              <w:ind w:right="4"/>
              <w:rPr>
                <w:rFonts w:asciiTheme="minorHAnsi" w:hAnsiTheme="minorHAnsi" w:cstheme="minorHAnsi"/>
                <w:sz w:val="16"/>
                <w:szCs w:val="16"/>
              </w:rPr>
            </w:pPr>
            <w:r w:rsidRPr="00C65720">
              <w:rPr>
                <w:rFonts w:asciiTheme="minorHAnsi" w:hAnsiTheme="minorHAnsi" w:cstheme="minorHAnsi"/>
                <w:spacing w:val="-4"/>
                <w:sz w:val="16"/>
                <w:szCs w:val="16"/>
              </w:rPr>
              <w:t>4/yr</w:t>
            </w:r>
          </w:p>
        </w:tc>
      </w:tr>
      <w:tr w:rsidR="00C65720" w:rsidRPr="00C65720" w14:paraId="669EC9C7" w14:textId="77777777" w:rsidTr="00DA3C15">
        <w:trPr>
          <w:trHeight w:val="253"/>
        </w:trPr>
        <w:tc>
          <w:tcPr>
            <w:tcW w:w="4962" w:type="dxa"/>
            <w:shd w:val="clear" w:color="auto" w:fill="D9E2F3"/>
          </w:tcPr>
          <w:p w14:paraId="3F79279F" w14:textId="77777777" w:rsidR="00C65720" w:rsidRPr="00C65720" w:rsidRDefault="00C65720" w:rsidP="00136280">
            <w:pPr>
              <w:pStyle w:val="TableParagraph"/>
              <w:spacing w:before="24"/>
              <w:ind w:left="128"/>
              <w:jc w:val="left"/>
              <w:rPr>
                <w:rFonts w:asciiTheme="minorHAnsi" w:hAnsiTheme="minorHAnsi" w:cstheme="minorHAnsi"/>
                <w:b/>
                <w:sz w:val="16"/>
                <w:szCs w:val="16"/>
              </w:rPr>
            </w:pPr>
            <w:r w:rsidRPr="00C65720">
              <w:rPr>
                <w:rFonts w:asciiTheme="minorHAnsi" w:hAnsiTheme="minorHAnsi" w:cstheme="minorHAnsi"/>
                <w:b/>
                <w:spacing w:val="-2"/>
                <w:sz w:val="16"/>
                <w:szCs w:val="16"/>
              </w:rPr>
              <w:t>HYDROCARBONS</w:t>
            </w:r>
          </w:p>
        </w:tc>
        <w:tc>
          <w:tcPr>
            <w:tcW w:w="708" w:type="dxa"/>
            <w:shd w:val="clear" w:color="auto" w:fill="D9E2F3"/>
          </w:tcPr>
          <w:p w14:paraId="25F1C220"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shd w:val="clear" w:color="auto" w:fill="D9E2F3"/>
          </w:tcPr>
          <w:p w14:paraId="46B1046A"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560" w:type="dxa"/>
            <w:shd w:val="clear" w:color="auto" w:fill="D9E2F3"/>
          </w:tcPr>
          <w:p w14:paraId="10033898"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1D1F75B6" w14:textId="77777777" w:rsidTr="00DA3C15">
        <w:trPr>
          <w:trHeight w:val="255"/>
        </w:trPr>
        <w:tc>
          <w:tcPr>
            <w:tcW w:w="4962" w:type="dxa"/>
          </w:tcPr>
          <w:p w14:paraId="74AFB7B9" w14:textId="3AAB8AEA" w:rsidR="00C65720" w:rsidRPr="00C65720" w:rsidRDefault="00C65720" w:rsidP="00136280">
            <w:pPr>
              <w:pStyle w:val="TableParagraph"/>
              <w:spacing w:before="3"/>
              <w:ind w:left="128"/>
              <w:jc w:val="left"/>
              <w:rPr>
                <w:rFonts w:asciiTheme="minorHAnsi" w:hAnsiTheme="minorHAnsi" w:cstheme="minorHAnsi"/>
                <w:b/>
                <w:sz w:val="16"/>
                <w:szCs w:val="16"/>
              </w:rPr>
            </w:pPr>
            <w:r w:rsidRPr="00C65720">
              <w:rPr>
                <w:rFonts w:asciiTheme="minorHAnsi" w:hAnsiTheme="minorHAnsi" w:cstheme="minorHAnsi"/>
                <w:bCs/>
                <w:spacing w:val="-2"/>
                <w:sz w:val="16"/>
                <w:szCs w:val="16"/>
              </w:rPr>
              <w:t>Halogenated</w:t>
            </w:r>
            <w:r w:rsidRPr="00C65720">
              <w:rPr>
                <w:rFonts w:asciiTheme="minorHAnsi" w:hAnsiTheme="minorHAnsi" w:cstheme="minorHAnsi"/>
                <w:bCs/>
                <w:spacing w:val="13"/>
                <w:sz w:val="16"/>
                <w:szCs w:val="16"/>
              </w:rPr>
              <w:t xml:space="preserve"> </w:t>
            </w:r>
            <w:r w:rsidRPr="00C65720">
              <w:rPr>
                <w:rFonts w:asciiTheme="minorHAnsi" w:hAnsiTheme="minorHAnsi" w:cstheme="minorHAnsi"/>
                <w:bCs/>
                <w:spacing w:val="-2"/>
                <w:sz w:val="16"/>
                <w:szCs w:val="16"/>
              </w:rPr>
              <w:t>hydrocarbons</w:t>
            </w:r>
            <w:r w:rsidRPr="00C65720">
              <w:rPr>
                <w:rFonts w:asciiTheme="minorHAnsi" w:hAnsiTheme="minorHAnsi" w:cstheme="minorHAnsi"/>
                <w:bCs/>
                <w:spacing w:val="18"/>
                <w:sz w:val="16"/>
                <w:szCs w:val="16"/>
              </w:rPr>
              <w:t xml:space="preserve"> </w:t>
            </w:r>
          </w:p>
        </w:tc>
        <w:tc>
          <w:tcPr>
            <w:tcW w:w="708" w:type="dxa"/>
          </w:tcPr>
          <w:p w14:paraId="14282BA5"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641F2118" w14:textId="77777777" w:rsidR="00C65720" w:rsidRPr="00C65720" w:rsidRDefault="00C65720" w:rsidP="00136280">
            <w:pPr>
              <w:pStyle w:val="TableParagraph"/>
              <w:spacing w:before="3"/>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194592DA"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6AB7A5F5" w14:textId="77777777" w:rsidTr="00DA3C15">
        <w:trPr>
          <w:trHeight w:val="253"/>
        </w:trPr>
        <w:tc>
          <w:tcPr>
            <w:tcW w:w="4962" w:type="dxa"/>
          </w:tcPr>
          <w:p w14:paraId="5AF389A7" w14:textId="1EC9B182" w:rsidR="00C65720" w:rsidRPr="00C65720" w:rsidRDefault="00C65720" w:rsidP="00136280">
            <w:pPr>
              <w:pStyle w:val="TableParagraph"/>
              <w:ind w:left="128"/>
              <w:jc w:val="left"/>
              <w:rPr>
                <w:rFonts w:asciiTheme="minorHAnsi" w:hAnsiTheme="minorHAnsi" w:cstheme="minorHAnsi"/>
                <w:bCs/>
                <w:sz w:val="16"/>
                <w:szCs w:val="16"/>
              </w:rPr>
            </w:pPr>
            <w:r w:rsidRPr="00C65720">
              <w:rPr>
                <w:rFonts w:asciiTheme="minorHAnsi" w:hAnsiTheme="minorHAnsi" w:cstheme="minorHAnsi"/>
                <w:bCs/>
                <w:spacing w:val="-2"/>
                <w:sz w:val="16"/>
                <w:szCs w:val="16"/>
              </w:rPr>
              <w:t>Aromatic</w:t>
            </w:r>
            <w:r w:rsidRPr="00C65720">
              <w:rPr>
                <w:rFonts w:asciiTheme="minorHAnsi" w:hAnsiTheme="minorHAnsi" w:cstheme="minorHAnsi"/>
                <w:bCs/>
                <w:spacing w:val="5"/>
                <w:sz w:val="16"/>
                <w:szCs w:val="16"/>
              </w:rPr>
              <w:t xml:space="preserve"> </w:t>
            </w:r>
            <w:r w:rsidRPr="00C65720">
              <w:rPr>
                <w:rFonts w:asciiTheme="minorHAnsi" w:hAnsiTheme="minorHAnsi" w:cstheme="minorHAnsi"/>
                <w:bCs/>
                <w:spacing w:val="-2"/>
                <w:sz w:val="16"/>
                <w:szCs w:val="16"/>
              </w:rPr>
              <w:t>hydrocarbons</w:t>
            </w:r>
            <w:r w:rsidRPr="00C65720">
              <w:rPr>
                <w:rFonts w:asciiTheme="minorHAnsi" w:hAnsiTheme="minorHAnsi" w:cstheme="minorHAnsi"/>
                <w:bCs/>
                <w:spacing w:val="6"/>
                <w:sz w:val="16"/>
                <w:szCs w:val="16"/>
              </w:rPr>
              <w:t xml:space="preserve"> </w:t>
            </w:r>
          </w:p>
        </w:tc>
        <w:tc>
          <w:tcPr>
            <w:tcW w:w="708" w:type="dxa"/>
          </w:tcPr>
          <w:p w14:paraId="4BF4B0E5" w14:textId="77777777" w:rsidR="00C65720" w:rsidRPr="00C65720" w:rsidRDefault="00C65720" w:rsidP="00136280">
            <w:pPr>
              <w:pStyle w:val="TableParagraph"/>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05332A3F" w14:textId="77777777" w:rsidR="00C65720" w:rsidRPr="00C65720" w:rsidRDefault="00C65720" w:rsidP="00136280">
            <w:pPr>
              <w:pStyle w:val="TableParagraph"/>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16E85954"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5DE6FC73" w14:textId="77777777" w:rsidTr="00DA3C15">
        <w:trPr>
          <w:trHeight w:val="253"/>
        </w:trPr>
        <w:tc>
          <w:tcPr>
            <w:tcW w:w="4962" w:type="dxa"/>
          </w:tcPr>
          <w:p w14:paraId="22669BEC" w14:textId="61FCFFCF" w:rsidR="00C65720" w:rsidRPr="00C65720" w:rsidRDefault="00C65720" w:rsidP="00136280">
            <w:pPr>
              <w:pStyle w:val="TableParagraph"/>
              <w:spacing w:before="3"/>
              <w:ind w:left="128"/>
              <w:jc w:val="left"/>
              <w:rPr>
                <w:rFonts w:asciiTheme="minorHAnsi" w:hAnsiTheme="minorHAnsi" w:cstheme="minorHAnsi"/>
                <w:bCs/>
                <w:sz w:val="16"/>
                <w:szCs w:val="16"/>
              </w:rPr>
            </w:pPr>
            <w:r w:rsidRPr="00C65720">
              <w:rPr>
                <w:rFonts w:asciiTheme="minorHAnsi" w:hAnsiTheme="minorHAnsi" w:cstheme="minorHAnsi"/>
                <w:bCs/>
                <w:spacing w:val="-2"/>
                <w:sz w:val="16"/>
                <w:szCs w:val="16"/>
              </w:rPr>
              <w:t>Polycyclic</w:t>
            </w:r>
            <w:r w:rsidRPr="00C65720">
              <w:rPr>
                <w:rFonts w:asciiTheme="minorHAnsi" w:hAnsiTheme="minorHAnsi" w:cstheme="minorHAnsi"/>
                <w:bCs/>
                <w:spacing w:val="7"/>
                <w:sz w:val="16"/>
                <w:szCs w:val="16"/>
              </w:rPr>
              <w:t xml:space="preserve"> </w:t>
            </w:r>
            <w:r w:rsidRPr="00C65720">
              <w:rPr>
                <w:rFonts w:asciiTheme="minorHAnsi" w:hAnsiTheme="minorHAnsi" w:cstheme="minorHAnsi"/>
                <w:bCs/>
                <w:spacing w:val="-2"/>
                <w:sz w:val="16"/>
                <w:szCs w:val="16"/>
              </w:rPr>
              <w:t>aromatic</w:t>
            </w:r>
            <w:r w:rsidRPr="00C65720">
              <w:rPr>
                <w:rFonts w:asciiTheme="minorHAnsi" w:hAnsiTheme="minorHAnsi" w:cstheme="minorHAnsi"/>
                <w:bCs/>
                <w:spacing w:val="8"/>
                <w:sz w:val="16"/>
                <w:szCs w:val="16"/>
              </w:rPr>
              <w:t xml:space="preserve"> </w:t>
            </w:r>
            <w:r w:rsidRPr="00C65720">
              <w:rPr>
                <w:rFonts w:asciiTheme="minorHAnsi" w:hAnsiTheme="minorHAnsi" w:cstheme="minorHAnsi"/>
                <w:bCs/>
                <w:spacing w:val="-2"/>
                <w:sz w:val="16"/>
                <w:szCs w:val="16"/>
              </w:rPr>
              <w:t>hydrocarbons</w:t>
            </w:r>
            <w:r w:rsidRPr="00C65720">
              <w:rPr>
                <w:rFonts w:asciiTheme="minorHAnsi" w:hAnsiTheme="minorHAnsi" w:cstheme="minorHAnsi"/>
                <w:bCs/>
                <w:spacing w:val="7"/>
                <w:sz w:val="16"/>
                <w:szCs w:val="16"/>
              </w:rPr>
              <w:t xml:space="preserve"> </w:t>
            </w:r>
          </w:p>
        </w:tc>
        <w:tc>
          <w:tcPr>
            <w:tcW w:w="708" w:type="dxa"/>
          </w:tcPr>
          <w:p w14:paraId="55786022"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060CE96C" w14:textId="77777777" w:rsidR="00C65720" w:rsidRPr="00C65720" w:rsidRDefault="00C65720" w:rsidP="00136280">
            <w:pPr>
              <w:pStyle w:val="TableParagraph"/>
              <w:spacing w:before="3"/>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38638B62"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260DBCCD" w14:textId="77777777" w:rsidTr="00DA3C15">
        <w:trPr>
          <w:trHeight w:val="255"/>
        </w:trPr>
        <w:tc>
          <w:tcPr>
            <w:tcW w:w="4962" w:type="dxa"/>
            <w:shd w:val="clear" w:color="auto" w:fill="D9E2F3"/>
          </w:tcPr>
          <w:p w14:paraId="016FBD6B" w14:textId="77777777" w:rsidR="00C65720" w:rsidRPr="00C65720" w:rsidRDefault="00C65720" w:rsidP="00136280">
            <w:pPr>
              <w:pStyle w:val="TableParagraph"/>
              <w:spacing w:before="24"/>
              <w:ind w:left="128"/>
              <w:jc w:val="left"/>
              <w:rPr>
                <w:rFonts w:asciiTheme="minorHAnsi" w:hAnsiTheme="minorHAnsi" w:cstheme="minorHAnsi"/>
                <w:b/>
                <w:sz w:val="16"/>
                <w:szCs w:val="16"/>
              </w:rPr>
            </w:pPr>
            <w:r w:rsidRPr="00C65720">
              <w:rPr>
                <w:rFonts w:asciiTheme="minorHAnsi" w:hAnsiTheme="minorHAnsi" w:cstheme="minorHAnsi"/>
                <w:b/>
                <w:sz w:val="16"/>
                <w:szCs w:val="16"/>
              </w:rPr>
              <w:t>ORGANIC</w:t>
            </w:r>
            <w:r w:rsidRPr="00C65720">
              <w:rPr>
                <w:rFonts w:asciiTheme="minorHAnsi" w:hAnsiTheme="minorHAnsi" w:cstheme="minorHAnsi"/>
                <w:spacing w:val="-10"/>
                <w:sz w:val="16"/>
                <w:szCs w:val="16"/>
              </w:rPr>
              <w:t xml:space="preserve"> </w:t>
            </w:r>
            <w:r w:rsidRPr="00C65720">
              <w:rPr>
                <w:rFonts w:asciiTheme="minorHAnsi" w:hAnsiTheme="minorHAnsi" w:cstheme="minorHAnsi"/>
                <w:b/>
                <w:sz w:val="16"/>
                <w:szCs w:val="16"/>
              </w:rPr>
              <w:t>COMPOUNDS</w:t>
            </w:r>
            <w:r w:rsidRPr="00C65720">
              <w:rPr>
                <w:rFonts w:asciiTheme="minorHAnsi" w:hAnsiTheme="minorHAnsi" w:cstheme="minorHAnsi"/>
                <w:spacing w:val="-8"/>
                <w:sz w:val="16"/>
                <w:szCs w:val="16"/>
              </w:rPr>
              <w:t xml:space="preserve"> </w:t>
            </w:r>
            <w:r w:rsidRPr="00C65720">
              <w:rPr>
                <w:rFonts w:asciiTheme="minorHAnsi" w:hAnsiTheme="minorHAnsi" w:cstheme="minorHAnsi"/>
                <w:b/>
                <w:sz w:val="16"/>
                <w:szCs w:val="16"/>
              </w:rPr>
              <w:t>–</w:t>
            </w:r>
            <w:r w:rsidRPr="00C65720">
              <w:rPr>
                <w:rFonts w:asciiTheme="minorHAnsi" w:hAnsiTheme="minorHAnsi" w:cstheme="minorHAnsi"/>
                <w:spacing w:val="-9"/>
                <w:sz w:val="16"/>
                <w:szCs w:val="16"/>
              </w:rPr>
              <w:t xml:space="preserve"> </w:t>
            </w:r>
            <w:r w:rsidRPr="00C65720">
              <w:rPr>
                <w:rFonts w:asciiTheme="minorHAnsi" w:hAnsiTheme="minorHAnsi" w:cstheme="minorHAnsi"/>
                <w:b/>
                <w:spacing w:val="-2"/>
                <w:sz w:val="16"/>
                <w:szCs w:val="16"/>
              </w:rPr>
              <w:t>DETERGENTS</w:t>
            </w:r>
          </w:p>
        </w:tc>
        <w:tc>
          <w:tcPr>
            <w:tcW w:w="708" w:type="dxa"/>
            <w:shd w:val="clear" w:color="auto" w:fill="D9E2F3"/>
          </w:tcPr>
          <w:p w14:paraId="36C26C17"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shd w:val="clear" w:color="auto" w:fill="D9E2F3"/>
          </w:tcPr>
          <w:p w14:paraId="5BB98D5D"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560" w:type="dxa"/>
            <w:shd w:val="clear" w:color="auto" w:fill="D9E2F3"/>
          </w:tcPr>
          <w:p w14:paraId="78711A60"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69FDE5FB" w14:textId="77777777" w:rsidTr="00DA3C15">
        <w:trPr>
          <w:trHeight w:val="253"/>
        </w:trPr>
        <w:tc>
          <w:tcPr>
            <w:tcW w:w="4962" w:type="dxa"/>
          </w:tcPr>
          <w:p w14:paraId="7810DBE9"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bCs/>
                <w:sz w:val="16"/>
                <w:szCs w:val="16"/>
              </w:rPr>
              <w:t>Anionic</w:t>
            </w:r>
            <w:r w:rsidRPr="00C65720">
              <w:rPr>
                <w:rFonts w:asciiTheme="minorHAnsi" w:hAnsiTheme="minorHAnsi" w:cstheme="minorHAnsi"/>
                <w:bCs/>
                <w:spacing w:val="-10"/>
                <w:sz w:val="16"/>
                <w:szCs w:val="16"/>
              </w:rPr>
              <w:t xml:space="preserve"> </w:t>
            </w:r>
            <w:r w:rsidRPr="00C65720">
              <w:rPr>
                <w:rFonts w:asciiTheme="minorHAnsi" w:hAnsiTheme="minorHAnsi" w:cstheme="minorHAnsi"/>
                <w:bCs/>
                <w:sz w:val="16"/>
                <w:szCs w:val="16"/>
              </w:rPr>
              <w:t>detergents</w:t>
            </w:r>
            <w:r w:rsidRPr="00C65720">
              <w:rPr>
                <w:rFonts w:asciiTheme="minorHAnsi" w:hAnsiTheme="minorHAnsi" w:cstheme="minorHAnsi"/>
                <w:spacing w:val="-8"/>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39D178E0" w14:textId="77777777" w:rsidR="00C65720" w:rsidRPr="00C65720" w:rsidRDefault="00C65720" w:rsidP="00136280">
            <w:pPr>
              <w:pStyle w:val="TableParagraph"/>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3416ED56"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6E9BCC6A"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0D1103E5" w14:textId="77777777" w:rsidTr="00DA3C15">
        <w:trPr>
          <w:trHeight w:val="253"/>
        </w:trPr>
        <w:tc>
          <w:tcPr>
            <w:tcW w:w="4962" w:type="dxa"/>
          </w:tcPr>
          <w:p w14:paraId="4C6CC88B"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Non-ionic</w:t>
            </w:r>
            <w:r w:rsidRPr="00C65720">
              <w:rPr>
                <w:rFonts w:asciiTheme="minorHAnsi" w:hAnsiTheme="minorHAnsi" w:cstheme="minorHAnsi"/>
                <w:bCs/>
                <w:spacing w:val="-10"/>
                <w:sz w:val="16"/>
                <w:szCs w:val="16"/>
              </w:rPr>
              <w:t xml:space="preserve"> </w:t>
            </w:r>
            <w:r w:rsidRPr="00C65720">
              <w:rPr>
                <w:rFonts w:asciiTheme="minorHAnsi" w:hAnsiTheme="minorHAnsi" w:cstheme="minorHAnsi"/>
                <w:bCs/>
                <w:sz w:val="16"/>
                <w:szCs w:val="16"/>
              </w:rPr>
              <w:t>detergents</w:t>
            </w:r>
            <w:r w:rsidRPr="00C65720">
              <w:rPr>
                <w:rFonts w:asciiTheme="minorHAnsi" w:hAnsiTheme="minorHAnsi" w:cstheme="minorHAnsi"/>
                <w:spacing w:val="-9"/>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045647BA"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7D0A6C21"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13E32BB9"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711F1BBE" w14:textId="77777777" w:rsidTr="00DA3C15">
        <w:trPr>
          <w:trHeight w:val="255"/>
        </w:trPr>
        <w:tc>
          <w:tcPr>
            <w:tcW w:w="4962" w:type="dxa"/>
          </w:tcPr>
          <w:p w14:paraId="60CF17B2"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bCs/>
                <w:sz w:val="16"/>
                <w:szCs w:val="16"/>
              </w:rPr>
              <w:t>Total</w:t>
            </w:r>
            <w:r w:rsidRPr="00C65720">
              <w:rPr>
                <w:rFonts w:asciiTheme="minorHAnsi" w:hAnsiTheme="minorHAnsi" w:cstheme="minorHAnsi"/>
                <w:bCs/>
                <w:spacing w:val="-11"/>
                <w:sz w:val="16"/>
                <w:szCs w:val="16"/>
              </w:rPr>
              <w:t xml:space="preserve"> </w:t>
            </w:r>
            <w:r w:rsidRPr="00C65720">
              <w:rPr>
                <w:rFonts w:asciiTheme="minorHAnsi" w:hAnsiTheme="minorHAnsi" w:cstheme="minorHAnsi"/>
                <w:bCs/>
                <w:sz w:val="16"/>
                <w:szCs w:val="16"/>
              </w:rPr>
              <w:t>phenols</w:t>
            </w:r>
            <w:r w:rsidRPr="00C65720">
              <w:rPr>
                <w:rFonts w:asciiTheme="minorHAnsi" w:hAnsiTheme="minorHAnsi" w:cstheme="minorHAnsi"/>
                <w:bCs/>
                <w:spacing w:val="-6"/>
                <w:sz w:val="16"/>
                <w:szCs w:val="16"/>
              </w:rPr>
              <w:t xml:space="preserve"> </w:t>
            </w:r>
            <w:r w:rsidRPr="00C65720">
              <w:rPr>
                <w:rFonts w:asciiTheme="minorHAnsi" w:hAnsiTheme="minorHAnsi" w:cstheme="minorHAnsi"/>
                <w:bCs/>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03CCE7A7" w14:textId="77777777" w:rsidR="00C65720" w:rsidRPr="00C65720" w:rsidRDefault="00C65720" w:rsidP="00136280">
            <w:pPr>
              <w:pStyle w:val="TableParagraph"/>
              <w:spacing w:before="3"/>
              <w:ind w:left="4" w:right="1"/>
              <w:rPr>
                <w:rFonts w:asciiTheme="minorHAnsi" w:hAnsiTheme="minorHAnsi" w:cstheme="minorHAnsi"/>
                <w:b/>
                <w:sz w:val="16"/>
                <w:szCs w:val="16"/>
              </w:rPr>
            </w:pPr>
            <w:r w:rsidRPr="00C65720">
              <w:rPr>
                <w:rFonts w:asciiTheme="minorHAnsi" w:hAnsiTheme="minorHAnsi" w:cstheme="minorHAnsi"/>
                <w:b/>
                <w:spacing w:val="-10"/>
                <w:sz w:val="16"/>
                <w:szCs w:val="16"/>
              </w:rPr>
              <w:t>+</w:t>
            </w:r>
          </w:p>
        </w:tc>
        <w:tc>
          <w:tcPr>
            <w:tcW w:w="1701" w:type="dxa"/>
          </w:tcPr>
          <w:p w14:paraId="66DF98EE" w14:textId="77777777" w:rsidR="00C65720" w:rsidRPr="00C65720" w:rsidRDefault="00C65720" w:rsidP="00136280">
            <w:pPr>
              <w:pStyle w:val="TableParagraph"/>
              <w:spacing w:before="3"/>
              <w:ind w:right="1"/>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2AFAC332"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r>
      <w:tr w:rsidR="00C65720" w:rsidRPr="00C65720" w14:paraId="06105A2F" w14:textId="77777777" w:rsidTr="00DA3C15">
        <w:trPr>
          <w:trHeight w:val="255"/>
        </w:trPr>
        <w:tc>
          <w:tcPr>
            <w:tcW w:w="4962" w:type="dxa"/>
            <w:shd w:val="clear" w:color="auto" w:fill="D9E2F3"/>
          </w:tcPr>
          <w:p w14:paraId="51784C45" w14:textId="77777777" w:rsidR="00C65720" w:rsidRPr="00C65720" w:rsidRDefault="00C65720" w:rsidP="00136280">
            <w:pPr>
              <w:pStyle w:val="TableParagraph"/>
              <w:spacing w:before="24"/>
              <w:ind w:left="128"/>
              <w:jc w:val="left"/>
              <w:rPr>
                <w:rFonts w:asciiTheme="minorHAnsi" w:hAnsiTheme="minorHAnsi" w:cstheme="minorHAnsi"/>
                <w:b/>
                <w:sz w:val="16"/>
                <w:szCs w:val="16"/>
              </w:rPr>
            </w:pPr>
            <w:r w:rsidRPr="00C65720">
              <w:rPr>
                <w:rFonts w:asciiTheme="minorHAnsi" w:hAnsiTheme="minorHAnsi" w:cstheme="minorHAnsi"/>
                <w:b/>
                <w:sz w:val="16"/>
                <w:szCs w:val="16"/>
              </w:rPr>
              <w:lastRenderedPageBreak/>
              <w:t>OTHER</w:t>
            </w:r>
            <w:r w:rsidRPr="00C65720">
              <w:rPr>
                <w:rFonts w:asciiTheme="minorHAnsi" w:hAnsiTheme="minorHAnsi" w:cstheme="minorHAnsi"/>
                <w:spacing w:val="-9"/>
                <w:sz w:val="16"/>
                <w:szCs w:val="16"/>
              </w:rPr>
              <w:t xml:space="preserve"> </w:t>
            </w:r>
            <w:r w:rsidRPr="00C65720">
              <w:rPr>
                <w:rFonts w:asciiTheme="minorHAnsi" w:hAnsiTheme="minorHAnsi" w:cstheme="minorHAnsi"/>
                <w:b/>
                <w:sz w:val="16"/>
                <w:szCs w:val="16"/>
              </w:rPr>
              <w:t>ORGANIC</w:t>
            </w:r>
            <w:r w:rsidRPr="00C65720">
              <w:rPr>
                <w:rFonts w:asciiTheme="minorHAnsi" w:hAnsiTheme="minorHAnsi" w:cstheme="minorHAnsi"/>
                <w:spacing w:val="-9"/>
                <w:sz w:val="16"/>
                <w:szCs w:val="16"/>
              </w:rPr>
              <w:t xml:space="preserve"> </w:t>
            </w:r>
            <w:r w:rsidRPr="00C65720">
              <w:rPr>
                <w:rFonts w:asciiTheme="minorHAnsi" w:hAnsiTheme="minorHAnsi" w:cstheme="minorHAnsi"/>
                <w:b/>
                <w:spacing w:val="-2"/>
                <w:sz w:val="16"/>
                <w:szCs w:val="16"/>
              </w:rPr>
              <w:t>COMPOUNDS</w:t>
            </w:r>
          </w:p>
        </w:tc>
        <w:tc>
          <w:tcPr>
            <w:tcW w:w="708" w:type="dxa"/>
            <w:shd w:val="clear" w:color="auto" w:fill="D9E2F3"/>
          </w:tcPr>
          <w:p w14:paraId="0F12E3D6"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shd w:val="clear" w:color="auto" w:fill="D9E2F3"/>
          </w:tcPr>
          <w:p w14:paraId="62BB4A61"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560" w:type="dxa"/>
            <w:shd w:val="clear" w:color="auto" w:fill="D9E2F3"/>
          </w:tcPr>
          <w:p w14:paraId="46214993"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39741078" w14:textId="77777777" w:rsidTr="00DA3C15">
        <w:trPr>
          <w:trHeight w:val="253"/>
        </w:trPr>
        <w:tc>
          <w:tcPr>
            <w:tcW w:w="4962" w:type="dxa"/>
          </w:tcPr>
          <w:p w14:paraId="3C605F04"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sz w:val="16"/>
                <w:szCs w:val="16"/>
              </w:rPr>
              <w:t>Bisphenol</w:t>
            </w:r>
            <w:r w:rsidRPr="00C65720">
              <w:rPr>
                <w:rFonts w:asciiTheme="minorHAnsi" w:hAnsiTheme="minorHAnsi" w:cstheme="minorHAnsi"/>
                <w:spacing w:val="-9"/>
                <w:sz w:val="16"/>
                <w:szCs w:val="16"/>
              </w:rPr>
              <w:t xml:space="preserve"> </w:t>
            </w:r>
            <w:r w:rsidRPr="00C65720">
              <w:rPr>
                <w:rFonts w:asciiTheme="minorHAnsi" w:hAnsiTheme="minorHAnsi" w:cstheme="minorHAnsi"/>
                <w:sz w:val="16"/>
                <w:szCs w:val="16"/>
              </w:rPr>
              <w:t>A</w:t>
            </w:r>
            <w:r w:rsidRPr="00C65720">
              <w:rPr>
                <w:rFonts w:asciiTheme="minorHAnsi" w:hAnsiTheme="minorHAnsi" w:cstheme="minorHAnsi"/>
                <w:spacing w:val="-7"/>
                <w:sz w:val="16"/>
                <w:szCs w:val="16"/>
              </w:rPr>
              <w:t xml:space="preserve"> </w:t>
            </w:r>
            <w:r w:rsidRPr="00C65720">
              <w:rPr>
                <w:rFonts w:asciiTheme="minorHAnsi" w:hAnsiTheme="minorHAnsi" w:cstheme="minorHAnsi"/>
                <w:sz w:val="16"/>
                <w:szCs w:val="16"/>
              </w:rPr>
              <w:t>(BPA)</w:t>
            </w:r>
            <w:r w:rsidRPr="00C65720">
              <w:rPr>
                <w:rFonts w:asciiTheme="minorHAnsi" w:hAnsiTheme="minorHAnsi" w:cstheme="minorHAnsi"/>
                <w:spacing w:val="-8"/>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582A0128"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5E7B3A2A" w14:textId="77777777" w:rsidR="00C65720" w:rsidRPr="00C65720" w:rsidRDefault="00C65720" w:rsidP="00136280">
            <w:pPr>
              <w:pStyle w:val="TableParagraph"/>
              <w:spacing w:before="22"/>
              <w:rPr>
                <w:rFonts w:asciiTheme="minorHAnsi" w:hAnsiTheme="minorHAnsi" w:cstheme="minorHAnsi"/>
                <w:sz w:val="16"/>
                <w:szCs w:val="16"/>
              </w:rPr>
            </w:pPr>
            <w:r w:rsidRPr="00C65720">
              <w:rPr>
                <w:rFonts w:asciiTheme="minorHAnsi" w:hAnsiTheme="minorHAnsi" w:cstheme="minorHAnsi"/>
                <w:spacing w:val="-2"/>
                <w:sz w:val="16"/>
                <w:szCs w:val="16"/>
              </w:rPr>
              <w:t>4/yr-</w:t>
            </w:r>
            <w:r w:rsidRPr="00C65720">
              <w:rPr>
                <w:rFonts w:asciiTheme="minorHAnsi" w:hAnsiTheme="minorHAnsi" w:cstheme="minorHAnsi"/>
                <w:spacing w:val="-4"/>
                <w:sz w:val="16"/>
                <w:szCs w:val="16"/>
              </w:rPr>
              <w:t>6/yr</w:t>
            </w:r>
          </w:p>
        </w:tc>
        <w:tc>
          <w:tcPr>
            <w:tcW w:w="1560" w:type="dxa"/>
          </w:tcPr>
          <w:p w14:paraId="387346E8"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49EF1A47" w14:textId="77777777" w:rsidTr="00DA3C15">
        <w:trPr>
          <w:trHeight w:val="253"/>
        </w:trPr>
        <w:tc>
          <w:tcPr>
            <w:tcW w:w="4962" w:type="dxa"/>
          </w:tcPr>
          <w:p w14:paraId="34A88B6F" w14:textId="770ADF46"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Chloroacetamide</w:t>
            </w:r>
            <w:r w:rsidRPr="00C65720">
              <w:rPr>
                <w:rFonts w:asciiTheme="minorHAnsi" w:hAnsiTheme="minorHAnsi" w:cstheme="minorHAnsi"/>
                <w:spacing w:val="14"/>
                <w:sz w:val="16"/>
                <w:szCs w:val="16"/>
              </w:rPr>
              <w:t xml:space="preserve"> </w:t>
            </w:r>
            <w:proofErr w:type="spellStart"/>
            <w:r w:rsidRPr="00C65720">
              <w:rPr>
                <w:rFonts w:asciiTheme="minorHAnsi" w:hAnsiTheme="minorHAnsi" w:cstheme="minorHAnsi"/>
                <w:spacing w:val="-4"/>
                <w:sz w:val="16"/>
                <w:szCs w:val="16"/>
              </w:rPr>
              <w:t>μg</w:t>
            </w:r>
            <w:proofErr w:type="spellEnd"/>
            <w:r w:rsidRPr="00C65720">
              <w:rPr>
                <w:rFonts w:asciiTheme="minorHAnsi" w:hAnsiTheme="minorHAnsi" w:cstheme="minorHAnsi"/>
                <w:spacing w:val="-4"/>
                <w:sz w:val="16"/>
                <w:szCs w:val="16"/>
              </w:rPr>
              <w:t>/l)</w:t>
            </w:r>
          </w:p>
        </w:tc>
        <w:tc>
          <w:tcPr>
            <w:tcW w:w="708" w:type="dxa"/>
          </w:tcPr>
          <w:p w14:paraId="40F9F1DF"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4FC0DBF7"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34C37869" w14:textId="77777777" w:rsidR="00C65720" w:rsidRPr="00C65720" w:rsidRDefault="00C65720" w:rsidP="00136280">
            <w:pPr>
              <w:pStyle w:val="TableParagraph"/>
              <w:ind w:left="0"/>
              <w:jc w:val="left"/>
              <w:rPr>
                <w:rFonts w:asciiTheme="minorHAnsi" w:hAnsiTheme="minorHAnsi" w:cstheme="minorHAnsi"/>
                <w:sz w:val="16"/>
                <w:szCs w:val="16"/>
              </w:rPr>
            </w:pPr>
          </w:p>
        </w:tc>
      </w:tr>
      <w:tr w:rsidR="00C65720" w:rsidRPr="00C65720" w14:paraId="2E54AED7" w14:textId="77777777" w:rsidTr="00DA3C15">
        <w:trPr>
          <w:trHeight w:val="255"/>
        </w:trPr>
        <w:tc>
          <w:tcPr>
            <w:tcW w:w="4962" w:type="dxa"/>
          </w:tcPr>
          <w:p w14:paraId="74CFF03B" w14:textId="77777777" w:rsidR="00C65720" w:rsidRPr="00C65720" w:rsidRDefault="00C65720" w:rsidP="00136280">
            <w:pPr>
              <w:pStyle w:val="TableParagraph"/>
              <w:spacing w:before="24"/>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Acetochlor</w:t>
            </w:r>
            <w:r w:rsidRPr="00C65720">
              <w:rPr>
                <w:rFonts w:asciiTheme="minorHAnsi" w:hAnsiTheme="minorHAnsi" w:cstheme="minorHAnsi"/>
                <w:spacing w:val="6"/>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683FEA7D"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77139C57" w14:textId="77777777" w:rsidR="00C65720" w:rsidRPr="00C65720" w:rsidRDefault="00C65720" w:rsidP="00136280">
            <w:pPr>
              <w:pStyle w:val="TableParagraph"/>
              <w:spacing w:before="3"/>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4661BB21" w14:textId="77777777" w:rsidR="00C65720" w:rsidRPr="00C65720" w:rsidRDefault="00C65720" w:rsidP="00136280">
            <w:pPr>
              <w:pStyle w:val="TableParagraph"/>
              <w:spacing w:before="24"/>
              <w:ind w:right="4"/>
              <w:rPr>
                <w:rFonts w:asciiTheme="minorHAnsi" w:hAnsiTheme="minorHAnsi" w:cstheme="minorHAnsi"/>
                <w:sz w:val="16"/>
                <w:szCs w:val="16"/>
              </w:rPr>
            </w:pPr>
            <w:r w:rsidRPr="00C65720">
              <w:rPr>
                <w:rFonts w:asciiTheme="minorHAnsi" w:hAnsiTheme="minorHAnsi" w:cstheme="minorHAnsi"/>
                <w:spacing w:val="-4"/>
                <w:sz w:val="16"/>
                <w:szCs w:val="16"/>
              </w:rPr>
              <w:t>4/yr</w:t>
            </w:r>
          </w:p>
        </w:tc>
      </w:tr>
      <w:tr w:rsidR="00C65720" w:rsidRPr="00C65720" w14:paraId="0EA1428A" w14:textId="77777777" w:rsidTr="00DA3C15">
        <w:trPr>
          <w:trHeight w:val="255"/>
        </w:trPr>
        <w:tc>
          <w:tcPr>
            <w:tcW w:w="4962" w:type="dxa"/>
          </w:tcPr>
          <w:p w14:paraId="01C43D62" w14:textId="77777777" w:rsidR="00C65720" w:rsidRPr="00C65720" w:rsidRDefault="00C65720" w:rsidP="00136280">
            <w:pPr>
              <w:pStyle w:val="TableParagraph"/>
              <w:spacing w:before="22"/>
              <w:ind w:left="128"/>
              <w:jc w:val="left"/>
              <w:rPr>
                <w:rFonts w:asciiTheme="minorHAnsi" w:hAnsiTheme="minorHAnsi" w:cstheme="minorHAnsi"/>
                <w:sz w:val="16"/>
                <w:szCs w:val="16"/>
              </w:rPr>
            </w:pPr>
            <w:r w:rsidRPr="00C65720">
              <w:rPr>
                <w:rFonts w:asciiTheme="minorHAnsi" w:hAnsiTheme="minorHAnsi" w:cstheme="minorHAnsi"/>
                <w:spacing w:val="-2"/>
                <w:sz w:val="16"/>
                <w:szCs w:val="16"/>
              </w:rPr>
              <w:t>S-metolachlor</w:t>
            </w:r>
            <w:r w:rsidRPr="00C65720">
              <w:rPr>
                <w:rFonts w:asciiTheme="minorHAnsi" w:hAnsiTheme="minorHAnsi" w:cstheme="minorHAnsi"/>
                <w:spacing w:val="10"/>
                <w:sz w:val="16"/>
                <w:szCs w:val="16"/>
              </w:rPr>
              <w:t xml:space="preserve"> </w:t>
            </w:r>
            <w:r w:rsidRPr="00C65720">
              <w:rPr>
                <w:rFonts w:asciiTheme="minorHAnsi" w:hAnsiTheme="minorHAnsi" w:cstheme="minorHAnsi"/>
                <w:spacing w:val="-2"/>
                <w:sz w:val="16"/>
                <w:szCs w:val="16"/>
              </w:rPr>
              <w:t>(</w:t>
            </w:r>
            <w:proofErr w:type="spellStart"/>
            <w:r w:rsidRPr="00C65720">
              <w:rPr>
                <w:rFonts w:asciiTheme="minorHAnsi" w:hAnsiTheme="minorHAnsi" w:cstheme="minorHAnsi"/>
                <w:spacing w:val="-2"/>
                <w:sz w:val="16"/>
                <w:szCs w:val="16"/>
              </w:rPr>
              <w:t>μg</w:t>
            </w:r>
            <w:proofErr w:type="spellEnd"/>
            <w:r w:rsidRPr="00C65720">
              <w:rPr>
                <w:rFonts w:asciiTheme="minorHAnsi" w:hAnsiTheme="minorHAnsi" w:cstheme="minorHAnsi"/>
                <w:spacing w:val="-2"/>
                <w:sz w:val="16"/>
                <w:szCs w:val="16"/>
              </w:rPr>
              <w:t>/l)</w:t>
            </w:r>
          </w:p>
        </w:tc>
        <w:tc>
          <w:tcPr>
            <w:tcW w:w="708" w:type="dxa"/>
          </w:tcPr>
          <w:p w14:paraId="607392D2" w14:textId="77777777" w:rsidR="00C65720" w:rsidRPr="00C65720" w:rsidRDefault="00C65720" w:rsidP="00136280">
            <w:pPr>
              <w:pStyle w:val="TableParagraph"/>
              <w:ind w:left="0"/>
              <w:jc w:val="left"/>
              <w:rPr>
                <w:rFonts w:asciiTheme="minorHAnsi" w:hAnsiTheme="minorHAnsi" w:cstheme="minorHAnsi"/>
                <w:sz w:val="16"/>
                <w:szCs w:val="16"/>
              </w:rPr>
            </w:pPr>
          </w:p>
        </w:tc>
        <w:tc>
          <w:tcPr>
            <w:tcW w:w="1701" w:type="dxa"/>
          </w:tcPr>
          <w:p w14:paraId="4CD4614D" w14:textId="77777777" w:rsidR="00C65720" w:rsidRPr="00C65720" w:rsidRDefault="00C65720" w:rsidP="00136280">
            <w:pPr>
              <w:pStyle w:val="TableParagraph"/>
              <w:rPr>
                <w:rFonts w:asciiTheme="minorHAnsi" w:hAnsiTheme="minorHAnsi" w:cstheme="minorHAnsi"/>
                <w:sz w:val="16"/>
                <w:szCs w:val="16"/>
              </w:rPr>
            </w:pPr>
            <w:r w:rsidRPr="00C65720">
              <w:rPr>
                <w:rFonts w:asciiTheme="minorHAnsi" w:hAnsiTheme="minorHAnsi" w:cstheme="minorHAnsi"/>
                <w:spacing w:val="-4"/>
                <w:sz w:val="16"/>
                <w:szCs w:val="16"/>
              </w:rPr>
              <w:t>4/yr</w:t>
            </w:r>
          </w:p>
        </w:tc>
        <w:tc>
          <w:tcPr>
            <w:tcW w:w="1560" w:type="dxa"/>
          </w:tcPr>
          <w:p w14:paraId="0AA59DBE" w14:textId="77777777" w:rsidR="00C65720" w:rsidRPr="00C65720" w:rsidRDefault="00C65720" w:rsidP="00136280">
            <w:pPr>
              <w:pStyle w:val="TableParagraph"/>
              <w:spacing w:before="22"/>
              <w:ind w:right="4"/>
              <w:rPr>
                <w:rFonts w:asciiTheme="minorHAnsi" w:hAnsiTheme="minorHAnsi" w:cstheme="minorHAnsi"/>
                <w:sz w:val="16"/>
                <w:szCs w:val="16"/>
              </w:rPr>
            </w:pPr>
            <w:r w:rsidRPr="00C65720">
              <w:rPr>
                <w:rFonts w:asciiTheme="minorHAnsi" w:hAnsiTheme="minorHAnsi" w:cstheme="minorHAnsi"/>
                <w:spacing w:val="-4"/>
                <w:sz w:val="16"/>
                <w:szCs w:val="16"/>
              </w:rPr>
              <w:t>4/yr</w:t>
            </w:r>
          </w:p>
        </w:tc>
      </w:tr>
    </w:tbl>
    <w:p w14:paraId="027BF777" w14:textId="77777777" w:rsidR="00C65720" w:rsidRDefault="00C65720" w:rsidP="00C65720">
      <w:pPr>
        <w:jc w:val="both"/>
        <w:rPr>
          <w:rFonts w:cstheme="minorHAnsi"/>
          <w:bCs/>
        </w:rPr>
      </w:pPr>
    </w:p>
    <w:p w14:paraId="185677EB" w14:textId="1ADCFB22" w:rsidR="00DA3C15" w:rsidRDefault="002F4776" w:rsidP="002F4776">
      <w:pPr>
        <w:pStyle w:val="Caption"/>
        <w:rPr>
          <w:rFonts w:cstheme="minorHAnsi"/>
          <w:bCs/>
        </w:rPr>
      </w:pPr>
      <w:bookmarkStart w:id="230" w:name="_Toc229037750"/>
      <w:r>
        <w:t xml:space="preserve">Table </w:t>
      </w:r>
      <w:r>
        <w:fldChar w:fldCharType="begin"/>
      </w:r>
      <w:r>
        <w:instrText xml:space="preserve"> SEQ Table \* ARABIC </w:instrText>
      </w:r>
      <w:r>
        <w:fldChar w:fldCharType="separate"/>
      </w:r>
      <w:r>
        <w:rPr>
          <w:noProof/>
        </w:rPr>
        <w:t>28</w:t>
      </w:r>
      <w:r>
        <w:fldChar w:fldCharType="end"/>
      </w:r>
      <w:r>
        <w:t xml:space="preserve"> </w:t>
      </w:r>
      <w:r w:rsidRPr="00A56F91">
        <w:t>Proposed ecological indicators in biological monitoring and sampling frequency</w:t>
      </w:r>
      <w:bookmarkEnd w:id="230"/>
    </w:p>
    <w:tbl>
      <w:tblPr>
        <w:tblStyle w:val="TableGrid"/>
        <w:tblW w:w="9067" w:type="dxa"/>
        <w:tblInd w:w="-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127"/>
        <w:gridCol w:w="2389"/>
        <w:gridCol w:w="1495"/>
        <w:gridCol w:w="1492"/>
        <w:gridCol w:w="1564"/>
      </w:tblGrid>
      <w:tr w:rsidR="00DA3C15" w:rsidRPr="00956DAB" w14:paraId="4DC3BAD0" w14:textId="77777777" w:rsidTr="00DA3C15">
        <w:tc>
          <w:tcPr>
            <w:tcW w:w="2127" w:type="dxa"/>
            <w:shd w:val="clear" w:color="auto" w:fill="A5C9EB"/>
          </w:tcPr>
          <w:p w14:paraId="3679F844" w14:textId="77777777" w:rsidR="00DA3C15" w:rsidRPr="00956DAB" w:rsidRDefault="00DA3C15" w:rsidP="00136280">
            <w:pPr>
              <w:rPr>
                <w:b/>
                <w:sz w:val="16"/>
                <w:szCs w:val="16"/>
              </w:rPr>
            </w:pPr>
            <w:r w:rsidRPr="00956DAB">
              <w:rPr>
                <w:b/>
                <w:sz w:val="16"/>
                <w:szCs w:val="16"/>
              </w:rPr>
              <w:t>ELEMENT</w:t>
            </w:r>
          </w:p>
        </w:tc>
        <w:tc>
          <w:tcPr>
            <w:tcW w:w="2389" w:type="dxa"/>
            <w:shd w:val="clear" w:color="auto" w:fill="A5C9EB"/>
          </w:tcPr>
          <w:p w14:paraId="00360D1E" w14:textId="77777777" w:rsidR="00DA3C15" w:rsidRPr="00956DAB" w:rsidRDefault="00DA3C15" w:rsidP="00136280">
            <w:pPr>
              <w:rPr>
                <w:b/>
                <w:sz w:val="16"/>
                <w:szCs w:val="16"/>
              </w:rPr>
            </w:pPr>
            <w:r w:rsidRPr="00956DAB">
              <w:rPr>
                <w:b/>
                <w:sz w:val="16"/>
                <w:szCs w:val="16"/>
              </w:rPr>
              <w:t>INDICATOR/INDEX OF STATUS</w:t>
            </w:r>
          </w:p>
        </w:tc>
        <w:tc>
          <w:tcPr>
            <w:tcW w:w="1495" w:type="dxa"/>
            <w:shd w:val="clear" w:color="auto" w:fill="A5C9EB"/>
          </w:tcPr>
          <w:p w14:paraId="34A1E528" w14:textId="77777777" w:rsidR="00DA3C15" w:rsidRPr="00956DAB" w:rsidRDefault="00DA3C15" w:rsidP="00136280">
            <w:pPr>
              <w:rPr>
                <w:b/>
                <w:sz w:val="16"/>
                <w:szCs w:val="16"/>
              </w:rPr>
            </w:pPr>
            <w:r w:rsidRPr="00956DAB">
              <w:rPr>
                <w:b/>
                <w:sz w:val="16"/>
                <w:szCs w:val="16"/>
              </w:rPr>
              <w:t>ABBREVIATED NAME</w:t>
            </w:r>
          </w:p>
        </w:tc>
        <w:tc>
          <w:tcPr>
            <w:tcW w:w="1492" w:type="dxa"/>
            <w:shd w:val="clear" w:color="auto" w:fill="A5C9EB"/>
          </w:tcPr>
          <w:p w14:paraId="41E0FE48" w14:textId="77777777" w:rsidR="00DA3C15" w:rsidRPr="00956DAB" w:rsidRDefault="00DA3C15" w:rsidP="00136280">
            <w:pPr>
              <w:rPr>
                <w:b/>
                <w:sz w:val="16"/>
                <w:szCs w:val="16"/>
              </w:rPr>
            </w:pPr>
            <w:r w:rsidRPr="00956DAB">
              <w:rPr>
                <w:b/>
                <w:sz w:val="16"/>
                <w:szCs w:val="16"/>
              </w:rPr>
              <w:t>FREQUENCY SM</w:t>
            </w:r>
          </w:p>
        </w:tc>
        <w:tc>
          <w:tcPr>
            <w:tcW w:w="1564" w:type="dxa"/>
            <w:shd w:val="clear" w:color="auto" w:fill="A5C9EB"/>
          </w:tcPr>
          <w:p w14:paraId="6F87F4B5" w14:textId="77777777" w:rsidR="00DA3C15" w:rsidRPr="00956DAB" w:rsidRDefault="00DA3C15" w:rsidP="00136280">
            <w:pPr>
              <w:rPr>
                <w:b/>
                <w:sz w:val="16"/>
                <w:szCs w:val="16"/>
              </w:rPr>
            </w:pPr>
            <w:r w:rsidRPr="00956DAB">
              <w:rPr>
                <w:b/>
                <w:sz w:val="16"/>
                <w:szCs w:val="16"/>
              </w:rPr>
              <w:t>FREQUENCY OM</w:t>
            </w:r>
          </w:p>
        </w:tc>
      </w:tr>
      <w:tr w:rsidR="00DA3C15" w:rsidRPr="00956DAB" w14:paraId="7DF3EB3B" w14:textId="77777777" w:rsidTr="00DA3C15">
        <w:tc>
          <w:tcPr>
            <w:tcW w:w="2127" w:type="dxa"/>
          </w:tcPr>
          <w:p w14:paraId="68E2AF87" w14:textId="77777777" w:rsidR="00DA3C15" w:rsidRPr="00956DAB" w:rsidRDefault="00DA3C15" w:rsidP="00136280">
            <w:pPr>
              <w:rPr>
                <w:b/>
                <w:sz w:val="16"/>
                <w:szCs w:val="16"/>
              </w:rPr>
            </w:pPr>
            <w:r w:rsidRPr="00DA3C15">
              <w:rPr>
                <w:bCs/>
                <w:sz w:val="16"/>
                <w:szCs w:val="16"/>
              </w:rPr>
              <w:t>Phytoplankton</w:t>
            </w:r>
          </w:p>
        </w:tc>
        <w:tc>
          <w:tcPr>
            <w:tcW w:w="2389" w:type="dxa"/>
          </w:tcPr>
          <w:p w14:paraId="5B74B272" w14:textId="77777777" w:rsidR="00DA3C15" w:rsidRPr="00956DAB" w:rsidRDefault="00DA3C15" w:rsidP="00136280">
            <w:pPr>
              <w:rPr>
                <w:sz w:val="16"/>
                <w:szCs w:val="16"/>
              </w:rPr>
            </w:pPr>
            <w:r w:rsidRPr="00956DAB">
              <w:rPr>
                <w:sz w:val="16"/>
                <w:szCs w:val="16"/>
              </w:rPr>
              <w:t xml:space="preserve">River </w:t>
            </w:r>
            <w:proofErr w:type="spellStart"/>
            <w:r w:rsidRPr="00956DAB">
              <w:rPr>
                <w:sz w:val="16"/>
                <w:szCs w:val="16"/>
              </w:rPr>
              <w:t>Potamoplankton</w:t>
            </w:r>
            <w:proofErr w:type="spellEnd"/>
            <w:r w:rsidRPr="00956DAB">
              <w:rPr>
                <w:sz w:val="16"/>
                <w:szCs w:val="16"/>
              </w:rPr>
              <w:t xml:space="preserve"> Index</w:t>
            </w:r>
          </w:p>
        </w:tc>
        <w:tc>
          <w:tcPr>
            <w:tcW w:w="1495" w:type="dxa"/>
            <w:vAlign w:val="center"/>
          </w:tcPr>
          <w:p w14:paraId="26EEA88A" w14:textId="77777777" w:rsidR="00DA3C15" w:rsidRPr="00956DAB" w:rsidRDefault="00DA3C15" w:rsidP="00136280">
            <w:pPr>
              <w:rPr>
                <w:sz w:val="16"/>
                <w:szCs w:val="16"/>
              </w:rPr>
            </w:pPr>
            <w:r w:rsidRPr="00956DAB">
              <w:rPr>
                <w:sz w:val="16"/>
                <w:szCs w:val="16"/>
              </w:rPr>
              <w:t>HRPI</w:t>
            </w:r>
          </w:p>
        </w:tc>
        <w:tc>
          <w:tcPr>
            <w:tcW w:w="1492" w:type="dxa"/>
            <w:vAlign w:val="center"/>
          </w:tcPr>
          <w:p w14:paraId="2CC489E7" w14:textId="77777777" w:rsidR="00DA3C15" w:rsidRPr="00956DAB" w:rsidRDefault="00DA3C15" w:rsidP="00136280">
            <w:pPr>
              <w:jc w:val="center"/>
              <w:rPr>
                <w:sz w:val="16"/>
                <w:szCs w:val="16"/>
              </w:rPr>
            </w:pPr>
            <w:r w:rsidRPr="00956DAB">
              <w:rPr>
                <w:sz w:val="16"/>
                <w:szCs w:val="16"/>
              </w:rPr>
              <w:t>1/ yr</w:t>
            </w:r>
          </w:p>
        </w:tc>
        <w:tc>
          <w:tcPr>
            <w:tcW w:w="1564" w:type="dxa"/>
            <w:vAlign w:val="center"/>
          </w:tcPr>
          <w:p w14:paraId="0AEB3F9C" w14:textId="77777777" w:rsidR="00DA3C15" w:rsidRPr="00956DAB" w:rsidRDefault="00DA3C15" w:rsidP="00136280">
            <w:pPr>
              <w:jc w:val="center"/>
              <w:rPr>
                <w:sz w:val="16"/>
                <w:szCs w:val="16"/>
              </w:rPr>
            </w:pPr>
            <w:r w:rsidRPr="00956DAB">
              <w:rPr>
                <w:sz w:val="16"/>
                <w:szCs w:val="16"/>
              </w:rPr>
              <w:t>6/yr in 3 yrs (from April to September)</w:t>
            </w:r>
          </w:p>
        </w:tc>
      </w:tr>
      <w:tr w:rsidR="00DA3C15" w:rsidRPr="00956DAB" w14:paraId="517D5DB2" w14:textId="77777777" w:rsidTr="00DA3C15">
        <w:tc>
          <w:tcPr>
            <w:tcW w:w="2127" w:type="dxa"/>
          </w:tcPr>
          <w:p w14:paraId="1194330B" w14:textId="77777777" w:rsidR="00DA3C15" w:rsidRPr="00956DAB" w:rsidRDefault="00DA3C15" w:rsidP="00136280">
            <w:pPr>
              <w:rPr>
                <w:sz w:val="16"/>
                <w:szCs w:val="16"/>
              </w:rPr>
            </w:pPr>
            <w:proofErr w:type="spellStart"/>
            <w:r w:rsidRPr="00DA3C15">
              <w:rPr>
                <w:bCs/>
                <w:sz w:val="16"/>
                <w:szCs w:val="16"/>
              </w:rPr>
              <w:t>Phytobenthos</w:t>
            </w:r>
            <w:proofErr w:type="spellEnd"/>
          </w:p>
        </w:tc>
        <w:tc>
          <w:tcPr>
            <w:tcW w:w="2389" w:type="dxa"/>
          </w:tcPr>
          <w:p w14:paraId="7D76E32A" w14:textId="77777777" w:rsidR="00DA3C15" w:rsidRPr="00956DAB" w:rsidRDefault="00DA3C15" w:rsidP="00136280">
            <w:pPr>
              <w:rPr>
                <w:sz w:val="16"/>
                <w:szCs w:val="16"/>
              </w:rPr>
            </w:pPr>
            <w:r w:rsidRPr="00956DAB">
              <w:rPr>
                <w:sz w:val="16"/>
                <w:szCs w:val="16"/>
              </w:rPr>
              <w:t>Diatom Trophic Index</w:t>
            </w:r>
          </w:p>
        </w:tc>
        <w:tc>
          <w:tcPr>
            <w:tcW w:w="1495" w:type="dxa"/>
            <w:vAlign w:val="center"/>
          </w:tcPr>
          <w:p w14:paraId="54F5CEF9" w14:textId="77777777" w:rsidR="00DA3C15" w:rsidRPr="00956DAB" w:rsidRDefault="00DA3C15" w:rsidP="00136280">
            <w:pPr>
              <w:rPr>
                <w:sz w:val="16"/>
                <w:szCs w:val="16"/>
              </w:rPr>
            </w:pPr>
            <w:r w:rsidRPr="00956DAB">
              <w:rPr>
                <w:sz w:val="16"/>
                <w:szCs w:val="16"/>
              </w:rPr>
              <w:t xml:space="preserve">TID </w:t>
            </w:r>
            <w:r w:rsidRPr="00956DAB">
              <w:rPr>
                <w:sz w:val="16"/>
                <w:szCs w:val="16"/>
                <w:vertAlign w:val="subscript"/>
              </w:rPr>
              <w:t>HR</w:t>
            </w:r>
          </w:p>
        </w:tc>
        <w:tc>
          <w:tcPr>
            <w:tcW w:w="1492" w:type="dxa"/>
            <w:vAlign w:val="center"/>
          </w:tcPr>
          <w:p w14:paraId="75120517" w14:textId="77777777" w:rsidR="00DA3C15" w:rsidRPr="00956DAB" w:rsidRDefault="00DA3C15" w:rsidP="00136280">
            <w:pPr>
              <w:jc w:val="center"/>
              <w:rPr>
                <w:sz w:val="16"/>
                <w:szCs w:val="16"/>
              </w:rPr>
            </w:pPr>
            <w:r w:rsidRPr="00956DAB">
              <w:rPr>
                <w:sz w:val="16"/>
                <w:szCs w:val="16"/>
              </w:rPr>
              <w:t>1/ yr</w:t>
            </w:r>
          </w:p>
        </w:tc>
        <w:tc>
          <w:tcPr>
            <w:tcW w:w="1564" w:type="dxa"/>
            <w:vAlign w:val="center"/>
          </w:tcPr>
          <w:p w14:paraId="4F5A2D01" w14:textId="77777777" w:rsidR="00DA3C15" w:rsidRPr="00956DAB" w:rsidRDefault="00DA3C15" w:rsidP="00136280">
            <w:pPr>
              <w:jc w:val="center"/>
              <w:rPr>
                <w:sz w:val="16"/>
                <w:szCs w:val="16"/>
              </w:rPr>
            </w:pPr>
            <w:r w:rsidRPr="00956DAB">
              <w:rPr>
                <w:sz w:val="16"/>
                <w:szCs w:val="16"/>
              </w:rPr>
              <w:t>1x in 3 yrs</w:t>
            </w:r>
          </w:p>
        </w:tc>
      </w:tr>
      <w:tr w:rsidR="00DA3C15" w:rsidRPr="00956DAB" w14:paraId="1A6C0798" w14:textId="77777777" w:rsidTr="00DA3C15">
        <w:tc>
          <w:tcPr>
            <w:tcW w:w="2127" w:type="dxa"/>
          </w:tcPr>
          <w:p w14:paraId="518069CD" w14:textId="77777777" w:rsidR="00DA3C15" w:rsidRPr="00956DAB" w:rsidRDefault="00DA3C15" w:rsidP="00136280">
            <w:pPr>
              <w:rPr>
                <w:b/>
                <w:sz w:val="16"/>
                <w:szCs w:val="16"/>
              </w:rPr>
            </w:pPr>
            <w:r w:rsidRPr="00DA3C15">
              <w:rPr>
                <w:bCs/>
                <w:sz w:val="16"/>
                <w:szCs w:val="16"/>
              </w:rPr>
              <w:t>Macrophytes</w:t>
            </w:r>
          </w:p>
        </w:tc>
        <w:tc>
          <w:tcPr>
            <w:tcW w:w="2389" w:type="dxa"/>
          </w:tcPr>
          <w:p w14:paraId="4667CC24" w14:textId="77777777" w:rsidR="00DA3C15" w:rsidRPr="00956DAB" w:rsidRDefault="00DA3C15" w:rsidP="00136280">
            <w:pPr>
              <w:rPr>
                <w:sz w:val="16"/>
                <w:szCs w:val="16"/>
              </w:rPr>
            </w:pPr>
            <w:r w:rsidRPr="00956DAB">
              <w:rPr>
                <w:sz w:val="16"/>
                <w:szCs w:val="16"/>
              </w:rPr>
              <w:t>Reference Index</w:t>
            </w:r>
          </w:p>
        </w:tc>
        <w:tc>
          <w:tcPr>
            <w:tcW w:w="1495" w:type="dxa"/>
          </w:tcPr>
          <w:p w14:paraId="170F65C9" w14:textId="77777777" w:rsidR="00DA3C15" w:rsidRPr="00956DAB" w:rsidRDefault="00DA3C15" w:rsidP="00136280">
            <w:pPr>
              <w:rPr>
                <w:sz w:val="16"/>
                <w:szCs w:val="16"/>
              </w:rPr>
            </w:pPr>
            <w:r w:rsidRPr="00956DAB">
              <w:rPr>
                <w:sz w:val="16"/>
                <w:szCs w:val="16"/>
              </w:rPr>
              <w:t>RI-MHR</w:t>
            </w:r>
          </w:p>
        </w:tc>
        <w:tc>
          <w:tcPr>
            <w:tcW w:w="1492" w:type="dxa"/>
            <w:vAlign w:val="center"/>
          </w:tcPr>
          <w:p w14:paraId="44C0884A" w14:textId="77777777" w:rsidR="00DA3C15" w:rsidRPr="00956DAB" w:rsidRDefault="00DA3C15" w:rsidP="00136280">
            <w:pPr>
              <w:jc w:val="center"/>
              <w:rPr>
                <w:sz w:val="16"/>
                <w:szCs w:val="16"/>
              </w:rPr>
            </w:pPr>
            <w:r w:rsidRPr="00956DAB">
              <w:rPr>
                <w:sz w:val="16"/>
                <w:szCs w:val="16"/>
              </w:rPr>
              <w:t>1x in 3 yrs</w:t>
            </w:r>
          </w:p>
        </w:tc>
        <w:tc>
          <w:tcPr>
            <w:tcW w:w="1564" w:type="dxa"/>
            <w:vAlign w:val="center"/>
          </w:tcPr>
          <w:p w14:paraId="29396889" w14:textId="77777777" w:rsidR="00DA3C15" w:rsidRPr="00956DAB" w:rsidRDefault="00DA3C15" w:rsidP="00136280">
            <w:pPr>
              <w:jc w:val="center"/>
              <w:rPr>
                <w:sz w:val="16"/>
                <w:szCs w:val="16"/>
              </w:rPr>
            </w:pPr>
            <w:r w:rsidRPr="00956DAB">
              <w:rPr>
                <w:sz w:val="16"/>
                <w:szCs w:val="16"/>
              </w:rPr>
              <w:t>1x in 3 yrs</w:t>
            </w:r>
          </w:p>
        </w:tc>
      </w:tr>
      <w:tr w:rsidR="00DA3C15" w:rsidRPr="00956DAB" w14:paraId="25FDE624" w14:textId="77777777" w:rsidTr="00DA3C15">
        <w:tc>
          <w:tcPr>
            <w:tcW w:w="2127" w:type="dxa"/>
            <w:vMerge w:val="restart"/>
          </w:tcPr>
          <w:p w14:paraId="3D6C120F" w14:textId="77777777" w:rsidR="00DA3C15" w:rsidRPr="00956DAB" w:rsidRDefault="00DA3C15" w:rsidP="00136280">
            <w:pPr>
              <w:rPr>
                <w:sz w:val="16"/>
                <w:szCs w:val="16"/>
              </w:rPr>
            </w:pPr>
            <w:proofErr w:type="spellStart"/>
            <w:r w:rsidRPr="00DA3C15">
              <w:rPr>
                <w:bCs/>
                <w:sz w:val="16"/>
                <w:szCs w:val="16"/>
              </w:rPr>
              <w:t>Macrozoobenthos</w:t>
            </w:r>
            <w:proofErr w:type="spellEnd"/>
            <w:r w:rsidRPr="00956DAB">
              <w:rPr>
                <w:sz w:val="16"/>
                <w:szCs w:val="16"/>
              </w:rPr>
              <w:t>/ Benthic Invertebrates</w:t>
            </w:r>
          </w:p>
        </w:tc>
        <w:tc>
          <w:tcPr>
            <w:tcW w:w="2389" w:type="dxa"/>
          </w:tcPr>
          <w:p w14:paraId="75FD99FF" w14:textId="77777777" w:rsidR="00DA3C15" w:rsidRPr="00956DAB" w:rsidRDefault="00DA3C15" w:rsidP="00136280">
            <w:pPr>
              <w:rPr>
                <w:sz w:val="16"/>
                <w:szCs w:val="16"/>
              </w:rPr>
            </w:pPr>
            <w:r w:rsidRPr="00956DAB">
              <w:rPr>
                <w:sz w:val="16"/>
                <w:szCs w:val="16"/>
              </w:rPr>
              <w:t xml:space="preserve">Croatian Saprobic Index for </w:t>
            </w:r>
            <w:proofErr w:type="spellStart"/>
            <w:r w:rsidRPr="00956DAB">
              <w:rPr>
                <w:sz w:val="16"/>
                <w:szCs w:val="16"/>
              </w:rPr>
              <w:t>Macrozoobenthos</w:t>
            </w:r>
            <w:proofErr w:type="spellEnd"/>
          </w:p>
        </w:tc>
        <w:tc>
          <w:tcPr>
            <w:tcW w:w="1495" w:type="dxa"/>
          </w:tcPr>
          <w:p w14:paraId="1D09AF98" w14:textId="77777777" w:rsidR="00DA3C15" w:rsidRPr="00956DAB" w:rsidRDefault="00DA3C15" w:rsidP="00136280">
            <w:pPr>
              <w:rPr>
                <w:sz w:val="16"/>
                <w:szCs w:val="16"/>
              </w:rPr>
            </w:pPr>
            <w:r w:rsidRPr="00956DAB">
              <w:rPr>
                <w:sz w:val="16"/>
                <w:szCs w:val="16"/>
              </w:rPr>
              <w:t xml:space="preserve">SI </w:t>
            </w:r>
            <w:r w:rsidRPr="00956DAB">
              <w:rPr>
                <w:sz w:val="16"/>
                <w:szCs w:val="16"/>
                <w:vertAlign w:val="subscript"/>
              </w:rPr>
              <w:t>HR</w:t>
            </w:r>
          </w:p>
        </w:tc>
        <w:tc>
          <w:tcPr>
            <w:tcW w:w="1492" w:type="dxa"/>
            <w:vMerge w:val="restart"/>
            <w:vAlign w:val="center"/>
          </w:tcPr>
          <w:p w14:paraId="17A219B0" w14:textId="77777777" w:rsidR="00DA3C15" w:rsidRPr="00956DAB" w:rsidRDefault="00DA3C15" w:rsidP="00136280">
            <w:pPr>
              <w:jc w:val="center"/>
              <w:rPr>
                <w:sz w:val="16"/>
                <w:szCs w:val="16"/>
              </w:rPr>
            </w:pPr>
            <w:r w:rsidRPr="00956DAB">
              <w:rPr>
                <w:sz w:val="16"/>
                <w:szCs w:val="16"/>
              </w:rPr>
              <w:t>1/ yr</w:t>
            </w:r>
          </w:p>
        </w:tc>
        <w:tc>
          <w:tcPr>
            <w:tcW w:w="1564" w:type="dxa"/>
            <w:vMerge w:val="restart"/>
            <w:vAlign w:val="center"/>
          </w:tcPr>
          <w:p w14:paraId="40C022A5" w14:textId="77777777" w:rsidR="00DA3C15" w:rsidRPr="00956DAB" w:rsidRDefault="00DA3C15" w:rsidP="00136280">
            <w:pPr>
              <w:jc w:val="center"/>
              <w:rPr>
                <w:sz w:val="16"/>
                <w:szCs w:val="16"/>
              </w:rPr>
            </w:pPr>
            <w:r w:rsidRPr="00956DAB">
              <w:rPr>
                <w:sz w:val="16"/>
                <w:szCs w:val="16"/>
              </w:rPr>
              <w:t>1x in 3 yrs</w:t>
            </w:r>
          </w:p>
        </w:tc>
      </w:tr>
      <w:tr w:rsidR="00DA3C15" w:rsidRPr="00956DAB" w14:paraId="14E76FD5" w14:textId="77777777" w:rsidTr="00DA3C15">
        <w:tc>
          <w:tcPr>
            <w:tcW w:w="2127" w:type="dxa"/>
            <w:vMerge/>
          </w:tcPr>
          <w:p w14:paraId="1872B086" w14:textId="77777777" w:rsidR="00DA3C15" w:rsidRPr="00956DAB" w:rsidRDefault="00DA3C15" w:rsidP="00136280">
            <w:pPr>
              <w:rPr>
                <w:b/>
                <w:sz w:val="16"/>
                <w:szCs w:val="16"/>
              </w:rPr>
            </w:pPr>
          </w:p>
        </w:tc>
        <w:tc>
          <w:tcPr>
            <w:tcW w:w="2389" w:type="dxa"/>
          </w:tcPr>
          <w:p w14:paraId="02EAB610" w14:textId="77777777" w:rsidR="00DA3C15" w:rsidRPr="00956DAB" w:rsidRDefault="00DA3C15" w:rsidP="00136280">
            <w:pPr>
              <w:rPr>
                <w:sz w:val="16"/>
                <w:szCs w:val="16"/>
              </w:rPr>
            </w:pPr>
            <w:proofErr w:type="spellStart"/>
            <w:r w:rsidRPr="00956DAB">
              <w:rPr>
                <w:sz w:val="16"/>
                <w:szCs w:val="16"/>
              </w:rPr>
              <w:t>Multimetric</w:t>
            </w:r>
            <w:proofErr w:type="spellEnd"/>
            <w:r w:rsidRPr="00956DAB">
              <w:rPr>
                <w:sz w:val="16"/>
                <w:szCs w:val="16"/>
              </w:rPr>
              <w:t xml:space="preserve"> Index of Overall Degradation of River </w:t>
            </w:r>
            <w:proofErr w:type="spellStart"/>
            <w:r w:rsidRPr="00956DAB">
              <w:rPr>
                <w:sz w:val="16"/>
                <w:szCs w:val="16"/>
              </w:rPr>
              <w:t>Macrozoobenthos</w:t>
            </w:r>
            <w:proofErr w:type="spellEnd"/>
          </w:p>
        </w:tc>
        <w:tc>
          <w:tcPr>
            <w:tcW w:w="1495" w:type="dxa"/>
          </w:tcPr>
          <w:p w14:paraId="01572BD4" w14:textId="77777777" w:rsidR="00DA3C15" w:rsidRPr="00956DAB" w:rsidRDefault="00DA3C15" w:rsidP="00136280">
            <w:pPr>
              <w:rPr>
                <w:sz w:val="16"/>
                <w:szCs w:val="16"/>
              </w:rPr>
            </w:pPr>
            <w:r w:rsidRPr="00956DAB">
              <w:rPr>
                <w:sz w:val="16"/>
                <w:szCs w:val="16"/>
              </w:rPr>
              <w:t>MMIR</w:t>
            </w:r>
          </w:p>
        </w:tc>
        <w:tc>
          <w:tcPr>
            <w:tcW w:w="1492" w:type="dxa"/>
            <w:vMerge/>
            <w:vAlign w:val="center"/>
          </w:tcPr>
          <w:p w14:paraId="08391759" w14:textId="77777777" w:rsidR="00DA3C15" w:rsidRPr="00956DAB" w:rsidRDefault="00DA3C15" w:rsidP="00136280">
            <w:pPr>
              <w:jc w:val="center"/>
              <w:rPr>
                <w:sz w:val="16"/>
                <w:szCs w:val="16"/>
              </w:rPr>
            </w:pPr>
          </w:p>
        </w:tc>
        <w:tc>
          <w:tcPr>
            <w:tcW w:w="1564" w:type="dxa"/>
            <w:vMerge/>
            <w:vAlign w:val="center"/>
          </w:tcPr>
          <w:p w14:paraId="114165B4" w14:textId="77777777" w:rsidR="00DA3C15" w:rsidRPr="00956DAB" w:rsidRDefault="00DA3C15" w:rsidP="00136280">
            <w:pPr>
              <w:jc w:val="center"/>
              <w:rPr>
                <w:sz w:val="16"/>
                <w:szCs w:val="16"/>
              </w:rPr>
            </w:pPr>
          </w:p>
        </w:tc>
      </w:tr>
      <w:tr w:rsidR="00DA3C15" w:rsidRPr="00956DAB" w14:paraId="3F46226E" w14:textId="77777777" w:rsidTr="00DA3C15">
        <w:tc>
          <w:tcPr>
            <w:tcW w:w="2127" w:type="dxa"/>
          </w:tcPr>
          <w:p w14:paraId="0DBA0851" w14:textId="77777777" w:rsidR="00DA3C15" w:rsidRPr="00956DAB" w:rsidRDefault="00DA3C15" w:rsidP="00136280">
            <w:pPr>
              <w:rPr>
                <w:b/>
                <w:sz w:val="16"/>
                <w:szCs w:val="16"/>
              </w:rPr>
            </w:pPr>
            <w:r w:rsidRPr="00DA3C15">
              <w:rPr>
                <w:bCs/>
                <w:sz w:val="16"/>
                <w:szCs w:val="16"/>
              </w:rPr>
              <w:t>Fish</w:t>
            </w:r>
          </w:p>
        </w:tc>
        <w:tc>
          <w:tcPr>
            <w:tcW w:w="2389" w:type="dxa"/>
          </w:tcPr>
          <w:p w14:paraId="34DDD177" w14:textId="77777777" w:rsidR="00DA3C15" w:rsidRPr="00956DAB" w:rsidRDefault="00DA3C15" w:rsidP="00136280">
            <w:pPr>
              <w:rPr>
                <w:sz w:val="16"/>
                <w:szCs w:val="16"/>
              </w:rPr>
            </w:pPr>
            <w:r w:rsidRPr="00956DAB">
              <w:rPr>
                <w:sz w:val="16"/>
                <w:szCs w:val="16"/>
              </w:rPr>
              <w:t xml:space="preserve">Croatian River Fish </w:t>
            </w:r>
            <w:proofErr w:type="spellStart"/>
            <w:r w:rsidRPr="00956DAB">
              <w:rPr>
                <w:sz w:val="16"/>
                <w:szCs w:val="16"/>
              </w:rPr>
              <w:t>Multimetric</w:t>
            </w:r>
            <w:proofErr w:type="spellEnd"/>
            <w:r w:rsidRPr="00956DAB">
              <w:rPr>
                <w:sz w:val="16"/>
                <w:szCs w:val="16"/>
              </w:rPr>
              <w:t xml:space="preserve"> Index</w:t>
            </w:r>
          </w:p>
        </w:tc>
        <w:tc>
          <w:tcPr>
            <w:tcW w:w="1495" w:type="dxa"/>
          </w:tcPr>
          <w:p w14:paraId="3CB99D8D" w14:textId="77777777" w:rsidR="00DA3C15" w:rsidRPr="00956DAB" w:rsidRDefault="00DA3C15" w:rsidP="00136280">
            <w:pPr>
              <w:rPr>
                <w:sz w:val="16"/>
                <w:szCs w:val="16"/>
              </w:rPr>
            </w:pPr>
            <w:r w:rsidRPr="00956DAB">
              <w:rPr>
                <w:sz w:val="16"/>
                <w:szCs w:val="16"/>
              </w:rPr>
              <w:t>CFIR</w:t>
            </w:r>
          </w:p>
        </w:tc>
        <w:tc>
          <w:tcPr>
            <w:tcW w:w="1492" w:type="dxa"/>
            <w:vAlign w:val="center"/>
          </w:tcPr>
          <w:p w14:paraId="37DDF5AD" w14:textId="77777777" w:rsidR="00DA3C15" w:rsidRPr="00956DAB" w:rsidRDefault="00DA3C15" w:rsidP="00136280">
            <w:pPr>
              <w:jc w:val="center"/>
              <w:rPr>
                <w:sz w:val="16"/>
                <w:szCs w:val="16"/>
              </w:rPr>
            </w:pPr>
            <w:r w:rsidRPr="00956DAB">
              <w:rPr>
                <w:sz w:val="16"/>
                <w:szCs w:val="16"/>
              </w:rPr>
              <w:t>1x in 3 yrs</w:t>
            </w:r>
          </w:p>
        </w:tc>
        <w:tc>
          <w:tcPr>
            <w:tcW w:w="1564" w:type="dxa"/>
            <w:vAlign w:val="center"/>
          </w:tcPr>
          <w:p w14:paraId="5926C450" w14:textId="77777777" w:rsidR="00DA3C15" w:rsidRPr="00956DAB" w:rsidRDefault="00DA3C15" w:rsidP="00136280">
            <w:pPr>
              <w:jc w:val="center"/>
              <w:rPr>
                <w:sz w:val="16"/>
                <w:szCs w:val="16"/>
              </w:rPr>
            </w:pPr>
            <w:r w:rsidRPr="00956DAB">
              <w:rPr>
                <w:sz w:val="16"/>
                <w:szCs w:val="16"/>
              </w:rPr>
              <w:t>1x in 3 yrs</w:t>
            </w:r>
          </w:p>
        </w:tc>
      </w:tr>
    </w:tbl>
    <w:p w14:paraId="237C120F" w14:textId="77777777" w:rsidR="00DA3C15" w:rsidRDefault="00DA3C15" w:rsidP="00C65720">
      <w:pPr>
        <w:jc w:val="both"/>
        <w:rPr>
          <w:rFonts w:cstheme="minorHAnsi"/>
          <w:bCs/>
        </w:rPr>
      </w:pPr>
    </w:p>
    <w:p w14:paraId="12B80522" w14:textId="35FE5298" w:rsidR="00DA3C15" w:rsidRPr="00DA3C15" w:rsidRDefault="002F4776" w:rsidP="002F4776">
      <w:pPr>
        <w:pStyle w:val="Caption"/>
        <w:rPr>
          <w:rFonts w:eastAsia="MS Gothic" w:cstheme="minorHAnsi"/>
          <w:i w:val="0"/>
          <w:iCs w:val="0"/>
          <w:sz w:val="22"/>
          <w:szCs w:val="22"/>
        </w:rPr>
      </w:pPr>
      <w:bookmarkStart w:id="231" w:name="_Toc229037751"/>
      <w:r>
        <w:t xml:space="preserve">Table </w:t>
      </w:r>
      <w:r>
        <w:fldChar w:fldCharType="begin"/>
      </w:r>
      <w:r>
        <w:instrText xml:space="preserve"> SEQ Table \* ARABIC </w:instrText>
      </w:r>
      <w:r>
        <w:fldChar w:fldCharType="separate"/>
      </w:r>
      <w:r>
        <w:rPr>
          <w:noProof/>
        </w:rPr>
        <w:t>29</w:t>
      </w:r>
      <w:r>
        <w:fldChar w:fldCharType="end"/>
      </w:r>
      <w:r>
        <w:t xml:space="preserve"> </w:t>
      </w:r>
      <w:r w:rsidRPr="004062D5">
        <w:t xml:space="preserve">Proposed </w:t>
      </w:r>
      <w:proofErr w:type="spellStart"/>
      <w:r w:rsidRPr="004062D5">
        <w:t>physico</w:t>
      </w:r>
      <w:proofErr w:type="spellEnd"/>
      <w:r w:rsidRPr="004062D5">
        <w:t>-chemical parameters in biological monitoring and sampling frequency</w:t>
      </w:r>
      <w:bookmarkEnd w:id="231"/>
    </w:p>
    <w:tbl>
      <w:tblPr>
        <w:tblStyle w:val="TableGrid"/>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85"/>
        <w:gridCol w:w="3157"/>
        <w:gridCol w:w="1422"/>
        <w:gridCol w:w="1378"/>
        <w:gridCol w:w="1254"/>
      </w:tblGrid>
      <w:tr w:rsidR="00DA3C15" w:rsidRPr="00DA3C15" w14:paraId="5E725B15" w14:textId="77777777" w:rsidTr="00DA3C15">
        <w:trPr>
          <w:tblHeader/>
          <w:jc w:val="center"/>
        </w:trPr>
        <w:tc>
          <w:tcPr>
            <w:tcW w:w="1785" w:type="dxa"/>
            <w:shd w:val="clear" w:color="auto" w:fill="A5C9EB"/>
          </w:tcPr>
          <w:p w14:paraId="38A99CFA" w14:textId="77777777" w:rsidR="00DA3C15" w:rsidRPr="00DA3C15" w:rsidRDefault="00DA3C15" w:rsidP="00136280">
            <w:pPr>
              <w:rPr>
                <w:rFonts w:cstheme="minorHAnsi"/>
                <w:b/>
                <w:sz w:val="16"/>
                <w:szCs w:val="16"/>
              </w:rPr>
            </w:pPr>
            <w:r w:rsidRPr="00DA3C15">
              <w:rPr>
                <w:rFonts w:cstheme="minorHAnsi"/>
                <w:b/>
                <w:sz w:val="16"/>
                <w:szCs w:val="16"/>
              </w:rPr>
              <w:t>ELEMENT OF QUALITY</w:t>
            </w:r>
          </w:p>
        </w:tc>
        <w:tc>
          <w:tcPr>
            <w:tcW w:w="3157" w:type="dxa"/>
            <w:shd w:val="clear" w:color="auto" w:fill="A5C9EB"/>
          </w:tcPr>
          <w:p w14:paraId="5DF8026D" w14:textId="77777777" w:rsidR="00DA3C15" w:rsidRPr="00DA3C15" w:rsidRDefault="00DA3C15" w:rsidP="00136280">
            <w:pPr>
              <w:rPr>
                <w:rFonts w:cstheme="minorHAnsi"/>
                <w:b/>
                <w:sz w:val="16"/>
                <w:szCs w:val="16"/>
              </w:rPr>
            </w:pPr>
            <w:r w:rsidRPr="00DA3C15">
              <w:rPr>
                <w:rFonts w:cstheme="minorHAnsi"/>
                <w:b/>
                <w:sz w:val="16"/>
                <w:szCs w:val="16"/>
              </w:rPr>
              <w:t>STATUS INDICATOR</w:t>
            </w:r>
          </w:p>
        </w:tc>
        <w:tc>
          <w:tcPr>
            <w:tcW w:w="1422" w:type="dxa"/>
            <w:shd w:val="clear" w:color="auto" w:fill="A5C9EB"/>
          </w:tcPr>
          <w:p w14:paraId="0E82071D" w14:textId="77777777" w:rsidR="00DA3C15" w:rsidRPr="00DA3C15" w:rsidRDefault="00DA3C15" w:rsidP="00136280">
            <w:pPr>
              <w:rPr>
                <w:rFonts w:cstheme="minorHAnsi"/>
                <w:b/>
                <w:sz w:val="16"/>
                <w:szCs w:val="16"/>
              </w:rPr>
            </w:pPr>
            <w:r w:rsidRPr="00DA3C15">
              <w:rPr>
                <w:rFonts w:cstheme="minorHAnsi"/>
                <w:b/>
                <w:sz w:val="16"/>
                <w:szCs w:val="16"/>
              </w:rPr>
              <w:t>FREQUENCY SM</w:t>
            </w:r>
          </w:p>
        </w:tc>
        <w:tc>
          <w:tcPr>
            <w:tcW w:w="1378" w:type="dxa"/>
            <w:shd w:val="clear" w:color="auto" w:fill="A5C9EB"/>
          </w:tcPr>
          <w:p w14:paraId="2D578C26" w14:textId="77777777" w:rsidR="00DA3C15" w:rsidRPr="00DA3C15" w:rsidRDefault="00DA3C15" w:rsidP="00136280">
            <w:pPr>
              <w:rPr>
                <w:rFonts w:cstheme="minorHAnsi"/>
                <w:b/>
                <w:sz w:val="16"/>
                <w:szCs w:val="16"/>
              </w:rPr>
            </w:pPr>
            <w:r w:rsidRPr="00DA3C15">
              <w:rPr>
                <w:rFonts w:cstheme="minorHAnsi"/>
                <w:b/>
                <w:sz w:val="16"/>
                <w:szCs w:val="16"/>
              </w:rPr>
              <w:t>FREQUENCY OM</w:t>
            </w:r>
          </w:p>
        </w:tc>
        <w:tc>
          <w:tcPr>
            <w:tcW w:w="1254" w:type="dxa"/>
            <w:shd w:val="clear" w:color="auto" w:fill="A5C9EB"/>
          </w:tcPr>
          <w:p w14:paraId="12A85284" w14:textId="77777777" w:rsidR="00DA3C15" w:rsidRPr="00DA3C15" w:rsidRDefault="00DA3C15" w:rsidP="00136280">
            <w:pPr>
              <w:jc w:val="center"/>
              <w:rPr>
                <w:rFonts w:cstheme="minorHAnsi"/>
                <w:b/>
                <w:sz w:val="16"/>
                <w:szCs w:val="16"/>
              </w:rPr>
            </w:pPr>
            <w:r w:rsidRPr="00DA3C15">
              <w:rPr>
                <w:rFonts w:cstheme="minorHAnsi"/>
                <w:b/>
                <w:sz w:val="16"/>
                <w:szCs w:val="16"/>
              </w:rPr>
              <w:t>FBiH</w:t>
            </w:r>
          </w:p>
        </w:tc>
      </w:tr>
      <w:tr w:rsidR="00DA3C15" w:rsidRPr="00DA3C15" w14:paraId="4B5ED0A4" w14:textId="77777777" w:rsidTr="00DA3C15">
        <w:trPr>
          <w:jc w:val="center"/>
        </w:trPr>
        <w:tc>
          <w:tcPr>
            <w:tcW w:w="8996" w:type="dxa"/>
            <w:gridSpan w:val="5"/>
            <w:shd w:val="clear" w:color="auto" w:fill="D9E2F3"/>
          </w:tcPr>
          <w:p w14:paraId="641D1941" w14:textId="77777777" w:rsidR="00DA3C15" w:rsidRPr="00DA3C15" w:rsidRDefault="00DA3C15" w:rsidP="00136280">
            <w:pPr>
              <w:jc w:val="center"/>
              <w:rPr>
                <w:rFonts w:cstheme="minorHAnsi"/>
                <w:sz w:val="16"/>
                <w:szCs w:val="16"/>
              </w:rPr>
            </w:pPr>
            <w:r w:rsidRPr="00DA3C15">
              <w:rPr>
                <w:rFonts w:eastAsia="Aptos" w:cstheme="minorHAnsi"/>
                <w:b/>
                <w:bCs/>
                <w:sz w:val="16"/>
                <w:szCs w:val="16"/>
              </w:rPr>
              <w:t>BASIC PHYSICO-CHEMICAL INDICATORS</w:t>
            </w:r>
          </w:p>
        </w:tc>
      </w:tr>
      <w:tr w:rsidR="00DA3C15" w:rsidRPr="00DA3C15" w14:paraId="349AAA2D" w14:textId="77777777" w:rsidTr="00DA3C15">
        <w:trPr>
          <w:jc w:val="center"/>
        </w:trPr>
        <w:tc>
          <w:tcPr>
            <w:tcW w:w="1785" w:type="dxa"/>
            <w:vMerge w:val="restart"/>
          </w:tcPr>
          <w:p w14:paraId="0F77115A" w14:textId="77777777" w:rsidR="00DA3C15" w:rsidRPr="00DA3C15" w:rsidRDefault="00DA3C15" w:rsidP="00136280">
            <w:pPr>
              <w:rPr>
                <w:rFonts w:cstheme="minorHAnsi"/>
                <w:sz w:val="16"/>
                <w:szCs w:val="16"/>
              </w:rPr>
            </w:pPr>
            <w:r w:rsidRPr="00DA3C15">
              <w:rPr>
                <w:rFonts w:cstheme="minorHAnsi"/>
                <w:sz w:val="16"/>
                <w:szCs w:val="16"/>
              </w:rPr>
              <w:t>Thermal Conditions</w:t>
            </w:r>
          </w:p>
        </w:tc>
        <w:tc>
          <w:tcPr>
            <w:tcW w:w="3157" w:type="dxa"/>
          </w:tcPr>
          <w:p w14:paraId="65E16124" w14:textId="77777777" w:rsidR="00DA3C15" w:rsidRPr="00DA3C15" w:rsidRDefault="00DA3C15" w:rsidP="00136280">
            <w:pPr>
              <w:rPr>
                <w:rFonts w:cstheme="minorHAnsi"/>
                <w:sz w:val="16"/>
                <w:szCs w:val="16"/>
              </w:rPr>
            </w:pPr>
            <w:r w:rsidRPr="00DA3C15">
              <w:rPr>
                <w:rFonts w:cstheme="minorHAnsi"/>
                <w:sz w:val="16"/>
                <w:szCs w:val="16"/>
              </w:rPr>
              <w:t>Temperature (water)</w:t>
            </w:r>
          </w:p>
        </w:tc>
        <w:tc>
          <w:tcPr>
            <w:tcW w:w="1422" w:type="dxa"/>
            <w:vAlign w:val="center"/>
          </w:tcPr>
          <w:p w14:paraId="12588BCE" w14:textId="77777777" w:rsidR="00DA3C15" w:rsidRPr="00DA3C15" w:rsidRDefault="00DA3C15" w:rsidP="00136280">
            <w:pPr>
              <w:jc w:val="center"/>
              <w:rPr>
                <w:rFonts w:cstheme="minorHAnsi"/>
                <w:sz w:val="16"/>
                <w:szCs w:val="16"/>
              </w:rPr>
            </w:pPr>
            <w:r w:rsidRPr="00DA3C15">
              <w:rPr>
                <w:rFonts w:cstheme="minorHAnsi"/>
                <w:sz w:val="16"/>
                <w:szCs w:val="16"/>
              </w:rPr>
              <w:t>12/yr</w:t>
            </w:r>
          </w:p>
        </w:tc>
        <w:tc>
          <w:tcPr>
            <w:tcW w:w="1378" w:type="dxa"/>
            <w:vAlign w:val="center"/>
          </w:tcPr>
          <w:p w14:paraId="69F81CA0" w14:textId="77777777" w:rsidR="00DA3C15" w:rsidRPr="00DA3C15" w:rsidRDefault="00DA3C15" w:rsidP="00136280">
            <w:pPr>
              <w:jc w:val="center"/>
              <w:rPr>
                <w:rFonts w:cstheme="minorHAnsi"/>
                <w:sz w:val="16"/>
                <w:szCs w:val="16"/>
              </w:rPr>
            </w:pPr>
            <w:r w:rsidRPr="00DA3C15">
              <w:rPr>
                <w:rFonts w:cstheme="minorHAnsi"/>
                <w:sz w:val="16"/>
                <w:szCs w:val="16"/>
              </w:rPr>
              <w:t>12/yr</w:t>
            </w:r>
          </w:p>
        </w:tc>
        <w:tc>
          <w:tcPr>
            <w:tcW w:w="1254" w:type="dxa"/>
          </w:tcPr>
          <w:p w14:paraId="6E6F0834" w14:textId="77777777" w:rsidR="00DA3C15" w:rsidRPr="00DA3C15" w:rsidRDefault="00DA3C15" w:rsidP="00136280">
            <w:pPr>
              <w:jc w:val="center"/>
              <w:rPr>
                <w:rFonts w:cstheme="minorHAnsi"/>
                <w:sz w:val="16"/>
                <w:szCs w:val="16"/>
              </w:rPr>
            </w:pPr>
            <w:r w:rsidRPr="00DA3C15">
              <w:rPr>
                <w:rFonts w:cstheme="minorHAnsi"/>
                <w:sz w:val="16"/>
                <w:szCs w:val="16"/>
              </w:rPr>
              <w:t>+</w:t>
            </w:r>
          </w:p>
        </w:tc>
      </w:tr>
      <w:tr w:rsidR="00DA3C15" w:rsidRPr="00DA3C15" w14:paraId="7544B348" w14:textId="77777777" w:rsidTr="00DA3C15">
        <w:trPr>
          <w:jc w:val="center"/>
        </w:trPr>
        <w:tc>
          <w:tcPr>
            <w:tcW w:w="1785" w:type="dxa"/>
            <w:vMerge/>
          </w:tcPr>
          <w:p w14:paraId="2C7F60C8" w14:textId="77777777" w:rsidR="00DA3C15" w:rsidRPr="00DA3C15" w:rsidRDefault="00DA3C15" w:rsidP="00136280">
            <w:pPr>
              <w:rPr>
                <w:rFonts w:cstheme="minorHAnsi"/>
                <w:sz w:val="16"/>
                <w:szCs w:val="16"/>
              </w:rPr>
            </w:pPr>
          </w:p>
        </w:tc>
        <w:tc>
          <w:tcPr>
            <w:tcW w:w="3157" w:type="dxa"/>
          </w:tcPr>
          <w:p w14:paraId="2DB0A9BB" w14:textId="77777777" w:rsidR="00DA3C15" w:rsidRPr="00DA3C15" w:rsidRDefault="00DA3C15" w:rsidP="00136280">
            <w:pPr>
              <w:rPr>
                <w:rFonts w:cstheme="minorHAnsi"/>
                <w:sz w:val="16"/>
                <w:szCs w:val="16"/>
              </w:rPr>
            </w:pPr>
            <w:r w:rsidRPr="00DA3C15">
              <w:rPr>
                <w:rFonts w:cstheme="minorHAnsi"/>
                <w:sz w:val="16"/>
                <w:szCs w:val="16"/>
              </w:rPr>
              <w:t>Temperature (air)</w:t>
            </w:r>
          </w:p>
        </w:tc>
        <w:tc>
          <w:tcPr>
            <w:tcW w:w="1422" w:type="dxa"/>
            <w:vAlign w:val="center"/>
          </w:tcPr>
          <w:p w14:paraId="6D6C32F0" w14:textId="77777777" w:rsidR="00DA3C15" w:rsidRPr="00DA3C15" w:rsidRDefault="00DA3C15" w:rsidP="00136280">
            <w:pPr>
              <w:jc w:val="center"/>
              <w:rPr>
                <w:rFonts w:cstheme="minorHAnsi"/>
                <w:sz w:val="16"/>
                <w:szCs w:val="16"/>
              </w:rPr>
            </w:pPr>
          </w:p>
        </w:tc>
        <w:tc>
          <w:tcPr>
            <w:tcW w:w="1378" w:type="dxa"/>
            <w:vAlign w:val="center"/>
          </w:tcPr>
          <w:p w14:paraId="6AEB1061" w14:textId="77777777" w:rsidR="00DA3C15" w:rsidRPr="00DA3C15" w:rsidRDefault="00DA3C15" w:rsidP="00136280">
            <w:pPr>
              <w:jc w:val="center"/>
              <w:rPr>
                <w:rFonts w:cstheme="minorHAnsi"/>
                <w:sz w:val="16"/>
                <w:szCs w:val="16"/>
              </w:rPr>
            </w:pPr>
          </w:p>
        </w:tc>
        <w:tc>
          <w:tcPr>
            <w:tcW w:w="1254" w:type="dxa"/>
          </w:tcPr>
          <w:p w14:paraId="56E0485B" w14:textId="77777777" w:rsidR="00DA3C15" w:rsidRPr="00DA3C15" w:rsidRDefault="00DA3C15" w:rsidP="00136280">
            <w:pPr>
              <w:jc w:val="center"/>
              <w:rPr>
                <w:rFonts w:cstheme="minorHAnsi"/>
                <w:sz w:val="16"/>
                <w:szCs w:val="16"/>
              </w:rPr>
            </w:pPr>
          </w:p>
        </w:tc>
      </w:tr>
      <w:tr w:rsidR="00DA3C15" w:rsidRPr="00DA3C15" w14:paraId="35D4AF0C" w14:textId="77777777" w:rsidTr="00DA3C15">
        <w:trPr>
          <w:jc w:val="center"/>
        </w:trPr>
        <w:tc>
          <w:tcPr>
            <w:tcW w:w="1785" w:type="dxa"/>
          </w:tcPr>
          <w:p w14:paraId="679EC465" w14:textId="77777777" w:rsidR="00DA3C15" w:rsidRPr="00DA3C15" w:rsidRDefault="00DA3C15" w:rsidP="00136280">
            <w:pPr>
              <w:rPr>
                <w:rFonts w:cstheme="minorHAnsi"/>
                <w:sz w:val="16"/>
                <w:szCs w:val="16"/>
              </w:rPr>
            </w:pPr>
            <w:r w:rsidRPr="00DA3C15">
              <w:rPr>
                <w:rFonts w:cstheme="minorHAnsi"/>
                <w:sz w:val="16"/>
                <w:szCs w:val="16"/>
              </w:rPr>
              <w:t>Salinity</w:t>
            </w:r>
          </w:p>
        </w:tc>
        <w:tc>
          <w:tcPr>
            <w:tcW w:w="3157" w:type="dxa"/>
          </w:tcPr>
          <w:p w14:paraId="50E13E9E" w14:textId="77777777" w:rsidR="00DA3C15" w:rsidRPr="00DA3C15" w:rsidRDefault="00DA3C15" w:rsidP="00136280">
            <w:pPr>
              <w:rPr>
                <w:rFonts w:cstheme="minorHAnsi"/>
                <w:sz w:val="16"/>
                <w:szCs w:val="16"/>
              </w:rPr>
            </w:pPr>
            <w:r w:rsidRPr="00DA3C15">
              <w:rPr>
                <w:rFonts w:cstheme="minorHAnsi"/>
                <w:sz w:val="16"/>
                <w:szCs w:val="16"/>
              </w:rPr>
              <w:t>Salinity</w:t>
            </w:r>
          </w:p>
        </w:tc>
        <w:tc>
          <w:tcPr>
            <w:tcW w:w="1422" w:type="dxa"/>
            <w:vAlign w:val="center"/>
          </w:tcPr>
          <w:p w14:paraId="6C2C0AC3" w14:textId="77777777" w:rsidR="00DA3C15" w:rsidRPr="00DA3C15" w:rsidRDefault="00DA3C15" w:rsidP="00136280">
            <w:pPr>
              <w:jc w:val="center"/>
              <w:rPr>
                <w:rFonts w:cstheme="minorHAnsi"/>
                <w:sz w:val="16"/>
                <w:szCs w:val="16"/>
              </w:rPr>
            </w:pPr>
            <w:r w:rsidRPr="00DA3C15">
              <w:rPr>
                <w:rFonts w:cstheme="minorHAnsi"/>
                <w:sz w:val="16"/>
                <w:szCs w:val="16"/>
              </w:rPr>
              <w:t>12/yr</w:t>
            </w:r>
          </w:p>
        </w:tc>
        <w:tc>
          <w:tcPr>
            <w:tcW w:w="1378" w:type="dxa"/>
            <w:vAlign w:val="center"/>
          </w:tcPr>
          <w:p w14:paraId="70A5D319" w14:textId="77777777" w:rsidR="00DA3C15" w:rsidRPr="00DA3C15" w:rsidRDefault="00DA3C15" w:rsidP="00136280">
            <w:pPr>
              <w:jc w:val="center"/>
              <w:rPr>
                <w:rFonts w:cstheme="minorHAnsi"/>
                <w:sz w:val="16"/>
                <w:szCs w:val="16"/>
              </w:rPr>
            </w:pPr>
            <w:r w:rsidRPr="00DA3C15">
              <w:rPr>
                <w:rFonts w:cstheme="minorHAnsi"/>
                <w:sz w:val="16"/>
                <w:szCs w:val="16"/>
              </w:rPr>
              <w:t>12/yr</w:t>
            </w:r>
          </w:p>
        </w:tc>
        <w:tc>
          <w:tcPr>
            <w:tcW w:w="1254" w:type="dxa"/>
          </w:tcPr>
          <w:p w14:paraId="24A05474" w14:textId="77777777" w:rsidR="00DA3C15" w:rsidRPr="00DA3C15" w:rsidRDefault="00DA3C15" w:rsidP="00136280">
            <w:pPr>
              <w:jc w:val="center"/>
              <w:rPr>
                <w:rFonts w:cstheme="minorHAnsi"/>
                <w:sz w:val="16"/>
                <w:szCs w:val="16"/>
              </w:rPr>
            </w:pPr>
            <w:r w:rsidRPr="00DA3C15">
              <w:rPr>
                <w:rFonts w:cstheme="minorHAnsi"/>
                <w:sz w:val="16"/>
                <w:szCs w:val="16"/>
              </w:rPr>
              <w:t>Electrical Conductivity (EC)</w:t>
            </w:r>
          </w:p>
        </w:tc>
      </w:tr>
      <w:tr w:rsidR="00DA3C15" w:rsidRPr="00DA3C15" w14:paraId="3F37E8A2" w14:textId="77777777" w:rsidTr="00DA3C15">
        <w:trPr>
          <w:jc w:val="center"/>
        </w:trPr>
        <w:tc>
          <w:tcPr>
            <w:tcW w:w="1785" w:type="dxa"/>
          </w:tcPr>
          <w:p w14:paraId="3B4C2F15" w14:textId="77777777" w:rsidR="00DA3C15" w:rsidRPr="00DA3C15" w:rsidRDefault="00DA3C15" w:rsidP="00136280">
            <w:pPr>
              <w:rPr>
                <w:rFonts w:cstheme="minorHAnsi"/>
                <w:sz w:val="16"/>
                <w:szCs w:val="16"/>
              </w:rPr>
            </w:pPr>
            <w:r w:rsidRPr="00DA3C15">
              <w:rPr>
                <w:rFonts w:cstheme="minorHAnsi"/>
                <w:sz w:val="16"/>
                <w:szCs w:val="16"/>
              </w:rPr>
              <w:t>Acidity</w:t>
            </w:r>
          </w:p>
        </w:tc>
        <w:tc>
          <w:tcPr>
            <w:tcW w:w="3157" w:type="dxa"/>
          </w:tcPr>
          <w:p w14:paraId="74B71CA8" w14:textId="77777777" w:rsidR="00DA3C15" w:rsidRPr="00DA3C15" w:rsidRDefault="00DA3C15" w:rsidP="00136280">
            <w:pPr>
              <w:rPr>
                <w:rFonts w:cstheme="minorHAnsi"/>
                <w:sz w:val="16"/>
                <w:szCs w:val="16"/>
              </w:rPr>
            </w:pPr>
            <w:r w:rsidRPr="00DA3C15">
              <w:rPr>
                <w:rFonts w:cstheme="minorHAnsi"/>
                <w:sz w:val="16"/>
                <w:szCs w:val="16"/>
              </w:rPr>
              <w:t>pH</w:t>
            </w:r>
          </w:p>
        </w:tc>
        <w:tc>
          <w:tcPr>
            <w:tcW w:w="1422" w:type="dxa"/>
            <w:vAlign w:val="center"/>
          </w:tcPr>
          <w:p w14:paraId="2FD345AE" w14:textId="77777777" w:rsidR="00DA3C15" w:rsidRPr="00DA3C15" w:rsidRDefault="00DA3C15" w:rsidP="00136280">
            <w:pPr>
              <w:jc w:val="center"/>
              <w:rPr>
                <w:rFonts w:cstheme="minorHAnsi"/>
                <w:sz w:val="16"/>
                <w:szCs w:val="16"/>
              </w:rPr>
            </w:pPr>
            <w:r w:rsidRPr="00DA3C15">
              <w:rPr>
                <w:rFonts w:cstheme="minorHAnsi"/>
                <w:sz w:val="16"/>
                <w:szCs w:val="16"/>
              </w:rPr>
              <w:t>12/yr</w:t>
            </w:r>
          </w:p>
        </w:tc>
        <w:tc>
          <w:tcPr>
            <w:tcW w:w="1378" w:type="dxa"/>
            <w:vAlign w:val="center"/>
          </w:tcPr>
          <w:p w14:paraId="5724E65F" w14:textId="77777777" w:rsidR="00DA3C15" w:rsidRPr="00DA3C15" w:rsidRDefault="00DA3C15" w:rsidP="00136280">
            <w:pPr>
              <w:jc w:val="center"/>
              <w:rPr>
                <w:rFonts w:cstheme="minorHAnsi"/>
                <w:sz w:val="16"/>
                <w:szCs w:val="16"/>
              </w:rPr>
            </w:pPr>
            <w:r w:rsidRPr="00DA3C15">
              <w:rPr>
                <w:rFonts w:cstheme="minorHAnsi"/>
                <w:sz w:val="16"/>
                <w:szCs w:val="16"/>
              </w:rPr>
              <w:t>12/yr</w:t>
            </w:r>
          </w:p>
        </w:tc>
        <w:tc>
          <w:tcPr>
            <w:tcW w:w="1254" w:type="dxa"/>
          </w:tcPr>
          <w:p w14:paraId="3DA6B343" w14:textId="77777777" w:rsidR="00DA3C15" w:rsidRPr="00DA3C15" w:rsidRDefault="00DA3C15" w:rsidP="00136280">
            <w:pPr>
              <w:jc w:val="center"/>
              <w:rPr>
                <w:rFonts w:cstheme="minorHAnsi"/>
                <w:sz w:val="16"/>
                <w:szCs w:val="16"/>
              </w:rPr>
            </w:pPr>
            <w:r w:rsidRPr="00DA3C15">
              <w:rPr>
                <w:rFonts w:cstheme="minorHAnsi"/>
                <w:sz w:val="16"/>
                <w:szCs w:val="16"/>
              </w:rPr>
              <w:t>+</w:t>
            </w:r>
          </w:p>
        </w:tc>
      </w:tr>
      <w:tr w:rsidR="00DA3C15" w:rsidRPr="00DA3C15" w14:paraId="220FAE45" w14:textId="77777777" w:rsidTr="00DA3C15">
        <w:trPr>
          <w:jc w:val="center"/>
        </w:trPr>
        <w:tc>
          <w:tcPr>
            <w:tcW w:w="1785" w:type="dxa"/>
            <w:vMerge w:val="restart"/>
            <w:vAlign w:val="center"/>
          </w:tcPr>
          <w:p w14:paraId="5EE459C7" w14:textId="77777777" w:rsidR="00DA3C15" w:rsidRPr="00DA3C15" w:rsidRDefault="00DA3C15" w:rsidP="00136280">
            <w:pPr>
              <w:rPr>
                <w:rFonts w:cstheme="minorHAnsi"/>
                <w:sz w:val="16"/>
                <w:szCs w:val="16"/>
              </w:rPr>
            </w:pPr>
            <w:r w:rsidRPr="00DA3C15">
              <w:rPr>
                <w:rFonts w:cstheme="minorHAnsi"/>
                <w:sz w:val="16"/>
                <w:szCs w:val="16"/>
              </w:rPr>
              <w:t>Oxygen regime</w:t>
            </w:r>
          </w:p>
        </w:tc>
        <w:tc>
          <w:tcPr>
            <w:tcW w:w="3157" w:type="dxa"/>
          </w:tcPr>
          <w:p w14:paraId="795519B5" w14:textId="77777777" w:rsidR="00DA3C15" w:rsidRPr="00DA3C15" w:rsidRDefault="00DA3C15" w:rsidP="00136280">
            <w:pPr>
              <w:rPr>
                <w:rFonts w:cstheme="minorHAnsi"/>
                <w:sz w:val="16"/>
                <w:szCs w:val="16"/>
              </w:rPr>
            </w:pPr>
            <w:r w:rsidRPr="00DA3C15">
              <w:rPr>
                <w:rFonts w:cstheme="minorHAnsi"/>
                <w:sz w:val="16"/>
                <w:szCs w:val="16"/>
              </w:rPr>
              <w:t>Biochemical Oxygen Demand over 5 days (BOD₅)</w:t>
            </w:r>
          </w:p>
        </w:tc>
        <w:tc>
          <w:tcPr>
            <w:tcW w:w="1422" w:type="dxa"/>
            <w:vMerge w:val="restart"/>
            <w:vAlign w:val="center"/>
          </w:tcPr>
          <w:p w14:paraId="50C81C9B" w14:textId="77777777" w:rsidR="00DA3C15" w:rsidRPr="00DA3C15" w:rsidRDefault="00DA3C15" w:rsidP="00136280">
            <w:pPr>
              <w:jc w:val="center"/>
              <w:rPr>
                <w:rFonts w:cstheme="minorHAnsi"/>
                <w:sz w:val="16"/>
                <w:szCs w:val="16"/>
              </w:rPr>
            </w:pPr>
            <w:r w:rsidRPr="00DA3C15">
              <w:rPr>
                <w:rFonts w:cstheme="minorHAnsi"/>
                <w:sz w:val="16"/>
                <w:szCs w:val="16"/>
              </w:rPr>
              <w:t>12/yr</w:t>
            </w:r>
          </w:p>
        </w:tc>
        <w:tc>
          <w:tcPr>
            <w:tcW w:w="1378" w:type="dxa"/>
            <w:vMerge w:val="restart"/>
            <w:vAlign w:val="center"/>
          </w:tcPr>
          <w:p w14:paraId="27FE36DC" w14:textId="77777777" w:rsidR="00DA3C15" w:rsidRPr="00DA3C15" w:rsidRDefault="00DA3C15" w:rsidP="00136280">
            <w:pPr>
              <w:jc w:val="center"/>
              <w:rPr>
                <w:rFonts w:cstheme="minorHAnsi"/>
                <w:sz w:val="16"/>
                <w:szCs w:val="16"/>
              </w:rPr>
            </w:pPr>
            <w:r w:rsidRPr="00DA3C15">
              <w:rPr>
                <w:rFonts w:cstheme="minorHAnsi"/>
                <w:sz w:val="16"/>
                <w:szCs w:val="16"/>
              </w:rPr>
              <w:t>12/yr</w:t>
            </w:r>
          </w:p>
        </w:tc>
        <w:tc>
          <w:tcPr>
            <w:tcW w:w="1254" w:type="dxa"/>
          </w:tcPr>
          <w:p w14:paraId="5E8B5383" w14:textId="77777777" w:rsidR="00DA3C15" w:rsidRPr="00DA3C15" w:rsidRDefault="00DA3C15" w:rsidP="00136280">
            <w:pPr>
              <w:jc w:val="center"/>
              <w:rPr>
                <w:rFonts w:cstheme="minorHAnsi"/>
                <w:sz w:val="16"/>
                <w:szCs w:val="16"/>
              </w:rPr>
            </w:pPr>
            <w:r w:rsidRPr="00DA3C15">
              <w:rPr>
                <w:rFonts w:cstheme="minorHAnsi"/>
                <w:sz w:val="16"/>
                <w:szCs w:val="16"/>
              </w:rPr>
              <w:t>+</w:t>
            </w:r>
          </w:p>
        </w:tc>
      </w:tr>
      <w:tr w:rsidR="00DA3C15" w:rsidRPr="00DA3C15" w14:paraId="3547DD65" w14:textId="77777777" w:rsidTr="00DA3C15">
        <w:trPr>
          <w:jc w:val="center"/>
        </w:trPr>
        <w:tc>
          <w:tcPr>
            <w:tcW w:w="1785" w:type="dxa"/>
            <w:vMerge/>
          </w:tcPr>
          <w:p w14:paraId="4E9D5333" w14:textId="77777777" w:rsidR="00DA3C15" w:rsidRPr="00DA3C15" w:rsidRDefault="00DA3C15" w:rsidP="00136280">
            <w:pPr>
              <w:rPr>
                <w:rFonts w:cstheme="minorHAnsi"/>
                <w:sz w:val="16"/>
                <w:szCs w:val="16"/>
              </w:rPr>
            </w:pPr>
          </w:p>
        </w:tc>
        <w:tc>
          <w:tcPr>
            <w:tcW w:w="3157" w:type="dxa"/>
          </w:tcPr>
          <w:p w14:paraId="048DA5F8" w14:textId="77777777" w:rsidR="00DA3C15" w:rsidRPr="00DA3C15" w:rsidRDefault="00DA3C15" w:rsidP="00136280">
            <w:pPr>
              <w:rPr>
                <w:rFonts w:cstheme="minorHAnsi"/>
                <w:sz w:val="16"/>
                <w:szCs w:val="16"/>
              </w:rPr>
            </w:pPr>
            <w:r w:rsidRPr="00DA3C15">
              <w:rPr>
                <w:rFonts w:cstheme="minorHAnsi"/>
                <w:sz w:val="16"/>
                <w:szCs w:val="16"/>
              </w:rPr>
              <w:t>Chemical Oxygen Demand (COD-Mn)</w:t>
            </w:r>
          </w:p>
        </w:tc>
        <w:tc>
          <w:tcPr>
            <w:tcW w:w="1422" w:type="dxa"/>
            <w:vMerge/>
            <w:vAlign w:val="center"/>
          </w:tcPr>
          <w:p w14:paraId="4924D7C9" w14:textId="77777777" w:rsidR="00DA3C15" w:rsidRPr="00DA3C15" w:rsidRDefault="00DA3C15" w:rsidP="00136280">
            <w:pPr>
              <w:jc w:val="center"/>
              <w:rPr>
                <w:rFonts w:cstheme="minorHAnsi"/>
                <w:sz w:val="16"/>
                <w:szCs w:val="16"/>
              </w:rPr>
            </w:pPr>
          </w:p>
        </w:tc>
        <w:tc>
          <w:tcPr>
            <w:tcW w:w="1378" w:type="dxa"/>
            <w:vMerge/>
            <w:vAlign w:val="center"/>
          </w:tcPr>
          <w:p w14:paraId="257718CE" w14:textId="77777777" w:rsidR="00DA3C15" w:rsidRPr="00DA3C15" w:rsidRDefault="00DA3C15" w:rsidP="00136280">
            <w:pPr>
              <w:jc w:val="center"/>
              <w:rPr>
                <w:rFonts w:cstheme="minorHAnsi"/>
                <w:sz w:val="16"/>
                <w:szCs w:val="16"/>
              </w:rPr>
            </w:pPr>
          </w:p>
        </w:tc>
        <w:tc>
          <w:tcPr>
            <w:tcW w:w="1254" w:type="dxa"/>
          </w:tcPr>
          <w:p w14:paraId="64FF680E" w14:textId="77777777" w:rsidR="00DA3C15" w:rsidRPr="00DA3C15" w:rsidRDefault="00DA3C15" w:rsidP="00136280">
            <w:pPr>
              <w:jc w:val="center"/>
              <w:rPr>
                <w:rFonts w:cstheme="minorHAnsi"/>
                <w:sz w:val="16"/>
                <w:szCs w:val="16"/>
              </w:rPr>
            </w:pPr>
            <w:r w:rsidRPr="00DA3C15">
              <w:rPr>
                <w:rFonts w:cstheme="minorHAnsi"/>
                <w:sz w:val="16"/>
                <w:szCs w:val="16"/>
              </w:rPr>
              <w:t>-</w:t>
            </w:r>
          </w:p>
        </w:tc>
      </w:tr>
      <w:tr w:rsidR="00DA3C15" w:rsidRPr="00DA3C15" w14:paraId="4A1F2097" w14:textId="77777777" w:rsidTr="00DA3C15">
        <w:trPr>
          <w:jc w:val="center"/>
        </w:trPr>
        <w:tc>
          <w:tcPr>
            <w:tcW w:w="1785" w:type="dxa"/>
            <w:vMerge w:val="restart"/>
            <w:vAlign w:val="center"/>
          </w:tcPr>
          <w:p w14:paraId="21052C48" w14:textId="77777777" w:rsidR="00DA3C15" w:rsidRPr="00DA3C15" w:rsidRDefault="00DA3C15" w:rsidP="00136280">
            <w:pPr>
              <w:rPr>
                <w:rFonts w:cstheme="minorHAnsi"/>
                <w:sz w:val="16"/>
                <w:szCs w:val="16"/>
              </w:rPr>
            </w:pPr>
            <w:r w:rsidRPr="00DA3C15">
              <w:rPr>
                <w:rFonts w:cstheme="minorHAnsi"/>
                <w:sz w:val="16"/>
                <w:szCs w:val="16"/>
              </w:rPr>
              <w:t>Nutrients</w:t>
            </w:r>
          </w:p>
        </w:tc>
        <w:tc>
          <w:tcPr>
            <w:tcW w:w="3157" w:type="dxa"/>
          </w:tcPr>
          <w:p w14:paraId="5E808FA9" w14:textId="77777777" w:rsidR="00DA3C15" w:rsidRPr="00DA3C15" w:rsidRDefault="00DA3C15" w:rsidP="00136280">
            <w:pPr>
              <w:rPr>
                <w:rFonts w:cstheme="minorHAnsi"/>
                <w:sz w:val="16"/>
                <w:szCs w:val="16"/>
              </w:rPr>
            </w:pPr>
            <w:r w:rsidRPr="00DA3C15">
              <w:rPr>
                <w:rFonts w:cstheme="minorHAnsi"/>
                <w:sz w:val="16"/>
                <w:szCs w:val="16"/>
              </w:rPr>
              <w:t>Ammonium</w:t>
            </w:r>
          </w:p>
        </w:tc>
        <w:tc>
          <w:tcPr>
            <w:tcW w:w="1422" w:type="dxa"/>
            <w:vMerge w:val="restart"/>
            <w:vAlign w:val="center"/>
          </w:tcPr>
          <w:p w14:paraId="05142781" w14:textId="77777777" w:rsidR="00DA3C15" w:rsidRPr="00DA3C15" w:rsidRDefault="00DA3C15" w:rsidP="00136280">
            <w:pPr>
              <w:jc w:val="center"/>
              <w:rPr>
                <w:rFonts w:cstheme="minorHAnsi"/>
                <w:sz w:val="16"/>
                <w:szCs w:val="16"/>
              </w:rPr>
            </w:pPr>
            <w:r w:rsidRPr="00DA3C15">
              <w:rPr>
                <w:rFonts w:cstheme="minorHAnsi"/>
                <w:sz w:val="16"/>
                <w:szCs w:val="16"/>
              </w:rPr>
              <w:t>12/yr</w:t>
            </w:r>
          </w:p>
        </w:tc>
        <w:tc>
          <w:tcPr>
            <w:tcW w:w="1378" w:type="dxa"/>
            <w:vMerge w:val="restart"/>
            <w:vAlign w:val="center"/>
          </w:tcPr>
          <w:p w14:paraId="713C42EC" w14:textId="77777777" w:rsidR="00DA3C15" w:rsidRPr="00DA3C15" w:rsidRDefault="00DA3C15" w:rsidP="00136280">
            <w:pPr>
              <w:jc w:val="center"/>
              <w:rPr>
                <w:rFonts w:cstheme="minorHAnsi"/>
                <w:sz w:val="16"/>
                <w:szCs w:val="16"/>
              </w:rPr>
            </w:pPr>
            <w:r w:rsidRPr="00DA3C15">
              <w:rPr>
                <w:rFonts w:cstheme="minorHAnsi"/>
                <w:sz w:val="16"/>
                <w:szCs w:val="16"/>
              </w:rPr>
              <w:t>12/yr</w:t>
            </w:r>
          </w:p>
        </w:tc>
        <w:tc>
          <w:tcPr>
            <w:tcW w:w="1254" w:type="dxa"/>
          </w:tcPr>
          <w:p w14:paraId="2FE04761" w14:textId="77777777" w:rsidR="00DA3C15" w:rsidRPr="00DA3C15" w:rsidRDefault="00DA3C15" w:rsidP="00136280">
            <w:pPr>
              <w:jc w:val="center"/>
              <w:rPr>
                <w:rFonts w:cstheme="minorHAnsi"/>
                <w:sz w:val="16"/>
                <w:szCs w:val="16"/>
              </w:rPr>
            </w:pPr>
            <w:r w:rsidRPr="00DA3C15">
              <w:rPr>
                <w:rFonts w:cstheme="minorHAnsi"/>
                <w:sz w:val="16"/>
                <w:szCs w:val="16"/>
              </w:rPr>
              <w:t>+ 13*</w:t>
            </w:r>
          </w:p>
        </w:tc>
      </w:tr>
      <w:tr w:rsidR="00DA3C15" w:rsidRPr="00DA3C15" w14:paraId="141BAC66" w14:textId="77777777" w:rsidTr="00DA3C15">
        <w:trPr>
          <w:jc w:val="center"/>
        </w:trPr>
        <w:tc>
          <w:tcPr>
            <w:tcW w:w="1785" w:type="dxa"/>
            <w:vMerge/>
          </w:tcPr>
          <w:p w14:paraId="27321E38" w14:textId="77777777" w:rsidR="00DA3C15" w:rsidRPr="00DA3C15" w:rsidRDefault="00DA3C15" w:rsidP="00136280">
            <w:pPr>
              <w:rPr>
                <w:rFonts w:cstheme="minorHAnsi"/>
                <w:sz w:val="16"/>
                <w:szCs w:val="16"/>
              </w:rPr>
            </w:pPr>
          </w:p>
        </w:tc>
        <w:tc>
          <w:tcPr>
            <w:tcW w:w="3157" w:type="dxa"/>
          </w:tcPr>
          <w:p w14:paraId="48BE0A42" w14:textId="77777777" w:rsidR="00DA3C15" w:rsidRPr="00DA3C15" w:rsidRDefault="00DA3C15" w:rsidP="00136280">
            <w:pPr>
              <w:rPr>
                <w:rFonts w:cstheme="minorHAnsi"/>
                <w:sz w:val="16"/>
                <w:szCs w:val="16"/>
              </w:rPr>
            </w:pPr>
            <w:r w:rsidRPr="00DA3C15">
              <w:rPr>
                <w:rFonts w:cstheme="minorHAnsi"/>
                <w:sz w:val="16"/>
                <w:szCs w:val="16"/>
              </w:rPr>
              <w:t>Nitrates</w:t>
            </w:r>
          </w:p>
        </w:tc>
        <w:tc>
          <w:tcPr>
            <w:tcW w:w="1422" w:type="dxa"/>
            <w:vMerge/>
            <w:vAlign w:val="center"/>
          </w:tcPr>
          <w:p w14:paraId="3D9C5D7E" w14:textId="77777777" w:rsidR="00DA3C15" w:rsidRPr="00DA3C15" w:rsidRDefault="00DA3C15" w:rsidP="00136280">
            <w:pPr>
              <w:jc w:val="center"/>
              <w:rPr>
                <w:rFonts w:cstheme="minorHAnsi"/>
                <w:sz w:val="16"/>
                <w:szCs w:val="16"/>
              </w:rPr>
            </w:pPr>
          </w:p>
        </w:tc>
        <w:tc>
          <w:tcPr>
            <w:tcW w:w="1378" w:type="dxa"/>
            <w:vMerge/>
            <w:vAlign w:val="center"/>
          </w:tcPr>
          <w:p w14:paraId="32BB8A9C" w14:textId="77777777" w:rsidR="00DA3C15" w:rsidRPr="00DA3C15" w:rsidRDefault="00DA3C15" w:rsidP="00136280">
            <w:pPr>
              <w:jc w:val="center"/>
              <w:rPr>
                <w:rFonts w:cstheme="minorHAnsi"/>
                <w:sz w:val="16"/>
                <w:szCs w:val="16"/>
              </w:rPr>
            </w:pPr>
          </w:p>
        </w:tc>
        <w:tc>
          <w:tcPr>
            <w:tcW w:w="1254" w:type="dxa"/>
          </w:tcPr>
          <w:p w14:paraId="5FC1425C" w14:textId="77777777" w:rsidR="00DA3C15" w:rsidRPr="00DA3C15" w:rsidRDefault="00DA3C15" w:rsidP="00136280">
            <w:pPr>
              <w:jc w:val="center"/>
              <w:rPr>
                <w:rFonts w:cstheme="minorHAnsi"/>
                <w:sz w:val="16"/>
                <w:szCs w:val="16"/>
              </w:rPr>
            </w:pPr>
            <w:r w:rsidRPr="00DA3C15">
              <w:rPr>
                <w:rFonts w:cstheme="minorHAnsi"/>
                <w:sz w:val="16"/>
                <w:szCs w:val="16"/>
              </w:rPr>
              <w:t>+12*</w:t>
            </w:r>
          </w:p>
        </w:tc>
      </w:tr>
      <w:tr w:rsidR="00DA3C15" w:rsidRPr="00DA3C15" w14:paraId="487A72FD" w14:textId="77777777" w:rsidTr="00DA3C15">
        <w:trPr>
          <w:jc w:val="center"/>
        </w:trPr>
        <w:tc>
          <w:tcPr>
            <w:tcW w:w="1785" w:type="dxa"/>
            <w:vMerge/>
          </w:tcPr>
          <w:p w14:paraId="04B18AE4" w14:textId="77777777" w:rsidR="00DA3C15" w:rsidRPr="00DA3C15" w:rsidRDefault="00DA3C15" w:rsidP="00136280">
            <w:pPr>
              <w:rPr>
                <w:rFonts w:cstheme="minorHAnsi"/>
                <w:sz w:val="16"/>
                <w:szCs w:val="16"/>
              </w:rPr>
            </w:pPr>
          </w:p>
        </w:tc>
        <w:tc>
          <w:tcPr>
            <w:tcW w:w="3157" w:type="dxa"/>
          </w:tcPr>
          <w:p w14:paraId="2A2A0B65" w14:textId="77777777" w:rsidR="00DA3C15" w:rsidRPr="00DA3C15" w:rsidRDefault="00DA3C15" w:rsidP="00136280">
            <w:pPr>
              <w:rPr>
                <w:rFonts w:cstheme="minorHAnsi"/>
                <w:sz w:val="16"/>
                <w:szCs w:val="16"/>
              </w:rPr>
            </w:pPr>
            <w:r w:rsidRPr="00DA3C15">
              <w:rPr>
                <w:rFonts w:cstheme="minorHAnsi"/>
                <w:sz w:val="16"/>
                <w:szCs w:val="16"/>
              </w:rPr>
              <w:t>Total nitrogen</w:t>
            </w:r>
          </w:p>
        </w:tc>
        <w:tc>
          <w:tcPr>
            <w:tcW w:w="1422" w:type="dxa"/>
            <w:vMerge/>
            <w:vAlign w:val="center"/>
          </w:tcPr>
          <w:p w14:paraId="2A03EEDF" w14:textId="77777777" w:rsidR="00DA3C15" w:rsidRPr="00DA3C15" w:rsidRDefault="00DA3C15" w:rsidP="00136280">
            <w:pPr>
              <w:jc w:val="center"/>
              <w:rPr>
                <w:rFonts w:cstheme="minorHAnsi"/>
                <w:sz w:val="16"/>
                <w:szCs w:val="16"/>
              </w:rPr>
            </w:pPr>
          </w:p>
        </w:tc>
        <w:tc>
          <w:tcPr>
            <w:tcW w:w="1378" w:type="dxa"/>
            <w:vMerge/>
            <w:vAlign w:val="center"/>
          </w:tcPr>
          <w:p w14:paraId="73EF97EE" w14:textId="77777777" w:rsidR="00DA3C15" w:rsidRPr="00DA3C15" w:rsidRDefault="00DA3C15" w:rsidP="00136280">
            <w:pPr>
              <w:jc w:val="center"/>
              <w:rPr>
                <w:rFonts w:cstheme="minorHAnsi"/>
                <w:sz w:val="16"/>
                <w:szCs w:val="16"/>
              </w:rPr>
            </w:pPr>
          </w:p>
        </w:tc>
        <w:tc>
          <w:tcPr>
            <w:tcW w:w="1254" w:type="dxa"/>
          </w:tcPr>
          <w:p w14:paraId="49A48B22" w14:textId="77777777" w:rsidR="00DA3C15" w:rsidRPr="00DA3C15" w:rsidRDefault="00DA3C15" w:rsidP="00136280">
            <w:pPr>
              <w:jc w:val="center"/>
              <w:rPr>
                <w:rFonts w:cstheme="minorHAnsi"/>
                <w:sz w:val="16"/>
                <w:szCs w:val="16"/>
              </w:rPr>
            </w:pPr>
            <w:r w:rsidRPr="00DA3C15">
              <w:rPr>
                <w:rFonts w:cstheme="minorHAnsi"/>
                <w:sz w:val="16"/>
                <w:szCs w:val="16"/>
              </w:rPr>
              <w:t>+ 14</w:t>
            </w:r>
          </w:p>
        </w:tc>
      </w:tr>
      <w:tr w:rsidR="00DA3C15" w:rsidRPr="00DA3C15" w14:paraId="2026E9BD" w14:textId="77777777" w:rsidTr="00DA3C15">
        <w:trPr>
          <w:jc w:val="center"/>
        </w:trPr>
        <w:tc>
          <w:tcPr>
            <w:tcW w:w="1785" w:type="dxa"/>
            <w:vMerge/>
          </w:tcPr>
          <w:p w14:paraId="1C9A335F" w14:textId="77777777" w:rsidR="00DA3C15" w:rsidRPr="00DA3C15" w:rsidRDefault="00DA3C15" w:rsidP="00136280">
            <w:pPr>
              <w:rPr>
                <w:rFonts w:cstheme="minorHAnsi"/>
                <w:sz w:val="16"/>
                <w:szCs w:val="16"/>
              </w:rPr>
            </w:pPr>
          </w:p>
        </w:tc>
        <w:tc>
          <w:tcPr>
            <w:tcW w:w="3157" w:type="dxa"/>
          </w:tcPr>
          <w:p w14:paraId="62B186B8" w14:textId="77777777" w:rsidR="00DA3C15" w:rsidRPr="00DA3C15" w:rsidRDefault="00DA3C15" w:rsidP="00136280">
            <w:pPr>
              <w:rPr>
                <w:rFonts w:cstheme="minorHAnsi"/>
                <w:sz w:val="16"/>
                <w:szCs w:val="16"/>
              </w:rPr>
            </w:pPr>
            <w:r w:rsidRPr="00DA3C15">
              <w:rPr>
                <w:rFonts w:cstheme="minorHAnsi"/>
                <w:sz w:val="16"/>
                <w:szCs w:val="16"/>
              </w:rPr>
              <w:t>Orthophosphates</w:t>
            </w:r>
          </w:p>
        </w:tc>
        <w:tc>
          <w:tcPr>
            <w:tcW w:w="1422" w:type="dxa"/>
            <w:vMerge/>
            <w:vAlign w:val="center"/>
          </w:tcPr>
          <w:p w14:paraId="4F8A3E6C" w14:textId="77777777" w:rsidR="00DA3C15" w:rsidRPr="00DA3C15" w:rsidRDefault="00DA3C15" w:rsidP="00136280">
            <w:pPr>
              <w:jc w:val="center"/>
              <w:rPr>
                <w:rFonts w:cstheme="minorHAnsi"/>
                <w:sz w:val="16"/>
                <w:szCs w:val="16"/>
              </w:rPr>
            </w:pPr>
          </w:p>
        </w:tc>
        <w:tc>
          <w:tcPr>
            <w:tcW w:w="1378" w:type="dxa"/>
            <w:vMerge/>
            <w:vAlign w:val="center"/>
          </w:tcPr>
          <w:p w14:paraId="05899F90" w14:textId="77777777" w:rsidR="00DA3C15" w:rsidRPr="00DA3C15" w:rsidRDefault="00DA3C15" w:rsidP="00136280">
            <w:pPr>
              <w:jc w:val="center"/>
              <w:rPr>
                <w:rFonts w:cstheme="minorHAnsi"/>
                <w:sz w:val="16"/>
                <w:szCs w:val="16"/>
              </w:rPr>
            </w:pPr>
          </w:p>
        </w:tc>
        <w:tc>
          <w:tcPr>
            <w:tcW w:w="1254" w:type="dxa"/>
          </w:tcPr>
          <w:p w14:paraId="0BBB0120" w14:textId="77777777" w:rsidR="00DA3C15" w:rsidRPr="00DA3C15" w:rsidRDefault="00DA3C15" w:rsidP="00136280">
            <w:pPr>
              <w:jc w:val="center"/>
              <w:rPr>
                <w:rFonts w:cstheme="minorHAnsi"/>
                <w:sz w:val="16"/>
                <w:szCs w:val="16"/>
              </w:rPr>
            </w:pPr>
            <w:r w:rsidRPr="00DA3C15">
              <w:rPr>
                <w:rFonts w:cstheme="minorHAnsi"/>
                <w:sz w:val="16"/>
                <w:szCs w:val="16"/>
              </w:rPr>
              <w:t>+ 16</w:t>
            </w:r>
          </w:p>
        </w:tc>
      </w:tr>
      <w:tr w:rsidR="00DA3C15" w:rsidRPr="00DA3C15" w14:paraId="74B642E5" w14:textId="77777777" w:rsidTr="00DA3C15">
        <w:trPr>
          <w:jc w:val="center"/>
        </w:trPr>
        <w:tc>
          <w:tcPr>
            <w:tcW w:w="1785" w:type="dxa"/>
            <w:vMerge/>
          </w:tcPr>
          <w:p w14:paraId="0FE1CB95" w14:textId="77777777" w:rsidR="00DA3C15" w:rsidRPr="00DA3C15" w:rsidRDefault="00DA3C15" w:rsidP="00136280">
            <w:pPr>
              <w:rPr>
                <w:rFonts w:cstheme="minorHAnsi"/>
                <w:sz w:val="16"/>
                <w:szCs w:val="16"/>
              </w:rPr>
            </w:pPr>
          </w:p>
        </w:tc>
        <w:tc>
          <w:tcPr>
            <w:tcW w:w="3157" w:type="dxa"/>
          </w:tcPr>
          <w:p w14:paraId="644BD763" w14:textId="77777777" w:rsidR="00DA3C15" w:rsidRPr="00DA3C15" w:rsidRDefault="00DA3C15" w:rsidP="00136280">
            <w:pPr>
              <w:rPr>
                <w:rFonts w:cstheme="minorHAnsi"/>
                <w:sz w:val="16"/>
                <w:szCs w:val="16"/>
              </w:rPr>
            </w:pPr>
            <w:r w:rsidRPr="00DA3C15">
              <w:rPr>
                <w:rFonts w:cstheme="minorHAnsi"/>
                <w:sz w:val="16"/>
                <w:szCs w:val="16"/>
              </w:rPr>
              <w:t>Total phosphorus</w:t>
            </w:r>
          </w:p>
        </w:tc>
        <w:tc>
          <w:tcPr>
            <w:tcW w:w="1422" w:type="dxa"/>
            <w:vMerge/>
            <w:vAlign w:val="center"/>
          </w:tcPr>
          <w:p w14:paraId="4C92DD03" w14:textId="77777777" w:rsidR="00DA3C15" w:rsidRPr="00DA3C15" w:rsidRDefault="00DA3C15" w:rsidP="00136280">
            <w:pPr>
              <w:jc w:val="center"/>
              <w:rPr>
                <w:rFonts w:cstheme="minorHAnsi"/>
                <w:sz w:val="16"/>
                <w:szCs w:val="16"/>
              </w:rPr>
            </w:pPr>
          </w:p>
        </w:tc>
        <w:tc>
          <w:tcPr>
            <w:tcW w:w="1378" w:type="dxa"/>
            <w:vMerge/>
            <w:vAlign w:val="center"/>
          </w:tcPr>
          <w:p w14:paraId="39359315" w14:textId="77777777" w:rsidR="00DA3C15" w:rsidRPr="00DA3C15" w:rsidRDefault="00DA3C15" w:rsidP="00136280">
            <w:pPr>
              <w:jc w:val="center"/>
              <w:rPr>
                <w:rFonts w:cstheme="minorHAnsi"/>
                <w:sz w:val="16"/>
                <w:szCs w:val="16"/>
              </w:rPr>
            </w:pPr>
          </w:p>
        </w:tc>
        <w:tc>
          <w:tcPr>
            <w:tcW w:w="1254" w:type="dxa"/>
          </w:tcPr>
          <w:p w14:paraId="5758620C" w14:textId="77777777" w:rsidR="00DA3C15" w:rsidRPr="00DA3C15" w:rsidRDefault="00DA3C15" w:rsidP="00136280">
            <w:pPr>
              <w:jc w:val="center"/>
              <w:rPr>
                <w:rFonts w:cstheme="minorHAnsi"/>
                <w:sz w:val="16"/>
                <w:szCs w:val="16"/>
              </w:rPr>
            </w:pPr>
            <w:r w:rsidRPr="00DA3C15">
              <w:rPr>
                <w:rFonts w:cstheme="minorHAnsi"/>
                <w:sz w:val="16"/>
                <w:szCs w:val="16"/>
              </w:rPr>
              <w:t>+ 15</w:t>
            </w:r>
          </w:p>
        </w:tc>
      </w:tr>
      <w:tr w:rsidR="00DA3C15" w:rsidRPr="00DA3C15" w14:paraId="6D468021" w14:textId="77777777" w:rsidTr="00DA3C15">
        <w:trPr>
          <w:jc w:val="center"/>
        </w:trPr>
        <w:tc>
          <w:tcPr>
            <w:tcW w:w="8996" w:type="dxa"/>
            <w:gridSpan w:val="5"/>
            <w:shd w:val="clear" w:color="auto" w:fill="D9E2F3" w:themeFill="accent1" w:themeFillTint="33"/>
          </w:tcPr>
          <w:p w14:paraId="0F31318C" w14:textId="77777777" w:rsidR="00DA3C15" w:rsidRPr="00DA3C15" w:rsidRDefault="00DA3C15" w:rsidP="00136280">
            <w:pPr>
              <w:jc w:val="center"/>
              <w:rPr>
                <w:rFonts w:cstheme="minorHAnsi"/>
                <w:b/>
                <w:sz w:val="16"/>
                <w:szCs w:val="16"/>
              </w:rPr>
            </w:pPr>
            <w:r w:rsidRPr="00DA3C15">
              <w:rPr>
                <w:rFonts w:cstheme="minorHAnsi"/>
                <w:b/>
                <w:sz w:val="16"/>
                <w:szCs w:val="16"/>
              </w:rPr>
              <w:t>SPECIFIC POLLUTANTS</w:t>
            </w:r>
          </w:p>
        </w:tc>
      </w:tr>
      <w:tr w:rsidR="00DA3C15" w:rsidRPr="00DA3C15" w14:paraId="6697800C" w14:textId="77777777" w:rsidTr="00DA3C15">
        <w:trPr>
          <w:jc w:val="center"/>
        </w:trPr>
        <w:tc>
          <w:tcPr>
            <w:tcW w:w="1785" w:type="dxa"/>
            <w:vMerge w:val="restart"/>
            <w:vAlign w:val="center"/>
          </w:tcPr>
          <w:p w14:paraId="44AE5BA3" w14:textId="77777777" w:rsidR="00DA3C15" w:rsidRPr="00DA3C15" w:rsidRDefault="00DA3C15" w:rsidP="00136280">
            <w:pPr>
              <w:rPr>
                <w:rFonts w:cstheme="minorHAnsi"/>
                <w:sz w:val="16"/>
                <w:szCs w:val="16"/>
              </w:rPr>
            </w:pPr>
            <w:r w:rsidRPr="00DA3C15">
              <w:rPr>
                <w:rFonts w:cstheme="minorHAnsi"/>
                <w:sz w:val="16"/>
                <w:szCs w:val="16"/>
              </w:rPr>
              <w:t>Specific Pollutants</w:t>
            </w:r>
          </w:p>
        </w:tc>
        <w:tc>
          <w:tcPr>
            <w:tcW w:w="3157" w:type="dxa"/>
          </w:tcPr>
          <w:p w14:paraId="6FFE5A8C" w14:textId="77777777" w:rsidR="00DA3C15" w:rsidRPr="00DA3C15" w:rsidRDefault="00DA3C15" w:rsidP="00136280">
            <w:pPr>
              <w:rPr>
                <w:rFonts w:cstheme="minorHAnsi"/>
                <w:sz w:val="16"/>
                <w:szCs w:val="16"/>
              </w:rPr>
            </w:pPr>
            <w:r w:rsidRPr="00DA3C15">
              <w:rPr>
                <w:rFonts w:cstheme="minorHAnsi"/>
                <w:sz w:val="16"/>
                <w:szCs w:val="16"/>
              </w:rPr>
              <w:t>Arsenic and its compounds</w:t>
            </w:r>
          </w:p>
        </w:tc>
        <w:tc>
          <w:tcPr>
            <w:tcW w:w="1422" w:type="dxa"/>
            <w:vMerge w:val="restart"/>
            <w:vAlign w:val="center"/>
          </w:tcPr>
          <w:p w14:paraId="0BE4A100" w14:textId="77777777" w:rsidR="00DA3C15" w:rsidRPr="00DA3C15" w:rsidRDefault="00DA3C15" w:rsidP="00136280">
            <w:pPr>
              <w:jc w:val="center"/>
              <w:rPr>
                <w:rFonts w:cstheme="minorHAnsi"/>
                <w:sz w:val="16"/>
                <w:szCs w:val="16"/>
              </w:rPr>
            </w:pPr>
            <w:r w:rsidRPr="00DA3C15">
              <w:rPr>
                <w:rFonts w:cstheme="minorHAnsi"/>
                <w:sz w:val="16"/>
                <w:szCs w:val="16"/>
              </w:rPr>
              <w:t>12/yr</w:t>
            </w:r>
          </w:p>
        </w:tc>
        <w:tc>
          <w:tcPr>
            <w:tcW w:w="1378" w:type="dxa"/>
            <w:vMerge w:val="restart"/>
            <w:vAlign w:val="center"/>
          </w:tcPr>
          <w:p w14:paraId="5D014574" w14:textId="77777777" w:rsidR="00DA3C15" w:rsidRPr="00DA3C15" w:rsidRDefault="00DA3C15" w:rsidP="00136280">
            <w:pPr>
              <w:jc w:val="center"/>
              <w:rPr>
                <w:rFonts w:cstheme="minorHAnsi"/>
                <w:sz w:val="16"/>
                <w:szCs w:val="16"/>
              </w:rPr>
            </w:pPr>
            <w:r w:rsidRPr="00DA3C15">
              <w:rPr>
                <w:rFonts w:cstheme="minorHAnsi"/>
                <w:sz w:val="16"/>
                <w:szCs w:val="16"/>
              </w:rPr>
              <w:t>12/yr</w:t>
            </w:r>
          </w:p>
        </w:tc>
        <w:tc>
          <w:tcPr>
            <w:tcW w:w="1254" w:type="dxa"/>
            <w:vMerge w:val="restart"/>
          </w:tcPr>
          <w:p w14:paraId="14D265C9" w14:textId="77777777" w:rsidR="00DA3C15" w:rsidRPr="00DA3C15" w:rsidRDefault="00DA3C15" w:rsidP="00136280">
            <w:pPr>
              <w:jc w:val="center"/>
              <w:rPr>
                <w:rFonts w:cstheme="minorHAnsi"/>
                <w:sz w:val="16"/>
                <w:szCs w:val="16"/>
              </w:rPr>
            </w:pPr>
          </w:p>
        </w:tc>
      </w:tr>
      <w:tr w:rsidR="00DA3C15" w:rsidRPr="00DA3C15" w14:paraId="32B9686A" w14:textId="77777777" w:rsidTr="00DA3C15">
        <w:trPr>
          <w:jc w:val="center"/>
        </w:trPr>
        <w:tc>
          <w:tcPr>
            <w:tcW w:w="1785" w:type="dxa"/>
            <w:vMerge/>
          </w:tcPr>
          <w:p w14:paraId="5D1836C2" w14:textId="77777777" w:rsidR="00DA3C15" w:rsidRPr="00DA3C15" w:rsidRDefault="00DA3C15" w:rsidP="00136280">
            <w:pPr>
              <w:rPr>
                <w:rFonts w:cstheme="minorHAnsi"/>
                <w:sz w:val="16"/>
                <w:szCs w:val="16"/>
              </w:rPr>
            </w:pPr>
          </w:p>
        </w:tc>
        <w:tc>
          <w:tcPr>
            <w:tcW w:w="3157" w:type="dxa"/>
          </w:tcPr>
          <w:p w14:paraId="04F9879F" w14:textId="77777777" w:rsidR="00DA3C15" w:rsidRPr="00DA3C15" w:rsidRDefault="00DA3C15" w:rsidP="00136280">
            <w:pPr>
              <w:rPr>
                <w:rFonts w:cstheme="minorHAnsi"/>
                <w:sz w:val="16"/>
                <w:szCs w:val="16"/>
              </w:rPr>
            </w:pPr>
            <w:r w:rsidRPr="00DA3C15">
              <w:rPr>
                <w:rFonts w:cstheme="minorHAnsi"/>
                <w:sz w:val="16"/>
                <w:szCs w:val="16"/>
              </w:rPr>
              <w:t>Copper and its compounds</w:t>
            </w:r>
          </w:p>
        </w:tc>
        <w:tc>
          <w:tcPr>
            <w:tcW w:w="1422" w:type="dxa"/>
            <w:vMerge/>
          </w:tcPr>
          <w:p w14:paraId="73D49BC0" w14:textId="77777777" w:rsidR="00DA3C15" w:rsidRPr="00DA3C15" w:rsidRDefault="00DA3C15" w:rsidP="00136280">
            <w:pPr>
              <w:rPr>
                <w:rFonts w:cstheme="minorHAnsi"/>
                <w:sz w:val="16"/>
                <w:szCs w:val="16"/>
              </w:rPr>
            </w:pPr>
          </w:p>
        </w:tc>
        <w:tc>
          <w:tcPr>
            <w:tcW w:w="1378" w:type="dxa"/>
            <w:vMerge/>
          </w:tcPr>
          <w:p w14:paraId="3E680F68" w14:textId="77777777" w:rsidR="00DA3C15" w:rsidRPr="00DA3C15" w:rsidRDefault="00DA3C15" w:rsidP="00136280">
            <w:pPr>
              <w:rPr>
                <w:rFonts w:cstheme="minorHAnsi"/>
                <w:sz w:val="16"/>
                <w:szCs w:val="16"/>
              </w:rPr>
            </w:pPr>
          </w:p>
        </w:tc>
        <w:tc>
          <w:tcPr>
            <w:tcW w:w="1254" w:type="dxa"/>
            <w:vMerge/>
          </w:tcPr>
          <w:p w14:paraId="3923EFF5" w14:textId="77777777" w:rsidR="00DA3C15" w:rsidRPr="00DA3C15" w:rsidRDefault="00DA3C15" w:rsidP="00136280">
            <w:pPr>
              <w:jc w:val="center"/>
              <w:rPr>
                <w:rFonts w:cstheme="minorHAnsi"/>
                <w:sz w:val="16"/>
                <w:szCs w:val="16"/>
              </w:rPr>
            </w:pPr>
          </w:p>
        </w:tc>
      </w:tr>
      <w:tr w:rsidR="00DA3C15" w:rsidRPr="00DA3C15" w14:paraId="143711C4" w14:textId="77777777" w:rsidTr="00DA3C15">
        <w:trPr>
          <w:jc w:val="center"/>
        </w:trPr>
        <w:tc>
          <w:tcPr>
            <w:tcW w:w="1785" w:type="dxa"/>
            <w:vMerge/>
          </w:tcPr>
          <w:p w14:paraId="0DE77F41" w14:textId="77777777" w:rsidR="00DA3C15" w:rsidRPr="00DA3C15" w:rsidRDefault="00DA3C15" w:rsidP="00136280">
            <w:pPr>
              <w:rPr>
                <w:rFonts w:cstheme="minorHAnsi"/>
                <w:sz w:val="16"/>
                <w:szCs w:val="16"/>
              </w:rPr>
            </w:pPr>
          </w:p>
        </w:tc>
        <w:tc>
          <w:tcPr>
            <w:tcW w:w="3157" w:type="dxa"/>
          </w:tcPr>
          <w:p w14:paraId="0509A4CD" w14:textId="77777777" w:rsidR="00DA3C15" w:rsidRPr="00DA3C15" w:rsidRDefault="00DA3C15" w:rsidP="00136280">
            <w:pPr>
              <w:rPr>
                <w:rFonts w:cstheme="minorHAnsi"/>
                <w:sz w:val="16"/>
                <w:szCs w:val="16"/>
              </w:rPr>
            </w:pPr>
            <w:r w:rsidRPr="00DA3C15">
              <w:rPr>
                <w:rFonts w:cstheme="minorHAnsi"/>
                <w:sz w:val="16"/>
                <w:szCs w:val="16"/>
              </w:rPr>
              <w:t>Zinc and its compounds</w:t>
            </w:r>
          </w:p>
        </w:tc>
        <w:tc>
          <w:tcPr>
            <w:tcW w:w="1422" w:type="dxa"/>
            <w:vMerge/>
          </w:tcPr>
          <w:p w14:paraId="5E040B30" w14:textId="77777777" w:rsidR="00DA3C15" w:rsidRPr="00DA3C15" w:rsidRDefault="00DA3C15" w:rsidP="00136280">
            <w:pPr>
              <w:rPr>
                <w:rFonts w:cstheme="minorHAnsi"/>
                <w:sz w:val="16"/>
                <w:szCs w:val="16"/>
              </w:rPr>
            </w:pPr>
          </w:p>
        </w:tc>
        <w:tc>
          <w:tcPr>
            <w:tcW w:w="1378" w:type="dxa"/>
            <w:vMerge/>
          </w:tcPr>
          <w:p w14:paraId="5C2E0B8D" w14:textId="77777777" w:rsidR="00DA3C15" w:rsidRPr="00DA3C15" w:rsidRDefault="00DA3C15" w:rsidP="00136280">
            <w:pPr>
              <w:rPr>
                <w:rFonts w:cstheme="minorHAnsi"/>
                <w:sz w:val="16"/>
                <w:szCs w:val="16"/>
              </w:rPr>
            </w:pPr>
          </w:p>
        </w:tc>
        <w:tc>
          <w:tcPr>
            <w:tcW w:w="1254" w:type="dxa"/>
            <w:vMerge/>
          </w:tcPr>
          <w:p w14:paraId="6D7DF544" w14:textId="77777777" w:rsidR="00DA3C15" w:rsidRPr="00DA3C15" w:rsidRDefault="00DA3C15" w:rsidP="00136280">
            <w:pPr>
              <w:jc w:val="center"/>
              <w:rPr>
                <w:rFonts w:cstheme="minorHAnsi"/>
                <w:sz w:val="16"/>
                <w:szCs w:val="16"/>
              </w:rPr>
            </w:pPr>
          </w:p>
        </w:tc>
      </w:tr>
      <w:tr w:rsidR="00DA3C15" w:rsidRPr="00DA3C15" w14:paraId="08985559" w14:textId="77777777" w:rsidTr="00DA3C15">
        <w:trPr>
          <w:jc w:val="center"/>
        </w:trPr>
        <w:tc>
          <w:tcPr>
            <w:tcW w:w="1785" w:type="dxa"/>
            <w:vMerge/>
          </w:tcPr>
          <w:p w14:paraId="1FB13A96" w14:textId="77777777" w:rsidR="00DA3C15" w:rsidRPr="00DA3C15" w:rsidRDefault="00DA3C15" w:rsidP="00136280">
            <w:pPr>
              <w:rPr>
                <w:rFonts w:cstheme="minorHAnsi"/>
                <w:sz w:val="16"/>
                <w:szCs w:val="16"/>
              </w:rPr>
            </w:pPr>
          </w:p>
        </w:tc>
        <w:tc>
          <w:tcPr>
            <w:tcW w:w="3157" w:type="dxa"/>
          </w:tcPr>
          <w:p w14:paraId="6D2150AD" w14:textId="77777777" w:rsidR="00DA3C15" w:rsidRPr="00DA3C15" w:rsidRDefault="00DA3C15" w:rsidP="00136280">
            <w:pPr>
              <w:rPr>
                <w:rFonts w:cstheme="minorHAnsi"/>
                <w:sz w:val="16"/>
                <w:szCs w:val="16"/>
              </w:rPr>
            </w:pPr>
            <w:r w:rsidRPr="00DA3C15">
              <w:rPr>
                <w:rFonts w:cstheme="minorHAnsi"/>
                <w:sz w:val="16"/>
                <w:szCs w:val="16"/>
              </w:rPr>
              <w:t>Chromium and its compounds</w:t>
            </w:r>
          </w:p>
        </w:tc>
        <w:tc>
          <w:tcPr>
            <w:tcW w:w="1422" w:type="dxa"/>
            <w:vMerge/>
          </w:tcPr>
          <w:p w14:paraId="3220E1ED" w14:textId="77777777" w:rsidR="00DA3C15" w:rsidRPr="00DA3C15" w:rsidRDefault="00DA3C15" w:rsidP="00136280">
            <w:pPr>
              <w:rPr>
                <w:rFonts w:cstheme="minorHAnsi"/>
                <w:sz w:val="16"/>
                <w:szCs w:val="16"/>
              </w:rPr>
            </w:pPr>
          </w:p>
        </w:tc>
        <w:tc>
          <w:tcPr>
            <w:tcW w:w="1378" w:type="dxa"/>
            <w:vMerge/>
          </w:tcPr>
          <w:p w14:paraId="32881C49" w14:textId="77777777" w:rsidR="00DA3C15" w:rsidRPr="00DA3C15" w:rsidRDefault="00DA3C15" w:rsidP="00136280">
            <w:pPr>
              <w:rPr>
                <w:rFonts w:cstheme="minorHAnsi"/>
                <w:sz w:val="16"/>
                <w:szCs w:val="16"/>
              </w:rPr>
            </w:pPr>
          </w:p>
        </w:tc>
        <w:tc>
          <w:tcPr>
            <w:tcW w:w="1254" w:type="dxa"/>
            <w:vMerge/>
          </w:tcPr>
          <w:p w14:paraId="2AB1F888" w14:textId="77777777" w:rsidR="00DA3C15" w:rsidRPr="00DA3C15" w:rsidRDefault="00DA3C15" w:rsidP="00136280">
            <w:pPr>
              <w:jc w:val="center"/>
              <w:rPr>
                <w:rFonts w:cstheme="minorHAnsi"/>
                <w:sz w:val="16"/>
                <w:szCs w:val="16"/>
              </w:rPr>
            </w:pPr>
          </w:p>
        </w:tc>
      </w:tr>
      <w:tr w:rsidR="00DA3C15" w:rsidRPr="00DA3C15" w14:paraId="30593D98" w14:textId="77777777" w:rsidTr="00DA3C15">
        <w:trPr>
          <w:jc w:val="center"/>
        </w:trPr>
        <w:tc>
          <w:tcPr>
            <w:tcW w:w="1785" w:type="dxa"/>
            <w:vMerge/>
          </w:tcPr>
          <w:p w14:paraId="570EE5F0" w14:textId="77777777" w:rsidR="00DA3C15" w:rsidRPr="00DA3C15" w:rsidRDefault="00DA3C15" w:rsidP="00136280">
            <w:pPr>
              <w:rPr>
                <w:rFonts w:cstheme="minorHAnsi"/>
                <w:sz w:val="16"/>
                <w:szCs w:val="16"/>
              </w:rPr>
            </w:pPr>
          </w:p>
        </w:tc>
        <w:tc>
          <w:tcPr>
            <w:tcW w:w="3157" w:type="dxa"/>
          </w:tcPr>
          <w:p w14:paraId="71980146" w14:textId="77777777" w:rsidR="00DA3C15" w:rsidRPr="00DA3C15" w:rsidRDefault="00DA3C15" w:rsidP="00136280">
            <w:pPr>
              <w:rPr>
                <w:rFonts w:cstheme="minorHAnsi"/>
                <w:sz w:val="16"/>
                <w:szCs w:val="16"/>
              </w:rPr>
            </w:pPr>
            <w:r w:rsidRPr="00DA3C15">
              <w:rPr>
                <w:rFonts w:cstheme="minorHAnsi"/>
                <w:sz w:val="16"/>
                <w:szCs w:val="16"/>
              </w:rPr>
              <w:t>Fluorides</w:t>
            </w:r>
          </w:p>
        </w:tc>
        <w:tc>
          <w:tcPr>
            <w:tcW w:w="1422" w:type="dxa"/>
            <w:vMerge/>
          </w:tcPr>
          <w:p w14:paraId="6F75D981" w14:textId="77777777" w:rsidR="00DA3C15" w:rsidRPr="00DA3C15" w:rsidRDefault="00DA3C15" w:rsidP="00136280">
            <w:pPr>
              <w:rPr>
                <w:rFonts w:cstheme="minorHAnsi"/>
                <w:sz w:val="16"/>
                <w:szCs w:val="16"/>
              </w:rPr>
            </w:pPr>
          </w:p>
        </w:tc>
        <w:tc>
          <w:tcPr>
            <w:tcW w:w="1378" w:type="dxa"/>
            <w:vMerge/>
          </w:tcPr>
          <w:p w14:paraId="17262C77" w14:textId="77777777" w:rsidR="00DA3C15" w:rsidRPr="00DA3C15" w:rsidRDefault="00DA3C15" w:rsidP="00136280">
            <w:pPr>
              <w:rPr>
                <w:rFonts w:cstheme="minorHAnsi"/>
                <w:sz w:val="16"/>
                <w:szCs w:val="16"/>
              </w:rPr>
            </w:pPr>
          </w:p>
        </w:tc>
        <w:tc>
          <w:tcPr>
            <w:tcW w:w="1254" w:type="dxa"/>
            <w:vMerge/>
          </w:tcPr>
          <w:p w14:paraId="2E849BC9" w14:textId="77777777" w:rsidR="00DA3C15" w:rsidRPr="00DA3C15" w:rsidRDefault="00DA3C15" w:rsidP="00136280">
            <w:pPr>
              <w:jc w:val="center"/>
              <w:rPr>
                <w:rFonts w:cstheme="minorHAnsi"/>
                <w:sz w:val="16"/>
                <w:szCs w:val="16"/>
              </w:rPr>
            </w:pPr>
          </w:p>
        </w:tc>
      </w:tr>
      <w:tr w:rsidR="00DA3C15" w:rsidRPr="00DA3C15" w14:paraId="361EF793" w14:textId="77777777" w:rsidTr="00DA3C15">
        <w:trPr>
          <w:jc w:val="center"/>
        </w:trPr>
        <w:tc>
          <w:tcPr>
            <w:tcW w:w="1785" w:type="dxa"/>
            <w:vMerge/>
          </w:tcPr>
          <w:p w14:paraId="6A9CC64F" w14:textId="77777777" w:rsidR="00DA3C15" w:rsidRPr="00DA3C15" w:rsidRDefault="00DA3C15" w:rsidP="00136280">
            <w:pPr>
              <w:rPr>
                <w:rFonts w:cstheme="minorHAnsi"/>
                <w:sz w:val="16"/>
                <w:szCs w:val="16"/>
              </w:rPr>
            </w:pPr>
          </w:p>
        </w:tc>
        <w:tc>
          <w:tcPr>
            <w:tcW w:w="3157" w:type="dxa"/>
          </w:tcPr>
          <w:p w14:paraId="1B70B997" w14:textId="77777777" w:rsidR="00DA3C15" w:rsidRPr="00DA3C15" w:rsidRDefault="00DA3C15" w:rsidP="00136280">
            <w:pPr>
              <w:rPr>
                <w:rFonts w:cstheme="minorHAnsi"/>
                <w:sz w:val="16"/>
                <w:szCs w:val="16"/>
              </w:rPr>
            </w:pPr>
            <w:r w:rsidRPr="00DA3C15">
              <w:rPr>
                <w:rFonts w:cstheme="minorHAnsi"/>
                <w:sz w:val="16"/>
                <w:szCs w:val="16"/>
              </w:rPr>
              <w:t>Adsorbable organically bound halogens (AOX)</w:t>
            </w:r>
          </w:p>
        </w:tc>
        <w:tc>
          <w:tcPr>
            <w:tcW w:w="1422" w:type="dxa"/>
            <w:vMerge/>
          </w:tcPr>
          <w:p w14:paraId="4E8C971E" w14:textId="77777777" w:rsidR="00DA3C15" w:rsidRPr="00DA3C15" w:rsidRDefault="00DA3C15" w:rsidP="00136280">
            <w:pPr>
              <w:rPr>
                <w:rFonts w:cstheme="minorHAnsi"/>
                <w:sz w:val="16"/>
                <w:szCs w:val="16"/>
              </w:rPr>
            </w:pPr>
          </w:p>
        </w:tc>
        <w:tc>
          <w:tcPr>
            <w:tcW w:w="1378" w:type="dxa"/>
            <w:vMerge/>
          </w:tcPr>
          <w:p w14:paraId="028E3BC2" w14:textId="77777777" w:rsidR="00DA3C15" w:rsidRPr="00DA3C15" w:rsidRDefault="00DA3C15" w:rsidP="00136280">
            <w:pPr>
              <w:rPr>
                <w:rFonts w:cstheme="minorHAnsi"/>
                <w:sz w:val="16"/>
                <w:szCs w:val="16"/>
              </w:rPr>
            </w:pPr>
          </w:p>
        </w:tc>
        <w:tc>
          <w:tcPr>
            <w:tcW w:w="1254" w:type="dxa"/>
            <w:vMerge/>
          </w:tcPr>
          <w:p w14:paraId="25973D7F" w14:textId="77777777" w:rsidR="00DA3C15" w:rsidRPr="00DA3C15" w:rsidRDefault="00DA3C15" w:rsidP="00136280">
            <w:pPr>
              <w:jc w:val="center"/>
              <w:rPr>
                <w:rFonts w:cstheme="minorHAnsi"/>
                <w:sz w:val="16"/>
                <w:szCs w:val="16"/>
              </w:rPr>
            </w:pPr>
          </w:p>
        </w:tc>
      </w:tr>
      <w:tr w:rsidR="00DA3C15" w:rsidRPr="00DA3C15" w14:paraId="664C0EEE" w14:textId="77777777" w:rsidTr="00DA3C15">
        <w:trPr>
          <w:jc w:val="center"/>
        </w:trPr>
        <w:tc>
          <w:tcPr>
            <w:tcW w:w="1785" w:type="dxa"/>
            <w:vMerge/>
          </w:tcPr>
          <w:p w14:paraId="5D0C82FD" w14:textId="77777777" w:rsidR="00DA3C15" w:rsidRPr="00DA3C15" w:rsidRDefault="00DA3C15" w:rsidP="00136280">
            <w:pPr>
              <w:rPr>
                <w:rFonts w:cstheme="minorHAnsi"/>
                <w:sz w:val="16"/>
                <w:szCs w:val="16"/>
              </w:rPr>
            </w:pPr>
          </w:p>
        </w:tc>
        <w:tc>
          <w:tcPr>
            <w:tcW w:w="3157" w:type="dxa"/>
          </w:tcPr>
          <w:p w14:paraId="440A13C7" w14:textId="77777777" w:rsidR="00DA3C15" w:rsidRPr="00DA3C15" w:rsidRDefault="00DA3C15" w:rsidP="00136280">
            <w:pPr>
              <w:rPr>
                <w:rFonts w:cstheme="minorHAnsi"/>
                <w:sz w:val="16"/>
                <w:szCs w:val="16"/>
              </w:rPr>
            </w:pPr>
            <w:r w:rsidRPr="00DA3C15">
              <w:rPr>
                <w:rFonts w:cstheme="minorHAnsi"/>
                <w:sz w:val="16"/>
                <w:szCs w:val="16"/>
              </w:rPr>
              <w:t>Polychlorinated biphenyls (PCBs)</w:t>
            </w:r>
          </w:p>
        </w:tc>
        <w:tc>
          <w:tcPr>
            <w:tcW w:w="1422" w:type="dxa"/>
            <w:vMerge/>
          </w:tcPr>
          <w:p w14:paraId="51A59A66" w14:textId="77777777" w:rsidR="00DA3C15" w:rsidRPr="00DA3C15" w:rsidRDefault="00DA3C15" w:rsidP="00136280">
            <w:pPr>
              <w:rPr>
                <w:rFonts w:cstheme="minorHAnsi"/>
                <w:sz w:val="16"/>
                <w:szCs w:val="16"/>
              </w:rPr>
            </w:pPr>
          </w:p>
        </w:tc>
        <w:tc>
          <w:tcPr>
            <w:tcW w:w="1378" w:type="dxa"/>
            <w:vMerge/>
          </w:tcPr>
          <w:p w14:paraId="5921247A" w14:textId="77777777" w:rsidR="00DA3C15" w:rsidRPr="00DA3C15" w:rsidRDefault="00DA3C15" w:rsidP="00136280">
            <w:pPr>
              <w:rPr>
                <w:rFonts w:cstheme="minorHAnsi"/>
                <w:sz w:val="16"/>
                <w:szCs w:val="16"/>
              </w:rPr>
            </w:pPr>
          </w:p>
        </w:tc>
        <w:tc>
          <w:tcPr>
            <w:tcW w:w="1254" w:type="dxa"/>
            <w:vMerge/>
          </w:tcPr>
          <w:p w14:paraId="67814BF6" w14:textId="77777777" w:rsidR="00DA3C15" w:rsidRPr="00DA3C15" w:rsidRDefault="00DA3C15" w:rsidP="00136280">
            <w:pPr>
              <w:jc w:val="center"/>
              <w:rPr>
                <w:rFonts w:cstheme="minorHAnsi"/>
                <w:sz w:val="16"/>
                <w:szCs w:val="16"/>
              </w:rPr>
            </w:pPr>
          </w:p>
        </w:tc>
      </w:tr>
    </w:tbl>
    <w:p w14:paraId="30A97E4B" w14:textId="77777777" w:rsidR="00D630AF" w:rsidRDefault="00D630AF" w:rsidP="00C65720">
      <w:pPr>
        <w:jc w:val="both"/>
        <w:rPr>
          <w:rFonts w:cstheme="minorHAnsi"/>
          <w:bCs/>
        </w:rPr>
      </w:pPr>
    </w:p>
    <w:p w14:paraId="7148C592" w14:textId="77777777" w:rsidR="00C62CD8" w:rsidRPr="00B02838" w:rsidRDefault="00C62CD8" w:rsidP="00B02838">
      <w:pPr>
        <w:pStyle w:val="Heading2"/>
        <w:rPr>
          <w:lang w:val="en-GB"/>
        </w:rPr>
      </w:pPr>
      <w:bookmarkStart w:id="232" w:name="_Toc229036293"/>
      <w:r w:rsidRPr="00B02838">
        <w:rPr>
          <w:rStyle w:val="Strong"/>
          <w:b/>
          <w:bCs w:val="0"/>
          <w:lang w:val="en-GB"/>
        </w:rPr>
        <w:t>10.5 Sampling protocols</w:t>
      </w:r>
      <w:bookmarkEnd w:id="232"/>
    </w:p>
    <w:p w14:paraId="0FD05C96" w14:textId="77777777" w:rsidR="00C62CD8" w:rsidRPr="00C62CD8" w:rsidRDefault="00C62CD8" w:rsidP="00C62CD8">
      <w:pPr>
        <w:jc w:val="both"/>
      </w:pPr>
      <w:r w:rsidRPr="00C62CD8">
        <w:t xml:space="preserve">Water sampling should be carried out simultaneously at all monitoring stations or, where this is not feasible, within the shortest possible time interval. Sampling shall be performed by authorised </w:t>
      </w:r>
      <w:r w:rsidRPr="00C62CD8">
        <w:lastRenderedPageBreak/>
        <w:t>personnel from accredited laboratories responsible for physicochemical water analyses, in accordance with applicable standards for groundwater and surface water sampling.</w:t>
      </w:r>
    </w:p>
    <w:p w14:paraId="477C922D" w14:textId="77777777" w:rsidR="00C62CD8" w:rsidRPr="00C62CD8" w:rsidRDefault="00C62CD8" w:rsidP="00C62CD8">
      <w:pPr>
        <w:jc w:val="both"/>
      </w:pPr>
      <w:r w:rsidRPr="00C62CD8">
        <w:t>Sampling for biological monitoring should be conducted concurrently with sampling for physicochemical analyses of water from springs and surface waters.</w:t>
      </w:r>
    </w:p>
    <w:p w14:paraId="3AB93E12" w14:textId="77777777" w:rsidR="00C62CD8" w:rsidRPr="00D630AF" w:rsidRDefault="00C62CD8" w:rsidP="00C65720">
      <w:pPr>
        <w:jc w:val="both"/>
        <w:rPr>
          <w:rFonts w:cstheme="minorHAnsi"/>
          <w:bCs/>
          <w:sz w:val="16"/>
          <w:szCs w:val="16"/>
        </w:rPr>
      </w:pPr>
    </w:p>
    <w:p w14:paraId="76B93781" w14:textId="77777777" w:rsidR="00C62CD8" w:rsidRPr="00B02838" w:rsidRDefault="00C62CD8" w:rsidP="00B02838">
      <w:pPr>
        <w:pStyle w:val="Heading2"/>
        <w:rPr>
          <w:lang w:val="en-GB"/>
        </w:rPr>
      </w:pPr>
      <w:bookmarkStart w:id="233" w:name="_Toc229036294"/>
      <w:r w:rsidRPr="00B02838">
        <w:rPr>
          <w:rStyle w:val="Strong"/>
          <w:b/>
          <w:bCs w:val="0"/>
          <w:lang w:val="en-GB"/>
        </w:rPr>
        <w:t>10.6 Integration of existing national monitoring networks</w:t>
      </w:r>
      <w:bookmarkEnd w:id="233"/>
    </w:p>
    <w:p w14:paraId="41A9DFF5" w14:textId="184AE69E" w:rsidR="00C62CD8" w:rsidRDefault="00C62CD8" w:rsidP="00C62CD8">
      <w:pPr>
        <w:jc w:val="both"/>
      </w:pPr>
      <w:r>
        <w:t>The establishment of a multi-purpose monitoring network is primarily intended to enhance existing national monitoring networks in each country, thereby enabling the optimal management of Neretva TBA. The final proposal for the establishment of the multi-purpose monitoring system will be developed following an assessment of the groundwater balance, an evaluation of the quantitative status of groundwater, the preparation of groundwater vulnerability maps, the development of a register of potential pollution sources, and a comprehensive risk assessment of groundwater and surface water pollution.</w:t>
      </w:r>
    </w:p>
    <w:p w14:paraId="2D018349" w14:textId="77777777" w:rsidR="00C62CD8" w:rsidRDefault="00C62CD8" w:rsidP="00C62CD8">
      <w:pPr>
        <w:jc w:val="both"/>
      </w:pPr>
      <w:r>
        <w:t>Upon completion of the final proposal for the multi-purpose monitoring network, a multi-criteria analysis of the existing monitoring systems will be carried out, and recommendations for their further improvement will be formulated.</w:t>
      </w:r>
    </w:p>
    <w:p w14:paraId="47529883" w14:textId="77777777" w:rsidR="00C62CD8" w:rsidRPr="00C62CD8" w:rsidRDefault="00C62CD8" w:rsidP="00C62CD8">
      <w:pPr>
        <w:pStyle w:val="NoSpacing"/>
        <w:rPr>
          <w:sz w:val="8"/>
          <w:szCs w:val="8"/>
        </w:rPr>
      </w:pPr>
    </w:p>
    <w:p w14:paraId="0A1864FF" w14:textId="77777777" w:rsidR="00C62CD8" w:rsidRPr="00B02838" w:rsidRDefault="00C62CD8" w:rsidP="00B02838">
      <w:pPr>
        <w:pStyle w:val="Heading2"/>
        <w:rPr>
          <w:lang w:val="en-GB"/>
        </w:rPr>
      </w:pPr>
      <w:bookmarkStart w:id="234" w:name="_Toc229036295"/>
      <w:r w:rsidRPr="00B02838">
        <w:rPr>
          <w:rStyle w:val="Strong"/>
          <w:b/>
          <w:bCs w:val="0"/>
          <w:lang w:val="en-GB"/>
        </w:rPr>
        <w:t>10.7 Data collection, validation, and storage</w:t>
      </w:r>
      <w:bookmarkEnd w:id="234"/>
    </w:p>
    <w:p w14:paraId="64E7424E" w14:textId="77777777" w:rsidR="00C62CD8" w:rsidRPr="00C62CD8" w:rsidRDefault="00C62CD8" w:rsidP="00C62CD8">
      <w:pPr>
        <w:jc w:val="both"/>
      </w:pPr>
      <w:r w:rsidRPr="00C62CD8">
        <w:t>Data collection will commence once the parameters for each monitoring programme have been finalised and sampling and water analyses have been initiated. Data validation and evaluation will be performed within the laboratories where water analyses are conducted, as well as by the national agencies in each country responsible for groundwater and surface water monitoring.</w:t>
      </w:r>
    </w:p>
    <w:p w14:paraId="16E7A8F8" w14:textId="2B7FD629" w:rsidR="00C62CD8" w:rsidRPr="00C62CD8" w:rsidRDefault="00C62CD8" w:rsidP="00C62CD8">
      <w:pPr>
        <w:jc w:val="both"/>
      </w:pPr>
      <w:r>
        <w:t>A</w:t>
      </w:r>
      <w:r w:rsidRPr="00C62CD8">
        <w:t>ll validated data will be stored in a harmonised database managed by the competent monitoring agency in each country.</w:t>
      </w:r>
    </w:p>
    <w:p w14:paraId="4D0FD07B" w14:textId="77777777" w:rsidR="00C62CD8" w:rsidRPr="00C62CD8" w:rsidRDefault="00C62CD8" w:rsidP="00C62CD8">
      <w:pPr>
        <w:rPr>
          <w:bCs/>
          <w:sz w:val="8"/>
          <w:szCs w:val="8"/>
        </w:rPr>
      </w:pPr>
    </w:p>
    <w:p w14:paraId="3A44C16D" w14:textId="77777777" w:rsidR="00C62CD8" w:rsidRPr="00B02838" w:rsidRDefault="00C62CD8" w:rsidP="00B02838">
      <w:pPr>
        <w:pStyle w:val="Heading2"/>
        <w:rPr>
          <w:lang w:val="en-GB"/>
        </w:rPr>
      </w:pPr>
      <w:bookmarkStart w:id="235" w:name="_Toc229036296"/>
      <w:r w:rsidRPr="00B02838">
        <w:rPr>
          <w:rStyle w:val="Strong"/>
          <w:b/>
          <w:bCs w:val="0"/>
          <w:lang w:val="en-GB"/>
        </w:rPr>
        <w:t>10.8 Quality assurance and standardisation</w:t>
      </w:r>
      <w:bookmarkEnd w:id="235"/>
    </w:p>
    <w:p w14:paraId="7ABD3475" w14:textId="2D632444" w:rsidR="00C62CD8" w:rsidRDefault="00C62CD8" w:rsidP="00C62CD8">
      <w:pPr>
        <w:jc w:val="both"/>
      </w:pPr>
      <w:r w:rsidRPr="00C62CD8">
        <w:t>Quality assurance and standardisation will be ensured following the definition and establishment of parameters for each monitoring programme, together with the prescribed sampling methods and sampling frequency. In addition, accredited laboratories will be engaged for both the sampling and analysis of water samples to ensure data reliability and comparability.</w:t>
      </w:r>
    </w:p>
    <w:p w14:paraId="0AC9F5D0" w14:textId="77777777" w:rsidR="00C62CD8" w:rsidRPr="00C62CD8" w:rsidRDefault="00C62CD8" w:rsidP="00C62CD8">
      <w:pPr>
        <w:jc w:val="both"/>
        <w:rPr>
          <w:sz w:val="8"/>
          <w:szCs w:val="8"/>
        </w:rPr>
      </w:pPr>
    </w:p>
    <w:p w14:paraId="477607DD" w14:textId="77777777" w:rsidR="00C62CD8" w:rsidRPr="00B02838" w:rsidRDefault="00C62CD8" w:rsidP="00B02838">
      <w:pPr>
        <w:pStyle w:val="Heading2"/>
        <w:rPr>
          <w:lang w:val="en-GB"/>
        </w:rPr>
      </w:pPr>
      <w:bookmarkStart w:id="236" w:name="_Toc229036297"/>
      <w:r w:rsidRPr="00B02838">
        <w:rPr>
          <w:rStyle w:val="Strong"/>
          <w:b/>
          <w:bCs w:val="0"/>
          <w:lang w:val="en-GB"/>
        </w:rPr>
        <w:t>10.9 Harmonised data exchange and reporting protocols</w:t>
      </w:r>
      <w:bookmarkEnd w:id="236"/>
    </w:p>
    <w:p w14:paraId="16188A8C" w14:textId="77777777" w:rsidR="00C62CD8" w:rsidRDefault="00C62CD8" w:rsidP="00C62CD8">
      <w:pPr>
        <w:jc w:val="both"/>
      </w:pPr>
      <w:r>
        <w:t>Harmonised protocols for data exchange will be developed following the establishment of coordinated databases and the identification of the agencies responsible for the implementation of groundwater and surface water monitoring in each country.</w:t>
      </w:r>
    </w:p>
    <w:p w14:paraId="4687C77E" w14:textId="77777777" w:rsidR="00C62CD8" w:rsidRDefault="00C62CD8" w:rsidP="00C62CD8">
      <w:pPr>
        <w:jc w:val="both"/>
      </w:pPr>
      <w:r>
        <w:t>Each responsible agency will submit annual reports on data exchange to the competent ministry of its respective country, as well as to the interstate commission for water management.</w:t>
      </w:r>
    </w:p>
    <w:p w14:paraId="5DDD8B06" w14:textId="77777777" w:rsidR="00C62CD8" w:rsidRPr="00C62CD8" w:rsidRDefault="00C62CD8" w:rsidP="00C62CD8">
      <w:pPr>
        <w:jc w:val="both"/>
        <w:rPr>
          <w:sz w:val="8"/>
          <w:szCs w:val="8"/>
        </w:rPr>
      </w:pPr>
    </w:p>
    <w:p w14:paraId="00CD3629" w14:textId="77777777" w:rsidR="00C62CD8" w:rsidRPr="00B02838" w:rsidRDefault="00C62CD8" w:rsidP="00B02838">
      <w:pPr>
        <w:pStyle w:val="Heading2"/>
        <w:rPr>
          <w:lang w:val="en-GB"/>
        </w:rPr>
      </w:pPr>
      <w:bookmarkStart w:id="237" w:name="_Toc229036298"/>
      <w:r w:rsidRPr="00B02838">
        <w:rPr>
          <w:rStyle w:val="Strong"/>
          <w:b/>
          <w:bCs w:val="0"/>
          <w:lang w:val="en-GB"/>
        </w:rPr>
        <w:lastRenderedPageBreak/>
        <w:t>10.10 GIS integration and visualisation</w:t>
      </w:r>
      <w:bookmarkEnd w:id="237"/>
    </w:p>
    <w:p w14:paraId="5BA364FC" w14:textId="77777777" w:rsidR="00C62CD8" w:rsidRPr="00C62CD8" w:rsidRDefault="00C62CD8" w:rsidP="00C62CD8">
      <w:pPr>
        <w:jc w:val="both"/>
      </w:pPr>
      <w:r w:rsidRPr="00C62CD8">
        <w:t>GIS integration and visualisation will be implemented once all monitoring stations have been finalised. The spatial representation of monitoring station locations will constitute one of the layers within the DIKTAS II GIS project, which will be accessible online.</w:t>
      </w:r>
    </w:p>
    <w:p w14:paraId="26660A31" w14:textId="137561BD" w:rsidR="00C62CD8" w:rsidRPr="00C62CD8" w:rsidRDefault="00C62CD8" w:rsidP="00C62CD8">
      <w:pPr>
        <w:jc w:val="both"/>
      </w:pPr>
      <w:r w:rsidRPr="00C62CD8">
        <w:t>After enough data points have been collected and processed, the status of water quality and quantity at individual monitoring stations will be visualised within the GIS environment.</w:t>
      </w:r>
    </w:p>
    <w:p w14:paraId="74FAEBA6" w14:textId="77777777" w:rsidR="00C62CD8" w:rsidRPr="00C62CD8" w:rsidRDefault="00C62CD8" w:rsidP="00C62CD8">
      <w:pPr>
        <w:rPr>
          <w:bCs/>
          <w:sz w:val="8"/>
          <w:szCs w:val="8"/>
        </w:rPr>
      </w:pPr>
    </w:p>
    <w:p w14:paraId="2AA0BEC9" w14:textId="77777777" w:rsidR="00C62CD8" w:rsidRPr="00B02838" w:rsidRDefault="00C62CD8" w:rsidP="00B02838">
      <w:pPr>
        <w:pStyle w:val="Heading2"/>
        <w:rPr>
          <w:lang w:val="en-GB"/>
        </w:rPr>
      </w:pPr>
      <w:bookmarkStart w:id="238" w:name="_Toc229036299"/>
      <w:r w:rsidRPr="00B02838">
        <w:rPr>
          <w:rStyle w:val="Strong"/>
          <w:b/>
          <w:bCs w:val="0"/>
          <w:lang w:val="en-GB"/>
        </w:rPr>
        <w:t>10.11 Implementation roadmap and action plan</w:t>
      </w:r>
      <w:bookmarkEnd w:id="238"/>
    </w:p>
    <w:p w14:paraId="73C3E35B" w14:textId="77777777" w:rsidR="00C62CD8" w:rsidRDefault="00C62CD8" w:rsidP="00C62CD8">
      <w:pPr>
        <w:jc w:val="both"/>
      </w:pPr>
      <w:r>
        <w:t>Once all the previously defined prerequisites for the establishment of a multi-purpose monitoring network for groundwater and surface waters have been fulfilled, a detailed implementation roadmap will be developed. Within this framework, an action plan will be prepared, defining priority measures, sequencing of activities, and timelines for implementation.</w:t>
      </w:r>
    </w:p>
    <w:p w14:paraId="5D7874D6" w14:textId="77777777" w:rsidR="00C62CD8" w:rsidRDefault="00C62CD8" w:rsidP="00C62CD8">
      <w:pPr>
        <w:rPr>
          <w:bCs/>
        </w:rPr>
      </w:pPr>
    </w:p>
    <w:p w14:paraId="22C03AD3" w14:textId="77777777" w:rsidR="003E57F4" w:rsidRPr="002F7519" w:rsidRDefault="003E57F4" w:rsidP="003E57F4">
      <w:pPr>
        <w:pStyle w:val="Heading1"/>
        <w:rPr>
          <w:lang w:val="en-GB"/>
        </w:rPr>
      </w:pPr>
      <w:bookmarkStart w:id="239" w:name="_Toc229036300"/>
      <w:r w:rsidRPr="002F7519">
        <w:rPr>
          <w:szCs w:val="28"/>
          <w:lang w:val="en-GB"/>
        </w:rPr>
        <w:t xml:space="preserve">11. </w:t>
      </w:r>
      <w:r w:rsidRPr="002F7519">
        <w:rPr>
          <w:lang w:val="en-GB"/>
        </w:rPr>
        <w:t>Guidelines for establishing remediation measures for contaminated aquifer zones</w:t>
      </w:r>
      <w:bookmarkEnd w:id="239"/>
      <w:r w:rsidRPr="002F7519">
        <w:rPr>
          <w:lang w:val="en-GB"/>
        </w:rPr>
        <w:t xml:space="preserve"> </w:t>
      </w:r>
    </w:p>
    <w:p w14:paraId="439D6746" w14:textId="48CE6F4F" w:rsidR="003E57F4" w:rsidRPr="003E57F4" w:rsidRDefault="003E57F4" w:rsidP="003E57F4">
      <w:pPr>
        <w:jc w:val="both"/>
        <w:rPr>
          <w:rFonts w:ascii="Calibri" w:hAnsi="Calibri" w:cs="Calibri"/>
        </w:rPr>
      </w:pPr>
      <w:r w:rsidRPr="003E57F4">
        <w:rPr>
          <w:rFonts w:ascii="Calibri" w:hAnsi="Calibri" w:cs="Calibri"/>
        </w:rPr>
        <w:t>Groundwater resources within Neretva TBA are increasingly exposed to contamination pressures, primarily associated with agricultural activities, inadequate wastewater management and other diffuse and point sources. The karst nature of the aquifer system, characterised by high permeability, rapid groundwater flow and limited natural attenuation capacity, significantly amplifies the risk of pollutant transport and persistence within the subsurface.</w:t>
      </w:r>
    </w:p>
    <w:p w14:paraId="088FD23B" w14:textId="77777777" w:rsidR="003E57F4" w:rsidRPr="003E57F4" w:rsidRDefault="003E57F4" w:rsidP="003E57F4">
      <w:pPr>
        <w:jc w:val="both"/>
        <w:rPr>
          <w:rFonts w:ascii="Calibri" w:hAnsi="Calibri" w:cs="Calibri"/>
        </w:rPr>
      </w:pPr>
      <w:r w:rsidRPr="003E57F4">
        <w:rPr>
          <w:rFonts w:ascii="Calibri" w:hAnsi="Calibri" w:cs="Calibri"/>
        </w:rPr>
        <w:t>Contamination of groundwater in such environments presents specific challenges due to the complexity of flow pathways, strong hydraulic connectivity and the difficulty of predicting contaminant behaviour. Pollutants introduced in recharge zones may be rapidly transported over large distances, affecting downstream receptors including drinking water sources and groundwater-dependent ecosystems. These conditions require a targeted and technically robust approach to remediation that is adapted to the specific characteristics of karst systems.</w:t>
      </w:r>
    </w:p>
    <w:p w14:paraId="5D63D397" w14:textId="77777777" w:rsidR="003E57F4" w:rsidRDefault="003E57F4" w:rsidP="003E57F4">
      <w:pPr>
        <w:pStyle w:val="Heading2"/>
        <w:rPr>
          <w:lang w:val="en-GB"/>
        </w:rPr>
      </w:pPr>
    </w:p>
    <w:p w14:paraId="1080E732" w14:textId="38C6AB69" w:rsidR="003E57F4" w:rsidRPr="003E57F4" w:rsidRDefault="003E57F4" w:rsidP="003E57F4">
      <w:pPr>
        <w:pStyle w:val="Heading2"/>
        <w:rPr>
          <w:lang w:val="en-GB"/>
        </w:rPr>
      </w:pPr>
      <w:bookmarkStart w:id="240" w:name="_Toc229036301"/>
      <w:r w:rsidRPr="003E57F4">
        <w:rPr>
          <w:lang w:val="en-GB"/>
        </w:rPr>
        <w:t xml:space="preserve">11.1 Remediation </w:t>
      </w:r>
      <w:r>
        <w:rPr>
          <w:lang w:val="en-GB"/>
        </w:rPr>
        <w:t>p</w:t>
      </w:r>
      <w:r w:rsidRPr="003E57F4">
        <w:rPr>
          <w:lang w:val="en-GB"/>
        </w:rPr>
        <w:t xml:space="preserve">urpose and </w:t>
      </w:r>
      <w:r>
        <w:rPr>
          <w:lang w:val="en-GB"/>
        </w:rPr>
        <w:t>o</w:t>
      </w:r>
      <w:r w:rsidRPr="003E57F4">
        <w:rPr>
          <w:lang w:val="en-GB"/>
        </w:rPr>
        <w:t>bjectives (</w:t>
      </w:r>
      <w:r>
        <w:rPr>
          <w:lang w:val="en-GB"/>
        </w:rPr>
        <w:t>a</w:t>
      </w:r>
      <w:r w:rsidRPr="003E57F4">
        <w:rPr>
          <w:lang w:val="en-GB"/>
        </w:rPr>
        <w:t>griculture-</w:t>
      </w:r>
      <w:r>
        <w:rPr>
          <w:lang w:val="en-GB"/>
        </w:rPr>
        <w:t>r</w:t>
      </w:r>
      <w:r w:rsidRPr="003E57F4">
        <w:rPr>
          <w:lang w:val="en-GB"/>
        </w:rPr>
        <w:t xml:space="preserve">elated </w:t>
      </w:r>
      <w:r>
        <w:rPr>
          <w:lang w:val="en-GB"/>
        </w:rPr>
        <w:t>p</w:t>
      </w:r>
      <w:r w:rsidRPr="003E57F4">
        <w:rPr>
          <w:lang w:val="en-GB"/>
        </w:rPr>
        <w:t xml:space="preserve">ollution and </w:t>
      </w:r>
      <w:r>
        <w:rPr>
          <w:lang w:val="en-GB"/>
        </w:rPr>
        <w:t>w</w:t>
      </w:r>
      <w:r w:rsidRPr="003E57F4">
        <w:rPr>
          <w:lang w:val="en-GB"/>
        </w:rPr>
        <w:t>astewater)</w:t>
      </w:r>
      <w:bookmarkEnd w:id="240"/>
    </w:p>
    <w:p w14:paraId="3C3220C3" w14:textId="0E89403D" w:rsidR="003E57F4" w:rsidRPr="003E57F4" w:rsidRDefault="003E57F4" w:rsidP="003E57F4">
      <w:pPr>
        <w:jc w:val="both"/>
        <w:rPr>
          <w:rFonts w:cstheme="minorHAnsi"/>
        </w:rPr>
      </w:pPr>
      <w:r w:rsidRPr="003E57F4">
        <w:rPr>
          <w:rFonts w:cstheme="minorHAnsi"/>
        </w:rPr>
        <w:t>The purpose of remediation in contaminated aquifer zones within Neretva TBA is to restore and protect groundwater quality in accordance with the objectives of the Water Framework Directive (2000/60/EC), particularly the achievement of good chemical status and the long-term sustainability of water resources. In karst environments, where high permeability, rapid infiltration, and strong connectivity between surface and groundwater systems prevail, contamination from agricultural activities and inadequate wastewater management represents a significant risk to both environmental and human health.</w:t>
      </w:r>
    </w:p>
    <w:p w14:paraId="6A1FAA23" w14:textId="77777777" w:rsidR="003E57F4" w:rsidRPr="003E57F4" w:rsidRDefault="003E57F4" w:rsidP="003E57F4">
      <w:pPr>
        <w:jc w:val="both"/>
        <w:rPr>
          <w:rFonts w:cstheme="minorHAnsi"/>
        </w:rPr>
      </w:pPr>
      <w:r w:rsidRPr="003E57F4">
        <w:rPr>
          <w:rFonts w:cstheme="minorHAnsi"/>
        </w:rPr>
        <w:t>Due to the limited natural attenuation capacity of karst aquifers, contaminants such as nitrates, phosphates, pesticides, and organic matter can be rapidly transported from the surface into groundwater systems and further towards springs and surface waters. As a result, remediation must not rely solely on natural recovery processes but should be based on a combination of preventive and corrective measures targeting both pollution sources and transport pathways.</w:t>
      </w:r>
    </w:p>
    <w:p w14:paraId="5BCEDDA0" w14:textId="77777777" w:rsidR="003E57F4" w:rsidRPr="003E57F4" w:rsidRDefault="003E57F4" w:rsidP="003E57F4">
      <w:pPr>
        <w:jc w:val="both"/>
        <w:rPr>
          <w:rFonts w:cstheme="minorHAnsi"/>
        </w:rPr>
      </w:pPr>
      <w:r w:rsidRPr="003E57F4">
        <w:rPr>
          <w:rFonts w:cstheme="minorHAnsi"/>
        </w:rPr>
        <w:lastRenderedPageBreak/>
        <w:t>The main objective of remediation is to reduce contaminant inputs and concentrations to levels that comply with EU regulatory standards while ensuring the protection of sensitive receptors, particularly groundwater bodies used for drinking water supply. This includes the reduction of nutrient loads originating from agricultural practices, the control of pesticide uses and transport, and the mitigation of impacts related to untreated or insufficiently treated wastewater. Achieving these objectives requires an integrated approach that combines land management measures, infrastructure improvements, and targeted technical interventions.</w:t>
      </w:r>
    </w:p>
    <w:p w14:paraId="2A1925F5" w14:textId="77777777" w:rsidR="003E57F4" w:rsidRPr="003E57F4" w:rsidRDefault="003E57F4" w:rsidP="003E57F4">
      <w:pPr>
        <w:jc w:val="both"/>
        <w:rPr>
          <w:rFonts w:cstheme="minorHAnsi"/>
        </w:rPr>
      </w:pPr>
      <w:r w:rsidRPr="003E57F4">
        <w:rPr>
          <w:rFonts w:cstheme="minorHAnsi"/>
        </w:rPr>
        <w:t>In agricultural areas, remediation efforts focus on optimizing fertilizer application, reducing nutrient losses, and promoting sustainable practices that minimize leaching into groundwater. This involves aligning nitrogen inputs with crop requirements, improving manure management, and introducing measures such as buffer zones and cover crops. At the same time, reducing pesticide contamination requires stricter control of application practices, the use of environmentally safer alternatives, and prevention of transport into the subsurface.</w:t>
      </w:r>
    </w:p>
    <w:p w14:paraId="21D1F1E3" w14:textId="77777777" w:rsidR="003E57F4" w:rsidRPr="003E57F4" w:rsidRDefault="003E57F4" w:rsidP="003E57F4">
      <w:pPr>
        <w:jc w:val="both"/>
        <w:rPr>
          <w:rFonts w:cstheme="minorHAnsi"/>
        </w:rPr>
      </w:pPr>
      <w:r w:rsidRPr="003E57F4">
        <w:rPr>
          <w:rFonts w:cstheme="minorHAnsi"/>
        </w:rPr>
        <w:t>Wastewater-related objectives are centred on reducing the discharge of untreated or partially treated effluents into the environment, preventing their direct infiltration into karst systems, and improving the efficiency of collection and treatment systems. These measures are essential for limiting the input of organic matter, nutrients, and microbiological contaminants, particularly in areas with strong hydraulic connectivity between surface and groundwater.</w:t>
      </w:r>
    </w:p>
    <w:p w14:paraId="0E3948B1" w14:textId="77777777" w:rsidR="003E57F4" w:rsidRPr="003E57F4" w:rsidRDefault="003E57F4" w:rsidP="003E57F4">
      <w:pPr>
        <w:jc w:val="both"/>
        <w:rPr>
          <w:rFonts w:cstheme="minorHAnsi"/>
        </w:rPr>
      </w:pPr>
      <w:r w:rsidRPr="003E57F4">
        <w:rPr>
          <w:rFonts w:cstheme="minorHAnsi"/>
        </w:rPr>
        <w:t>Given the heterogeneity and dynamic nature of karst systems, remediation objectives must be adaptive and based on continuous monitoring and evaluation. Attention must be given to recharge zones, sinkholes, and areas directly connected to springs, as these represent critical points for contaminant entry into the aquifer. The implementation of remediation measures in such zones provides the highest potential for reducing overall contamination risks.</w:t>
      </w:r>
    </w:p>
    <w:p w14:paraId="46A65CC2" w14:textId="2E82F412" w:rsidR="003E57F4" w:rsidRPr="003E57F4" w:rsidRDefault="003E57F4" w:rsidP="003E57F4">
      <w:pPr>
        <w:jc w:val="both"/>
        <w:rPr>
          <w:rFonts w:cstheme="minorHAnsi"/>
        </w:rPr>
      </w:pPr>
      <w:r>
        <w:rPr>
          <w:rFonts w:cstheme="minorHAnsi"/>
        </w:rPr>
        <w:t>T</w:t>
      </w:r>
      <w:r w:rsidRPr="003E57F4">
        <w:rPr>
          <w:rFonts w:cstheme="minorHAnsi"/>
        </w:rPr>
        <w:t>he purpose of remediation is not only to achieve compliance with regulatory thresholds but also to ensure the long-term protection of groundwater resources and the ecological integrity of connected surface water systems. This requires a coordinated approach that integrates scientific understanding, technical solutions, and management practices tailored to the specific conditions of karst environments.</w:t>
      </w:r>
    </w:p>
    <w:p w14:paraId="78A222E8" w14:textId="77777777" w:rsidR="003E57F4" w:rsidRDefault="003E57F4" w:rsidP="003E57F4">
      <w:pPr>
        <w:pStyle w:val="Heading2"/>
        <w:rPr>
          <w:lang w:val="en-GB"/>
        </w:rPr>
      </w:pPr>
    </w:p>
    <w:p w14:paraId="774149A0" w14:textId="70DA0FEE" w:rsidR="003E57F4" w:rsidRPr="003E57F4" w:rsidRDefault="003E57F4" w:rsidP="003E57F4">
      <w:pPr>
        <w:pStyle w:val="Heading2"/>
        <w:rPr>
          <w:lang w:val="en-GB"/>
        </w:rPr>
      </w:pPr>
      <w:bookmarkStart w:id="241" w:name="_Toc229036302"/>
      <w:r w:rsidRPr="003E57F4">
        <w:rPr>
          <w:lang w:val="en-GB"/>
        </w:rPr>
        <w:t>11.2 Regulatory &amp; policy context</w:t>
      </w:r>
      <w:bookmarkEnd w:id="241"/>
      <w:r w:rsidRPr="003E57F4">
        <w:rPr>
          <w:lang w:val="en-GB"/>
        </w:rPr>
        <w:t xml:space="preserve"> </w:t>
      </w:r>
    </w:p>
    <w:p w14:paraId="1EB28673" w14:textId="4846CF5B" w:rsidR="003E57F4" w:rsidRPr="00990FBC" w:rsidRDefault="003E57F4" w:rsidP="003E57F4">
      <w:pPr>
        <w:jc w:val="both"/>
        <w:rPr>
          <w:rFonts w:ascii="Calibri" w:hAnsi="Calibri" w:cs="Calibri"/>
        </w:rPr>
      </w:pPr>
      <w:r w:rsidRPr="00990FBC">
        <w:rPr>
          <w:rFonts w:ascii="Calibri" w:hAnsi="Calibri" w:cs="Calibri"/>
        </w:rPr>
        <w:t>The regulatory and policy framework relevant to the remediation of contaminated aquifer zones in Neretva TBA draws on the EU water acquis (binding in Croatia and serving as an alignment reference in Bosnia and Herzegovina), bilateral cooperation arrangements, and national legislation governing nitrates, pesticides and wastewater. In a fast</w:t>
      </w:r>
      <w:r w:rsidRPr="00990FBC">
        <w:rPr>
          <w:rFonts w:ascii="Cambria Math" w:hAnsi="Cambria Math" w:cs="Cambria Math"/>
        </w:rPr>
        <w:t>‑</w:t>
      </w:r>
      <w:r w:rsidRPr="00990FBC">
        <w:rPr>
          <w:rFonts w:ascii="Calibri" w:hAnsi="Calibri" w:cs="Calibri"/>
        </w:rPr>
        <w:t>responding coastal system</w:t>
      </w:r>
      <w:r>
        <w:rPr>
          <w:rFonts w:ascii="Calibri" w:hAnsi="Calibri" w:cs="Calibri"/>
        </w:rPr>
        <w:t xml:space="preserve">, </w:t>
      </w:r>
      <w:r w:rsidRPr="00990FBC">
        <w:rPr>
          <w:rFonts w:ascii="Calibri" w:hAnsi="Calibri" w:cs="Calibri"/>
        </w:rPr>
        <w:t xml:space="preserve">characterised by conduit flow, </w:t>
      </w:r>
      <w:proofErr w:type="spellStart"/>
      <w:r w:rsidRPr="00990FBC">
        <w:rPr>
          <w:rFonts w:ascii="Calibri" w:hAnsi="Calibri" w:cs="Calibri"/>
        </w:rPr>
        <w:t>vruljas</w:t>
      </w:r>
      <w:proofErr w:type="spellEnd"/>
      <w:r w:rsidRPr="00990FBC">
        <w:rPr>
          <w:rFonts w:ascii="Calibri" w:hAnsi="Calibri" w:cs="Calibri"/>
        </w:rPr>
        <w:t>, localised salinity pulses, agricultural diffuse loads and uneven wastewater coverage</w:t>
      </w:r>
      <w:r>
        <w:rPr>
          <w:rFonts w:ascii="Calibri" w:hAnsi="Calibri" w:cs="Calibri"/>
        </w:rPr>
        <w:t xml:space="preserve">, </w:t>
      </w:r>
      <w:r w:rsidRPr="00990FBC">
        <w:rPr>
          <w:rFonts w:ascii="Calibri" w:hAnsi="Calibri" w:cs="Calibri"/>
        </w:rPr>
        <w:t>it is recommended that this framework be applied in a way that both prevents further pressures and guides proportionate, risk</w:t>
      </w:r>
      <w:r w:rsidRPr="00990FBC">
        <w:rPr>
          <w:rFonts w:ascii="Cambria Math" w:hAnsi="Cambria Math" w:cs="Cambria Math"/>
        </w:rPr>
        <w:t>‑</w:t>
      </w:r>
      <w:r w:rsidRPr="00990FBC">
        <w:rPr>
          <w:rFonts w:ascii="Calibri" w:hAnsi="Calibri" w:cs="Calibri"/>
        </w:rPr>
        <w:t>based remediation interventions.</w:t>
      </w:r>
    </w:p>
    <w:p w14:paraId="41DC9F0D" w14:textId="77777777" w:rsidR="003E57F4" w:rsidRPr="00990FBC" w:rsidRDefault="003E57F4" w:rsidP="003E57F4">
      <w:pPr>
        <w:jc w:val="both"/>
        <w:rPr>
          <w:rFonts w:ascii="Calibri" w:hAnsi="Calibri" w:cs="Calibri"/>
        </w:rPr>
      </w:pPr>
      <w:r w:rsidRPr="00990FBC">
        <w:rPr>
          <w:rFonts w:ascii="Calibri" w:hAnsi="Calibri" w:cs="Calibri"/>
        </w:rPr>
        <w:t>At the EU level, the Water Framework Directive (2000/60/EC) and Groundwater Directive (2006/118/EC, as amended by 2014/80/EU) provide the central principles for diagnosing groundwater contamination, planning remediation, and evaluating its effectiveness. These Directives outline groundwater body delineation, surveillance and operational monitoring, threshold values, trend reversal, and interactions with surface waters and groundwater</w:t>
      </w:r>
      <w:r w:rsidRPr="00990FBC">
        <w:rPr>
          <w:rFonts w:ascii="Cambria Math" w:hAnsi="Cambria Math" w:cs="Cambria Math"/>
        </w:rPr>
        <w:t>‑</w:t>
      </w:r>
      <w:r w:rsidRPr="00990FBC">
        <w:rPr>
          <w:rFonts w:ascii="Calibri" w:hAnsi="Calibri" w:cs="Calibri"/>
        </w:rPr>
        <w:t>dependent ecosystems. Complementary directives</w:t>
      </w:r>
      <w:r>
        <w:rPr>
          <w:rFonts w:ascii="Calibri" w:hAnsi="Calibri" w:cs="Calibri"/>
        </w:rPr>
        <w:t xml:space="preserve">, </w:t>
      </w:r>
      <w:r w:rsidRPr="00990FBC">
        <w:rPr>
          <w:rFonts w:ascii="Calibri" w:hAnsi="Calibri" w:cs="Calibri"/>
        </w:rPr>
        <w:t xml:space="preserve">including the Urban Waste Water Treatment Directive (91/271/EEC), </w:t>
      </w:r>
      <w:r w:rsidRPr="00990FBC">
        <w:rPr>
          <w:rFonts w:ascii="Calibri" w:hAnsi="Calibri" w:cs="Calibri"/>
        </w:rPr>
        <w:lastRenderedPageBreak/>
        <w:t>Nitrates Directive (91/676/EEC), Environmental Liability Directive (2004/35/EC), and the Habitats (92/43/EEC) and Birds (2009/147/EC) Directives</w:t>
      </w:r>
      <w:r>
        <w:rPr>
          <w:rFonts w:ascii="Calibri" w:hAnsi="Calibri" w:cs="Calibri"/>
        </w:rPr>
        <w:t xml:space="preserve">, </w:t>
      </w:r>
      <w:r w:rsidRPr="00990FBC">
        <w:rPr>
          <w:rFonts w:ascii="Calibri" w:hAnsi="Calibri" w:cs="Calibri"/>
        </w:rPr>
        <w:t>shape expectations for pollution prevention, liability for damage and ecological protection, all of which are relevant for the Neretva delta and coastal habitats. In Croatia these frameworks are already fully implemented, while in BiH continued alignment</w:t>
      </w:r>
      <w:r>
        <w:rPr>
          <w:rFonts w:ascii="Calibri" w:hAnsi="Calibri" w:cs="Calibri"/>
        </w:rPr>
        <w:t xml:space="preserve">, </w:t>
      </w:r>
      <w:r w:rsidRPr="00990FBC">
        <w:rPr>
          <w:rFonts w:ascii="Calibri" w:hAnsi="Calibri" w:cs="Calibri"/>
        </w:rPr>
        <w:t>especially for chemical</w:t>
      </w:r>
      <w:r w:rsidRPr="00990FBC">
        <w:rPr>
          <w:rFonts w:ascii="Cambria Math" w:hAnsi="Cambria Math" w:cs="Cambria Math"/>
        </w:rPr>
        <w:t>‑</w:t>
      </w:r>
      <w:r w:rsidRPr="00990FBC">
        <w:rPr>
          <w:rFonts w:ascii="Calibri" w:hAnsi="Calibri" w:cs="Calibri"/>
        </w:rPr>
        <w:t>status assessment, threshold values and karst</w:t>
      </w:r>
      <w:r w:rsidRPr="00990FBC">
        <w:rPr>
          <w:rFonts w:ascii="Cambria Math" w:hAnsi="Cambria Math" w:cs="Cambria Math"/>
        </w:rPr>
        <w:t>‑</w:t>
      </w:r>
      <w:r w:rsidRPr="00990FBC">
        <w:rPr>
          <w:rFonts w:ascii="Calibri" w:hAnsi="Calibri" w:cs="Calibri"/>
        </w:rPr>
        <w:t>specific monitoring</w:t>
      </w:r>
      <w:r>
        <w:rPr>
          <w:rFonts w:ascii="Calibri" w:hAnsi="Calibri" w:cs="Calibri"/>
        </w:rPr>
        <w:t xml:space="preserve">, </w:t>
      </w:r>
      <w:r w:rsidRPr="00990FBC">
        <w:rPr>
          <w:rFonts w:ascii="Calibri" w:hAnsi="Calibri" w:cs="Calibri"/>
        </w:rPr>
        <w:t>would be beneficial to ensure consistent remediation planning across the TBA.</w:t>
      </w:r>
    </w:p>
    <w:p w14:paraId="47CE952E" w14:textId="77777777" w:rsidR="003E57F4" w:rsidRPr="00990FBC" w:rsidRDefault="003E57F4" w:rsidP="003E57F4">
      <w:pPr>
        <w:jc w:val="both"/>
        <w:rPr>
          <w:rFonts w:ascii="Calibri" w:hAnsi="Calibri" w:cs="Calibri"/>
        </w:rPr>
      </w:pPr>
      <w:r w:rsidRPr="00990FBC">
        <w:rPr>
          <w:rFonts w:ascii="Calibri" w:hAnsi="Calibri" w:cs="Calibri"/>
        </w:rPr>
        <w:t>From a cooperation perspective, the 1996 Agreement between Croatia and Bosnia and Herzegovina on Water Management Relations offers a general basis for information exchange and coordinated measures. For remediation activities in the Neretva TBA, it would be advisable to complement this agreement with a dedicated technical annex covering harmonised groundwater parameters (nitrates, pesticides, microbiology, conductivity/chloride), shared monitoring locations at recharge conduits and springs, QA/QC procedures, alert thresholds and an agreed reporting schedule. In coastal segments where groundwater directly influences marine conditions, obligations under the Barcelona Convention (1976, amended 1995) may also support coordinated monitoring and remediation planning.</w:t>
      </w:r>
    </w:p>
    <w:p w14:paraId="5B3DEF49" w14:textId="77777777" w:rsidR="003E57F4" w:rsidRPr="00990FBC" w:rsidRDefault="003E57F4" w:rsidP="003E57F4">
      <w:pPr>
        <w:jc w:val="both"/>
        <w:rPr>
          <w:rFonts w:ascii="Calibri" w:hAnsi="Calibri" w:cs="Calibri"/>
        </w:rPr>
      </w:pPr>
      <w:r w:rsidRPr="00990FBC">
        <w:rPr>
          <w:rFonts w:ascii="Calibri" w:hAnsi="Calibri" w:cs="Calibri"/>
        </w:rPr>
        <w:t>In Croatia, the regulatory framework that supports nitrates, pesticides, wastewater management and remediation is based on the Water Act (Official Gazette No. 66/2019, 84/2021, 47/2023), the Regulation on Water Quality Standards (Official Gazette No. 96/2019, 20/2023, 50/2023) and the River Basin Management Plan 2022–2027 (Official Gazette No. 84/2023). Monitoring and remediation are recommended to follow WFD/GWD principles, including standardised sampling, trend analysis and karst</w:t>
      </w:r>
      <w:r w:rsidRPr="00990FBC">
        <w:rPr>
          <w:rFonts w:ascii="Cambria Math" w:hAnsi="Cambria Math" w:cs="Cambria Math"/>
        </w:rPr>
        <w:t>‑</w:t>
      </w:r>
      <w:r w:rsidRPr="00990FBC">
        <w:rPr>
          <w:rFonts w:ascii="Calibri" w:hAnsi="Calibri" w:cs="Calibri"/>
        </w:rPr>
        <w:t>specific parameters such as turbidity and electrical conductivity. Sanitary protection zones (SPZs), defined through the Rulebook on Conditions for Establishing Sanitary Protection Zones of Water Sources (Official Gazette No. 66/2011, 47/2013), may be particularly important when identifying priority areas for source removal and protective actions within the Neretva recharge system. Environmental and nature</w:t>
      </w:r>
      <w:r w:rsidRPr="00990FBC">
        <w:rPr>
          <w:rFonts w:ascii="Cambria Math" w:hAnsi="Cambria Math" w:cs="Cambria Math"/>
        </w:rPr>
        <w:t>‑</w:t>
      </w:r>
      <w:r w:rsidRPr="00990FBC">
        <w:rPr>
          <w:rFonts w:ascii="Calibri" w:hAnsi="Calibri" w:cs="Calibri"/>
        </w:rPr>
        <w:t>protection legislation, including Natura 2000, similarly provide a useful framework when remediation activities interact with groundwater</w:t>
      </w:r>
      <w:r w:rsidRPr="00990FBC">
        <w:rPr>
          <w:rFonts w:ascii="Cambria Math" w:hAnsi="Cambria Math" w:cs="Cambria Math"/>
        </w:rPr>
        <w:t>‑</w:t>
      </w:r>
      <w:r w:rsidRPr="00990FBC">
        <w:rPr>
          <w:rFonts w:ascii="Calibri" w:hAnsi="Calibri" w:cs="Calibri"/>
        </w:rPr>
        <w:t>dependent ecosystems.</w:t>
      </w:r>
    </w:p>
    <w:p w14:paraId="72119ABC" w14:textId="77777777" w:rsidR="003E57F4" w:rsidRPr="002B0F98" w:rsidRDefault="003E57F4" w:rsidP="003E57F4">
      <w:pPr>
        <w:jc w:val="both"/>
        <w:rPr>
          <w:rFonts w:ascii="Calibri" w:hAnsi="Calibri" w:cs="Calibri"/>
        </w:rPr>
      </w:pPr>
      <w:r w:rsidRPr="002B0F98">
        <w:rPr>
          <w:rFonts w:ascii="Calibri" w:hAnsi="Calibri" w:cs="Calibri"/>
        </w:rPr>
        <w:t>In Bosnia and Herzegovina, groundwater regulation relevant for remediation in the Neretva TBA is defined at the entity level, and for this area the applicable framework is that of the Federation of BiH. The Water Law (Official Gazette No. 70/06, 01/12, 70/20), the Decision on Characterisation of Surface and Groundwater (Official Gazette No. 1/14) and the Regulation on Sanitary Protection Zones (Official Gazette No. 88/12) provide the main legal basis for identifying pollution sources, understanding karst vulnerability and determining the level of source control needed during remediation. These instruments outline procedures for delineating SPZs</w:t>
      </w:r>
      <w:r>
        <w:rPr>
          <w:rFonts w:ascii="Calibri" w:hAnsi="Calibri" w:cs="Calibri"/>
        </w:rPr>
        <w:t xml:space="preserve">, </w:t>
      </w:r>
      <w:r w:rsidRPr="002B0F98">
        <w:rPr>
          <w:rFonts w:ascii="Calibri" w:hAnsi="Calibri" w:cs="Calibri"/>
        </w:rPr>
        <w:t>including vulnerability assessments</w:t>
      </w:r>
      <w:r>
        <w:rPr>
          <w:rFonts w:ascii="Calibri" w:hAnsi="Calibri" w:cs="Calibri"/>
        </w:rPr>
        <w:t xml:space="preserve">, </w:t>
      </w:r>
      <w:r w:rsidRPr="002B0F98">
        <w:rPr>
          <w:rFonts w:ascii="Calibri" w:hAnsi="Calibri" w:cs="Calibri"/>
        </w:rPr>
        <w:t>that can be especially useful where on</w:t>
      </w:r>
      <w:r w:rsidRPr="002B0F98">
        <w:rPr>
          <w:rFonts w:ascii="Cambria Math" w:hAnsi="Cambria Math" w:cs="Cambria Math"/>
        </w:rPr>
        <w:t>‑</w:t>
      </w:r>
      <w:r w:rsidRPr="002B0F98">
        <w:rPr>
          <w:rFonts w:ascii="Calibri" w:hAnsi="Calibri" w:cs="Calibri"/>
        </w:rPr>
        <w:t>site sanitation, agricultural practices or legacy waste pose risks to groundwater quality.</w:t>
      </w:r>
    </w:p>
    <w:p w14:paraId="286A089F" w14:textId="77777777" w:rsidR="003E57F4" w:rsidRPr="00990FBC" w:rsidRDefault="003E57F4" w:rsidP="003E57F4">
      <w:pPr>
        <w:jc w:val="both"/>
        <w:rPr>
          <w:rFonts w:ascii="Calibri" w:hAnsi="Calibri" w:cs="Calibri"/>
        </w:rPr>
      </w:pPr>
      <w:r w:rsidRPr="002B0F98">
        <w:rPr>
          <w:rFonts w:ascii="Calibri" w:hAnsi="Calibri" w:cs="Calibri"/>
        </w:rPr>
        <w:t>Although implementation practices vary across municipalities, this framework offers a practical foundation for remediation planning in Neretva TBA. It supports actions such as targeted reduction of contamination sources, stricter land</w:t>
      </w:r>
      <w:r w:rsidRPr="002B0F98">
        <w:rPr>
          <w:rFonts w:ascii="Cambria Math" w:hAnsi="Cambria Math" w:cs="Cambria Math"/>
        </w:rPr>
        <w:t>‑</w:t>
      </w:r>
      <w:r w:rsidRPr="002B0F98">
        <w:rPr>
          <w:rFonts w:ascii="Calibri" w:hAnsi="Calibri" w:cs="Calibri"/>
        </w:rPr>
        <w:t>use controls in sensitive recharge areas and preventive measures to limit new inputs from agriculture, wastewater or waste disposal. For the Neretva TBA</w:t>
      </w:r>
      <w:r>
        <w:rPr>
          <w:rFonts w:ascii="Calibri" w:hAnsi="Calibri" w:cs="Calibri"/>
        </w:rPr>
        <w:t xml:space="preserve">, </w:t>
      </w:r>
      <w:r w:rsidRPr="002B0F98">
        <w:rPr>
          <w:rFonts w:ascii="Calibri" w:hAnsi="Calibri" w:cs="Calibri"/>
        </w:rPr>
        <w:t>primarily within the Herzegovina</w:t>
      </w:r>
      <w:r>
        <w:rPr>
          <w:rFonts w:ascii="Calibri" w:hAnsi="Calibri" w:cs="Calibri"/>
        </w:rPr>
        <w:t>-</w:t>
      </w:r>
      <w:r w:rsidRPr="002B0F98">
        <w:rPr>
          <w:rFonts w:ascii="Calibri" w:hAnsi="Calibri" w:cs="Calibri"/>
        </w:rPr>
        <w:t>Neretva Canton</w:t>
      </w:r>
      <w:r>
        <w:rPr>
          <w:rFonts w:ascii="Calibri" w:hAnsi="Calibri" w:cs="Calibri"/>
        </w:rPr>
        <w:t xml:space="preserve">, </w:t>
      </w:r>
      <w:r w:rsidRPr="002B0F98">
        <w:rPr>
          <w:rFonts w:ascii="Calibri" w:hAnsi="Calibri" w:cs="Calibri"/>
        </w:rPr>
        <w:t>it would be beneficial to promote consistent remediation criteria across the border, especially where SPZs intersect shared recharge zones or where pressures like pesticides, nitrates, inadequate sanitation or hydrologically connected waste sites require coordinated follow</w:t>
      </w:r>
      <w:r w:rsidRPr="002B0F98">
        <w:rPr>
          <w:rFonts w:ascii="Cambria Math" w:hAnsi="Cambria Math" w:cs="Cambria Math"/>
        </w:rPr>
        <w:t>‑</w:t>
      </w:r>
      <w:r w:rsidRPr="002B0F98">
        <w:rPr>
          <w:rFonts w:ascii="Calibri" w:hAnsi="Calibri" w:cs="Calibri"/>
        </w:rPr>
        <w:t>up. Harmonising key parameters and aligning relevant thresholds with Croatia’s WFD/GWD</w:t>
      </w:r>
      <w:r w:rsidRPr="002B0F98">
        <w:rPr>
          <w:rFonts w:ascii="Cambria Math" w:hAnsi="Cambria Math" w:cs="Cambria Math"/>
        </w:rPr>
        <w:t>‑</w:t>
      </w:r>
      <w:r w:rsidRPr="002B0F98">
        <w:rPr>
          <w:rFonts w:ascii="Calibri" w:hAnsi="Calibri" w:cs="Calibri"/>
        </w:rPr>
        <w:t>based practice would help ensure that remedial decisions rely on comparable and technically sound evidence.</w:t>
      </w:r>
    </w:p>
    <w:p w14:paraId="06D98C04" w14:textId="77777777" w:rsidR="003E57F4" w:rsidRPr="00990FBC" w:rsidRDefault="003E57F4" w:rsidP="003E57F4">
      <w:pPr>
        <w:jc w:val="both"/>
        <w:rPr>
          <w:rFonts w:ascii="Calibri" w:hAnsi="Calibri" w:cs="Calibri"/>
        </w:rPr>
      </w:pPr>
      <w:r w:rsidRPr="003E57F4">
        <w:rPr>
          <w:rFonts w:ascii="Calibri" w:hAnsi="Calibri" w:cs="Calibri"/>
          <w:i/>
          <w:iCs/>
        </w:rPr>
        <w:lastRenderedPageBreak/>
        <w:t>Diffuse agricultural pollution (nitrates)</w:t>
      </w:r>
      <w:r>
        <w:rPr>
          <w:rFonts w:ascii="Calibri" w:hAnsi="Calibri" w:cs="Calibri"/>
        </w:rPr>
        <w:t>:</w:t>
      </w:r>
      <w:r w:rsidRPr="00990FBC">
        <w:rPr>
          <w:rFonts w:ascii="Calibri" w:hAnsi="Calibri" w:cs="Calibri"/>
        </w:rPr>
        <w:t xml:space="preserve"> </w:t>
      </w:r>
      <w:r>
        <w:rPr>
          <w:rFonts w:ascii="Calibri" w:hAnsi="Calibri" w:cs="Calibri"/>
        </w:rPr>
        <w:t>i</w:t>
      </w:r>
      <w:r w:rsidRPr="00990FBC">
        <w:rPr>
          <w:rFonts w:ascii="Calibri" w:hAnsi="Calibri" w:cs="Calibri"/>
        </w:rPr>
        <w:t>n the Neretva hinterland, a combination of small</w:t>
      </w:r>
      <w:r w:rsidRPr="00990FBC">
        <w:rPr>
          <w:rFonts w:ascii="Cambria Math" w:hAnsi="Cambria Math" w:cs="Cambria Math"/>
        </w:rPr>
        <w:t>‑</w:t>
      </w:r>
      <w:r w:rsidRPr="00990FBC">
        <w:rPr>
          <w:rFonts w:ascii="Calibri" w:hAnsi="Calibri" w:cs="Calibri"/>
        </w:rPr>
        <w:t>scale agriculture, seasonal tourism and limited sewer connections may increase nitrate and microbiological pressures at ponors and springs. It is recommended that remediation strategies follow the core principles of the Nitrates Directive: improved manure storage and handling, timing/dosage restrictions, buffer strips near losing streams and closure of informal drainage inputs. Where elevated concentrations persist, upgrading monitoring at high</w:t>
      </w:r>
      <w:r w:rsidRPr="00990FBC">
        <w:rPr>
          <w:rFonts w:ascii="Cambria Math" w:hAnsi="Cambria Math" w:cs="Cambria Math"/>
        </w:rPr>
        <w:t>‑</w:t>
      </w:r>
      <w:r w:rsidRPr="00990FBC">
        <w:rPr>
          <w:rFonts w:ascii="Calibri" w:hAnsi="Calibri" w:cs="Calibri"/>
        </w:rPr>
        <w:t>risk infiltration points may help track improvements and determine whether natural attenuation or engineered interventions are appropriate.</w:t>
      </w:r>
    </w:p>
    <w:p w14:paraId="62DD172B" w14:textId="77777777" w:rsidR="003E57F4" w:rsidRPr="00990FBC" w:rsidRDefault="003E57F4" w:rsidP="003E57F4">
      <w:pPr>
        <w:jc w:val="both"/>
        <w:rPr>
          <w:rFonts w:ascii="Calibri" w:hAnsi="Calibri" w:cs="Calibri"/>
        </w:rPr>
      </w:pPr>
      <w:r w:rsidRPr="003E57F4">
        <w:rPr>
          <w:rFonts w:ascii="Calibri" w:hAnsi="Calibri" w:cs="Calibri"/>
          <w:i/>
          <w:iCs/>
        </w:rPr>
        <w:t>Pesticides</w:t>
      </w:r>
      <w:r>
        <w:rPr>
          <w:rFonts w:ascii="Calibri" w:hAnsi="Calibri" w:cs="Calibri"/>
        </w:rPr>
        <w:t>:</w:t>
      </w:r>
      <w:r w:rsidRPr="00990FBC">
        <w:rPr>
          <w:rFonts w:ascii="Calibri" w:hAnsi="Calibri" w:cs="Calibri"/>
        </w:rPr>
        <w:t xml:space="preserve"> </w:t>
      </w:r>
      <w:r>
        <w:rPr>
          <w:rFonts w:ascii="Calibri" w:hAnsi="Calibri" w:cs="Calibri"/>
        </w:rPr>
        <w:t>f</w:t>
      </w:r>
      <w:r w:rsidRPr="00990FBC">
        <w:rPr>
          <w:rFonts w:ascii="Calibri" w:hAnsi="Calibri" w:cs="Calibri"/>
        </w:rPr>
        <w:t>or pesticide</w:t>
      </w:r>
      <w:r w:rsidRPr="00990FBC">
        <w:rPr>
          <w:rFonts w:ascii="Cambria Math" w:hAnsi="Cambria Math" w:cs="Cambria Math"/>
        </w:rPr>
        <w:t>‑</w:t>
      </w:r>
      <w:r w:rsidRPr="00990FBC">
        <w:rPr>
          <w:rFonts w:ascii="Calibri" w:hAnsi="Calibri" w:cs="Calibri"/>
        </w:rPr>
        <w:t>related risks, the programme would benefit from establishing a core list of locally relevant active substances, carrying out event</w:t>
      </w:r>
      <w:r w:rsidRPr="00990FBC">
        <w:rPr>
          <w:rFonts w:ascii="Cambria Math" w:hAnsi="Cambria Math" w:cs="Cambria Math"/>
        </w:rPr>
        <w:t>‑</w:t>
      </w:r>
      <w:r w:rsidRPr="00990FBC">
        <w:rPr>
          <w:rFonts w:ascii="Calibri" w:hAnsi="Calibri" w:cs="Calibri"/>
        </w:rPr>
        <w:t>based sampling following heavy rainfall, and applying trend analysis to evaluate recovery. When natural attenuation appears insufficient, land</w:t>
      </w:r>
      <w:r w:rsidRPr="00990FBC">
        <w:rPr>
          <w:rFonts w:ascii="Cambria Math" w:hAnsi="Cambria Math" w:cs="Cambria Math"/>
        </w:rPr>
        <w:t>‑</w:t>
      </w:r>
      <w:r w:rsidRPr="00990FBC">
        <w:rPr>
          <w:rFonts w:ascii="Calibri" w:hAnsi="Calibri" w:cs="Calibri"/>
        </w:rPr>
        <w:t>use restrictions within SPZs or targeted removal of pollution sources may be recommended to achieve remediation objectives.</w:t>
      </w:r>
    </w:p>
    <w:p w14:paraId="56CEC2C8" w14:textId="77777777" w:rsidR="003E57F4" w:rsidRPr="00990FBC" w:rsidRDefault="003E57F4" w:rsidP="003E57F4">
      <w:pPr>
        <w:jc w:val="both"/>
        <w:rPr>
          <w:rFonts w:ascii="Calibri" w:hAnsi="Calibri" w:cs="Calibri"/>
        </w:rPr>
      </w:pPr>
      <w:r w:rsidRPr="003E57F4">
        <w:rPr>
          <w:rFonts w:ascii="Calibri" w:hAnsi="Calibri" w:cs="Calibri"/>
          <w:i/>
          <w:iCs/>
        </w:rPr>
        <w:t>Wastewater and on</w:t>
      </w:r>
      <w:r w:rsidRPr="003E57F4">
        <w:rPr>
          <w:rFonts w:ascii="Cambria Math" w:hAnsi="Cambria Math" w:cs="Cambria Math"/>
          <w:i/>
          <w:iCs/>
        </w:rPr>
        <w:t>‑</w:t>
      </w:r>
      <w:r w:rsidRPr="003E57F4">
        <w:rPr>
          <w:rFonts w:ascii="Calibri" w:hAnsi="Calibri" w:cs="Calibri"/>
          <w:i/>
          <w:iCs/>
        </w:rPr>
        <w:t xml:space="preserve">site </w:t>
      </w:r>
      <w:proofErr w:type="gramStart"/>
      <w:r w:rsidRPr="003E57F4">
        <w:rPr>
          <w:rFonts w:ascii="Calibri" w:hAnsi="Calibri" w:cs="Calibri"/>
          <w:i/>
          <w:iCs/>
        </w:rPr>
        <w:t>sanitation</w:t>
      </w:r>
      <w:r>
        <w:rPr>
          <w:rFonts w:ascii="Calibri" w:hAnsi="Calibri" w:cs="Calibri"/>
          <w:b/>
          <w:bCs/>
        </w:rPr>
        <w:t>:</w:t>
      </w:r>
      <w:proofErr w:type="gramEnd"/>
      <w:r w:rsidRPr="00990FBC">
        <w:rPr>
          <w:rFonts w:ascii="Calibri" w:hAnsi="Calibri" w:cs="Calibri"/>
        </w:rPr>
        <w:t xml:space="preserve"> </w:t>
      </w:r>
      <w:r>
        <w:rPr>
          <w:rFonts w:ascii="Calibri" w:hAnsi="Calibri" w:cs="Calibri"/>
        </w:rPr>
        <w:t>g</w:t>
      </w:r>
      <w:r w:rsidRPr="00990FBC">
        <w:rPr>
          <w:rFonts w:ascii="Calibri" w:hAnsi="Calibri" w:cs="Calibri"/>
        </w:rPr>
        <w:t>iven the prevalence of decentralised sanitation (septic tanks and cesspits) in recharge zones, it is advisable that remediation planning consider infrastructure improvements</w:t>
      </w:r>
      <w:r>
        <w:rPr>
          <w:rFonts w:ascii="Calibri" w:hAnsi="Calibri" w:cs="Calibri"/>
        </w:rPr>
        <w:t xml:space="preserve">, </w:t>
      </w:r>
      <w:r w:rsidRPr="00990FBC">
        <w:rPr>
          <w:rFonts w:ascii="Calibri" w:hAnsi="Calibri" w:cs="Calibri"/>
        </w:rPr>
        <w:t>such as watertight systems, improved sludge management and, where feasible, connection to sewer networks. Entity</w:t>
      </w:r>
      <w:r w:rsidRPr="00990FBC">
        <w:rPr>
          <w:rFonts w:ascii="Cambria Math" w:hAnsi="Cambria Math" w:cs="Cambria Math"/>
        </w:rPr>
        <w:t>‑</w:t>
      </w:r>
      <w:r w:rsidRPr="00990FBC">
        <w:rPr>
          <w:rFonts w:ascii="Calibri" w:hAnsi="Calibri" w:cs="Calibri"/>
        </w:rPr>
        <w:t xml:space="preserve">level discharge rules and the logic of the Urban </w:t>
      </w:r>
      <w:proofErr w:type="gramStart"/>
      <w:r w:rsidRPr="00990FBC">
        <w:rPr>
          <w:rFonts w:ascii="Calibri" w:hAnsi="Calibri" w:cs="Calibri"/>
        </w:rPr>
        <w:t>Waste Water</w:t>
      </w:r>
      <w:proofErr w:type="gramEnd"/>
      <w:r w:rsidRPr="00990FBC">
        <w:rPr>
          <w:rFonts w:ascii="Calibri" w:hAnsi="Calibri" w:cs="Calibri"/>
        </w:rPr>
        <w:t xml:space="preserve"> Treatment Directive support risk</w:t>
      </w:r>
      <w:r w:rsidRPr="00990FBC">
        <w:rPr>
          <w:rFonts w:ascii="Cambria Math" w:hAnsi="Cambria Math" w:cs="Cambria Math"/>
        </w:rPr>
        <w:t>‑</w:t>
      </w:r>
      <w:r w:rsidRPr="00990FBC">
        <w:rPr>
          <w:rFonts w:ascii="Calibri" w:hAnsi="Calibri" w:cs="Calibri"/>
        </w:rPr>
        <w:t>based inspection and verification that indirect discharges do not adversely affect groundwater or ecosystems. In coastal segments, it would be useful to check for salinity interactions during low</w:t>
      </w:r>
      <w:r w:rsidRPr="00990FBC">
        <w:rPr>
          <w:rFonts w:ascii="Cambria Math" w:hAnsi="Cambria Math" w:cs="Cambria Math"/>
        </w:rPr>
        <w:t>‑</w:t>
      </w:r>
      <w:r w:rsidRPr="00990FBC">
        <w:rPr>
          <w:rFonts w:ascii="Calibri" w:hAnsi="Calibri" w:cs="Calibri"/>
        </w:rPr>
        <w:t>flow periods.</w:t>
      </w:r>
    </w:p>
    <w:p w14:paraId="55135DA7" w14:textId="77777777" w:rsidR="003E57F4" w:rsidRPr="00990FBC" w:rsidRDefault="003E57F4" w:rsidP="003E57F4">
      <w:pPr>
        <w:jc w:val="both"/>
        <w:rPr>
          <w:rFonts w:ascii="Calibri" w:hAnsi="Calibri" w:cs="Calibri"/>
        </w:rPr>
      </w:pPr>
      <w:r w:rsidRPr="003E57F4">
        <w:rPr>
          <w:rFonts w:ascii="Calibri" w:hAnsi="Calibri" w:cs="Calibri"/>
          <w:i/>
          <w:iCs/>
        </w:rPr>
        <w:t>Industrial and waste hotspots</w:t>
      </w:r>
      <w:r>
        <w:rPr>
          <w:rFonts w:ascii="Calibri" w:hAnsi="Calibri" w:cs="Calibri"/>
        </w:rPr>
        <w:t>:</w:t>
      </w:r>
      <w:r w:rsidRPr="00990FBC">
        <w:rPr>
          <w:rFonts w:ascii="Calibri" w:hAnsi="Calibri" w:cs="Calibri"/>
        </w:rPr>
        <w:t xml:space="preserve"> </w:t>
      </w:r>
      <w:r>
        <w:rPr>
          <w:rFonts w:ascii="Calibri" w:hAnsi="Calibri" w:cs="Calibri"/>
        </w:rPr>
        <w:t>i</w:t>
      </w:r>
      <w:r w:rsidRPr="00990FBC">
        <w:rPr>
          <w:rFonts w:ascii="Calibri" w:hAnsi="Calibri" w:cs="Calibri"/>
        </w:rPr>
        <w:t xml:space="preserve">n areas with </w:t>
      </w:r>
      <w:r>
        <w:rPr>
          <w:rFonts w:ascii="Calibri" w:hAnsi="Calibri" w:cs="Calibri"/>
        </w:rPr>
        <w:t>historical</w:t>
      </w:r>
      <w:r w:rsidRPr="00990FBC">
        <w:rPr>
          <w:rFonts w:ascii="Calibri" w:hAnsi="Calibri" w:cs="Calibri"/>
        </w:rPr>
        <w:t xml:space="preserve"> waste, industrial yards or transport</w:t>
      </w:r>
      <w:r w:rsidRPr="00990FBC">
        <w:rPr>
          <w:rFonts w:ascii="Cambria Math" w:hAnsi="Cambria Math" w:cs="Cambria Math"/>
        </w:rPr>
        <w:t>‑</w:t>
      </w:r>
      <w:r w:rsidRPr="00990FBC">
        <w:rPr>
          <w:rFonts w:ascii="Calibri" w:hAnsi="Calibri" w:cs="Calibri"/>
        </w:rPr>
        <w:t>related contamination risks, the Environmental Liability Directive (2004/35/EC) provides a basis for identifying liable operators and recommending operational monitoring upstream of potential hotspots. Expanded analytical suites</w:t>
      </w:r>
      <w:r>
        <w:rPr>
          <w:rFonts w:ascii="Calibri" w:hAnsi="Calibri" w:cs="Calibri"/>
        </w:rPr>
        <w:t xml:space="preserve">, </w:t>
      </w:r>
      <w:r w:rsidRPr="00990FBC">
        <w:rPr>
          <w:rFonts w:ascii="Calibri" w:hAnsi="Calibri" w:cs="Calibri"/>
        </w:rPr>
        <w:t>especially where priority substances are relevant</w:t>
      </w:r>
      <w:r>
        <w:rPr>
          <w:rFonts w:ascii="Calibri" w:hAnsi="Calibri" w:cs="Calibri"/>
        </w:rPr>
        <w:t xml:space="preserve">, </w:t>
      </w:r>
      <w:r w:rsidRPr="00990FBC">
        <w:rPr>
          <w:rFonts w:ascii="Calibri" w:hAnsi="Calibri" w:cs="Calibri"/>
        </w:rPr>
        <w:t>and rapid notification of exceedances may support timely remedial action.</w:t>
      </w:r>
    </w:p>
    <w:p w14:paraId="62FCB831" w14:textId="77777777" w:rsidR="003E57F4" w:rsidRPr="002B0F98" w:rsidRDefault="003E57F4" w:rsidP="003E57F4">
      <w:pPr>
        <w:jc w:val="both"/>
        <w:rPr>
          <w:rFonts w:ascii="Calibri" w:hAnsi="Calibri" w:cs="Calibri"/>
        </w:rPr>
      </w:pPr>
      <w:r w:rsidRPr="002B0F98">
        <w:rPr>
          <w:rFonts w:ascii="Calibri" w:hAnsi="Calibri" w:cs="Calibri"/>
        </w:rPr>
        <w:t>For Neretva TBA, it would be beneficial to adopt a joint remediation protocol that supports coherent and risk</w:t>
      </w:r>
      <w:r w:rsidRPr="002B0F98">
        <w:rPr>
          <w:rFonts w:ascii="Cambria Math" w:hAnsi="Cambria Math" w:cs="Cambria Math"/>
        </w:rPr>
        <w:t>‑</w:t>
      </w:r>
      <w:r w:rsidRPr="002B0F98">
        <w:rPr>
          <w:rFonts w:ascii="Calibri" w:hAnsi="Calibri" w:cs="Calibri"/>
        </w:rPr>
        <w:t>based action on both sides of the border. Such a protocol may include:</w:t>
      </w:r>
    </w:p>
    <w:p w14:paraId="1433188E" w14:textId="77777777" w:rsidR="003E57F4" w:rsidRPr="002B0F98" w:rsidRDefault="003E57F4" w:rsidP="003E57F4">
      <w:pPr>
        <w:pStyle w:val="ListParagraph"/>
        <w:numPr>
          <w:ilvl w:val="0"/>
          <w:numId w:val="180"/>
        </w:numPr>
        <w:jc w:val="both"/>
        <w:rPr>
          <w:rFonts w:ascii="Calibri" w:hAnsi="Calibri" w:cs="Calibri"/>
        </w:rPr>
      </w:pPr>
      <w:r w:rsidRPr="002B0F98">
        <w:rPr>
          <w:rFonts w:ascii="Calibri" w:hAnsi="Calibri" w:cs="Calibri"/>
        </w:rPr>
        <w:t>harmonised parameter sets for contaminants most relevant to remediation</w:t>
      </w:r>
      <w:r>
        <w:rPr>
          <w:rFonts w:ascii="Calibri" w:hAnsi="Calibri" w:cs="Calibri"/>
        </w:rPr>
        <w:t xml:space="preserve">, </w:t>
      </w:r>
      <w:r w:rsidRPr="002B0F98">
        <w:rPr>
          <w:rFonts w:ascii="Calibri" w:hAnsi="Calibri" w:cs="Calibri"/>
        </w:rPr>
        <w:t>such as nitrates, pesticides, microbiological indicators and salinity</w:t>
      </w:r>
      <w:r w:rsidRPr="002B0F98">
        <w:rPr>
          <w:rFonts w:ascii="Cambria Math" w:hAnsi="Cambria Math" w:cs="Cambria Math"/>
        </w:rPr>
        <w:t>‑</w:t>
      </w:r>
      <w:r w:rsidRPr="002B0F98">
        <w:rPr>
          <w:rFonts w:ascii="Calibri" w:hAnsi="Calibri" w:cs="Calibri"/>
        </w:rPr>
        <w:t>related parameters</w:t>
      </w:r>
      <w:r>
        <w:rPr>
          <w:rFonts w:ascii="Calibri" w:hAnsi="Calibri" w:cs="Calibri"/>
        </w:rPr>
        <w:t>,</w:t>
      </w:r>
    </w:p>
    <w:p w14:paraId="0741B085" w14:textId="77777777" w:rsidR="003E57F4" w:rsidRPr="002B0F98" w:rsidRDefault="003E57F4" w:rsidP="003E57F4">
      <w:pPr>
        <w:pStyle w:val="ListParagraph"/>
        <w:numPr>
          <w:ilvl w:val="0"/>
          <w:numId w:val="180"/>
        </w:numPr>
        <w:jc w:val="both"/>
        <w:rPr>
          <w:rFonts w:ascii="Calibri" w:hAnsi="Calibri" w:cs="Calibri"/>
        </w:rPr>
      </w:pPr>
      <w:r w:rsidRPr="002B0F98">
        <w:rPr>
          <w:rFonts w:ascii="Calibri" w:hAnsi="Calibri" w:cs="Calibri"/>
        </w:rPr>
        <w:t>identification of locations where remedial actions need to be assessed, including key recharge conduits, priority springs and sensitive SPZ areas</w:t>
      </w:r>
      <w:r>
        <w:rPr>
          <w:rFonts w:ascii="Calibri" w:hAnsi="Calibri" w:cs="Calibri"/>
        </w:rPr>
        <w:t>,</w:t>
      </w:r>
    </w:p>
    <w:p w14:paraId="7E1D82E1" w14:textId="77777777" w:rsidR="003E57F4" w:rsidRPr="002B0F98" w:rsidRDefault="003E57F4" w:rsidP="003E57F4">
      <w:pPr>
        <w:pStyle w:val="ListParagraph"/>
        <w:numPr>
          <w:ilvl w:val="0"/>
          <w:numId w:val="180"/>
        </w:numPr>
        <w:jc w:val="both"/>
        <w:rPr>
          <w:rFonts w:ascii="Calibri" w:hAnsi="Calibri" w:cs="Calibri"/>
        </w:rPr>
      </w:pPr>
      <w:r w:rsidRPr="002B0F98">
        <w:rPr>
          <w:rFonts w:ascii="Calibri" w:hAnsi="Calibri" w:cs="Calibri"/>
        </w:rPr>
        <w:t>alignment of QA/QC procedures and alert thresholds to ensure that evidence informing remediation decisions is consistent</w:t>
      </w:r>
      <w:r>
        <w:rPr>
          <w:rFonts w:ascii="Calibri" w:hAnsi="Calibri" w:cs="Calibri"/>
        </w:rPr>
        <w:t>,</w:t>
      </w:r>
      <w:r w:rsidRPr="002B0F98">
        <w:rPr>
          <w:rFonts w:ascii="Calibri" w:hAnsi="Calibri" w:cs="Calibri"/>
        </w:rPr>
        <w:t xml:space="preserve"> and</w:t>
      </w:r>
    </w:p>
    <w:p w14:paraId="4D32E427" w14:textId="77777777" w:rsidR="003E57F4" w:rsidRPr="002B0F98" w:rsidRDefault="003E57F4" w:rsidP="003E57F4">
      <w:pPr>
        <w:pStyle w:val="ListParagraph"/>
        <w:numPr>
          <w:ilvl w:val="0"/>
          <w:numId w:val="180"/>
        </w:numPr>
        <w:jc w:val="both"/>
        <w:rPr>
          <w:rFonts w:ascii="Calibri" w:hAnsi="Calibri" w:cs="Calibri"/>
        </w:rPr>
      </w:pPr>
      <w:r w:rsidRPr="002B0F98">
        <w:rPr>
          <w:rFonts w:ascii="Calibri" w:hAnsi="Calibri" w:cs="Calibri"/>
        </w:rPr>
        <w:t>preparation of joint annual summaries that help track progress and feed into national RBMP cycles.</w:t>
      </w:r>
    </w:p>
    <w:p w14:paraId="34679418" w14:textId="77777777" w:rsidR="003E57F4" w:rsidRPr="002B0F98" w:rsidRDefault="003E57F4" w:rsidP="003E57F4">
      <w:pPr>
        <w:jc w:val="both"/>
        <w:rPr>
          <w:rFonts w:ascii="Calibri" w:hAnsi="Calibri" w:cs="Calibri"/>
        </w:rPr>
      </w:pPr>
    </w:p>
    <w:p w14:paraId="04A93417" w14:textId="691E7404" w:rsidR="003E57F4" w:rsidRPr="003E57F4" w:rsidRDefault="003E57F4" w:rsidP="003E57F4">
      <w:pPr>
        <w:pStyle w:val="Heading2"/>
        <w:rPr>
          <w:lang w:val="en-GB"/>
        </w:rPr>
      </w:pPr>
      <w:bookmarkStart w:id="242" w:name="_Toc229036303"/>
      <w:r w:rsidRPr="003E57F4">
        <w:rPr>
          <w:lang w:val="en-GB"/>
        </w:rPr>
        <w:t xml:space="preserve">11.3 Contaminated </w:t>
      </w:r>
      <w:r>
        <w:rPr>
          <w:lang w:val="en-GB"/>
        </w:rPr>
        <w:t>s</w:t>
      </w:r>
      <w:r w:rsidRPr="003E57F4">
        <w:rPr>
          <w:lang w:val="en-GB"/>
        </w:rPr>
        <w:t xml:space="preserve">ite </w:t>
      </w:r>
      <w:r>
        <w:rPr>
          <w:lang w:val="en-GB"/>
        </w:rPr>
        <w:t>c</w:t>
      </w:r>
      <w:r w:rsidRPr="003E57F4">
        <w:rPr>
          <w:lang w:val="en-GB"/>
        </w:rPr>
        <w:t>haracterization (</w:t>
      </w:r>
      <w:proofErr w:type="spellStart"/>
      <w:r w:rsidRPr="003E57F4">
        <w:rPr>
          <w:lang w:val="en-GB"/>
        </w:rPr>
        <w:t>Ljubuško</w:t>
      </w:r>
      <w:proofErr w:type="spellEnd"/>
      <w:r w:rsidRPr="003E57F4">
        <w:rPr>
          <w:lang w:val="en-GB"/>
        </w:rPr>
        <w:t xml:space="preserve"> polje, </w:t>
      </w:r>
      <w:proofErr w:type="spellStart"/>
      <w:r w:rsidRPr="003E57F4">
        <w:rPr>
          <w:lang w:val="en-GB"/>
        </w:rPr>
        <w:t>Prud</w:t>
      </w:r>
      <w:proofErr w:type="spellEnd"/>
      <w:r w:rsidRPr="003E57F4">
        <w:rPr>
          <w:lang w:val="en-GB"/>
        </w:rPr>
        <w:t xml:space="preserve"> catchment, Neretva </w:t>
      </w:r>
      <w:r>
        <w:rPr>
          <w:lang w:val="en-GB"/>
        </w:rPr>
        <w:t>D</w:t>
      </w:r>
      <w:r w:rsidRPr="003E57F4">
        <w:rPr>
          <w:lang w:val="en-GB"/>
        </w:rPr>
        <w:t>elta)</w:t>
      </w:r>
      <w:bookmarkEnd w:id="242"/>
    </w:p>
    <w:p w14:paraId="34954FC3" w14:textId="77777777" w:rsidR="003E57F4" w:rsidRPr="003E57F4" w:rsidRDefault="003E57F4" w:rsidP="003E57F4">
      <w:pPr>
        <w:jc w:val="both"/>
        <w:rPr>
          <w:rFonts w:cstheme="minorHAnsi"/>
        </w:rPr>
      </w:pPr>
      <w:r w:rsidRPr="003E57F4">
        <w:rPr>
          <w:rFonts w:cstheme="minorHAnsi"/>
        </w:rPr>
        <w:t xml:space="preserve">The characterization of contaminated sites within the TBA Neretva is based on the hydrogeological setting and dominant land-use patterns in </w:t>
      </w:r>
      <w:proofErr w:type="spellStart"/>
      <w:r w:rsidRPr="003E57F4">
        <w:rPr>
          <w:rFonts w:cstheme="minorHAnsi"/>
        </w:rPr>
        <w:t>Ljubuško</w:t>
      </w:r>
      <w:proofErr w:type="spellEnd"/>
      <w:r w:rsidRPr="003E57F4">
        <w:rPr>
          <w:rFonts w:cstheme="minorHAnsi"/>
        </w:rPr>
        <w:t xml:space="preserve"> polje, the wider catchment of the </w:t>
      </w:r>
      <w:proofErr w:type="spellStart"/>
      <w:r w:rsidRPr="003E57F4">
        <w:rPr>
          <w:rFonts w:cstheme="minorHAnsi"/>
        </w:rPr>
        <w:t>Prud</w:t>
      </w:r>
      <w:proofErr w:type="spellEnd"/>
      <w:r w:rsidRPr="003E57F4">
        <w:rPr>
          <w:rFonts w:cstheme="minorHAnsi"/>
        </w:rPr>
        <w:t xml:space="preserve"> spring, and the Neretva delta as the downstream receptor. These areas form a hydraulically connected karst system, where groundwater and surface water interactions control the transport and distribution of contaminants. </w:t>
      </w:r>
      <w:proofErr w:type="spellStart"/>
      <w:r w:rsidRPr="003E57F4">
        <w:rPr>
          <w:rFonts w:cstheme="minorHAnsi"/>
        </w:rPr>
        <w:t>Ljubuško</w:t>
      </w:r>
      <w:proofErr w:type="spellEnd"/>
      <w:r w:rsidRPr="003E57F4">
        <w:rPr>
          <w:rFonts w:cstheme="minorHAnsi"/>
        </w:rPr>
        <w:t xml:space="preserve"> polje functions primarily as a recharge zone, the </w:t>
      </w:r>
      <w:proofErr w:type="spellStart"/>
      <w:r w:rsidRPr="003E57F4">
        <w:rPr>
          <w:rFonts w:cstheme="minorHAnsi"/>
        </w:rPr>
        <w:t>Prud</w:t>
      </w:r>
      <w:proofErr w:type="spellEnd"/>
      <w:r w:rsidRPr="003E57F4">
        <w:rPr>
          <w:rFonts w:cstheme="minorHAnsi"/>
        </w:rPr>
        <w:t xml:space="preserve"> spring as a major </w:t>
      </w:r>
      <w:r w:rsidRPr="003E57F4">
        <w:rPr>
          <w:rFonts w:cstheme="minorHAnsi"/>
        </w:rPr>
        <w:lastRenderedPageBreak/>
        <w:t>discharge point and drinking water source, while the Neretva delta represents the final accumulation zone of pressures originating upstream.</w:t>
      </w:r>
    </w:p>
    <w:p w14:paraId="5F21ADB3" w14:textId="77777777" w:rsidR="003E57F4" w:rsidRPr="003E57F4" w:rsidRDefault="003E57F4" w:rsidP="003E57F4">
      <w:pPr>
        <w:jc w:val="both"/>
        <w:rPr>
          <w:rFonts w:cstheme="minorHAnsi"/>
        </w:rPr>
      </w:pPr>
      <w:r w:rsidRPr="003E57F4">
        <w:rPr>
          <w:rFonts w:cstheme="minorHAnsi"/>
        </w:rPr>
        <w:t xml:space="preserve">The aquifer is developed in highly permeable carbonate rocks (limestones and dolomites), characterised by fissured and </w:t>
      </w:r>
      <w:proofErr w:type="spellStart"/>
      <w:r w:rsidRPr="003E57F4">
        <w:rPr>
          <w:rFonts w:cstheme="minorHAnsi"/>
        </w:rPr>
        <w:t>karstified</w:t>
      </w:r>
      <w:proofErr w:type="spellEnd"/>
      <w:r w:rsidRPr="003E57F4">
        <w:rPr>
          <w:rFonts w:cstheme="minorHAnsi"/>
        </w:rPr>
        <w:t xml:space="preserve"> porosity. Such conditions enable rapid infiltration through fractures, sinkholes and thin or discontinuous soil cover, resulting in short groundwater residence times and limited natural attenuation. Therefore, the system has a reduced capacity for filtration, adsorption and degradation of contaminants, which increases its sensitivity to both diffuse and point-source pollution.</w:t>
      </w:r>
    </w:p>
    <w:p w14:paraId="2A119F45" w14:textId="77777777" w:rsidR="003E57F4" w:rsidRPr="003E57F4" w:rsidRDefault="003E57F4" w:rsidP="003E57F4">
      <w:pPr>
        <w:jc w:val="both"/>
        <w:rPr>
          <w:rFonts w:cstheme="minorHAnsi"/>
        </w:rPr>
      </w:pPr>
      <w:r w:rsidRPr="003E57F4">
        <w:rPr>
          <w:rFonts w:cstheme="minorHAnsi"/>
        </w:rPr>
        <w:t>Diffuse agricultural pollution represents the dominant pressure within the recharge areas. Intensive use of fertilizers, manure and plant protection products contributes to nutrient and pesticide inputs, with nitrogen loads typically ranging between 150 and 300 kg N/ha/year. Due to high infiltration rates and karst characteristics, a portion of these inputs are transferred into groundwater, although monitoring data indicate that current nitrate concentrations remain relatively low. This suggests that contamination processes are present but not fully expressed in average concentrations, likely due to rapid transport and temporal variability. Phosphorus contributes to longer-term accumulation in soil and is mainly relevant for surface water systems, while pesticides remain insufficiently monitored despite their potential mobility and persistence.</w:t>
      </w:r>
    </w:p>
    <w:p w14:paraId="0117DB7C" w14:textId="77777777" w:rsidR="003E57F4" w:rsidRPr="003E57F4" w:rsidRDefault="003E57F4" w:rsidP="003E57F4">
      <w:pPr>
        <w:jc w:val="both"/>
        <w:rPr>
          <w:rFonts w:cstheme="minorHAnsi"/>
        </w:rPr>
      </w:pPr>
      <w:r w:rsidRPr="003E57F4">
        <w:rPr>
          <w:rFonts w:cstheme="minorHAnsi"/>
        </w:rPr>
        <w:t>Point-source contamination is primarily related to inadequate wastewater management, including leakage from septic systems, insufficient sewerage coverage and uncontrolled discharges. These sources introduce organic matter, nutrients and microbiological contaminants into the system, particularly in settlements located within recharge zones and protection areas. Additional localised pressures include illegal waste disposal and leachate infiltration, which can represent significant contamination sources where direct hydraulic connections to the aquifer exist.</w:t>
      </w:r>
    </w:p>
    <w:p w14:paraId="0B4BC71E" w14:textId="77777777" w:rsidR="003E57F4" w:rsidRPr="003E57F4" w:rsidRDefault="003E57F4" w:rsidP="003E57F4">
      <w:pPr>
        <w:jc w:val="both"/>
        <w:rPr>
          <w:rFonts w:cstheme="minorHAnsi"/>
        </w:rPr>
      </w:pPr>
      <w:r w:rsidRPr="003E57F4">
        <w:rPr>
          <w:rFonts w:cstheme="minorHAnsi"/>
        </w:rPr>
        <w:t xml:space="preserve">Contaminant transport is controlled by rapid vertical infiltration and preferential flow through karst conduits, resulting in limited retention and short travel times between recharge and discharge zones. This is confirmed by hydrogeological investigations indicating strong connectivity between the </w:t>
      </w:r>
      <w:proofErr w:type="spellStart"/>
      <w:r w:rsidRPr="003E57F4">
        <w:rPr>
          <w:rFonts w:cstheme="minorHAnsi"/>
        </w:rPr>
        <w:t>Trebižat</w:t>
      </w:r>
      <w:proofErr w:type="spellEnd"/>
      <w:r w:rsidRPr="003E57F4">
        <w:rPr>
          <w:rFonts w:cstheme="minorHAnsi"/>
        </w:rPr>
        <w:t xml:space="preserve"> River system, the karst aquifer and the </w:t>
      </w:r>
      <w:proofErr w:type="spellStart"/>
      <w:r w:rsidRPr="003E57F4">
        <w:rPr>
          <w:rFonts w:cstheme="minorHAnsi"/>
        </w:rPr>
        <w:t>Prud</w:t>
      </w:r>
      <w:proofErr w:type="spellEnd"/>
      <w:r w:rsidRPr="003E57F4">
        <w:rPr>
          <w:rFonts w:cstheme="minorHAnsi"/>
        </w:rPr>
        <w:t xml:space="preserve"> spring. Under such conditions, pollutants introduced at the surface can reach groundwater and springs quickly, especially during periods of high recharge and flooding of karst poljes.</w:t>
      </w:r>
    </w:p>
    <w:p w14:paraId="75227DAC" w14:textId="77777777" w:rsidR="003E57F4" w:rsidRPr="003E57F4" w:rsidRDefault="003E57F4" w:rsidP="003E57F4">
      <w:pPr>
        <w:jc w:val="both"/>
        <w:rPr>
          <w:rFonts w:cstheme="minorHAnsi"/>
        </w:rPr>
      </w:pPr>
      <w:r w:rsidRPr="003E57F4">
        <w:rPr>
          <w:rFonts w:cstheme="minorHAnsi"/>
        </w:rPr>
        <w:t xml:space="preserve">The most sensitive receptors include groundwater bodies used for water supply, particularly the </w:t>
      </w:r>
      <w:proofErr w:type="spellStart"/>
      <w:r w:rsidRPr="003E57F4">
        <w:rPr>
          <w:rFonts w:cstheme="minorHAnsi"/>
        </w:rPr>
        <w:t>Prud</w:t>
      </w:r>
      <w:proofErr w:type="spellEnd"/>
      <w:r w:rsidRPr="003E57F4">
        <w:rPr>
          <w:rFonts w:cstheme="minorHAnsi"/>
        </w:rPr>
        <w:t xml:space="preserve"> spring, as well as surface water systems and wetland ecosystems in the Neretva delta. Recharge zones, sinkholes and areas within sanitary protection zones represent critical entry points for contaminants and therefore require focused attention in site characterization and management planning.</w:t>
      </w:r>
    </w:p>
    <w:p w14:paraId="473C2888" w14:textId="77777777" w:rsidR="003E57F4" w:rsidRPr="003E57F4" w:rsidRDefault="003E57F4" w:rsidP="003E57F4">
      <w:pPr>
        <w:jc w:val="both"/>
        <w:rPr>
          <w:rFonts w:cstheme="minorHAnsi"/>
        </w:rPr>
      </w:pPr>
      <w:r w:rsidRPr="003E57F4">
        <w:rPr>
          <w:rFonts w:cstheme="minorHAnsi"/>
        </w:rPr>
        <w:t>The system can be conceptualised using a source–pathway–receptor approach. Agricultural activities, wastewater and waste disposal act as sources; karst features and underground flow systems define pathways; while groundwater bodies, springs and downstream ecosystems represent receptors. This conceptual model reflects the strong interdependence of system components and the need for integrated assessment.</w:t>
      </w:r>
    </w:p>
    <w:p w14:paraId="09D6F39F" w14:textId="0ABF7432" w:rsidR="003E57F4" w:rsidRPr="003E57F4" w:rsidRDefault="003E57F4" w:rsidP="003E57F4">
      <w:pPr>
        <w:jc w:val="both"/>
        <w:rPr>
          <w:rFonts w:cstheme="minorHAnsi"/>
        </w:rPr>
      </w:pPr>
      <w:r w:rsidRPr="003E57F4">
        <w:rPr>
          <w:rFonts w:cstheme="minorHAnsi"/>
        </w:rPr>
        <w:t>Despite the availability of general hydrogeological and water quality data, important uncertainties remain. These include limited information on pesticide occurrence, insufficient spatial coverage of monitoring networks and incomplete understanding of specific groundwater flow paths. In addition, discontinuities in monitoring data further reduce the reliability of long-term assessments.</w:t>
      </w:r>
    </w:p>
    <w:p w14:paraId="164CDDC0" w14:textId="56B98172" w:rsidR="003E57F4" w:rsidRPr="003E57F4" w:rsidRDefault="003E57F4" w:rsidP="003E57F4">
      <w:pPr>
        <w:pStyle w:val="Heading2"/>
        <w:rPr>
          <w:lang w:val="en-GB"/>
        </w:rPr>
      </w:pPr>
      <w:bookmarkStart w:id="243" w:name="_Toc229036304"/>
      <w:r w:rsidRPr="003E57F4">
        <w:rPr>
          <w:lang w:val="en-GB"/>
        </w:rPr>
        <w:lastRenderedPageBreak/>
        <w:t>11.4 Design of contaminated site monitoring network and sampling strategy (</w:t>
      </w:r>
      <w:r>
        <w:rPr>
          <w:lang w:val="en-GB"/>
        </w:rPr>
        <w:t>n</w:t>
      </w:r>
      <w:r w:rsidRPr="003E57F4">
        <w:rPr>
          <w:lang w:val="en-GB"/>
        </w:rPr>
        <w:t xml:space="preserve">utrients and </w:t>
      </w:r>
      <w:r>
        <w:rPr>
          <w:lang w:val="en-GB"/>
        </w:rPr>
        <w:t>p</w:t>
      </w:r>
      <w:r w:rsidRPr="003E57F4">
        <w:rPr>
          <w:lang w:val="en-GB"/>
        </w:rPr>
        <w:t>esticides)</w:t>
      </w:r>
      <w:bookmarkEnd w:id="243"/>
    </w:p>
    <w:p w14:paraId="1DE3D110" w14:textId="77777777" w:rsidR="003E57F4" w:rsidRPr="005B5B38" w:rsidRDefault="003E57F4" w:rsidP="003E57F4">
      <w:pPr>
        <w:jc w:val="both"/>
        <w:rPr>
          <w:rFonts w:ascii="Calibri" w:hAnsi="Calibri" w:cs="Calibri"/>
        </w:rPr>
      </w:pPr>
      <w:r w:rsidRPr="005B5B38">
        <w:rPr>
          <w:rFonts w:ascii="Calibri" w:hAnsi="Calibri" w:cs="Calibri"/>
        </w:rPr>
        <w:t xml:space="preserve">The design of the monitoring network for TBA Neretva must reflect the specific characteristics of the karst aquifer system and the dominant pressures identified in recharge areas such as </w:t>
      </w:r>
      <w:proofErr w:type="spellStart"/>
      <w:r w:rsidRPr="005B5B38">
        <w:rPr>
          <w:rFonts w:ascii="Calibri" w:hAnsi="Calibri" w:cs="Calibri"/>
        </w:rPr>
        <w:t>Ljubuško</w:t>
      </w:r>
      <w:proofErr w:type="spellEnd"/>
      <w:r w:rsidRPr="005B5B38">
        <w:rPr>
          <w:rFonts w:ascii="Calibri" w:hAnsi="Calibri" w:cs="Calibri"/>
        </w:rPr>
        <w:t xml:space="preserve"> polje and discharge zones such as the </w:t>
      </w:r>
      <w:proofErr w:type="spellStart"/>
      <w:r w:rsidRPr="005B5B38">
        <w:rPr>
          <w:rFonts w:ascii="Calibri" w:hAnsi="Calibri" w:cs="Calibri"/>
        </w:rPr>
        <w:t>Prud</w:t>
      </w:r>
      <w:proofErr w:type="spellEnd"/>
      <w:r w:rsidRPr="005B5B38">
        <w:rPr>
          <w:rFonts w:ascii="Calibri" w:hAnsi="Calibri" w:cs="Calibri"/>
        </w:rPr>
        <w:t xml:space="preserve"> spring. The objective is to ensure reliable detection of nutrient and pesticide contamination, identification of pollution pathways, and evaluation of the effectiveness of implemented measures.</w:t>
      </w:r>
    </w:p>
    <w:p w14:paraId="47D82323" w14:textId="77777777" w:rsidR="003E57F4" w:rsidRPr="005B5B38" w:rsidRDefault="003E57F4" w:rsidP="003E57F4">
      <w:pPr>
        <w:jc w:val="both"/>
        <w:rPr>
          <w:rFonts w:ascii="Calibri" w:hAnsi="Calibri" w:cs="Calibri"/>
        </w:rPr>
      </w:pPr>
      <w:r w:rsidRPr="005B5B38">
        <w:rPr>
          <w:rFonts w:ascii="Calibri" w:hAnsi="Calibri" w:cs="Calibri"/>
        </w:rPr>
        <w:t>Due to rapid groundwater flow, strong hydraulic connectivity and the presence of preferential pathways, conventional monitoring approaches are not sufficient. The network must therefore be spatially targeted and focused on critical zones, particularly recharge areas, sinkholes, where contaminant entry into the aquifer is most likely, as well as key discharge points where cumulative impacts can be assessed.</w:t>
      </w:r>
    </w:p>
    <w:p w14:paraId="49C8C4C4" w14:textId="77777777" w:rsidR="003E57F4" w:rsidRPr="005B5B38" w:rsidRDefault="003E57F4" w:rsidP="003E57F4">
      <w:pPr>
        <w:jc w:val="both"/>
        <w:rPr>
          <w:rFonts w:ascii="Calibri" w:hAnsi="Calibri" w:cs="Calibri"/>
        </w:rPr>
      </w:pPr>
      <w:r w:rsidRPr="005B5B38">
        <w:rPr>
          <w:rFonts w:ascii="Calibri" w:hAnsi="Calibri" w:cs="Calibri"/>
        </w:rPr>
        <w:t xml:space="preserve">The monitoring system should integrate groundwater, spring and surface water monitoring. Priority locations include agricultural zones in karst poljes (e.g. </w:t>
      </w:r>
      <w:proofErr w:type="spellStart"/>
      <w:r w:rsidRPr="005B5B38">
        <w:rPr>
          <w:rFonts w:ascii="Calibri" w:hAnsi="Calibri" w:cs="Calibri"/>
        </w:rPr>
        <w:t>Ljubuško</w:t>
      </w:r>
      <w:proofErr w:type="spellEnd"/>
      <w:r w:rsidRPr="005B5B38">
        <w:rPr>
          <w:rFonts w:ascii="Calibri" w:hAnsi="Calibri" w:cs="Calibri"/>
        </w:rPr>
        <w:t xml:space="preserve"> polje), sinkholes and infiltration zones in the upper catchment, sections of the </w:t>
      </w:r>
      <w:proofErr w:type="spellStart"/>
      <w:r w:rsidRPr="005B5B38">
        <w:rPr>
          <w:rFonts w:ascii="Calibri" w:hAnsi="Calibri" w:cs="Calibri"/>
        </w:rPr>
        <w:t>Trebižat</w:t>
      </w:r>
      <w:proofErr w:type="spellEnd"/>
      <w:r w:rsidRPr="005B5B38">
        <w:rPr>
          <w:rFonts w:ascii="Calibri" w:hAnsi="Calibri" w:cs="Calibri"/>
        </w:rPr>
        <w:t xml:space="preserve"> River with losing characteristics, and major springs such as </w:t>
      </w:r>
      <w:proofErr w:type="spellStart"/>
      <w:r w:rsidRPr="005B5B38">
        <w:rPr>
          <w:rFonts w:ascii="Calibri" w:hAnsi="Calibri" w:cs="Calibri"/>
        </w:rPr>
        <w:t>Prud</w:t>
      </w:r>
      <w:proofErr w:type="spellEnd"/>
      <w:r w:rsidRPr="005B5B38">
        <w:rPr>
          <w:rFonts w:ascii="Calibri" w:hAnsi="Calibri" w:cs="Calibri"/>
        </w:rPr>
        <w:t xml:space="preserve"> and </w:t>
      </w:r>
      <w:proofErr w:type="spellStart"/>
      <w:r w:rsidRPr="005B5B38">
        <w:rPr>
          <w:rFonts w:ascii="Calibri" w:hAnsi="Calibri" w:cs="Calibri"/>
        </w:rPr>
        <w:t>O</w:t>
      </w:r>
      <w:r>
        <w:rPr>
          <w:rFonts w:ascii="Calibri" w:hAnsi="Calibri" w:cs="Calibri"/>
        </w:rPr>
        <w:t>pa</w:t>
      </w:r>
      <w:r w:rsidRPr="005B5B38">
        <w:rPr>
          <w:rFonts w:ascii="Calibri" w:hAnsi="Calibri" w:cs="Calibri"/>
        </w:rPr>
        <w:t>čac</w:t>
      </w:r>
      <w:proofErr w:type="spellEnd"/>
      <w:r w:rsidRPr="005B5B38">
        <w:rPr>
          <w:rFonts w:ascii="Calibri" w:hAnsi="Calibri" w:cs="Calibri"/>
        </w:rPr>
        <w:t>. Springs represent critical control points and should be monitored with higher frequency or continuous measurements, given their direct hydraulic connection with the aquifer.</w:t>
      </w:r>
    </w:p>
    <w:p w14:paraId="36315EE2" w14:textId="77777777" w:rsidR="003E57F4" w:rsidRPr="005B5B38" w:rsidRDefault="003E57F4" w:rsidP="003E57F4">
      <w:pPr>
        <w:jc w:val="both"/>
        <w:rPr>
          <w:rFonts w:ascii="Calibri" w:hAnsi="Calibri" w:cs="Calibri"/>
        </w:rPr>
      </w:pPr>
      <w:r w:rsidRPr="005B5B38">
        <w:rPr>
          <w:rFonts w:ascii="Calibri" w:hAnsi="Calibri" w:cs="Calibri"/>
        </w:rPr>
        <w:t xml:space="preserve">The selection of monitored parameters should be aligned with the dominant pressures. Key indicators include nitrates, total nitrogen, total phosphorus and basic </w:t>
      </w:r>
      <w:proofErr w:type="spellStart"/>
      <w:r w:rsidRPr="005B5B38">
        <w:rPr>
          <w:rFonts w:ascii="Calibri" w:hAnsi="Calibri" w:cs="Calibri"/>
        </w:rPr>
        <w:t>physico</w:t>
      </w:r>
      <w:proofErr w:type="spellEnd"/>
      <w:r w:rsidRPr="005B5B38">
        <w:rPr>
          <w:rFonts w:ascii="Calibri" w:hAnsi="Calibri" w:cs="Calibri"/>
        </w:rPr>
        <w:t>-chemical parameters such as conductivity, pH and dissolved oxygen. Emphasis should be placed on pesticide monitoring, including locally used active substances and their degradation products, as current data indicate significant gaps in this area. Where relevant, microbiological parameters should be included to assess wastewater-related impacts.</w:t>
      </w:r>
    </w:p>
    <w:p w14:paraId="1F11C91D" w14:textId="77777777" w:rsidR="003E57F4" w:rsidRPr="005B5B38" w:rsidRDefault="003E57F4" w:rsidP="003E57F4">
      <w:pPr>
        <w:jc w:val="both"/>
        <w:rPr>
          <w:rFonts w:ascii="Calibri" w:hAnsi="Calibri" w:cs="Calibri"/>
        </w:rPr>
      </w:pPr>
      <w:r w:rsidRPr="005B5B38">
        <w:rPr>
          <w:rFonts w:ascii="Calibri" w:hAnsi="Calibri" w:cs="Calibri"/>
        </w:rPr>
        <w:t xml:space="preserve">Sampling frequency must account for the dynamic behaviour of the karst system. Routine monitoring should be complemented by event-based sampling during periods of intense rainfall and recharge, when rapid transport of contaminants occurs. In such conditions, short-term peaks in concentrations and increased turbidity at springs may occur, reflecting the rapid transfer of suspended and dissolved materials through karst conduits. Continuous monitoring of parameters such as conductivity, temperature and turbidity is therefore recommended at key locations, particularly at the </w:t>
      </w:r>
      <w:proofErr w:type="spellStart"/>
      <w:r w:rsidRPr="005B5B38">
        <w:rPr>
          <w:rFonts w:ascii="Calibri" w:hAnsi="Calibri" w:cs="Calibri"/>
        </w:rPr>
        <w:t>Prud</w:t>
      </w:r>
      <w:proofErr w:type="spellEnd"/>
      <w:r w:rsidRPr="005B5B38">
        <w:rPr>
          <w:rFonts w:ascii="Calibri" w:hAnsi="Calibri" w:cs="Calibri"/>
        </w:rPr>
        <w:t xml:space="preserve"> spring.</w:t>
      </w:r>
    </w:p>
    <w:p w14:paraId="085D1C2E" w14:textId="77777777" w:rsidR="003E57F4" w:rsidRPr="005B5B38" w:rsidRDefault="003E57F4" w:rsidP="003E57F4">
      <w:pPr>
        <w:jc w:val="both"/>
        <w:rPr>
          <w:rFonts w:ascii="Calibri" w:hAnsi="Calibri" w:cs="Calibri"/>
        </w:rPr>
      </w:pPr>
      <w:r w:rsidRPr="005B5B38">
        <w:rPr>
          <w:rFonts w:ascii="Calibri" w:hAnsi="Calibri" w:cs="Calibri"/>
        </w:rPr>
        <w:t xml:space="preserve">The monitoring network should also address existing limitations related to data continuity and spatial coverage. Long-term, consistent datasets are necessary for reliable trend analysis, while harmonisation of sampling and analytical methods is required to ensure comparability of results across the </w:t>
      </w:r>
      <w:r>
        <w:rPr>
          <w:rFonts w:ascii="Calibri" w:hAnsi="Calibri" w:cs="Calibri"/>
        </w:rPr>
        <w:t>TBA</w:t>
      </w:r>
      <w:r w:rsidRPr="005B5B38">
        <w:rPr>
          <w:rFonts w:ascii="Calibri" w:hAnsi="Calibri" w:cs="Calibri"/>
        </w:rPr>
        <w:t>.</w:t>
      </w:r>
    </w:p>
    <w:p w14:paraId="770EBE7D" w14:textId="77777777" w:rsidR="003E57F4" w:rsidRPr="005B5B38" w:rsidRDefault="003E57F4" w:rsidP="003E57F4">
      <w:pPr>
        <w:jc w:val="both"/>
        <w:rPr>
          <w:rFonts w:ascii="Calibri" w:hAnsi="Calibri" w:cs="Calibri"/>
        </w:rPr>
      </w:pPr>
      <w:r w:rsidRPr="005B5B38">
        <w:rPr>
          <w:rFonts w:ascii="Calibri" w:hAnsi="Calibri" w:cs="Calibri"/>
        </w:rPr>
        <w:t>Collected data should be managed through a centralised system and integrated with GIS tools to support spatial analysis, identification of critical zones and decision-making. The monitoring approach should remain flexible, allowing for adjustments based on new findings and evolving pressures.</w:t>
      </w:r>
    </w:p>
    <w:p w14:paraId="0BAEC0F1" w14:textId="77777777" w:rsidR="003E57F4" w:rsidRDefault="003E57F4" w:rsidP="003E57F4">
      <w:pPr>
        <w:jc w:val="both"/>
        <w:rPr>
          <w:rFonts w:ascii="Calibri" w:hAnsi="Calibri" w:cs="Calibri"/>
        </w:rPr>
      </w:pPr>
      <w:r w:rsidRPr="005B5B38">
        <w:rPr>
          <w:rFonts w:ascii="Calibri" w:hAnsi="Calibri" w:cs="Calibri"/>
        </w:rPr>
        <w:t>An integrated, targeted and event-sensitive monitoring network is essential for accurately capturing contamination processes in the karst aquifer system and providing a reliable basis for groundwater protection and remediation planning.</w:t>
      </w:r>
    </w:p>
    <w:p w14:paraId="4A2C9705" w14:textId="77777777" w:rsidR="003E57F4" w:rsidRPr="00251919" w:rsidRDefault="003E57F4" w:rsidP="003E57F4">
      <w:pPr>
        <w:jc w:val="both"/>
        <w:rPr>
          <w:rFonts w:ascii="Calibri" w:hAnsi="Calibri" w:cs="Calibri"/>
          <w:highlight w:val="yellow"/>
        </w:rPr>
      </w:pPr>
    </w:p>
    <w:p w14:paraId="471EAD9F" w14:textId="7E33DD44" w:rsidR="003E57F4" w:rsidRPr="003E57F4" w:rsidRDefault="003E57F4" w:rsidP="003E57F4">
      <w:pPr>
        <w:pStyle w:val="Heading2"/>
        <w:rPr>
          <w:lang w:val="en-GB"/>
        </w:rPr>
      </w:pPr>
      <w:bookmarkStart w:id="244" w:name="_Toc229036305"/>
      <w:r w:rsidRPr="003E57F4">
        <w:rPr>
          <w:lang w:val="en-GB"/>
        </w:rPr>
        <w:lastRenderedPageBreak/>
        <w:t>11.5 Defining remediation goals (reduction of nutrient loads and pesticide removal)</w:t>
      </w:r>
      <w:bookmarkEnd w:id="244"/>
    </w:p>
    <w:p w14:paraId="7EF798F4"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Remediation goals define the intended outcomes of measures implemented to reduce contamination and protect groundwater quality in the</w:t>
      </w:r>
      <w:r>
        <w:rPr>
          <w:rFonts w:ascii="Calibri" w:eastAsiaTheme="majorEastAsia" w:hAnsi="Calibri" w:cs="Calibri"/>
        </w:rPr>
        <w:t xml:space="preserve"> TBA</w:t>
      </w:r>
      <w:r w:rsidRPr="009A1E02">
        <w:rPr>
          <w:rFonts w:ascii="Calibri" w:eastAsiaTheme="majorEastAsia" w:hAnsi="Calibri" w:cs="Calibri"/>
        </w:rPr>
        <w:t>. In karst aquifers, these goals must be aligned with the Water Framework Directive (2000/60/EC), the Groundwater Directive (2006/118/EC) and the Nitrates Directive (91/676/EEC), while reflecting the high vulnerability of the system. Due to rapid contaminant transport and limited natural attenuation, goals must be clearly defined, measurable and based on a precautionary approach.</w:t>
      </w:r>
    </w:p>
    <w:p w14:paraId="7BB3D3EE"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The primary objective is the reduction of nutrient inputs, particularly nitrogen and phosphorus, originating from agriculture and wastewater. For nitrogen, this includes limiting leaching from fertilizers and manure, aligning application rates with crop requirements and ensuring that organic inputs do not exceed 170 kg N/ha/year. In addition to compliance with the regulatory limit of 50 mg/L for nitrates in groundwater, a more stringent target of 25 mg/L is recommended in sensitive recharge zones such as </w:t>
      </w:r>
      <w:proofErr w:type="spellStart"/>
      <w:r w:rsidRPr="009A1E02">
        <w:rPr>
          <w:rFonts w:ascii="Calibri" w:eastAsiaTheme="majorEastAsia" w:hAnsi="Calibri" w:cs="Calibri"/>
        </w:rPr>
        <w:t>Ljubuško</w:t>
      </w:r>
      <w:proofErr w:type="spellEnd"/>
      <w:r w:rsidRPr="009A1E02">
        <w:rPr>
          <w:rFonts w:ascii="Calibri" w:eastAsiaTheme="majorEastAsia" w:hAnsi="Calibri" w:cs="Calibri"/>
        </w:rPr>
        <w:t xml:space="preserve"> polje.</w:t>
      </w:r>
    </w:p>
    <w:p w14:paraId="3CD64513"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Phosphorus-related objectives focus on reducing surface runoff and preventing long-term accumulation in soils and sediments, which may contribute to eutrophication in connected surface waters, including the Neretva delta.</w:t>
      </w:r>
    </w:p>
    <w:p w14:paraId="0324CE3C"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A further objective is the control of pesticide contamination through reduction of use, elimination of non-authorised substances and prevention of transport into groundwater. Monitoring and management should ensure compliance with EU standards (0.1 µg/L for individual substances and 0.5 µg/L total), including consideration of degradation products.</w:t>
      </w:r>
    </w:p>
    <w:p w14:paraId="36088F97"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Wastewater-related goals focus on reducing the discharge and infiltration of untreated or insufficiently treated effluents, particularly in recharge areas and zones with direct hydraulic connection to springs such as </w:t>
      </w:r>
      <w:proofErr w:type="spellStart"/>
      <w:r w:rsidRPr="009A1E02">
        <w:rPr>
          <w:rFonts w:ascii="Calibri" w:eastAsiaTheme="majorEastAsia" w:hAnsi="Calibri" w:cs="Calibri"/>
        </w:rPr>
        <w:t>Prud</w:t>
      </w:r>
      <w:proofErr w:type="spellEnd"/>
      <w:r w:rsidRPr="009A1E02">
        <w:rPr>
          <w:rFonts w:ascii="Calibri" w:eastAsiaTheme="majorEastAsia" w:hAnsi="Calibri" w:cs="Calibri"/>
        </w:rPr>
        <w:t>. This includes improvement of sewerage systems and reduction of leakage from septic tanks.</w:t>
      </w:r>
    </w:p>
    <w:p w14:paraId="01796BC1"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Remediation efforts should be spatially prioritised, with highest priority assigned to recharge zones, sinkholes and sanitary protection zones, where contaminant entry into the aquifer is most significant. Areas such as </w:t>
      </w:r>
      <w:proofErr w:type="spellStart"/>
      <w:r w:rsidRPr="009A1E02">
        <w:rPr>
          <w:rFonts w:ascii="Calibri" w:eastAsiaTheme="majorEastAsia" w:hAnsi="Calibri" w:cs="Calibri"/>
        </w:rPr>
        <w:t>Ljubuško</w:t>
      </w:r>
      <w:proofErr w:type="spellEnd"/>
      <w:r w:rsidRPr="009A1E02">
        <w:rPr>
          <w:rFonts w:ascii="Calibri" w:eastAsiaTheme="majorEastAsia" w:hAnsi="Calibri" w:cs="Calibri"/>
        </w:rPr>
        <w:t xml:space="preserve"> polje and the wider </w:t>
      </w:r>
      <w:proofErr w:type="spellStart"/>
      <w:r w:rsidRPr="009A1E02">
        <w:rPr>
          <w:rFonts w:ascii="Calibri" w:eastAsiaTheme="majorEastAsia" w:hAnsi="Calibri" w:cs="Calibri"/>
        </w:rPr>
        <w:t>Prud</w:t>
      </w:r>
      <w:proofErr w:type="spellEnd"/>
      <w:r w:rsidRPr="009A1E02">
        <w:rPr>
          <w:rFonts w:ascii="Calibri" w:eastAsiaTheme="majorEastAsia" w:hAnsi="Calibri" w:cs="Calibri"/>
        </w:rPr>
        <w:t xml:space="preserve"> catchment represent critical intervention zones.</w:t>
      </w:r>
    </w:p>
    <w:p w14:paraId="2A2771B4"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Progress should be evaluated through measurable indicators, including trends in nitrate concentrations, pesticide occurrence and compliance with EU standards. Given the dynamic behaviour of karst systems, improvements should be assessed over medium- to long-term periods and supported by continuous monitoring.</w:t>
      </w:r>
    </w:p>
    <w:p w14:paraId="4641CEC6"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Overall, remediation goals must combine regulatory compliance with site-specific conditions, ensuring effective reduction of contamination sources and long-term protection of groundwater and connected ecosystems in the </w:t>
      </w:r>
      <w:r>
        <w:rPr>
          <w:rFonts w:ascii="Calibri" w:eastAsiaTheme="majorEastAsia" w:hAnsi="Calibri" w:cs="Calibri"/>
        </w:rPr>
        <w:t xml:space="preserve">TBA </w:t>
      </w:r>
      <w:r w:rsidRPr="009A1E02">
        <w:rPr>
          <w:rFonts w:ascii="Calibri" w:eastAsiaTheme="majorEastAsia" w:hAnsi="Calibri" w:cs="Calibri"/>
        </w:rPr>
        <w:t>Neretva.</w:t>
      </w:r>
    </w:p>
    <w:p w14:paraId="65A652BD" w14:textId="77777777" w:rsidR="003E57F4" w:rsidRPr="00251919" w:rsidRDefault="003E57F4" w:rsidP="003E57F4">
      <w:pPr>
        <w:jc w:val="both"/>
        <w:rPr>
          <w:rFonts w:ascii="Calibri" w:eastAsiaTheme="majorEastAsia" w:hAnsi="Calibri" w:cs="Calibri"/>
        </w:rPr>
      </w:pPr>
    </w:p>
    <w:p w14:paraId="38C105DC" w14:textId="2B679CEF" w:rsidR="003E57F4" w:rsidRPr="00251919" w:rsidRDefault="003E57F4" w:rsidP="003E57F4">
      <w:pPr>
        <w:pStyle w:val="Heading2"/>
        <w:rPr>
          <w:lang w:val="en-GB"/>
        </w:rPr>
      </w:pPr>
      <w:bookmarkStart w:id="245" w:name="_Toc229036306"/>
      <w:r w:rsidRPr="00251919">
        <w:rPr>
          <w:lang w:val="en-GB"/>
        </w:rPr>
        <w:t>1</w:t>
      </w:r>
      <w:r>
        <w:rPr>
          <w:lang w:val="en-GB"/>
        </w:rPr>
        <w:t>1</w:t>
      </w:r>
      <w:r w:rsidRPr="00251919">
        <w:rPr>
          <w:lang w:val="en-GB"/>
        </w:rPr>
        <w:t xml:space="preserve">.6 Site-specific cleanup levels and endpoints </w:t>
      </w:r>
      <w:r w:rsidRPr="009A1E02">
        <w:rPr>
          <w:lang w:val="en-GB"/>
        </w:rPr>
        <w:t xml:space="preserve">(EU Standards and </w:t>
      </w:r>
      <w:r w:rsidR="00EE46B7">
        <w:rPr>
          <w:lang w:val="en-GB"/>
        </w:rPr>
        <w:t>h</w:t>
      </w:r>
      <w:r w:rsidRPr="009A1E02">
        <w:rPr>
          <w:lang w:val="en-GB"/>
        </w:rPr>
        <w:t>ealth-</w:t>
      </w:r>
      <w:r w:rsidR="00EE46B7">
        <w:rPr>
          <w:lang w:val="en-GB"/>
        </w:rPr>
        <w:t>b</w:t>
      </w:r>
      <w:r w:rsidRPr="009A1E02">
        <w:rPr>
          <w:lang w:val="en-GB"/>
        </w:rPr>
        <w:t xml:space="preserve">ased </w:t>
      </w:r>
      <w:r w:rsidR="00EE46B7">
        <w:rPr>
          <w:lang w:val="en-GB"/>
        </w:rPr>
        <w:t>t</w:t>
      </w:r>
      <w:r w:rsidRPr="009A1E02">
        <w:rPr>
          <w:lang w:val="en-GB"/>
        </w:rPr>
        <w:t>hresholds)</w:t>
      </w:r>
      <w:bookmarkEnd w:id="245"/>
    </w:p>
    <w:p w14:paraId="600AA3A9" w14:textId="38F8588A"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Cleanup levels define the concentration thresholds that must be achieved to ensure that groundwater and connected surface water bodies are safe for human use and ecological functions. In the karst aquifer system of </w:t>
      </w:r>
      <w:r w:rsidR="00EE46B7" w:rsidRPr="009A1E02">
        <w:rPr>
          <w:rFonts w:ascii="Calibri" w:eastAsiaTheme="majorEastAsia" w:hAnsi="Calibri" w:cs="Calibri"/>
        </w:rPr>
        <w:t>Neretva</w:t>
      </w:r>
      <w:r w:rsidR="00EE46B7">
        <w:rPr>
          <w:rFonts w:ascii="Calibri" w:eastAsiaTheme="majorEastAsia" w:hAnsi="Calibri" w:cs="Calibri"/>
        </w:rPr>
        <w:t xml:space="preserve"> </w:t>
      </w:r>
      <w:r>
        <w:rPr>
          <w:rFonts w:ascii="Calibri" w:eastAsiaTheme="majorEastAsia" w:hAnsi="Calibri" w:cs="Calibri"/>
        </w:rPr>
        <w:t>TBA</w:t>
      </w:r>
      <w:r w:rsidRPr="009A1E02">
        <w:rPr>
          <w:rFonts w:ascii="Calibri" w:eastAsiaTheme="majorEastAsia" w:hAnsi="Calibri" w:cs="Calibri"/>
        </w:rPr>
        <w:t xml:space="preserve">, these thresholds represent the endpoints of remediation and must be aligned with the Water Framework Directive (2000/60/EC), the Groundwater Directive (2006/118/EC) and the Drinking Water Directive (2020/2184/EU). Given the high vulnerability of karst systems, </w:t>
      </w:r>
      <w:r w:rsidRPr="009A1E02">
        <w:rPr>
          <w:rFonts w:ascii="Calibri" w:eastAsiaTheme="majorEastAsia" w:hAnsi="Calibri" w:cs="Calibri"/>
        </w:rPr>
        <w:lastRenderedPageBreak/>
        <w:t xml:space="preserve">characterised by rapid infiltration and limited natural attenuation, particular emphasis must be placed on the protection of drinking water sources, including springs such as </w:t>
      </w:r>
      <w:proofErr w:type="spellStart"/>
      <w:r w:rsidRPr="009A1E02">
        <w:rPr>
          <w:rFonts w:ascii="Calibri" w:eastAsiaTheme="majorEastAsia" w:hAnsi="Calibri" w:cs="Calibri"/>
        </w:rPr>
        <w:t>Prud</w:t>
      </w:r>
      <w:proofErr w:type="spellEnd"/>
      <w:r w:rsidRPr="009A1E02">
        <w:rPr>
          <w:rFonts w:ascii="Calibri" w:eastAsiaTheme="majorEastAsia" w:hAnsi="Calibri" w:cs="Calibri"/>
        </w:rPr>
        <w:t>.</w:t>
      </w:r>
    </w:p>
    <w:p w14:paraId="133562F6"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The most relevant parameters related to agricultural and wastewater pressures are nitrates, phosphorus and pesticides. The legal limit for nitrate concentrations in groundwater is 50 mg/L, while a more stringent target of 25 mg/L is recommended in sensitive recharge zones. For pesticides, strict health-based thresholds apply, with maximum concentrations of 0.1 µg/L for individual substances and 0.5 µg/L for total pesticide content, in accordance with EU drinking water standards.</w:t>
      </w:r>
    </w:p>
    <w:p w14:paraId="022245AC"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Phosphorus does not have a uniform groundwater threshold under EU legislation. Indicative values in the range of 0.05–0.1 mg/L are commonly used to assess the risk of eutrophication in connected surface waters (in sensitive environments - such as the Neretva delta).</w:t>
      </w:r>
    </w:p>
    <w:p w14:paraId="77D783D7"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Cleanup levels represent both regulatory compliance criteria and practical remediation endpoints. </w:t>
      </w:r>
    </w:p>
    <w:p w14:paraId="1F11116A" w14:textId="2A6970FD" w:rsidR="003E57F4" w:rsidRDefault="003E57F4" w:rsidP="003E57F4">
      <w:pPr>
        <w:jc w:val="both"/>
        <w:rPr>
          <w:rFonts w:ascii="Calibri" w:eastAsiaTheme="majorEastAsia" w:hAnsi="Calibri" w:cs="Calibri"/>
        </w:rPr>
      </w:pPr>
      <w:r w:rsidRPr="009A1E02">
        <w:rPr>
          <w:rFonts w:ascii="Calibri" w:eastAsiaTheme="majorEastAsia" w:hAnsi="Calibri" w:cs="Calibri"/>
        </w:rPr>
        <w:t>Remediation can be considered effective when concentrations are consistently below defined thresholds, when long-term trends show improvement, and when risks to drinking water sources and ecosystems are reduced. In karst systems, achieving these endpoints requires long-term monitoring and adaptive management due to rapid contaminant transport and system variability.</w:t>
      </w:r>
    </w:p>
    <w:p w14:paraId="6CD5D770" w14:textId="6FA7F78F" w:rsidR="003E57F4" w:rsidRPr="00924177" w:rsidRDefault="002F4776" w:rsidP="002F4776">
      <w:pPr>
        <w:pStyle w:val="Caption"/>
        <w:rPr>
          <w:rFonts w:cstheme="minorHAnsi"/>
          <w:i w:val="0"/>
          <w:iCs w:val="0"/>
          <w:sz w:val="20"/>
          <w:szCs w:val="20"/>
        </w:rPr>
      </w:pPr>
      <w:bookmarkStart w:id="246" w:name="_Toc229037752"/>
      <w:r>
        <w:t xml:space="preserve">Table </w:t>
      </w:r>
      <w:r>
        <w:fldChar w:fldCharType="begin"/>
      </w:r>
      <w:r>
        <w:instrText xml:space="preserve"> SEQ Table \* ARABIC </w:instrText>
      </w:r>
      <w:r>
        <w:fldChar w:fldCharType="separate"/>
      </w:r>
      <w:r>
        <w:rPr>
          <w:noProof/>
        </w:rPr>
        <w:t>30</w:t>
      </w:r>
      <w:r>
        <w:fldChar w:fldCharType="end"/>
      </w:r>
      <w:r>
        <w:t xml:space="preserve"> </w:t>
      </w:r>
      <w:r w:rsidRPr="00CA6C55">
        <w:t>Key cleanup levels and reference values</w:t>
      </w:r>
      <w:bookmarkEnd w:id="246"/>
    </w:p>
    <w:tbl>
      <w:tblPr>
        <w:tblStyle w:val="Reetkatablice1"/>
        <w:tblW w:w="0" w:type="auto"/>
        <w:tblBorders>
          <w:top w:val="double" w:sz="6" w:space="0" w:color="000000" w:themeColor="text1"/>
          <w:left w:val="double" w:sz="6" w:space="0" w:color="000000" w:themeColor="text1"/>
          <w:bottom w:val="double" w:sz="6" w:space="0" w:color="000000" w:themeColor="text1"/>
          <w:right w:val="double" w:sz="6" w:space="0" w:color="000000" w:themeColor="text1"/>
          <w:insideH w:val="double" w:sz="6" w:space="0" w:color="000000" w:themeColor="text1"/>
          <w:insideV w:val="double" w:sz="6" w:space="0" w:color="000000" w:themeColor="text1"/>
        </w:tblBorders>
        <w:tblLook w:val="00A0" w:firstRow="1" w:lastRow="0" w:firstColumn="1" w:lastColumn="0" w:noHBand="0" w:noVBand="0"/>
      </w:tblPr>
      <w:tblGrid>
        <w:gridCol w:w="1352"/>
        <w:gridCol w:w="2000"/>
        <w:gridCol w:w="1821"/>
      </w:tblGrid>
      <w:tr w:rsidR="003E57F4" w:rsidRPr="00924177" w14:paraId="7997F80E" w14:textId="77777777" w:rsidTr="00EE46B7">
        <w:tc>
          <w:tcPr>
            <w:tcW w:w="0" w:type="auto"/>
            <w:shd w:val="clear" w:color="auto" w:fill="B4C6E7"/>
            <w:hideMark/>
          </w:tcPr>
          <w:p w14:paraId="62B6CBE9" w14:textId="77777777" w:rsidR="003E57F4" w:rsidRPr="00B16D18" w:rsidRDefault="003E57F4" w:rsidP="009919F2">
            <w:pPr>
              <w:spacing w:line="259" w:lineRule="auto"/>
              <w:rPr>
                <w:rFonts w:cstheme="minorHAnsi"/>
                <w:b/>
                <w:bCs/>
                <w:sz w:val="20"/>
                <w:szCs w:val="20"/>
              </w:rPr>
            </w:pPr>
            <w:r w:rsidRPr="00B16D18">
              <w:rPr>
                <w:sz w:val="20"/>
                <w:szCs w:val="20"/>
              </w:rPr>
              <w:t>Parameter</w:t>
            </w:r>
          </w:p>
        </w:tc>
        <w:tc>
          <w:tcPr>
            <w:tcW w:w="0" w:type="auto"/>
            <w:shd w:val="clear" w:color="auto" w:fill="B4C6E7"/>
            <w:hideMark/>
          </w:tcPr>
          <w:p w14:paraId="19B99CF6" w14:textId="77777777" w:rsidR="003E57F4" w:rsidRPr="00B16D18" w:rsidRDefault="003E57F4" w:rsidP="009919F2">
            <w:pPr>
              <w:spacing w:line="259" w:lineRule="auto"/>
              <w:rPr>
                <w:rFonts w:cstheme="minorHAnsi"/>
                <w:b/>
                <w:bCs/>
                <w:sz w:val="20"/>
                <w:szCs w:val="20"/>
              </w:rPr>
            </w:pPr>
            <w:r w:rsidRPr="00B16D18">
              <w:rPr>
                <w:sz w:val="20"/>
                <w:szCs w:val="20"/>
              </w:rPr>
              <w:t>Cleanup level</w:t>
            </w:r>
          </w:p>
        </w:tc>
        <w:tc>
          <w:tcPr>
            <w:tcW w:w="0" w:type="auto"/>
            <w:shd w:val="clear" w:color="auto" w:fill="B4C6E7"/>
            <w:hideMark/>
          </w:tcPr>
          <w:p w14:paraId="00C751C1" w14:textId="77777777" w:rsidR="003E57F4" w:rsidRPr="00B16D18" w:rsidRDefault="003E57F4" w:rsidP="009919F2">
            <w:pPr>
              <w:spacing w:line="259" w:lineRule="auto"/>
              <w:rPr>
                <w:rFonts w:cstheme="minorHAnsi"/>
                <w:b/>
                <w:bCs/>
                <w:sz w:val="20"/>
                <w:szCs w:val="20"/>
              </w:rPr>
            </w:pPr>
            <w:r w:rsidRPr="00B16D18">
              <w:rPr>
                <w:sz w:val="20"/>
                <w:szCs w:val="20"/>
              </w:rPr>
              <w:t>Reference</w:t>
            </w:r>
          </w:p>
        </w:tc>
      </w:tr>
      <w:tr w:rsidR="003E57F4" w:rsidRPr="00924177" w14:paraId="571C8708" w14:textId="77777777" w:rsidTr="00EE46B7">
        <w:tc>
          <w:tcPr>
            <w:tcW w:w="0" w:type="auto"/>
            <w:hideMark/>
          </w:tcPr>
          <w:p w14:paraId="561431F6" w14:textId="77777777" w:rsidR="003E57F4" w:rsidRPr="00B16D18" w:rsidRDefault="003E57F4" w:rsidP="009919F2">
            <w:pPr>
              <w:spacing w:line="259" w:lineRule="auto"/>
              <w:rPr>
                <w:rFonts w:cstheme="minorHAnsi"/>
                <w:b/>
                <w:bCs/>
                <w:sz w:val="16"/>
                <w:szCs w:val="16"/>
              </w:rPr>
            </w:pPr>
            <w:r w:rsidRPr="00B16D18">
              <w:rPr>
                <w:sz w:val="16"/>
                <w:szCs w:val="16"/>
              </w:rPr>
              <w:t>Nitrate (NO₃</w:t>
            </w:r>
            <w:r w:rsidRPr="00B16D18">
              <w:rPr>
                <w:rFonts w:ascii="Cambria Math" w:hAnsi="Cambria Math" w:cs="Cambria Math"/>
                <w:sz w:val="16"/>
                <w:szCs w:val="16"/>
              </w:rPr>
              <w:t>⁻</w:t>
            </w:r>
            <w:r w:rsidRPr="00B16D18">
              <w:rPr>
                <w:sz w:val="16"/>
                <w:szCs w:val="16"/>
              </w:rPr>
              <w:t>)</w:t>
            </w:r>
          </w:p>
        </w:tc>
        <w:tc>
          <w:tcPr>
            <w:tcW w:w="0" w:type="auto"/>
            <w:hideMark/>
          </w:tcPr>
          <w:p w14:paraId="5FCD9FEE" w14:textId="77777777" w:rsidR="003E57F4" w:rsidRPr="00B16D18" w:rsidRDefault="003E57F4" w:rsidP="009919F2">
            <w:pPr>
              <w:spacing w:line="259" w:lineRule="auto"/>
              <w:rPr>
                <w:rFonts w:cstheme="minorHAnsi"/>
                <w:sz w:val="16"/>
                <w:szCs w:val="16"/>
              </w:rPr>
            </w:pPr>
            <w:r w:rsidRPr="00B16D18">
              <w:rPr>
                <w:sz w:val="16"/>
                <w:szCs w:val="16"/>
              </w:rPr>
              <w:t>&lt; 50 mg/L (target: 25 mg/L)</w:t>
            </w:r>
          </w:p>
        </w:tc>
        <w:tc>
          <w:tcPr>
            <w:tcW w:w="0" w:type="auto"/>
            <w:hideMark/>
          </w:tcPr>
          <w:p w14:paraId="6E7D4713" w14:textId="77777777" w:rsidR="003E57F4" w:rsidRPr="00B16D18" w:rsidRDefault="003E57F4" w:rsidP="009919F2">
            <w:pPr>
              <w:spacing w:line="259" w:lineRule="auto"/>
              <w:rPr>
                <w:rFonts w:cstheme="minorHAnsi"/>
                <w:sz w:val="16"/>
                <w:szCs w:val="16"/>
              </w:rPr>
            </w:pPr>
            <w:r w:rsidRPr="00B16D18">
              <w:rPr>
                <w:sz w:val="16"/>
                <w:szCs w:val="16"/>
              </w:rPr>
              <w:t>Groundwater Directive</w:t>
            </w:r>
          </w:p>
        </w:tc>
      </w:tr>
      <w:tr w:rsidR="003E57F4" w:rsidRPr="00924177" w14:paraId="22F7AAA9" w14:textId="77777777" w:rsidTr="00EE46B7">
        <w:tc>
          <w:tcPr>
            <w:tcW w:w="0" w:type="auto"/>
            <w:hideMark/>
          </w:tcPr>
          <w:p w14:paraId="18EDF974" w14:textId="77777777" w:rsidR="003E57F4" w:rsidRPr="00B16D18" w:rsidRDefault="003E57F4" w:rsidP="009919F2">
            <w:pPr>
              <w:spacing w:line="259" w:lineRule="auto"/>
              <w:rPr>
                <w:rFonts w:cstheme="minorHAnsi"/>
                <w:b/>
                <w:bCs/>
                <w:sz w:val="16"/>
                <w:szCs w:val="16"/>
              </w:rPr>
            </w:pPr>
            <w:r w:rsidRPr="00B16D18">
              <w:rPr>
                <w:sz w:val="16"/>
                <w:szCs w:val="16"/>
              </w:rPr>
              <w:t>Total phosphorus</w:t>
            </w:r>
          </w:p>
        </w:tc>
        <w:tc>
          <w:tcPr>
            <w:tcW w:w="0" w:type="auto"/>
            <w:hideMark/>
          </w:tcPr>
          <w:p w14:paraId="7C87A643" w14:textId="77777777" w:rsidR="003E57F4" w:rsidRPr="00B16D18" w:rsidRDefault="003E57F4" w:rsidP="009919F2">
            <w:pPr>
              <w:spacing w:line="259" w:lineRule="auto"/>
              <w:rPr>
                <w:rFonts w:cstheme="minorHAnsi"/>
                <w:sz w:val="16"/>
                <w:szCs w:val="16"/>
              </w:rPr>
            </w:pPr>
            <w:r w:rsidRPr="00B16D18">
              <w:rPr>
                <w:sz w:val="16"/>
                <w:szCs w:val="16"/>
              </w:rPr>
              <w:t>0.05–0.1 mg/L (indicative)</w:t>
            </w:r>
          </w:p>
        </w:tc>
        <w:tc>
          <w:tcPr>
            <w:tcW w:w="0" w:type="auto"/>
            <w:hideMark/>
          </w:tcPr>
          <w:p w14:paraId="7B025159" w14:textId="77777777" w:rsidR="003E57F4" w:rsidRPr="00B16D18" w:rsidRDefault="003E57F4" w:rsidP="009919F2">
            <w:pPr>
              <w:spacing w:line="259" w:lineRule="auto"/>
              <w:rPr>
                <w:rFonts w:cstheme="minorHAnsi"/>
                <w:sz w:val="16"/>
                <w:szCs w:val="16"/>
              </w:rPr>
            </w:pPr>
            <w:r w:rsidRPr="00B16D18">
              <w:rPr>
                <w:sz w:val="16"/>
                <w:szCs w:val="16"/>
              </w:rPr>
              <w:t>WFD (ecological status)</w:t>
            </w:r>
          </w:p>
        </w:tc>
      </w:tr>
      <w:tr w:rsidR="003E57F4" w:rsidRPr="00924177" w14:paraId="549C123E" w14:textId="77777777" w:rsidTr="00EE46B7">
        <w:tc>
          <w:tcPr>
            <w:tcW w:w="0" w:type="auto"/>
            <w:hideMark/>
          </w:tcPr>
          <w:p w14:paraId="125ADB75" w14:textId="77777777" w:rsidR="003E57F4" w:rsidRPr="00B16D18" w:rsidRDefault="003E57F4" w:rsidP="009919F2">
            <w:pPr>
              <w:spacing w:line="259" w:lineRule="auto"/>
              <w:rPr>
                <w:rFonts w:cstheme="minorHAnsi"/>
                <w:b/>
                <w:bCs/>
                <w:sz w:val="16"/>
                <w:szCs w:val="16"/>
              </w:rPr>
            </w:pPr>
            <w:r w:rsidRPr="00B16D18">
              <w:rPr>
                <w:sz w:val="16"/>
                <w:szCs w:val="16"/>
              </w:rPr>
              <w:t>Pesticide (single)</w:t>
            </w:r>
          </w:p>
        </w:tc>
        <w:tc>
          <w:tcPr>
            <w:tcW w:w="0" w:type="auto"/>
            <w:hideMark/>
          </w:tcPr>
          <w:p w14:paraId="42A1C49C" w14:textId="77777777" w:rsidR="003E57F4" w:rsidRPr="00B16D18" w:rsidRDefault="003E57F4" w:rsidP="009919F2">
            <w:pPr>
              <w:spacing w:line="259" w:lineRule="auto"/>
              <w:rPr>
                <w:rFonts w:cstheme="minorHAnsi"/>
                <w:sz w:val="16"/>
                <w:szCs w:val="16"/>
              </w:rPr>
            </w:pPr>
            <w:r w:rsidRPr="00B16D18">
              <w:rPr>
                <w:sz w:val="16"/>
                <w:szCs w:val="16"/>
              </w:rPr>
              <w:t>&lt; 0.1 µg/L</w:t>
            </w:r>
          </w:p>
        </w:tc>
        <w:tc>
          <w:tcPr>
            <w:tcW w:w="0" w:type="auto"/>
            <w:hideMark/>
          </w:tcPr>
          <w:p w14:paraId="53007BD9" w14:textId="77777777" w:rsidR="003E57F4" w:rsidRPr="00B16D18" w:rsidRDefault="003E57F4" w:rsidP="009919F2">
            <w:pPr>
              <w:spacing w:line="259" w:lineRule="auto"/>
              <w:rPr>
                <w:rFonts w:cstheme="minorHAnsi"/>
                <w:sz w:val="16"/>
                <w:szCs w:val="16"/>
              </w:rPr>
            </w:pPr>
            <w:r w:rsidRPr="00B16D18">
              <w:rPr>
                <w:sz w:val="16"/>
                <w:szCs w:val="16"/>
              </w:rPr>
              <w:t>Drinking Water Directive</w:t>
            </w:r>
          </w:p>
        </w:tc>
      </w:tr>
    </w:tbl>
    <w:p w14:paraId="0274A945" w14:textId="77777777" w:rsidR="003E57F4" w:rsidRPr="00251919" w:rsidRDefault="003E57F4" w:rsidP="003E57F4">
      <w:pPr>
        <w:jc w:val="both"/>
        <w:rPr>
          <w:rFonts w:ascii="Calibri" w:eastAsiaTheme="majorEastAsia" w:hAnsi="Calibri" w:cs="Calibri"/>
        </w:rPr>
      </w:pPr>
    </w:p>
    <w:p w14:paraId="508E8040" w14:textId="774B7116" w:rsidR="003E57F4" w:rsidRPr="00251919" w:rsidRDefault="003E57F4" w:rsidP="003E57F4">
      <w:pPr>
        <w:pStyle w:val="Heading2"/>
        <w:rPr>
          <w:lang w:val="en-GB"/>
        </w:rPr>
      </w:pPr>
      <w:bookmarkStart w:id="247" w:name="_Toc229036307"/>
      <w:r w:rsidRPr="00251919">
        <w:rPr>
          <w:lang w:val="en-GB"/>
        </w:rPr>
        <w:t>1</w:t>
      </w:r>
      <w:r>
        <w:rPr>
          <w:lang w:val="en-GB"/>
        </w:rPr>
        <w:t>1</w:t>
      </w:r>
      <w:r w:rsidRPr="00251919">
        <w:rPr>
          <w:lang w:val="en-GB"/>
        </w:rPr>
        <w:t xml:space="preserve">.7 </w:t>
      </w:r>
      <w:r w:rsidRPr="009A1E02">
        <w:rPr>
          <w:lang w:val="en-GB"/>
        </w:rPr>
        <w:t xml:space="preserve">In-situ and </w:t>
      </w:r>
      <w:r w:rsidR="00EE46B7">
        <w:rPr>
          <w:lang w:val="en-GB"/>
        </w:rPr>
        <w:t>e</w:t>
      </w:r>
      <w:r w:rsidRPr="009A1E02">
        <w:rPr>
          <w:lang w:val="en-GB"/>
        </w:rPr>
        <w:t xml:space="preserve">x-situ </w:t>
      </w:r>
      <w:r w:rsidR="00EE46B7">
        <w:rPr>
          <w:lang w:val="en-GB"/>
        </w:rPr>
        <w:t>r</w:t>
      </w:r>
      <w:r w:rsidRPr="009A1E02">
        <w:rPr>
          <w:lang w:val="en-GB"/>
        </w:rPr>
        <w:t xml:space="preserve">emediation </w:t>
      </w:r>
      <w:r w:rsidR="00EE46B7">
        <w:rPr>
          <w:lang w:val="en-GB"/>
        </w:rPr>
        <w:t>t</w:t>
      </w:r>
      <w:r w:rsidRPr="009A1E02">
        <w:rPr>
          <w:lang w:val="en-GB"/>
        </w:rPr>
        <w:t xml:space="preserve">echnologies for </w:t>
      </w:r>
      <w:r w:rsidR="00EE46B7">
        <w:rPr>
          <w:lang w:val="en-GB"/>
        </w:rPr>
        <w:t>n</w:t>
      </w:r>
      <w:r w:rsidRPr="009A1E02">
        <w:rPr>
          <w:lang w:val="en-GB"/>
        </w:rPr>
        <w:t xml:space="preserve">itrate and </w:t>
      </w:r>
      <w:r w:rsidR="00EE46B7">
        <w:rPr>
          <w:lang w:val="en-GB"/>
        </w:rPr>
        <w:t>p</w:t>
      </w:r>
      <w:r w:rsidRPr="009A1E02">
        <w:rPr>
          <w:lang w:val="en-GB"/>
        </w:rPr>
        <w:t xml:space="preserve">esticide </w:t>
      </w:r>
      <w:r w:rsidR="00EE46B7">
        <w:rPr>
          <w:lang w:val="en-GB"/>
        </w:rPr>
        <w:t>r</w:t>
      </w:r>
      <w:r w:rsidRPr="009A1E02">
        <w:rPr>
          <w:lang w:val="en-GB"/>
        </w:rPr>
        <w:t>emoval</w:t>
      </w:r>
      <w:bookmarkEnd w:id="247"/>
    </w:p>
    <w:p w14:paraId="05DAFC56" w14:textId="535306AC"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Achieving defined cleanup levels in the karst aquifer system of </w:t>
      </w:r>
      <w:r w:rsidR="00EE46B7" w:rsidRPr="009A1E02">
        <w:rPr>
          <w:rFonts w:ascii="Calibri" w:eastAsiaTheme="majorEastAsia" w:hAnsi="Calibri" w:cs="Calibri"/>
        </w:rPr>
        <w:t xml:space="preserve">Neretva </w:t>
      </w:r>
      <w:r w:rsidRPr="009A1E02">
        <w:rPr>
          <w:rFonts w:ascii="Calibri" w:eastAsiaTheme="majorEastAsia" w:hAnsi="Calibri" w:cs="Calibri"/>
        </w:rPr>
        <w:t>TBA requires the application of remediation measures adapted to the specific hydrogeological conditions of the area. Due to high permeability, rapid groundwater flow and limited natural attenuation, conventional remediation approaches have limited effectiveness, and priority must be placed on source control and prevention, particularly in recharge zones.</w:t>
      </w:r>
    </w:p>
    <w:p w14:paraId="3D0F14A2"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In-situ measures are primarily focused on reducing contaminant inputs and limiting their transport before infiltration. Phytoremediation and vegetated buffer zones represent effective solutions in agricultural areas, where vegetation uptake can reduce nutrient loads and limit nitrate leaching. Enhanced natural attenuation processes, including denitrification, may contribute locally to nitrate reduction. Their overall effectiveness is constrained by short groundwater residence times typical of karst systems.</w:t>
      </w:r>
    </w:p>
    <w:p w14:paraId="069756D5"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More engineered in-situ solutions, such as permeable reactive barriers, may be applied in specific locations where groundwater flow paths are well defined. However, their applicability in karst environments is generally limited due to the difficulty in predicting flow pathways and the heterogeneous structure of the aquifer.</w:t>
      </w:r>
    </w:p>
    <w:p w14:paraId="76EAE3E5" w14:textId="0A766674"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Ex-situ and surface-based treatment systems play a more significant role in </w:t>
      </w:r>
      <w:r w:rsidR="00EE46B7" w:rsidRPr="009A1E02">
        <w:rPr>
          <w:rFonts w:ascii="Calibri" w:eastAsiaTheme="majorEastAsia" w:hAnsi="Calibri" w:cs="Calibri"/>
        </w:rPr>
        <w:t xml:space="preserve">Neretva </w:t>
      </w:r>
      <w:r w:rsidRPr="009A1E02">
        <w:rPr>
          <w:rFonts w:ascii="Calibri" w:eastAsiaTheme="majorEastAsia" w:hAnsi="Calibri" w:cs="Calibri"/>
        </w:rPr>
        <w:t xml:space="preserve">TBA. Constructed wetlands are particularly effective for treating agricultural runoff and drainage water, with high nutrient removal efficiency and additional ecological benefits. Improvement and expansion of wastewater treatment infrastructure are essential for reducing organic and nutrient loads from </w:t>
      </w:r>
      <w:r w:rsidRPr="009A1E02">
        <w:rPr>
          <w:rFonts w:ascii="Calibri" w:eastAsiaTheme="majorEastAsia" w:hAnsi="Calibri" w:cs="Calibri"/>
        </w:rPr>
        <w:lastRenderedPageBreak/>
        <w:t>settlements and preventing direct contamination of groundwater. Retention basins and drainage control systems can further reduce pollutant transport during high-flow conditions.</w:t>
      </w:r>
    </w:p>
    <w:p w14:paraId="2C35C313"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Technologies such as pump-and-treat are generally not suitable for large-scale application in karst aquifers due to high costs, complex hydrogeology and limited efficiency in systems with rapid flow and diffuse contamination.</w:t>
      </w:r>
    </w:p>
    <w:p w14:paraId="2589858C"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In practice, the most effective remediation strategy combines source reduction measures such as controlled fertilizer application, improved manure management and reduced pesticide use with nature-based solutions, including buffer zones and constructed wetlands. Targeted technical interventions may be applied in critical areas, particularly within sanitary protection zones and along key flow pathways toward discharge points such as the </w:t>
      </w:r>
      <w:proofErr w:type="spellStart"/>
      <w:r w:rsidRPr="009A1E02">
        <w:rPr>
          <w:rFonts w:ascii="Calibri" w:eastAsiaTheme="majorEastAsia" w:hAnsi="Calibri" w:cs="Calibri"/>
        </w:rPr>
        <w:t>Prud</w:t>
      </w:r>
      <w:proofErr w:type="spellEnd"/>
      <w:r w:rsidRPr="009A1E02">
        <w:rPr>
          <w:rFonts w:ascii="Calibri" w:eastAsiaTheme="majorEastAsia" w:hAnsi="Calibri" w:cs="Calibri"/>
        </w:rPr>
        <w:t xml:space="preserve"> spring.</w:t>
      </w:r>
    </w:p>
    <w:p w14:paraId="27D516F0" w14:textId="77777777" w:rsidR="003E57F4" w:rsidRDefault="003E57F4" w:rsidP="003E57F4">
      <w:pPr>
        <w:jc w:val="both"/>
        <w:rPr>
          <w:rFonts w:ascii="Calibri" w:eastAsiaTheme="majorEastAsia" w:hAnsi="Calibri" w:cs="Calibri"/>
        </w:rPr>
      </w:pPr>
      <w:r w:rsidRPr="009A1E02">
        <w:rPr>
          <w:rFonts w:ascii="Calibri" w:eastAsiaTheme="majorEastAsia" w:hAnsi="Calibri" w:cs="Calibri"/>
        </w:rPr>
        <w:t xml:space="preserve">An integrated approach, focused on prevention, targeted intervention and adaptation to karst conditions, is essential for achieving sustainable improvements in groundwater quality in the </w:t>
      </w:r>
      <w:r>
        <w:rPr>
          <w:rFonts w:ascii="Calibri" w:eastAsiaTheme="majorEastAsia" w:hAnsi="Calibri" w:cs="Calibri"/>
        </w:rPr>
        <w:t>TBA</w:t>
      </w:r>
      <w:r w:rsidRPr="009A1E02">
        <w:rPr>
          <w:rFonts w:ascii="Calibri" w:eastAsiaTheme="majorEastAsia" w:hAnsi="Calibri" w:cs="Calibri"/>
        </w:rPr>
        <w:t>.</w:t>
      </w:r>
    </w:p>
    <w:p w14:paraId="27FB247C" w14:textId="77777777" w:rsidR="00EE46B7" w:rsidRDefault="00EE46B7" w:rsidP="003E57F4">
      <w:pPr>
        <w:pStyle w:val="Heading2"/>
        <w:rPr>
          <w:lang w:val="en-GB"/>
        </w:rPr>
      </w:pPr>
    </w:p>
    <w:p w14:paraId="34DDCF2D" w14:textId="68B36B35" w:rsidR="003E57F4" w:rsidRPr="00251919" w:rsidRDefault="003E57F4" w:rsidP="003E57F4">
      <w:pPr>
        <w:pStyle w:val="Heading2"/>
        <w:rPr>
          <w:lang w:val="en-GB"/>
        </w:rPr>
      </w:pPr>
      <w:bookmarkStart w:id="248" w:name="_Toc229036308"/>
      <w:r w:rsidRPr="00251919">
        <w:rPr>
          <w:lang w:val="en-GB"/>
        </w:rPr>
        <w:t>1</w:t>
      </w:r>
      <w:r>
        <w:rPr>
          <w:lang w:val="en-GB"/>
        </w:rPr>
        <w:t>1</w:t>
      </w:r>
      <w:r w:rsidRPr="00251919">
        <w:rPr>
          <w:lang w:val="en-GB"/>
        </w:rPr>
        <w:t>.8 Emergency response planning</w:t>
      </w:r>
      <w:bookmarkEnd w:id="248"/>
      <w:r w:rsidRPr="00251919">
        <w:rPr>
          <w:lang w:val="en-GB"/>
        </w:rPr>
        <w:t xml:space="preserve"> </w:t>
      </w:r>
    </w:p>
    <w:p w14:paraId="3C61D0F5" w14:textId="2087151E"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Emergency response planning is a critical component of groundwater protection in karst environments, where accidental releases of contaminants can rapidly infiltrate and spread through the aquifer system with minimal attenuation. In </w:t>
      </w:r>
      <w:r w:rsidR="00EE46B7" w:rsidRPr="009A1E02">
        <w:rPr>
          <w:rFonts w:ascii="Calibri" w:eastAsiaTheme="majorEastAsia" w:hAnsi="Calibri" w:cs="Calibri"/>
        </w:rPr>
        <w:t>Neretva</w:t>
      </w:r>
      <w:r w:rsidR="00EE46B7">
        <w:rPr>
          <w:rFonts w:ascii="Calibri" w:eastAsiaTheme="majorEastAsia" w:hAnsi="Calibri" w:cs="Calibri"/>
        </w:rPr>
        <w:t xml:space="preserve"> </w:t>
      </w:r>
      <w:r>
        <w:rPr>
          <w:rFonts w:ascii="Calibri" w:eastAsiaTheme="majorEastAsia" w:hAnsi="Calibri" w:cs="Calibri"/>
        </w:rPr>
        <w:t>TBA</w:t>
      </w:r>
      <w:r w:rsidRPr="009A1E02">
        <w:rPr>
          <w:rFonts w:ascii="Calibri" w:eastAsiaTheme="majorEastAsia" w:hAnsi="Calibri" w:cs="Calibri"/>
        </w:rPr>
        <w:t>, particular concern is associated with acute pesticide spills, improper handling of agrochemicals, and accidental discharges of untreated wastewater, which may lead to short-term but severe impacts on groundwater and connected surface water bodies.</w:t>
      </w:r>
    </w:p>
    <w:p w14:paraId="0F9A1828"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Given the high permeability and strong hydraulic connectivity typical of karst systems, emergency situations require a rapid and coordinated response aimed at minimizing contaminant entry into the subsurface and limiting further transport. Contamination events may develop quickly and follow unpredictable pathways, particularly during high-intensity rainfall or flooding. The response framework must therefore be proactive and based on early detection, rapid communication and clearly defined operational procedures.</w:t>
      </w:r>
    </w:p>
    <w:p w14:paraId="259D5F25"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Emergency response measures should focus primarily on immediate containment and source control. In the case of pesticide spills, this includes preventing further spreading through physical barriers, removal of contaminated soil where feasible, and temporary isolation of affected areas. Where contamination reaches karst features such as sinkholes or fractures, direct intervention becomes limited, and priority shifts toward protecting downstream receptors, particularly drinking water sources such as major springs.</w:t>
      </w:r>
    </w:p>
    <w:p w14:paraId="2157D327"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A key component of the response system is the establishment of an early warning mechanism. Continuous or high-frequency monitoring of parameters such as conductivity and turbidity at critical points, including major springs, can provide indirect indications of sudden water quality deterioration and trigger further investigation. Clear procedures must be defined for identifying and reporting emergency situations, including threshold exceedances, visible contamination, or abnormal changes in spring discharge and water quality.</w:t>
      </w:r>
    </w:p>
    <w:p w14:paraId="414C484C"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Protection of human health must be the highest priority. In the event of contamination affecting drinking water sources, immediate measures may include temporary suspension of abstraction, provision of alternative water supply, and implementation of temporary treatment solutions. In </w:t>
      </w:r>
      <w:r w:rsidRPr="009A1E02">
        <w:rPr>
          <w:rFonts w:ascii="Calibri" w:eastAsiaTheme="majorEastAsia" w:hAnsi="Calibri" w:cs="Calibri"/>
        </w:rPr>
        <w:lastRenderedPageBreak/>
        <w:t>agricultural areas, additional actions may include temporary restrictions on pesticide use and inspection of storage and handling practices.</w:t>
      </w:r>
    </w:p>
    <w:p w14:paraId="267E703D" w14:textId="50902C9D"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Effective coordination and communication are essential, particularly in the transboundary context of </w:t>
      </w:r>
      <w:r w:rsidR="00EE46B7">
        <w:rPr>
          <w:rFonts w:ascii="Calibri" w:eastAsiaTheme="majorEastAsia" w:hAnsi="Calibri" w:cs="Calibri"/>
        </w:rPr>
        <w:t>N</w:t>
      </w:r>
      <w:r w:rsidR="00EE46B7" w:rsidRPr="009A1E02">
        <w:rPr>
          <w:rFonts w:ascii="Calibri" w:eastAsiaTheme="majorEastAsia" w:hAnsi="Calibri" w:cs="Calibri"/>
        </w:rPr>
        <w:t>eretv</w:t>
      </w:r>
      <w:r w:rsidR="00EE46B7">
        <w:rPr>
          <w:rFonts w:ascii="Calibri" w:eastAsiaTheme="majorEastAsia" w:hAnsi="Calibri" w:cs="Calibri"/>
        </w:rPr>
        <w:t xml:space="preserve">a </w:t>
      </w:r>
      <w:r>
        <w:rPr>
          <w:rFonts w:ascii="Calibri" w:eastAsiaTheme="majorEastAsia" w:hAnsi="Calibri" w:cs="Calibri"/>
        </w:rPr>
        <w:t>TBA</w:t>
      </w:r>
      <w:r w:rsidRPr="009A1E02">
        <w:rPr>
          <w:rFonts w:ascii="Calibri" w:eastAsiaTheme="majorEastAsia" w:hAnsi="Calibri" w:cs="Calibri"/>
        </w:rPr>
        <w:t>. Emergency response planning should include predefined notification procedures, clearly assigned institutional responsibilities, and mechanisms for timely information exchange between relevant authorities, water utilities and environmental agencies in both Bosnia and Herzegovina and Croatia.</w:t>
      </w:r>
    </w:p>
    <w:p w14:paraId="5BA4ABD3"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Preparedness also requires preventive actions, including training of responsible personnel, awareness-raising among farmers and local communities, and the implementation of guidelines for safe storage, transport and application of hazardous substances. Restricting the use of certain chemicals in sensitive recharge areas and sanitary protection zones can significantly reduce the risk of accidental contamination.</w:t>
      </w:r>
    </w:p>
    <w:p w14:paraId="5760AB6C"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Post-incident assessment is necessary to evaluate the extent of contamination, identify affected zones and define further measures. This includes targeted sampling and analysis of groundwater and surface water, as well as assessment of contaminant transport pathways. Lessons learned from emergency events should be integrated into future planning and monitoring.</w:t>
      </w:r>
    </w:p>
    <w:p w14:paraId="329D2C0C" w14:textId="77777777" w:rsidR="003E57F4" w:rsidRPr="00251919" w:rsidRDefault="003E57F4" w:rsidP="003E57F4">
      <w:pPr>
        <w:jc w:val="both"/>
        <w:rPr>
          <w:rFonts w:ascii="Calibri" w:eastAsiaTheme="majorEastAsia" w:hAnsi="Calibri" w:cs="Calibri"/>
        </w:rPr>
      </w:pPr>
      <w:r w:rsidRPr="009A1E02">
        <w:rPr>
          <w:rFonts w:ascii="Calibri" w:eastAsiaTheme="majorEastAsia" w:hAnsi="Calibri" w:cs="Calibri"/>
        </w:rPr>
        <w:t>In karst systems, where contamination can spread rapidly and unpredictably, emergency response planning must be operational, coordinated and supported by an effective monitoring framework. The integration of preventive measures, rapid response protocols and post-event evaluation is essential for minimizing risks and protecting groundwater resources and drinking water supply.</w:t>
      </w:r>
    </w:p>
    <w:p w14:paraId="65B6A387" w14:textId="77777777" w:rsidR="00EE46B7" w:rsidRDefault="00EE46B7" w:rsidP="003E57F4">
      <w:pPr>
        <w:pStyle w:val="Heading2"/>
        <w:rPr>
          <w:lang w:val="en-GB"/>
        </w:rPr>
      </w:pPr>
    </w:p>
    <w:p w14:paraId="52AF8BB8" w14:textId="460C6CCC" w:rsidR="003E57F4" w:rsidRPr="00251919" w:rsidRDefault="003E57F4" w:rsidP="003E57F4">
      <w:pPr>
        <w:pStyle w:val="Heading2"/>
        <w:rPr>
          <w:lang w:val="en-GB"/>
        </w:rPr>
      </w:pPr>
      <w:bookmarkStart w:id="249" w:name="_Toc229036309"/>
      <w:r w:rsidRPr="00251919">
        <w:rPr>
          <w:lang w:val="en-GB"/>
        </w:rPr>
        <w:t>1</w:t>
      </w:r>
      <w:r>
        <w:rPr>
          <w:lang w:val="en-GB"/>
        </w:rPr>
        <w:t>1</w:t>
      </w:r>
      <w:r w:rsidRPr="00251919">
        <w:rPr>
          <w:lang w:val="en-GB"/>
        </w:rPr>
        <w:t>.9 Stepwise and risk-based remediation planning</w:t>
      </w:r>
      <w:bookmarkEnd w:id="249"/>
      <w:r w:rsidRPr="00251919">
        <w:rPr>
          <w:lang w:val="en-GB"/>
        </w:rPr>
        <w:t xml:space="preserve"> </w:t>
      </w:r>
    </w:p>
    <w:p w14:paraId="338FF6FF" w14:textId="77777777" w:rsidR="003E57F4" w:rsidRPr="003925EC" w:rsidRDefault="003E57F4" w:rsidP="003E57F4">
      <w:pPr>
        <w:jc w:val="both"/>
        <w:rPr>
          <w:rFonts w:ascii="Calibri" w:eastAsiaTheme="majorEastAsia" w:hAnsi="Calibri" w:cs="Calibri"/>
        </w:rPr>
      </w:pPr>
      <w:r w:rsidRPr="003925EC">
        <w:t xml:space="preserve"> </w:t>
      </w:r>
      <w:r w:rsidRPr="003925EC">
        <w:rPr>
          <w:rFonts w:ascii="Calibri" w:eastAsiaTheme="majorEastAsia" w:hAnsi="Calibri" w:cs="Calibri"/>
        </w:rPr>
        <w:t>Remediation planning in the karst aquifer system requires a structured, stepwise and risk-based approach that reflects the complexity of groundwater flow, rapid contaminant transport and inherent uncertainties. Due to these characteristics, remediation cannot rely on a single intervention but must be implemented progressively, adapting to site-specific conditions and continuously updated monitoring data.</w:t>
      </w:r>
    </w:p>
    <w:p w14:paraId="350376B8" w14:textId="77777777" w:rsidR="003E57F4" w:rsidRPr="003925EC" w:rsidRDefault="003E57F4" w:rsidP="003E57F4">
      <w:pPr>
        <w:jc w:val="both"/>
        <w:rPr>
          <w:rFonts w:ascii="Calibri" w:eastAsiaTheme="majorEastAsia" w:hAnsi="Calibri" w:cs="Calibri"/>
        </w:rPr>
      </w:pPr>
      <w:r w:rsidRPr="003925EC">
        <w:rPr>
          <w:rFonts w:ascii="Calibri" w:eastAsiaTheme="majorEastAsia" w:hAnsi="Calibri" w:cs="Calibri"/>
        </w:rPr>
        <w:t>A stepwise approach recognises remediation as an iterative process. Initial steps focus on data collection, verification of contamination pressures and refinement of the conceptual model, including identification of dominant pollutants such as nitrates and pesticides. Where monitoring indicates concentrations below defined thresholds, continued observation and preventive measures may be sufficient. In cases where exceedances or increasing trends are detected, further investigation and targeted intervention are required.</w:t>
      </w:r>
    </w:p>
    <w:p w14:paraId="60EE41C4" w14:textId="77777777" w:rsidR="003E57F4" w:rsidRPr="003925EC" w:rsidRDefault="003E57F4" w:rsidP="003E57F4">
      <w:pPr>
        <w:jc w:val="both"/>
        <w:rPr>
          <w:rFonts w:ascii="Calibri" w:eastAsiaTheme="majorEastAsia" w:hAnsi="Calibri" w:cs="Calibri"/>
        </w:rPr>
      </w:pPr>
      <w:r w:rsidRPr="003925EC">
        <w:rPr>
          <w:rFonts w:ascii="Calibri" w:eastAsiaTheme="majorEastAsia" w:hAnsi="Calibri" w:cs="Calibri"/>
        </w:rPr>
        <w:t xml:space="preserve">Risk-based prioritisation is central to this framework. Remediation efforts should be directed toward areas where the potential impact on human health and the environment is greatest. High-priority zones include recharge areas such as </w:t>
      </w:r>
      <w:proofErr w:type="spellStart"/>
      <w:r w:rsidRPr="003925EC">
        <w:rPr>
          <w:rFonts w:ascii="Calibri" w:eastAsiaTheme="majorEastAsia" w:hAnsi="Calibri" w:cs="Calibri"/>
        </w:rPr>
        <w:t>Ljubuško</w:t>
      </w:r>
      <w:proofErr w:type="spellEnd"/>
      <w:r w:rsidRPr="003925EC">
        <w:rPr>
          <w:rFonts w:ascii="Calibri" w:eastAsiaTheme="majorEastAsia" w:hAnsi="Calibri" w:cs="Calibri"/>
        </w:rPr>
        <w:t xml:space="preserve"> polje, locations with intensive agricultural activity, and zones hydraulically connected to major springs used for water supply, including </w:t>
      </w:r>
      <w:proofErr w:type="spellStart"/>
      <w:r w:rsidRPr="003925EC">
        <w:rPr>
          <w:rFonts w:ascii="Calibri" w:eastAsiaTheme="majorEastAsia" w:hAnsi="Calibri" w:cs="Calibri"/>
        </w:rPr>
        <w:t>Prud</w:t>
      </w:r>
      <w:proofErr w:type="spellEnd"/>
      <w:r w:rsidRPr="003925EC">
        <w:rPr>
          <w:rFonts w:ascii="Calibri" w:eastAsiaTheme="majorEastAsia" w:hAnsi="Calibri" w:cs="Calibri"/>
        </w:rPr>
        <w:t>. Medium-priority areas include transitional zones within the aquifer, while lower-priority areas are generally located further downstream, although they remain relevant for ecological protection.</w:t>
      </w:r>
    </w:p>
    <w:p w14:paraId="2F5DDCA3" w14:textId="77777777" w:rsidR="003E57F4" w:rsidRPr="003925EC" w:rsidRDefault="003E57F4" w:rsidP="003E57F4">
      <w:pPr>
        <w:jc w:val="both"/>
        <w:rPr>
          <w:rFonts w:ascii="Calibri" w:eastAsiaTheme="majorEastAsia" w:hAnsi="Calibri" w:cs="Calibri"/>
        </w:rPr>
      </w:pPr>
      <w:r w:rsidRPr="003925EC">
        <w:rPr>
          <w:rFonts w:ascii="Calibri" w:eastAsiaTheme="majorEastAsia" w:hAnsi="Calibri" w:cs="Calibri"/>
        </w:rPr>
        <w:t xml:space="preserve">Based on the identified risks, remediation measures are implemented in phases. Initial actions typically focus on source control and immediate risk reduction, including improved agricultural </w:t>
      </w:r>
      <w:r w:rsidRPr="003925EC">
        <w:rPr>
          <w:rFonts w:ascii="Calibri" w:eastAsiaTheme="majorEastAsia" w:hAnsi="Calibri" w:cs="Calibri"/>
        </w:rPr>
        <w:lastRenderedPageBreak/>
        <w:t>practices, reduction of fertilizer and pesticide inputs, and management of wastewater discharges. More complex or site-specific measures, such as nature-based treatment systems or targeted technical interventions, may be applied where necessary and where hydrogeological conditions allow effective implementation.</w:t>
      </w:r>
    </w:p>
    <w:p w14:paraId="3EE62A4A" w14:textId="77777777" w:rsidR="003E57F4" w:rsidRPr="003925EC" w:rsidRDefault="003E57F4" w:rsidP="003E57F4">
      <w:pPr>
        <w:jc w:val="both"/>
        <w:rPr>
          <w:rFonts w:ascii="Calibri" w:eastAsiaTheme="majorEastAsia" w:hAnsi="Calibri" w:cs="Calibri"/>
        </w:rPr>
      </w:pPr>
      <w:r w:rsidRPr="003925EC">
        <w:rPr>
          <w:rFonts w:ascii="Calibri" w:eastAsiaTheme="majorEastAsia" w:hAnsi="Calibri" w:cs="Calibri"/>
        </w:rPr>
        <w:t>Continuous monitoring represents a key component of the stepwise approach. Monitoring data is used to evaluate the effectiveness of implemented measures, identify emerging trends and detect unexpected system responses. This feedback loop enables adaptive management, allowing remediation strategies to be adjusted in response to evolving conditions and improved understanding of contaminant transport in the karst system.</w:t>
      </w:r>
    </w:p>
    <w:p w14:paraId="1EF120E4" w14:textId="25E4E9EE" w:rsidR="003E57F4" w:rsidRPr="003925EC" w:rsidRDefault="003E57F4" w:rsidP="003E57F4">
      <w:pPr>
        <w:jc w:val="both"/>
        <w:rPr>
          <w:rFonts w:ascii="Calibri" w:eastAsiaTheme="majorEastAsia" w:hAnsi="Calibri" w:cs="Calibri"/>
        </w:rPr>
      </w:pPr>
      <w:r w:rsidRPr="003925EC">
        <w:rPr>
          <w:rFonts w:ascii="Calibri" w:eastAsiaTheme="majorEastAsia" w:hAnsi="Calibri" w:cs="Calibri"/>
        </w:rPr>
        <w:t xml:space="preserve">In the transboundary context of Neretva </w:t>
      </w:r>
      <w:r>
        <w:rPr>
          <w:rFonts w:ascii="Calibri" w:eastAsiaTheme="majorEastAsia" w:hAnsi="Calibri" w:cs="Calibri"/>
        </w:rPr>
        <w:t>TBA</w:t>
      </w:r>
      <w:r w:rsidRPr="003925EC">
        <w:rPr>
          <w:rFonts w:ascii="Calibri" w:eastAsiaTheme="majorEastAsia" w:hAnsi="Calibri" w:cs="Calibri"/>
        </w:rPr>
        <w:t>, a risk-based framework also supports coordinated planning and implementation between Bosnia and Herzegovina and Croatia. By linking remediation actions to clearly defined risk levels and decision thresholds, it provides a transparent basis for prioritisation, resource allocation and harmonisation of measures.</w:t>
      </w:r>
    </w:p>
    <w:p w14:paraId="238793A9" w14:textId="77777777" w:rsidR="003E57F4" w:rsidRPr="00251919" w:rsidRDefault="003E57F4" w:rsidP="003E57F4">
      <w:pPr>
        <w:jc w:val="both"/>
        <w:rPr>
          <w:rFonts w:ascii="Calibri" w:eastAsiaTheme="majorEastAsia" w:hAnsi="Calibri" w:cs="Calibri"/>
        </w:rPr>
      </w:pPr>
      <w:r w:rsidRPr="003925EC">
        <w:rPr>
          <w:rFonts w:ascii="Calibri" w:eastAsiaTheme="majorEastAsia" w:hAnsi="Calibri" w:cs="Calibri"/>
        </w:rPr>
        <w:t>Overall, a stepwise and risk-based approach ensures that remediation planning remains proportionate, technically sound and adaptable. It focuses resources on the most critical areas, reduces the risk of ineffective interventions and supports long-term protection of groundwater resources and associated ecosystems in the karst environment.</w:t>
      </w:r>
    </w:p>
    <w:p w14:paraId="45F3AD73" w14:textId="77777777" w:rsidR="00EE46B7" w:rsidRDefault="00EE46B7" w:rsidP="003E57F4">
      <w:pPr>
        <w:pStyle w:val="Heading2"/>
      </w:pPr>
    </w:p>
    <w:p w14:paraId="23388327" w14:textId="59EF21E1" w:rsidR="003E57F4" w:rsidRPr="00EE46B7" w:rsidRDefault="003E57F4" w:rsidP="003E57F4">
      <w:pPr>
        <w:pStyle w:val="Heading2"/>
        <w:rPr>
          <w:lang w:val="en-GB"/>
        </w:rPr>
      </w:pPr>
      <w:bookmarkStart w:id="250" w:name="_Toc229036310"/>
      <w:r w:rsidRPr="00EE46B7">
        <w:rPr>
          <w:lang w:val="en-GB"/>
        </w:rPr>
        <w:t>11.10 Pilot testing and phased implementation</w:t>
      </w:r>
      <w:bookmarkEnd w:id="250"/>
      <w:r w:rsidRPr="00EE46B7">
        <w:rPr>
          <w:lang w:val="en-GB"/>
        </w:rPr>
        <w:t xml:space="preserve"> </w:t>
      </w:r>
    </w:p>
    <w:p w14:paraId="4A0C30F4"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Pilot testing represents a key step between conceptual remediation planning and full-scale implementation, particularly in karst aquifer systems where groundwater flow paths, contaminant transport and system response are difficult to predict. Field-based pilot investigations are therefore essential to verify the effectiveness, feasibility and scalability of selected remediation measures under real conditions.</w:t>
      </w:r>
    </w:p>
    <w:p w14:paraId="50BEECE9" w14:textId="77777777" w:rsidR="003E57F4" w:rsidRPr="009A1E02" w:rsidRDefault="003E57F4" w:rsidP="003E57F4">
      <w:pPr>
        <w:jc w:val="both"/>
        <w:rPr>
          <w:rFonts w:ascii="Calibri" w:eastAsiaTheme="majorEastAsia" w:hAnsi="Calibri" w:cs="Calibri"/>
        </w:rPr>
      </w:pPr>
      <w:proofErr w:type="spellStart"/>
      <w:r w:rsidRPr="009A1E02">
        <w:rPr>
          <w:rFonts w:ascii="Calibri" w:eastAsiaTheme="majorEastAsia" w:hAnsi="Calibri" w:cs="Calibri"/>
        </w:rPr>
        <w:t>Ljubuško</w:t>
      </w:r>
      <w:proofErr w:type="spellEnd"/>
      <w:r w:rsidRPr="009A1E02">
        <w:rPr>
          <w:rFonts w:ascii="Calibri" w:eastAsiaTheme="majorEastAsia" w:hAnsi="Calibri" w:cs="Calibri"/>
        </w:rPr>
        <w:t xml:space="preserve"> polje is a priority location for pilot testing due to its role as a major recharge zone, the intensity of agricultural activities and its hydraulic connection to downstream receptors, including major springs such as </w:t>
      </w:r>
      <w:proofErr w:type="spellStart"/>
      <w:r w:rsidRPr="009A1E02">
        <w:rPr>
          <w:rFonts w:ascii="Calibri" w:eastAsiaTheme="majorEastAsia" w:hAnsi="Calibri" w:cs="Calibri"/>
        </w:rPr>
        <w:t>Prud</w:t>
      </w:r>
      <w:proofErr w:type="spellEnd"/>
      <w:r w:rsidRPr="009A1E02">
        <w:rPr>
          <w:rFonts w:ascii="Calibri" w:eastAsiaTheme="majorEastAsia" w:hAnsi="Calibri" w:cs="Calibri"/>
        </w:rPr>
        <w:t>. Measures implemented in this area provide direct insight into the impact of interventions on contaminant inputs and transport within the aquifer system.</w:t>
      </w:r>
    </w:p>
    <w:p w14:paraId="4793928B"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Pilot testing should focus on priority measures identified during the remediation planning phase. These include nature-based solutions such as vegetated buffer zones and phytoremediation systems, as well as small-scale constructed wetlands for the treatment of agricultural runoff. In addition, pilot activities may include improved fertilizer management and controlled pesticide application in cooperation with local stakeholders. More technical measures may be tested selectively in locations where hydrogeological conditions allow controlled implementation.</w:t>
      </w:r>
    </w:p>
    <w:p w14:paraId="0369A78E"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A primary objective of pilot testing is to generate reliable data on removal efficiency, system behaviour and operational performance. Attention should be given to the response of the system under variable hydrological conditions, including high-flow events typical of karst environments. Pilot systems should therefore be equipped with monitoring devices enabling continuous or high-frequency data collection, especially for key indicators such as nitrates, conductivity and turbidity.</w:t>
      </w:r>
    </w:p>
    <w:p w14:paraId="074DA9E3"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Pilot design must include clearly defined input and output parameters, allowing quantification of treatment performance. Baseline conditions should be established prior to implementation, followed </w:t>
      </w:r>
      <w:r w:rsidRPr="009A1E02">
        <w:rPr>
          <w:rFonts w:ascii="Calibri" w:eastAsiaTheme="majorEastAsia" w:hAnsi="Calibri" w:cs="Calibri"/>
        </w:rPr>
        <w:lastRenderedPageBreak/>
        <w:t>by systematic monitoring during operation. The collected data should be used to evaluate effectiveness, identify limitations and determine whether the tested measures can be scaled up to basin level.</w:t>
      </w:r>
    </w:p>
    <w:p w14:paraId="497B1EE3"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Stakeholder involvement is essential, particularly in agricultural areas where land management practices directly influence contamination. Cooperation with farmers, local authorities and water management institutions supports implementation and increases the likelihood of long-term adoption of successful measures.</w:t>
      </w:r>
    </w:p>
    <w:p w14:paraId="135CD7DD"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Results from pilot testing provide a basis for refining remediation strategies and selecting the most appropriate solutions for wider application. In karst systems, where uncertainties are significant, pilot testing reduces risk in decision-making and improves confidence in the selection of measures.</w:t>
      </w:r>
    </w:p>
    <w:p w14:paraId="6BD1F440"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Overall, pilot testing serves as a practical tool for bridging the gap between planning and implementation, ensuring that remediation measures are effective, feasible and adapted to the specific conditions of the </w:t>
      </w:r>
      <w:r>
        <w:rPr>
          <w:rFonts w:ascii="Calibri" w:eastAsiaTheme="majorEastAsia" w:hAnsi="Calibri" w:cs="Calibri"/>
        </w:rPr>
        <w:t>TBA</w:t>
      </w:r>
      <w:r w:rsidRPr="009A1E02">
        <w:rPr>
          <w:rFonts w:ascii="Calibri" w:eastAsiaTheme="majorEastAsia" w:hAnsi="Calibri" w:cs="Calibri"/>
        </w:rPr>
        <w:t>.</w:t>
      </w:r>
    </w:p>
    <w:p w14:paraId="70943994" w14:textId="77777777" w:rsidR="003E57F4" w:rsidRDefault="003E57F4" w:rsidP="003E57F4">
      <w:pPr>
        <w:jc w:val="both"/>
        <w:rPr>
          <w:rFonts w:ascii="Calibri" w:eastAsiaTheme="majorEastAsia" w:hAnsi="Calibri" w:cs="Calibri"/>
        </w:rPr>
      </w:pPr>
    </w:p>
    <w:p w14:paraId="0171C633" w14:textId="77777777" w:rsidR="003E57F4" w:rsidRPr="00A54A8D" w:rsidRDefault="003E57F4" w:rsidP="003E57F4">
      <w:pPr>
        <w:pStyle w:val="Heading2"/>
        <w:rPr>
          <w:lang w:val="en-GB"/>
        </w:rPr>
      </w:pPr>
      <w:bookmarkStart w:id="251" w:name="_Toc229036311"/>
      <w:r w:rsidRPr="00A54A8D">
        <w:rPr>
          <w:lang w:val="en-GB"/>
        </w:rPr>
        <w:t>11.11 Effectiveness monitoring of remediation</w:t>
      </w:r>
      <w:bookmarkEnd w:id="251"/>
      <w:r w:rsidRPr="00A54A8D">
        <w:rPr>
          <w:lang w:val="en-GB"/>
        </w:rPr>
        <w:t xml:space="preserve"> </w:t>
      </w:r>
    </w:p>
    <w:p w14:paraId="04CD4781"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Effectiveness monitoring is a critical component of remediation management in karst aquifer systems and provides the basis for evaluating whether implemented measures are achieving their intended objectives. In complex karst environments, characterised by rapid groundwater flow, strong hydraulic connectivity, and high spatial and temporal variability, the response of the system to remediation measures may differ significantly from initial expectations. Continuous and well-designed effectiveness monitoring is therefore essential to ensure that remediation actions remain protective of human health and the environment.</w:t>
      </w:r>
    </w:p>
    <w:p w14:paraId="523CE373"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The primary purpose of effectiveness monitoring is to assess whether remediation goals and site-specific cleanup levels, where defined, are being met. This includes verifying reductions in contaminant concentrations, stabilisation of contaminant trends, or successful containment of contamination at identified source zones. In karst systems, effectiveness monitoring must account for both long-term trends and short-term variability associated with hydrological events such as intense precipitation, snowmelt, or rapid recharge.</w:t>
      </w:r>
    </w:p>
    <w:p w14:paraId="04EE91F9" w14:textId="77777777" w:rsidR="003E57F4" w:rsidRPr="009A1E02" w:rsidRDefault="003E57F4" w:rsidP="00EE46B7">
      <w:pPr>
        <w:jc w:val="both"/>
        <w:rPr>
          <w:rFonts w:ascii="Calibri" w:eastAsiaTheme="majorEastAsia" w:hAnsi="Calibri" w:cs="Calibri"/>
        </w:rPr>
      </w:pPr>
      <w:r w:rsidRPr="009A1E02">
        <w:rPr>
          <w:rFonts w:ascii="Calibri" w:eastAsiaTheme="majorEastAsia" w:hAnsi="Calibri" w:cs="Calibri"/>
        </w:rPr>
        <w:t>Effectiveness monitoring should be implemented only after remediation measures have been initiated, and it should be closely integrated with the existing monitoring network. Key monitoring locations typically include source areas where remediation actions are applied, downstream receptors such as karst springs and surface waters, and sensitive points related to drinking water supply or ecological protection. Monitoring at these locations provides both local and system-level information on remediation performance.</w:t>
      </w:r>
    </w:p>
    <w:p w14:paraId="4F62B3DB"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A combination of routine and event-based monitoring is often required. Routine monitoring supports evaluation of baseline conditions and longer-term trends following remediation, while event-based monitoring focuses on periods when contaminant mobilisation is most likely, such as high-flow conditions. This combined approach is particularly important in karst aquifers, where short-term contaminant pulses may occur even when average concentrations appear stable or declining.</w:t>
      </w:r>
    </w:p>
    <w:p w14:paraId="189AAD75"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 xml:space="preserve">The evaluation of remediation effectiveness should be based on a combination of quantitative and qualitative criteria. Quantitative assessment includes comparison of measured concentrations with </w:t>
      </w:r>
      <w:r w:rsidRPr="009A1E02">
        <w:rPr>
          <w:rFonts w:ascii="Calibri" w:eastAsiaTheme="majorEastAsia" w:hAnsi="Calibri" w:cs="Calibri"/>
        </w:rPr>
        <w:lastRenderedPageBreak/>
        <w:t>target values and statistical analysis of trends, while qualitative assessment considers overall improvements in system behaviour and reduction of risks to receptors. Results should be regularly reviewed and reported, providing a basis for decision-making and further action.</w:t>
      </w:r>
    </w:p>
    <w:p w14:paraId="00FD0D44"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Monitoring results should be regularly evaluated and compared against defined remediation endpoints and decision thresholds. Where monitoring indicates that remediation objectives are being achieved, monitoring frequency may be adjusted accordingly. Conversely, if monitoring results show limited effectiveness, unexpected contaminant behaviour, or emerging risks, remediation measures may need to be modified, intensified, or supplemented with additional actions.</w:t>
      </w:r>
    </w:p>
    <w:p w14:paraId="06F2A02E"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In line with adaptive management principles, effectiveness monitoring supports informed decision-making throughout the remediation lifecycle. It provides early warning of potential issues, reduces uncertainty, and helps optimise remediation strategies over time. Documentation and transparent reporting of monitoring results are essential to support regulatory oversight, stakeholder communication, and transboundary coordination where applicable.</w:t>
      </w:r>
    </w:p>
    <w:p w14:paraId="24F7BA36" w14:textId="77777777" w:rsidR="003E57F4" w:rsidRPr="009A1E02" w:rsidRDefault="003E57F4" w:rsidP="003E57F4">
      <w:pPr>
        <w:jc w:val="both"/>
        <w:rPr>
          <w:rFonts w:ascii="Calibri" w:eastAsiaTheme="majorEastAsia" w:hAnsi="Calibri" w:cs="Calibri"/>
        </w:rPr>
      </w:pPr>
      <w:r w:rsidRPr="009A1E02">
        <w:rPr>
          <w:rFonts w:ascii="Calibri" w:eastAsiaTheme="majorEastAsia" w:hAnsi="Calibri" w:cs="Calibri"/>
        </w:rPr>
        <w:t>In transboundary karst aquifer systems, effectiveness monitoring should be harmonised across jurisdictions to ensure consistent interpretation of results and coordinated responses. Shared monitoring protocols, data exchange mechanisms, and joint evaluation of outcomes enhance the credibility and effectiveness of remediation efforts at the system scale.</w:t>
      </w:r>
    </w:p>
    <w:p w14:paraId="4EAF831E" w14:textId="77777777" w:rsidR="003E57F4" w:rsidRPr="00251919" w:rsidRDefault="003E57F4" w:rsidP="003E57F4">
      <w:pPr>
        <w:jc w:val="both"/>
        <w:rPr>
          <w:rFonts w:ascii="Calibri" w:eastAsiaTheme="majorEastAsia" w:hAnsi="Calibri" w:cs="Calibri"/>
        </w:rPr>
      </w:pPr>
      <w:r w:rsidRPr="009A1E02">
        <w:rPr>
          <w:rFonts w:ascii="Calibri" w:eastAsiaTheme="majorEastAsia" w:hAnsi="Calibri" w:cs="Calibri"/>
        </w:rPr>
        <w:t>Overall, effectiveness monitoring is not merely a control mechanism but an integral part of remediation management. By linking monitoring outcomes to adaptive decision-making, it ensures that remediation measures, if required, remain effective, proportionate, and responsive to the dynamic nature of karst aquifer systems.</w:t>
      </w:r>
    </w:p>
    <w:p w14:paraId="290F69A6" w14:textId="77777777" w:rsidR="00EE46B7" w:rsidRDefault="00EE46B7" w:rsidP="003E57F4">
      <w:pPr>
        <w:pStyle w:val="Heading2"/>
        <w:rPr>
          <w:lang w:val="en-GB"/>
        </w:rPr>
      </w:pPr>
    </w:p>
    <w:p w14:paraId="3E4601C2" w14:textId="04B18386" w:rsidR="003E57F4" w:rsidRPr="00251919" w:rsidRDefault="003E57F4" w:rsidP="003E57F4">
      <w:pPr>
        <w:pStyle w:val="Heading2"/>
        <w:rPr>
          <w:lang w:val="en-GB"/>
        </w:rPr>
      </w:pPr>
      <w:bookmarkStart w:id="252" w:name="_Toc229036312"/>
      <w:r w:rsidRPr="00251919">
        <w:rPr>
          <w:lang w:val="en-GB"/>
        </w:rPr>
        <w:t>1</w:t>
      </w:r>
      <w:r>
        <w:rPr>
          <w:lang w:val="en-GB"/>
        </w:rPr>
        <w:t>1</w:t>
      </w:r>
      <w:r w:rsidRPr="00251919">
        <w:rPr>
          <w:lang w:val="en-GB"/>
        </w:rPr>
        <w:t>.12 Adaptive management and optimization strategies</w:t>
      </w:r>
      <w:bookmarkEnd w:id="252"/>
      <w:r w:rsidRPr="00251919">
        <w:rPr>
          <w:lang w:val="en-GB"/>
        </w:rPr>
        <w:t xml:space="preserve"> </w:t>
      </w:r>
    </w:p>
    <w:p w14:paraId="1EBE4832" w14:textId="77777777"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Adaptive management and optimisation strategies provide a practical framework for managing uncertainty and improving the effectiveness of remediation measures in complex karst aquifer systems. Due to rapid groundwater flow, strong hydraulic connectivity, and variable system behaviour, remediation in karst environments cannot be treated as a fixed process but must remain flexible and responsive to new information.</w:t>
      </w:r>
    </w:p>
    <w:p w14:paraId="04E45C0B" w14:textId="77777777"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Adaptive management is based on an iterative approach in which remediation actions are implemented using the best available knowledge, while monitoring results are continuously used to evaluate system response. This feedback enables timely adjustments to remediation measures, ensuring that actions remain proportionate to actual risks and aligned with defined objectives.</w:t>
      </w:r>
    </w:p>
    <w:p w14:paraId="47ABB61D" w14:textId="77777777"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Optimisation focuses on improving the efficiency and sustainability of remediation efforts. In karst systems, this often involves prioritising source control and protection of sensitive receptors rather than attempting large-scale aquifer restoration, which is typically not feasible in conduit-dominated settings. Adjustments may include refining the location or intensity of interventions, modifying operational practices, or optimising the combination of applied measures.</w:t>
      </w:r>
    </w:p>
    <w:p w14:paraId="21763F25" w14:textId="77777777"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 xml:space="preserve">Monitoring data are central to both adaptive management and optimisation. Observed trends in contaminant concentrations, flow conditions, and responses to hydrological events support informed decision-making and help identify when remediation measures are effective or when additional action </w:t>
      </w:r>
      <w:r w:rsidRPr="00AC062A">
        <w:rPr>
          <w:rFonts w:ascii="Calibri" w:eastAsiaTheme="majorEastAsia" w:hAnsi="Calibri" w:cs="Calibri"/>
        </w:rPr>
        <w:lastRenderedPageBreak/>
        <w:t>is required. Clearly defined performance indicators and decision thresholds enhance transparency and consistency in this process.</w:t>
      </w:r>
    </w:p>
    <w:p w14:paraId="5061224B" w14:textId="77777777" w:rsidR="003E57F4" w:rsidRPr="00251919" w:rsidRDefault="003E57F4" w:rsidP="003E57F4">
      <w:pPr>
        <w:jc w:val="both"/>
        <w:rPr>
          <w:rFonts w:ascii="Calibri" w:eastAsiaTheme="majorEastAsia" w:hAnsi="Calibri" w:cs="Calibri"/>
        </w:rPr>
      </w:pPr>
      <w:r w:rsidRPr="00AC062A">
        <w:rPr>
          <w:rFonts w:ascii="Calibri" w:eastAsiaTheme="majorEastAsia" w:hAnsi="Calibri" w:cs="Calibri"/>
        </w:rPr>
        <w:t>In transboundary karst aquifer systems, adaptive management and optimisation benefit from coordinated implementation and information exchange between responsible authorities. Periodic review of remediation objectives and strategies ensures that management efforts remain appropriate as site conditions and understanding evolve, contributing to long-term protection of groundwater resources and associated ecosystems.</w:t>
      </w:r>
    </w:p>
    <w:p w14:paraId="3B464843" w14:textId="77777777" w:rsidR="00EE46B7" w:rsidRDefault="00EE46B7" w:rsidP="003E57F4">
      <w:pPr>
        <w:pStyle w:val="Heading2"/>
        <w:rPr>
          <w:lang w:val="en-GB"/>
        </w:rPr>
      </w:pPr>
    </w:p>
    <w:p w14:paraId="396D6566" w14:textId="6CA9704E" w:rsidR="003E57F4" w:rsidRPr="00251919" w:rsidRDefault="003E57F4" w:rsidP="003E57F4">
      <w:pPr>
        <w:pStyle w:val="Heading2"/>
        <w:rPr>
          <w:lang w:val="en-GB"/>
        </w:rPr>
      </w:pPr>
      <w:bookmarkStart w:id="253" w:name="_Toc229036313"/>
      <w:r w:rsidRPr="00251919">
        <w:rPr>
          <w:lang w:val="en-GB"/>
        </w:rPr>
        <w:t>1</w:t>
      </w:r>
      <w:r>
        <w:rPr>
          <w:lang w:val="en-GB"/>
        </w:rPr>
        <w:t>1</w:t>
      </w:r>
      <w:r w:rsidRPr="00251919">
        <w:rPr>
          <w:lang w:val="en-GB"/>
        </w:rPr>
        <w:t>.13 Transboundary and interagency coordination</w:t>
      </w:r>
      <w:bookmarkEnd w:id="253"/>
      <w:r w:rsidRPr="00251919">
        <w:rPr>
          <w:lang w:val="en-GB"/>
        </w:rPr>
        <w:t xml:space="preserve"> </w:t>
      </w:r>
    </w:p>
    <w:p w14:paraId="34D7BED7" w14:textId="77777777"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Effective transboundary and interagency coordination is essential for the protection and management of karst aquifer systems that extend across administrative and national boundaries. Due to strong hydraulic connectivity and rapid groundwater flow, activities and decisions taken in one jurisdiction may directly affect groundwater quality and related receptors in neighbouring areas. Coordinated action is therefore necessary to ensure consistent protection of shared water resources.</w:t>
      </w:r>
    </w:p>
    <w:p w14:paraId="53C10E34" w14:textId="77777777"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Relevant institutions responsible for groundwater protection, contaminated site management, water supply, environmental monitoring, and emergency response should operate within a clearly defined coordination framework. This framework should support information exchange, alignment of technical approaches, and timely communication between agencies involved at national, regional, and local levels.</w:t>
      </w:r>
    </w:p>
    <w:p w14:paraId="304AC166" w14:textId="77777777"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In transboundary settings, coordination mechanisms should include agreed procedures for data sharing, harmonised monitoring practices, and regular technical consultations. Where regulatory standards or assessment criteria differ between jurisdictions, coordination should aim to achieve mutually acceptable protection levels for shared groundwater and surface water receptors.</w:t>
      </w:r>
    </w:p>
    <w:p w14:paraId="3EEA3E19" w14:textId="77777777"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Effective coordination is particularly important in emergency situations, where rapid notification and joint response can prevent or limit adverse impacts. Predefined communication channels and response protocols should be established to support timely and coherent action.</w:t>
      </w:r>
    </w:p>
    <w:p w14:paraId="3B5D08F8" w14:textId="124F09C9" w:rsidR="003E57F4" w:rsidRDefault="003E57F4" w:rsidP="003E57F4">
      <w:pPr>
        <w:jc w:val="both"/>
        <w:rPr>
          <w:rFonts w:ascii="Calibri" w:eastAsiaTheme="majorEastAsia" w:hAnsi="Calibri" w:cs="Calibri"/>
        </w:rPr>
      </w:pPr>
    </w:p>
    <w:p w14:paraId="7B2DDB4C" w14:textId="77777777" w:rsidR="003E57F4" w:rsidRPr="00251919" w:rsidRDefault="003E57F4" w:rsidP="003E57F4">
      <w:pPr>
        <w:pStyle w:val="Heading2"/>
        <w:rPr>
          <w:lang w:val="en-GB"/>
        </w:rPr>
      </w:pPr>
      <w:bookmarkStart w:id="254" w:name="_Toc229036314"/>
      <w:r w:rsidRPr="00251919">
        <w:rPr>
          <w:lang w:val="en-GB"/>
        </w:rPr>
        <w:t>1</w:t>
      </w:r>
      <w:r>
        <w:rPr>
          <w:lang w:val="en-GB"/>
        </w:rPr>
        <w:t>1</w:t>
      </w:r>
      <w:r w:rsidRPr="00251919">
        <w:rPr>
          <w:lang w:val="en-GB"/>
        </w:rPr>
        <w:t>.1</w:t>
      </w:r>
      <w:r>
        <w:rPr>
          <w:lang w:val="en-GB"/>
        </w:rPr>
        <w:t>4</w:t>
      </w:r>
      <w:r w:rsidRPr="00251919">
        <w:rPr>
          <w:lang w:val="en-GB"/>
        </w:rPr>
        <w:t xml:space="preserve"> </w:t>
      </w:r>
      <w:r w:rsidRPr="00AC062A">
        <w:rPr>
          <w:lang w:val="en-GB"/>
        </w:rPr>
        <w:t>Funding and liability considerations</w:t>
      </w:r>
      <w:bookmarkEnd w:id="254"/>
    </w:p>
    <w:p w14:paraId="05536ACE" w14:textId="7D371685" w:rsidR="003E57F4" w:rsidRDefault="003E57F4" w:rsidP="003E57F4">
      <w:pPr>
        <w:jc w:val="both"/>
        <w:rPr>
          <w:rFonts w:ascii="Calibri" w:eastAsiaTheme="majorEastAsia" w:hAnsi="Calibri" w:cs="Calibri"/>
        </w:rPr>
      </w:pPr>
      <w:r w:rsidRPr="00AC062A">
        <w:rPr>
          <w:rFonts w:ascii="Calibri" w:eastAsiaTheme="majorEastAsia" w:hAnsi="Calibri" w:cs="Calibri"/>
        </w:rPr>
        <w:t xml:space="preserve">The implementation of remediation measures in Neretva TBA depends on a coordinated approach to funding and liability that reflects the transboundary nature of the aquifer, diverse pollution sources and differences in institutional capacities between Croatia and Bosnia and </w:t>
      </w:r>
      <w:proofErr w:type="spellStart"/>
      <w:r w:rsidRPr="00AC062A">
        <w:rPr>
          <w:rFonts w:ascii="Calibri" w:eastAsiaTheme="majorEastAsia" w:hAnsi="Calibri" w:cs="Calibri"/>
        </w:rPr>
        <w:t>Herzegovina.Overall</w:t>
      </w:r>
      <w:proofErr w:type="spellEnd"/>
      <w:r w:rsidRPr="00AC062A">
        <w:rPr>
          <w:rFonts w:ascii="Calibri" w:eastAsiaTheme="majorEastAsia" w:hAnsi="Calibri" w:cs="Calibri"/>
        </w:rPr>
        <w:t>, transboundary and interagency coordination strengthens institutional capacity, improves decision-making, and supports integrated, risk-based management of karst aquifer systems. Such coordination is a prerequisite for effective long-term protection of shared groundwater resources and associated ecosystems.</w:t>
      </w:r>
    </w:p>
    <w:p w14:paraId="6C350240" w14:textId="77777777" w:rsidR="003E57F4" w:rsidRPr="002F7519" w:rsidRDefault="003E57F4" w:rsidP="00EE46B7">
      <w:pPr>
        <w:pStyle w:val="Heading3"/>
        <w:rPr>
          <w:lang w:val="en-GB"/>
        </w:rPr>
      </w:pPr>
      <w:bookmarkStart w:id="255" w:name="_Toc229036315"/>
      <w:r w:rsidRPr="002F7519">
        <w:rPr>
          <w:lang w:val="en-GB"/>
        </w:rPr>
        <w:t>11.14.1. Funding considerations</w:t>
      </w:r>
      <w:bookmarkEnd w:id="255"/>
    </w:p>
    <w:p w14:paraId="48A451E7" w14:textId="5F44A495"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 xml:space="preserve">Remediation of contaminated groundwater in karst systems is typically cost-intensive, long-term and technically complex, particularly in cases of diffuse agricultural pollution and wastewater-related contamination. In Neretva TBA, priority areas such as </w:t>
      </w:r>
      <w:proofErr w:type="spellStart"/>
      <w:r w:rsidRPr="00AC062A">
        <w:rPr>
          <w:rFonts w:ascii="Calibri" w:eastAsiaTheme="majorEastAsia" w:hAnsi="Calibri" w:cs="Calibri"/>
        </w:rPr>
        <w:t>Ljubuško</w:t>
      </w:r>
      <w:proofErr w:type="spellEnd"/>
      <w:r w:rsidRPr="00AC062A">
        <w:rPr>
          <w:rFonts w:ascii="Calibri" w:eastAsiaTheme="majorEastAsia" w:hAnsi="Calibri" w:cs="Calibri"/>
        </w:rPr>
        <w:t xml:space="preserve"> polje, the </w:t>
      </w:r>
      <w:proofErr w:type="spellStart"/>
      <w:r w:rsidRPr="00AC062A">
        <w:rPr>
          <w:rFonts w:ascii="Calibri" w:eastAsiaTheme="majorEastAsia" w:hAnsi="Calibri" w:cs="Calibri"/>
        </w:rPr>
        <w:t>Prud</w:t>
      </w:r>
      <w:proofErr w:type="spellEnd"/>
      <w:r w:rsidRPr="00AC062A">
        <w:rPr>
          <w:rFonts w:ascii="Calibri" w:eastAsiaTheme="majorEastAsia" w:hAnsi="Calibri" w:cs="Calibri"/>
        </w:rPr>
        <w:t xml:space="preserve"> catchment and the Neretva Delta require a combination of preventive, mitigation and remediation measures, each with distinct funding requirements.</w:t>
      </w:r>
    </w:p>
    <w:p w14:paraId="62E6E01C" w14:textId="77777777"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lastRenderedPageBreak/>
        <w:t>Funding sources must therefore be diversified and combined across multiple levels. For Croatia, as an EU Member State, relevant instruments include Cohesion Policy funds (ERDF, Cohesion Fund), the Recovery and Resilience Facility (RRF), and sectoral programmes such as LIFE and Horizon Europe, particularly for pilot remediation and innovation-oriented actions. Bosnia and Herzegovina, as a candidate country, relies primarily on IPA III, Interreg cross-border cooperation and international financial institutions such as the World Bank, European Investment Bank and European Bank for Reconstruction and Development, as well as GEF-supported initiatives. Given the transboundary character of the aquifer, coordinated funding approaches are essential, particularly for measures addressing shared risks. Thus, cross-border programmes provide a key platform for co-financing joint monitoring systems, pilot remediation projects and capacity-building activities.</w:t>
      </w:r>
    </w:p>
    <w:p w14:paraId="4E30802B" w14:textId="0F16B84B"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A critical constraint identified within the J</w:t>
      </w:r>
      <w:r w:rsidR="00EE46B7">
        <w:rPr>
          <w:rFonts w:ascii="Calibri" w:eastAsiaTheme="majorEastAsia" w:hAnsi="Calibri" w:cs="Calibri"/>
        </w:rPr>
        <w:t>oint Action Programme (JAP)</w:t>
      </w:r>
      <w:r w:rsidRPr="00AC062A">
        <w:rPr>
          <w:rFonts w:ascii="Calibri" w:eastAsiaTheme="majorEastAsia" w:hAnsi="Calibri" w:cs="Calibri"/>
        </w:rPr>
        <w:t xml:space="preserve"> framework is the limited financial and administrative capacity of local authorities and water utilities, particularly in smaller municipalities. This affects the implementation of wastewater infrastructure upgrades, monitoring systems and long-term maintenance. Funding strategies should therefore include targeted support for local-level implementation, combined with strong national-level coordination. Within the JAP framework, funding allocation should be explicitly linked to the prioritisation of measures, with emphasis on high-risk zones, transboundary relevance and cost-effectiveness. The JAP does not establish new funding instruments but provides a strategic framework for aligning existing financial sources with priority actions.</w:t>
      </w:r>
    </w:p>
    <w:p w14:paraId="35B1BDF9" w14:textId="77777777" w:rsidR="003E57F4" w:rsidRPr="002F7519" w:rsidRDefault="003E57F4" w:rsidP="00EE46B7">
      <w:pPr>
        <w:pStyle w:val="Heading3"/>
        <w:rPr>
          <w:lang w:val="en-GB"/>
        </w:rPr>
      </w:pPr>
      <w:bookmarkStart w:id="256" w:name="_Toc229036316"/>
      <w:r w:rsidRPr="002F7519">
        <w:rPr>
          <w:lang w:val="en-GB"/>
        </w:rPr>
        <w:t>11.14.2. Liability considerations</w:t>
      </w:r>
      <w:bookmarkEnd w:id="256"/>
      <w:r w:rsidRPr="002F7519">
        <w:rPr>
          <w:lang w:val="en-GB"/>
        </w:rPr>
        <w:t xml:space="preserve"> </w:t>
      </w:r>
    </w:p>
    <w:p w14:paraId="7ED1D6D0" w14:textId="4E37BA6A"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 xml:space="preserve">Liability for groundwater contamination in Neretva TBA is governed by a combination of EU-derived principles (in Croatia) and national legal frameworks in both countries. The key overarching principle is the “polluter pays” principle, embedded in EU environmental policy and reflected in Croatian legislation, as well as increasingly recognized in Bosnia and Herzegovina.  </w:t>
      </w:r>
    </w:p>
    <w:p w14:paraId="532AF634" w14:textId="77777777"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However, the application of liability in karst transboundary systems presents several challenges:</w:t>
      </w:r>
    </w:p>
    <w:p w14:paraId="3234007C" w14:textId="77777777" w:rsidR="003E57F4" w:rsidRPr="00B16D18" w:rsidRDefault="003E57F4" w:rsidP="003E57F4">
      <w:pPr>
        <w:pStyle w:val="ListParagraph"/>
        <w:numPr>
          <w:ilvl w:val="0"/>
          <w:numId w:val="179"/>
        </w:numPr>
        <w:jc w:val="both"/>
        <w:rPr>
          <w:rFonts w:ascii="Calibri" w:eastAsiaTheme="majorEastAsia" w:hAnsi="Calibri" w:cs="Calibri"/>
        </w:rPr>
      </w:pPr>
      <w:r w:rsidRPr="00B16D18">
        <w:rPr>
          <w:rFonts w:ascii="Calibri" w:eastAsiaTheme="majorEastAsia" w:hAnsi="Calibri" w:cs="Calibri"/>
        </w:rPr>
        <w:t>Diffuse pollution sources, particularly from agriculture, make it difficult to identify and assign responsibility to individual actors;</w:t>
      </w:r>
    </w:p>
    <w:p w14:paraId="1003557D" w14:textId="77777777" w:rsidR="003E57F4" w:rsidRPr="00B16D18" w:rsidRDefault="003E57F4" w:rsidP="003E57F4">
      <w:pPr>
        <w:pStyle w:val="ListParagraph"/>
        <w:numPr>
          <w:ilvl w:val="0"/>
          <w:numId w:val="179"/>
        </w:numPr>
        <w:jc w:val="both"/>
        <w:rPr>
          <w:rFonts w:ascii="Calibri" w:eastAsiaTheme="majorEastAsia" w:hAnsi="Calibri" w:cs="Calibri"/>
        </w:rPr>
      </w:pPr>
      <w:r w:rsidRPr="00B16D18">
        <w:rPr>
          <w:rFonts w:ascii="Calibri" w:eastAsiaTheme="majorEastAsia" w:hAnsi="Calibri" w:cs="Calibri"/>
        </w:rPr>
        <w:t>Institutional fragmentation and differences in legal frameworks complicate enforcement and cost recovery mechanisms.</w:t>
      </w:r>
    </w:p>
    <w:p w14:paraId="6AF357FA" w14:textId="77777777"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In the case of point sources (e.g. wastewater discharges), liability is generally clearer and linked to permit systems, compliance monitoring and sanctions. However, in practice, enforcement capacity and infrastructure limitations reduce the effectiveness of these mechanisms. For diffuse pollution, liability is more appropriately addressed through preventive and incentive-based approaches, including agri-environmental measures, regulation of pesticide and fertilizer use, and targeted support for sustainable agricultural practices.</w:t>
      </w:r>
    </w:p>
    <w:p w14:paraId="1482FB2C" w14:textId="77777777"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Within the JAP framework, liability considerations are therefore operationalized through a combination of:</w:t>
      </w:r>
    </w:p>
    <w:p w14:paraId="7FEA8971" w14:textId="77777777" w:rsidR="003E57F4" w:rsidRPr="00AC062A" w:rsidRDefault="003E57F4" w:rsidP="003E57F4">
      <w:pPr>
        <w:pStyle w:val="ListParagraph"/>
        <w:numPr>
          <w:ilvl w:val="0"/>
          <w:numId w:val="176"/>
        </w:numPr>
        <w:jc w:val="both"/>
        <w:rPr>
          <w:rFonts w:ascii="Calibri" w:eastAsiaTheme="majorEastAsia" w:hAnsi="Calibri" w:cs="Calibri"/>
        </w:rPr>
      </w:pPr>
      <w:r w:rsidRPr="00AC062A">
        <w:rPr>
          <w:rFonts w:ascii="Calibri" w:eastAsiaTheme="majorEastAsia" w:hAnsi="Calibri" w:cs="Calibri"/>
        </w:rPr>
        <w:t>Regulatory instruments (permits, standards, compliance mechanisms);</w:t>
      </w:r>
    </w:p>
    <w:p w14:paraId="63A7B8AC" w14:textId="77777777" w:rsidR="003E57F4" w:rsidRPr="00AC062A" w:rsidRDefault="003E57F4" w:rsidP="003E57F4">
      <w:pPr>
        <w:pStyle w:val="ListParagraph"/>
        <w:numPr>
          <w:ilvl w:val="0"/>
          <w:numId w:val="176"/>
        </w:numPr>
        <w:jc w:val="both"/>
        <w:rPr>
          <w:rFonts w:ascii="Calibri" w:eastAsiaTheme="majorEastAsia" w:hAnsi="Calibri" w:cs="Calibri"/>
        </w:rPr>
      </w:pPr>
      <w:r w:rsidRPr="00AC062A">
        <w:rPr>
          <w:rFonts w:ascii="Calibri" w:eastAsiaTheme="majorEastAsia" w:hAnsi="Calibri" w:cs="Calibri"/>
        </w:rPr>
        <w:t>Economic instruments (subsidies, cost-sharing schemes, EU funding conditionalities);</w:t>
      </w:r>
    </w:p>
    <w:p w14:paraId="34648BCE" w14:textId="77777777" w:rsidR="003E57F4" w:rsidRPr="00AC062A" w:rsidRDefault="003E57F4" w:rsidP="003E57F4">
      <w:pPr>
        <w:pStyle w:val="ListParagraph"/>
        <w:numPr>
          <w:ilvl w:val="0"/>
          <w:numId w:val="176"/>
        </w:numPr>
        <w:jc w:val="both"/>
        <w:rPr>
          <w:rFonts w:ascii="Calibri" w:eastAsiaTheme="majorEastAsia" w:hAnsi="Calibri" w:cs="Calibri"/>
        </w:rPr>
      </w:pPr>
      <w:r w:rsidRPr="00AC062A">
        <w:rPr>
          <w:rFonts w:ascii="Calibri" w:eastAsiaTheme="majorEastAsia" w:hAnsi="Calibri" w:cs="Calibri"/>
        </w:rPr>
        <w:t>Institutional coordination mechanisms for transboundary cases.</w:t>
      </w:r>
    </w:p>
    <w:p w14:paraId="10543834" w14:textId="77777777"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A key requirement for effective liability management is the strengthening of monitoring and data sharing systems, which enable the identification of pollution sources, trend analysis, and evidence-</w:t>
      </w:r>
      <w:r w:rsidRPr="00AC062A">
        <w:rPr>
          <w:rFonts w:ascii="Calibri" w:eastAsiaTheme="majorEastAsia" w:hAnsi="Calibri" w:cs="Calibri"/>
        </w:rPr>
        <w:lastRenderedPageBreak/>
        <w:t>based decision-making. Without harmonized data, liability remains difficult to enforce, particularly in transboundary contexts.</w:t>
      </w:r>
    </w:p>
    <w:p w14:paraId="09FCD89E" w14:textId="77777777" w:rsidR="003E57F4" w:rsidRPr="002F7519" w:rsidRDefault="003E57F4" w:rsidP="00EE46B7">
      <w:pPr>
        <w:pStyle w:val="Heading3"/>
        <w:rPr>
          <w:lang w:val="en-GB"/>
        </w:rPr>
      </w:pPr>
      <w:bookmarkStart w:id="257" w:name="_Toc229036317"/>
      <w:r w:rsidRPr="002F7519">
        <w:rPr>
          <w:lang w:val="en-GB"/>
        </w:rPr>
        <w:t>11.14.3. Integration of funding and liability in the JAP context</w:t>
      </w:r>
      <w:bookmarkEnd w:id="257"/>
    </w:p>
    <w:p w14:paraId="440EE1F1" w14:textId="1C8CAA54"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In Neretva TBA, funding and liability need to be addressed together. Liability defines responsibility, but funding is necessary to ensure that measures are implemented, particularly in situations where:</w:t>
      </w:r>
    </w:p>
    <w:p w14:paraId="09FEAB67" w14:textId="77777777" w:rsidR="003E57F4" w:rsidRPr="00AC062A" w:rsidRDefault="003E57F4" w:rsidP="003E57F4">
      <w:pPr>
        <w:pStyle w:val="ListParagraph"/>
        <w:numPr>
          <w:ilvl w:val="0"/>
          <w:numId w:val="177"/>
        </w:numPr>
        <w:jc w:val="both"/>
        <w:rPr>
          <w:rFonts w:ascii="Calibri" w:eastAsiaTheme="majorEastAsia" w:hAnsi="Calibri" w:cs="Calibri"/>
        </w:rPr>
      </w:pPr>
      <w:r w:rsidRPr="00AC062A">
        <w:rPr>
          <w:rFonts w:ascii="Calibri" w:eastAsiaTheme="majorEastAsia" w:hAnsi="Calibri" w:cs="Calibri"/>
        </w:rPr>
        <w:t>responsible actors cannot be clearly identified;</w:t>
      </w:r>
    </w:p>
    <w:p w14:paraId="0A024186" w14:textId="77777777" w:rsidR="003E57F4" w:rsidRPr="00AC062A" w:rsidRDefault="003E57F4" w:rsidP="003E57F4">
      <w:pPr>
        <w:pStyle w:val="ListParagraph"/>
        <w:numPr>
          <w:ilvl w:val="0"/>
          <w:numId w:val="177"/>
        </w:numPr>
        <w:jc w:val="both"/>
        <w:rPr>
          <w:rFonts w:ascii="Calibri" w:eastAsiaTheme="majorEastAsia" w:hAnsi="Calibri" w:cs="Calibri"/>
        </w:rPr>
      </w:pPr>
      <w:r w:rsidRPr="00AC062A">
        <w:rPr>
          <w:rFonts w:ascii="Calibri" w:eastAsiaTheme="majorEastAsia" w:hAnsi="Calibri" w:cs="Calibri"/>
        </w:rPr>
        <w:t>remediation costs exceed local financial capacities;</w:t>
      </w:r>
    </w:p>
    <w:p w14:paraId="13986083" w14:textId="77777777" w:rsidR="003E57F4" w:rsidRPr="00AC062A" w:rsidRDefault="003E57F4" w:rsidP="003E57F4">
      <w:pPr>
        <w:pStyle w:val="ListParagraph"/>
        <w:numPr>
          <w:ilvl w:val="0"/>
          <w:numId w:val="177"/>
        </w:numPr>
        <w:jc w:val="both"/>
        <w:rPr>
          <w:rFonts w:ascii="Calibri" w:eastAsiaTheme="majorEastAsia" w:hAnsi="Calibri" w:cs="Calibri"/>
        </w:rPr>
      </w:pPr>
      <w:r w:rsidRPr="00AC062A">
        <w:rPr>
          <w:rFonts w:ascii="Calibri" w:eastAsiaTheme="majorEastAsia" w:hAnsi="Calibri" w:cs="Calibri"/>
        </w:rPr>
        <w:t>measures have a collective or transboundary benefit.</w:t>
      </w:r>
    </w:p>
    <w:p w14:paraId="57BB4938" w14:textId="77777777" w:rsidR="003E57F4" w:rsidRPr="00251919" w:rsidRDefault="003E57F4" w:rsidP="003E57F4">
      <w:pPr>
        <w:jc w:val="both"/>
        <w:rPr>
          <w:rFonts w:ascii="Calibri" w:eastAsiaTheme="majorEastAsia" w:hAnsi="Calibri" w:cs="Calibri"/>
        </w:rPr>
      </w:pPr>
      <w:r w:rsidRPr="00AC062A">
        <w:rPr>
          <w:rFonts w:ascii="Calibri" w:eastAsiaTheme="majorEastAsia" w:hAnsi="Calibri" w:cs="Calibri"/>
        </w:rPr>
        <w:t>For this reason, the JAP combines the polluter pays principle with public and international funding, ensuring both accountability and the practical implementation of remediation measures.</w:t>
      </w:r>
    </w:p>
    <w:p w14:paraId="46F4DC0F" w14:textId="417FD95F" w:rsidR="003E57F4" w:rsidRPr="00924177" w:rsidRDefault="002F4776" w:rsidP="002F4776">
      <w:pPr>
        <w:pStyle w:val="Caption"/>
        <w:rPr>
          <w:rFonts w:cstheme="minorHAnsi"/>
          <w:i w:val="0"/>
          <w:iCs w:val="0"/>
          <w:sz w:val="20"/>
          <w:szCs w:val="20"/>
        </w:rPr>
      </w:pPr>
      <w:bookmarkStart w:id="258" w:name="_Toc229037753"/>
      <w:r>
        <w:t xml:space="preserve">Table </w:t>
      </w:r>
      <w:r>
        <w:fldChar w:fldCharType="begin"/>
      </w:r>
      <w:r>
        <w:instrText xml:space="preserve"> SEQ Table \* ARABIC </w:instrText>
      </w:r>
      <w:r>
        <w:fldChar w:fldCharType="separate"/>
      </w:r>
      <w:r>
        <w:rPr>
          <w:noProof/>
        </w:rPr>
        <w:t>31</w:t>
      </w:r>
      <w:r>
        <w:fldChar w:fldCharType="end"/>
      </w:r>
      <w:r>
        <w:t xml:space="preserve"> </w:t>
      </w:r>
      <w:r w:rsidRPr="00421B97">
        <w:t>Overview of funding sources and liability mechanisms relevant for JAP implementation</w:t>
      </w:r>
      <w:bookmarkEnd w:id="258"/>
    </w:p>
    <w:tbl>
      <w:tblPr>
        <w:tblStyle w:val="Reetkatablice1"/>
        <w:tblW w:w="0" w:type="auto"/>
        <w:tblBorders>
          <w:top w:val="double" w:sz="6" w:space="0" w:color="000000" w:themeColor="text1"/>
          <w:left w:val="double" w:sz="6" w:space="0" w:color="000000" w:themeColor="text1"/>
          <w:bottom w:val="double" w:sz="6" w:space="0" w:color="000000" w:themeColor="text1"/>
          <w:right w:val="double" w:sz="6" w:space="0" w:color="000000" w:themeColor="text1"/>
          <w:insideH w:val="double" w:sz="6" w:space="0" w:color="000000" w:themeColor="text1"/>
          <w:insideV w:val="double" w:sz="6" w:space="0" w:color="000000" w:themeColor="text1"/>
        </w:tblBorders>
        <w:tblLook w:val="00A0" w:firstRow="1" w:lastRow="0" w:firstColumn="1" w:lastColumn="0" w:noHBand="0" w:noVBand="0"/>
      </w:tblPr>
      <w:tblGrid>
        <w:gridCol w:w="1562"/>
        <w:gridCol w:w="2881"/>
        <w:gridCol w:w="2486"/>
        <w:gridCol w:w="2051"/>
      </w:tblGrid>
      <w:tr w:rsidR="003E57F4" w:rsidRPr="00924177" w14:paraId="4ADBF074" w14:textId="77777777" w:rsidTr="009919F2">
        <w:tc>
          <w:tcPr>
            <w:tcW w:w="0" w:type="auto"/>
            <w:shd w:val="clear" w:color="auto" w:fill="B4C6E7"/>
            <w:hideMark/>
          </w:tcPr>
          <w:p w14:paraId="3AAB08CF" w14:textId="77777777" w:rsidR="003E57F4" w:rsidRPr="00924177" w:rsidRDefault="003E57F4" w:rsidP="009919F2">
            <w:pPr>
              <w:spacing w:line="259" w:lineRule="auto"/>
              <w:rPr>
                <w:rFonts w:cstheme="minorHAnsi"/>
                <w:b/>
                <w:bCs/>
                <w:sz w:val="16"/>
                <w:szCs w:val="16"/>
              </w:rPr>
            </w:pPr>
            <w:r w:rsidRPr="00924177">
              <w:rPr>
                <w:rFonts w:cstheme="minorHAnsi"/>
                <w:b/>
                <w:bCs/>
                <w:sz w:val="16"/>
                <w:szCs w:val="16"/>
              </w:rPr>
              <w:t>Category</w:t>
            </w:r>
          </w:p>
        </w:tc>
        <w:tc>
          <w:tcPr>
            <w:tcW w:w="0" w:type="auto"/>
            <w:shd w:val="clear" w:color="auto" w:fill="B4C6E7"/>
            <w:hideMark/>
          </w:tcPr>
          <w:p w14:paraId="4E7DD37A" w14:textId="77777777" w:rsidR="003E57F4" w:rsidRPr="00924177" w:rsidRDefault="003E57F4" w:rsidP="009919F2">
            <w:pPr>
              <w:spacing w:line="259" w:lineRule="auto"/>
              <w:rPr>
                <w:rFonts w:cstheme="minorHAnsi"/>
                <w:b/>
                <w:bCs/>
                <w:sz w:val="16"/>
                <w:szCs w:val="16"/>
              </w:rPr>
            </w:pPr>
            <w:r w:rsidRPr="00924177">
              <w:rPr>
                <w:rFonts w:cstheme="minorHAnsi"/>
                <w:b/>
                <w:bCs/>
                <w:sz w:val="16"/>
                <w:szCs w:val="16"/>
              </w:rPr>
              <w:t>Croatia (EU Member State)</w:t>
            </w:r>
          </w:p>
        </w:tc>
        <w:tc>
          <w:tcPr>
            <w:tcW w:w="0" w:type="auto"/>
            <w:shd w:val="clear" w:color="auto" w:fill="B4C6E7"/>
            <w:hideMark/>
          </w:tcPr>
          <w:p w14:paraId="4C26C6D6" w14:textId="77777777" w:rsidR="003E57F4" w:rsidRPr="00924177" w:rsidRDefault="003E57F4" w:rsidP="009919F2">
            <w:pPr>
              <w:spacing w:line="259" w:lineRule="auto"/>
              <w:rPr>
                <w:rFonts w:cstheme="minorHAnsi"/>
                <w:b/>
                <w:bCs/>
                <w:sz w:val="16"/>
                <w:szCs w:val="16"/>
              </w:rPr>
            </w:pPr>
            <w:r w:rsidRPr="00924177">
              <w:rPr>
                <w:rFonts w:cstheme="minorHAnsi"/>
                <w:b/>
                <w:bCs/>
                <w:sz w:val="16"/>
                <w:szCs w:val="16"/>
              </w:rPr>
              <w:t>Bosnia and Herzegovina (Candidate country)</w:t>
            </w:r>
          </w:p>
        </w:tc>
        <w:tc>
          <w:tcPr>
            <w:tcW w:w="0" w:type="auto"/>
            <w:shd w:val="clear" w:color="auto" w:fill="B4C6E7"/>
            <w:hideMark/>
          </w:tcPr>
          <w:p w14:paraId="06A6DF94" w14:textId="77777777" w:rsidR="003E57F4" w:rsidRPr="00924177" w:rsidRDefault="003E57F4" w:rsidP="009919F2">
            <w:pPr>
              <w:spacing w:line="259" w:lineRule="auto"/>
              <w:rPr>
                <w:rFonts w:cstheme="minorHAnsi"/>
                <w:b/>
                <w:bCs/>
                <w:sz w:val="16"/>
                <w:szCs w:val="16"/>
              </w:rPr>
            </w:pPr>
            <w:r w:rsidRPr="00924177">
              <w:rPr>
                <w:rFonts w:cstheme="minorHAnsi"/>
                <w:b/>
                <w:bCs/>
                <w:sz w:val="16"/>
                <w:szCs w:val="16"/>
              </w:rPr>
              <w:t>Relevance for JAP</w:t>
            </w:r>
          </w:p>
        </w:tc>
      </w:tr>
      <w:tr w:rsidR="003E57F4" w:rsidRPr="00924177" w14:paraId="1FCC6428" w14:textId="77777777" w:rsidTr="009919F2">
        <w:tc>
          <w:tcPr>
            <w:tcW w:w="0" w:type="auto"/>
            <w:hideMark/>
          </w:tcPr>
          <w:p w14:paraId="72A47B1D" w14:textId="77777777" w:rsidR="003E57F4" w:rsidRPr="00924177" w:rsidRDefault="003E57F4" w:rsidP="009919F2">
            <w:pPr>
              <w:spacing w:line="259" w:lineRule="auto"/>
              <w:rPr>
                <w:rFonts w:cstheme="minorHAnsi"/>
                <w:b/>
                <w:bCs/>
                <w:sz w:val="16"/>
                <w:szCs w:val="16"/>
              </w:rPr>
            </w:pPr>
            <w:r w:rsidRPr="00924177">
              <w:rPr>
                <w:rFonts w:cstheme="minorHAnsi"/>
                <w:b/>
                <w:bCs/>
                <w:sz w:val="16"/>
                <w:szCs w:val="16"/>
              </w:rPr>
              <w:t>EU structural funds</w:t>
            </w:r>
          </w:p>
        </w:tc>
        <w:tc>
          <w:tcPr>
            <w:tcW w:w="0" w:type="auto"/>
            <w:hideMark/>
          </w:tcPr>
          <w:p w14:paraId="2B13F3BC" w14:textId="77777777" w:rsidR="003E57F4" w:rsidRPr="00924177" w:rsidRDefault="003E57F4" w:rsidP="009919F2">
            <w:pPr>
              <w:spacing w:line="259" w:lineRule="auto"/>
              <w:rPr>
                <w:rFonts w:cstheme="minorHAnsi"/>
                <w:sz w:val="16"/>
                <w:szCs w:val="16"/>
              </w:rPr>
            </w:pPr>
            <w:r w:rsidRPr="00924177">
              <w:rPr>
                <w:rFonts w:cstheme="minorHAnsi"/>
                <w:sz w:val="16"/>
                <w:szCs w:val="16"/>
              </w:rPr>
              <w:t>ERDF, Cohesion Fund</w:t>
            </w:r>
          </w:p>
        </w:tc>
        <w:tc>
          <w:tcPr>
            <w:tcW w:w="0" w:type="auto"/>
            <w:hideMark/>
          </w:tcPr>
          <w:p w14:paraId="377A31DD" w14:textId="77777777" w:rsidR="003E57F4" w:rsidRPr="00924177" w:rsidRDefault="003E57F4" w:rsidP="009919F2">
            <w:pPr>
              <w:spacing w:line="259" w:lineRule="auto"/>
              <w:rPr>
                <w:rFonts w:cstheme="minorHAnsi"/>
                <w:sz w:val="16"/>
                <w:szCs w:val="16"/>
              </w:rPr>
            </w:pPr>
            <w:r w:rsidRPr="00924177">
              <w:rPr>
                <w:rFonts w:cstheme="minorHAnsi"/>
                <w:sz w:val="16"/>
                <w:szCs w:val="16"/>
              </w:rPr>
              <w:t>Not applicable</w:t>
            </w:r>
          </w:p>
        </w:tc>
        <w:tc>
          <w:tcPr>
            <w:tcW w:w="0" w:type="auto"/>
            <w:hideMark/>
          </w:tcPr>
          <w:p w14:paraId="65D7B876" w14:textId="77777777" w:rsidR="003E57F4" w:rsidRPr="00924177" w:rsidRDefault="003E57F4" w:rsidP="009919F2">
            <w:pPr>
              <w:spacing w:line="259" w:lineRule="auto"/>
              <w:rPr>
                <w:rFonts w:cstheme="minorHAnsi"/>
                <w:sz w:val="16"/>
                <w:szCs w:val="16"/>
              </w:rPr>
            </w:pPr>
            <w:r w:rsidRPr="00924177">
              <w:rPr>
                <w:rFonts w:cstheme="minorHAnsi"/>
                <w:sz w:val="16"/>
                <w:szCs w:val="16"/>
              </w:rPr>
              <w:t>Infrastructure (wastewater, monitoring)</w:t>
            </w:r>
          </w:p>
        </w:tc>
      </w:tr>
      <w:tr w:rsidR="003E57F4" w:rsidRPr="00924177" w14:paraId="0542D829" w14:textId="77777777" w:rsidTr="009919F2">
        <w:tc>
          <w:tcPr>
            <w:tcW w:w="0" w:type="auto"/>
            <w:hideMark/>
          </w:tcPr>
          <w:p w14:paraId="7F2B0B79" w14:textId="77777777" w:rsidR="003E57F4" w:rsidRPr="00924177" w:rsidRDefault="003E57F4" w:rsidP="009919F2">
            <w:pPr>
              <w:spacing w:line="259" w:lineRule="auto"/>
              <w:rPr>
                <w:rFonts w:cstheme="minorHAnsi"/>
                <w:b/>
                <w:bCs/>
                <w:sz w:val="16"/>
                <w:szCs w:val="16"/>
              </w:rPr>
            </w:pPr>
            <w:r w:rsidRPr="00924177">
              <w:rPr>
                <w:rFonts w:cstheme="minorHAnsi"/>
                <w:b/>
                <w:bCs/>
                <w:sz w:val="16"/>
                <w:szCs w:val="16"/>
              </w:rPr>
              <w:t>Recovery instruments</w:t>
            </w:r>
          </w:p>
        </w:tc>
        <w:tc>
          <w:tcPr>
            <w:tcW w:w="0" w:type="auto"/>
            <w:hideMark/>
          </w:tcPr>
          <w:p w14:paraId="316422F5" w14:textId="77777777" w:rsidR="003E57F4" w:rsidRPr="00924177" w:rsidRDefault="003E57F4" w:rsidP="009919F2">
            <w:pPr>
              <w:spacing w:line="259" w:lineRule="auto"/>
              <w:rPr>
                <w:rFonts w:cstheme="minorHAnsi"/>
                <w:sz w:val="16"/>
                <w:szCs w:val="16"/>
              </w:rPr>
            </w:pPr>
            <w:r w:rsidRPr="00924177">
              <w:rPr>
                <w:rFonts w:cstheme="minorHAnsi"/>
                <w:sz w:val="16"/>
                <w:szCs w:val="16"/>
              </w:rPr>
              <w:t>RRF (</w:t>
            </w:r>
            <w:proofErr w:type="spellStart"/>
            <w:r w:rsidRPr="00924177">
              <w:rPr>
                <w:rFonts w:cstheme="minorHAnsi"/>
                <w:sz w:val="16"/>
                <w:szCs w:val="16"/>
              </w:rPr>
              <w:t>NextGenerationEU</w:t>
            </w:r>
            <w:proofErr w:type="spellEnd"/>
            <w:r w:rsidRPr="00924177">
              <w:rPr>
                <w:rFonts w:cstheme="minorHAnsi"/>
                <w:sz w:val="16"/>
                <w:szCs w:val="16"/>
              </w:rPr>
              <w:t>)</w:t>
            </w:r>
          </w:p>
        </w:tc>
        <w:tc>
          <w:tcPr>
            <w:tcW w:w="0" w:type="auto"/>
            <w:hideMark/>
          </w:tcPr>
          <w:p w14:paraId="699DF089" w14:textId="77777777" w:rsidR="003E57F4" w:rsidRPr="00924177" w:rsidRDefault="003E57F4" w:rsidP="009919F2">
            <w:pPr>
              <w:spacing w:line="259" w:lineRule="auto"/>
              <w:rPr>
                <w:rFonts w:cstheme="minorHAnsi"/>
                <w:sz w:val="16"/>
                <w:szCs w:val="16"/>
              </w:rPr>
            </w:pPr>
            <w:r w:rsidRPr="00924177">
              <w:rPr>
                <w:rFonts w:cstheme="minorHAnsi"/>
                <w:sz w:val="16"/>
                <w:szCs w:val="16"/>
              </w:rPr>
              <w:t>Limited access</w:t>
            </w:r>
          </w:p>
        </w:tc>
        <w:tc>
          <w:tcPr>
            <w:tcW w:w="0" w:type="auto"/>
            <w:hideMark/>
          </w:tcPr>
          <w:p w14:paraId="6B21A84F" w14:textId="77777777" w:rsidR="003E57F4" w:rsidRPr="00924177" w:rsidRDefault="003E57F4" w:rsidP="009919F2">
            <w:pPr>
              <w:spacing w:line="259" w:lineRule="auto"/>
              <w:rPr>
                <w:rFonts w:cstheme="minorHAnsi"/>
                <w:sz w:val="16"/>
                <w:szCs w:val="16"/>
              </w:rPr>
            </w:pPr>
            <w:r w:rsidRPr="00924177">
              <w:rPr>
                <w:rFonts w:cstheme="minorHAnsi"/>
                <w:sz w:val="16"/>
                <w:szCs w:val="16"/>
              </w:rPr>
              <w:t>Strategic investments, reforms</w:t>
            </w:r>
          </w:p>
        </w:tc>
      </w:tr>
      <w:tr w:rsidR="003E57F4" w:rsidRPr="00924177" w14:paraId="12A546A7" w14:textId="77777777" w:rsidTr="009919F2">
        <w:tc>
          <w:tcPr>
            <w:tcW w:w="0" w:type="auto"/>
            <w:hideMark/>
          </w:tcPr>
          <w:p w14:paraId="706B614D" w14:textId="77777777" w:rsidR="003E57F4" w:rsidRPr="00924177" w:rsidRDefault="003E57F4" w:rsidP="009919F2">
            <w:pPr>
              <w:spacing w:line="259" w:lineRule="auto"/>
              <w:rPr>
                <w:rFonts w:cstheme="minorHAnsi"/>
                <w:b/>
                <w:bCs/>
                <w:sz w:val="16"/>
                <w:szCs w:val="16"/>
              </w:rPr>
            </w:pPr>
            <w:r w:rsidRPr="00924177">
              <w:rPr>
                <w:rFonts w:cstheme="minorHAnsi"/>
                <w:b/>
                <w:bCs/>
                <w:sz w:val="16"/>
                <w:szCs w:val="16"/>
              </w:rPr>
              <w:t>Pre-accession funds</w:t>
            </w:r>
          </w:p>
        </w:tc>
        <w:tc>
          <w:tcPr>
            <w:tcW w:w="0" w:type="auto"/>
            <w:hideMark/>
          </w:tcPr>
          <w:p w14:paraId="6280C0F4" w14:textId="77777777" w:rsidR="003E57F4" w:rsidRPr="00924177" w:rsidRDefault="003E57F4" w:rsidP="009919F2">
            <w:pPr>
              <w:spacing w:line="259" w:lineRule="auto"/>
              <w:rPr>
                <w:rFonts w:cstheme="minorHAnsi"/>
                <w:sz w:val="16"/>
                <w:szCs w:val="16"/>
              </w:rPr>
            </w:pPr>
            <w:r w:rsidRPr="00924177">
              <w:rPr>
                <w:rFonts w:cstheme="minorHAnsi"/>
                <w:sz w:val="16"/>
                <w:szCs w:val="16"/>
              </w:rPr>
              <w:t>Not applicable</w:t>
            </w:r>
          </w:p>
        </w:tc>
        <w:tc>
          <w:tcPr>
            <w:tcW w:w="0" w:type="auto"/>
            <w:hideMark/>
          </w:tcPr>
          <w:p w14:paraId="007745C2" w14:textId="77777777" w:rsidR="003E57F4" w:rsidRPr="00924177" w:rsidRDefault="003E57F4" w:rsidP="009919F2">
            <w:pPr>
              <w:spacing w:line="259" w:lineRule="auto"/>
              <w:rPr>
                <w:rFonts w:cstheme="minorHAnsi"/>
                <w:sz w:val="16"/>
                <w:szCs w:val="16"/>
              </w:rPr>
            </w:pPr>
            <w:r w:rsidRPr="00924177">
              <w:rPr>
                <w:rFonts w:cstheme="minorHAnsi"/>
                <w:sz w:val="16"/>
                <w:szCs w:val="16"/>
              </w:rPr>
              <w:t>IPA III</w:t>
            </w:r>
          </w:p>
        </w:tc>
        <w:tc>
          <w:tcPr>
            <w:tcW w:w="0" w:type="auto"/>
            <w:hideMark/>
          </w:tcPr>
          <w:p w14:paraId="7ABBD347" w14:textId="77777777" w:rsidR="003E57F4" w:rsidRPr="00924177" w:rsidRDefault="003E57F4" w:rsidP="009919F2">
            <w:pPr>
              <w:spacing w:line="259" w:lineRule="auto"/>
              <w:rPr>
                <w:rFonts w:cstheme="minorHAnsi"/>
                <w:sz w:val="16"/>
                <w:szCs w:val="16"/>
              </w:rPr>
            </w:pPr>
            <w:r w:rsidRPr="00924177">
              <w:rPr>
                <w:rFonts w:cstheme="minorHAnsi"/>
                <w:sz w:val="16"/>
                <w:szCs w:val="16"/>
              </w:rPr>
              <w:t>Capacity building, infrastructure</w:t>
            </w:r>
          </w:p>
        </w:tc>
      </w:tr>
      <w:tr w:rsidR="003E57F4" w:rsidRPr="00924177" w14:paraId="5801C492" w14:textId="77777777" w:rsidTr="009919F2">
        <w:tc>
          <w:tcPr>
            <w:tcW w:w="0" w:type="auto"/>
            <w:hideMark/>
          </w:tcPr>
          <w:p w14:paraId="69943D6C" w14:textId="77777777" w:rsidR="003E57F4" w:rsidRPr="00924177" w:rsidRDefault="003E57F4" w:rsidP="009919F2">
            <w:pPr>
              <w:spacing w:line="259" w:lineRule="auto"/>
              <w:rPr>
                <w:rFonts w:cstheme="minorHAnsi"/>
                <w:b/>
                <w:bCs/>
                <w:sz w:val="16"/>
                <w:szCs w:val="16"/>
              </w:rPr>
            </w:pPr>
            <w:r w:rsidRPr="00924177">
              <w:rPr>
                <w:rFonts w:cstheme="minorHAnsi"/>
                <w:b/>
                <w:bCs/>
                <w:sz w:val="16"/>
                <w:szCs w:val="16"/>
              </w:rPr>
              <w:t>Cross-border cooperation</w:t>
            </w:r>
          </w:p>
        </w:tc>
        <w:tc>
          <w:tcPr>
            <w:tcW w:w="0" w:type="auto"/>
            <w:hideMark/>
          </w:tcPr>
          <w:p w14:paraId="77054062" w14:textId="77777777" w:rsidR="003E57F4" w:rsidRPr="00924177" w:rsidRDefault="003E57F4" w:rsidP="009919F2">
            <w:pPr>
              <w:spacing w:line="259" w:lineRule="auto"/>
              <w:rPr>
                <w:rFonts w:cstheme="minorHAnsi"/>
                <w:sz w:val="16"/>
                <w:szCs w:val="16"/>
              </w:rPr>
            </w:pPr>
            <w:r w:rsidRPr="00924177">
              <w:rPr>
                <w:rFonts w:cstheme="minorHAnsi"/>
                <w:sz w:val="16"/>
                <w:szCs w:val="16"/>
              </w:rPr>
              <w:t>Interreg (HR–BiH)</w:t>
            </w:r>
          </w:p>
        </w:tc>
        <w:tc>
          <w:tcPr>
            <w:tcW w:w="0" w:type="auto"/>
            <w:hideMark/>
          </w:tcPr>
          <w:p w14:paraId="1F83DBE0" w14:textId="77777777" w:rsidR="003E57F4" w:rsidRPr="00924177" w:rsidRDefault="003E57F4" w:rsidP="009919F2">
            <w:pPr>
              <w:spacing w:line="259" w:lineRule="auto"/>
              <w:rPr>
                <w:rFonts w:cstheme="minorHAnsi"/>
                <w:sz w:val="16"/>
                <w:szCs w:val="16"/>
              </w:rPr>
            </w:pPr>
            <w:r w:rsidRPr="00924177">
              <w:rPr>
                <w:rFonts w:cstheme="minorHAnsi"/>
                <w:sz w:val="16"/>
                <w:szCs w:val="16"/>
              </w:rPr>
              <w:t>Interreg (HR–BiH)</w:t>
            </w:r>
          </w:p>
        </w:tc>
        <w:tc>
          <w:tcPr>
            <w:tcW w:w="0" w:type="auto"/>
            <w:hideMark/>
          </w:tcPr>
          <w:p w14:paraId="2096E5FC" w14:textId="77777777" w:rsidR="003E57F4" w:rsidRPr="00924177" w:rsidRDefault="003E57F4" w:rsidP="009919F2">
            <w:pPr>
              <w:spacing w:line="259" w:lineRule="auto"/>
              <w:rPr>
                <w:rFonts w:cstheme="minorHAnsi"/>
                <w:sz w:val="16"/>
                <w:szCs w:val="16"/>
              </w:rPr>
            </w:pPr>
            <w:r w:rsidRPr="00924177">
              <w:rPr>
                <w:rFonts w:cstheme="minorHAnsi"/>
                <w:sz w:val="16"/>
                <w:szCs w:val="16"/>
              </w:rPr>
              <w:t>Joint monitoring, pilot actions</w:t>
            </w:r>
          </w:p>
        </w:tc>
      </w:tr>
      <w:tr w:rsidR="003E57F4" w:rsidRPr="00924177" w14:paraId="088E7DEB" w14:textId="77777777" w:rsidTr="009919F2">
        <w:tc>
          <w:tcPr>
            <w:tcW w:w="0" w:type="auto"/>
            <w:hideMark/>
          </w:tcPr>
          <w:p w14:paraId="56DEEE94" w14:textId="77777777" w:rsidR="003E57F4" w:rsidRPr="00924177" w:rsidRDefault="003E57F4" w:rsidP="009919F2">
            <w:pPr>
              <w:spacing w:line="259" w:lineRule="auto"/>
              <w:rPr>
                <w:rFonts w:cstheme="minorHAnsi"/>
                <w:b/>
                <w:bCs/>
                <w:sz w:val="16"/>
                <w:szCs w:val="16"/>
              </w:rPr>
            </w:pPr>
            <w:r w:rsidRPr="00924177">
              <w:rPr>
                <w:rFonts w:cstheme="minorHAnsi"/>
                <w:b/>
                <w:bCs/>
                <w:sz w:val="16"/>
                <w:szCs w:val="16"/>
              </w:rPr>
              <w:t>Research &amp; innovation</w:t>
            </w:r>
          </w:p>
        </w:tc>
        <w:tc>
          <w:tcPr>
            <w:tcW w:w="0" w:type="auto"/>
            <w:hideMark/>
          </w:tcPr>
          <w:p w14:paraId="41737FED" w14:textId="77777777" w:rsidR="003E57F4" w:rsidRPr="00924177" w:rsidRDefault="003E57F4" w:rsidP="009919F2">
            <w:pPr>
              <w:spacing w:line="259" w:lineRule="auto"/>
              <w:rPr>
                <w:rFonts w:cstheme="minorHAnsi"/>
                <w:sz w:val="16"/>
                <w:szCs w:val="16"/>
              </w:rPr>
            </w:pPr>
            <w:r w:rsidRPr="00924177">
              <w:rPr>
                <w:rFonts w:cstheme="minorHAnsi"/>
                <w:sz w:val="16"/>
                <w:szCs w:val="16"/>
              </w:rPr>
              <w:t>Horizon Europe, LIFE</w:t>
            </w:r>
          </w:p>
        </w:tc>
        <w:tc>
          <w:tcPr>
            <w:tcW w:w="0" w:type="auto"/>
            <w:hideMark/>
          </w:tcPr>
          <w:p w14:paraId="06FF90FA" w14:textId="77777777" w:rsidR="003E57F4" w:rsidRPr="00924177" w:rsidRDefault="003E57F4" w:rsidP="009919F2">
            <w:pPr>
              <w:spacing w:line="259" w:lineRule="auto"/>
              <w:rPr>
                <w:rFonts w:cstheme="minorHAnsi"/>
                <w:sz w:val="16"/>
                <w:szCs w:val="16"/>
              </w:rPr>
            </w:pPr>
            <w:r w:rsidRPr="00924177">
              <w:rPr>
                <w:rFonts w:cstheme="minorHAnsi"/>
                <w:sz w:val="16"/>
                <w:szCs w:val="16"/>
              </w:rPr>
              <w:t>Participation possible</w:t>
            </w:r>
          </w:p>
        </w:tc>
        <w:tc>
          <w:tcPr>
            <w:tcW w:w="0" w:type="auto"/>
            <w:hideMark/>
          </w:tcPr>
          <w:p w14:paraId="15696D30" w14:textId="77777777" w:rsidR="003E57F4" w:rsidRPr="00924177" w:rsidRDefault="003E57F4" w:rsidP="009919F2">
            <w:pPr>
              <w:spacing w:line="259" w:lineRule="auto"/>
              <w:rPr>
                <w:rFonts w:cstheme="minorHAnsi"/>
                <w:sz w:val="16"/>
                <w:szCs w:val="16"/>
              </w:rPr>
            </w:pPr>
            <w:r w:rsidRPr="00924177">
              <w:rPr>
                <w:rFonts w:cstheme="minorHAnsi"/>
                <w:sz w:val="16"/>
                <w:szCs w:val="16"/>
              </w:rPr>
              <w:t>Pilot remediation, innovation</w:t>
            </w:r>
          </w:p>
        </w:tc>
      </w:tr>
      <w:tr w:rsidR="003E57F4" w:rsidRPr="00924177" w14:paraId="6CCA5EA3" w14:textId="77777777" w:rsidTr="009919F2">
        <w:tc>
          <w:tcPr>
            <w:tcW w:w="0" w:type="auto"/>
            <w:hideMark/>
          </w:tcPr>
          <w:p w14:paraId="5D814BAE" w14:textId="77777777" w:rsidR="003E57F4" w:rsidRPr="00924177" w:rsidRDefault="003E57F4" w:rsidP="009919F2">
            <w:pPr>
              <w:spacing w:line="259" w:lineRule="auto"/>
              <w:rPr>
                <w:rFonts w:cstheme="minorHAnsi"/>
                <w:b/>
                <w:bCs/>
                <w:sz w:val="16"/>
                <w:szCs w:val="16"/>
              </w:rPr>
            </w:pPr>
            <w:r w:rsidRPr="00924177">
              <w:rPr>
                <w:rFonts w:cstheme="minorHAnsi"/>
                <w:b/>
                <w:bCs/>
                <w:sz w:val="16"/>
                <w:szCs w:val="16"/>
              </w:rPr>
              <w:t>International financing</w:t>
            </w:r>
          </w:p>
        </w:tc>
        <w:tc>
          <w:tcPr>
            <w:tcW w:w="0" w:type="auto"/>
            <w:hideMark/>
          </w:tcPr>
          <w:p w14:paraId="44412B9A" w14:textId="77777777" w:rsidR="003E57F4" w:rsidRPr="00924177" w:rsidRDefault="003E57F4" w:rsidP="009919F2">
            <w:pPr>
              <w:spacing w:line="259" w:lineRule="auto"/>
              <w:rPr>
                <w:rFonts w:cstheme="minorHAnsi"/>
                <w:sz w:val="16"/>
                <w:szCs w:val="16"/>
              </w:rPr>
            </w:pPr>
            <w:r w:rsidRPr="00924177">
              <w:rPr>
                <w:rFonts w:cstheme="minorHAnsi"/>
                <w:sz w:val="16"/>
                <w:szCs w:val="16"/>
              </w:rPr>
              <w:t>EIB, EBRD, World Bank</w:t>
            </w:r>
          </w:p>
        </w:tc>
        <w:tc>
          <w:tcPr>
            <w:tcW w:w="0" w:type="auto"/>
            <w:hideMark/>
          </w:tcPr>
          <w:p w14:paraId="1332812C" w14:textId="77777777" w:rsidR="003E57F4" w:rsidRPr="00924177" w:rsidRDefault="003E57F4" w:rsidP="009919F2">
            <w:pPr>
              <w:spacing w:line="259" w:lineRule="auto"/>
              <w:rPr>
                <w:rFonts w:cstheme="minorHAnsi"/>
                <w:sz w:val="16"/>
                <w:szCs w:val="16"/>
              </w:rPr>
            </w:pPr>
            <w:r w:rsidRPr="00924177">
              <w:rPr>
                <w:rFonts w:cstheme="minorHAnsi"/>
                <w:sz w:val="16"/>
                <w:szCs w:val="16"/>
              </w:rPr>
              <w:t>EIB, EBRD, World Bank</w:t>
            </w:r>
          </w:p>
        </w:tc>
        <w:tc>
          <w:tcPr>
            <w:tcW w:w="0" w:type="auto"/>
            <w:hideMark/>
          </w:tcPr>
          <w:p w14:paraId="139240BD" w14:textId="77777777" w:rsidR="003E57F4" w:rsidRPr="00924177" w:rsidRDefault="003E57F4" w:rsidP="009919F2">
            <w:pPr>
              <w:spacing w:line="259" w:lineRule="auto"/>
              <w:rPr>
                <w:rFonts w:cstheme="minorHAnsi"/>
                <w:sz w:val="16"/>
                <w:szCs w:val="16"/>
              </w:rPr>
            </w:pPr>
            <w:r w:rsidRPr="00924177">
              <w:rPr>
                <w:rFonts w:cstheme="minorHAnsi"/>
                <w:sz w:val="16"/>
                <w:szCs w:val="16"/>
              </w:rPr>
              <w:t>Large-scale infrastructure</w:t>
            </w:r>
          </w:p>
        </w:tc>
      </w:tr>
      <w:tr w:rsidR="003E57F4" w:rsidRPr="00924177" w14:paraId="2CD65E04" w14:textId="77777777" w:rsidTr="009919F2">
        <w:tc>
          <w:tcPr>
            <w:tcW w:w="0" w:type="auto"/>
            <w:hideMark/>
          </w:tcPr>
          <w:p w14:paraId="2A9D7419" w14:textId="77777777" w:rsidR="003E57F4" w:rsidRPr="00924177" w:rsidRDefault="003E57F4" w:rsidP="009919F2">
            <w:pPr>
              <w:spacing w:line="259" w:lineRule="auto"/>
              <w:rPr>
                <w:rFonts w:cstheme="minorHAnsi"/>
                <w:b/>
                <w:bCs/>
                <w:sz w:val="16"/>
                <w:szCs w:val="16"/>
              </w:rPr>
            </w:pPr>
            <w:r w:rsidRPr="00924177">
              <w:rPr>
                <w:rFonts w:cstheme="minorHAnsi"/>
                <w:b/>
                <w:bCs/>
                <w:sz w:val="16"/>
                <w:szCs w:val="16"/>
              </w:rPr>
              <w:t>GEF / UNDP programs</w:t>
            </w:r>
          </w:p>
        </w:tc>
        <w:tc>
          <w:tcPr>
            <w:tcW w:w="0" w:type="auto"/>
            <w:hideMark/>
          </w:tcPr>
          <w:p w14:paraId="757BB7AC" w14:textId="77777777" w:rsidR="003E57F4" w:rsidRPr="00924177" w:rsidRDefault="003E57F4" w:rsidP="009919F2">
            <w:pPr>
              <w:spacing w:line="259" w:lineRule="auto"/>
              <w:rPr>
                <w:rFonts w:cstheme="minorHAnsi"/>
                <w:sz w:val="16"/>
                <w:szCs w:val="16"/>
              </w:rPr>
            </w:pPr>
            <w:r w:rsidRPr="00924177">
              <w:rPr>
                <w:rFonts w:cstheme="minorHAnsi"/>
                <w:sz w:val="16"/>
                <w:szCs w:val="16"/>
              </w:rPr>
              <w:t>DIKTAS II (ongoing)</w:t>
            </w:r>
          </w:p>
        </w:tc>
        <w:tc>
          <w:tcPr>
            <w:tcW w:w="0" w:type="auto"/>
            <w:hideMark/>
          </w:tcPr>
          <w:p w14:paraId="26424476" w14:textId="77777777" w:rsidR="003E57F4" w:rsidRPr="00924177" w:rsidRDefault="003E57F4" w:rsidP="009919F2">
            <w:pPr>
              <w:spacing w:line="259" w:lineRule="auto"/>
              <w:rPr>
                <w:rFonts w:cstheme="minorHAnsi"/>
                <w:sz w:val="16"/>
                <w:szCs w:val="16"/>
              </w:rPr>
            </w:pPr>
            <w:r w:rsidRPr="00924177">
              <w:rPr>
                <w:rFonts w:cstheme="minorHAnsi"/>
                <w:sz w:val="16"/>
                <w:szCs w:val="16"/>
              </w:rPr>
              <w:t>DIKTAS II (ongoing)</w:t>
            </w:r>
          </w:p>
        </w:tc>
        <w:tc>
          <w:tcPr>
            <w:tcW w:w="0" w:type="auto"/>
            <w:hideMark/>
          </w:tcPr>
          <w:p w14:paraId="574929D3" w14:textId="77777777" w:rsidR="003E57F4" w:rsidRPr="00924177" w:rsidRDefault="003E57F4" w:rsidP="009919F2">
            <w:pPr>
              <w:spacing w:line="259" w:lineRule="auto"/>
              <w:rPr>
                <w:rFonts w:cstheme="minorHAnsi"/>
                <w:sz w:val="16"/>
                <w:szCs w:val="16"/>
              </w:rPr>
            </w:pPr>
            <w:r w:rsidRPr="00924177">
              <w:rPr>
                <w:rFonts w:cstheme="minorHAnsi"/>
                <w:sz w:val="16"/>
                <w:szCs w:val="16"/>
              </w:rPr>
              <w:t>Transboundary governance</w:t>
            </w:r>
          </w:p>
        </w:tc>
      </w:tr>
      <w:tr w:rsidR="003E57F4" w:rsidRPr="00924177" w14:paraId="50E8DEFF" w14:textId="77777777" w:rsidTr="009919F2">
        <w:tc>
          <w:tcPr>
            <w:tcW w:w="0" w:type="auto"/>
            <w:hideMark/>
          </w:tcPr>
          <w:p w14:paraId="36E19B8A" w14:textId="77777777" w:rsidR="003E57F4" w:rsidRPr="00924177" w:rsidRDefault="003E57F4" w:rsidP="009919F2">
            <w:pPr>
              <w:spacing w:line="259" w:lineRule="auto"/>
              <w:rPr>
                <w:rFonts w:cstheme="minorHAnsi"/>
                <w:b/>
                <w:bCs/>
                <w:sz w:val="16"/>
                <w:szCs w:val="16"/>
              </w:rPr>
            </w:pPr>
            <w:r w:rsidRPr="00924177">
              <w:rPr>
                <w:rFonts w:cstheme="minorHAnsi"/>
                <w:b/>
                <w:bCs/>
                <w:sz w:val="16"/>
                <w:szCs w:val="16"/>
              </w:rPr>
              <w:t>Liability instruments</w:t>
            </w:r>
          </w:p>
        </w:tc>
        <w:tc>
          <w:tcPr>
            <w:tcW w:w="0" w:type="auto"/>
            <w:hideMark/>
          </w:tcPr>
          <w:p w14:paraId="0818E00B" w14:textId="77777777" w:rsidR="003E57F4" w:rsidRPr="00924177" w:rsidRDefault="003E57F4" w:rsidP="009919F2">
            <w:pPr>
              <w:spacing w:line="259" w:lineRule="auto"/>
              <w:rPr>
                <w:rFonts w:cstheme="minorHAnsi"/>
                <w:sz w:val="16"/>
                <w:szCs w:val="16"/>
              </w:rPr>
            </w:pPr>
            <w:r w:rsidRPr="00924177">
              <w:rPr>
                <w:rFonts w:cstheme="minorHAnsi"/>
                <w:sz w:val="16"/>
                <w:szCs w:val="16"/>
              </w:rPr>
              <w:t>Polluter pays principle, permitting system, WFD compliance</w:t>
            </w:r>
          </w:p>
        </w:tc>
        <w:tc>
          <w:tcPr>
            <w:tcW w:w="0" w:type="auto"/>
            <w:hideMark/>
          </w:tcPr>
          <w:p w14:paraId="3D57B07B" w14:textId="77777777" w:rsidR="003E57F4" w:rsidRPr="00924177" w:rsidRDefault="003E57F4" w:rsidP="009919F2">
            <w:pPr>
              <w:spacing w:line="259" w:lineRule="auto"/>
              <w:rPr>
                <w:rFonts w:cstheme="minorHAnsi"/>
                <w:sz w:val="16"/>
                <w:szCs w:val="16"/>
              </w:rPr>
            </w:pPr>
            <w:r w:rsidRPr="00924177">
              <w:rPr>
                <w:rFonts w:cstheme="minorHAnsi"/>
                <w:sz w:val="16"/>
                <w:szCs w:val="16"/>
              </w:rPr>
              <w:t>National legislation (developing enforcement capacity)</w:t>
            </w:r>
          </w:p>
        </w:tc>
        <w:tc>
          <w:tcPr>
            <w:tcW w:w="0" w:type="auto"/>
            <w:hideMark/>
          </w:tcPr>
          <w:p w14:paraId="681A3825" w14:textId="77777777" w:rsidR="003E57F4" w:rsidRPr="00924177" w:rsidRDefault="003E57F4" w:rsidP="009919F2">
            <w:pPr>
              <w:spacing w:line="259" w:lineRule="auto"/>
              <w:rPr>
                <w:rFonts w:cstheme="minorHAnsi"/>
                <w:sz w:val="16"/>
                <w:szCs w:val="16"/>
              </w:rPr>
            </w:pPr>
            <w:r w:rsidRPr="00924177">
              <w:rPr>
                <w:rFonts w:cstheme="minorHAnsi"/>
                <w:sz w:val="16"/>
                <w:szCs w:val="16"/>
              </w:rPr>
              <w:t>Cost recovery, enforcement</w:t>
            </w:r>
          </w:p>
        </w:tc>
      </w:tr>
      <w:tr w:rsidR="003E57F4" w:rsidRPr="00924177" w14:paraId="6285ACA2" w14:textId="77777777" w:rsidTr="009919F2">
        <w:tc>
          <w:tcPr>
            <w:tcW w:w="0" w:type="auto"/>
            <w:hideMark/>
          </w:tcPr>
          <w:p w14:paraId="10BFCAA2" w14:textId="77777777" w:rsidR="003E57F4" w:rsidRPr="00924177" w:rsidRDefault="003E57F4" w:rsidP="009919F2">
            <w:pPr>
              <w:spacing w:line="259" w:lineRule="auto"/>
              <w:rPr>
                <w:rFonts w:cstheme="minorHAnsi"/>
                <w:b/>
                <w:bCs/>
                <w:sz w:val="16"/>
                <w:szCs w:val="16"/>
              </w:rPr>
            </w:pPr>
            <w:r w:rsidRPr="00924177">
              <w:rPr>
                <w:rFonts w:cstheme="minorHAnsi"/>
                <w:b/>
                <w:bCs/>
                <w:sz w:val="16"/>
                <w:szCs w:val="16"/>
              </w:rPr>
              <w:t>Diffuse pollution approach</w:t>
            </w:r>
          </w:p>
        </w:tc>
        <w:tc>
          <w:tcPr>
            <w:tcW w:w="0" w:type="auto"/>
            <w:hideMark/>
          </w:tcPr>
          <w:p w14:paraId="28CD7535" w14:textId="77777777" w:rsidR="003E57F4" w:rsidRPr="00924177" w:rsidRDefault="003E57F4" w:rsidP="009919F2">
            <w:pPr>
              <w:spacing w:line="259" w:lineRule="auto"/>
              <w:rPr>
                <w:rFonts w:cstheme="minorHAnsi"/>
                <w:sz w:val="16"/>
                <w:szCs w:val="16"/>
              </w:rPr>
            </w:pPr>
            <w:r w:rsidRPr="00924177">
              <w:rPr>
                <w:rFonts w:cstheme="minorHAnsi"/>
                <w:sz w:val="16"/>
                <w:szCs w:val="16"/>
              </w:rPr>
              <w:t>Agri-environmental schemes, CAP instruments</w:t>
            </w:r>
          </w:p>
        </w:tc>
        <w:tc>
          <w:tcPr>
            <w:tcW w:w="0" w:type="auto"/>
            <w:hideMark/>
          </w:tcPr>
          <w:p w14:paraId="6D162940" w14:textId="77777777" w:rsidR="003E57F4" w:rsidRPr="00924177" w:rsidRDefault="003E57F4" w:rsidP="009919F2">
            <w:pPr>
              <w:spacing w:line="259" w:lineRule="auto"/>
              <w:rPr>
                <w:rFonts w:cstheme="minorHAnsi"/>
                <w:sz w:val="16"/>
                <w:szCs w:val="16"/>
              </w:rPr>
            </w:pPr>
            <w:r w:rsidRPr="00924177">
              <w:rPr>
                <w:rFonts w:cstheme="minorHAnsi"/>
                <w:sz w:val="16"/>
                <w:szCs w:val="16"/>
              </w:rPr>
              <w:t>Limited but developing</w:t>
            </w:r>
          </w:p>
        </w:tc>
        <w:tc>
          <w:tcPr>
            <w:tcW w:w="0" w:type="auto"/>
            <w:hideMark/>
          </w:tcPr>
          <w:p w14:paraId="06396288" w14:textId="77777777" w:rsidR="003E57F4" w:rsidRPr="00924177" w:rsidRDefault="003E57F4" w:rsidP="009919F2">
            <w:pPr>
              <w:spacing w:line="259" w:lineRule="auto"/>
              <w:rPr>
                <w:rFonts w:cstheme="minorHAnsi"/>
                <w:sz w:val="16"/>
                <w:szCs w:val="16"/>
              </w:rPr>
            </w:pPr>
            <w:r w:rsidRPr="00924177">
              <w:rPr>
                <w:rFonts w:cstheme="minorHAnsi"/>
                <w:sz w:val="16"/>
                <w:szCs w:val="16"/>
              </w:rPr>
              <w:t>Preventive measures</w:t>
            </w:r>
          </w:p>
        </w:tc>
      </w:tr>
    </w:tbl>
    <w:p w14:paraId="3D3CA9A7" w14:textId="77777777" w:rsidR="003E57F4" w:rsidRPr="00EE46B7" w:rsidRDefault="003E57F4" w:rsidP="003E57F4">
      <w:pPr>
        <w:tabs>
          <w:tab w:val="left" w:pos="1515"/>
        </w:tabs>
        <w:jc w:val="both"/>
        <w:rPr>
          <w:rFonts w:ascii="Calibri" w:hAnsi="Calibri" w:cs="Calibri"/>
          <w:b/>
          <w:bCs/>
          <w:color w:val="0070C0"/>
          <w:sz w:val="8"/>
          <w:szCs w:val="8"/>
        </w:rPr>
      </w:pPr>
    </w:p>
    <w:p w14:paraId="5B454D99" w14:textId="77777777" w:rsidR="003E57F4" w:rsidRPr="002F7519" w:rsidRDefault="003E57F4" w:rsidP="00EE46B7">
      <w:pPr>
        <w:pStyle w:val="Heading3"/>
        <w:rPr>
          <w:lang w:val="en-GB"/>
        </w:rPr>
      </w:pPr>
      <w:bookmarkStart w:id="259" w:name="_Toc229036318"/>
      <w:r w:rsidRPr="002F7519">
        <w:rPr>
          <w:lang w:val="en-GB"/>
        </w:rPr>
        <w:t>11.14.4. Socio-economic and governance guidelines for remediation implementation considerations</w:t>
      </w:r>
      <w:bookmarkEnd w:id="259"/>
    </w:p>
    <w:p w14:paraId="0CBECFEF" w14:textId="195517C6" w:rsidR="003E57F4" w:rsidRPr="00AC062A" w:rsidRDefault="003E57F4" w:rsidP="003E57F4">
      <w:pPr>
        <w:jc w:val="both"/>
        <w:rPr>
          <w:rFonts w:ascii="Calibri" w:eastAsiaTheme="majorEastAsia" w:hAnsi="Calibri" w:cs="Calibri"/>
        </w:rPr>
      </w:pPr>
      <w:r w:rsidRPr="00AC062A">
        <w:rPr>
          <w:rFonts w:ascii="Calibri" w:eastAsiaTheme="majorEastAsia" w:hAnsi="Calibri" w:cs="Calibri"/>
        </w:rPr>
        <w:t>While remediation measures are primarily defined through hydrogeological and technical criteria, their effectiveness in Neretva TBA will depend on socio-economic conditions, institutional capacity and stakeholder engagement at local and transboundary levels. Thus, following guidelines are particularly relevant:</w:t>
      </w:r>
    </w:p>
    <w:p w14:paraId="0F3BC624" w14:textId="77777777" w:rsidR="003E57F4" w:rsidRPr="00AC062A" w:rsidRDefault="003E57F4" w:rsidP="003E57F4">
      <w:pPr>
        <w:pStyle w:val="ListParagraph"/>
        <w:numPr>
          <w:ilvl w:val="0"/>
          <w:numId w:val="178"/>
        </w:numPr>
        <w:jc w:val="both"/>
        <w:rPr>
          <w:rFonts w:ascii="Calibri" w:eastAsiaTheme="majorEastAsia" w:hAnsi="Calibri" w:cs="Calibri"/>
        </w:rPr>
      </w:pPr>
      <w:r w:rsidRPr="00AC062A">
        <w:rPr>
          <w:rFonts w:ascii="Calibri" w:eastAsiaTheme="majorEastAsia" w:hAnsi="Calibri" w:cs="Calibri"/>
        </w:rPr>
        <w:t>Align remediation measures with local capacities: Adapt measures to local demographic and institutional conditions.</w:t>
      </w:r>
    </w:p>
    <w:p w14:paraId="032CFD0B" w14:textId="77777777" w:rsidR="003E57F4" w:rsidRPr="00AC062A" w:rsidRDefault="003E57F4" w:rsidP="003E57F4">
      <w:pPr>
        <w:pStyle w:val="ListParagraph"/>
        <w:numPr>
          <w:ilvl w:val="0"/>
          <w:numId w:val="178"/>
        </w:numPr>
        <w:jc w:val="both"/>
        <w:rPr>
          <w:rFonts w:ascii="Calibri" w:eastAsiaTheme="majorEastAsia" w:hAnsi="Calibri" w:cs="Calibri"/>
        </w:rPr>
      </w:pPr>
      <w:r w:rsidRPr="00AC062A">
        <w:rPr>
          <w:rFonts w:ascii="Calibri" w:eastAsiaTheme="majorEastAsia" w:hAnsi="Calibri" w:cs="Calibri"/>
        </w:rPr>
        <w:t>Prioritise high-risk zones with strong socio-economic dependency on groundwater: Target areas where groundwater directly supports drinking water, agriculture and livelihoods.</w:t>
      </w:r>
    </w:p>
    <w:p w14:paraId="6FF437AE" w14:textId="77777777" w:rsidR="003E57F4" w:rsidRPr="00AC062A" w:rsidRDefault="003E57F4" w:rsidP="003E57F4">
      <w:pPr>
        <w:pStyle w:val="ListParagraph"/>
        <w:numPr>
          <w:ilvl w:val="0"/>
          <w:numId w:val="178"/>
        </w:numPr>
        <w:jc w:val="both"/>
        <w:rPr>
          <w:rFonts w:ascii="Calibri" w:eastAsiaTheme="majorEastAsia" w:hAnsi="Calibri" w:cs="Calibri"/>
        </w:rPr>
      </w:pPr>
      <w:r w:rsidRPr="00AC062A">
        <w:rPr>
          <w:rFonts w:ascii="Calibri" w:eastAsiaTheme="majorEastAsia" w:hAnsi="Calibri" w:cs="Calibri"/>
        </w:rPr>
        <w:t>Strengthen the role of local governments and utilities: Support key implementers through capacity building and financing.</w:t>
      </w:r>
    </w:p>
    <w:p w14:paraId="07090042" w14:textId="77777777" w:rsidR="003E57F4" w:rsidRPr="00AC062A" w:rsidRDefault="003E57F4" w:rsidP="003E57F4">
      <w:pPr>
        <w:pStyle w:val="ListParagraph"/>
        <w:numPr>
          <w:ilvl w:val="0"/>
          <w:numId w:val="178"/>
        </w:numPr>
        <w:jc w:val="both"/>
        <w:rPr>
          <w:rFonts w:ascii="Calibri" w:eastAsiaTheme="majorEastAsia" w:hAnsi="Calibri" w:cs="Calibri"/>
        </w:rPr>
      </w:pPr>
      <w:r w:rsidRPr="00AC062A">
        <w:rPr>
          <w:rFonts w:ascii="Calibri" w:eastAsiaTheme="majorEastAsia" w:hAnsi="Calibri" w:cs="Calibri"/>
        </w:rPr>
        <w:t>Address decentralized sanitation as a structural issue: Upgrade and regulate on-site systems alongside centralized solutions.</w:t>
      </w:r>
    </w:p>
    <w:p w14:paraId="7F5B99B2" w14:textId="77777777" w:rsidR="003E57F4" w:rsidRPr="00AC062A" w:rsidRDefault="003E57F4" w:rsidP="003E57F4">
      <w:pPr>
        <w:pStyle w:val="ListParagraph"/>
        <w:numPr>
          <w:ilvl w:val="0"/>
          <w:numId w:val="178"/>
        </w:numPr>
        <w:jc w:val="both"/>
        <w:rPr>
          <w:rFonts w:ascii="Calibri" w:eastAsiaTheme="majorEastAsia" w:hAnsi="Calibri" w:cs="Calibri"/>
        </w:rPr>
      </w:pPr>
      <w:r w:rsidRPr="00AC062A">
        <w:rPr>
          <w:rFonts w:ascii="Calibri" w:eastAsiaTheme="majorEastAsia" w:hAnsi="Calibri" w:cs="Calibri"/>
        </w:rPr>
        <w:t>Ensure stakeholder involvement in planning and implementation: Engage local actors to ensure acceptance and sustainability.</w:t>
      </w:r>
    </w:p>
    <w:p w14:paraId="78244AEE" w14:textId="77777777" w:rsidR="003E57F4" w:rsidRPr="00AC062A" w:rsidRDefault="003E57F4" w:rsidP="003E57F4">
      <w:pPr>
        <w:pStyle w:val="ListParagraph"/>
        <w:numPr>
          <w:ilvl w:val="0"/>
          <w:numId w:val="178"/>
        </w:numPr>
        <w:jc w:val="both"/>
        <w:rPr>
          <w:rFonts w:ascii="Calibri" w:eastAsiaTheme="majorEastAsia" w:hAnsi="Calibri" w:cs="Calibri"/>
        </w:rPr>
      </w:pPr>
      <w:r w:rsidRPr="00AC062A">
        <w:rPr>
          <w:rFonts w:ascii="Calibri" w:eastAsiaTheme="majorEastAsia" w:hAnsi="Calibri" w:cs="Calibri"/>
        </w:rPr>
        <w:lastRenderedPageBreak/>
        <w:t>Integrate remediation with existing sectoral practices: Align measures with agriculture, tourism and spatial planning.</w:t>
      </w:r>
    </w:p>
    <w:p w14:paraId="235B83AD" w14:textId="77777777" w:rsidR="003E57F4" w:rsidRDefault="003E57F4" w:rsidP="003E57F4">
      <w:pPr>
        <w:pStyle w:val="ListParagraph"/>
        <w:numPr>
          <w:ilvl w:val="0"/>
          <w:numId w:val="178"/>
        </w:numPr>
        <w:jc w:val="both"/>
        <w:rPr>
          <w:rFonts w:ascii="Calibri" w:eastAsiaTheme="majorEastAsia" w:hAnsi="Calibri" w:cs="Calibri"/>
        </w:rPr>
      </w:pPr>
      <w:r w:rsidRPr="00AC062A">
        <w:rPr>
          <w:rFonts w:ascii="Calibri" w:eastAsiaTheme="majorEastAsia" w:hAnsi="Calibri" w:cs="Calibri"/>
        </w:rPr>
        <w:t>Promote transboundary coordination in priority areas: Ensure joint prioritisation, data exchange and implementation.</w:t>
      </w:r>
    </w:p>
    <w:p w14:paraId="21766430" w14:textId="462FFBEC" w:rsidR="00EE46B7" w:rsidRPr="00AC062A" w:rsidRDefault="00EE46B7" w:rsidP="003E57F4">
      <w:pPr>
        <w:pStyle w:val="ListParagraph"/>
        <w:numPr>
          <w:ilvl w:val="0"/>
          <w:numId w:val="178"/>
        </w:numPr>
        <w:jc w:val="both"/>
        <w:rPr>
          <w:rFonts w:ascii="Calibri" w:eastAsiaTheme="majorEastAsia" w:hAnsi="Calibri" w:cs="Calibri"/>
        </w:rPr>
      </w:pPr>
      <w:r w:rsidRPr="00AC062A">
        <w:rPr>
          <w:rFonts w:ascii="Calibri" w:eastAsiaTheme="majorEastAsia" w:hAnsi="Calibri" w:cs="Calibri"/>
        </w:rPr>
        <w:t>Link funding mechanisms with accountability principles: Align funding with responsibility, including the polluter pays principle.</w:t>
      </w:r>
    </w:p>
    <w:p w14:paraId="7192AB3D" w14:textId="3917193D" w:rsidR="003E57F4" w:rsidRDefault="003E57F4" w:rsidP="00EE46B7">
      <w:pPr>
        <w:jc w:val="both"/>
        <w:rPr>
          <w:bCs/>
        </w:rPr>
      </w:pPr>
    </w:p>
    <w:p w14:paraId="0BC1C68A" w14:textId="104CB50E" w:rsidR="00EE46B7" w:rsidRPr="00EE46B7" w:rsidRDefault="00EE46B7" w:rsidP="00EE46B7">
      <w:pPr>
        <w:pStyle w:val="Heading2"/>
        <w:rPr>
          <w:lang w:val="en-GB"/>
        </w:rPr>
      </w:pPr>
      <w:bookmarkStart w:id="260" w:name="_Toc229036319"/>
      <w:r w:rsidRPr="00EE46B7">
        <w:rPr>
          <w:lang w:val="en-GB"/>
        </w:rPr>
        <w:t>11.15 Relevant Indicators</w:t>
      </w:r>
      <w:bookmarkEnd w:id="260"/>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5" w:type="dxa"/>
          <w:left w:w="15" w:type="dxa"/>
          <w:bottom w:w="15" w:type="dxa"/>
          <w:right w:w="15" w:type="dxa"/>
        </w:tblCellMar>
        <w:tblLook w:val="04A0" w:firstRow="1" w:lastRow="0" w:firstColumn="1" w:lastColumn="0" w:noHBand="0" w:noVBand="1"/>
      </w:tblPr>
      <w:tblGrid>
        <w:gridCol w:w="1828"/>
        <w:gridCol w:w="2268"/>
        <w:gridCol w:w="1701"/>
        <w:gridCol w:w="1746"/>
        <w:gridCol w:w="1499"/>
      </w:tblGrid>
      <w:tr w:rsidR="00EE46B7" w:rsidRPr="00AC062A" w14:paraId="6E287707" w14:textId="77777777" w:rsidTr="002F7519">
        <w:trPr>
          <w:tblHeader/>
          <w:tblCellSpacing w:w="15" w:type="dxa"/>
        </w:trPr>
        <w:tc>
          <w:tcPr>
            <w:tcW w:w="1783" w:type="dxa"/>
            <w:shd w:val="clear" w:color="auto" w:fill="B4C6E7" w:themeFill="accent1" w:themeFillTint="66"/>
            <w:vAlign w:val="center"/>
            <w:hideMark/>
          </w:tcPr>
          <w:p w14:paraId="23EA4220" w14:textId="77777777" w:rsidR="00EE46B7" w:rsidRPr="00EE46B7" w:rsidRDefault="00EE46B7" w:rsidP="009919F2">
            <w:pPr>
              <w:rPr>
                <w:rFonts w:eastAsia="Aptos" w:cstheme="minorHAnsi"/>
                <w:b/>
                <w:bCs/>
                <w:kern w:val="2"/>
                <w:sz w:val="16"/>
                <w:szCs w:val="16"/>
                <w14:ligatures w14:val="standardContextual"/>
              </w:rPr>
            </w:pPr>
            <w:r w:rsidRPr="00EE46B7">
              <w:rPr>
                <w:rFonts w:eastAsia="Aptos" w:cstheme="minorHAnsi"/>
                <w:b/>
                <w:bCs/>
                <w:kern w:val="2"/>
                <w:sz w:val="16"/>
                <w:szCs w:val="16"/>
                <w14:ligatures w14:val="standardContextual"/>
              </w:rPr>
              <w:t>Activity</w:t>
            </w:r>
          </w:p>
        </w:tc>
        <w:tc>
          <w:tcPr>
            <w:tcW w:w="2238" w:type="dxa"/>
            <w:shd w:val="clear" w:color="auto" w:fill="B4C6E7" w:themeFill="accent1" w:themeFillTint="66"/>
            <w:vAlign w:val="center"/>
            <w:hideMark/>
          </w:tcPr>
          <w:p w14:paraId="6CF77C9F" w14:textId="77777777" w:rsidR="00EE46B7" w:rsidRPr="00EE46B7" w:rsidRDefault="00EE46B7" w:rsidP="009919F2">
            <w:pPr>
              <w:rPr>
                <w:rFonts w:eastAsia="Aptos" w:cstheme="minorHAnsi"/>
                <w:b/>
                <w:bCs/>
                <w:kern w:val="2"/>
                <w:sz w:val="16"/>
                <w:szCs w:val="16"/>
                <w14:ligatures w14:val="standardContextual"/>
              </w:rPr>
            </w:pPr>
            <w:r w:rsidRPr="00EE46B7">
              <w:rPr>
                <w:rFonts w:eastAsia="Aptos" w:cstheme="minorHAnsi"/>
                <w:b/>
                <w:bCs/>
                <w:kern w:val="2"/>
                <w:sz w:val="16"/>
                <w:szCs w:val="16"/>
                <w14:ligatures w14:val="standardContextual"/>
              </w:rPr>
              <w:t>Indicators</w:t>
            </w:r>
          </w:p>
        </w:tc>
        <w:tc>
          <w:tcPr>
            <w:tcW w:w="1671" w:type="dxa"/>
            <w:shd w:val="clear" w:color="auto" w:fill="B4C6E7" w:themeFill="accent1" w:themeFillTint="66"/>
            <w:vAlign w:val="center"/>
            <w:hideMark/>
          </w:tcPr>
          <w:p w14:paraId="6D74C609" w14:textId="77777777" w:rsidR="00EE46B7" w:rsidRPr="00EE46B7" w:rsidRDefault="00EE46B7" w:rsidP="009919F2">
            <w:pPr>
              <w:rPr>
                <w:rFonts w:eastAsia="Aptos" w:cstheme="minorHAnsi"/>
                <w:b/>
                <w:bCs/>
                <w:kern w:val="2"/>
                <w:sz w:val="16"/>
                <w:szCs w:val="16"/>
                <w14:ligatures w14:val="standardContextual"/>
              </w:rPr>
            </w:pPr>
            <w:r w:rsidRPr="00EE46B7">
              <w:rPr>
                <w:rFonts w:eastAsia="Aptos" w:cstheme="minorHAnsi"/>
                <w:b/>
                <w:bCs/>
                <w:kern w:val="2"/>
                <w:sz w:val="16"/>
                <w:szCs w:val="16"/>
                <w14:ligatures w14:val="standardContextual"/>
              </w:rPr>
              <w:t>Activity Implementation Time</w:t>
            </w:r>
          </w:p>
        </w:tc>
        <w:tc>
          <w:tcPr>
            <w:tcW w:w="1716" w:type="dxa"/>
            <w:shd w:val="clear" w:color="auto" w:fill="B4C6E7" w:themeFill="accent1" w:themeFillTint="66"/>
            <w:vAlign w:val="center"/>
            <w:hideMark/>
          </w:tcPr>
          <w:p w14:paraId="33DE453A" w14:textId="77777777" w:rsidR="00EE46B7" w:rsidRPr="00EE46B7" w:rsidRDefault="00EE46B7" w:rsidP="009919F2">
            <w:pPr>
              <w:rPr>
                <w:rFonts w:eastAsia="Aptos" w:cstheme="minorHAnsi"/>
                <w:b/>
                <w:bCs/>
                <w:kern w:val="2"/>
                <w:sz w:val="16"/>
                <w:szCs w:val="16"/>
                <w14:ligatures w14:val="standardContextual"/>
              </w:rPr>
            </w:pPr>
            <w:r w:rsidRPr="00EE46B7">
              <w:rPr>
                <w:rFonts w:eastAsia="Aptos" w:cstheme="minorHAnsi"/>
                <w:b/>
                <w:bCs/>
                <w:kern w:val="2"/>
                <w:sz w:val="16"/>
                <w:szCs w:val="16"/>
                <w14:ligatures w14:val="standardContextual"/>
              </w:rPr>
              <w:t>Context for Application</w:t>
            </w:r>
          </w:p>
        </w:tc>
        <w:tc>
          <w:tcPr>
            <w:tcW w:w="1454" w:type="dxa"/>
            <w:shd w:val="clear" w:color="auto" w:fill="B4C6E7" w:themeFill="accent1" w:themeFillTint="66"/>
            <w:vAlign w:val="center"/>
            <w:hideMark/>
          </w:tcPr>
          <w:p w14:paraId="71128295" w14:textId="77777777" w:rsidR="00EE46B7" w:rsidRPr="00EE46B7" w:rsidRDefault="00EE46B7" w:rsidP="009919F2">
            <w:pPr>
              <w:rPr>
                <w:rFonts w:eastAsia="Aptos" w:cstheme="minorHAnsi"/>
                <w:b/>
                <w:bCs/>
                <w:kern w:val="2"/>
                <w:sz w:val="16"/>
                <w:szCs w:val="16"/>
                <w14:ligatures w14:val="standardContextual"/>
              </w:rPr>
            </w:pPr>
            <w:r w:rsidRPr="00EE46B7">
              <w:rPr>
                <w:rFonts w:eastAsia="Aptos" w:cstheme="minorHAnsi"/>
                <w:b/>
                <w:bCs/>
                <w:kern w:val="2"/>
                <w:sz w:val="16"/>
                <w:szCs w:val="16"/>
                <w14:ligatures w14:val="standardContextual"/>
              </w:rPr>
              <w:t>Competence</w:t>
            </w:r>
          </w:p>
        </w:tc>
      </w:tr>
      <w:tr w:rsidR="00EE46B7" w:rsidRPr="00AC062A" w14:paraId="19B6FC1F" w14:textId="77777777" w:rsidTr="002F7519">
        <w:trPr>
          <w:tblCellSpacing w:w="15" w:type="dxa"/>
        </w:trPr>
        <w:tc>
          <w:tcPr>
            <w:tcW w:w="1783" w:type="dxa"/>
            <w:shd w:val="clear" w:color="auto" w:fill="F5F5F5"/>
            <w:vAlign w:val="center"/>
            <w:hideMark/>
          </w:tcPr>
          <w:p w14:paraId="216B2CC6" w14:textId="77777777" w:rsidR="00EE46B7" w:rsidRPr="00EE46B7" w:rsidRDefault="00EE46B7" w:rsidP="009919F2">
            <w:pPr>
              <w:rPr>
                <w:rFonts w:eastAsia="Aptos" w:cstheme="minorHAnsi"/>
                <w:b/>
                <w:bCs/>
                <w:kern w:val="2"/>
                <w:sz w:val="16"/>
                <w:szCs w:val="16"/>
                <w14:ligatures w14:val="standardContextual"/>
              </w:rPr>
            </w:pPr>
            <w:r w:rsidRPr="00EE46B7">
              <w:rPr>
                <w:rFonts w:eastAsia="Aptos" w:cstheme="minorHAnsi"/>
                <w:b/>
                <w:bCs/>
                <w:kern w:val="2"/>
                <w:sz w:val="16"/>
                <w:szCs w:val="16"/>
                <w14:ligatures w14:val="standardContextual"/>
              </w:rPr>
              <w:t>Reduction of nutrient pollution (agriculture-related)</w:t>
            </w:r>
          </w:p>
        </w:tc>
        <w:tc>
          <w:tcPr>
            <w:tcW w:w="2238" w:type="dxa"/>
            <w:vAlign w:val="center"/>
            <w:hideMark/>
          </w:tcPr>
          <w:p w14:paraId="27A16AB1"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Nitrate concentration in groundwater (mg/L)</w:t>
            </w:r>
          </w:p>
          <w:p w14:paraId="7686DC11"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Reduction in TN load (%)</w:t>
            </w:r>
          </w:p>
          <w:p w14:paraId="2EB57B3A"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 of area under improved nutrient managements</w:t>
            </w:r>
          </w:p>
        </w:tc>
        <w:tc>
          <w:tcPr>
            <w:tcW w:w="1671" w:type="dxa"/>
            <w:vAlign w:val="center"/>
            <w:hideMark/>
          </w:tcPr>
          <w:p w14:paraId="03452E13"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Short</w:t>
            </w:r>
            <w:r w:rsidRPr="00EE46B7">
              <w:rPr>
                <w:rFonts w:eastAsia="Aptos" w:cstheme="minorHAnsi"/>
                <w:kern w:val="2"/>
                <w:sz w:val="16"/>
                <w:szCs w:val="16"/>
                <w14:ligatures w14:val="standardContextual"/>
              </w:rPr>
              <w:noBreakHyphen/>
              <w:t>term (1-2 years) → Medium</w:t>
            </w:r>
            <w:r w:rsidRPr="00EE46B7">
              <w:rPr>
                <w:rFonts w:eastAsia="Aptos" w:cstheme="minorHAnsi"/>
                <w:kern w:val="2"/>
                <w:sz w:val="16"/>
                <w:szCs w:val="16"/>
                <w14:ligatures w14:val="standardContextual"/>
              </w:rPr>
              <w:noBreakHyphen/>
              <w:t>term (3-5 years)</w:t>
            </w:r>
          </w:p>
        </w:tc>
        <w:tc>
          <w:tcPr>
            <w:tcW w:w="1716" w:type="dxa"/>
            <w:vAlign w:val="center"/>
            <w:hideMark/>
          </w:tcPr>
          <w:p w14:paraId="100545C1"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xml:space="preserve">Linked to WFD &amp; Nitrates Directive; reflects diffuse agricultural pressure, especially in recharge zones (e.g. </w:t>
            </w:r>
            <w:proofErr w:type="spellStart"/>
            <w:r w:rsidRPr="00EE46B7">
              <w:rPr>
                <w:rFonts w:eastAsia="Aptos" w:cstheme="minorHAnsi"/>
                <w:kern w:val="2"/>
                <w:sz w:val="16"/>
                <w:szCs w:val="16"/>
                <w14:ligatures w14:val="standardContextual"/>
              </w:rPr>
              <w:t>Ljubuško</w:t>
            </w:r>
            <w:proofErr w:type="spellEnd"/>
            <w:r w:rsidRPr="00EE46B7">
              <w:rPr>
                <w:rFonts w:eastAsia="Aptos" w:cstheme="minorHAnsi"/>
                <w:kern w:val="2"/>
                <w:sz w:val="16"/>
                <w:szCs w:val="16"/>
                <w14:ligatures w14:val="standardContextual"/>
              </w:rPr>
              <w:t xml:space="preserve"> polje)</w:t>
            </w:r>
          </w:p>
        </w:tc>
        <w:tc>
          <w:tcPr>
            <w:tcW w:w="1454" w:type="dxa"/>
            <w:vAlign w:val="center"/>
            <w:hideMark/>
          </w:tcPr>
          <w:p w14:paraId="3551AF18"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Local/regional authorities (agricultural) in each country; Water management institutions</w:t>
            </w:r>
          </w:p>
        </w:tc>
      </w:tr>
      <w:tr w:rsidR="00EE46B7" w:rsidRPr="00AC062A" w14:paraId="4C202109" w14:textId="77777777" w:rsidTr="002F7519">
        <w:trPr>
          <w:tblCellSpacing w:w="15" w:type="dxa"/>
        </w:trPr>
        <w:tc>
          <w:tcPr>
            <w:tcW w:w="1783" w:type="dxa"/>
            <w:shd w:val="clear" w:color="auto" w:fill="F5F5F5"/>
            <w:vAlign w:val="center"/>
            <w:hideMark/>
          </w:tcPr>
          <w:p w14:paraId="1BF2E0EB" w14:textId="77777777" w:rsidR="00EE46B7" w:rsidRPr="00EE46B7" w:rsidRDefault="00EE46B7" w:rsidP="009919F2">
            <w:pPr>
              <w:rPr>
                <w:rFonts w:eastAsia="Aptos" w:cstheme="minorHAnsi"/>
                <w:b/>
                <w:bCs/>
                <w:kern w:val="2"/>
                <w:sz w:val="16"/>
                <w:szCs w:val="16"/>
                <w14:ligatures w14:val="standardContextual"/>
              </w:rPr>
            </w:pPr>
            <w:r w:rsidRPr="00EE46B7">
              <w:rPr>
                <w:rFonts w:eastAsia="Aptos" w:cstheme="minorHAnsi"/>
                <w:b/>
                <w:bCs/>
                <w:kern w:val="2"/>
                <w:sz w:val="16"/>
                <w:szCs w:val="16"/>
                <w14:ligatures w14:val="standardContextual"/>
              </w:rPr>
              <w:t>Control of pesticide contamination</w:t>
            </w:r>
          </w:p>
        </w:tc>
        <w:tc>
          <w:tcPr>
            <w:tcW w:w="2238" w:type="dxa"/>
            <w:vAlign w:val="center"/>
            <w:hideMark/>
          </w:tcPr>
          <w:p w14:paraId="4FAB5EED"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Pesticide concentration (µg/L)</w:t>
            </w:r>
          </w:p>
          <w:p w14:paraId="7C6595D7"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Frequency of detections (per year)</w:t>
            </w:r>
          </w:p>
          <w:p w14:paraId="603260F3"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 compliance with EU thresholds</w:t>
            </w:r>
          </w:p>
        </w:tc>
        <w:tc>
          <w:tcPr>
            <w:tcW w:w="1671" w:type="dxa"/>
            <w:vAlign w:val="center"/>
            <w:hideMark/>
          </w:tcPr>
          <w:p w14:paraId="07BE3042"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Medium</w:t>
            </w:r>
            <w:r w:rsidRPr="00EE46B7">
              <w:rPr>
                <w:rFonts w:eastAsia="Aptos" w:cstheme="minorHAnsi"/>
                <w:kern w:val="2"/>
                <w:sz w:val="16"/>
                <w:szCs w:val="16"/>
                <w14:ligatures w14:val="standardContextual"/>
              </w:rPr>
              <w:noBreakHyphen/>
              <w:t>term (3-5 years)</w:t>
            </w:r>
          </w:p>
        </w:tc>
        <w:tc>
          <w:tcPr>
            <w:tcW w:w="1716" w:type="dxa"/>
            <w:vAlign w:val="center"/>
            <w:hideMark/>
          </w:tcPr>
          <w:p w14:paraId="264E0F9F"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Addresses gaps in pesticide monitoring; relevant for karst systems with rapid infiltration and low attenuation</w:t>
            </w:r>
          </w:p>
        </w:tc>
        <w:tc>
          <w:tcPr>
            <w:tcW w:w="1454" w:type="dxa"/>
            <w:vAlign w:val="center"/>
            <w:hideMark/>
          </w:tcPr>
          <w:p w14:paraId="1BBA10B8"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Environmental agencies; laboratories; regulatory bodies</w:t>
            </w:r>
          </w:p>
        </w:tc>
      </w:tr>
      <w:tr w:rsidR="00EE46B7" w:rsidRPr="00AC062A" w14:paraId="340CFB7E" w14:textId="77777777" w:rsidTr="002F7519">
        <w:trPr>
          <w:tblCellSpacing w:w="15" w:type="dxa"/>
        </w:trPr>
        <w:tc>
          <w:tcPr>
            <w:tcW w:w="1783" w:type="dxa"/>
            <w:shd w:val="clear" w:color="auto" w:fill="F5F5F5"/>
            <w:vAlign w:val="center"/>
            <w:hideMark/>
          </w:tcPr>
          <w:p w14:paraId="07A026F9" w14:textId="77777777" w:rsidR="00EE46B7" w:rsidRPr="00EE46B7" w:rsidRDefault="00EE46B7" w:rsidP="009919F2">
            <w:pPr>
              <w:rPr>
                <w:rFonts w:eastAsia="Aptos" w:cstheme="minorHAnsi"/>
                <w:b/>
                <w:bCs/>
                <w:kern w:val="2"/>
                <w:sz w:val="16"/>
                <w:szCs w:val="16"/>
                <w14:ligatures w14:val="standardContextual"/>
              </w:rPr>
            </w:pPr>
            <w:r w:rsidRPr="00EE46B7">
              <w:rPr>
                <w:rFonts w:eastAsia="Aptos" w:cstheme="minorHAnsi"/>
                <w:b/>
                <w:bCs/>
                <w:kern w:val="2"/>
                <w:sz w:val="16"/>
                <w:szCs w:val="16"/>
                <w14:ligatures w14:val="standardContextual"/>
              </w:rPr>
              <w:t>Improvement of wastewater management systems</w:t>
            </w:r>
          </w:p>
        </w:tc>
        <w:tc>
          <w:tcPr>
            <w:tcW w:w="2238" w:type="dxa"/>
            <w:vAlign w:val="center"/>
            <w:hideMark/>
          </w:tcPr>
          <w:p w14:paraId="2603C3A0"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Reduction in nutrient/organic load (%)</w:t>
            </w:r>
          </w:p>
          <w:p w14:paraId="79748832"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Number of connected households (%)</w:t>
            </w:r>
          </w:p>
          <w:p w14:paraId="0699D36A"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Occurrence of microbiological contamination (E. coli)</w:t>
            </w:r>
          </w:p>
        </w:tc>
        <w:tc>
          <w:tcPr>
            <w:tcW w:w="1671" w:type="dxa"/>
            <w:vAlign w:val="center"/>
            <w:hideMark/>
          </w:tcPr>
          <w:p w14:paraId="565036B0"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Medium</w:t>
            </w:r>
            <w:r w:rsidRPr="00EE46B7">
              <w:rPr>
                <w:rFonts w:eastAsia="Aptos" w:cstheme="minorHAnsi"/>
                <w:kern w:val="2"/>
                <w:sz w:val="16"/>
                <w:szCs w:val="16"/>
                <w14:ligatures w14:val="standardContextual"/>
              </w:rPr>
              <w:noBreakHyphen/>
              <w:t>term (3-5 years)</w:t>
            </w:r>
          </w:p>
        </w:tc>
        <w:tc>
          <w:tcPr>
            <w:tcW w:w="1716" w:type="dxa"/>
            <w:vAlign w:val="center"/>
            <w:hideMark/>
          </w:tcPr>
          <w:p w14:paraId="5E4EEC15"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Targets point-source pollution; critical in areas with inadequate sanitation and strong groundwater connectivity</w:t>
            </w:r>
          </w:p>
        </w:tc>
        <w:tc>
          <w:tcPr>
            <w:tcW w:w="1454" w:type="dxa"/>
            <w:vAlign w:val="center"/>
            <w:hideMark/>
          </w:tcPr>
          <w:p w14:paraId="14C3BBEC"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Local authorities; water utilities</w:t>
            </w:r>
          </w:p>
        </w:tc>
      </w:tr>
      <w:tr w:rsidR="00EE46B7" w:rsidRPr="00AC062A" w14:paraId="511B6EEF" w14:textId="77777777" w:rsidTr="002F7519">
        <w:trPr>
          <w:tblCellSpacing w:w="15" w:type="dxa"/>
        </w:trPr>
        <w:tc>
          <w:tcPr>
            <w:tcW w:w="1783" w:type="dxa"/>
            <w:shd w:val="clear" w:color="auto" w:fill="F5F5F5"/>
            <w:vAlign w:val="center"/>
          </w:tcPr>
          <w:p w14:paraId="7118D16F" w14:textId="77777777" w:rsidR="00EE46B7" w:rsidRPr="00EE46B7" w:rsidRDefault="00EE46B7" w:rsidP="009919F2">
            <w:pPr>
              <w:rPr>
                <w:rFonts w:eastAsia="Aptos" w:cstheme="minorHAnsi"/>
                <w:b/>
                <w:bCs/>
                <w:kern w:val="2"/>
                <w:sz w:val="16"/>
                <w:szCs w:val="16"/>
                <w14:ligatures w14:val="standardContextual"/>
              </w:rPr>
            </w:pPr>
            <w:r w:rsidRPr="00EE46B7">
              <w:rPr>
                <w:rFonts w:eastAsia="Aptos" w:cstheme="minorHAnsi"/>
                <w:b/>
                <w:bCs/>
                <w:kern w:val="2"/>
                <w:sz w:val="16"/>
                <w:szCs w:val="16"/>
                <w14:ligatures w14:val="standardContextual"/>
              </w:rPr>
              <w:t>Protection of sensitive receptors (springs &amp; drinking water sources)</w:t>
            </w:r>
          </w:p>
        </w:tc>
        <w:tc>
          <w:tcPr>
            <w:tcW w:w="2238" w:type="dxa"/>
            <w:vAlign w:val="center"/>
          </w:tcPr>
          <w:p w14:paraId="60278629"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Water quality status at key springs (e.g. nitrate, EC, turbidity)</w:t>
            </w:r>
          </w:p>
          <w:p w14:paraId="6752B007"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Number of exceedance events (per year)</w:t>
            </w:r>
          </w:p>
          <w:p w14:paraId="6A37F447"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Response time to contamination events</w:t>
            </w:r>
          </w:p>
        </w:tc>
        <w:tc>
          <w:tcPr>
            <w:tcW w:w="1671" w:type="dxa"/>
            <w:vAlign w:val="center"/>
          </w:tcPr>
          <w:p w14:paraId="7FA32BAB"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Continuous (short + long-term)</w:t>
            </w:r>
          </w:p>
        </w:tc>
        <w:tc>
          <w:tcPr>
            <w:tcW w:w="1716" w:type="dxa"/>
            <w:vAlign w:val="center"/>
          </w:tcPr>
          <w:p w14:paraId="31CF4432"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xml:space="preserve">Focus on critical control points (e.g. </w:t>
            </w:r>
            <w:proofErr w:type="spellStart"/>
            <w:r w:rsidRPr="00EE46B7">
              <w:rPr>
                <w:rFonts w:eastAsia="Aptos" w:cstheme="minorHAnsi"/>
                <w:kern w:val="2"/>
                <w:sz w:val="16"/>
                <w:szCs w:val="16"/>
                <w14:ligatures w14:val="standardContextual"/>
              </w:rPr>
              <w:t>Prud</w:t>
            </w:r>
            <w:proofErr w:type="spellEnd"/>
            <w:r w:rsidRPr="00EE46B7">
              <w:rPr>
                <w:rFonts w:eastAsia="Aptos" w:cstheme="minorHAnsi"/>
                <w:kern w:val="2"/>
                <w:sz w:val="16"/>
                <w:szCs w:val="16"/>
                <w14:ligatures w14:val="standardContextual"/>
              </w:rPr>
              <w:t xml:space="preserve"> spring); integrates cumulative upstream impacts</w:t>
            </w:r>
          </w:p>
        </w:tc>
        <w:tc>
          <w:tcPr>
            <w:tcW w:w="1454" w:type="dxa"/>
            <w:vAlign w:val="center"/>
          </w:tcPr>
          <w:p w14:paraId="7777FC6A"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Water utilities; monitoring institutions</w:t>
            </w:r>
          </w:p>
        </w:tc>
      </w:tr>
      <w:tr w:rsidR="00EE46B7" w:rsidRPr="00AC062A" w14:paraId="7C36BFF0" w14:textId="77777777" w:rsidTr="002F7519">
        <w:trPr>
          <w:tblCellSpacing w:w="15" w:type="dxa"/>
        </w:trPr>
        <w:tc>
          <w:tcPr>
            <w:tcW w:w="1783" w:type="dxa"/>
            <w:shd w:val="clear" w:color="auto" w:fill="F5F5F5"/>
            <w:vAlign w:val="center"/>
          </w:tcPr>
          <w:p w14:paraId="247BAD8E" w14:textId="77777777" w:rsidR="00EE46B7" w:rsidRPr="00EE46B7" w:rsidRDefault="00EE46B7" w:rsidP="009919F2">
            <w:pPr>
              <w:rPr>
                <w:rFonts w:eastAsia="Aptos" w:cstheme="minorHAnsi"/>
                <w:b/>
                <w:bCs/>
                <w:kern w:val="2"/>
                <w:sz w:val="16"/>
                <w:szCs w:val="16"/>
                <w14:ligatures w14:val="standardContextual"/>
              </w:rPr>
            </w:pPr>
            <w:r w:rsidRPr="00EE46B7">
              <w:rPr>
                <w:rFonts w:eastAsia="Aptos" w:cstheme="minorHAnsi"/>
                <w:b/>
                <w:bCs/>
                <w:kern w:val="2"/>
                <w:sz w:val="16"/>
                <w:szCs w:val="16"/>
                <w14:ligatures w14:val="standardContextual"/>
              </w:rPr>
              <w:t>Implementation and optimisation of remediation measures</w:t>
            </w:r>
          </w:p>
        </w:tc>
        <w:tc>
          <w:tcPr>
            <w:tcW w:w="2238" w:type="dxa"/>
            <w:vAlign w:val="center"/>
          </w:tcPr>
          <w:p w14:paraId="37BDD530"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Implementation rate of planned measures (%)</w:t>
            </w:r>
          </w:p>
          <w:p w14:paraId="08A8598C"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Monitoring-based adjustments (no./year)</w:t>
            </w:r>
          </w:p>
          <w:p w14:paraId="3D8011CC"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Trend in groundwater quality (improving/stable/deteriorating)</w:t>
            </w:r>
          </w:p>
        </w:tc>
        <w:tc>
          <w:tcPr>
            <w:tcW w:w="1671" w:type="dxa"/>
            <w:vAlign w:val="center"/>
          </w:tcPr>
          <w:p w14:paraId="753792F4"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 xml:space="preserve">Continuous </w:t>
            </w:r>
          </w:p>
        </w:tc>
        <w:tc>
          <w:tcPr>
            <w:tcW w:w="1716" w:type="dxa"/>
            <w:vAlign w:val="center"/>
          </w:tcPr>
          <w:p w14:paraId="700D7E4B"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Supports adaptive management; links monitoring results with decision-making and optimisation</w:t>
            </w:r>
          </w:p>
        </w:tc>
        <w:tc>
          <w:tcPr>
            <w:tcW w:w="1454" w:type="dxa"/>
            <w:vAlign w:val="center"/>
          </w:tcPr>
          <w:p w14:paraId="50B2F390" w14:textId="77777777" w:rsidR="00EE46B7" w:rsidRPr="00EE46B7" w:rsidRDefault="00EE46B7" w:rsidP="009919F2">
            <w:pPr>
              <w:rPr>
                <w:rFonts w:eastAsia="Aptos" w:cstheme="minorHAnsi"/>
                <w:kern w:val="2"/>
                <w:sz w:val="16"/>
                <w:szCs w:val="16"/>
                <w14:ligatures w14:val="standardContextual"/>
              </w:rPr>
            </w:pPr>
            <w:r w:rsidRPr="00EE46B7">
              <w:rPr>
                <w:rFonts w:eastAsia="Aptos" w:cstheme="minorHAnsi"/>
                <w:kern w:val="2"/>
                <w:sz w:val="16"/>
                <w:szCs w:val="16"/>
                <w14:ligatures w14:val="standardContextual"/>
              </w:rPr>
              <w:t>All relevant authorities (cross-sectoral + transboundary)</w:t>
            </w:r>
          </w:p>
        </w:tc>
      </w:tr>
    </w:tbl>
    <w:p w14:paraId="6FE3118C" w14:textId="77777777" w:rsidR="00EE46B7" w:rsidRPr="00C62CD8" w:rsidRDefault="00EE46B7" w:rsidP="00EE46B7">
      <w:pPr>
        <w:jc w:val="both"/>
        <w:rPr>
          <w:bCs/>
        </w:rPr>
      </w:pPr>
    </w:p>
    <w:p w14:paraId="11DD9AFB" w14:textId="4DD0C8BB" w:rsidR="00104A51" w:rsidRPr="00D60A13" w:rsidRDefault="00104A51" w:rsidP="00FE6638">
      <w:pPr>
        <w:pStyle w:val="Heading1"/>
        <w:rPr>
          <w:lang w:val="en-GB"/>
        </w:rPr>
      </w:pPr>
      <w:bookmarkStart w:id="261" w:name="_Toc229036320"/>
      <w:r w:rsidRPr="00D60A13">
        <w:rPr>
          <w:lang w:val="en-GB"/>
        </w:rPr>
        <w:lastRenderedPageBreak/>
        <w:t xml:space="preserve">12. Monitoring and evaluation of progress of JAP </w:t>
      </w:r>
      <w:bookmarkEnd w:id="160"/>
      <w:r w:rsidR="006E3C48" w:rsidRPr="00D60A13">
        <w:rPr>
          <w:lang w:val="en-GB"/>
        </w:rPr>
        <w:t>Neretva</w:t>
      </w:r>
      <w:bookmarkEnd w:id="261"/>
    </w:p>
    <w:p w14:paraId="3FA4F4E9" w14:textId="40CCA9B0" w:rsidR="009723BA" w:rsidRPr="00D60A13" w:rsidRDefault="009723BA" w:rsidP="009723BA">
      <w:pPr>
        <w:pStyle w:val="Heading2"/>
        <w:rPr>
          <w:lang w:val="en-GB"/>
        </w:rPr>
      </w:pPr>
      <w:bookmarkStart w:id="262" w:name="_Toc223524350"/>
      <w:bookmarkStart w:id="263" w:name="_Toc229036321"/>
      <w:r w:rsidRPr="00D60A13">
        <w:rPr>
          <w:lang w:val="en-GB"/>
        </w:rPr>
        <w:t xml:space="preserve">12.1 Performance </w:t>
      </w:r>
      <w:r w:rsidR="00881616" w:rsidRPr="00D60A13">
        <w:rPr>
          <w:lang w:val="en-GB"/>
        </w:rPr>
        <w:t>i</w:t>
      </w:r>
      <w:r w:rsidRPr="00D60A13">
        <w:rPr>
          <w:lang w:val="en-GB"/>
        </w:rPr>
        <w:t>ndicators</w:t>
      </w:r>
      <w:bookmarkEnd w:id="262"/>
      <w:bookmarkEnd w:id="263"/>
    </w:p>
    <w:p w14:paraId="61E67C23" w14:textId="7D8C5BFA" w:rsidR="00DA0185" w:rsidRPr="00D60A13" w:rsidRDefault="00DA0185" w:rsidP="00DA0185">
      <w:pPr>
        <w:jc w:val="both"/>
        <w:rPr>
          <w:rFonts w:ascii="Calibri" w:hAnsi="Calibri" w:cs="Calibri"/>
        </w:rPr>
      </w:pPr>
      <w:r w:rsidRPr="00D60A13">
        <w:rPr>
          <w:rFonts w:ascii="Calibri" w:hAnsi="Calibri" w:cs="Calibri"/>
        </w:rPr>
        <w:t>The performance indicator framework for Neretva TBA provides a coherent basis for monitoring the implementation and effectiveness of the Joint Action Programme. It is intended to support transparent decision</w:t>
      </w:r>
      <w:r w:rsidRPr="00D60A13">
        <w:rPr>
          <w:rFonts w:ascii="Cambria Math" w:hAnsi="Cambria Math" w:cs="Cambria Math"/>
        </w:rPr>
        <w:t>‑</w:t>
      </w:r>
      <w:r w:rsidRPr="00D60A13">
        <w:rPr>
          <w:rFonts w:ascii="Calibri" w:hAnsi="Calibri" w:cs="Calibri"/>
        </w:rPr>
        <w:t>making, strengthen bilateral cooperation and ensure that progress in groundwater governance can be assessed in a structured and comparable manner. The framework reflects the key pressures and vulnerabilities identified for the TBA, such as diffuse agricultural pollution, sanitation</w:t>
      </w:r>
      <w:r w:rsidRPr="00D60A13">
        <w:rPr>
          <w:rFonts w:ascii="Cambria Math" w:hAnsi="Cambria Math" w:cs="Cambria Math"/>
        </w:rPr>
        <w:t>‑</w:t>
      </w:r>
      <w:r w:rsidRPr="00D60A13">
        <w:rPr>
          <w:rFonts w:ascii="Calibri" w:hAnsi="Calibri" w:cs="Calibri"/>
        </w:rPr>
        <w:t>related risks, the sensitivity of major karst springs, and the need for harmonised protection and monitoring practices, while remaining consistent with recognised principles of sustainable groundwater management.</w:t>
      </w:r>
    </w:p>
    <w:p w14:paraId="623526CD" w14:textId="521A5D70" w:rsidR="00DA0185" w:rsidRPr="00D60A13" w:rsidRDefault="00DA0185" w:rsidP="00DA0185">
      <w:pPr>
        <w:jc w:val="both"/>
        <w:rPr>
          <w:rFonts w:ascii="Calibri" w:hAnsi="Calibri" w:cs="Calibri"/>
        </w:rPr>
      </w:pPr>
      <w:r w:rsidRPr="00D60A13">
        <w:rPr>
          <w:rFonts w:ascii="Calibri" w:hAnsi="Calibri" w:cs="Calibri"/>
        </w:rPr>
        <w:t>In developing this framework, particular consideration is given to the guidance contained in the Global Framework for Action on Groundwater Governance, the final output of the FAO/UNESCO/IAH/World Bank/GEF Groundwater Governance Project. This global framework highlights that good groundwater governance relies on four core dimensions: strong and responsive institutions, effective laws and regulations, sound technical knowledge and monitoring, and forward</w:t>
      </w:r>
      <w:r w:rsidRPr="00D60A13">
        <w:rPr>
          <w:rFonts w:ascii="Cambria Math" w:hAnsi="Cambria Math" w:cs="Cambria Math"/>
        </w:rPr>
        <w:t>‑</w:t>
      </w:r>
      <w:r w:rsidRPr="00D60A13">
        <w:rPr>
          <w:rFonts w:ascii="Calibri" w:hAnsi="Calibri" w:cs="Calibri"/>
        </w:rPr>
        <w:t xml:space="preserve">looking planning supported by broad stakeholder participation. It further emphasises the need for countries to adopt clear performance indicators that help translate governance principles into practical implementation, ensure accountability, and support adaptive management in aquifers exposed to increasing pressures. </w:t>
      </w:r>
      <w:r w:rsidR="002D727F" w:rsidRPr="002D727F">
        <w:rPr>
          <w:rFonts w:ascii="Calibri" w:hAnsi="Calibri" w:cs="Calibri"/>
        </w:rPr>
        <w:t>Illustrative examples of qualitative indicators for groundwater governance, organised by thematic categories, are provided in Chapter 13 (Annexes) and may be applied as performance indicators for the JAP for Neretva TBA.</w:t>
      </w:r>
    </w:p>
    <w:p w14:paraId="02954593" w14:textId="7EC9DAB6" w:rsidR="00123B55" w:rsidRPr="00D60A13" w:rsidRDefault="00DA0185" w:rsidP="00DA0185">
      <w:pPr>
        <w:jc w:val="both"/>
        <w:rPr>
          <w:rFonts w:ascii="Calibri" w:hAnsi="Calibri" w:cs="Calibri"/>
        </w:rPr>
      </w:pPr>
      <w:r w:rsidRPr="00D60A13">
        <w:rPr>
          <w:rFonts w:ascii="Calibri" w:hAnsi="Calibri" w:cs="Calibri"/>
        </w:rPr>
        <w:t>The indicator structure for Neretva TBA reflects these principles by integrating institutional, legal and fiscal, technical and policy</w:t>
      </w:r>
      <w:r w:rsidRPr="00D60A13">
        <w:rPr>
          <w:rFonts w:ascii="Cambria Math" w:hAnsi="Cambria Math" w:cs="Cambria Math"/>
        </w:rPr>
        <w:t>‑</w:t>
      </w:r>
      <w:r w:rsidRPr="00D60A13">
        <w:rPr>
          <w:rFonts w:ascii="Calibri" w:hAnsi="Calibri" w:cs="Calibri"/>
        </w:rPr>
        <w:t>planning dimensions into a single, balanced system. The indicators are designed to be practical, measurable and compatible with existing administrative capacities in both countries. At the same time, they remain sufficiently flexible to accommodate future improvements in data availability, monitoring practices and joint governance arrangements. As implementation progresses, the indicators can be refined through periodic bilateral consultations, ensuring that the monitoring approach evolves in line with new knowledge, changing pressures and emerging priorities for the shared aquifer.</w:t>
      </w:r>
    </w:p>
    <w:p w14:paraId="54080E5C" w14:textId="77777777" w:rsidR="00123B55" w:rsidRPr="00D60A13" w:rsidRDefault="00123B55" w:rsidP="00123B55">
      <w:pPr>
        <w:pStyle w:val="Heading3"/>
        <w:rPr>
          <w:lang w:val="en-GB"/>
        </w:rPr>
      </w:pPr>
      <w:bookmarkStart w:id="264" w:name="_Toc229036322"/>
      <w:r w:rsidRPr="00D60A13">
        <w:rPr>
          <w:lang w:val="en-GB"/>
        </w:rPr>
        <w:t>12.1.1 Institutional indicators</w:t>
      </w:r>
      <w:bookmarkEnd w:id="264"/>
    </w:p>
    <w:p w14:paraId="639B527E" w14:textId="01F9D14C" w:rsidR="00DA0185" w:rsidRPr="00D60A13" w:rsidRDefault="00DA0185" w:rsidP="00DA0185">
      <w:pPr>
        <w:jc w:val="both"/>
        <w:rPr>
          <w:rFonts w:ascii="Calibri" w:hAnsi="Calibri" w:cs="Calibri"/>
        </w:rPr>
      </w:pPr>
      <w:r w:rsidRPr="00D60A13">
        <w:rPr>
          <w:rFonts w:ascii="Calibri" w:hAnsi="Calibri" w:cs="Calibri"/>
        </w:rPr>
        <w:t>Institutional indicators are intended to serve as guidance for evaluating how organisational structures and cooperation mechanisms should function in the future. Groundwater in Neretva TBA moves quickly through connected karst aquifers, so activities in recharge areas can influence downstream springs and wells within short timeframes. Because of this, strong and well</w:t>
      </w:r>
      <w:r w:rsidRPr="00D60A13">
        <w:rPr>
          <w:rFonts w:ascii="Cambria Math" w:hAnsi="Cambria Math" w:cs="Cambria Math"/>
        </w:rPr>
        <w:t>‑</w:t>
      </w:r>
      <w:r w:rsidRPr="00D60A13">
        <w:rPr>
          <w:rFonts w:ascii="Calibri" w:hAnsi="Calibri" w:cs="Calibri"/>
        </w:rPr>
        <w:t>coordinated institutional arrangements will be essential for effective management of the TBA.</w:t>
      </w:r>
    </w:p>
    <w:p w14:paraId="58B89545" w14:textId="77777777" w:rsidR="00DA0185" w:rsidRPr="00D60A13" w:rsidRDefault="00DA0185" w:rsidP="00DA0185">
      <w:pPr>
        <w:jc w:val="both"/>
        <w:rPr>
          <w:rFonts w:ascii="Calibri" w:hAnsi="Calibri" w:cs="Calibri"/>
        </w:rPr>
      </w:pPr>
      <w:r w:rsidRPr="00D60A13">
        <w:rPr>
          <w:rFonts w:ascii="Calibri" w:hAnsi="Calibri" w:cs="Calibri"/>
        </w:rPr>
        <w:t>Such indicators may be used to examine whether bilateral coordination bodies should meet regularly, address groundwater</w:t>
      </w:r>
      <w:r w:rsidRPr="00D60A13">
        <w:rPr>
          <w:rFonts w:ascii="Cambria Math" w:hAnsi="Cambria Math" w:cs="Cambria Math"/>
        </w:rPr>
        <w:t>‑</w:t>
      </w:r>
      <w:r w:rsidRPr="00D60A13">
        <w:rPr>
          <w:rFonts w:ascii="Calibri" w:hAnsi="Calibri" w:cs="Calibri"/>
        </w:rPr>
        <w:t>related issues in an organised manner, and ensure that agreed follow</w:t>
      </w:r>
      <w:r w:rsidRPr="00D60A13">
        <w:rPr>
          <w:rFonts w:ascii="Cambria Math" w:hAnsi="Cambria Math" w:cs="Cambria Math"/>
        </w:rPr>
        <w:t>‑</w:t>
      </w:r>
      <w:r w:rsidRPr="00D60A13">
        <w:rPr>
          <w:rFonts w:ascii="Calibri" w:hAnsi="Calibri" w:cs="Calibri"/>
        </w:rPr>
        <w:t>up actions are tracked. They can also help assess the extent to which data and information ought to be shared in harmonised formats, particularly for parameters associated with major risks, including nitrates, pesticides and microbiological contaminants. Another important aspect that these indicators may guide is the preparation of joint technical outputs, such as shared interpretations of monitoring results and coordinated assessments of pressures affecting recharge and discharge zones.</w:t>
      </w:r>
    </w:p>
    <w:p w14:paraId="777618DB" w14:textId="2372E2DA" w:rsidR="00123B55" w:rsidRPr="00D60A13" w:rsidRDefault="00DA0185" w:rsidP="00123B55">
      <w:pPr>
        <w:jc w:val="both"/>
        <w:rPr>
          <w:rFonts w:ascii="Calibri" w:hAnsi="Calibri" w:cs="Calibri"/>
        </w:rPr>
      </w:pPr>
      <w:r w:rsidRPr="00D60A13">
        <w:rPr>
          <w:rFonts w:ascii="Calibri" w:hAnsi="Calibri" w:cs="Calibri"/>
        </w:rPr>
        <w:lastRenderedPageBreak/>
        <w:t xml:space="preserve">Institutional indicators can also provide direction for evaluating stakeholder involvement. In the Neretva context, relevant stakeholders include agricultural producers in </w:t>
      </w:r>
      <w:proofErr w:type="spellStart"/>
      <w:r w:rsidRPr="00D60A13">
        <w:rPr>
          <w:rFonts w:ascii="Calibri" w:hAnsi="Calibri" w:cs="Calibri"/>
        </w:rPr>
        <w:t>Ljubuško</w:t>
      </w:r>
      <w:proofErr w:type="spellEnd"/>
      <w:r w:rsidRPr="00D60A13">
        <w:rPr>
          <w:rFonts w:ascii="Calibri" w:hAnsi="Calibri" w:cs="Calibri"/>
        </w:rPr>
        <w:t xml:space="preserve"> Polje, tourism operators and local authorities in the Neretva </w:t>
      </w:r>
      <w:r w:rsidR="003108B4">
        <w:rPr>
          <w:rFonts w:ascii="Calibri" w:hAnsi="Calibri" w:cs="Calibri"/>
        </w:rPr>
        <w:t>Delta</w:t>
      </w:r>
      <w:r w:rsidRPr="00D60A13">
        <w:rPr>
          <w:rFonts w:ascii="Calibri" w:hAnsi="Calibri" w:cs="Calibri"/>
        </w:rPr>
        <w:t>, water</w:t>
      </w:r>
      <w:r w:rsidRPr="00D60A13">
        <w:rPr>
          <w:rFonts w:ascii="Cambria Math" w:hAnsi="Cambria Math" w:cs="Cambria Math"/>
        </w:rPr>
        <w:t>‑</w:t>
      </w:r>
      <w:r w:rsidRPr="00D60A13">
        <w:rPr>
          <w:rFonts w:ascii="Calibri" w:hAnsi="Calibri" w:cs="Calibri"/>
        </w:rPr>
        <w:t>supply utilities, protected</w:t>
      </w:r>
      <w:r w:rsidRPr="00D60A13">
        <w:rPr>
          <w:rFonts w:ascii="Cambria Math" w:hAnsi="Cambria Math" w:cs="Cambria Math"/>
        </w:rPr>
        <w:t>‑</w:t>
      </w:r>
      <w:r w:rsidRPr="00D60A13">
        <w:rPr>
          <w:rFonts w:ascii="Calibri" w:hAnsi="Calibri" w:cs="Calibri"/>
        </w:rPr>
        <w:t>area administrations and civil</w:t>
      </w:r>
      <w:r w:rsidRPr="00D60A13">
        <w:rPr>
          <w:rFonts w:ascii="Cambria Math" w:hAnsi="Cambria Math" w:cs="Cambria Math"/>
        </w:rPr>
        <w:t>‑</w:t>
      </w:r>
      <w:r w:rsidRPr="00D60A13">
        <w:rPr>
          <w:rFonts w:ascii="Calibri" w:hAnsi="Calibri" w:cs="Calibri"/>
        </w:rPr>
        <w:t>society organisations. Their participation can help clarify on</w:t>
      </w:r>
      <w:r w:rsidRPr="00D60A13">
        <w:rPr>
          <w:rFonts w:ascii="Cambria Math" w:hAnsi="Cambria Math" w:cs="Cambria Math"/>
        </w:rPr>
        <w:t>‑</w:t>
      </w:r>
      <w:r w:rsidRPr="00D60A13">
        <w:rPr>
          <w:rFonts w:ascii="Calibri" w:hAnsi="Calibri" w:cs="Calibri"/>
        </w:rPr>
        <w:t>the</w:t>
      </w:r>
      <w:r w:rsidRPr="00D60A13">
        <w:rPr>
          <w:rFonts w:ascii="Cambria Math" w:hAnsi="Cambria Math" w:cs="Cambria Math"/>
        </w:rPr>
        <w:t>‑</w:t>
      </w:r>
      <w:r w:rsidRPr="00D60A13">
        <w:rPr>
          <w:rFonts w:ascii="Calibri" w:hAnsi="Calibri" w:cs="Calibri"/>
        </w:rPr>
        <w:t>ground pressures and practical challenges linked to implementation. In addition, the indicators may guide the assessment of institutional capacities, for example the availability of trained staff in groundwater monitoring, quality assurance, enforcement and sanitary</w:t>
      </w:r>
      <w:r w:rsidRPr="00D60A13">
        <w:rPr>
          <w:rFonts w:ascii="Cambria Math" w:hAnsi="Cambria Math" w:cs="Cambria Math"/>
        </w:rPr>
        <w:t>‑</w:t>
      </w:r>
      <w:r w:rsidRPr="00D60A13">
        <w:rPr>
          <w:rFonts w:ascii="Calibri" w:hAnsi="Calibri" w:cs="Calibri"/>
        </w:rPr>
        <w:t>protection</w:t>
      </w:r>
      <w:r w:rsidRPr="00D60A13">
        <w:rPr>
          <w:rFonts w:ascii="Cambria Math" w:hAnsi="Cambria Math" w:cs="Cambria Math"/>
        </w:rPr>
        <w:t>‑</w:t>
      </w:r>
      <w:r w:rsidRPr="00D60A13">
        <w:rPr>
          <w:rFonts w:ascii="Calibri" w:hAnsi="Calibri" w:cs="Calibri"/>
        </w:rPr>
        <w:t>zone delineation. Lastly, they can offer a basis for considering the regularity and quality of operational cooperation between local authorities on both sides of the border, particularly where land</w:t>
      </w:r>
      <w:r w:rsidRPr="00D60A13">
        <w:rPr>
          <w:rFonts w:ascii="Cambria Math" w:hAnsi="Cambria Math" w:cs="Cambria Math"/>
        </w:rPr>
        <w:t>‑</w:t>
      </w:r>
      <w:r w:rsidRPr="00D60A13">
        <w:rPr>
          <w:rFonts w:ascii="Calibri" w:hAnsi="Calibri" w:cs="Calibri"/>
        </w:rPr>
        <w:t>use decisions and sanitation practices directly influence transboundary areas.</w:t>
      </w:r>
    </w:p>
    <w:p w14:paraId="08A48066" w14:textId="77777777" w:rsidR="00123B55" w:rsidRPr="00D60A13" w:rsidRDefault="00123B55" w:rsidP="00DA0185">
      <w:pPr>
        <w:pStyle w:val="Heading3"/>
        <w:rPr>
          <w:lang w:val="en-GB"/>
        </w:rPr>
      </w:pPr>
      <w:bookmarkStart w:id="265" w:name="_Toc229036323"/>
      <w:r w:rsidRPr="00D60A13">
        <w:rPr>
          <w:lang w:val="en-GB"/>
        </w:rPr>
        <w:t>12.1.2 Legal and fiscal indicators</w:t>
      </w:r>
      <w:bookmarkEnd w:id="265"/>
    </w:p>
    <w:p w14:paraId="48EB4FF4" w14:textId="77777777" w:rsidR="00DA0185" w:rsidRPr="00D60A13" w:rsidRDefault="00DA0185" w:rsidP="00DA0185">
      <w:pPr>
        <w:jc w:val="both"/>
        <w:rPr>
          <w:rFonts w:ascii="Calibri" w:hAnsi="Calibri" w:cs="Calibri"/>
        </w:rPr>
      </w:pPr>
      <w:r w:rsidRPr="00D60A13">
        <w:rPr>
          <w:rFonts w:ascii="Calibri" w:hAnsi="Calibri" w:cs="Calibri"/>
        </w:rPr>
        <w:t>Legal and fiscal indicators are intended to serve as guidance for assessing how regulatory instruments and financial mechanisms should support groundwater protection and sustainable resource use in the future. Their relevance is particularly evident in the Neretva TBA, where the aquifer is sensitive to pressures such as agricultural pollution, inadequate wastewater treatment and uneven application of sanitary protection measures.</w:t>
      </w:r>
    </w:p>
    <w:p w14:paraId="0667238D" w14:textId="77777777" w:rsidR="00DA0185" w:rsidRPr="00D60A13" w:rsidRDefault="00DA0185" w:rsidP="00DA0185">
      <w:pPr>
        <w:jc w:val="both"/>
        <w:rPr>
          <w:rFonts w:ascii="Calibri" w:hAnsi="Calibri" w:cs="Calibri"/>
        </w:rPr>
      </w:pPr>
      <w:r w:rsidRPr="00D60A13">
        <w:rPr>
          <w:rFonts w:ascii="Calibri" w:hAnsi="Calibri" w:cs="Calibri"/>
        </w:rPr>
        <w:t>These indicators can be used to guide future evaluations of whether groundwater abstractions and wastewater discharges should be subject to appropriate licensing and permitting procedures, and how frequently inspections ought to be carried out to ensure compliance. They also provide direction for examining whether regulatory requirements are applied consistently across both countries and whether enforcement actions, when needed, are timely and effective. Future use of these indicators may place particular emphasis on decentralised sanitation systems, illegal discharges into karst features, unauthorised abstractions and land</w:t>
      </w:r>
      <w:r w:rsidRPr="00D60A13">
        <w:rPr>
          <w:rFonts w:ascii="Cambria Math" w:hAnsi="Cambria Math" w:cs="Cambria Math"/>
        </w:rPr>
        <w:t>‑</w:t>
      </w:r>
      <w:r w:rsidRPr="00D60A13">
        <w:rPr>
          <w:rFonts w:ascii="Calibri" w:hAnsi="Calibri" w:cs="Calibri"/>
        </w:rPr>
        <w:t>use practices that do not align with protection measures.</w:t>
      </w:r>
    </w:p>
    <w:p w14:paraId="3DCB9EE1" w14:textId="77777777" w:rsidR="00DA0185" w:rsidRPr="00D60A13" w:rsidRDefault="00DA0185" w:rsidP="00DA0185">
      <w:pPr>
        <w:jc w:val="both"/>
        <w:rPr>
          <w:rFonts w:ascii="Calibri" w:hAnsi="Calibri" w:cs="Calibri"/>
        </w:rPr>
      </w:pPr>
      <w:r w:rsidRPr="00D60A13">
        <w:rPr>
          <w:rFonts w:ascii="Calibri" w:hAnsi="Calibri" w:cs="Calibri"/>
        </w:rPr>
        <w:t>An important component of the legal dimension relates to the level of harmonisation between methodologies for delineating sanitary protection zones. Since recharge and discharge areas frequently cross the state border, aligned criteria and mutual recognition would be essential for achieving coherent and effective protection of shared groundwater.</w:t>
      </w:r>
    </w:p>
    <w:p w14:paraId="0BB7B5F8" w14:textId="7667153C" w:rsidR="00123B55" w:rsidRPr="00D60A13" w:rsidRDefault="00DA0185" w:rsidP="00123B55">
      <w:pPr>
        <w:jc w:val="both"/>
        <w:rPr>
          <w:rFonts w:ascii="Calibri" w:hAnsi="Calibri" w:cs="Calibri"/>
        </w:rPr>
      </w:pPr>
      <w:r w:rsidRPr="00D60A13">
        <w:rPr>
          <w:rFonts w:ascii="Calibri" w:hAnsi="Calibri" w:cs="Calibri"/>
        </w:rPr>
        <w:t xml:space="preserve">Fiscal indicators complement the legal dimension by offering guidance on how financial mechanisms should contribute to improved groundwater management. This may include considering the role of agricultural incentives that encourage reduced nutrient loads, more precise fertiliser application or better manure handling. It also involves examining the extent to which utilities and major water users should contribute to the costs of monitoring and enforcement, as well as the level of investment needed for sanitation and wastewater infrastructure in areas where pollution risks are highest. </w:t>
      </w:r>
    </w:p>
    <w:p w14:paraId="21CC9ECC" w14:textId="77777777" w:rsidR="00123B55" w:rsidRPr="00D60A13" w:rsidRDefault="00123B55" w:rsidP="00444B19">
      <w:pPr>
        <w:pStyle w:val="Heading3"/>
        <w:rPr>
          <w:lang w:val="en-GB"/>
        </w:rPr>
      </w:pPr>
      <w:bookmarkStart w:id="266" w:name="_Toc229036324"/>
      <w:r w:rsidRPr="00D60A13">
        <w:rPr>
          <w:lang w:val="en-GB"/>
        </w:rPr>
        <w:t>12.1.3 Technical indicators</w:t>
      </w:r>
      <w:bookmarkEnd w:id="266"/>
    </w:p>
    <w:p w14:paraId="168AE909" w14:textId="77777777" w:rsidR="00444B19" w:rsidRPr="00D60A13" w:rsidRDefault="00444B19" w:rsidP="00444B19">
      <w:pPr>
        <w:jc w:val="both"/>
        <w:rPr>
          <w:rFonts w:ascii="Calibri" w:hAnsi="Calibri" w:cs="Calibri"/>
        </w:rPr>
      </w:pPr>
      <w:r w:rsidRPr="00D60A13">
        <w:rPr>
          <w:rFonts w:ascii="Calibri" w:hAnsi="Calibri" w:cs="Calibri"/>
        </w:rPr>
        <w:t>Technical indicators are intended to guide future assessments of how management measures may influence the condition of the groundwater system. Because the Neretva TBA is vulnerable to rapid transport of contaminants and has limited natural attenuation due to its karst characteristics, reliable technical monitoring will be essential for understanding potential risks and identifying appropriate corrective actions.</w:t>
      </w:r>
    </w:p>
    <w:p w14:paraId="6A1AC4DA" w14:textId="77777777" w:rsidR="00444B19" w:rsidRPr="00D60A13" w:rsidRDefault="00444B19" w:rsidP="00444B19">
      <w:pPr>
        <w:jc w:val="both"/>
        <w:rPr>
          <w:rFonts w:ascii="Calibri" w:hAnsi="Calibri" w:cs="Calibri"/>
        </w:rPr>
      </w:pPr>
      <w:r w:rsidRPr="00D60A13">
        <w:rPr>
          <w:rFonts w:ascii="Calibri" w:hAnsi="Calibri" w:cs="Calibri"/>
        </w:rPr>
        <w:t>Such indicators can be used to observe trends in key groundwater</w:t>
      </w:r>
      <w:r w:rsidRPr="00D60A13">
        <w:rPr>
          <w:rFonts w:ascii="Cambria Math" w:hAnsi="Cambria Math" w:cs="Cambria Math"/>
        </w:rPr>
        <w:t>‑</w:t>
      </w:r>
      <w:r w:rsidRPr="00D60A13">
        <w:rPr>
          <w:rFonts w:ascii="Calibri" w:hAnsi="Calibri" w:cs="Calibri"/>
        </w:rPr>
        <w:t xml:space="preserve">quality parameters, including nitrates, pesticides and microbiological contaminants, particularly at major springs and abstraction points used for drinking water supply. They may also help assess the expected effects of </w:t>
      </w:r>
      <w:r w:rsidRPr="00D60A13">
        <w:rPr>
          <w:rFonts w:ascii="Calibri" w:hAnsi="Calibri" w:cs="Calibri"/>
        </w:rPr>
        <w:lastRenderedPageBreak/>
        <w:t>improvements in wastewater management, for example by tracking whether contamination events decrease following upgrades to sewerage networks or treatment systems.</w:t>
      </w:r>
    </w:p>
    <w:p w14:paraId="1FFEBD15" w14:textId="77777777" w:rsidR="00444B19" w:rsidRPr="00D60A13" w:rsidRDefault="00444B19" w:rsidP="00444B19">
      <w:pPr>
        <w:jc w:val="both"/>
        <w:rPr>
          <w:rFonts w:ascii="Calibri" w:hAnsi="Calibri" w:cs="Calibri"/>
        </w:rPr>
      </w:pPr>
      <w:r w:rsidRPr="00D60A13">
        <w:rPr>
          <w:rFonts w:ascii="Calibri" w:hAnsi="Calibri" w:cs="Calibri"/>
        </w:rPr>
        <w:t>Another important area where these indicators may provide guidance concerns the functionality of the monitoring network. This includes the number and distribution of operational monitoring sites, the continuity and completeness of time</w:t>
      </w:r>
      <w:r w:rsidRPr="00D60A13">
        <w:rPr>
          <w:rFonts w:ascii="Cambria Math" w:hAnsi="Cambria Math" w:cs="Cambria Math"/>
        </w:rPr>
        <w:t>‑</w:t>
      </w:r>
      <w:r w:rsidRPr="00D60A13">
        <w:rPr>
          <w:rFonts w:ascii="Calibri" w:hAnsi="Calibri" w:cs="Calibri"/>
        </w:rPr>
        <w:t>series datasets, adherence to agreed sampling frequencies, and compliance with quality</w:t>
      </w:r>
      <w:r w:rsidRPr="00D60A13">
        <w:rPr>
          <w:rFonts w:ascii="Cambria Math" w:hAnsi="Cambria Math" w:cs="Cambria Math"/>
        </w:rPr>
        <w:t>‑</w:t>
      </w:r>
      <w:r w:rsidRPr="00D60A13">
        <w:rPr>
          <w:rFonts w:ascii="Calibri" w:hAnsi="Calibri" w:cs="Calibri"/>
        </w:rPr>
        <w:t>assurance procedures. Given that agricultural practices represent a significant pressure on the aquifer, technical indicators may also be used to evaluate the extent to which water</w:t>
      </w:r>
      <w:r w:rsidRPr="00D60A13">
        <w:rPr>
          <w:rFonts w:ascii="Cambria Math" w:hAnsi="Cambria Math" w:cs="Cambria Math"/>
        </w:rPr>
        <w:t>‑</w:t>
      </w:r>
      <w:r w:rsidRPr="00D60A13">
        <w:rPr>
          <w:rFonts w:ascii="Calibri" w:hAnsi="Calibri" w:cs="Calibri"/>
        </w:rPr>
        <w:t>efficient and environmentally responsible techniques are adopted in sensitive recharge zones.</w:t>
      </w:r>
    </w:p>
    <w:p w14:paraId="0AA898F6" w14:textId="77777777" w:rsidR="00444B19" w:rsidRPr="00D60A13" w:rsidRDefault="00444B19" w:rsidP="00444B19">
      <w:pPr>
        <w:jc w:val="both"/>
        <w:rPr>
          <w:rFonts w:ascii="Calibri" w:hAnsi="Calibri" w:cs="Calibri"/>
        </w:rPr>
      </w:pPr>
      <w:r w:rsidRPr="00D60A13">
        <w:rPr>
          <w:rFonts w:ascii="Calibri" w:hAnsi="Calibri" w:cs="Calibri"/>
        </w:rPr>
        <w:t>Attention may also be directed to groundwater</w:t>
      </w:r>
      <w:r w:rsidRPr="00D60A13">
        <w:rPr>
          <w:rFonts w:ascii="Cambria Math" w:hAnsi="Cambria Math" w:cs="Cambria Math"/>
        </w:rPr>
        <w:t>‑</w:t>
      </w:r>
      <w:r w:rsidRPr="00D60A13">
        <w:rPr>
          <w:rFonts w:ascii="Calibri" w:hAnsi="Calibri" w:cs="Calibri"/>
        </w:rPr>
        <w:t>dependent ecosystems, including the stability of baseflow conditions and ecological indicators relevant to habitats that rely on groundwater. In addition, technical indicators can offer a framework for considering the responsiveness of early</w:t>
      </w:r>
      <w:r w:rsidRPr="00D60A13">
        <w:rPr>
          <w:rFonts w:ascii="Cambria Math" w:hAnsi="Cambria Math" w:cs="Cambria Math"/>
        </w:rPr>
        <w:t>‑</w:t>
      </w:r>
      <w:r w:rsidRPr="00D60A13">
        <w:rPr>
          <w:rFonts w:ascii="Calibri" w:hAnsi="Calibri" w:cs="Calibri"/>
        </w:rPr>
        <w:t>warning mechanisms in situations involving sudden pollution events or rapid hydrological changes.</w:t>
      </w:r>
    </w:p>
    <w:p w14:paraId="1EACC30A" w14:textId="73BE88E0" w:rsidR="00123B55" w:rsidRPr="00D60A13" w:rsidRDefault="00444B19" w:rsidP="00123B55">
      <w:pPr>
        <w:jc w:val="both"/>
        <w:rPr>
          <w:rFonts w:ascii="Calibri" w:hAnsi="Calibri" w:cs="Calibri"/>
        </w:rPr>
      </w:pPr>
      <w:r w:rsidRPr="00D60A13">
        <w:rPr>
          <w:rFonts w:ascii="Calibri" w:hAnsi="Calibri" w:cs="Calibri"/>
        </w:rPr>
        <w:t xml:space="preserve">A further aspect that technical indicators may cover relates to saltwater intrusion in the Neretva </w:t>
      </w:r>
      <w:r w:rsidR="003108B4">
        <w:rPr>
          <w:rFonts w:ascii="Calibri" w:hAnsi="Calibri" w:cs="Calibri"/>
        </w:rPr>
        <w:t>Delta</w:t>
      </w:r>
      <w:r w:rsidRPr="00D60A13">
        <w:rPr>
          <w:rFonts w:ascii="Calibri" w:hAnsi="Calibri" w:cs="Calibri"/>
        </w:rPr>
        <w:t>, where the interaction between groundwater, surface water and tidal influence can significantly affect water quality and ecosystem conditions. Future indicators may therefore guide the implementation and evaluation of integrated salinity</w:t>
      </w:r>
      <w:r w:rsidRPr="00D60A13">
        <w:rPr>
          <w:rFonts w:ascii="Cambria Math" w:hAnsi="Cambria Math" w:cs="Cambria Math"/>
        </w:rPr>
        <w:t>‑</w:t>
      </w:r>
      <w:r w:rsidRPr="00D60A13">
        <w:rPr>
          <w:rFonts w:ascii="Calibri" w:hAnsi="Calibri" w:cs="Calibri"/>
        </w:rPr>
        <w:t>control measures, such as regulating irrigation practices, maintaining or upgrading hydraulic barriers, adjusting drainage and canal</w:t>
      </w:r>
      <w:r w:rsidRPr="00D60A13">
        <w:rPr>
          <w:rFonts w:ascii="Cambria Math" w:hAnsi="Cambria Math" w:cs="Cambria Math"/>
        </w:rPr>
        <w:t>‑</w:t>
      </w:r>
      <w:r w:rsidRPr="00D60A13">
        <w:rPr>
          <w:rFonts w:ascii="Calibri" w:hAnsi="Calibri" w:cs="Calibri"/>
        </w:rPr>
        <w:t>management regimes, or introducing targeted monitoring of electrical conductivity and chloride concentrations. These measures would help assess whether salinity trends are stabilising, improving or worsening, and whether management actions are contributing to the long</w:t>
      </w:r>
      <w:r w:rsidRPr="00D60A13">
        <w:rPr>
          <w:rFonts w:ascii="Cambria Math" w:hAnsi="Cambria Math" w:cs="Cambria Math"/>
        </w:rPr>
        <w:t>‑</w:t>
      </w:r>
      <w:r w:rsidRPr="00D60A13">
        <w:rPr>
          <w:rFonts w:ascii="Calibri" w:hAnsi="Calibri" w:cs="Calibri"/>
        </w:rPr>
        <w:t xml:space="preserve">term protection of groundwater resources in the </w:t>
      </w:r>
      <w:r w:rsidR="003108B4">
        <w:rPr>
          <w:rFonts w:ascii="Calibri" w:hAnsi="Calibri" w:cs="Calibri"/>
        </w:rPr>
        <w:t>Delta</w:t>
      </w:r>
      <w:r w:rsidRPr="00D60A13">
        <w:rPr>
          <w:rFonts w:ascii="Calibri" w:hAnsi="Calibri" w:cs="Calibri"/>
        </w:rPr>
        <w:t>.</w:t>
      </w:r>
    </w:p>
    <w:p w14:paraId="64C324C8" w14:textId="77777777" w:rsidR="00123B55" w:rsidRPr="00D60A13" w:rsidRDefault="00123B55" w:rsidP="00444B19">
      <w:pPr>
        <w:pStyle w:val="Heading3"/>
        <w:rPr>
          <w:lang w:val="en-GB"/>
        </w:rPr>
      </w:pPr>
      <w:bookmarkStart w:id="267" w:name="_Toc229036325"/>
      <w:r w:rsidRPr="00D60A13">
        <w:rPr>
          <w:lang w:val="en-GB"/>
        </w:rPr>
        <w:t>12.1.4 Policy</w:t>
      </w:r>
      <w:r w:rsidRPr="00D60A13">
        <w:rPr>
          <w:rFonts w:ascii="Cambria Math" w:hAnsi="Cambria Math" w:cs="Cambria Math"/>
          <w:lang w:val="en-GB"/>
        </w:rPr>
        <w:t>‑</w:t>
      </w:r>
      <w:r w:rsidRPr="00D60A13">
        <w:rPr>
          <w:lang w:val="en-GB"/>
        </w:rPr>
        <w:t>planning indicators</w:t>
      </w:r>
      <w:bookmarkEnd w:id="267"/>
    </w:p>
    <w:p w14:paraId="5956232E" w14:textId="77777777" w:rsidR="00444B19" w:rsidRPr="00D60A13" w:rsidRDefault="00444B19" w:rsidP="00444B19">
      <w:pPr>
        <w:jc w:val="both"/>
        <w:rPr>
          <w:rFonts w:ascii="Calibri" w:hAnsi="Calibri" w:cs="Calibri"/>
        </w:rPr>
      </w:pPr>
      <w:r w:rsidRPr="00D60A13">
        <w:rPr>
          <w:rFonts w:ascii="Calibri" w:hAnsi="Calibri" w:cs="Calibri"/>
        </w:rPr>
        <w:t>Policy</w:t>
      </w:r>
      <w:r w:rsidRPr="00D60A13">
        <w:rPr>
          <w:rFonts w:ascii="Cambria Math" w:hAnsi="Cambria Math" w:cs="Cambria Math"/>
        </w:rPr>
        <w:t>‑</w:t>
      </w:r>
      <w:r w:rsidRPr="00D60A13">
        <w:rPr>
          <w:rFonts w:ascii="Calibri" w:hAnsi="Calibri" w:cs="Calibri"/>
        </w:rPr>
        <w:t>planning indicators are intended to guide future assessments of how well strategic objectives may be translated into operational activities, and whether such activities could proceed in an organised, timely and coordinated manner. These indicators can support the development of operational plans that clearly outline priority measures, responsible institutions, timelines and the resources required for effective implementation.</w:t>
      </w:r>
    </w:p>
    <w:p w14:paraId="58909219" w14:textId="77777777" w:rsidR="00444B19" w:rsidRPr="00D60A13" w:rsidRDefault="00444B19" w:rsidP="00444B19">
      <w:pPr>
        <w:jc w:val="both"/>
        <w:rPr>
          <w:rFonts w:ascii="Calibri" w:hAnsi="Calibri" w:cs="Calibri"/>
        </w:rPr>
      </w:pPr>
      <w:r w:rsidRPr="00D60A13">
        <w:rPr>
          <w:rFonts w:ascii="Calibri" w:hAnsi="Calibri" w:cs="Calibri"/>
        </w:rPr>
        <w:t>They may also serve to assess the extent to which planned activities should be implemented each year, including enhancements to monitoring networks, improvements in sanitation systems, reductions of agricultural pressures and the organisation of communication and awareness activities. Because regular reporting will play an important role in tracking progress, policy</w:t>
      </w:r>
      <w:r w:rsidRPr="00D60A13">
        <w:rPr>
          <w:rFonts w:ascii="Cambria Math" w:hAnsi="Cambria Math" w:cs="Cambria Math"/>
        </w:rPr>
        <w:t>‑</w:t>
      </w:r>
      <w:r w:rsidRPr="00D60A13">
        <w:rPr>
          <w:rFonts w:ascii="Calibri" w:hAnsi="Calibri" w:cs="Calibri"/>
        </w:rPr>
        <w:t>planning indicators can offer direction on how to evaluate the quality, consistency and timeliness of national and joint progress summaries prepared by the institutions involved. In addition, they may help guide considerations of how effectively information on groundwater risks and mitigation measures is communicated to relevant groups such as farmers, utilities, tourism operators and local governments.</w:t>
      </w:r>
    </w:p>
    <w:p w14:paraId="05CC52EC" w14:textId="1A0889ED" w:rsidR="00123B55" w:rsidRPr="00D60A13" w:rsidRDefault="00444B19" w:rsidP="00123B55">
      <w:pPr>
        <w:jc w:val="both"/>
        <w:rPr>
          <w:rFonts w:ascii="Calibri" w:hAnsi="Calibri" w:cs="Calibri"/>
        </w:rPr>
      </w:pPr>
      <w:r w:rsidRPr="00D60A13">
        <w:rPr>
          <w:rFonts w:ascii="Calibri" w:hAnsi="Calibri" w:cs="Calibri"/>
        </w:rPr>
        <w:t>Another area that these indicators may address concerns the functioning of conflict</w:t>
      </w:r>
      <w:r w:rsidRPr="00D60A13">
        <w:rPr>
          <w:rFonts w:ascii="Cambria Math" w:hAnsi="Cambria Math" w:cs="Cambria Math"/>
        </w:rPr>
        <w:t>‑</w:t>
      </w:r>
      <w:r w:rsidRPr="00D60A13">
        <w:rPr>
          <w:rFonts w:ascii="Calibri" w:hAnsi="Calibri" w:cs="Calibri"/>
        </w:rPr>
        <w:t>resolution mechanisms. This includes examining how disputes related to groundwater management could be recorded, the time required for their resolution and the extent to which stakeholders are satisfied with outcomes.</w:t>
      </w:r>
    </w:p>
    <w:p w14:paraId="0A95EB9F" w14:textId="77777777" w:rsidR="00123B55" w:rsidRPr="00D60A13" w:rsidRDefault="00123B55" w:rsidP="00444B19">
      <w:pPr>
        <w:pStyle w:val="Heading3"/>
        <w:rPr>
          <w:lang w:val="en-GB"/>
        </w:rPr>
      </w:pPr>
      <w:bookmarkStart w:id="268" w:name="_Toc229036326"/>
      <w:r w:rsidRPr="00D60A13">
        <w:rPr>
          <w:lang w:val="en-GB"/>
        </w:rPr>
        <w:lastRenderedPageBreak/>
        <w:t>12.1.5 Recommended approach to monitoring and reporting</w:t>
      </w:r>
      <w:bookmarkEnd w:id="268"/>
    </w:p>
    <w:p w14:paraId="0FC4BCF5" w14:textId="7B4FEA82" w:rsidR="002A05DB" w:rsidRPr="00D60A13" w:rsidRDefault="002A05DB" w:rsidP="002A05DB">
      <w:pPr>
        <w:jc w:val="both"/>
        <w:rPr>
          <w:rFonts w:ascii="Calibri" w:hAnsi="Calibri" w:cs="Calibri"/>
        </w:rPr>
      </w:pPr>
      <w:r w:rsidRPr="00D60A13">
        <w:rPr>
          <w:rFonts w:ascii="Calibri" w:hAnsi="Calibri" w:cs="Calibri"/>
        </w:rPr>
        <w:t>Monitoring and reporting for Neretva TBA can be developed through a clear, harmonised and practical approach that enables comparable results across both countries. In this context, it may be useful to identify baseline values and realistic targets for all indicators, considering available data and existing implementation capacities. Monitoring intervals can be determined according to the nature of each indicator; for example, institutional, legal and fiscal indicators may be assessed on an annual basis, while technical indicators can follow the frequency established within the monitoring programme. Policy</w:t>
      </w:r>
      <w:r w:rsidRPr="00D60A13">
        <w:rPr>
          <w:rFonts w:ascii="Cambria Math" w:hAnsi="Cambria Math" w:cs="Cambria Math"/>
        </w:rPr>
        <w:t>‑</w:t>
      </w:r>
      <w:r w:rsidRPr="00D60A13">
        <w:rPr>
          <w:rFonts w:ascii="Calibri" w:hAnsi="Calibri" w:cs="Calibri"/>
        </w:rPr>
        <w:t>planning indicators may also benefit from annual reviews, complemented by more extensive evaluations at longer intervals.</w:t>
      </w:r>
    </w:p>
    <w:p w14:paraId="0991B31D" w14:textId="77777777" w:rsidR="002A05DB" w:rsidRPr="00D60A13" w:rsidRDefault="002A05DB" w:rsidP="002A05DB">
      <w:pPr>
        <w:jc w:val="both"/>
        <w:rPr>
          <w:rFonts w:ascii="Calibri" w:hAnsi="Calibri" w:cs="Calibri"/>
        </w:rPr>
      </w:pPr>
      <w:r w:rsidRPr="00D60A13">
        <w:rPr>
          <w:rFonts w:ascii="Calibri" w:hAnsi="Calibri" w:cs="Calibri"/>
        </w:rPr>
        <w:t>The use of standardised templates for indicator tracking, data validation and stakeholder engagement can support greater consistency and facilitate the preparation of comparable reports. Each country may prepare annual updates summarising indicator values, which can then be combined into a joint progress summary. Such a report could highlight achievements, identify challenges and outline priority actions for the following period. In addition, a more comprehensive review may be undertaken every six years, in alignment with broader water</w:t>
      </w:r>
      <w:r w:rsidRPr="00D60A13">
        <w:rPr>
          <w:rFonts w:ascii="Cambria Math" w:hAnsi="Cambria Math" w:cs="Cambria Math"/>
        </w:rPr>
        <w:t>‑</w:t>
      </w:r>
      <w:r w:rsidRPr="00D60A13">
        <w:rPr>
          <w:rFonts w:ascii="Calibri" w:hAnsi="Calibri" w:cs="Calibri"/>
        </w:rPr>
        <w:t>management planning cycles, to consider overall progress, the suitability of indicators and potential methodological adjustments.</w:t>
      </w:r>
    </w:p>
    <w:p w14:paraId="40A32367" w14:textId="12ED44B8" w:rsidR="00104A51" w:rsidRPr="00D60A13" w:rsidRDefault="002A05DB" w:rsidP="002A05DB">
      <w:pPr>
        <w:jc w:val="both"/>
      </w:pPr>
      <w:r w:rsidRPr="00D60A13">
        <w:rPr>
          <w:rFonts w:ascii="Calibri" w:hAnsi="Calibri" w:cs="Calibri"/>
        </w:rPr>
        <w:t>Adopting a coordinated and structured approach to monitoring and reporting may help reinforce accountability, improve transparency and provide a sound basis for adaptive management of Neretva TBA over the long term.</w:t>
      </w:r>
    </w:p>
    <w:p w14:paraId="130C9C32" w14:textId="77777777" w:rsidR="002A05DB" w:rsidRPr="00D60A13" w:rsidRDefault="002A05DB" w:rsidP="00104A51">
      <w:pPr>
        <w:pStyle w:val="Heading2"/>
        <w:rPr>
          <w:lang w:val="en-GB"/>
        </w:rPr>
      </w:pPr>
      <w:bookmarkStart w:id="269" w:name="_Toc223524356"/>
    </w:p>
    <w:p w14:paraId="287DC531" w14:textId="38118448" w:rsidR="00104A51" w:rsidRPr="00D60A13" w:rsidRDefault="00104A51" w:rsidP="00104A51">
      <w:pPr>
        <w:pStyle w:val="Heading2"/>
        <w:rPr>
          <w:lang w:val="en-GB"/>
        </w:rPr>
      </w:pPr>
      <w:bookmarkStart w:id="270" w:name="_Toc229036327"/>
      <w:r w:rsidRPr="00D60A13">
        <w:rPr>
          <w:lang w:val="en-GB"/>
        </w:rPr>
        <w:t xml:space="preserve">12.2 Periodic </w:t>
      </w:r>
      <w:r w:rsidR="00881616" w:rsidRPr="00D60A13">
        <w:rPr>
          <w:lang w:val="en-GB"/>
        </w:rPr>
        <w:t>r</w:t>
      </w:r>
      <w:r w:rsidRPr="00D60A13">
        <w:rPr>
          <w:lang w:val="en-GB"/>
        </w:rPr>
        <w:t>eporting</w:t>
      </w:r>
      <w:bookmarkEnd w:id="269"/>
      <w:bookmarkEnd w:id="270"/>
    </w:p>
    <w:p w14:paraId="7FD3D7F8" w14:textId="0BCEEDF8" w:rsidR="002A05DB" w:rsidRPr="00D60A13" w:rsidRDefault="002A05DB" w:rsidP="002A05DB">
      <w:pPr>
        <w:jc w:val="both"/>
        <w:rPr>
          <w:rFonts w:ascii="Calibri" w:hAnsi="Calibri" w:cs="Calibri"/>
        </w:rPr>
      </w:pPr>
      <w:r w:rsidRPr="00D60A13">
        <w:rPr>
          <w:rFonts w:ascii="Calibri" w:hAnsi="Calibri" w:cs="Calibri"/>
        </w:rPr>
        <w:t>Periodic reporting provides a structured approach for translating performance indicators into comparable information and for supporting coordinated interpretation of progress across Neretva TBA. Its purpose is to ensure that the implementation of the Joint Action Programme (JAP) can be followed in a transparent, systematic and balanced manner by institutions in both countries. Reporting also creates a foundation for adaptive management by enabling joint identification of emerging risks, priority measures and opportunities for improving cooperation.</w:t>
      </w:r>
    </w:p>
    <w:p w14:paraId="7D11539B" w14:textId="3883D58F" w:rsidR="002A05DB" w:rsidRPr="00D60A13" w:rsidRDefault="002A05DB" w:rsidP="002A05DB">
      <w:pPr>
        <w:jc w:val="both"/>
        <w:rPr>
          <w:rFonts w:ascii="Calibri" w:hAnsi="Calibri" w:cs="Calibri"/>
        </w:rPr>
      </w:pPr>
      <w:r w:rsidRPr="00D60A13">
        <w:rPr>
          <w:rFonts w:ascii="Calibri" w:hAnsi="Calibri" w:cs="Calibri"/>
        </w:rPr>
        <w:t>The periodic reporting process can draw upon the methodological tools, templates and data</w:t>
      </w:r>
      <w:r w:rsidRPr="00D60A13">
        <w:rPr>
          <w:rFonts w:ascii="Cambria Math" w:hAnsi="Cambria Math" w:cs="Cambria Math"/>
        </w:rPr>
        <w:t>‑</w:t>
      </w:r>
      <w:r w:rsidRPr="00D60A13">
        <w:rPr>
          <w:rFonts w:ascii="Calibri" w:hAnsi="Calibri" w:cs="Calibri"/>
        </w:rPr>
        <w:t>handling procedures outlined in Annex 13.</w:t>
      </w:r>
      <w:r w:rsidR="006D01CB" w:rsidRPr="00D60A13">
        <w:rPr>
          <w:rFonts w:ascii="Calibri" w:hAnsi="Calibri" w:cs="Calibri"/>
        </w:rPr>
        <w:t>6</w:t>
      </w:r>
      <w:r w:rsidRPr="00D60A13">
        <w:rPr>
          <w:rFonts w:ascii="Calibri" w:hAnsi="Calibri" w:cs="Calibri"/>
        </w:rPr>
        <w:t>. These tools offer a harmonised structure for collecting, organising and presenting information relevant to the four domains of indicators described in the previous section. Their use contributes to consistent interpretation of results and allows reporting practices to remain comparable over time.</w:t>
      </w:r>
    </w:p>
    <w:p w14:paraId="1CC14DBB" w14:textId="77777777" w:rsidR="002A05DB" w:rsidRPr="00D60A13" w:rsidRDefault="002A05DB" w:rsidP="002A05DB">
      <w:pPr>
        <w:jc w:val="both"/>
        <w:rPr>
          <w:rFonts w:ascii="Calibri" w:hAnsi="Calibri" w:cs="Calibri"/>
        </w:rPr>
      </w:pPr>
      <w:r w:rsidRPr="00D60A13">
        <w:rPr>
          <w:rFonts w:ascii="Calibri" w:hAnsi="Calibri" w:cs="Calibri"/>
        </w:rPr>
        <w:t>A central element of the reporting system relates to methodological guidance for measuring and interpreting indicators. This function is supported through Template 1 (Annual Indicator Reporting Table), which provides a uniform structure for recording indicator values, baselines, target ranges and any changes observed during the reporting period. Complementing this, Template 2 (Dashboard for Governance Indicator Tracking) offers a consolidated visual summary of overall progress, facilitating clearer interpretation of trends and enabling both countries to assess areas where performance is stable, improving or requires additional attention.</w:t>
      </w:r>
    </w:p>
    <w:p w14:paraId="3ECFD27B" w14:textId="661065E5" w:rsidR="002A05DB" w:rsidRPr="00D60A13" w:rsidRDefault="002A05DB" w:rsidP="002A05DB">
      <w:pPr>
        <w:jc w:val="both"/>
        <w:rPr>
          <w:rFonts w:ascii="Calibri" w:hAnsi="Calibri" w:cs="Calibri"/>
        </w:rPr>
      </w:pPr>
      <w:r w:rsidRPr="00D60A13">
        <w:rPr>
          <w:rFonts w:ascii="Calibri" w:hAnsi="Calibri" w:cs="Calibri"/>
        </w:rPr>
        <w:t xml:space="preserve">The comparability and reliability of reported information depend on the use of harmonised procedures. For this purpose, Template 3 (Data Quality Assurance &amp; Harmonisation Checklist) provides guidance for validating datasets, confirming methodological consistency and ensuring </w:t>
      </w:r>
      <w:r w:rsidRPr="00D60A13">
        <w:rPr>
          <w:rFonts w:ascii="Calibri" w:hAnsi="Calibri" w:cs="Calibri"/>
        </w:rPr>
        <w:lastRenderedPageBreak/>
        <w:t>alignment of parameters that require cross</w:t>
      </w:r>
      <w:r w:rsidRPr="00D60A13">
        <w:rPr>
          <w:rFonts w:ascii="Cambria Math" w:hAnsi="Cambria Math" w:cs="Cambria Math"/>
        </w:rPr>
        <w:t>‑</w:t>
      </w:r>
      <w:r w:rsidRPr="00D60A13">
        <w:rPr>
          <w:rFonts w:ascii="Calibri" w:hAnsi="Calibri" w:cs="Calibri"/>
        </w:rPr>
        <w:t xml:space="preserve">border comparability. This is particularly relevant for parameters linked to major pressures in the Neretva system, including agricultural pollutants, microbiological indicators and salinity trends in the </w:t>
      </w:r>
      <w:r w:rsidR="003108B4">
        <w:rPr>
          <w:rFonts w:ascii="Calibri" w:hAnsi="Calibri" w:cs="Calibri"/>
        </w:rPr>
        <w:t>Delta</w:t>
      </w:r>
      <w:r w:rsidRPr="00D60A13">
        <w:rPr>
          <w:rFonts w:ascii="Calibri" w:hAnsi="Calibri" w:cs="Calibri"/>
        </w:rPr>
        <w:t>.</w:t>
      </w:r>
    </w:p>
    <w:p w14:paraId="45CA8077" w14:textId="77777777" w:rsidR="002A05DB" w:rsidRPr="00D60A13" w:rsidRDefault="002A05DB" w:rsidP="002A05DB">
      <w:pPr>
        <w:jc w:val="both"/>
        <w:rPr>
          <w:rFonts w:ascii="Calibri" w:hAnsi="Calibri" w:cs="Calibri"/>
        </w:rPr>
      </w:pPr>
      <w:r w:rsidRPr="00D60A13">
        <w:rPr>
          <w:rFonts w:ascii="Calibri" w:hAnsi="Calibri" w:cs="Calibri"/>
        </w:rPr>
        <w:t>The indicator</w:t>
      </w:r>
      <w:r w:rsidRPr="00D60A13">
        <w:rPr>
          <w:rFonts w:ascii="Cambria Math" w:hAnsi="Cambria Math" w:cs="Cambria Math"/>
        </w:rPr>
        <w:t>‑</w:t>
      </w:r>
      <w:r w:rsidRPr="00D60A13">
        <w:rPr>
          <w:rFonts w:ascii="Calibri" w:hAnsi="Calibri" w:cs="Calibri"/>
        </w:rPr>
        <w:t>selection process may also benefit from the use of Template 4 (Indicator Selection &amp; Prioritisation Flowchart). This tool can assist institutions in identifying which indicators are most relevant for a given reporting period, particularly when new data sources become available or when specific pressures begin to show increased significance. Its use supports the continued refinement and calibration of the indicator set in line with evolving management needs.</w:t>
      </w:r>
    </w:p>
    <w:p w14:paraId="04AF2F86" w14:textId="16D74FFE" w:rsidR="002A05DB" w:rsidRPr="00D60A13" w:rsidRDefault="002A05DB" w:rsidP="002A05DB">
      <w:pPr>
        <w:jc w:val="both"/>
        <w:rPr>
          <w:rFonts w:ascii="Calibri" w:hAnsi="Calibri" w:cs="Calibri"/>
        </w:rPr>
      </w:pPr>
      <w:r w:rsidRPr="00D60A13">
        <w:rPr>
          <w:rFonts w:ascii="Calibri" w:hAnsi="Calibri" w:cs="Calibri"/>
        </w:rPr>
        <w:t>To support consistent collection and recording of data, Template 5 (Monitoring Protocol Table) provides a structured reference for documenting measurement responsibilities, monitoring frequencies, sampling procedures and coordination arrangements between institutions. This template is relevant for all monitoring components</w:t>
      </w:r>
      <w:r w:rsidR="00136366" w:rsidRPr="00D60A13">
        <w:rPr>
          <w:rFonts w:ascii="Calibri" w:hAnsi="Calibri" w:cs="Calibri"/>
        </w:rPr>
        <w:t xml:space="preserve"> - </w:t>
      </w:r>
      <w:r w:rsidRPr="00D60A13">
        <w:rPr>
          <w:rFonts w:ascii="Calibri" w:hAnsi="Calibri" w:cs="Calibri"/>
        </w:rPr>
        <w:t xml:space="preserve">groundwater quantity, groundwater quality, surface water interactions, salinity conditions in the </w:t>
      </w:r>
      <w:r w:rsidR="003108B4">
        <w:rPr>
          <w:rFonts w:ascii="Calibri" w:hAnsi="Calibri" w:cs="Calibri"/>
        </w:rPr>
        <w:t>Delta</w:t>
      </w:r>
      <w:r w:rsidRPr="00D60A13">
        <w:rPr>
          <w:rFonts w:ascii="Calibri" w:hAnsi="Calibri" w:cs="Calibri"/>
        </w:rPr>
        <w:t>, and groundwater</w:t>
      </w:r>
      <w:r w:rsidRPr="00D60A13">
        <w:rPr>
          <w:rFonts w:ascii="Cambria Math" w:hAnsi="Cambria Math" w:cs="Cambria Math"/>
        </w:rPr>
        <w:t>‑</w:t>
      </w:r>
      <w:r w:rsidRPr="00D60A13">
        <w:rPr>
          <w:rFonts w:ascii="Calibri" w:hAnsi="Calibri" w:cs="Calibri"/>
        </w:rPr>
        <w:t>dependent ecosystems. It can also support improved comparability of local datasets, particularly where methodologies differ across agencies or jurisdictions.</w:t>
      </w:r>
    </w:p>
    <w:p w14:paraId="4FBED66F" w14:textId="77777777" w:rsidR="002A05DB" w:rsidRPr="00D60A13" w:rsidRDefault="002A05DB" w:rsidP="002A05DB">
      <w:pPr>
        <w:jc w:val="both"/>
        <w:rPr>
          <w:rFonts w:ascii="Calibri" w:hAnsi="Calibri" w:cs="Calibri"/>
        </w:rPr>
      </w:pPr>
      <w:r w:rsidRPr="00D60A13">
        <w:rPr>
          <w:rFonts w:ascii="Calibri" w:hAnsi="Calibri" w:cs="Calibri"/>
        </w:rPr>
        <w:t>Periodic reporting also benefits from clear documentation of stakeholder engagement activities, which can be facilitated through Template 6 (Stakeholder Involvement Log). This documentation helps track participation of municipalities, utilities, agricultural stakeholders, tourism operators, environmental organisations and other relevant actors. In the Neretva context, where multiple socio</w:t>
      </w:r>
      <w:r w:rsidRPr="00D60A13">
        <w:rPr>
          <w:rFonts w:ascii="Cambria Math" w:hAnsi="Cambria Math" w:cs="Cambria Math"/>
        </w:rPr>
        <w:t>‑</w:t>
      </w:r>
      <w:r w:rsidRPr="00D60A13">
        <w:rPr>
          <w:rFonts w:ascii="Calibri" w:hAnsi="Calibri" w:cs="Calibri"/>
        </w:rPr>
        <w:t>economic activities influence groundwater conditions, such documentation contributes to a clearer understanding of local priorities, perceptions and implementation challenges.</w:t>
      </w:r>
    </w:p>
    <w:p w14:paraId="67354759" w14:textId="77777777" w:rsidR="002A05DB" w:rsidRPr="00D60A13" w:rsidRDefault="002A05DB" w:rsidP="002A05DB">
      <w:pPr>
        <w:jc w:val="both"/>
        <w:rPr>
          <w:rFonts w:ascii="Calibri" w:hAnsi="Calibri" w:cs="Calibri"/>
        </w:rPr>
      </w:pPr>
      <w:r w:rsidRPr="00D60A13">
        <w:rPr>
          <w:rFonts w:ascii="Calibri" w:hAnsi="Calibri" w:cs="Calibri"/>
        </w:rPr>
        <w:t>In addition, Template 7 (Qualitative Capacity</w:t>
      </w:r>
      <w:r w:rsidRPr="00D60A13">
        <w:rPr>
          <w:rFonts w:ascii="Cambria Math" w:hAnsi="Cambria Math" w:cs="Cambria Math"/>
        </w:rPr>
        <w:t>‑</w:t>
      </w:r>
      <w:r w:rsidRPr="00D60A13">
        <w:rPr>
          <w:rFonts w:ascii="Calibri" w:hAnsi="Calibri" w:cs="Calibri"/>
        </w:rPr>
        <w:t>Building Assessment Form) can be used to observe how cooperation, communication, skills development and institutional capacities evolve over time. This is particularly important in a transboundary karst system where rapid groundwater responses require strong coordination and where institutional conditions can differ between countries.</w:t>
      </w:r>
    </w:p>
    <w:p w14:paraId="01FF182C" w14:textId="77777777" w:rsidR="002A05DB" w:rsidRPr="00D60A13" w:rsidRDefault="002A05DB" w:rsidP="002A05DB">
      <w:pPr>
        <w:jc w:val="both"/>
        <w:rPr>
          <w:rFonts w:ascii="Calibri" w:hAnsi="Calibri" w:cs="Calibri"/>
        </w:rPr>
      </w:pPr>
      <w:r w:rsidRPr="00D60A13">
        <w:rPr>
          <w:rFonts w:ascii="Calibri" w:hAnsi="Calibri" w:cs="Calibri"/>
        </w:rPr>
        <w:t>Periodic reporting is expected to result in two types of outputs. The first consists of annual progress summaries prepared individually by each country, which can then be reviewed jointly and consolidated into a harmonised cross</w:t>
      </w:r>
      <w:r w:rsidRPr="00D60A13">
        <w:rPr>
          <w:rFonts w:ascii="Cambria Math" w:hAnsi="Cambria Math" w:cs="Cambria Math"/>
        </w:rPr>
        <w:t>‑</w:t>
      </w:r>
      <w:r w:rsidRPr="00D60A13">
        <w:rPr>
          <w:rFonts w:ascii="Calibri" w:hAnsi="Calibri" w:cs="Calibri"/>
        </w:rPr>
        <w:t>border report. These summaries may highlight progress, identify implementation bottlenecks, document significant events (such as contamination incidents or hydrological anomalies), and outline practical recommendations for the next reporting period.</w:t>
      </w:r>
    </w:p>
    <w:p w14:paraId="740CC210" w14:textId="4EEB6A76" w:rsidR="00104A51" w:rsidRPr="00D60A13" w:rsidRDefault="002A05DB" w:rsidP="002A05DB">
      <w:pPr>
        <w:jc w:val="both"/>
        <w:rPr>
          <w:rFonts w:ascii="Calibri" w:hAnsi="Calibri" w:cs="Calibri"/>
        </w:rPr>
      </w:pPr>
      <w:r w:rsidRPr="00D60A13">
        <w:rPr>
          <w:rFonts w:ascii="Calibri" w:hAnsi="Calibri" w:cs="Calibri"/>
        </w:rPr>
        <w:t>The second type of output involves more comprehensive reviews, prepared in alignment with broader water</w:t>
      </w:r>
      <w:r w:rsidRPr="00D60A13">
        <w:rPr>
          <w:rFonts w:ascii="Cambria Math" w:hAnsi="Cambria Math" w:cs="Cambria Math"/>
        </w:rPr>
        <w:t>‑</w:t>
      </w:r>
      <w:r w:rsidRPr="00D60A13">
        <w:rPr>
          <w:rFonts w:ascii="Calibri" w:hAnsi="Calibri" w:cs="Calibri"/>
        </w:rPr>
        <w:t>management planning cycles, typically every six years. These reviews can consider the overall effectiveness of implemented measures, the relevance and performance of indicators, any adjustments needed to monitoring networks or data</w:t>
      </w:r>
      <w:r w:rsidRPr="00D60A13">
        <w:rPr>
          <w:rFonts w:ascii="Cambria Math" w:hAnsi="Cambria Math" w:cs="Cambria Math"/>
        </w:rPr>
        <w:t>‑</w:t>
      </w:r>
      <w:r w:rsidRPr="00D60A13">
        <w:rPr>
          <w:rFonts w:ascii="Calibri" w:hAnsi="Calibri" w:cs="Calibri"/>
        </w:rPr>
        <w:t>sharing procedures, and opportunities for improving the institutional, legal or fiscal framework. Such reviews also provide a basis for updating the Joint Action Programme, if needed, and ensuring that both countries maintain a shared understanding of priority risks and long</w:t>
      </w:r>
      <w:r w:rsidRPr="00D60A13">
        <w:rPr>
          <w:rFonts w:ascii="Cambria Math" w:hAnsi="Cambria Math" w:cs="Cambria Math"/>
        </w:rPr>
        <w:t>‑</w:t>
      </w:r>
      <w:r w:rsidRPr="00D60A13">
        <w:rPr>
          <w:rFonts w:ascii="Calibri" w:hAnsi="Calibri" w:cs="Calibri"/>
        </w:rPr>
        <w:t>term management objectives.</w:t>
      </w:r>
    </w:p>
    <w:p w14:paraId="7B5C2239" w14:textId="77777777" w:rsidR="00104A51" w:rsidRPr="00D60A13" w:rsidRDefault="00104A51" w:rsidP="00104A51">
      <w:pPr>
        <w:jc w:val="both"/>
        <w:rPr>
          <w:rFonts w:ascii="Calibri" w:hAnsi="Calibri" w:cs="Calibri"/>
        </w:rPr>
      </w:pPr>
    </w:p>
    <w:p w14:paraId="295FA2E7" w14:textId="315FCC9A" w:rsidR="00104A51" w:rsidRPr="00D60A13" w:rsidRDefault="00104A51" w:rsidP="00104A51">
      <w:pPr>
        <w:pStyle w:val="Heading2"/>
        <w:rPr>
          <w:lang w:val="en-GB"/>
        </w:rPr>
      </w:pPr>
      <w:bookmarkStart w:id="271" w:name="_Toc223524357"/>
      <w:bookmarkStart w:id="272" w:name="_Toc229036328"/>
      <w:r w:rsidRPr="00D60A13">
        <w:rPr>
          <w:lang w:val="en-GB"/>
        </w:rPr>
        <w:t xml:space="preserve">12.3 Review </w:t>
      </w:r>
      <w:r w:rsidR="00881616" w:rsidRPr="00D60A13">
        <w:rPr>
          <w:lang w:val="en-GB"/>
        </w:rPr>
        <w:t>p</w:t>
      </w:r>
      <w:r w:rsidRPr="00D60A13">
        <w:rPr>
          <w:lang w:val="en-GB"/>
        </w:rPr>
        <w:t>lan</w:t>
      </w:r>
      <w:bookmarkEnd w:id="271"/>
      <w:bookmarkEnd w:id="272"/>
      <w:r w:rsidRPr="00D60A13">
        <w:rPr>
          <w:lang w:val="en-GB"/>
        </w:rPr>
        <w:t xml:space="preserve"> </w:t>
      </w:r>
    </w:p>
    <w:p w14:paraId="432729AA" w14:textId="7F2B367D" w:rsidR="00AD54F9" w:rsidRPr="00D60A13" w:rsidRDefault="00AD54F9" w:rsidP="00AD54F9">
      <w:pPr>
        <w:jc w:val="both"/>
        <w:rPr>
          <w:rFonts w:ascii="Calibri" w:hAnsi="Calibri" w:cs="Calibri"/>
        </w:rPr>
      </w:pPr>
      <w:r w:rsidRPr="00D60A13">
        <w:rPr>
          <w:rFonts w:ascii="Calibri" w:hAnsi="Calibri" w:cs="Calibri"/>
        </w:rPr>
        <w:t xml:space="preserve">The review process provides a structured way of examining how the implementation of JAP for Neretva TBA is progressing and whether the selected indicators, methodologies and cooperation arrangements continue to reflect the needs of the TBA. Periodic reviews can help ensure that the </w:t>
      </w:r>
      <w:r w:rsidRPr="00D60A13">
        <w:rPr>
          <w:rFonts w:ascii="Calibri" w:hAnsi="Calibri" w:cs="Calibri"/>
        </w:rPr>
        <w:lastRenderedPageBreak/>
        <w:t>programme remains aligned with evolving pressures, institutional developments and new scientific insights, and that both countries maintain a common understanding of management priorities.</w:t>
      </w:r>
    </w:p>
    <w:p w14:paraId="5076469C" w14:textId="339500AA" w:rsidR="00AD54F9" w:rsidRPr="00D60A13" w:rsidRDefault="00AD54F9" w:rsidP="00AD54F9">
      <w:pPr>
        <w:jc w:val="both"/>
        <w:rPr>
          <w:rFonts w:ascii="Calibri" w:hAnsi="Calibri" w:cs="Calibri"/>
        </w:rPr>
      </w:pPr>
      <w:r w:rsidRPr="00D60A13">
        <w:rPr>
          <w:rFonts w:ascii="Calibri" w:hAnsi="Calibri" w:cs="Calibri"/>
        </w:rPr>
        <w:t>Regular assessments may be carried out to examine whether the performance indicators described in Chapters 12.1 and 13.5 remain relevant, measurable and feasible to apply in the context of Neretva TBA. Annual assessments can serve to review the clarity of indicator definitions, the suitability of baseline values, the quality of data collected through the monitoring network and the level of comparability between the two countries. These assessments may also help identify any methodological inconsistencies that emerge during implementation or any areas in which further refinement could strengthen the reliability of indicator interpretation.</w:t>
      </w:r>
    </w:p>
    <w:p w14:paraId="647F9F11" w14:textId="7227516C" w:rsidR="00AD54F9" w:rsidRPr="00D60A13" w:rsidRDefault="00AD54F9" w:rsidP="00AD54F9">
      <w:pPr>
        <w:jc w:val="both"/>
        <w:rPr>
          <w:rFonts w:ascii="Calibri" w:hAnsi="Calibri" w:cs="Calibri"/>
        </w:rPr>
      </w:pPr>
      <w:r w:rsidRPr="00D60A13">
        <w:rPr>
          <w:rFonts w:ascii="Calibri" w:hAnsi="Calibri" w:cs="Calibri"/>
        </w:rPr>
        <w:t>Beyond these annual assessments, a more comprehensive review may take place every six years, following the planning cycle of national River Basin Management Plans (RBMPs) in Croatia and Bosnia and Herzegovina. This longer</w:t>
      </w:r>
      <w:r w:rsidRPr="00D60A13">
        <w:rPr>
          <w:rFonts w:ascii="Cambria Math" w:hAnsi="Cambria Math" w:cs="Cambria Math"/>
        </w:rPr>
        <w:t>‑</w:t>
      </w:r>
      <w:r w:rsidRPr="00D60A13">
        <w:rPr>
          <w:rFonts w:ascii="Calibri" w:hAnsi="Calibri" w:cs="Calibri"/>
        </w:rPr>
        <w:t>term review can be used to evaluate whether the indicator set requires modification, expansion or consolidation in response to new information, changes in pressures within the TBA, advancements in monitoring technologies or shifts in governance needs. The six</w:t>
      </w:r>
      <w:r w:rsidRPr="00D60A13">
        <w:rPr>
          <w:rFonts w:ascii="Cambria Math" w:hAnsi="Cambria Math" w:cs="Cambria Math"/>
        </w:rPr>
        <w:t>‑</w:t>
      </w:r>
      <w:r w:rsidRPr="00D60A13">
        <w:rPr>
          <w:rFonts w:ascii="Calibri" w:hAnsi="Calibri" w:cs="Calibri"/>
        </w:rPr>
        <w:t>year review also provides an opportunity to assess how well the indicator framework reflects the core governance domains - institutional, legal and fiscal, technical and policy</w:t>
      </w:r>
      <w:r w:rsidRPr="00D60A13">
        <w:rPr>
          <w:rFonts w:ascii="Cambria Math" w:hAnsi="Cambria Math" w:cs="Cambria Math"/>
        </w:rPr>
        <w:t>‑</w:t>
      </w:r>
      <w:r w:rsidRPr="00D60A13">
        <w:rPr>
          <w:rFonts w:ascii="Calibri" w:hAnsi="Calibri" w:cs="Calibri"/>
        </w:rPr>
        <w:t>planning - and whether any rebalancing is required to better capture emerging trends.</w:t>
      </w:r>
    </w:p>
    <w:p w14:paraId="0F064B8F" w14:textId="5653C5D8" w:rsidR="00AD54F9" w:rsidRPr="00D60A13" w:rsidRDefault="00AD54F9" w:rsidP="00AD54F9">
      <w:pPr>
        <w:jc w:val="both"/>
        <w:rPr>
          <w:rFonts w:ascii="Calibri" w:hAnsi="Calibri" w:cs="Calibri"/>
        </w:rPr>
      </w:pPr>
      <w:r w:rsidRPr="00D60A13">
        <w:rPr>
          <w:rFonts w:ascii="Calibri" w:hAnsi="Calibri" w:cs="Calibri"/>
        </w:rPr>
        <w:t>Review activities may also extend to the methodological tools and templates described in Chapter 13.6, which support indicator tracking and reporting procedures. Annual evaluations can be used to confirm whether these templates remain practical and sufficiently clear for institutions in both countries. Over the longer term, the six</w:t>
      </w:r>
      <w:r w:rsidRPr="00D60A13">
        <w:rPr>
          <w:rFonts w:ascii="Cambria Math" w:hAnsi="Cambria Math" w:cs="Cambria Math"/>
        </w:rPr>
        <w:t>‑</w:t>
      </w:r>
      <w:r w:rsidRPr="00D60A13">
        <w:rPr>
          <w:rFonts w:ascii="Calibri" w:hAnsi="Calibri" w:cs="Calibri"/>
        </w:rPr>
        <w:t>year review provides an opportunity to harmonise templates with updated national legislation, new technical standards, or revised cooperation arrangements under the Consultation and Information Exchange (CIE) Body foreseen by the DIKTAS II project.</w:t>
      </w:r>
    </w:p>
    <w:p w14:paraId="7F8D7481" w14:textId="77777777" w:rsidR="00AD54F9" w:rsidRPr="00D60A13" w:rsidRDefault="00AD54F9" w:rsidP="00AD54F9">
      <w:pPr>
        <w:jc w:val="both"/>
        <w:rPr>
          <w:rFonts w:ascii="Calibri" w:hAnsi="Calibri" w:cs="Calibri"/>
        </w:rPr>
      </w:pPr>
      <w:r w:rsidRPr="00D60A13">
        <w:rPr>
          <w:rFonts w:ascii="Calibri" w:hAnsi="Calibri" w:cs="Calibri"/>
        </w:rPr>
        <w:t>In addition to examining indicators and methodological tools, the JAP itself may be reviewed every six years. This broader evaluation can consider the overall coherence of the programme’s objectives, the realism of proposed measures, the responsiveness of institutions and the adequacy of financial and human resources allocated for implementation. Findings from monitoring results, stakeholder engagement documented through Template 6, and the capacity</w:t>
      </w:r>
      <w:r w:rsidRPr="00D60A13">
        <w:rPr>
          <w:rFonts w:ascii="Cambria Math" w:hAnsi="Cambria Math" w:cs="Cambria Math"/>
        </w:rPr>
        <w:t>‑</w:t>
      </w:r>
      <w:r w:rsidRPr="00D60A13">
        <w:rPr>
          <w:rFonts w:ascii="Calibri" w:hAnsi="Calibri" w:cs="Calibri"/>
        </w:rPr>
        <w:t>building observations recorded in Template 7 can be incorporated into this review to support evidence</w:t>
      </w:r>
      <w:r w:rsidRPr="00D60A13">
        <w:rPr>
          <w:rFonts w:ascii="Cambria Math" w:hAnsi="Cambria Math" w:cs="Cambria Math"/>
        </w:rPr>
        <w:t>‑</w:t>
      </w:r>
      <w:r w:rsidRPr="00D60A13">
        <w:rPr>
          <w:rFonts w:ascii="Calibri" w:hAnsi="Calibri" w:cs="Calibri"/>
        </w:rPr>
        <w:t>based adaptation of future measures. A mid</w:t>
      </w:r>
      <w:r w:rsidRPr="00D60A13">
        <w:rPr>
          <w:rFonts w:ascii="Cambria Math" w:hAnsi="Cambria Math" w:cs="Cambria Math"/>
        </w:rPr>
        <w:t>‑</w:t>
      </w:r>
      <w:r w:rsidRPr="00D60A13">
        <w:rPr>
          <w:rFonts w:ascii="Calibri" w:hAnsi="Calibri" w:cs="Calibri"/>
        </w:rPr>
        <w:t>term assessment, carried out roughly halfway through each six</w:t>
      </w:r>
      <w:r w:rsidRPr="00D60A13">
        <w:rPr>
          <w:rFonts w:ascii="Cambria Math" w:hAnsi="Cambria Math" w:cs="Cambria Math"/>
        </w:rPr>
        <w:t>‑</w:t>
      </w:r>
      <w:r w:rsidRPr="00D60A13">
        <w:rPr>
          <w:rFonts w:ascii="Calibri" w:hAnsi="Calibri" w:cs="Calibri"/>
        </w:rPr>
        <w:t>year cycle, may also be beneficial for identifying emerging challenges or implementation delays and for enabling timely corrective action.</w:t>
      </w:r>
    </w:p>
    <w:p w14:paraId="70BB649C" w14:textId="48921389" w:rsidR="00AD54F9" w:rsidRPr="00D60A13" w:rsidRDefault="00AD54F9" w:rsidP="00AD54F9">
      <w:pPr>
        <w:jc w:val="both"/>
        <w:rPr>
          <w:rFonts w:ascii="Calibri" w:hAnsi="Calibri" w:cs="Calibri"/>
        </w:rPr>
      </w:pPr>
      <w:r w:rsidRPr="00D60A13">
        <w:rPr>
          <w:rFonts w:ascii="Calibri" w:hAnsi="Calibri" w:cs="Calibri"/>
        </w:rPr>
        <w:t>The review process can follow a two</w:t>
      </w:r>
      <w:r w:rsidRPr="00D60A13">
        <w:rPr>
          <w:rFonts w:ascii="Cambria Math" w:hAnsi="Cambria Math" w:cs="Cambria Math"/>
        </w:rPr>
        <w:t>‑</w:t>
      </w:r>
      <w:r w:rsidRPr="00D60A13">
        <w:rPr>
          <w:rFonts w:ascii="Calibri" w:hAnsi="Calibri" w:cs="Calibri"/>
        </w:rPr>
        <w:t>stage structure. In the first stage, national institutions, such as the Croatian Ministry of Environmental Protection and Green Transition, Croatian Waters, the Ministry of Foreign Trade and Economic Relations of Bosnia and Herzegovina, and the entity</w:t>
      </w:r>
      <w:r w:rsidRPr="00D60A13">
        <w:rPr>
          <w:rFonts w:ascii="Cambria Math" w:hAnsi="Cambria Math" w:cs="Cambria Math"/>
        </w:rPr>
        <w:t>‑</w:t>
      </w:r>
      <w:r w:rsidRPr="00D60A13">
        <w:rPr>
          <w:rFonts w:ascii="Calibri" w:hAnsi="Calibri" w:cs="Calibri"/>
        </w:rPr>
        <w:t>level ministries and water agencies, may prepare national summary reports reflecting indicator values, monitoring results, institutional experiences and identified challenges. In the second stage, these national reports can be examined jointly through bilateral coordination mechanisms, including the Joint Water Management Commission and, where applicable, the DIKTAS II CIE Body. Joint review meetings may be used to reach a harmonised interpretation of results, agree on priority follow</w:t>
      </w:r>
      <w:r w:rsidRPr="00D60A13">
        <w:rPr>
          <w:rFonts w:ascii="Cambria Math" w:hAnsi="Cambria Math" w:cs="Cambria Math"/>
        </w:rPr>
        <w:t>‑</w:t>
      </w:r>
      <w:r w:rsidRPr="00D60A13">
        <w:rPr>
          <w:rFonts w:ascii="Calibri" w:hAnsi="Calibri" w:cs="Calibri"/>
        </w:rPr>
        <w:t>up actions and identify opportunities for improving cooperation.</w:t>
      </w:r>
    </w:p>
    <w:p w14:paraId="63A1C85F" w14:textId="2704550C" w:rsidR="00104A51" w:rsidRPr="00D60A13" w:rsidRDefault="00AD54F9" w:rsidP="00AD54F9">
      <w:pPr>
        <w:jc w:val="both"/>
        <w:rPr>
          <w:rFonts w:ascii="Calibri" w:hAnsi="Calibri" w:cs="Calibri"/>
        </w:rPr>
      </w:pPr>
      <w:r w:rsidRPr="00D60A13">
        <w:rPr>
          <w:rFonts w:ascii="Calibri" w:hAnsi="Calibri" w:cs="Calibri"/>
        </w:rPr>
        <w:t xml:space="preserve">Each review cycle may conclude with a jointly prepared summary report that documents the main findings and recommended next steps. Annual summaries can focus on operational improvements, </w:t>
      </w:r>
      <w:r w:rsidRPr="00D60A13">
        <w:rPr>
          <w:rFonts w:ascii="Calibri" w:hAnsi="Calibri" w:cs="Calibri"/>
        </w:rPr>
        <w:lastRenderedPageBreak/>
        <w:t>while six</w:t>
      </w:r>
      <w:r w:rsidRPr="00D60A13">
        <w:rPr>
          <w:rFonts w:ascii="Cambria Math" w:hAnsi="Cambria Math" w:cs="Cambria Math"/>
        </w:rPr>
        <w:t>‑</w:t>
      </w:r>
      <w:r w:rsidRPr="00D60A13">
        <w:rPr>
          <w:rFonts w:ascii="Calibri" w:hAnsi="Calibri" w:cs="Calibri"/>
        </w:rPr>
        <w:t xml:space="preserve">year reviews may propose more strategic adjustments to the indicator framework, monitoring system or JAP measures. </w:t>
      </w:r>
    </w:p>
    <w:p w14:paraId="5A8DBBBA" w14:textId="77777777" w:rsidR="00104A51" w:rsidRPr="00D60A13" w:rsidRDefault="00104A51" w:rsidP="00104A51">
      <w:pPr>
        <w:jc w:val="both"/>
        <w:rPr>
          <w:rFonts w:ascii="Calibri" w:hAnsi="Calibri" w:cs="Calibri"/>
        </w:rPr>
      </w:pPr>
    </w:p>
    <w:p w14:paraId="4EE934F4" w14:textId="24D2BF3A" w:rsidR="00104A51" w:rsidRPr="00D60A13" w:rsidRDefault="00104A51" w:rsidP="00104A51">
      <w:pPr>
        <w:pStyle w:val="Heading2"/>
        <w:rPr>
          <w:lang w:val="en-GB"/>
        </w:rPr>
      </w:pPr>
      <w:bookmarkStart w:id="273" w:name="_Toc223524358"/>
      <w:bookmarkStart w:id="274" w:name="_Toc229036329"/>
      <w:r w:rsidRPr="00D60A13">
        <w:rPr>
          <w:lang w:val="en-GB"/>
        </w:rPr>
        <w:t xml:space="preserve">12.4 Stakeholders </w:t>
      </w:r>
      <w:r w:rsidR="00881616" w:rsidRPr="00D60A13">
        <w:rPr>
          <w:lang w:val="en-GB"/>
        </w:rPr>
        <w:t>r</w:t>
      </w:r>
      <w:r w:rsidRPr="00D60A13">
        <w:rPr>
          <w:lang w:val="en-GB"/>
        </w:rPr>
        <w:t xml:space="preserve">ole in </w:t>
      </w:r>
      <w:r w:rsidR="00881616" w:rsidRPr="00D60A13">
        <w:rPr>
          <w:lang w:val="en-GB"/>
        </w:rPr>
        <w:t>m</w:t>
      </w:r>
      <w:r w:rsidRPr="00D60A13">
        <w:rPr>
          <w:lang w:val="en-GB"/>
        </w:rPr>
        <w:t xml:space="preserve">onitoring and </w:t>
      </w:r>
      <w:r w:rsidR="00881616" w:rsidRPr="00D60A13">
        <w:rPr>
          <w:lang w:val="en-GB"/>
        </w:rPr>
        <w:t>e</w:t>
      </w:r>
      <w:r w:rsidRPr="00D60A13">
        <w:rPr>
          <w:lang w:val="en-GB"/>
        </w:rPr>
        <w:t>valuation</w:t>
      </w:r>
      <w:bookmarkEnd w:id="273"/>
      <w:bookmarkEnd w:id="274"/>
      <w:r w:rsidRPr="00D60A13">
        <w:rPr>
          <w:lang w:val="en-GB"/>
        </w:rPr>
        <w:t xml:space="preserve"> </w:t>
      </w:r>
    </w:p>
    <w:p w14:paraId="632A75B1" w14:textId="6E74C01D" w:rsidR="005D4F32" w:rsidRPr="005D4F32" w:rsidRDefault="005D4F32" w:rsidP="005D4F32">
      <w:pPr>
        <w:jc w:val="both"/>
        <w:rPr>
          <w:rFonts w:cstheme="minorHAnsi"/>
        </w:rPr>
      </w:pPr>
      <w:r w:rsidRPr="005D4F32">
        <w:rPr>
          <w:rFonts w:cstheme="minorHAnsi"/>
        </w:rPr>
        <w:t xml:space="preserve">Monitoring and evaluation of the </w:t>
      </w:r>
      <w:r>
        <w:rPr>
          <w:rFonts w:cstheme="minorHAnsi"/>
        </w:rPr>
        <w:t>JAP for Neretva TBA</w:t>
      </w:r>
      <w:r w:rsidRPr="005D4F32">
        <w:rPr>
          <w:rFonts w:cstheme="minorHAnsi"/>
        </w:rPr>
        <w:t xml:space="preserve"> require the coordinated involvement of stakeholders across Bosnia and Herzegovina and Croatia whose mandates, activities, and practices influence groundwater governance outcomes. Effective monitoring and evaluation depend not only on technical systems and indicators, but also on the active contribution of institutions, utilities, local authorities, and stakeholders who are directly connected to groundwater use and management.</w:t>
      </w:r>
    </w:p>
    <w:p w14:paraId="6EF1DFDD" w14:textId="7B485680" w:rsidR="005D4F32" w:rsidRPr="005D4F32" w:rsidRDefault="005D4F32" w:rsidP="005D4F32">
      <w:pPr>
        <w:jc w:val="both"/>
        <w:rPr>
          <w:rFonts w:cstheme="minorHAnsi"/>
        </w:rPr>
      </w:pPr>
      <w:r w:rsidRPr="005D4F32">
        <w:rPr>
          <w:rFonts w:cstheme="minorHAnsi"/>
        </w:rPr>
        <w:t xml:space="preserve">Stakeholder participation in monitoring and evaluation is essential to ensure transparency, data reliability, accountability, and the continuous improvement of measures implemented under the </w:t>
      </w:r>
      <w:r>
        <w:rPr>
          <w:rFonts w:cstheme="minorHAnsi"/>
        </w:rPr>
        <w:t>J</w:t>
      </w:r>
      <w:r w:rsidR="00F749BC">
        <w:rPr>
          <w:rFonts w:cstheme="minorHAnsi"/>
        </w:rPr>
        <w:t>oint Action Programme</w:t>
      </w:r>
      <w:r w:rsidRPr="005D4F32">
        <w:rPr>
          <w:rFonts w:cstheme="minorHAnsi"/>
        </w:rPr>
        <w:t>. Given the transboundary nature of the aquifer, monitoring and evaluation processes must support shared understanding of groundwater conditions and enable coordinated responses to emerging risks.</w:t>
      </w:r>
    </w:p>
    <w:p w14:paraId="502615F3" w14:textId="779F4048" w:rsidR="005D4F32" w:rsidRPr="005D4F32" w:rsidRDefault="005D4F32" w:rsidP="005D4F32">
      <w:pPr>
        <w:jc w:val="both"/>
        <w:rPr>
          <w:rFonts w:cstheme="minorHAnsi"/>
        </w:rPr>
      </w:pPr>
      <w:r w:rsidRPr="005D4F32">
        <w:rPr>
          <w:rFonts w:cstheme="minorHAnsi"/>
        </w:rPr>
        <w:t xml:space="preserve">National water and environmental authorities in both countries play a central coordinating role in monitoring and evaluation. They are responsible for organising groundwater quantity and quality monitoring, validating and consolidating data, ensuring methodological consistency, and supporting cross-border data exchange. These institutions </w:t>
      </w:r>
      <w:r w:rsidR="00F749BC">
        <w:rPr>
          <w:rFonts w:cstheme="minorHAnsi"/>
        </w:rPr>
        <w:t xml:space="preserve">should </w:t>
      </w:r>
      <w:r w:rsidRPr="005D4F32">
        <w:rPr>
          <w:rFonts w:cstheme="minorHAnsi"/>
        </w:rPr>
        <w:t>provide the technical basis for assessing progress against agreed indicators and for evaluating the effectiveness of governance and management measures.</w:t>
      </w:r>
    </w:p>
    <w:p w14:paraId="6024DE12" w14:textId="71CF2AA8" w:rsidR="005D4F32" w:rsidRPr="005D4F32" w:rsidRDefault="005D4F32" w:rsidP="005D4F32">
      <w:pPr>
        <w:jc w:val="both"/>
        <w:rPr>
          <w:rFonts w:cstheme="minorHAnsi"/>
        </w:rPr>
      </w:pPr>
      <w:r w:rsidRPr="005D4F32">
        <w:rPr>
          <w:rFonts w:cstheme="minorHAnsi"/>
        </w:rPr>
        <w:t xml:space="preserve">Environmental authorities and inspectorates </w:t>
      </w:r>
      <w:r w:rsidR="00F749BC">
        <w:rPr>
          <w:rFonts w:cstheme="minorHAnsi"/>
        </w:rPr>
        <w:t xml:space="preserve">should </w:t>
      </w:r>
      <w:r w:rsidRPr="005D4F32">
        <w:rPr>
          <w:rFonts w:cstheme="minorHAnsi"/>
        </w:rPr>
        <w:t xml:space="preserve">contribute through compliance monitoring and enforcement activities. Their role includes inspections related to groundwater protection zones, pollution sources, sanitation systems, and environmentally sensitive activities. Inspection results </w:t>
      </w:r>
      <w:r w:rsidR="00F749BC">
        <w:rPr>
          <w:rFonts w:cstheme="minorHAnsi"/>
        </w:rPr>
        <w:t xml:space="preserve">should </w:t>
      </w:r>
      <w:r w:rsidRPr="005D4F32">
        <w:rPr>
          <w:rFonts w:cstheme="minorHAnsi"/>
        </w:rPr>
        <w:t>provide important input for evaluating the effectiveness of preventive and regulatory measures and for identifying implementation gaps.</w:t>
      </w:r>
    </w:p>
    <w:p w14:paraId="01684DBB" w14:textId="3891EA22" w:rsidR="005D4F32" w:rsidRPr="005D4F32" w:rsidRDefault="005D4F32" w:rsidP="005D4F32">
      <w:pPr>
        <w:jc w:val="both"/>
        <w:rPr>
          <w:rFonts w:cstheme="minorHAnsi"/>
        </w:rPr>
      </w:pPr>
      <w:r>
        <w:rPr>
          <w:rFonts w:cstheme="minorHAnsi"/>
        </w:rPr>
        <w:t>Regional</w:t>
      </w:r>
      <w:r w:rsidRPr="005D4F32">
        <w:rPr>
          <w:rFonts w:cstheme="minorHAnsi"/>
        </w:rPr>
        <w:t xml:space="preserve"> and local authorities </w:t>
      </w:r>
      <w:r w:rsidR="00F749BC">
        <w:rPr>
          <w:rFonts w:cstheme="minorHAnsi"/>
        </w:rPr>
        <w:t xml:space="preserve">should </w:t>
      </w:r>
      <w:r w:rsidRPr="005D4F32">
        <w:rPr>
          <w:rFonts w:cstheme="minorHAnsi"/>
        </w:rPr>
        <w:t xml:space="preserve">support monitoring and evaluation at local level, where many pressures on groundwater originate. Their responsibilities </w:t>
      </w:r>
      <w:r w:rsidR="00F749BC">
        <w:rPr>
          <w:rFonts w:cstheme="minorHAnsi"/>
        </w:rPr>
        <w:t xml:space="preserve">should </w:t>
      </w:r>
      <w:r w:rsidRPr="005D4F32">
        <w:rPr>
          <w:rFonts w:cstheme="minorHAnsi"/>
        </w:rPr>
        <w:t xml:space="preserve">include reporting on implementation of sanitation, land-use, and tourism-related measures, identifying local pressures, and providing feedback on the feasibility and effectiveness of actions. These authorities </w:t>
      </w:r>
      <w:r w:rsidR="00F749BC">
        <w:rPr>
          <w:rFonts w:cstheme="minorHAnsi"/>
        </w:rPr>
        <w:t>should</w:t>
      </w:r>
      <w:r w:rsidRPr="005D4F32">
        <w:rPr>
          <w:rFonts w:cstheme="minorHAnsi"/>
        </w:rPr>
        <w:t xml:space="preserve"> facilitate stakeholder participation in monitoring and evaluation processes, acting as a link between communities and national institutions.</w:t>
      </w:r>
    </w:p>
    <w:p w14:paraId="197AB5B5" w14:textId="3D4B7938" w:rsidR="005D4F32" w:rsidRPr="005D4F32" w:rsidRDefault="005D4F32" w:rsidP="005D4F32">
      <w:pPr>
        <w:jc w:val="both"/>
        <w:rPr>
          <w:rFonts w:cstheme="minorHAnsi"/>
        </w:rPr>
      </w:pPr>
      <w:r w:rsidRPr="005D4F32">
        <w:rPr>
          <w:rFonts w:cstheme="minorHAnsi"/>
        </w:rPr>
        <w:t xml:space="preserve">Water utilities in both Bosnia and Herzegovina and Croatia </w:t>
      </w:r>
      <w:r w:rsidR="00F749BC">
        <w:rPr>
          <w:rFonts w:cstheme="minorHAnsi"/>
        </w:rPr>
        <w:t xml:space="preserve">should </w:t>
      </w:r>
      <w:r w:rsidRPr="005D4F32">
        <w:rPr>
          <w:rFonts w:cstheme="minorHAnsi"/>
        </w:rPr>
        <w:t xml:space="preserve">play a key role as operational monitoring partners. They </w:t>
      </w:r>
      <w:r w:rsidR="00F749BC">
        <w:rPr>
          <w:rFonts w:cstheme="minorHAnsi"/>
        </w:rPr>
        <w:t xml:space="preserve">should </w:t>
      </w:r>
      <w:r w:rsidRPr="005D4F32">
        <w:rPr>
          <w:rFonts w:cstheme="minorHAnsi"/>
        </w:rPr>
        <w:t xml:space="preserve">provide data on groundwater abstraction, spring discharge, water quality parameters, and incident reporting. Given their direct dependency on groundwater resources, utilities </w:t>
      </w:r>
      <w:r w:rsidR="00F749BC">
        <w:rPr>
          <w:rFonts w:cstheme="minorHAnsi"/>
        </w:rPr>
        <w:t xml:space="preserve">should </w:t>
      </w:r>
      <w:r w:rsidRPr="005D4F32">
        <w:rPr>
          <w:rFonts w:cstheme="minorHAnsi"/>
        </w:rPr>
        <w:t>contribute to early detection of risks and support the evaluation of risk management measures. Their involvement in joint interpretation of monitoring results strengthens the overall reliability and relevance of assessments.</w:t>
      </w:r>
    </w:p>
    <w:p w14:paraId="1399B221" w14:textId="27D79F16" w:rsidR="005D4F32" w:rsidRPr="005D4F32" w:rsidRDefault="005D4F32" w:rsidP="005D4F32">
      <w:pPr>
        <w:jc w:val="both"/>
        <w:rPr>
          <w:rFonts w:cstheme="minorHAnsi"/>
        </w:rPr>
      </w:pPr>
      <w:r w:rsidRPr="005D4F32">
        <w:rPr>
          <w:rFonts w:cstheme="minorHAnsi"/>
        </w:rPr>
        <w:t xml:space="preserve">Hydropower operators and energy sector actors </w:t>
      </w:r>
      <w:r w:rsidR="00F749BC">
        <w:rPr>
          <w:rFonts w:cstheme="minorHAnsi"/>
        </w:rPr>
        <w:t xml:space="preserve">should </w:t>
      </w:r>
      <w:r w:rsidRPr="005D4F32">
        <w:rPr>
          <w:rFonts w:cstheme="minorHAnsi"/>
        </w:rPr>
        <w:t>contribute to monitoring and evaluation by providing information on flow regulation, reservoir management, and operational changes that may influence groundwater</w:t>
      </w:r>
      <w:r w:rsidR="00394947">
        <w:rPr>
          <w:rFonts w:cstheme="minorHAnsi"/>
        </w:rPr>
        <w:t>-</w:t>
      </w:r>
      <w:r w:rsidRPr="005D4F32">
        <w:rPr>
          <w:rFonts w:cstheme="minorHAnsi"/>
        </w:rPr>
        <w:t>surface water interactions. Although their role in groundwater monitoring is indirect, their data and cooperation are important for understanding broader hydrological dynamics and their implications for groundwater systems.</w:t>
      </w:r>
    </w:p>
    <w:p w14:paraId="0A536502" w14:textId="6648F123" w:rsidR="005D4F32" w:rsidRPr="005D4F32" w:rsidRDefault="005D4F32" w:rsidP="005D4F32">
      <w:pPr>
        <w:jc w:val="both"/>
        <w:rPr>
          <w:rFonts w:cstheme="minorHAnsi"/>
        </w:rPr>
      </w:pPr>
      <w:r w:rsidRPr="005D4F32">
        <w:rPr>
          <w:rFonts w:cstheme="minorHAnsi"/>
        </w:rPr>
        <w:lastRenderedPageBreak/>
        <w:t>Protected area authorities and tourism stakeholders</w:t>
      </w:r>
      <w:r w:rsidR="00F749BC">
        <w:rPr>
          <w:rFonts w:cstheme="minorHAnsi"/>
        </w:rPr>
        <w:t xml:space="preserve"> should</w:t>
      </w:r>
      <w:r w:rsidRPr="005D4F32">
        <w:rPr>
          <w:rFonts w:cstheme="minorHAnsi"/>
        </w:rPr>
        <w:t xml:space="preserve"> contribute by monitoring seasonal pressures, visitor dynamics, and activities in environmentally sensitive areas. Their inputs </w:t>
      </w:r>
      <w:r w:rsidR="00F749BC">
        <w:rPr>
          <w:rFonts w:cstheme="minorHAnsi"/>
        </w:rPr>
        <w:t xml:space="preserve">should </w:t>
      </w:r>
      <w:r w:rsidRPr="005D4F32">
        <w:rPr>
          <w:rFonts w:cstheme="minorHAnsi"/>
        </w:rPr>
        <w:t>support the evaluation of measures addressing tourism-related impacts on groundwater and help identify areas where additional management actions may be required.</w:t>
      </w:r>
    </w:p>
    <w:p w14:paraId="3C56C4B9" w14:textId="465B7825" w:rsidR="005D4F32" w:rsidRPr="005D4F32" w:rsidRDefault="005D4F32" w:rsidP="005D4F32">
      <w:pPr>
        <w:jc w:val="both"/>
        <w:rPr>
          <w:rFonts w:cstheme="minorHAnsi"/>
        </w:rPr>
      </w:pPr>
      <w:r w:rsidRPr="005D4F32">
        <w:rPr>
          <w:rFonts w:cstheme="minorHAnsi"/>
        </w:rPr>
        <w:t>Civil society organisations and community groups</w:t>
      </w:r>
      <w:r w:rsidR="00F749BC">
        <w:rPr>
          <w:rFonts w:cstheme="minorHAnsi"/>
        </w:rPr>
        <w:t xml:space="preserve"> should </w:t>
      </w:r>
      <w:r w:rsidRPr="005D4F32">
        <w:rPr>
          <w:rFonts w:cstheme="minorHAnsi"/>
        </w:rPr>
        <w:t>support participatory monitoring and qualitative evaluation of governance processes. Their role includes reporting local issues, providing feedback on stakeholder engagement and awareness activities, and contributing to assessments of transparency, inclusiveness, and trust. Their involvement</w:t>
      </w:r>
      <w:r w:rsidR="00F749BC">
        <w:rPr>
          <w:rFonts w:cstheme="minorHAnsi"/>
        </w:rPr>
        <w:t xml:space="preserve"> should</w:t>
      </w:r>
      <w:r w:rsidRPr="005D4F32">
        <w:rPr>
          <w:rFonts w:cstheme="minorHAnsi"/>
        </w:rPr>
        <w:t xml:space="preserve"> strengthen social accountability and complements formal monitoring systems with locally grounded information.</w:t>
      </w:r>
    </w:p>
    <w:p w14:paraId="67C5B7DF" w14:textId="58FE1B35" w:rsidR="005D4F32" w:rsidRPr="005D4F32" w:rsidRDefault="005D4F32" w:rsidP="005D4F32">
      <w:pPr>
        <w:jc w:val="both"/>
        <w:rPr>
          <w:rFonts w:cstheme="minorHAnsi"/>
        </w:rPr>
      </w:pPr>
      <w:r w:rsidRPr="005D4F32">
        <w:rPr>
          <w:rFonts w:cstheme="minorHAnsi"/>
        </w:rPr>
        <w:t xml:space="preserve">Local communities </w:t>
      </w:r>
      <w:r w:rsidR="00F749BC">
        <w:rPr>
          <w:rFonts w:cstheme="minorHAnsi"/>
        </w:rPr>
        <w:t xml:space="preserve">should </w:t>
      </w:r>
      <w:r w:rsidRPr="005D4F32">
        <w:rPr>
          <w:rFonts w:cstheme="minorHAnsi"/>
        </w:rPr>
        <w:t>contribute to monitoring and evaluation through their direct interaction with groundwater resources and their awareness of local conditions. Community feedback on water quality, availability, and sanitation practices provides valuable insight into the effectiveness of measures and helps identify emerging issues that may not be captured through formal monitoring systems.</w:t>
      </w:r>
    </w:p>
    <w:p w14:paraId="5AB542B8" w14:textId="3308AFC2" w:rsidR="005D4F32" w:rsidRPr="00F749BC" w:rsidRDefault="005D4F32" w:rsidP="00F749BC">
      <w:pPr>
        <w:jc w:val="both"/>
        <w:rPr>
          <w:rFonts w:cstheme="minorHAnsi"/>
        </w:rPr>
      </w:pPr>
      <w:r w:rsidRPr="005D4F32">
        <w:rPr>
          <w:rFonts w:cstheme="minorHAnsi"/>
        </w:rPr>
        <w:t>Monitoring and evaluation results will be reviewed periodically through joint technical and stakeholder review processes involving institutions and stakeholders from both countries. These processes will assess progress, identify challenges, and support the adjustment of measures where necessary. Feedback from stakeholders will be used to refine implementation approaches and improve the overall effectiveness of the Joint Action Program</w:t>
      </w:r>
      <w:r w:rsidR="00F749BC">
        <w:rPr>
          <w:rFonts w:cstheme="minorHAnsi"/>
        </w:rPr>
        <w:t>me</w:t>
      </w:r>
      <w:r w:rsidRPr="005D4F32">
        <w:rPr>
          <w:rFonts w:cstheme="minorHAnsi"/>
        </w:rPr>
        <w:t>.</w:t>
      </w:r>
    </w:p>
    <w:p w14:paraId="76CD6F5F" w14:textId="30502BAD" w:rsidR="005D4F32" w:rsidRPr="00F749BC" w:rsidRDefault="002F4776" w:rsidP="002F4776">
      <w:pPr>
        <w:pStyle w:val="Caption"/>
        <w:rPr>
          <w:rFonts w:cstheme="minorHAnsi"/>
        </w:rPr>
      </w:pPr>
      <w:bookmarkStart w:id="275" w:name="_Toc229037754"/>
      <w:r>
        <w:t xml:space="preserve">Table </w:t>
      </w:r>
      <w:r>
        <w:fldChar w:fldCharType="begin"/>
      </w:r>
      <w:r>
        <w:instrText xml:space="preserve"> SEQ Table \* ARABIC </w:instrText>
      </w:r>
      <w:r>
        <w:fldChar w:fldCharType="separate"/>
      </w:r>
      <w:r>
        <w:rPr>
          <w:noProof/>
        </w:rPr>
        <w:t>32</w:t>
      </w:r>
      <w:r>
        <w:fldChar w:fldCharType="end"/>
      </w:r>
      <w:r>
        <w:t xml:space="preserve"> </w:t>
      </w:r>
      <w:r w:rsidRPr="00BF62CF">
        <w:t>Stakeholders’ roles in monitoring and evaluation</w:t>
      </w:r>
      <w:bookmarkEnd w:id="275"/>
    </w:p>
    <w:tbl>
      <w:tblPr>
        <w:tblW w:w="0" w:type="auto"/>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952"/>
        <w:gridCol w:w="3025"/>
        <w:gridCol w:w="2108"/>
        <w:gridCol w:w="1931"/>
      </w:tblGrid>
      <w:tr w:rsidR="005D4F32" w:rsidRPr="00F749BC" w14:paraId="3FCD7AA5" w14:textId="77777777" w:rsidTr="00046B81">
        <w:trPr>
          <w:tblHeader/>
          <w:tblCellSpacing w:w="15" w:type="dxa"/>
        </w:trPr>
        <w:tc>
          <w:tcPr>
            <w:tcW w:w="0" w:type="auto"/>
            <w:shd w:val="clear" w:color="auto" w:fill="B4C6E7" w:themeFill="accent1" w:themeFillTint="66"/>
            <w:vAlign w:val="center"/>
            <w:hideMark/>
          </w:tcPr>
          <w:p w14:paraId="42368A3F" w14:textId="77777777" w:rsidR="005D4F32" w:rsidRPr="00F749BC" w:rsidRDefault="005D4F32" w:rsidP="00046B81">
            <w:pPr>
              <w:tabs>
                <w:tab w:val="left" w:pos="1515"/>
              </w:tabs>
              <w:rPr>
                <w:rFonts w:cstheme="minorHAnsi"/>
                <w:b/>
                <w:bCs/>
                <w:sz w:val="16"/>
                <w:szCs w:val="16"/>
              </w:rPr>
            </w:pPr>
            <w:r w:rsidRPr="00F749BC">
              <w:rPr>
                <w:rFonts w:cstheme="minorHAnsi"/>
                <w:b/>
                <w:bCs/>
                <w:sz w:val="16"/>
                <w:szCs w:val="16"/>
              </w:rPr>
              <w:t>Stakeholder group</w:t>
            </w:r>
          </w:p>
        </w:tc>
        <w:tc>
          <w:tcPr>
            <w:tcW w:w="0" w:type="auto"/>
            <w:shd w:val="clear" w:color="auto" w:fill="B4C6E7" w:themeFill="accent1" w:themeFillTint="66"/>
            <w:vAlign w:val="center"/>
            <w:hideMark/>
          </w:tcPr>
          <w:p w14:paraId="41625ABE" w14:textId="77777777" w:rsidR="005D4F32" w:rsidRPr="00F749BC" w:rsidRDefault="005D4F32" w:rsidP="00046B81">
            <w:pPr>
              <w:tabs>
                <w:tab w:val="left" w:pos="1515"/>
              </w:tabs>
              <w:rPr>
                <w:rFonts w:cstheme="minorHAnsi"/>
                <w:b/>
                <w:bCs/>
                <w:sz w:val="16"/>
                <w:szCs w:val="16"/>
              </w:rPr>
            </w:pPr>
            <w:r w:rsidRPr="00F749BC">
              <w:rPr>
                <w:rFonts w:cstheme="minorHAnsi"/>
                <w:b/>
                <w:bCs/>
                <w:sz w:val="16"/>
                <w:szCs w:val="16"/>
              </w:rPr>
              <w:t>Role in monitoring</w:t>
            </w:r>
          </w:p>
        </w:tc>
        <w:tc>
          <w:tcPr>
            <w:tcW w:w="0" w:type="auto"/>
            <w:shd w:val="clear" w:color="auto" w:fill="B4C6E7" w:themeFill="accent1" w:themeFillTint="66"/>
            <w:vAlign w:val="center"/>
            <w:hideMark/>
          </w:tcPr>
          <w:p w14:paraId="75400C47" w14:textId="77777777" w:rsidR="005D4F32" w:rsidRPr="00F749BC" w:rsidRDefault="005D4F32" w:rsidP="00046B81">
            <w:pPr>
              <w:tabs>
                <w:tab w:val="left" w:pos="1515"/>
              </w:tabs>
              <w:rPr>
                <w:rFonts w:cstheme="minorHAnsi"/>
                <w:b/>
                <w:bCs/>
                <w:sz w:val="16"/>
                <w:szCs w:val="16"/>
              </w:rPr>
            </w:pPr>
            <w:r w:rsidRPr="00F749BC">
              <w:rPr>
                <w:rFonts w:cstheme="minorHAnsi"/>
                <w:b/>
                <w:bCs/>
                <w:sz w:val="16"/>
                <w:szCs w:val="16"/>
              </w:rPr>
              <w:t>Role in evaluation</w:t>
            </w:r>
          </w:p>
        </w:tc>
        <w:tc>
          <w:tcPr>
            <w:tcW w:w="1886" w:type="dxa"/>
            <w:shd w:val="clear" w:color="auto" w:fill="B4C6E7" w:themeFill="accent1" w:themeFillTint="66"/>
            <w:vAlign w:val="center"/>
            <w:hideMark/>
          </w:tcPr>
          <w:p w14:paraId="3523F728" w14:textId="77777777" w:rsidR="005D4F32" w:rsidRPr="00F749BC" w:rsidRDefault="005D4F32" w:rsidP="00046B81">
            <w:pPr>
              <w:tabs>
                <w:tab w:val="left" w:pos="1515"/>
              </w:tabs>
              <w:rPr>
                <w:rFonts w:cstheme="minorHAnsi"/>
                <w:b/>
                <w:bCs/>
                <w:sz w:val="16"/>
                <w:szCs w:val="16"/>
              </w:rPr>
            </w:pPr>
            <w:r w:rsidRPr="00F749BC">
              <w:rPr>
                <w:rFonts w:cstheme="minorHAnsi"/>
                <w:b/>
                <w:bCs/>
                <w:sz w:val="16"/>
                <w:szCs w:val="16"/>
              </w:rPr>
              <w:t>Key outputs</w:t>
            </w:r>
          </w:p>
        </w:tc>
      </w:tr>
      <w:tr w:rsidR="005D4F32" w:rsidRPr="00F749BC" w14:paraId="5CA6E8D4" w14:textId="77777777" w:rsidTr="00046B81">
        <w:trPr>
          <w:tblCellSpacing w:w="15" w:type="dxa"/>
        </w:trPr>
        <w:tc>
          <w:tcPr>
            <w:tcW w:w="0" w:type="auto"/>
            <w:vAlign w:val="center"/>
            <w:hideMark/>
          </w:tcPr>
          <w:p w14:paraId="48E6DFDC" w14:textId="77777777" w:rsidR="005D4F32" w:rsidRPr="00F749BC" w:rsidRDefault="005D4F32" w:rsidP="00046B81">
            <w:pPr>
              <w:tabs>
                <w:tab w:val="left" w:pos="1515"/>
              </w:tabs>
              <w:rPr>
                <w:rFonts w:cstheme="minorHAnsi"/>
                <w:sz w:val="16"/>
                <w:szCs w:val="16"/>
              </w:rPr>
            </w:pPr>
            <w:r w:rsidRPr="00F749BC">
              <w:rPr>
                <w:rFonts w:cstheme="minorHAnsi"/>
                <w:sz w:val="16"/>
                <w:szCs w:val="16"/>
              </w:rPr>
              <w:t>National water authorities (HR &amp; BiH)</w:t>
            </w:r>
          </w:p>
        </w:tc>
        <w:tc>
          <w:tcPr>
            <w:tcW w:w="0" w:type="auto"/>
            <w:vAlign w:val="center"/>
            <w:hideMark/>
          </w:tcPr>
          <w:p w14:paraId="5C26E58B" w14:textId="77777777" w:rsidR="005D4F32" w:rsidRPr="00F749BC" w:rsidRDefault="005D4F32" w:rsidP="00046B81">
            <w:pPr>
              <w:tabs>
                <w:tab w:val="left" w:pos="1515"/>
              </w:tabs>
              <w:rPr>
                <w:rFonts w:cstheme="minorHAnsi"/>
                <w:sz w:val="16"/>
                <w:szCs w:val="16"/>
              </w:rPr>
            </w:pPr>
            <w:r w:rsidRPr="00F749BC">
              <w:rPr>
                <w:rFonts w:cstheme="minorHAnsi"/>
                <w:sz w:val="16"/>
                <w:szCs w:val="16"/>
              </w:rPr>
              <w:t>Coordinate groundwater monitoring; validate and consolidate data; support data exchange</w:t>
            </w:r>
          </w:p>
        </w:tc>
        <w:tc>
          <w:tcPr>
            <w:tcW w:w="0" w:type="auto"/>
            <w:vAlign w:val="center"/>
            <w:hideMark/>
          </w:tcPr>
          <w:p w14:paraId="5B40F18B" w14:textId="77777777" w:rsidR="005D4F32" w:rsidRPr="00F749BC" w:rsidRDefault="005D4F32" w:rsidP="00046B81">
            <w:pPr>
              <w:tabs>
                <w:tab w:val="left" w:pos="1515"/>
              </w:tabs>
              <w:rPr>
                <w:rFonts w:cstheme="minorHAnsi"/>
                <w:sz w:val="16"/>
                <w:szCs w:val="16"/>
              </w:rPr>
            </w:pPr>
            <w:r w:rsidRPr="00F749BC">
              <w:rPr>
                <w:rFonts w:cstheme="minorHAnsi"/>
                <w:sz w:val="16"/>
                <w:szCs w:val="16"/>
              </w:rPr>
              <w:t>Assess progress against indicators; lead joint reviews</w:t>
            </w:r>
          </w:p>
        </w:tc>
        <w:tc>
          <w:tcPr>
            <w:tcW w:w="1886" w:type="dxa"/>
            <w:vAlign w:val="center"/>
            <w:hideMark/>
          </w:tcPr>
          <w:p w14:paraId="657F387C" w14:textId="77777777" w:rsidR="005D4F32" w:rsidRPr="00F749BC" w:rsidRDefault="005D4F32" w:rsidP="00046B81">
            <w:pPr>
              <w:tabs>
                <w:tab w:val="left" w:pos="1515"/>
              </w:tabs>
              <w:rPr>
                <w:rFonts w:cstheme="minorHAnsi"/>
                <w:sz w:val="16"/>
                <w:szCs w:val="16"/>
              </w:rPr>
            </w:pPr>
            <w:r w:rsidRPr="00F749BC">
              <w:rPr>
                <w:rFonts w:cstheme="minorHAnsi"/>
                <w:sz w:val="16"/>
                <w:szCs w:val="16"/>
              </w:rPr>
              <w:t>Monitoring reports; indicator assessments</w:t>
            </w:r>
          </w:p>
        </w:tc>
      </w:tr>
      <w:tr w:rsidR="005D4F32" w:rsidRPr="00F749BC" w14:paraId="0C0F2DC7" w14:textId="77777777" w:rsidTr="00046B81">
        <w:trPr>
          <w:tblCellSpacing w:w="15" w:type="dxa"/>
        </w:trPr>
        <w:tc>
          <w:tcPr>
            <w:tcW w:w="0" w:type="auto"/>
            <w:vAlign w:val="center"/>
          </w:tcPr>
          <w:p w14:paraId="0A3EE98E" w14:textId="77777777" w:rsidR="005D4F32" w:rsidRPr="00F749BC" w:rsidRDefault="005D4F32" w:rsidP="00046B81">
            <w:pPr>
              <w:tabs>
                <w:tab w:val="left" w:pos="1515"/>
              </w:tabs>
              <w:rPr>
                <w:rFonts w:cstheme="minorHAnsi"/>
                <w:sz w:val="16"/>
                <w:szCs w:val="16"/>
              </w:rPr>
            </w:pPr>
            <w:r w:rsidRPr="00F749BC">
              <w:rPr>
                <w:rFonts w:cstheme="minorHAnsi"/>
                <w:sz w:val="16"/>
                <w:szCs w:val="16"/>
              </w:rPr>
              <w:t>Environmental authorities / inspectorates</w:t>
            </w:r>
          </w:p>
        </w:tc>
        <w:tc>
          <w:tcPr>
            <w:tcW w:w="0" w:type="auto"/>
            <w:vAlign w:val="center"/>
          </w:tcPr>
          <w:p w14:paraId="2A92AC94" w14:textId="77777777" w:rsidR="005D4F32" w:rsidRPr="00F749BC" w:rsidRDefault="005D4F32" w:rsidP="00046B81">
            <w:pPr>
              <w:tabs>
                <w:tab w:val="left" w:pos="1515"/>
              </w:tabs>
              <w:rPr>
                <w:rFonts w:cstheme="minorHAnsi"/>
                <w:sz w:val="16"/>
                <w:szCs w:val="16"/>
              </w:rPr>
            </w:pPr>
            <w:r w:rsidRPr="00F749BC">
              <w:rPr>
                <w:rFonts w:cstheme="minorHAnsi"/>
                <w:sz w:val="16"/>
                <w:szCs w:val="16"/>
              </w:rPr>
              <w:t>Compliance monitoring; inspections of pollution sources and protection zones</w:t>
            </w:r>
          </w:p>
        </w:tc>
        <w:tc>
          <w:tcPr>
            <w:tcW w:w="0" w:type="auto"/>
            <w:vAlign w:val="center"/>
          </w:tcPr>
          <w:p w14:paraId="57F361E3" w14:textId="77777777" w:rsidR="005D4F32" w:rsidRPr="00F749BC" w:rsidRDefault="005D4F32" w:rsidP="00046B81">
            <w:pPr>
              <w:tabs>
                <w:tab w:val="left" w:pos="1515"/>
              </w:tabs>
              <w:rPr>
                <w:rFonts w:cstheme="minorHAnsi"/>
                <w:sz w:val="16"/>
                <w:szCs w:val="16"/>
              </w:rPr>
            </w:pPr>
            <w:r w:rsidRPr="00F749BC">
              <w:rPr>
                <w:rFonts w:cstheme="minorHAnsi"/>
                <w:sz w:val="16"/>
                <w:szCs w:val="16"/>
              </w:rPr>
              <w:t>Evaluate effectiveness of enforcement measures</w:t>
            </w:r>
          </w:p>
        </w:tc>
        <w:tc>
          <w:tcPr>
            <w:tcW w:w="1886" w:type="dxa"/>
            <w:vAlign w:val="center"/>
          </w:tcPr>
          <w:p w14:paraId="2EFF1D2E" w14:textId="77777777" w:rsidR="005D4F32" w:rsidRPr="00F749BC" w:rsidRDefault="005D4F32" w:rsidP="00046B81">
            <w:pPr>
              <w:tabs>
                <w:tab w:val="left" w:pos="1515"/>
              </w:tabs>
              <w:rPr>
                <w:rFonts w:cstheme="minorHAnsi"/>
                <w:sz w:val="16"/>
                <w:szCs w:val="16"/>
              </w:rPr>
            </w:pPr>
            <w:r w:rsidRPr="00F749BC">
              <w:rPr>
                <w:rFonts w:cstheme="minorHAnsi"/>
                <w:sz w:val="16"/>
                <w:szCs w:val="16"/>
              </w:rPr>
              <w:t>Inspection reports; compliance findings</w:t>
            </w:r>
          </w:p>
        </w:tc>
      </w:tr>
      <w:tr w:rsidR="005D4F32" w:rsidRPr="00F749BC" w14:paraId="6578D6B9" w14:textId="77777777" w:rsidTr="00046B81">
        <w:trPr>
          <w:tblCellSpacing w:w="15" w:type="dxa"/>
        </w:trPr>
        <w:tc>
          <w:tcPr>
            <w:tcW w:w="0" w:type="auto"/>
            <w:vAlign w:val="center"/>
          </w:tcPr>
          <w:p w14:paraId="3D5BEA62" w14:textId="77777777" w:rsidR="005D4F32" w:rsidRPr="00F749BC" w:rsidRDefault="005D4F32" w:rsidP="00046B81">
            <w:pPr>
              <w:tabs>
                <w:tab w:val="left" w:pos="1515"/>
              </w:tabs>
              <w:rPr>
                <w:rFonts w:cstheme="minorHAnsi"/>
                <w:sz w:val="16"/>
                <w:szCs w:val="16"/>
              </w:rPr>
            </w:pPr>
            <w:r w:rsidRPr="00F749BC">
              <w:rPr>
                <w:rFonts w:cstheme="minorHAnsi"/>
                <w:sz w:val="16"/>
                <w:szCs w:val="16"/>
              </w:rPr>
              <w:t>Cantonal / municipal authorities</w:t>
            </w:r>
          </w:p>
        </w:tc>
        <w:tc>
          <w:tcPr>
            <w:tcW w:w="0" w:type="auto"/>
            <w:vAlign w:val="center"/>
          </w:tcPr>
          <w:p w14:paraId="0A3B8932" w14:textId="77777777" w:rsidR="005D4F32" w:rsidRPr="00F749BC" w:rsidRDefault="005D4F32" w:rsidP="00046B81">
            <w:pPr>
              <w:tabs>
                <w:tab w:val="left" w:pos="1515"/>
              </w:tabs>
              <w:rPr>
                <w:rFonts w:cstheme="minorHAnsi"/>
                <w:sz w:val="16"/>
                <w:szCs w:val="16"/>
              </w:rPr>
            </w:pPr>
            <w:r w:rsidRPr="00F749BC">
              <w:rPr>
                <w:rFonts w:cstheme="minorHAnsi"/>
                <w:sz w:val="16"/>
                <w:szCs w:val="16"/>
              </w:rPr>
              <w:t>Report on local implementation; identify pressures</w:t>
            </w:r>
          </w:p>
        </w:tc>
        <w:tc>
          <w:tcPr>
            <w:tcW w:w="0" w:type="auto"/>
            <w:vAlign w:val="center"/>
          </w:tcPr>
          <w:p w14:paraId="290B039B" w14:textId="77777777" w:rsidR="005D4F32" w:rsidRPr="00F749BC" w:rsidRDefault="005D4F32" w:rsidP="00046B81">
            <w:pPr>
              <w:tabs>
                <w:tab w:val="left" w:pos="1515"/>
              </w:tabs>
              <w:rPr>
                <w:rFonts w:cstheme="minorHAnsi"/>
                <w:sz w:val="16"/>
                <w:szCs w:val="16"/>
              </w:rPr>
            </w:pPr>
            <w:r w:rsidRPr="00F749BC">
              <w:rPr>
                <w:rFonts w:cstheme="minorHAnsi"/>
                <w:sz w:val="16"/>
                <w:szCs w:val="16"/>
              </w:rPr>
              <w:t>Provide feedback on feasibility and effectiveness</w:t>
            </w:r>
          </w:p>
        </w:tc>
        <w:tc>
          <w:tcPr>
            <w:tcW w:w="1886" w:type="dxa"/>
            <w:vAlign w:val="center"/>
          </w:tcPr>
          <w:p w14:paraId="26960CE1" w14:textId="77777777" w:rsidR="005D4F32" w:rsidRPr="00F749BC" w:rsidRDefault="005D4F32" w:rsidP="00046B81">
            <w:pPr>
              <w:tabs>
                <w:tab w:val="left" w:pos="1515"/>
              </w:tabs>
              <w:rPr>
                <w:rFonts w:cstheme="minorHAnsi"/>
                <w:sz w:val="16"/>
                <w:szCs w:val="16"/>
              </w:rPr>
            </w:pPr>
            <w:r w:rsidRPr="00F749BC">
              <w:rPr>
                <w:rFonts w:cstheme="minorHAnsi"/>
                <w:sz w:val="16"/>
                <w:szCs w:val="16"/>
              </w:rPr>
              <w:t>Local monitoring inputs</w:t>
            </w:r>
          </w:p>
        </w:tc>
      </w:tr>
      <w:tr w:rsidR="005D4F32" w:rsidRPr="00F749BC" w14:paraId="698AE08E" w14:textId="77777777" w:rsidTr="00046B81">
        <w:trPr>
          <w:tblCellSpacing w:w="15" w:type="dxa"/>
        </w:trPr>
        <w:tc>
          <w:tcPr>
            <w:tcW w:w="0" w:type="auto"/>
            <w:vAlign w:val="center"/>
          </w:tcPr>
          <w:p w14:paraId="67D25FE1" w14:textId="77777777" w:rsidR="005D4F32" w:rsidRPr="00F749BC" w:rsidRDefault="005D4F32" w:rsidP="00046B81">
            <w:pPr>
              <w:tabs>
                <w:tab w:val="left" w:pos="1515"/>
              </w:tabs>
              <w:rPr>
                <w:rFonts w:cstheme="minorHAnsi"/>
                <w:sz w:val="16"/>
                <w:szCs w:val="16"/>
              </w:rPr>
            </w:pPr>
            <w:r w:rsidRPr="00F749BC">
              <w:rPr>
                <w:rFonts w:cstheme="minorHAnsi"/>
                <w:sz w:val="16"/>
                <w:szCs w:val="16"/>
              </w:rPr>
              <w:t>Water utilities</w:t>
            </w:r>
          </w:p>
        </w:tc>
        <w:tc>
          <w:tcPr>
            <w:tcW w:w="0" w:type="auto"/>
            <w:vAlign w:val="center"/>
          </w:tcPr>
          <w:p w14:paraId="0CB5316E" w14:textId="77777777" w:rsidR="005D4F32" w:rsidRPr="00F749BC" w:rsidRDefault="005D4F32" w:rsidP="00046B81">
            <w:pPr>
              <w:tabs>
                <w:tab w:val="left" w:pos="1515"/>
              </w:tabs>
              <w:rPr>
                <w:rFonts w:cstheme="minorHAnsi"/>
                <w:sz w:val="16"/>
                <w:szCs w:val="16"/>
              </w:rPr>
            </w:pPr>
            <w:r w:rsidRPr="00F749BC">
              <w:rPr>
                <w:rFonts w:cstheme="minorHAnsi"/>
                <w:sz w:val="16"/>
                <w:szCs w:val="16"/>
              </w:rPr>
              <w:t>Provide abstraction, discharge and water-quality data; incident reporting</w:t>
            </w:r>
          </w:p>
        </w:tc>
        <w:tc>
          <w:tcPr>
            <w:tcW w:w="0" w:type="auto"/>
            <w:vAlign w:val="center"/>
          </w:tcPr>
          <w:p w14:paraId="1E35F1A6" w14:textId="77777777" w:rsidR="005D4F32" w:rsidRPr="00F749BC" w:rsidRDefault="005D4F32" w:rsidP="00046B81">
            <w:pPr>
              <w:tabs>
                <w:tab w:val="left" w:pos="1515"/>
              </w:tabs>
              <w:rPr>
                <w:rFonts w:cstheme="minorHAnsi"/>
                <w:sz w:val="16"/>
                <w:szCs w:val="16"/>
              </w:rPr>
            </w:pPr>
            <w:r w:rsidRPr="00F749BC">
              <w:rPr>
                <w:rFonts w:cstheme="minorHAnsi"/>
                <w:sz w:val="16"/>
                <w:szCs w:val="16"/>
              </w:rPr>
              <w:t>Evaluate effectiveness of risk-management measures</w:t>
            </w:r>
          </w:p>
        </w:tc>
        <w:tc>
          <w:tcPr>
            <w:tcW w:w="1886" w:type="dxa"/>
            <w:vAlign w:val="center"/>
          </w:tcPr>
          <w:p w14:paraId="168438FC" w14:textId="77777777" w:rsidR="005D4F32" w:rsidRPr="00F749BC" w:rsidRDefault="005D4F32" w:rsidP="00046B81">
            <w:pPr>
              <w:tabs>
                <w:tab w:val="left" w:pos="1515"/>
              </w:tabs>
              <w:rPr>
                <w:rFonts w:cstheme="minorHAnsi"/>
                <w:sz w:val="16"/>
                <w:szCs w:val="16"/>
              </w:rPr>
            </w:pPr>
            <w:r w:rsidRPr="00F749BC">
              <w:rPr>
                <w:rFonts w:cstheme="minorHAnsi"/>
                <w:sz w:val="16"/>
                <w:szCs w:val="16"/>
              </w:rPr>
              <w:t>Utility datasets; incident logs</w:t>
            </w:r>
          </w:p>
        </w:tc>
      </w:tr>
      <w:tr w:rsidR="005D4F32" w:rsidRPr="00F749BC" w14:paraId="6C732DAA" w14:textId="77777777" w:rsidTr="00046B81">
        <w:trPr>
          <w:tblCellSpacing w:w="15" w:type="dxa"/>
        </w:trPr>
        <w:tc>
          <w:tcPr>
            <w:tcW w:w="0" w:type="auto"/>
            <w:vAlign w:val="center"/>
          </w:tcPr>
          <w:p w14:paraId="0FD58C98" w14:textId="77777777" w:rsidR="005D4F32" w:rsidRPr="00F749BC" w:rsidRDefault="005D4F32" w:rsidP="00046B81">
            <w:pPr>
              <w:tabs>
                <w:tab w:val="left" w:pos="1515"/>
              </w:tabs>
              <w:rPr>
                <w:rFonts w:cstheme="minorHAnsi"/>
                <w:sz w:val="16"/>
                <w:szCs w:val="16"/>
              </w:rPr>
            </w:pPr>
            <w:r w:rsidRPr="00F749BC">
              <w:rPr>
                <w:rFonts w:cstheme="minorHAnsi"/>
                <w:sz w:val="16"/>
                <w:szCs w:val="16"/>
              </w:rPr>
              <w:t xml:space="preserve">Hydropower/energy sector </w:t>
            </w:r>
          </w:p>
        </w:tc>
        <w:tc>
          <w:tcPr>
            <w:tcW w:w="0" w:type="auto"/>
            <w:vAlign w:val="center"/>
          </w:tcPr>
          <w:p w14:paraId="0E7F5101" w14:textId="77777777" w:rsidR="005D4F32" w:rsidRPr="00F749BC" w:rsidRDefault="005D4F32" w:rsidP="00046B81">
            <w:pPr>
              <w:tabs>
                <w:tab w:val="left" w:pos="1515"/>
              </w:tabs>
              <w:rPr>
                <w:rFonts w:cstheme="minorHAnsi"/>
                <w:sz w:val="16"/>
                <w:szCs w:val="16"/>
              </w:rPr>
            </w:pPr>
            <w:r w:rsidRPr="00F749BC">
              <w:rPr>
                <w:rFonts w:cstheme="minorHAnsi"/>
                <w:sz w:val="16"/>
                <w:szCs w:val="16"/>
              </w:rPr>
              <w:t>Provide data on flow regulation and operational changes affecting groundwater systems</w:t>
            </w:r>
          </w:p>
        </w:tc>
        <w:tc>
          <w:tcPr>
            <w:tcW w:w="0" w:type="auto"/>
            <w:vAlign w:val="center"/>
          </w:tcPr>
          <w:p w14:paraId="4553462A" w14:textId="77777777" w:rsidR="005D4F32" w:rsidRPr="00F749BC" w:rsidRDefault="005D4F32" w:rsidP="00046B81">
            <w:pPr>
              <w:tabs>
                <w:tab w:val="left" w:pos="1515"/>
              </w:tabs>
              <w:rPr>
                <w:rFonts w:cstheme="minorHAnsi"/>
                <w:sz w:val="16"/>
                <w:szCs w:val="16"/>
              </w:rPr>
            </w:pPr>
            <w:r w:rsidRPr="00F749BC">
              <w:rPr>
                <w:rFonts w:cstheme="minorHAnsi"/>
                <w:sz w:val="16"/>
                <w:szCs w:val="16"/>
              </w:rPr>
              <w:t>Contribute to evaluation of basin-scale hydrological impacts</w:t>
            </w:r>
          </w:p>
        </w:tc>
        <w:tc>
          <w:tcPr>
            <w:tcW w:w="1886" w:type="dxa"/>
            <w:vAlign w:val="center"/>
          </w:tcPr>
          <w:p w14:paraId="26B798F1" w14:textId="77777777" w:rsidR="005D4F32" w:rsidRPr="00F749BC" w:rsidRDefault="005D4F32" w:rsidP="00046B81">
            <w:pPr>
              <w:tabs>
                <w:tab w:val="left" w:pos="1515"/>
              </w:tabs>
              <w:rPr>
                <w:rFonts w:cstheme="minorHAnsi"/>
                <w:sz w:val="16"/>
                <w:szCs w:val="16"/>
              </w:rPr>
            </w:pPr>
            <w:r w:rsidRPr="00F749BC">
              <w:rPr>
                <w:rFonts w:cstheme="minorHAnsi"/>
                <w:sz w:val="16"/>
                <w:szCs w:val="16"/>
              </w:rPr>
              <w:t>Operational data; flow regime information</w:t>
            </w:r>
          </w:p>
        </w:tc>
      </w:tr>
      <w:tr w:rsidR="005D4F32" w:rsidRPr="00F749BC" w14:paraId="76E651AD" w14:textId="77777777" w:rsidTr="00046B81">
        <w:trPr>
          <w:tblCellSpacing w:w="15" w:type="dxa"/>
        </w:trPr>
        <w:tc>
          <w:tcPr>
            <w:tcW w:w="0" w:type="auto"/>
            <w:vAlign w:val="center"/>
          </w:tcPr>
          <w:p w14:paraId="19ABC3FA" w14:textId="77777777" w:rsidR="005D4F32" w:rsidRPr="00F749BC" w:rsidRDefault="005D4F32" w:rsidP="00046B81">
            <w:pPr>
              <w:tabs>
                <w:tab w:val="left" w:pos="1515"/>
              </w:tabs>
              <w:rPr>
                <w:rFonts w:cstheme="minorHAnsi"/>
                <w:sz w:val="16"/>
                <w:szCs w:val="16"/>
              </w:rPr>
            </w:pPr>
            <w:r w:rsidRPr="00F749BC">
              <w:rPr>
                <w:rFonts w:cstheme="minorHAnsi"/>
                <w:sz w:val="16"/>
                <w:szCs w:val="16"/>
              </w:rPr>
              <w:t>Protected area administrations</w:t>
            </w:r>
          </w:p>
        </w:tc>
        <w:tc>
          <w:tcPr>
            <w:tcW w:w="0" w:type="auto"/>
            <w:vAlign w:val="center"/>
          </w:tcPr>
          <w:p w14:paraId="6D8A12FA" w14:textId="77777777" w:rsidR="005D4F32" w:rsidRPr="00F749BC" w:rsidRDefault="005D4F32" w:rsidP="00046B81">
            <w:pPr>
              <w:tabs>
                <w:tab w:val="left" w:pos="1515"/>
              </w:tabs>
              <w:rPr>
                <w:rFonts w:cstheme="minorHAnsi"/>
                <w:sz w:val="16"/>
                <w:szCs w:val="16"/>
              </w:rPr>
            </w:pPr>
            <w:r w:rsidRPr="00F749BC">
              <w:rPr>
                <w:rFonts w:cstheme="minorHAnsi"/>
                <w:sz w:val="16"/>
                <w:szCs w:val="16"/>
              </w:rPr>
              <w:t>Monitor tourism pressure and sensitive zones</w:t>
            </w:r>
          </w:p>
        </w:tc>
        <w:tc>
          <w:tcPr>
            <w:tcW w:w="0" w:type="auto"/>
            <w:vAlign w:val="center"/>
          </w:tcPr>
          <w:p w14:paraId="6506F3C2" w14:textId="77777777" w:rsidR="005D4F32" w:rsidRPr="00F749BC" w:rsidRDefault="005D4F32" w:rsidP="00046B81">
            <w:pPr>
              <w:tabs>
                <w:tab w:val="left" w:pos="1515"/>
              </w:tabs>
              <w:rPr>
                <w:rFonts w:cstheme="minorHAnsi"/>
                <w:sz w:val="16"/>
                <w:szCs w:val="16"/>
              </w:rPr>
            </w:pPr>
            <w:r w:rsidRPr="00F749BC">
              <w:rPr>
                <w:rFonts w:cstheme="minorHAnsi"/>
                <w:sz w:val="16"/>
                <w:szCs w:val="16"/>
              </w:rPr>
              <w:t>Assess tourism-related impacts</w:t>
            </w:r>
          </w:p>
        </w:tc>
        <w:tc>
          <w:tcPr>
            <w:tcW w:w="1886" w:type="dxa"/>
            <w:vAlign w:val="center"/>
          </w:tcPr>
          <w:p w14:paraId="56C24BE4" w14:textId="77777777" w:rsidR="005D4F32" w:rsidRPr="00F749BC" w:rsidRDefault="005D4F32" w:rsidP="00046B81">
            <w:pPr>
              <w:tabs>
                <w:tab w:val="left" w:pos="1515"/>
              </w:tabs>
              <w:rPr>
                <w:rFonts w:cstheme="minorHAnsi"/>
                <w:sz w:val="16"/>
                <w:szCs w:val="16"/>
              </w:rPr>
            </w:pPr>
            <w:r w:rsidRPr="00F749BC">
              <w:rPr>
                <w:rFonts w:cstheme="minorHAnsi"/>
                <w:sz w:val="16"/>
                <w:szCs w:val="16"/>
              </w:rPr>
              <w:t>Seasonal pressure reports</w:t>
            </w:r>
          </w:p>
        </w:tc>
      </w:tr>
      <w:tr w:rsidR="005D4F32" w:rsidRPr="00F749BC" w14:paraId="47B9C7E9" w14:textId="77777777" w:rsidTr="00046B81">
        <w:trPr>
          <w:tblCellSpacing w:w="15" w:type="dxa"/>
        </w:trPr>
        <w:tc>
          <w:tcPr>
            <w:tcW w:w="0" w:type="auto"/>
            <w:vAlign w:val="center"/>
          </w:tcPr>
          <w:p w14:paraId="7CD8509B" w14:textId="77777777" w:rsidR="005D4F32" w:rsidRPr="00F749BC" w:rsidRDefault="005D4F32" w:rsidP="00046B81">
            <w:pPr>
              <w:tabs>
                <w:tab w:val="left" w:pos="1515"/>
              </w:tabs>
              <w:rPr>
                <w:rFonts w:cstheme="minorHAnsi"/>
                <w:sz w:val="16"/>
                <w:szCs w:val="16"/>
              </w:rPr>
            </w:pPr>
            <w:r w:rsidRPr="00F749BC">
              <w:rPr>
                <w:rFonts w:cstheme="minorHAnsi"/>
                <w:sz w:val="16"/>
                <w:szCs w:val="16"/>
              </w:rPr>
              <w:t>Tourism authorities</w:t>
            </w:r>
          </w:p>
        </w:tc>
        <w:tc>
          <w:tcPr>
            <w:tcW w:w="0" w:type="auto"/>
            <w:vAlign w:val="center"/>
          </w:tcPr>
          <w:p w14:paraId="119946C5" w14:textId="77777777" w:rsidR="005D4F32" w:rsidRPr="00F749BC" w:rsidRDefault="005D4F32" w:rsidP="00046B81">
            <w:pPr>
              <w:tabs>
                <w:tab w:val="left" w:pos="1515"/>
              </w:tabs>
              <w:rPr>
                <w:rFonts w:cstheme="minorHAnsi"/>
                <w:sz w:val="16"/>
                <w:szCs w:val="16"/>
              </w:rPr>
            </w:pPr>
            <w:r w:rsidRPr="00F749BC">
              <w:rPr>
                <w:rFonts w:cstheme="minorHAnsi"/>
                <w:sz w:val="16"/>
                <w:szCs w:val="16"/>
              </w:rPr>
              <w:t>Track visitor dynamics and practices</w:t>
            </w:r>
          </w:p>
        </w:tc>
        <w:tc>
          <w:tcPr>
            <w:tcW w:w="0" w:type="auto"/>
            <w:vAlign w:val="center"/>
          </w:tcPr>
          <w:p w14:paraId="403C9BCE" w14:textId="77777777" w:rsidR="005D4F32" w:rsidRPr="00F749BC" w:rsidRDefault="005D4F32" w:rsidP="00046B81">
            <w:pPr>
              <w:tabs>
                <w:tab w:val="left" w:pos="1515"/>
              </w:tabs>
              <w:rPr>
                <w:rFonts w:cstheme="minorHAnsi"/>
                <w:sz w:val="16"/>
                <w:szCs w:val="16"/>
              </w:rPr>
            </w:pPr>
            <w:r w:rsidRPr="00F749BC">
              <w:rPr>
                <w:rFonts w:cstheme="minorHAnsi"/>
                <w:sz w:val="16"/>
                <w:szCs w:val="16"/>
              </w:rPr>
              <w:t>Review awareness and mitigation measures</w:t>
            </w:r>
          </w:p>
        </w:tc>
        <w:tc>
          <w:tcPr>
            <w:tcW w:w="1886" w:type="dxa"/>
            <w:vAlign w:val="center"/>
          </w:tcPr>
          <w:p w14:paraId="7031F610" w14:textId="77777777" w:rsidR="005D4F32" w:rsidRPr="00F749BC" w:rsidRDefault="005D4F32" w:rsidP="00046B81">
            <w:pPr>
              <w:tabs>
                <w:tab w:val="left" w:pos="1515"/>
              </w:tabs>
              <w:rPr>
                <w:rFonts w:cstheme="minorHAnsi"/>
                <w:sz w:val="16"/>
                <w:szCs w:val="16"/>
              </w:rPr>
            </w:pPr>
            <w:r w:rsidRPr="00F749BC">
              <w:rPr>
                <w:rFonts w:cstheme="minorHAnsi"/>
                <w:sz w:val="16"/>
                <w:szCs w:val="16"/>
              </w:rPr>
              <w:t>Tourism monitoring data</w:t>
            </w:r>
          </w:p>
        </w:tc>
      </w:tr>
      <w:tr w:rsidR="005D4F32" w:rsidRPr="00F749BC" w14:paraId="2A67CB37" w14:textId="77777777" w:rsidTr="00046B81">
        <w:trPr>
          <w:tblCellSpacing w:w="15" w:type="dxa"/>
        </w:trPr>
        <w:tc>
          <w:tcPr>
            <w:tcW w:w="0" w:type="auto"/>
            <w:vAlign w:val="center"/>
          </w:tcPr>
          <w:p w14:paraId="3D37187A" w14:textId="77777777" w:rsidR="005D4F32" w:rsidRPr="00F749BC" w:rsidRDefault="005D4F32" w:rsidP="00046B81">
            <w:pPr>
              <w:tabs>
                <w:tab w:val="left" w:pos="1515"/>
              </w:tabs>
              <w:rPr>
                <w:rFonts w:cstheme="minorHAnsi"/>
                <w:sz w:val="16"/>
                <w:szCs w:val="16"/>
              </w:rPr>
            </w:pPr>
            <w:r w:rsidRPr="00F749BC">
              <w:rPr>
                <w:rFonts w:cstheme="minorHAnsi"/>
                <w:sz w:val="16"/>
                <w:szCs w:val="16"/>
              </w:rPr>
              <w:t>NGOs and community groups</w:t>
            </w:r>
          </w:p>
        </w:tc>
        <w:tc>
          <w:tcPr>
            <w:tcW w:w="0" w:type="auto"/>
            <w:vAlign w:val="center"/>
          </w:tcPr>
          <w:p w14:paraId="05B2CA34" w14:textId="77777777" w:rsidR="005D4F32" w:rsidRPr="00F749BC" w:rsidRDefault="005D4F32" w:rsidP="00046B81">
            <w:pPr>
              <w:tabs>
                <w:tab w:val="left" w:pos="1515"/>
              </w:tabs>
              <w:rPr>
                <w:rFonts w:cstheme="minorHAnsi"/>
                <w:sz w:val="16"/>
                <w:szCs w:val="16"/>
              </w:rPr>
            </w:pPr>
            <w:r w:rsidRPr="00F749BC">
              <w:rPr>
                <w:rFonts w:cstheme="minorHAnsi"/>
                <w:sz w:val="16"/>
                <w:szCs w:val="16"/>
              </w:rPr>
              <w:t>Participatory monitoring; reporting of local issues</w:t>
            </w:r>
          </w:p>
        </w:tc>
        <w:tc>
          <w:tcPr>
            <w:tcW w:w="0" w:type="auto"/>
            <w:vAlign w:val="center"/>
          </w:tcPr>
          <w:p w14:paraId="3703E41D" w14:textId="77777777" w:rsidR="005D4F32" w:rsidRPr="00F749BC" w:rsidRDefault="005D4F32" w:rsidP="00046B81">
            <w:pPr>
              <w:tabs>
                <w:tab w:val="left" w:pos="1515"/>
              </w:tabs>
              <w:rPr>
                <w:rFonts w:cstheme="minorHAnsi"/>
                <w:sz w:val="16"/>
                <w:szCs w:val="16"/>
              </w:rPr>
            </w:pPr>
            <w:r w:rsidRPr="00F749BC">
              <w:rPr>
                <w:rFonts w:cstheme="minorHAnsi"/>
                <w:sz w:val="16"/>
                <w:szCs w:val="16"/>
              </w:rPr>
              <w:t>Qualitative feedback on governance and engagement</w:t>
            </w:r>
          </w:p>
        </w:tc>
        <w:tc>
          <w:tcPr>
            <w:tcW w:w="1886" w:type="dxa"/>
            <w:vAlign w:val="center"/>
          </w:tcPr>
          <w:p w14:paraId="2B53015B" w14:textId="77777777" w:rsidR="005D4F32" w:rsidRPr="00F749BC" w:rsidRDefault="005D4F32" w:rsidP="00046B81">
            <w:pPr>
              <w:tabs>
                <w:tab w:val="left" w:pos="1515"/>
              </w:tabs>
              <w:rPr>
                <w:rFonts w:cstheme="minorHAnsi"/>
                <w:sz w:val="16"/>
                <w:szCs w:val="16"/>
              </w:rPr>
            </w:pPr>
            <w:r w:rsidRPr="00F749BC">
              <w:rPr>
                <w:rFonts w:cstheme="minorHAnsi"/>
                <w:sz w:val="16"/>
                <w:szCs w:val="16"/>
              </w:rPr>
              <w:t>Community inputs</w:t>
            </w:r>
          </w:p>
        </w:tc>
      </w:tr>
      <w:tr w:rsidR="005D4F32" w:rsidRPr="00F749BC" w14:paraId="63D7A708" w14:textId="77777777" w:rsidTr="00046B81">
        <w:trPr>
          <w:tblCellSpacing w:w="15" w:type="dxa"/>
        </w:trPr>
        <w:tc>
          <w:tcPr>
            <w:tcW w:w="0" w:type="auto"/>
            <w:vAlign w:val="center"/>
          </w:tcPr>
          <w:p w14:paraId="6AEBB792" w14:textId="77777777" w:rsidR="005D4F32" w:rsidRPr="00F749BC" w:rsidRDefault="005D4F32" w:rsidP="00046B81">
            <w:pPr>
              <w:tabs>
                <w:tab w:val="left" w:pos="1515"/>
              </w:tabs>
              <w:rPr>
                <w:rFonts w:cstheme="minorHAnsi"/>
                <w:sz w:val="16"/>
                <w:szCs w:val="16"/>
              </w:rPr>
            </w:pPr>
            <w:r w:rsidRPr="00F749BC">
              <w:rPr>
                <w:rFonts w:cstheme="minorHAnsi"/>
                <w:sz w:val="16"/>
                <w:szCs w:val="16"/>
              </w:rPr>
              <w:t>Coordination mechanisms</w:t>
            </w:r>
          </w:p>
        </w:tc>
        <w:tc>
          <w:tcPr>
            <w:tcW w:w="0" w:type="auto"/>
            <w:vAlign w:val="center"/>
          </w:tcPr>
          <w:p w14:paraId="6FEE5DE3" w14:textId="77777777" w:rsidR="005D4F32" w:rsidRPr="00F749BC" w:rsidRDefault="005D4F32" w:rsidP="00046B81">
            <w:pPr>
              <w:tabs>
                <w:tab w:val="left" w:pos="1515"/>
              </w:tabs>
              <w:rPr>
                <w:rFonts w:cstheme="minorHAnsi"/>
                <w:sz w:val="16"/>
                <w:szCs w:val="16"/>
              </w:rPr>
            </w:pPr>
            <w:r w:rsidRPr="00F749BC">
              <w:rPr>
                <w:rFonts w:cstheme="minorHAnsi"/>
                <w:sz w:val="16"/>
                <w:szCs w:val="16"/>
              </w:rPr>
              <w:t>Consolidate monitoring inputs; organise joint reviews</w:t>
            </w:r>
          </w:p>
        </w:tc>
        <w:tc>
          <w:tcPr>
            <w:tcW w:w="0" w:type="auto"/>
            <w:vAlign w:val="center"/>
          </w:tcPr>
          <w:p w14:paraId="2694C56D" w14:textId="77777777" w:rsidR="005D4F32" w:rsidRPr="00F749BC" w:rsidRDefault="005D4F32" w:rsidP="00046B81">
            <w:pPr>
              <w:tabs>
                <w:tab w:val="left" w:pos="1515"/>
              </w:tabs>
              <w:rPr>
                <w:rFonts w:cstheme="minorHAnsi"/>
                <w:sz w:val="16"/>
                <w:szCs w:val="16"/>
              </w:rPr>
            </w:pPr>
            <w:r w:rsidRPr="00F749BC">
              <w:rPr>
                <w:rFonts w:cstheme="minorHAnsi"/>
                <w:sz w:val="16"/>
                <w:szCs w:val="16"/>
              </w:rPr>
              <w:t>Support adaptive management</w:t>
            </w:r>
          </w:p>
        </w:tc>
        <w:tc>
          <w:tcPr>
            <w:tcW w:w="1886" w:type="dxa"/>
            <w:vAlign w:val="center"/>
          </w:tcPr>
          <w:p w14:paraId="3466B918" w14:textId="77777777" w:rsidR="005D4F32" w:rsidRPr="00F749BC" w:rsidRDefault="005D4F32" w:rsidP="00046B81">
            <w:pPr>
              <w:tabs>
                <w:tab w:val="left" w:pos="1515"/>
              </w:tabs>
              <w:rPr>
                <w:rFonts w:cstheme="minorHAnsi"/>
                <w:sz w:val="16"/>
                <w:szCs w:val="16"/>
              </w:rPr>
            </w:pPr>
            <w:r w:rsidRPr="00F749BC">
              <w:rPr>
                <w:rFonts w:cstheme="minorHAnsi"/>
                <w:sz w:val="16"/>
                <w:szCs w:val="16"/>
              </w:rPr>
              <w:t>Joint evaluation summaries</w:t>
            </w:r>
          </w:p>
        </w:tc>
      </w:tr>
    </w:tbl>
    <w:p w14:paraId="66017A37" w14:textId="70AA33FE" w:rsidR="000D5764" w:rsidRPr="00D60A13" w:rsidRDefault="000D5764" w:rsidP="00A66575">
      <w:pPr>
        <w:pStyle w:val="Heading1"/>
        <w:rPr>
          <w:lang w:val="en-GB"/>
        </w:rPr>
      </w:pPr>
      <w:bookmarkStart w:id="276" w:name="_Toc223524359"/>
      <w:bookmarkStart w:id="277" w:name="_Toc229036330"/>
      <w:r w:rsidRPr="00D60A13">
        <w:rPr>
          <w:lang w:val="en-GB"/>
        </w:rPr>
        <w:lastRenderedPageBreak/>
        <w:t>13. Annexes</w:t>
      </w:r>
      <w:bookmarkEnd w:id="276"/>
      <w:bookmarkEnd w:id="277"/>
    </w:p>
    <w:p w14:paraId="73D04DF6" w14:textId="7E9E5643" w:rsidR="000F6940" w:rsidRPr="000950B7" w:rsidRDefault="000D5764" w:rsidP="000950B7">
      <w:pPr>
        <w:pStyle w:val="Heading2"/>
        <w:rPr>
          <w:lang w:val="en-GB"/>
        </w:rPr>
      </w:pPr>
      <w:bookmarkStart w:id="278" w:name="_Toc223524360"/>
      <w:bookmarkStart w:id="279" w:name="_Toc229036331"/>
      <w:r w:rsidRPr="00D60A13">
        <w:rPr>
          <w:lang w:val="en-GB"/>
        </w:rPr>
        <w:t>13.</w:t>
      </w:r>
      <w:r w:rsidR="00A66575" w:rsidRPr="00D60A13">
        <w:rPr>
          <w:lang w:val="en-GB"/>
        </w:rPr>
        <w:t>1</w:t>
      </w:r>
      <w:r w:rsidRPr="00D60A13">
        <w:rPr>
          <w:lang w:val="en-GB"/>
        </w:rPr>
        <w:t xml:space="preserve"> </w:t>
      </w:r>
      <w:r w:rsidR="00A66575" w:rsidRPr="00D60A13">
        <w:rPr>
          <w:lang w:val="en-GB"/>
        </w:rPr>
        <w:t xml:space="preserve">Topographic and hydrogeological maps of </w:t>
      </w:r>
      <w:r w:rsidR="00C53B35">
        <w:rPr>
          <w:lang w:val="en-GB"/>
        </w:rPr>
        <w:t>Neretva</w:t>
      </w:r>
      <w:r w:rsidR="00A66575" w:rsidRPr="00D60A13">
        <w:rPr>
          <w:lang w:val="en-GB"/>
        </w:rPr>
        <w:t xml:space="preserve"> TBA</w:t>
      </w:r>
      <w:bookmarkEnd w:id="278"/>
      <w:bookmarkEnd w:id="279"/>
    </w:p>
    <w:p w14:paraId="49043D3E" w14:textId="5B6E33F7" w:rsidR="00922712" w:rsidRPr="00D60A13" w:rsidRDefault="000950B7" w:rsidP="000950B7">
      <w:pPr>
        <w:jc w:val="center"/>
        <w:rPr>
          <w:rFonts w:asciiTheme="majorHAnsi" w:eastAsiaTheme="majorEastAsia" w:hAnsiTheme="majorHAnsi" w:cstheme="majorBidi"/>
          <w:b/>
          <w:color w:val="0070C0"/>
          <w:kern w:val="2"/>
          <w:sz w:val="24"/>
          <w:szCs w:val="32"/>
          <w14:ligatures w14:val="standardContextual"/>
        </w:rPr>
      </w:pPr>
      <w:r>
        <w:rPr>
          <w:noProof/>
        </w:rPr>
        <w:drawing>
          <wp:inline distT="0" distB="0" distL="0" distR="0" wp14:anchorId="2DCC62EC" wp14:editId="0789186E">
            <wp:extent cx="5269523" cy="8033912"/>
            <wp:effectExtent l="0" t="0" r="7620" b="5715"/>
            <wp:docPr id="19703116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311656" name="Picture 197031165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293337" cy="8070218"/>
                    </a:xfrm>
                    <a:prstGeom prst="rect">
                      <a:avLst/>
                    </a:prstGeom>
                  </pic:spPr>
                </pic:pic>
              </a:graphicData>
            </a:graphic>
          </wp:inline>
        </w:drawing>
      </w:r>
      <w:r w:rsidR="00922712" w:rsidRPr="00D60A13">
        <w:br w:type="page"/>
      </w:r>
    </w:p>
    <w:p w14:paraId="645BDC38" w14:textId="60F7DF98" w:rsidR="00F04BE5" w:rsidRPr="00394947" w:rsidRDefault="000950B7" w:rsidP="000950B7">
      <w:pPr>
        <w:jc w:val="center"/>
      </w:pPr>
      <w:r>
        <w:rPr>
          <w:noProof/>
        </w:rPr>
        <w:lastRenderedPageBreak/>
        <w:drawing>
          <wp:inline distT="0" distB="0" distL="0" distR="0" wp14:anchorId="2049BAEA" wp14:editId="19AC7173">
            <wp:extent cx="5591908" cy="8386005"/>
            <wp:effectExtent l="0" t="0" r="8890" b="0"/>
            <wp:docPr id="1136167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167452" name="Picture 113616745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04036" cy="8404192"/>
                    </a:xfrm>
                    <a:prstGeom prst="rect">
                      <a:avLst/>
                    </a:prstGeom>
                  </pic:spPr>
                </pic:pic>
              </a:graphicData>
            </a:graphic>
          </wp:inline>
        </w:drawing>
      </w:r>
      <w:r w:rsidR="00F04BE5" w:rsidRPr="00D60A13">
        <w:br w:type="page"/>
      </w:r>
    </w:p>
    <w:p w14:paraId="69EBC33E" w14:textId="51DF4608" w:rsidR="00104A51" w:rsidRPr="00D60A13" w:rsidRDefault="00104A51" w:rsidP="00104A51">
      <w:pPr>
        <w:pStyle w:val="Heading2"/>
        <w:rPr>
          <w:lang w:val="en-GB"/>
        </w:rPr>
      </w:pPr>
      <w:bookmarkStart w:id="280" w:name="_Toc223524362"/>
      <w:bookmarkStart w:id="281" w:name="_Toc229036332"/>
      <w:r w:rsidRPr="00D60A13">
        <w:rPr>
          <w:lang w:val="en-GB"/>
        </w:rPr>
        <w:lastRenderedPageBreak/>
        <w:t>13.</w:t>
      </w:r>
      <w:r w:rsidR="00C53B35">
        <w:rPr>
          <w:lang w:val="en-GB"/>
        </w:rPr>
        <w:t>2</w:t>
      </w:r>
      <w:r w:rsidRPr="00D60A13">
        <w:rPr>
          <w:lang w:val="en-GB"/>
        </w:rPr>
        <w:t xml:space="preserve"> Stakeholder list</w:t>
      </w:r>
      <w:bookmarkEnd w:id="280"/>
      <w:bookmarkEnd w:id="281"/>
      <w:r w:rsidRPr="00D60A13">
        <w:rPr>
          <w:lang w:val="en-GB"/>
        </w:rPr>
        <w:t xml:space="preserve"> </w:t>
      </w:r>
    </w:p>
    <w:tbl>
      <w:tblPr>
        <w:tblW w:w="8398" w:type="dxa"/>
        <w:jc w:val="center"/>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321"/>
        <w:gridCol w:w="2294"/>
        <w:gridCol w:w="2372"/>
        <w:gridCol w:w="2411"/>
      </w:tblGrid>
      <w:tr w:rsidR="00104A51" w:rsidRPr="00FF01CA" w14:paraId="74934DCB" w14:textId="77777777" w:rsidTr="00FF01CA">
        <w:trPr>
          <w:trHeight w:val="448"/>
          <w:tblHeader/>
          <w:tblCellSpacing w:w="15" w:type="dxa"/>
          <w:jc w:val="center"/>
        </w:trPr>
        <w:tc>
          <w:tcPr>
            <w:tcW w:w="8338" w:type="dxa"/>
            <w:gridSpan w:val="4"/>
            <w:shd w:val="clear" w:color="auto" w:fill="D9E2F3" w:themeFill="accent1" w:themeFillTint="33"/>
            <w:vAlign w:val="center"/>
          </w:tcPr>
          <w:p w14:paraId="14AE0F72" w14:textId="5F631BA5" w:rsidR="00104A51" w:rsidRPr="00FF01CA" w:rsidRDefault="00104A51" w:rsidP="00FF01CA">
            <w:pPr>
              <w:tabs>
                <w:tab w:val="left" w:pos="1515"/>
              </w:tabs>
              <w:jc w:val="center"/>
              <w:rPr>
                <w:rFonts w:cstheme="minorHAnsi"/>
                <w:b/>
                <w:bCs/>
                <w:sz w:val="16"/>
                <w:szCs w:val="16"/>
              </w:rPr>
            </w:pPr>
            <w:r w:rsidRPr="00FF01CA">
              <w:rPr>
                <w:rFonts w:cstheme="minorHAnsi"/>
                <w:b/>
                <w:bCs/>
                <w:sz w:val="16"/>
                <w:szCs w:val="16"/>
              </w:rPr>
              <w:t>CROATIA</w:t>
            </w:r>
          </w:p>
        </w:tc>
      </w:tr>
      <w:tr w:rsidR="00104A51" w:rsidRPr="00FF01CA" w14:paraId="1D629DED" w14:textId="77777777" w:rsidTr="00FF01CA">
        <w:trPr>
          <w:trHeight w:val="495"/>
          <w:tblHeader/>
          <w:tblCellSpacing w:w="15" w:type="dxa"/>
          <w:jc w:val="center"/>
        </w:trPr>
        <w:tc>
          <w:tcPr>
            <w:tcW w:w="0" w:type="auto"/>
            <w:shd w:val="clear" w:color="auto" w:fill="D9E2F3" w:themeFill="accent1" w:themeFillTint="33"/>
            <w:vAlign w:val="center"/>
            <w:hideMark/>
          </w:tcPr>
          <w:p w14:paraId="521C6C97" w14:textId="77777777" w:rsidR="00104A51" w:rsidRPr="00FF01CA" w:rsidRDefault="00104A51" w:rsidP="00FF01CA">
            <w:pPr>
              <w:tabs>
                <w:tab w:val="left" w:pos="1515"/>
              </w:tabs>
              <w:jc w:val="center"/>
              <w:rPr>
                <w:rFonts w:cstheme="minorHAnsi"/>
                <w:b/>
                <w:bCs/>
                <w:sz w:val="16"/>
                <w:szCs w:val="16"/>
              </w:rPr>
            </w:pPr>
            <w:r w:rsidRPr="00FF01CA">
              <w:rPr>
                <w:rFonts w:cstheme="minorHAnsi"/>
                <w:b/>
                <w:bCs/>
                <w:sz w:val="16"/>
                <w:szCs w:val="16"/>
              </w:rPr>
              <w:t>Stakeholder Group</w:t>
            </w:r>
          </w:p>
        </w:tc>
        <w:tc>
          <w:tcPr>
            <w:tcW w:w="0" w:type="auto"/>
            <w:shd w:val="clear" w:color="auto" w:fill="D9E2F3" w:themeFill="accent1" w:themeFillTint="33"/>
            <w:vAlign w:val="center"/>
            <w:hideMark/>
          </w:tcPr>
          <w:p w14:paraId="277EC2D6" w14:textId="77777777" w:rsidR="00104A51" w:rsidRPr="00FF01CA" w:rsidRDefault="00104A51" w:rsidP="00FF01CA">
            <w:pPr>
              <w:tabs>
                <w:tab w:val="left" w:pos="1515"/>
              </w:tabs>
              <w:jc w:val="center"/>
              <w:rPr>
                <w:rFonts w:cstheme="minorHAnsi"/>
                <w:b/>
                <w:bCs/>
                <w:sz w:val="16"/>
                <w:szCs w:val="16"/>
              </w:rPr>
            </w:pPr>
            <w:r w:rsidRPr="00FF01CA">
              <w:rPr>
                <w:rFonts w:cstheme="minorHAnsi"/>
                <w:b/>
                <w:bCs/>
                <w:sz w:val="16"/>
                <w:szCs w:val="16"/>
              </w:rPr>
              <w:t>Key Actors</w:t>
            </w:r>
          </w:p>
        </w:tc>
        <w:tc>
          <w:tcPr>
            <w:tcW w:w="0" w:type="auto"/>
            <w:shd w:val="clear" w:color="auto" w:fill="D9E2F3" w:themeFill="accent1" w:themeFillTint="33"/>
            <w:vAlign w:val="center"/>
            <w:hideMark/>
          </w:tcPr>
          <w:p w14:paraId="45054763" w14:textId="77777777" w:rsidR="00104A51" w:rsidRPr="00FF01CA" w:rsidRDefault="00104A51" w:rsidP="00FF01CA">
            <w:pPr>
              <w:tabs>
                <w:tab w:val="left" w:pos="1515"/>
              </w:tabs>
              <w:jc w:val="center"/>
              <w:rPr>
                <w:rFonts w:cstheme="minorHAnsi"/>
                <w:b/>
                <w:bCs/>
                <w:sz w:val="16"/>
                <w:szCs w:val="16"/>
              </w:rPr>
            </w:pPr>
            <w:r w:rsidRPr="00FF01CA">
              <w:rPr>
                <w:rFonts w:cstheme="minorHAnsi"/>
                <w:b/>
                <w:bCs/>
                <w:sz w:val="16"/>
                <w:szCs w:val="16"/>
              </w:rPr>
              <w:t>Mandates / Roles</w:t>
            </w:r>
          </w:p>
        </w:tc>
        <w:tc>
          <w:tcPr>
            <w:tcW w:w="2366" w:type="dxa"/>
            <w:shd w:val="clear" w:color="auto" w:fill="D9E2F3" w:themeFill="accent1" w:themeFillTint="33"/>
            <w:vAlign w:val="center"/>
            <w:hideMark/>
          </w:tcPr>
          <w:p w14:paraId="76906AEB" w14:textId="77777777" w:rsidR="00104A51" w:rsidRPr="00FF01CA" w:rsidRDefault="00104A51" w:rsidP="00FF01CA">
            <w:pPr>
              <w:tabs>
                <w:tab w:val="left" w:pos="1515"/>
              </w:tabs>
              <w:jc w:val="center"/>
              <w:rPr>
                <w:rFonts w:cstheme="minorHAnsi"/>
                <w:b/>
                <w:bCs/>
                <w:sz w:val="16"/>
                <w:szCs w:val="16"/>
              </w:rPr>
            </w:pPr>
            <w:r w:rsidRPr="00FF01CA">
              <w:rPr>
                <w:rFonts w:cstheme="minorHAnsi"/>
                <w:b/>
                <w:bCs/>
                <w:sz w:val="16"/>
                <w:szCs w:val="16"/>
              </w:rPr>
              <w:t>Relevance to Groundwater</w:t>
            </w:r>
          </w:p>
        </w:tc>
      </w:tr>
      <w:tr w:rsidR="00104A51" w:rsidRPr="00FF01CA" w14:paraId="155BC84A" w14:textId="77777777" w:rsidTr="00FF01CA">
        <w:trPr>
          <w:trHeight w:val="498"/>
          <w:tblCellSpacing w:w="15" w:type="dxa"/>
          <w:jc w:val="center"/>
        </w:trPr>
        <w:tc>
          <w:tcPr>
            <w:tcW w:w="0" w:type="auto"/>
            <w:vAlign w:val="center"/>
            <w:hideMark/>
          </w:tcPr>
          <w:p w14:paraId="6B515DF1" w14:textId="77777777" w:rsidR="00104A51" w:rsidRPr="00FF01CA" w:rsidRDefault="00104A51" w:rsidP="00FF01CA">
            <w:pPr>
              <w:tabs>
                <w:tab w:val="left" w:pos="1515"/>
              </w:tabs>
              <w:jc w:val="center"/>
              <w:rPr>
                <w:rFonts w:cstheme="minorHAnsi"/>
                <w:sz w:val="16"/>
                <w:szCs w:val="16"/>
              </w:rPr>
            </w:pPr>
            <w:r w:rsidRPr="00FF01CA">
              <w:rPr>
                <w:rFonts w:cstheme="minorHAnsi"/>
                <w:sz w:val="16"/>
                <w:szCs w:val="16"/>
              </w:rPr>
              <w:t>National Authorities</w:t>
            </w:r>
          </w:p>
        </w:tc>
        <w:tc>
          <w:tcPr>
            <w:tcW w:w="0" w:type="auto"/>
            <w:vAlign w:val="center"/>
            <w:hideMark/>
          </w:tcPr>
          <w:p w14:paraId="2B8DE661" w14:textId="3553050D" w:rsidR="00104A51" w:rsidRPr="00FF01CA" w:rsidRDefault="00FF01CA" w:rsidP="00FF01CA">
            <w:pPr>
              <w:tabs>
                <w:tab w:val="left" w:pos="1515"/>
              </w:tabs>
              <w:jc w:val="center"/>
              <w:rPr>
                <w:rFonts w:cstheme="minorHAnsi"/>
                <w:sz w:val="16"/>
                <w:szCs w:val="16"/>
              </w:rPr>
            </w:pPr>
            <w:r w:rsidRPr="00FF01CA">
              <w:rPr>
                <w:rFonts w:cstheme="minorHAnsi"/>
                <w:sz w:val="16"/>
                <w:szCs w:val="16"/>
              </w:rPr>
              <w:t>Ministry of Environmental Protection and Green Transition</w:t>
            </w:r>
            <w:r w:rsidR="00104A51" w:rsidRPr="00FF01CA">
              <w:rPr>
                <w:rFonts w:cstheme="minorHAnsi"/>
                <w:sz w:val="16"/>
                <w:szCs w:val="16"/>
              </w:rPr>
              <w:t>; Ministry of Agriculture</w:t>
            </w:r>
          </w:p>
        </w:tc>
        <w:tc>
          <w:tcPr>
            <w:tcW w:w="0" w:type="auto"/>
            <w:vAlign w:val="center"/>
            <w:hideMark/>
          </w:tcPr>
          <w:p w14:paraId="7DCBEC94" w14:textId="77777777" w:rsidR="00104A51" w:rsidRPr="00FF01CA" w:rsidRDefault="00104A51" w:rsidP="00FF01CA">
            <w:pPr>
              <w:tabs>
                <w:tab w:val="left" w:pos="1515"/>
              </w:tabs>
              <w:jc w:val="center"/>
              <w:rPr>
                <w:rFonts w:cstheme="minorHAnsi"/>
                <w:sz w:val="16"/>
                <w:szCs w:val="16"/>
              </w:rPr>
            </w:pPr>
            <w:r w:rsidRPr="00FF01CA">
              <w:rPr>
                <w:rFonts w:cstheme="minorHAnsi"/>
                <w:sz w:val="16"/>
                <w:szCs w:val="16"/>
              </w:rPr>
              <w:t>Water policy, groundwater protection, sanitation standards</w:t>
            </w:r>
          </w:p>
        </w:tc>
        <w:tc>
          <w:tcPr>
            <w:tcW w:w="2366" w:type="dxa"/>
            <w:vAlign w:val="center"/>
            <w:hideMark/>
          </w:tcPr>
          <w:p w14:paraId="133FE5B3" w14:textId="1289C661" w:rsidR="00104A51" w:rsidRPr="00FF01CA" w:rsidRDefault="00104A51" w:rsidP="00FF01CA">
            <w:pPr>
              <w:tabs>
                <w:tab w:val="left" w:pos="1515"/>
              </w:tabs>
              <w:jc w:val="center"/>
              <w:rPr>
                <w:rFonts w:cstheme="minorHAnsi"/>
                <w:sz w:val="16"/>
                <w:szCs w:val="16"/>
              </w:rPr>
            </w:pPr>
            <w:r w:rsidRPr="00FF01CA">
              <w:rPr>
                <w:rFonts w:cstheme="minorHAnsi"/>
                <w:sz w:val="16"/>
                <w:szCs w:val="16"/>
              </w:rPr>
              <w:t>High – sets regulatory framework</w:t>
            </w:r>
            <w:r w:rsidR="003B14D5" w:rsidRPr="00FF01CA">
              <w:rPr>
                <w:rFonts w:cstheme="minorHAnsi"/>
                <w:sz w:val="16"/>
                <w:szCs w:val="16"/>
              </w:rPr>
              <w:t xml:space="preserve"> and standards</w:t>
            </w:r>
          </w:p>
        </w:tc>
      </w:tr>
      <w:tr w:rsidR="00104A51" w:rsidRPr="00FF01CA" w14:paraId="4076885D" w14:textId="77777777" w:rsidTr="00FF01CA">
        <w:trPr>
          <w:trHeight w:val="498"/>
          <w:tblCellSpacing w:w="15" w:type="dxa"/>
          <w:jc w:val="center"/>
        </w:trPr>
        <w:tc>
          <w:tcPr>
            <w:tcW w:w="0" w:type="auto"/>
            <w:vAlign w:val="center"/>
          </w:tcPr>
          <w:p w14:paraId="7D1F8490" w14:textId="77777777" w:rsidR="00104A51" w:rsidRPr="00FF01CA" w:rsidRDefault="00104A51" w:rsidP="00FF01CA">
            <w:pPr>
              <w:tabs>
                <w:tab w:val="left" w:pos="1515"/>
              </w:tabs>
              <w:jc w:val="center"/>
              <w:rPr>
                <w:rFonts w:cstheme="minorHAnsi"/>
                <w:sz w:val="16"/>
                <w:szCs w:val="16"/>
              </w:rPr>
            </w:pPr>
            <w:r w:rsidRPr="00FF01CA">
              <w:rPr>
                <w:rFonts w:cstheme="minorHAnsi"/>
                <w:sz w:val="16"/>
                <w:szCs w:val="16"/>
              </w:rPr>
              <w:t>Water Management Institutions</w:t>
            </w:r>
          </w:p>
        </w:tc>
        <w:tc>
          <w:tcPr>
            <w:tcW w:w="0" w:type="auto"/>
            <w:vAlign w:val="center"/>
          </w:tcPr>
          <w:p w14:paraId="3D2D85AB" w14:textId="2CE01F4C" w:rsidR="00104A51" w:rsidRPr="00FF01CA" w:rsidRDefault="003B14D5" w:rsidP="00FF01CA">
            <w:pPr>
              <w:tabs>
                <w:tab w:val="left" w:pos="1515"/>
              </w:tabs>
              <w:jc w:val="center"/>
              <w:rPr>
                <w:rFonts w:cstheme="minorHAnsi"/>
                <w:sz w:val="16"/>
                <w:szCs w:val="16"/>
              </w:rPr>
            </w:pPr>
            <w:r w:rsidRPr="00FF01CA">
              <w:rPr>
                <w:rFonts w:cstheme="minorHAnsi"/>
                <w:sz w:val="16"/>
                <w:szCs w:val="16"/>
              </w:rPr>
              <w:t>Croatian Waters (</w:t>
            </w:r>
            <w:proofErr w:type="spellStart"/>
            <w:r w:rsidRPr="00FF01CA">
              <w:rPr>
                <w:rFonts w:cstheme="minorHAnsi"/>
                <w:sz w:val="16"/>
                <w:szCs w:val="16"/>
              </w:rPr>
              <w:t>Hrvatske</w:t>
            </w:r>
            <w:proofErr w:type="spellEnd"/>
            <w:r w:rsidRPr="00FF01CA">
              <w:rPr>
                <w:rFonts w:cstheme="minorHAnsi"/>
                <w:sz w:val="16"/>
                <w:szCs w:val="16"/>
              </w:rPr>
              <w:t xml:space="preserve"> </w:t>
            </w:r>
            <w:proofErr w:type="spellStart"/>
            <w:r w:rsidRPr="00FF01CA">
              <w:rPr>
                <w:rFonts w:cstheme="minorHAnsi"/>
                <w:sz w:val="16"/>
                <w:szCs w:val="16"/>
              </w:rPr>
              <w:t>vode</w:t>
            </w:r>
            <w:proofErr w:type="spellEnd"/>
            <w:r w:rsidRPr="00FF01CA">
              <w:rPr>
                <w:rFonts w:cstheme="minorHAnsi"/>
                <w:sz w:val="16"/>
                <w:szCs w:val="16"/>
              </w:rPr>
              <w:t>)</w:t>
            </w:r>
          </w:p>
        </w:tc>
        <w:tc>
          <w:tcPr>
            <w:tcW w:w="0" w:type="auto"/>
            <w:vAlign w:val="center"/>
          </w:tcPr>
          <w:p w14:paraId="166DC69E" w14:textId="08ACD8FA" w:rsidR="00104A51" w:rsidRPr="00FF01CA" w:rsidRDefault="00104A51" w:rsidP="00FF01CA">
            <w:pPr>
              <w:tabs>
                <w:tab w:val="left" w:pos="1515"/>
              </w:tabs>
              <w:jc w:val="center"/>
              <w:rPr>
                <w:rFonts w:cstheme="minorHAnsi"/>
                <w:sz w:val="16"/>
                <w:szCs w:val="16"/>
              </w:rPr>
            </w:pPr>
            <w:r w:rsidRPr="00FF01CA">
              <w:rPr>
                <w:rFonts w:cstheme="minorHAnsi"/>
                <w:sz w:val="16"/>
                <w:szCs w:val="16"/>
              </w:rPr>
              <w:t>Monitoring, abstraction permits, enforcement, protection zones</w:t>
            </w:r>
            <w:r w:rsidR="00674841" w:rsidRPr="00FF01CA">
              <w:rPr>
                <w:rFonts w:cstheme="minorHAnsi"/>
                <w:sz w:val="16"/>
                <w:szCs w:val="16"/>
              </w:rPr>
              <w:t xml:space="preserve"> designation</w:t>
            </w:r>
          </w:p>
        </w:tc>
        <w:tc>
          <w:tcPr>
            <w:tcW w:w="2366" w:type="dxa"/>
            <w:vAlign w:val="center"/>
          </w:tcPr>
          <w:p w14:paraId="0C69588B" w14:textId="77777777" w:rsidR="00104A51" w:rsidRPr="00FF01CA" w:rsidRDefault="00104A51" w:rsidP="00FF01CA">
            <w:pPr>
              <w:tabs>
                <w:tab w:val="left" w:pos="1515"/>
              </w:tabs>
              <w:jc w:val="center"/>
              <w:rPr>
                <w:rFonts w:cstheme="minorHAnsi"/>
                <w:sz w:val="16"/>
                <w:szCs w:val="16"/>
              </w:rPr>
            </w:pPr>
            <w:r w:rsidRPr="00FF01CA">
              <w:rPr>
                <w:rFonts w:cstheme="minorHAnsi"/>
                <w:sz w:val="16"/>
                <w:szCs w:val="16"/>
              </w:rPr>
              <w:t>Very High – core technical authority</w:t>
            </w:r>
          </w:p>
        </w:tc>
      </w:tr>
      <w:tr w:rsidR="007A5A25" w:rsidRPr="00FF01CA" w14:paraId="7206900B" w14:textId="77777777" w:rsidTr="00FF01CA">
        <w:trPr>
          <w:trHeight w:val="498"/>
          <w:tblCellSpacing w:w="15" w:type="dxa"/>
          <w:jc w:val="center"/>
        </w:trPr>
        <w:tc>
          <w:tcPr>
            <w:tcW w:w="0" w:type="auto"/>
            <w:vAlign w:val="center"/>
          </w:tcPr>
          <w:p w14:paraId="1E5A36A6"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County Governments</w:t>
            </w:r>
          </w:p>
        </w:tc>
        <w:tc>
          <w:tcPr>
            <w:tcW w:w="0" w:type="auto"/>
            <w:vAlign w:val="center"/>
          </w:tcPr>
          <w:p w14:paraId="05EF3023" w14:textId="0DF3EE18" w:rsidR="007A5A25" w:rsidRPr="00FF01CA" w:rsidRDefault="007A5A25" w:rsidP="00FF01CA">
            <w:pPr>
              <w:tabs>
                <w:tab w:val="left" w:pos="1515"/>
              </w:tabs>
              <w:jc w:val="center"/>
              <w:rPr>
                <w:rFonts w:cstheme="minorHAnsi"/>
                <w:sz w:val="16"/>
                <w:szCs w:val="16"/>
              </w:rPr>
            </w:pPr>
            <w:r w:rsidRPr="00FF01CA">
              <w:rPr>
                <w:rFonts w:cstheme="minorHAnsi"/>
                <w:sz w:val="16"/>
                <w:szCs w:val="16"/>
              </w:rPr>
              <w:t>Dubrovnik-Neretva County</w:t>
            </w:r>
          </w:p>
        </w:tc>
        <w:tc>
          <w:tcPr>
            <w:tcW w:w="0" w:type="auto"/>
            <w:vAlign w:val="center"/>
          </w:tcPr>
          <w:p w14:paraId="44165A2C" w14:textId="772239BD" w:rsidR="007A5A25" w:rsidRPr="00FF01CA" w:rsidRDefault="007A5A25" w:rsidP="00FF01CA">
            <w:pPr>
              <w:tabs>
                <w:tab w:val="left" w:pos="1515"/>
              </w:tabs>
              <w:jc w:val="center"/>
              <w:rPr>
                <w:rFonts w:cstheme="minorHAnsi"/>
                <w:sz w:val="16"/>
                <w:szCs w:val="16"/>
              </w:rPr>
            </w:pPr>
            <w:r w:rsidRPr="00FF01CA">
              <w:rPr>
                <w:rFonts w:cstheme="minorHAnsi"/>
                <w:sz w:val="16"/>
                <w:szCs w:val="16"/>
              </w:rPr>
              <w:t>Environmental management, spatial planning, regional coordination</w:t>
            </w:r>
          </w:p>
        </w:tc>
        <w:tc>
          <w:tcPr>
            <w:tcW w:w="2366" w:type="dxa"/>
            <w:vAlign w:val="center"/>
          </w:tcPr>
          <w:p w14:paraId="288E3150" w14:textId="71788DC9" w:rsidR="007A5A25" w:rsidRPr="00FF01CA" w:rsidRDefault="007A5A25" w:rsidP="00FF01CA">
            <w:pPr>
              <w:tabs>
                <w:tab w:val="left" w:pos="1515"/>
              </w:tabs>
              <w:jc w:val="center"/>
              <w:rPr>
                <w:rFonts w:cstheme="minorHAnsi"/>
                <w:sz w:val="16"/>
                <w:szCs w:val="16"/>
              </w:rPr>
            </w:pPr>
            <w:r w:rsidRPr="00FF01CA">
              <w:rPr>
                <w:rFonts w:cstheme="minorHAnsi"/>
                <w:sz w:val="16"/>
                <w:szCs w:val="16"/>
              </w:rPr>
              <w:t>Medium–High – influences land use in recharge and agricultural areas</w:t>
            </w:r>
          </w:p>
        </w:tc>
      </w:tr>
      <w:tr w:rsidR="007A5A25" w:rsidRPr="00FF01CA" w14:paraId="6F0A3011" w14:textId="77777777" w:rsidTr="00FF01CA">
        <w:trPr>
          <w:trHeight w:val="498"/>
          <w:tblCellSpacing w:w="15" w:type="dxa"/>
          <w:jc w:val="center"/>
        </w:trPr>
        <w:tc>
          <w:tcPr>
            <w:tcW w:w="0" w:type="auto"/>
            <w:vAlign w:val="center"/>
          </w:tcPr>
          <w:p w14:paraId="00D0E8DE"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Municipalities</w:t>
            </w:r>
          </w:p>
        </w:tc>
        <w:tc>
          <w:tcPr>
            <w:tcW w:w="0" w:type="auto"/>
            <w:vAlign w:val="center"/>
          </w:tcPr>
          <w:p w14:paraId="69822B4B" w14:textId="1FF6F0A7" w:rsidR="007A5A25" w:rsidRPr="00FF01CA" w:rsidRDefault="007A5A25" w:rsidP="00FF01CA">
            <w:pPr>
              <w:tabs>
                <w:tab w:val="left" w:pos="1515"/>
              </w:tabs>
              <w:jc w:val="center"/>
              <w:rPr>
                <w:rFonts w:cstheme="minorHAnsi"/>
                <w:sz w:val="16"/>
                <w:szCs w:val="16"/>
              </w:rPr>
            </w:pPr>
            <w:proofErr w:type="spellStart"/>
            <w:r w:rsidRPr="00FF01CA">
              <w:rPr>
                <w:rFonts w:cstheme="minorHAnsi"/>
                <w:sz w:val="16"/>
                <w:szCs w:val="16"/>
              </w:rPr>
              <w:t>Metković</w:t>
            </w:r>
            <w:proofErr w:type="spellEnd"/>
            <w:r w:rsidRPr="00FF01CA">
              <w:rPr>
                <w:rFonts w:cstheme="minorHAnsi"/>
                <w:sz w:val="16"/>
                <w:szCs w:val="16"/>
              </w:rPr>
              <w:t xml:space="preserve">, </w:t>
            </w:r>
            <w:proofErr w:type="spellStart"/>
            <w:r w:rsidRPr="00FF01CA">
              <w:rPr>
                <w:rFonts w:cstheme="minorHAnsi"/>
                <w:sz w:val="16"/>
                <w:szCs w:val="16"/>
              </w:rPr>
              <w:t>Opuzen</w:t>
            </w:r>
            <w:proofErr w:type="spellEnd"/>
            <w:r w:rsidRPr="00FF01CA">
              <w:rPr>
                <w:rFonts w:cstheme="minorHAnsi"/>
                <w:sz w:val="16"/>
                <w:szCs w:val="16"/>
              </w:rPr>
              <w:t xml:space="preserve">, </w:t>
            </w:r>
            <w:proofErr w:type="spellStart"/>
            <w:r w:rsidRPr="00FF01CA">
              <w:rPr>
                <w:rFonts w:cstheme="minorHAnsi"/>
                <w:sz w:val="16"/>
                <w:szCs w:val="16"/>
              </w:rPr>
              <w:t>Ploče</w:t>
            </w:r>
            <w:proofErr w:type="spellEnd"/>
          </w:p>
        </w:tc>
        <w:tc>
          <w:tcPr>
            <w:tcW w:w="0" w:type="auto"/>
            <w:vAlign w:val="center"/>
          </w:tcPr>
          <w:p w14:paraId="41C3C140" w14:textId="0C2FDFB1" w:rsidR="007A5A25" w:rsidRPr="00FF01CA" w:rsidRDefault="007A5A25" w:rsidP="00FF01CA">
            <w:pPr>
              <w:tabs>
                <w:tab w:val="left" w:pos="1515"/>
              </w:tabs>
              <w:jc w:val="center"/>
              <w:rPr>
                <w:rFonts w:cstheme="minorHAnsi"/>
                <w:sz w:val="16"/>
                <w:szCs w:val="16"/>
              </w:rPr>
            </w:pPr>
            <w:r w:rsidRPr="00FF01CA">
              <w:rPr>
                <w:rFonts w:cstheme="minorHAnsi"/>
                <w:sz w:val="16"/>
                <w:szCs w:val="16"/>
              </w:rPr>
              <w:t>Local planning, sanitation, wastewater management, inspections, permitting</w:t>
            </w:r>
          </w:p>
        </w:tc>
        <w:tc>
          <w:tcPr>
            <w:tcW w:w="2366" w:type="dxa"/>
            <w:vAlign w:val="center"/>
          </w:tcPr>
          <w:p w14:paraId="0DD993DD" w14:textId="146FD799" w:rsidR="007A5A25" w:rsidRPr="00FF01CA" w:rsidRDefault="007A5A25" w:rsidP="00FF01CA">
            <w:pPr>
              <w:tabs>
                <w:tab w:val="left" w:pos="1515"/>
              </w:tabs>
              <w:jc w:val="center"/>
              <w:rPr>
                <w:rFonts w:cstheme="minorHAnsi"/>
                <w:sz w:val="16"/>
                <w:szCs w:val="16"/>
              </w:rPr>
            </w:pPr>
            <w:r w:rsidRPr="00FF01CA">
              <w:rPr>
                <w:rFonts w:cstheme="minorHAnsi"/>
                <w:sz w:val="16"/>
                <w:szCs w:val="16"/>
              </w:rPr>
              <w:t>High – direct control over local pressures and land use</w:t>
            </w:r>
          </w:p>
        </w:tc>
      </w:tr>
      <w:tr w:rsidR="007A5A25" w:rsidRPr="00FF01CA" w14:paraId="69946ED4" w14:textId="77777777" w:rsidTr="00FF01CA">
        <w:trPr>
          <w:trHeight w:val="498"/>
          <w:tblCellSpacing w:w="15" w:type="dxa"/>
          <w:jc w:val="center"/>
        </w:trPr>
        <w:tc>
          <w:tcPr>
            <w:tcW w:w="0" w:type="auto"/>
            <w:vAlign w:val="center"/>
          </w:tcPr>
          <w:p w14:paraId="74E2F183"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Public Utilities</w:t>
            </w:r>
          </w:p>
        </w:tc>
        <w:tc>
          <w:tcPr>
            <w:tcW w:w="0" w:type="auto"/>
            <w:vAlign w:val="center"/>
          </w:tcPr>
          <w:p w14:paraId="415819D0" w14:textId="6E45C0B0" w:rsidR="007A5A25" w:rsidRPr="00FF01CA" w:rsidRDefault="007A5A25" w:rsidP="00FF01CA">
            <w:pPr>
              <w:tabs>
                <w:tab w:val="left" w:pos="1515"/>
              </w:tabs>
              <w:jc w:val="center"/>
              <w:rPr>
                <w:rFonts w:cstheme="minorHAnsi"/>
                <w:sz w:val="16"/>
                <w:szCs w:val="16"/>
              </w:rPr>
            </w:pPr>
            <w:r w:rsidRPr="00FF01CA">
              <w:rPr>
                <w:rFonts w:cstheme="minorHAnsi"/>
                <w:sz w:val="16"/>
                <w:szCs w:val="16"/>
              </w:rPr>
              <w:t>Local water-supply utilities</w:t>
            </w:r>
          </w:p>
        </w:tc>
        <w:tc>
          <w:tcPr>
            <w:tcW w:w="0" w:type="auto"/>
            <w:vAlign w:val="center"/>
          </w:tcPr>
          <w:p w14:paraId="6BE317B4" w14:textId="2443757B" w:rsidR="007A5A25" w:rsidRPr="00FF01CA" w:rsidRDefault="007A5A25" w:rsidP="00FF01CA">
            <w:pPr>
              <w:tabs>
                <w:tab w:val="left" w:pos="1515"/>
              </w:tabs>
              <w:jc w:val="center"/>
              <w:rPr>
                <w:rFonts w:cstheme="minorHAnsi"/>
                <w:sz w:val="16"/>
                <w:szCs w:val="16"/>
              </w:rPr>
            </w:pPr>
            <w:r w:rsidRPr="00FF01CA">
              <w:rPr>
                <w:rFonts w:cstheme="minorHAnsi"/>
                <w:sz w:val="16"/>
                <w:szCs w:val="16"/>
              </w:rPr>
              <w:t>Operation of groundwater-based supply systems; water quality management</w:t>
            </w:r>
          </w:p>
        </w:tc>
        <w:tc>
          <w:tcPr>
            <w:tcW w:w="2366" w:type="dxa"/>
            <w:vAlign w:val="center"/>
          </w:tcPr>
          <w:p w14:paraId="021137C0" w14:textId="26C04251" w:rsidR="007A5A25" w:rsidRPr="00FF01CA" w:rsidRDefault="007A5A25" w:rsidP="00FF01CA">
            <w:pPr>
              <w:tabs>
                <w:tab w:val="left" w:pos="1515"/>
              </w:tabs>
              <w:jc w:val="center"/>
              <w:rPr>
                <w:rFonts w:cstheme="minorHAnsi"/>
                <w:sz w:val="16"/>
                <w:szCs w:val="16"/>
              </w:rPr>
            </w:pPr>
            <w:r w:rsidRPr="00FF01CA">
              <w:rPr>
                <w:rFonts w:cstheme="minorHAnsi"/>
                <w:sz w:val="16"/>
                <w:szCs w:val="16"/>
              </w:rPr>
              <w:t>Medium–High – directly dependent on groundwater resources</w:t>
            </w:r>
          </w:p>
        </w:tc>
      </w:tr>
      <w:tr w:rsidR="007A5A25" w:rsidRPr="00FF01CA" w14:paraId="725383D5" w14:textId="77777777" w:rsidTr="00FF01CA">
        <w:trPr>
          <w:trHeight w:val="498"/>
          <w:tblCellSpacing w:w="15" w:type="dxa"/>
          <w:jc w:val="center"/>
        </w:trPr>
        <w:tc>
          <w:tcPr>
            <w:tcW w:w="0" w:type="auto"/>
            <w:vAlign w:val="center"/>
          </w:tcPr>
          <w:p w14:paraId="7E6CB00D"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Waste Management Operators</w:t>
            </w:r>
          </w:p>
        </w:tc>
        <w:tc>
          <w:tcPr>
            <w:tcW w:w="0" w:type="auto"/>
            <w:vAlign w:val="center"/>
          </w:tcPr>
          <w:p w14:paraId="2AAAEF4A" w14:textId="42B4B6B6" w:rsidR="007A5A25" w:rsidRPr="00FF01CA" w:rsidRDefault="007A5A25" w:rsidP="00FF01CA">
            <w:pPr>
              <w:tabs>
                <w:tab w:val="left" w:pos="1515"/>
              </w:tabs>
              <w:jc w:val="center"/>
              <w:rPr>
                <w:rFonts w:cstheme="minorHAnsi"/>
                <w:sz w:val="16"/>
                <w:szCs w:val="16"/>
              </w:rPr>
            </w:pPr>
            <w:r w:rsidRPr="00FF01CA">
              <w:rPr>
                <w:rFonts w:cstheme="minorHAnsi"/>
                <w:sz w:val="16"/>
                <w:szCs w:val="16"/>
              </w:rPr>
              <w:t>Municipal service providers</w:t>
            </w:r>
          </w:p>
        </w:tc>
        <w:tc>
          <w:tcPr>
            <w:tcW w:w="0" w:type="auto"/>
            <w:vAlign w:val="center"/>
          </w:tcPr>
          <w:p w14:paraId="7AAABA6D" w14:textId="7E8C151C" w:rsidR="007A5A25" w:rsidRPr="00FF01CA" w:rsidRDefault="007A5A25" w:rsidP="00FF01CA">
            <w:pPr>
              <w:tabs>
                <w:tab w:val="left" w:pos="1515"/>
              </w:tabs>
              <w:jc w:val="center"/>
              <w:rPr>
                <w:rFonts w:cstheme="minorHAnsi"/>
                <w:sz w:val="16"/>
                <w:szCs w:val="16"/>
              </w:rPr>
            </w:pPr>
            <w:r w:rsidRPr="00FF01CA">
              <w:rPr>
                <w:rFonts w:cstheme="minorHAnsi"/>
                <w:sz w:val="16"/>
                <w:szCs w:val="16"/>
              </w:rPr>
              <w:t>Waste collection, disposal, and management of municipal systems</w:t>
            </w:r>
          </w:p>
        </w:tc>
        <w:tc>
          <w:tcPr>
            <w:tcW w:w="2366" w:type="dxa"/>
            <w:vAlign w:val="center"/>
          </w:tcPr>
          <w:p w14:paraId="02BEF1EB" w14:textId="6CF101E6" w:rsidR="007A5A25" w:rsidRPr="00FF01CA" w:rsidRDefault="007A5A25" w:rsidP="00FF01CA">
            <w:pPr>
              <w:tabs>
                <w:tab w:val="left" w:pos="1515"/>
              </w:tabs>
              <w:jc w:val="center"/>
              <w:rPr>
                <w:rFonts w:cstheme="minorHAnsi"/>
                <w:sz w:val="16"/>
                <w:szCs w:val="16"/>
              </w:rPr>
            </w:pPr>
            <w:r w:rsidRPr="00FF01CA">
              <w:rPr>
                <w:rFonts w:cstheme="minorHAnsi"/>
                <w:sz w:val="16"/>
                <w:szCs w:val="16"/>
              </w:rPr>
              <w:t>Medium – prevents contamination from improper waste handling</w:t>
            </w:r>
          </w:p>
        </w:tc>
      </w:tr>
      <w:tr w:rsidR="007A5A25" w:rsidRPr="00FF01CA" w14:paraId="2E43D3F7" w14:textId="77777777" w:rsidTr="00FF01CA">
        <w:trPr>
          <w:trHeight w:val="498"/>
          <w:tblCellSpacing w:w="15" w:type="dxa"/>
          <w:jc w:val="center"/>
        </w:trPr>
        <w:tc>
          <w:tcPr>
            <w:tcW w:w="0" w:type="auto"/>
            <w:vAlign w:val="center"/>
          </w:tcPr>
          <w:p w14:paraId="7E8ECC1A" w14:textId="3CBF6B58" w:rsidR="007A5A25" w:rsidRPr="00FF01CA" w:rsidRDefault="007A5A25" w:rsidP="00FF01CA">
            <w:pPr>
              <w:tabs>
                <w:tab w:val="left" w:pos="1515"/>
              </w:tabs>
              <w:jc w:val="center"/>
              <w:rPr>
                <w:rFonts w:cstheme="minorHAnsi"/>
                <w:sz w:val="16"/>
                <w:szCs w:val="16"/>
              </w:rPr>
            </w:pPr>
            <w:r w:rsidRPr="00FF01CA">
              <w:rPr>
                <w:rFonts w:cstheme="minorHAnsi"/>
                <w:sz w:val="16"/>
                <w:szCs w:val="16"/>
              </w:rPr>
              <w:t>Agriculture Stakeholders</w:t>
            </w:r>
          </w:p>
        </w:tc>
        <w:tc>
          <w:tcPr>
            <w:tcW w:w="0" w:type="auto"/>
            <w:vAlign w:val="center"/>
          </w:tcPr>
          <w:p w14:paraId="4738F236" w14:textId="1685F121" w:rsidR="007A5A25" w:rsidRPr="00FF01CA" w:rsidRDefault="007A5A25" w:rsidP="00FF01CA">
            <w:pPr>
              <w:tabs>
                <w:tab w:val="left" w:pos="1515"/>
              </w:tabs>
              <w:jc w:val="center"/>
              <w:rPr>
                <w:rFonts w:cstheme="minorHAnsi"/>
                <w:sz w:val="16"/>
                <w:szCs w:val="16"/>
              </w:rPr>
            </w:pPr>
            <w:r w:rsidRPr="00FF01CA">
              <w:rPr>
                <w:rFonts w:cstheme="minorHAnsi"/>
                <w:sz w:val="16"/>
                <w:szCs w:val="16"/>
              </w:rPr>
              <w:t>Farmers, cooperatives, agribusiness operators</w:t>
            </w:r>
          </w:p>
        </w:tc>
        <w:tc>
          <w:tcPr>
            <w:tcW w:w="0" w:type="auto"/>
            <w:vAlign w:val="center"/>
          </w:tcPr>
          <w:p w14:paraId="6EB0E9B1" w14:textId="2B803084" w:rsidR="007A5A25" w:rsidRPr="00FF01CA" w:rsidRDefault="007A5A25" w:rsidP="00FF01CA">
            <w:pPr>
              <w:tabs>
                <w:tab w:val="left" w:pos="1515"/>
              </w:tabs>
              <w:jc w:val="center"/>
              <w:rPr>
                <w:rFonts w:cstheme="minorHAnsi"/>
                <w:sz w:val="16"/>
                <w:szCs w:val="16"/>
              </w:rPr>
            </w:pPr>
            <w:r w:rsidRPr="00FF01CA">
              <w:rPr>
                <w:rFonts w:cstheme="minorHAnsi"/>
                <w:sz w:val="16"/>
                <w:szCs w:val="16"/>
              </w:rPr>
              <w:t>Irrigation, fertilizer and pesticide use, land management</w:t>
            </w:r>
          </w:p>
        </w:tc>
        <w:tc>
          <w:tcPr>
            <w:tcW w:w="2366" w:type="dxa"/>
            <w:vAlign w:val="center"/>
          </w:tcPr>
          <w:p w14:paraId="1402109B" w14:textId="6FD21443" w:rsidR="007A5A25" w:rsidRPr="00FF01CA" w:rsidRDefault="007A5A25" w:rsidP="00FF01CA">
            <w:pPr>
              <w:tabs>
                <w:tab w:val="left" w:pos="1515"/>
              </w:tabs>
              <w:jc w:val="center"/>
              <w:rPr>
                <w:rFonts w:cstheme="minorHAnsi"/>
                <w:sz w:val="16"/>
                <w:szCs w:val="16"/>
              </w:rPr>
            </w:pPr>
            <w:r w:rsidRPr="00FF01CA">
              <w:rPr>
                <w:rFonts w:cstheme="minorHAnsi"/>
                <w:sz w:val="16"/>
                <w:szCs w:val="16"/>
              </w:rPr>
              <w:t>Very High – dominant groundwater users in downstream areas</w:t>
            </w:r>
          </w:p>
        </w:tc>
      </w:tr>
      <w:tr w:rsidR="007A5A25" w:rsidRPr="00FF01CA" w14:paraId="46DD9462" w14:textId="77777777" w:rsidTr="00FF01CA">
        <w:trPr>
          <w:trHeight w:val="498"/>
          <w:tblCellSpacing w:w="15" w:type="dxa"/>
          <w:jc w:val="center"/>
        </w:trPr>
        <w:tc>
          <w:tcPr>
            <w:tcW w:w="0" w:type="auto"/>
            <w:vAlign w:val="center"/>
          </w:tcPr>
          <w:p w14:paraId="08F57CD1"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Tourism &amp; Protected Areas</w:t>
            </w:r>
          </w:p>
        </w:tc>
        <w:tc>
          <w:tcPr>
            <w:tcW w:w="0" w:type="auto"/>
            <w:vAlign w:val="center"/>
          </w:tcPr>
          <w:p w14:paraId="4CC220D6" w14:textId="5A73BADA" w:rsidR="007A5A25" w:rsidRPr="00FF01CA" w:rsidRDefault="007A5A25" w:rsidP="00FF01CA">
            <w:pPr>
              <w:tabs>
                <w:tab w:val="left" w:pos="1515"/>
              </w:tabs>
              <w:jc w:val="center"/>
              <w:rPr>
                <w:rFonts w:cstheme="minorHAnsi"/>
                <w:sz w:val="16"/>
                <w:szCs w:val="16"/>
              </w:rPr>
            </w:pPr>
            <w:r w:rsidRPr="00FF01CA">
              <w:rPr>
                <w:rFonts w:cstheme="minorHAnsi"/>
                <w:sz w:val="16"/>
                <w:szCs w:val="16"/>
              </w:rPr>
              <w:t xml:space="preserve">Neretva </w:t>
            </w:r>
            <w:r w:rsidR="003108B4">
              <w:rPr>
                <w:rFonts w:cstheme="minorHAnsi"/>
                <w:sz w:val="16"/>
                <w:szCs w:val="16"/>
              </w:rPr>
              <w:t>Delta</w:t>
            </w:r>
            <w:r w:rsidRPr="00FF01CA">
              <w:rPr>
                <w:rFonts w:cstheme="minorHAnsi"/>
                <w:sz w:val="16"/>
                <w:szCs w:val="16"/>
              </w:rPr>
              <w:t xml:space="preserve"> and protected areas; tourism boards</w:t>
            </w:r>
          </w:p>
        </w:tc>
        <w:tc>
          <w:tcPr>
            <w:tcW w:w="0" w:type="auto"/>
            <w:vAlign w:val="center"/>
          </w:tcPr>
          <w:p w14:paraId="4E729373" w14:textId="68E6F8A9" w:rsidR="007A5A25" w:rsidRPr="00FF01CA" w:rsidRDefault="007A5A25" w:rsidP="00FF01CA">
            <w:pPr>
              <w:tabs>
                <w:tab w:val="left" w:pos="1515"/>
              </w:tabs>
              <w:jc w:val="center"/>
              <w:rPr>
                <w:rFonts w:cstheme="minorHAnsi"/>
                <w:sz w:val="16"/>
                <w:szCs w:val="16"/>
              </w:rPr>
            </w:pPr>
            <w:r w:rsidRPr="00FF01CA">
              <w:rPr>
                <w:rFonts w:cstheme="minorHAnsi"/>
                <w:sz w:val="16"/>
                <w:szCs w:val="16"/>
              </w:rPr>
              <w:t>Management of tourism flows, environmental protection, awareness and communication</w:t>
            </w:r>
          </w:p>
        </w:tc>
        <w:tc>
          <w:tcPr>
            <w:tcW w:w="2366" w:type="dxa"/>
            <w:vAlign w:val="center"/>
          </w:tcPr>
          <w:p w14:paraId="1C8F7739" w14:textId="0E888FA9" w:rsidR="007A5A25" w:rsidRPr="00FF01CA" w:rsidRDefault="007A5A25" w:rsidP="00FF01CA">
            <w:pPr>
              <w:tabs>
                <w:tab w:val="left" w:pos="1515"/>
              </w:tabs>
              <w:jc w:val="center"/>
              <w:rPr>
                <w:rFonts w:cstheme="minorHAnsi"/>
                <w:sz w:val="16"/>
                <w:szCs w:val="16"/>
              </w:rPr>
            </w:pPr>
            <w:r w:rsidRPr="00FF01CA">
              <w:rPr>
                <w:rFonts w:cstheme="minorHAnsi"/>
                <w:sz w:val="16"/>
                <w:szCs w:val="16"/>
              </w:rPr>
              <w:t>Medium–High – seasonal pressure and ecosystem sensitivity</w:t>
            </w:r>
          </w:p>
        </w:tc>
      </w:tr>
      <w:tr w:rsidR="007A5A25" w:rsidRPr="00FF01CA" w14:paraId="1356888F" w14:textId="77777777" w:rsidTr="00FF01CA">
        <w:trPr>
          <w:trHeight w:val="498"/>
          <w:tblCellSpacing w:w="15" w:type="dxa"/>
          <w:jc w:val="center"/>
        </w:trPr>
        <w:tc>
          <w:tcPr>
            <w:tcW w:w="0" w:type="auto"/>
            <w:vAlign w:val="center"/>
          </w:tcPr>
          <w:p w14:paraId="3D9242CD"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Tourism Private Sector</w:t>
            </w:r>
          </w:p>
        </w:tc>
        <w:tc>
          <w:tcPr>
            <w:tcW w:w="0" w:type="auto"/>
            <w:vAlign w:val="center"/>
          </w:tcPr>
          <w:p w14:paraId="2F198C17" w14:textId="4D3D9078" w:rsidR="007A5A25" w:rsidRPr="00FF01CA" w:rsidRDefault="007A5A25" w:rsidP="00FF01CA">
            <w:pPr>
              <w:tabs>
                <w:tab w:val="left" w:pos="1515"/>
              </w:tabs>
              <w:jc w:val="center"/>
              <w:rPr>
                <w:rFonts w:cstheme="minorHAnsi"/>
                <w:sz w:val="16"/>
                <w:szCs w:val="16"/>
              </w:rPr>
            </w:pPr>
            <w:r w:rsidRPr="00FF01CA">
              <w:rPr>
                <w:rFonts w:cstheme="minorHAnsi"/>
                <w:sz w:val="16"/>
                <w:szCs w:val="16"/>
              </w:rPr>
              <w:t xml:space="preserve">Accommodation providers, </w:t>
            </w:r>
            <w:proofErr w:type="spellStart"/>
            <w:r w:rsidRPr="00FF01CA">
              <w:rPr>
                <w:rFonts w:cstheme="minorHAnsi"/>
                <w:sz w:val="16"/>
                <w:szCs w:val="16"/>
              </w:rPr>
              <w:t>agri</w:t>
            </w:r>
            <w:proofErr w:type="spellEnd"/>
            <w:r w:rsidRPr="00FF01CA">
              <w:rPr>
                <w:rFonts w:cstheme="minorHAnsi"/>
                <w:sz w:val="16"/>
                <w:szCs w:val="16"/>
              </w:rPr>
              <w:t>-tourism, small businesses</w:t>
            </w:r>
          </w:p>
        </w:tc>
        <w:tc>
          <w:tcPr>
            <w:tcW w:w="0" w:type="auto"/>
            <w:vAlign w:val="center"/>
          </w:tcPr>
          <w:p w14:paraId="02200B20" w14:textId="135270F4" w:rsidR="007A5A25" w:rsidRPr="00FF01CA" w:rsidRDefault="007A5A25" w:rsidP="00FF01CA">
            <w:pPr>
              <w:tabs>
                <w:tab w:val="left" w:pos="1515"/>
              </w:tabs>
              <w:jc w:val="center"/>
              <w:rPr>
                <w:rFonts w:cstheme="minorHAnsi"/>
                <w:sz w:val="16"/>
                <w:szCs w:val="16"/>
              </w:rPr>
            </w:pPr>
            <w:r w:rsidRPr="00FF01CA">
              <w:rPr>
                <w:rFonts w:cstheme="minorHAnsi"/>
                <w:sz w:val="16"/>
                <w:szCs w:val="16"/>
              </w:rPr>
              <w:t>Water use, wastewater generation and management</w:t>
            </w:r>
          </w:p>
        </w:tc>
        <w:tc>
          <w:tcPr>
            <w:tcW w:w="2366" w:type="dxa"/>
            <w:vAlign w:val="center"/>
          </w:tcPr>
          <w:p w14:paraId="22578A04" w14:textId="666A3E32" w:rsidR="007A5A25" w:rsidRPr="00FF01CA" w:rsidRDefault="007A5A25" w:rsidP="00FF01CA">
            <w:pPr>
              <w:tabs>
                <w:tab w:val="left" w:pos="1515"/>
              </w:tabs>
              <w:jc w:val="center"/>
              <w:rPr>
                <w:rFonts w:cstheme="minorHAnsi"/>
                <w:sz w:val="16"/>
                <w:szCs w:val="16"/>
              </w:rPr>
            </w:pPr>
            <w:r w:rsidRPr="00FF01CA">
              <w:rPr>
                <w:rFonts w:cstheme="minorHAnsi"/>
                <w:sz w:val="16"/>
                <w:szCs w:val="16"/>
              </w:rPr>
              <w:t>Medium – seasonal demand and localised pressure</w:t>
            </w:r>
          </w:p>
        </w:tc>
      </w:tr>
      <w:tr w:rsidR="007A5A25" w:rsidRPr="00FF01CA" w14:paraId="5BCDB22A" w14:textId="77777777" w:rsidTr="00FF01CA">
        <w:trPr>
          <w:trHeight w:val="498"/>
          <w:tblCellSpacing w:w="15" w:type="dxa"/>
          <w:jc w:val="center"/>
        </w:trPr>
        <w:tc>
          <w:tcPr>
            <w:tcW w:w="0" w:type="auto"/>
            <w:vAlign w:val="center"/>
          </w:tcPr>
          <w:p w14:paraId="5A048EBC"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Civil Society</w:t>
            </w:r>
          </w:p>
        </w:tc>
        <w:tc>
          <w:tcPr>
            <w:tcW w:w="0" w:type="auto"/>
            <w:vAlign w:val="center"/>
          </w:tcPr>
          <w:p w14:paraId="7BE4AE91" w14:textId="404E3DB8" w:rsidR="007A5A25" w:rsidRPr="00FF01CA" w:rsidRDefault="007A5A25" w:rsidP="00FF01CA">
            <w:pPr>
              <w:tabs>
                <w:tab w:val="left" w:pos="1515"/>
              </w:tabs>
              <w:jc w:val="center"/>
              <w:rPr>
                <w:rFonts w:cstheme="minorHAnsi"/>
                <w:sz w:val="16"/>
                <w:szCs w:val="16"/>
              </w:rPr>
            </w:pPr>
            <w:r w:rsidRPr="00FF01CA">
              <w:rPr>
                <w:rFonts w:cstheme="minorHAnsi"/>
                <w:sz w:val="16"/>
                <w:szCs w:val="16"/>
              </w:rPr>
              <w:t>Environmental NGOs, community groups</w:t>
            </w:r>
          </w:p>
        </w:tc>
        <w:tc>
          <w:tcPr>
            <w:tcW w:w="0" w:type="auto"/>
            <w:vAlign w:val="center"/>
          </w:tcPr>
          <w:p w14:paraId="0F09DC93" w14:textId="3A6102C0" w:rsidR="007A5A25" w:rsidRPr="00FF01CA" w:rsidRDefault="007A5A25" w:rsidP="00FF01CA">
            <w:pPr>
              <w:tabs>
                <w:tab w:val="left" w:pos="1515"/>
              </w:tabs>
              <w:jc w:val="center"/>
              <w:rPr>
                <w:rFonts w:cstheme="minorHAnsi"/>
                <w:sz w:val="16"/>
                <w:szCs w:val="16"/>
              </w:rPr>
            </w:pPr>
            <w:r w:rsidRPr="00FF01CA">
              <w:rPr>
                <w:rFonts w:cstheme="minorHAnsi"/>
                <w:sz w:val="16"/>
                <w:szCs w:val="16"/>
              </w:rPr>
              <w:t>Awareness raising, advocacy, participatory monitoring, reporting</w:t>
            </w:r>
          </w:p>
        </w:tc>
        <w:tc>
          <w:tcPr>
            <w:tcW w:w="2366" w:type="dxa"/>
            <w:vAlign w:val="center"/>
          </w:tcPr>
          <w:p w14:paraId="085FBC76" w14:textId="17A95CBD" w:rsidR="007A5A25" w:rsidRPr="00FF01CA" w:rsidRDefault="007A5A25" w:rsidP="00FF01CA">
            <w:pPr>
              <w:tabs>
                <w:tab w:val="left" w:pos="1515"/>
              </w:tabs>
              <w:jc w:val="center"/>
              <w:rPr>
                <w:rFonts w:cstheme="minorHAnsi"/>
                <w:sz w:val="16"/>
                <w:szCs w:val="16"/>
              </w:rPr>
            </w:pPr>
            <w:r w:rsidRPr="00FF01CA">
              <w:rPr>
                <w:rFonts w:cstheme="minorHAnsi"/>
                <w:sz w:val="16"/>
                <w:szCs w:val="16"/>
              </w:rPr>
              <w:t>Medium – supports transparency and engagement</w:t>
            </w:r>
          </w:p>
        </w:tc>
      </w:tr>
      <w:tr w:rsidR="007A5A25" w:rsidRPr="00FF01CA" w14:paraId="2AFE50B4" w14:textId="77777777" w:rsidTr="00FF01CA">
        <w:trPr>
          <w:trHeight w:val="498"/>
          <w:tblCellSpacing w:w="15" w:type="dxa"/>
          <w:jc w:val="center"/>
        </w:trPr>
        <w:tc>
          <w:tcPr>
            <w:tcW w:w="0" w:type="auto"/>
            <w:vAlign w:val="center"/>
          </w:tcPr>
          <w:p w14:paraId="7D38D10B"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Local Communities</w:t>
            </w:r>
          </w:p>
        </w:tc>
        <w:tc>
          <w:tcPr>
            <w:tcW w:w="0" w:type="auto"/>
            <w:vAlign w:val="center"/>
          </w:tcPr>
          <w:p w14:paraId="07B88065" w14:textId="7FDC98CC" w:rsidR="007A5A25" w:rsidRPr="00FF01CA" w:rsidRDefault="007A5A25" w:rsidP="00FF01CA">
            <w:pPr>
              <w:tabs>
                <w:tab w:val="left" w:pos="1515"/>
              </w:tabs>
              <w:jc w:val="center"/>
              <w:rPr>
                <w:rFonts w:cstheme="minorHAnsi"/>
                <w:sz w:val="16"/>
                <w:szCs w:val="16"/>
              </w:rPr>
            </w:pPr>
            <w:r w:rsidRPr="00FF01CA">
              <w:rPr>
                <w:rFonts w:cstheme="minorHAnsi"/>
                <w:sz w:val="16"/>
                <w:szCs w:val="16"/>
              </w:rPr>
              <w:t>Rural settlements in Lower Neretva Valley</w:t>
            </w:r>
          </w:p>
        </w:tc>
        <w:tc>
          <w:tcPr>
            <w:tcW w:w="0" w:type="auto"/>
            <w:vAlign w:val="center"/>
          </w:tcPr>
          <w:p w14:paraId="4C225DA9" w14:textId="18F31D06" w:rsidR="007A5A25" w:rsidRPr="00FF01CA" w:rsidRDefault="007A5A25" w:rsidP="00FF01CA">
            <w:pPr>
              <w:tabs>
                <w:tab w:val="left" w:pos="1515"/>
              </w:tabs>
              <w:jc w:val="center"/>
              <w:rPr>
                <w:rFonts w:cstheme="minorHAnsi"/>
                <w:sz w:val="16"/>
                <w:szCs w:val="16"/>
              </w:rPr>
            </w:pPr>
            <w:r w:rsidRPr="00FF01CA">
              <w:rPr>
                <w:rFonts w:cstheme="minorHAnsi"/>
                <w:sz w:val="16"/>
                <w:szCs w:val="16"/>
              </w:rPr>
              <w:t>Daily sanitation practices, waste disposal, land use behaviour</w:t>
            </w:r>
          </w:p>
        </w:tc>
        <w:tc>
          <w:tcPr>
            <w:tcW w:w="2366" w:type="dxa"/>
            <w:vAlign w:val="center"/>
          </w:tcPr>
          <w:p w14:paraId="5D6FF45C" w14:textId="2B33EBE7" w:rsidR="007A5A25" w:rsidRPr="00FF01CA" w:rsidRDefault="007A5A25" w:rsidP="00FF01CA">
            <w:pPr>
              <w:tabs>
                <w:tab w:val="left" w:pos="1515"/>
              </w:tabs>
              <w:jc w:val="center"/>
              <w:rPr>
                <w:rFonts w:cstheme="minorHAnsi"/>
                <w:sz w:val="16"/>
                <w:szCs w:val="16"/>
              </w:rPr>
            </w:pPr>
            <w:r w:rsidRPr="00FF01CA">
              <w:rPr>
                <w:rFonts w:cstheme="minorHAnsi"/>
                <w:sz w:val="16"/>
                <w:szCs w:val="16"/>
              </w:rPr>
              <w:t>High – cumulative impact on groundwater at household level</w:t>
            </w:r>
          </w:p>
        </w:tc>
      </w:tr>
    </w:tbl>
    <w:p w14:paraId="796AD6B7" w14:textId="77777777" w:rsidR="00104A51" w:rsidRPr="00D60A13" w:rsidRDefault="00104A51" w:rsidP="00104A51">
      <w:pPr>
        <w:rPr>
          <w:rFonts w:ascii="Calibri" w:hAnsi="Calibri" w:cs="Calibri"/>
          <w:color w:val="0070C0"/>
        </w:rPr>
      </w:pPr>
    </w:p>
    <w:tbl>
      <w:tblPr>
        <w:tblW w:w="8398" w:type="dxa"/>
        <w:jc w:val="center"/>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251"/>
        <w:gridCol w:w="1982"/>
        <w:gridCol w:w="2354"/>
        <w:gridCol w:w="2811"/>
      </w:tblGrid>
      <w:tr w:rsidR="00104A51" w:rsidRPr="00D60A13" w14:paraId="54997188" w14:textId="77777777" w:rsidTr="00FF01CA">
        <w:trPr>
          <w:trHeight w:val="446"/>
          <w:tblHeader/>
          <w:tblCellSpacing w:w="15" w:type="dxa"/>
          <w:jc w:val="center"/>
        </w:trPr>
        <w:tc>
          <w:tcPr>
            <w:tcW w:w="8338" w:type="dxa"/>
            <w:gridSpan w:val="4"/>
            <w:shd w:val="clear" w:color="auto" w:fill="D9E2F3" w:themeFill="accent1" w:themeFillTint="33"/>
            <w:vAlign w:val="center"/>
          </w:tcPr>
          <w:p w14:paraId="12BC15B5" w14:textId="77777777" w:rsidR="00104A51" w:rsidRPr="00D60A13" w:rsidRDefault="00104A51" w:rsidP="00FF01CA">
            <w:pPr>
              <w:tabs>
                <w:tab w:val="left" w:pos="1515"/>
              </w:tabs>
              <w:jc w:val="center"/>
              <w:rPr>
                <w:rFonts w:ascii="Calibri" w:hAnsi="Calibri" w:cs="Calibri"/>
                <w:b/>
                <w:bCs/>
                <w:sz w:val="16"/>
                <w:szCs w:val="16"/>
              </w:rPr>
            </w:pPr>
            <w:r w:rsidRPr="00D60A13">
              <w:rPr>
                <w:rFonts w:ascii="Calibri" w:hAnsi="Calibri" w:cs="Calibri"/>
                <w:b/>
                <w:bCs/>
                <w:sz w:val="16"/>
                <w:szCs w:val="16"/>
              </w:rPr>
              <w:t>BOSNIA AND HERZEGOVINA</w:t>
            </w:r>
          </w:p>
        </w:tc>
      </w:tr>
      <w:tr w:rsidR="00104A51" w:rsidRPr="00D60A13" w14:paraId="2D807B12" w14:textId="77777777" w:rsidTr="00FF01CA">
        <w:trPr>
          <w:trHeight w:val="479"/>
          <w:tblHeader/>
          <w:tblCellSpacing w:w="15" w:type="dxa"/>
          <w:jc w:val="center"/>
        </w:trPr>
        <w:tc>
          <w:tcPr>
            <w:tcW w:w="0" w:type="auto"/>
            <w:shd w:val="clear" w:color="auto" w:fill="D9E2F3" w:themeFill="accent1" w:themeFillTint="33"/>
            <w:vAlign w:val="center"/>
            <w:hideMark/>
          </w:tcPr>
          <w:p w14:paraId="1DA551C3" w14:textId="77777777" w:rsidR="00104A51" w:rsidRPr="00D60A13" w:rsidRDefault="00104A51" w:rsidP="00FF01CA">
            <w:pPr>
              <w:tabs>
                <w:tab w:val="left" w:pos="1515"/>
              </w:tabs>
              <w:jc w:val="center"/>
              <w:rPr>
                <w:rFonts w:ascii="Calibri" w:hAnsi="Calibri" w:cs="Calibri"/>
                <w:b/>
                <w:bCs/>
                <w:sz w:val="16"/>
                <w:szCs w:val="16"/>
              </w:rPr>
            </w:pPr>
            <w:r w:rsidRPr="00D60A13">
              <w:rPr>
                <w:rFonts w:ascii="Calibri" w:hAnsi="Calibri" w:cs="Calibri"/>
                <w:b/>
                <w:bCs/>
                <w:sz w:val="16"/>
                <w:szCs w:val="16"/>
              </w:rPr>
              <w:t>Stakeholder Group</w:t>
            </w:r>
          </w:p>
        </w:tc>
        <w:tc>
          <w:tcPr>
            <w:tcW w:w="0" w:type="auto"/>
            <w:shd w:val="clear" w:color="auto" w:fill="D9E2F3" w:themeFill="accent1" w:themeFillTint="33"/>
            <w:vAlign w:val="center"/>
            <w:hideMark/>
          </w:tcPr>
          <w:p w14:paraId="6A3E7A22" w14:textId="77777777" w:rsidR="00104A51" w:rsidRPr="00D60A13" w:rsidRDefault="00104A51" w:rsidP="00FF01CA">
            <w:pPr>
              <w:tabs>
                <w:tab w:val="left" w:pos="1515"/>
              </w:tabs>
              <w:jc w:val="center"/>
              <w:rPr>
                <w:rFonts w:ascii="Calibri" w:hAnsi="Calibri" w:cs="Calibri"/>
                <w:b/>
                <w:bCs/>
                <w:sz w:val="16"/>
                <w:szCs w:val="16"/>
              </w:rPr>
            </w:pPr>
            <w:r w:rsidRPr="00D60A13">
              <w:rPr>
                <w:rFonts w:ascii="Calibri" w:hAnsi="Calibri" w:cs="Calibri"/>
                <w:b/>
                <w:bCs/>
                <w:sz w:val="16"/>
                <w:szCs w:val="16"/>
              </w:rPr>
              <w:t>Key Actors</w:t>
            </w:r>
          </w:p>
        </w:tc>
        <w:tc>
          <w:tcPr>
            <w:tcW w:w="0" w:type="auto"/>
            <w:shd w:val="clear" w:color="auto" w:fill="D9E2F3" w:themeFill="accent1" w:themeFillTint="33"/>
            <w:vAlign w:val="center"/>
            <w:hideMark/>
          </w:tcPr>
          <w:p w14:paraId="79E05173" w14:textId="77777777" w:rsidR="00104A51" w:rsidRPr="00D60A13" w:rsidRDefault="00104A51" w:rsidP="00FF01CA">
            <w:pPr>
              <w:tabs>
                <w:tab w:val="left" w:pos="1515"/>
              </w:tabs>
              <w:jc w:val="center"/>
              <w:rPr>
                <w:rFonts w:ascii="Calibri" w:hAnsi="Calibri" w:cs="Calibri"/>
                <w:b/>
                <w:bCs/>
                <w:sz w:val="16"/>
                <w:szCs w:val="16"/>
              </w:rPr>
            </w:pPr>
            <w:r w:rsidRPr="00D60A13">
              <w:rPr>
                <w:rFonts w:ascii="Calibri" w:hAnsi="Calibri" w:cs="Calibri"/>
                <w:b/>
                <w:bCs/>
                <w:sz w:val="16"/>
                <w:szCs w:val="16"/>
              </w:rPr>
              <w:t>Mandates / Roles</w:t>
            </w:r>
          </w:p>
        </w:tc>
        <w:tc>
          <w:tcPr>
            <w:tcW w:w="2766" w:type="dxa"/>
            <w:shd w:val="clear" w:color="auto" w:fill="D9E2F3" w:themeFill="accent1" w:themeFillTint="33"/>
            <w:vAlign w:val="center"/>
            <w:hideMark/>
          </w:tcPr>
          <w:p w14:paraId="2DA1A695" w14:textId="77777777" w:rsidR="00104A51" w:rsidRPr="00D60A13" w:rsidRDefault="00104A51" w:rsidP="00FF01CA">
            <w:pPr>
              <w:tabs>
                <w:tab w:val="left" w:pos="1515"/>
              </w:tabs>
              <w:jc w:val="center"/>
              <w:rPr>
                <w:rFonts w:ascii="Calibri" w:hAnsi="Calibri" w:cs="Calibri"/>
                <w:b/>
                <w:bCs/>
                <w:sz w:val="16"/>
                <w:szCs w:val="16"/>
              </w:rPr>
            </w:pPr>
            <w:r w:rsidRPr="00D60A13">
              <w:rPr>
                <w:rFonts w:ascii="Calibri" w:hAnsi="Calibri" w:cs="Calibri"/>
                <w:b/>
                <w:bCs/>
                <w:sz w:val="16"/>
                <w:szCs w:val="16"/>
              </w:rPr>
              <w:t>Relevance to Groundwater</w:t>
            </w:r>
          </w:p>
        </w:tc>
      </w:tr>
      <w:tr w:rsidR="007A5A25" w:rsidRPr="00D60A13" w14:paraId="2E1DB6B9" w14:textId="77777777" w:rsidTr="00FF01CA">
        <w:trPr>
          <w:trHeight w:val="498"/>
          <w:tblCellSpacing w:w="15" w:type="dxa"/>
          <w:jc w:val="center"/>
        </w:trPr>
        <w:tc>
          <w:tcPr>
            <w:tcW w:w="0" w:type="auto"/>
            <w:vAlign w:val="center"/>
            <w:hideMark/>
          </w:tcPr>
          <w:p w14:paraId="34FE2C52"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Entity Authorities</w:t>
            </w:r>
          </w:p>
        </w:tc>
        <w:tc>
          <w:tcPr>
            <w:tcW w:w="0" w:type="auto"/>
            <w:vAlign w:val="center"/>
            <w:hideMark/>
          </w:tcPr>
          <w:p w14:paraId="15F703E8" w14:textId="474FA4FD" w:rsidR="007A5A25" w:rsidRPr="00FF01CA" w:rsidRDefault="007A5A25" w:rsidP="00FF01CA">
            <w:pPr>
              <w:tabs>
                <w:tab w:val="left" w:pos="1515"/>
              </w:tabs>
              <w:jc w:val="center"/>
              <w:rPr>
                <w:rFonts w:cstheme="minorHAnsi"/>
                <w:sz w:val="16"/>
                <w:szCs w:val="16"/>
              </w:rPr>
            </w:pPr>
            <w:r w:rsidRPr="00FF01CA">
              <w:rPr>
                <w:rFonts w:cstheme="minorHAnsi"/>
                <w:sz w:val="16"/>
                <w:szCs w:val="16"/>
              </w:rPr>
              <w:t>FBiH Ministry of Agriculture, Water Management and Forestry</w:t>
            </w:r>
          </w:p>
        </w:tc>
        <w:tc>
          <w:tcPr>
            <w:tcW w:w="0" w:type="auto"/>
            <w:vAlign w:val="center"/>
            <w:hideMark/>
          </w:tcPr>
          <w:p w14:paraId="405DA503" w14:textId="29EC00A6" w:rsidR="007A5A25" w:rsidRPr="00FF01CA" w:rsidRDefault="007A5A25" w:rsidP="00FF01CA">
            <w:pPr>
              <w:tabs>
                <w:tab w:val="left" w:pos="1515"/>
              </w:tabs>
              <w:jc w:val="center"/>
              <w:rPr>
                <w:rFonts w:cstheme="minorHAnsi"/>
                <w:sz w:val="16"/>
                <w:szCs w:val="16"/>
              </w:rPr>
            </w:pPr>
            <w:r w:rsidRPr="00FF01CA">
              <w:rPr>
                <w:rFonts w:cstheme="minorHAnsi"/>
                <w:sz w:val="16"/>
                <w:szCs w:val="16"/>
              </w:rPr>
              <w:t>Water governance, regulation, permitting, policy oversight</w:t>
            </w:r>
          </w:p>
        </w:tc>
        <w:tc>
          <w:tcPr>
            <w:tcW w:w="2766" w:type="dxa"/>
            <w:vAlign w:val="center"/>
            <w:hideMark/>
          </w:tcPr>
          <w:p w14:paraId="639033BD" w14:textId="368F7C0C" w:rsidR="007A5A25" w:rsidRPr="00FF01CA" w:rsidRDefault="007A5A25" w:rsidP="00FF01CA">
            <w:pPr>
              <w:tabs>
                <w:tab w:val="left" w:pos="1515"/>
              </w:tabs>
              <w:jc w:val="center"/>
              <w:rPr>
                <w:rFonts w:cstheme="minorHAnsi"/>
                <w:sz w:val="16"/>
                <w:szCs w:val="16"/>
              </w:rPr>
            </w:pPr>
            <w:r w:rsidRPr="00FF01CA">
              <w:rPr>
                <w:rFonts w:cstheme="minorHAnsi"/>
                <w:sz w:val="16"/>
                <w:szCs w:val="16"/>
              </w:rPr>
              <w:t>High – defines regulatory framework and oversight</w:t>
            </w:r>
          </w:p>
        </w:tc>
      </w:tr>
      <w:tr w:rsidR="007A5A25" w:rsidRPr="00D60A13" w14:paraId="08DD3F6E" w14:textId="77777777" w:rsidTr="00FF01CA">
        <w:trPr>
          <w:trHeight w:val="498"/>
          <w:tblCellSpacing w:w="15" w:type="dxa"/>
          <w:jc w:val="center"/>
        </w:trPr>
        <w:tc>
          <w:tcPr>
            <w:tcW w:w="0" w:type="auto"/>
            <w:vAlign w:val="center"/>
          </w:tcPr>
          <w:p w14:paraId="44F7A19C"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Cantonal Authorities</w:t>
            </w:r>
          </w:p>
        </w:tc>
        <w:tc>
          <w:tcPr>
            <w:tcW w:w="0" w:type="auto"/>
            <w:vAlign w:val="center"/>
          </w:tcPr>
          <w:p w14:paraId="6AFFC5AC" w14:textId="6CD6D10F" w:rsidR="007A5A25" w:rsidRPr="00FF01CA" w:rsidRDefault="007A5A25" w:rsidP="00FF01CA">
            <w:pPr>
              <w:tabs>
                <w:tab w:val="left" w:pos="1515"/>
              </w:tabs>
              <w:jc w:val="center"/>
              <w:rPr>
                <w:rFonts w:cstheme="minorHAnsi"/>
                <w:sz w:val="16"/>
                <w:szCs w:val="16"/>
              </w:rPr>
            </w:pPr>
            <w:r w:rsidRPr="00FF01CA">
              <w:rPr>
                <w:rFonts w:cstheme="minorHAnsi"/>
                <w:sz w:val="16"/>
                <w:szCs w:val="16"/>
              </w:rPr>
              <w:t>Herzegovina-Neretva Canton</w:t>
            </w:r>
          </w:p>
        </w:tc>
        <w:tc>
          <w:tcPr>
            <w:tcW w:w="0" w:type="auto"/>
            <w:vAlign w:val="center"/>
          </w:tcPr>
          <w:p w14:paraId="714F35D1" w14:textId="2CDBCD0B" w:rsidR="007A5A25" w:rsidRPr="00FF01CA" w:rsidRDefault="007A5A25" w:rsidP="00FF01CA">
            <w:pPr>
              <w:tabs>
                <w:tab w:val="left" w:pos="1515"/>
              </w:tabs>
              <w:jc w:val="center"/>
              <w:rPr>
                <w:rFonts w:cstheme="minorHAnsi"/>
                <w:sz w:val="16"/>
                <w:szCs w:val="16"/>
              </w:rPr>
            </w:pPr>
            <w:r w:rsidRPr="00FF01CA">
              <w:rPr>
                <w:rFonts w:cstheme="minorHAnsi"/>
                <w:sz w:val="16"/>
                <w:szCs w:val="16"/>
              </w:rPr>
              <w:t>Environmental protection, spatial planning, communal services</w:t>
            </w:r>
          </w:p>
        </w:tc>
        <w:tc>
          <w:tcPr>
            <w:tcW w:w="2766" w:type="dxa"/>
            <w:vAlign w:val="center"/>
          </w:tcPr>
          <w:p w14:paraId="06D08725" w14:textId="0560BC23" w:rsidR="007A5A25" w:rsidRPr="00FF01CA" w:rsidRDefault="007A5A25" w:rsidP="00FF01CA">
            <w:pPr>
              <w:tabs>
                <w:tab w:val="left" w:pos="1515"/>
              </w:tabs>
              <w:jc w:val="center"/>
              <w:rPr>
                <w:rFonts w:cstheme="minorHAnsi"/>
                <w:sz w:val="16"/>
                <w:szCs w:val="16"/>
              </w:rPr>
            </w:pPr>
            <w:r w:rsidRPr="00FF01CA">
              <w:rPr>
                <w:rFonts w:cstheme="minorHAnsi"/>
                <w:sz w:val="16"/>
                <w:szCs w:val="16"/>
              </w:rPr>
              <w:t>High – strong operational influence on land use and services</w:t>
            </w:r>
          </w:p>
        </w:tc>
      </w:tr>
      <w:tr w:rsidR="007A5A25" w:rsidRPr="00D60A13" w14:paraId="654F60A9" w14:textId="77777777" w:rsidTr="00F70282">
        <w:trPr>
          <w:trHeight w:val="592"/>
          <w:tblCellSpacing w:w="15" w:type="dxa"/>
          <w:jc w:val="center"/>
        </w:trPr>
        <w:tc>
          <w:tcPr>
            <w:tcW w:w="0" w:type="auto"/>
            <w:vAlign w:val="center"/>
          </w:tcPr>
          <w:p w14:paraId="2AD72026"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lastRenderedPageBreak/>
              <w:t>Municipal Authorities</w:t>
            </w:r>
          </w:p>
        </w:tc>
        <w:tc>
          <w:tcPr>
            <w:tcW w:w="0" w:type="auto"/>
            <w:vAlign w:val="center"/>
          </w:tcPr>
          <w:p w14:paraId="19F92CB2" w14:textId="210409C4" w:rsidR="007A5A25" w:rsidRPr="00FF01CA" w:rsidRDefault="007A5A25" w:rsidP="00FF01CA">
            <w:pPr>
              <w:tabs>
                <w:tab w:val="left" w:pos="1515"/>
              </w:tabs>
              <w:jc w:val="center"/>
              <w:rPr>
                <w:rFonts w:cstheme="minorHAnsi"/>
                <w:sz w:val="16"/>
                <w:szCs w:val="16"/>
              </w:rPr>
            </w:pPr>
            <w:r w:rsidRPr="00FF01CA">
              <w:rPr>
                <w:rFonts w:cstheme="minorHAnsi"/>
                <w:sz w:val="16"/>
                <w:szCs w:val="16"/>
              </w:rPr>
              <w:t>Mostar, Konjic, Jablanica</w:t>
            </w:r>
          </w:p>
        </w:tc>
        <w:tc>
          <w:tcPr>
            <w:tcW w:w="0" w:type="auto"/>
            <w:vAlign w:val="center"/>
          </w:tcPr>
          <w:p w14:paraId="073468CE" w14:textId="55C341B1" w:rsidR="007A5A25" w:rsidRPr="00FF01CA" w:rsidRDefault="007A5A25" w:rsidP="00FF01CA">
            <w:pPr>
              <w:tabs>
                <w:tab w:val="left" w:pos="1515"/>
              </w:tabs>
              <w:jc w:val="center"/>
              <w:rPr>
                <w:rFonts w:cstheme="minorHAnsi"/>
                <w:sz w:val="16"/>
                <w:szCs w:val="16"/>
              </w:rPr>
            </w:pPr>
            <w:r w:rsidRPr="00FF01CA">
              <w:rPr>
                <w:rFonts w:cstheme="minorHAnsi"/>
                <w:sz w:val="16"/>
                <w:szCs w:val="16"/>
              </w:rPr>
              <w:t>Spatial planning, sanitation, wastewater management, inspections, permitting</w:t>
            </w:r>
          </w:p>
        </w:tc>
        <w:tc>
          <w:tcPr>
            <w:tcW w:w="2766" w:type="dxa"/>
            <w:vAlign w:val="center"/>
          </w:tcPr>
          <w:p w14:paraId="00A56CE6" w14:textId="4FBF7F29" w:rsidR="007A5A25" w:rsidRPr="00FF01CA" w:rsidRDefault="007A5A25" w:rsidP="00FF01CA">
            <w:pPr>
              <w:tabs>
                <w:tab w:val="left" w:pos="1515"/>
              </w:tabs>
              <w:jc w:val="center"/>
              <w:rPr>
                <w:rFonts w:cstheme="minorHAnsi"/>
                <w:sz w:val="16"/>
                <w:szCs w:val="16"/>
              </w:rPr>
            </w:pPr>
            <w:r w:rsidRPr="00FF01CA">
              <w:rPr>
                <w:rFonts w:cstheme="minorHAnsi"/>
                <w:sz w:val="16"/>
                <w:szCs w:val="16"/>
              </w:rPr>
              <w:t>Very High – manages urban and peri-urban pressures</w:t>
            </w:r>
          </w:p>
        </w:tc>
      </w:tr>
      <w:tr w:rsidR="007A5A25" w:rsidRPr="00D60A13" w14:paraId="759FEF62" w14:textId="77777777" w:rsidTr="00FF01CA">
        <w:trPr>
          <w:trHeight w:val="498"/>
          <w:tblCellSpacing w:w="15" w:type="dxa"/>
          <w:jc w:val="center"/>
        </w:trPr>
        <w:tc>
          <w:tcPr>
            <w:tcW w:w="0" w:type="auto"/>
            <w:vAlign w:val="center"/>
          </w:tcPr>
          <w:p w14:paraId="313C1A93"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Water Utilities</w:t>
            </w:r>
          </w:p>
        </w:tc>
        <w:tc>
          <w:tcPr>
            <w:tcW w:w="0" w:type="auto"/>
            <w:vAlign w:val="center"/>
          </w:tcPr>
          <w:p w14:paraId="69D43CE9" w14:textId="170B30B8" w:rsidR="007A5A25" w:rsidRPr="00FF01CA" w:rsidRDefault="007A5A25" w:rsidP="00FF01CA">
            <w:pPr>
              <w:tabs>
                <w:tab w:val="left" w:pos="1515"/>
              </w:tabs>
              <w:jc w:val="center"/>
              <w:rPr>
                <w:rFonts w:cstheme="minorHAnsi"/>
                <w:sz w:val="16"/>
                <w:szCs w:val="16"/>
              </w:rPr>
            </w:pPr>
            <w:proofErr w:type="spellStart"/>
            <w:r w:rsidRPr="00FF01CA">
              <w:rPr>
                <w:rFonts w:cstheme="minorHAnsi"/>
                <w:sz w:val="16"/>
                <w:szCs w:val="16"/>
              </w:rPr>
              <w:t>Vodovod</w:t>
            </w:r>
            <w:proofErr w:type="spellEnd"/>
            <w:r w:rsidRPr="00FF01CA">
              <w:rPr>
                <w:rFonts w:cstheme="minorHAnsi"/>
                <w:sz w:val="16"/>
                <w:szCs w:val="16"/>
              </w:rPr>
              <w:t xml:space="preserve"> Mostar; local utilities</w:t>
            </w:r>
          </w:p>
        </w:tc>
        <w:tc>
          <w:tcPr>
            <w:tcW w:w="0" w:type="auto"/>
            <w:vAlign w:val="center"/>
          </w:tcPr>
          <w:p w14:paraId="0E31A9BD" w14:textId="1C5A44D8" w:rsidR="007A5A25" w:rsidRPr="00FF01CA" w:rsidRDefault="007A5A25" w:rsidP="00FF01CA">
            <w:pPr>
              <w:tabs>
                <w:tab w:val="left" w:pos="1515"/>
              </w:tabs>
              <w:jc w:val="center"/>
              <w:rPr>
                <w:rFonts w:cstheme="minorHAnsi"/>
                <w:sz w:val="16"/>
                <w:szCs w:val="16"/>
              </w:rPr>
            </w:pPr>
            <w:r w:rsidRPr="00FF01CA">
              <w:rPr>
                <w:rFonts w:cstheme="minorHAnsi"/>
                <w:sz w:val="16"/>
                <w:szCs w:val="16"/>
              </w:rPr>
              <w:t>Groundwater abstraction, supply operations, water quality management</w:t>
            </w:r>
          </w:p>
        </w:tc>
        <w:tc>
          <w:tcPr>
            <w:tcW w:w="2766" w:type="dxa"/>
            <w:vAlign w:val="center"/>
          </w:tcPr>
          <w:p w14:paraId="22496B23" w14:textId="50B3495C" w:rsidR="007A5A25" w:rsidRPr="00FF01CA" w:rsidRDefault="007A5A25" w:rsidP="00FF01CA">
            <w:pPr>
              <w:tabs>
                <w:tab w:val="left" w:pos="1515"/>
              </w:tabs>
              <w:jc w:val="center"/>
              <w:rPr>
                <w:rFonts w:cstheme="minorHAnsi"/>
                <w:sz w:val="16"/>
                <w:szCs w:val="16"/>
              </w:rPr>
            </w:pPr>
            <w:r w:rsidRPr="00FF01CA">
              <w:rPr>
                <w:rFonts w:cstheme="minorHAnsi"/>
                <w:sz w:val="16"/>
                <w:szCs w:val="16"/>
              </w:rPr>
              <w:t>Very High – critical dependency on groundwater resources</w:t>
            </w:r>
          </w:p>
        </w:tc>
      </w:tr>
      <w:tr w:rsidR="007A5A25" w:rsidRPr="00D60A13" w14:paraId="3C863EDE" w14:textId="77777777" w:rsidTr="00FF01CA">
        <w:trPr>
          <w:trHeight w:val="498"/>
          <w:tblCellSpacing w:w="15" w:type="dxa"/>
          <w:jc w:val="center"/>
        </w:trPr>
        <w:tc>
          <w:tcPr>
            <w:tcW w:w="0" w:type="auto"/>
            <w:vAlign w:val="center"/>
          </w:tcPr>
          <w:p w14:paraId="13AF825B"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Waste &amp; Sanitation Services</w:t>
            </w:r>
          </w:p>
        </w:tc>
        <w:tc>
          <w:tcPr>
            <w:tcW w:w="0" w:type="auto"/>
            <w:vAlign w:val="center"/>
          </w:tcPr>
          <w:p w14:paraId="4F28AB5C" w14:textId="3F3AA9C0" w:rsidR="007A5A25" w:rsidRPr="00FF01CA" w:rsidRDefault="007A5A25" w:rsidP="00FF01CA">
            <w:pPr>
              <w:tabs>
                <w:tab w:val="left" w:pos="1515"/>
              </w:tabs>
              <w:jc w:val="center"/>
              <w:rPr>
                <w:rFonts w:cstheme="minorHAnsi"/>
                <w:sz w:val="16"/>
                <w:szCs w:val="16"/>
              </w:rPr>
            </w:pPr>
            <w:r w:rsidRPr="00FF01CA">
              <w:rPr>
                <w:rFonts w:cstheme="minorHAnsi"/>
                <w:sz w:val="16"/>
                <w:szCs w:val="16"/>
              </w:rPr>
              <w:t>Municipal utilities</w:t>
            </w:r>
          </w:p>
        </w:tc>
        <w:tc>
          <w:tcPr>
            <w:tcW w:w="0" w:type="auto"/>
            <w:vAlign w:val="center"/>
          </w:tcPr>
          <w:p w14:paraId="6642BB24" w14:textId="300679AB" w:rsidR="007A5A25" w:rsidRPr="00FF01CA" w:rsidRDefault="007A5A25" w:rsidP="00FF01CA">
            <w:pPr>
              <w:tabs>
                <w:tab w:val="left" w:pos="1515"/>
              </w:tabs>
              <w:jc w:val="center"/>
              <w:rPr>
                <w:rFonts w:cstheme="minorHAnsi"/>
                <w:sz w:val="16"/>
                <w:szCs w:val="16"/>
              </w:rPr>
            </w:pPr>
            <w:r w:rsidRPr="00FF01CA">
              <w:rPr>
                <w:rFonts w:cstheme="minorHAnsi"/>
                <w:sz w:val="16"/>
                <w:szCs w:val="16"/>
              </w:rPr>
              <w:t>Waste collection, wastewater management and sanitation services</w:t>
            </w:r>
          </w:p>
        </w:tc>
        <w:tc>
          <w:tcPr>
            <w:tcW w:w="2766" w:type="dxa"/>
            <w:vAlign w:val="center"/>
          </w:tcPr>
          <w:p w14:paraId="2912424D" w14:textId="70E4EC8A" w:rsidR="007A5A25" w:rsidRPr="00FF01CA" w:rsidRDefault="007A5A25" w:rsidP="00FF01CA">
            <w:pPr>
              <w:tabs>
                <w:tab w:val="left" w:pos="1515"/>
              </w:tabs>
              <w:jc w:val="center"/>
              <w:rPr>
                <w:rFonts w:cstheme="minorHAnsi"/>
                <w:sz w:val="16"/>
                <w:szCs w:val="16"/>
              </w:rPr>
            </w:pPr>
            <w:r w:rsidRPr="00FF01CA">
              <w:rPr>
                <w:rFonts w:cstheme="minorHAnsi"/>
                <w:sz w:val="16"/>
                <w:szCs w:val="16"/>
              </w:rPr>
              <w:t>High – directly influences groundwater quality</w:t>
            </w:r>
          </w:p>
        </w:tc>
      </w:tr>
      <w:tr w:rsidR="007A5A25" w:rsidRPr="00D60A13" w14:paraId="5907D24D" w14:textId="77777777" w:rsidTr="00FF01CA">
        <w:trPr>
          <w:trHeight w:val="498"/>
          <w:tblCellSpacing w:w="15" w:type="dxa"/>
          <w:jc w:val="center"/>
        </w:trPr>
        <w:tc>
          <w:tcPr>
            <w:tcW w:w="0" w:type="auto"/>
            <w:vAlign w:val="center"/>
          </w:tcPr>
          <w:p w14:paraId="0AF28584" w14:textId="649CCB41" w:rsidR="007A5A25" w:rsidRPr="00FF01CA" w:rsidRDefault="007A5A25" w:rsidP="00FF01CA">
            <w:pPr>
              <w:tabs>
                <w:tab w:val="left" w:pos="1515"/>
              </w:tabs>
              <w:jc w:val="center"/>
              <w:rPr>
                <w:rFonts w:cstheme="minorHAnsi"/>
                <w:sz w:val="16"/>
                <w:szCs w:val="16"/>
              </w:rPr>
            </w:pPr>
            <w:r w:rsidRPr="00FF01CA">
              <w:rPr>
                <w:rFonts w:cstheme="minorHAnsi"/>
                <w:sz w:val="16"/>
                <w:szCs w:val="16"/>
              </w:rPr>
              <w:t>Hydropower Sector</w:t>
            </w:r>
          </w:p>
        </w:tc>
        <w:tc>
          <w:tcPr>
            <w:tcW w:w="0" w:type="auto"/>
            <w:vAlign w:val="center"/>
          </w:tcPr>
          <w:p w14:paraId="14F8DB6B" w14:textId="6E2E5939" w:rsidR="007A5A25" w:rsidRPr="00FF01CA" w:rsidRDefault="007A5A25" w:rsidP="00FF01CA">
            <w:pPr>
              <w:tabs>
                <w:tab w:val="left" w:pos="1515"/>
              </w:tabs>
              <w:jc w:val="center"/>
              <w:rPr>
                <w:rFonts w:cstheme="minorHAnsi"/>
                <w:sz w:val="16"/>
                <w:szCs w:val="16"/>
              </w:rPr>
            </w:pPr>
            <w:r w:rsidRPr="00FF01CA">
              <w:rPr>
                <w:rFonts w:cstheme="minorHAnsi"/>
                <w:sz w:val="16"/>
                <w:szCs w:val="16"/>
              </w:rPr>
              <w:t>Hydropower operators</w:t>
            </w:r>
          </w:p>
        </w:tc>
        <w:tc>
          <w:tcPr>
            <w:tcW w:w="0" w:type="auto"/>
            <w:vAlign w:val="center"/>
          </w:tcPr>
          <w:p w14:paraId="2A064FC5" w14:textId="0321CD08" w:rsidR="007A5A25" w:rsidRPr="00FF01CA" w:rsidRDefault="007A5A25" w:rsidP="00FF01CA">
            <w:pPr>
              <w:tabs>
                <w:tab w:val="left" w:pos="1515"/>
              </w:tabs>
              <w:jc w:val="center"/>
              <w:rPr>
                <w:rFonts w:cstheme="minorHAnsi"/>
                <w:sz w:val="16"/>
                <w:szCs w:val="16"/>
              </w:rPr>
            </w:pPr>
            <w:r w:rsidRPr="00FF01CA">
              <w:rPr>
                <w:rFonts w:cstheme="minorHAnsi"/>
                <w:sz w:val="16"/>
                <w:szCs w:val="16"/>
              </w:rPr>
              <w:t>Energy production, flow regulation, reservoir management</w:t>
            </w:r>
          </w:p>
        </w:tc>
        <w:tc>
          <w:tcPr>
            <w:tcW w:w="2766" w:type="dxa"/>
            <w:vAlign w:val="center"/>
          </w:tcPr>
          <w:p w14:paraId="4F2EFF5F" w14:textId="42C35FFB" w:rsidR="007A5A25" w:rsidRPr="00FF01CA" w:rsidRDefault="007A5A25" w:rsidP="00FF01CA">
            <w:pPr>
              <w:tabs>
                <w:tab w:val="left" w:pos="1515"/>
              </w:tabs>
              <w:jc w:val="center"/>
              <w:rPr>
                <w:rFonts w:cstheme="minorHAnsi"/>
                <w:sz w:val="16"/>
                <w:szCs w:val="16"/>
              </w:rPr>
            </w:pPr>
            <w:r w:rsidRPr="00FF01CA">
              <w:rPr>
                <w:rFonts w:cstheme="minorHAnsi"/>
                <w:sz w:val="16"/>
                <w:szCs w:val="16"/>
              </w:rPr>
              <w:t>High – indirect influence on groundwater systems</w:t>
            </w:r>
          </w:p>
        </w:tc>
      </w:tr>
      <w:tr w:rsidR="007A5A25" w:rsidRPr="00D60A13" w14:paraId="62D32AED" w14:textId="77777777" w:rsidTr="00FF01CA">
        <w:trPr>
          <w:trHeight w:val="498"/>
          <w:tblCellSpacing w:w="15" w:type="dxa"/>
          <w:jc w:val="center"/>
        </w:trPr>
        <w:tc>
          <w:tcPr>
            <w:tcW w:w="0" w:type="auto"/>
            <w:vAlign w:val="center"/>
          </w:tcPr>
          <w:p w14:paraId="1499803C" w14:textId="7980FBE0" w:rsidR="007A5A25" w:rsidRPr="00FF01CA" w:rsidRDefault="007A5A25" w:rsidP="00FF01CA">
            <w:pPr>
              <w:tabs>
                <w:tab w:val="left" w:pos="1515"/>
              </w:tabs>
              <w:jc w:val="center"/>
              <w:rPr>
                <w:rFonts w:cstheme="minorHAnsi"/>
                <w:sz w:val="16"/>
                <w:szCs w:val="16"/>
              </w:rPr>
            </w:pPr>
            <w:r w:rsidRPr="00FF01CA">
              <w:rPr>
                <w:rFonts w:cstheme="minorHAnsi"/>
                <w:sz w:val="16"/>
                <w:szCs w:val="16"/>
              </w:rPr>
              <w:t>Tourism Stakeholders</w:t>
            </w:r>
          </w:p>
        </w:tc>
        <w:tc>
          <w:tcPr>
            <w:tcW w:w="0" w:type="auto"/>
            <w:vAlign w:val="center"/>
          </w:tcPr>
          <w:p w14:paraId="5FD94068" w14:textId="644BBC3B" w:rsidR="007A5A25" w:rsidRPr="00FF01CA" w:rsidRDefault="007A5A25" w:rsidP="00FF01CA">
            <w:pPr>
              <w:tabs>
                <w:tab w:val="left" w:pos="1515"/>
              </w:tabs>
              <w:jc w:val="center"/>
              <w:rPr>
                <w:rFonts w:cstheme="minorHAnsi"/>
                <w:sz w:val="16"/>
                <w:szCs w:val="16"/>
              </w:rPr>
            </w:pPr>
            <w:r w:rsidRPr="00FF01CA">
              <w:rPr>
                <w:rFonts w:cstheme="minorHAnsi"/>
                <w:sz w:val="16"/>
                <w:szCs w:val="16"/>
              </w:rPr>
              <w:t>Hotels, rafting operators, restaurants</w:t>
            </w:r>
          </w:p>
        </w:tc>
        <w:tc>
          <w:tcPr>
            <w:tcW w:w="0" w:type="auto"/>
            <w:vAlign w:val="center"/>
          </w:tcPr>
          <w:p w14:paraId="2C88C1FB" w14:textId="48810703" w:rsidR="007A5A25" w:rsidRPr="00FF01CA" w:rsidRDefault="007A5A25" w:rsidP="00FF01CA">
            <w:pPr>
              <w:tabs>
                <w:tab w:val="left" w:pos="1515"/>
              </w:tabs>
              <w:jc w:val="center"/>
              <w:rPr>
                <w:rFonts w:cstheme="minorHAnsi"/>
                <w:sz w:val="16"/>
                <w:szCs w:val="16"/>
              </w:rPr>
            </w:pPr>
            <w:r w:rsidRPr="00FF01CA">
              <w:rPr>
                <w:rFonts w:cstheme="minorHAnsi"/>
                <w:sz w:val="16"/>
                <w:szCs w:val="16"/>
              </w:rPr>
              <w:t>Seasonal water use, wastewater generation and management</w:t>
            </w:r>
          </w:p>
        </w:tc>
        <w:tc>
          <w:tcPr>
            <w:tcW w:w="2766" w:type="dxa"/>
            <w:vAlign w:val="center"/>
          </w:tcPr>
          <w:p w14:paraId="158678C0" w14:textId="18F6E74B" w:rsidR="007A5A25" w:rsidRPr="00FF01CA" w:rsidRDefault="007A5A25" w:rsidP="00FF01CA">
            <w:pPr>
              <w:tabs>
                <w:tab w:val="left" w:pos="1515"/>
              </w:tabs>
              <w:jc w:val="center"/>
              <w:rPr>
                <w:rFonts w:cstheme="minorHAnsi"/>
                <w:sz w:val="16"/>
                <w:szCs w:val="16"/>
              </w:rPr>
            </w:pPr>
            <w:r w:rsidRPr="00FF01CA">
              <w:rPr>
                <w:rFonts w:cstheme="minorHAnsi"/>
                <w:sz w:val="16"/>
                <w:szCs w:val="16"/>
              </w:rPr>
              <w:t>Medium–High – seasonal pressure in key areas</w:t>
            </w:r>
          </w:p>
        </w:tc>
      </w:tr>
      <w:tr w:rsidR="007A5A25" w:rsidRPr="00D60A13" w14:paraId="3A24A521" w14:textId="77777777" w:rsidTr="00FF01CA">
        <w:trPr>
          <w:trHeight w:val="498"/>
          <w:tblCellSpacing w:w="15" w:type="dxa"/>
          <w:jc w:val="center"/>
        </w:trPr>
        <w:tc>
          <w:tcPr>
            <w:tcW w:w="0" w:type="auto"/>
            <w:vAlign w:val="center"/>
          </w:tcPr>
          <w:p w14:paraId="6C1C3829" w14:textId="5B2FB246" w:rsidR="007A5A25" w:rsidRPr="00FF01CA" w:rsidRDefault="007A5A25" w:rsidP="00FF01CA">
            <w:pPr>
              <w:tabs>
                <w:tab w:val="left" w:pos="1515"/>
              </w:tabs>
              <w:jc w:val="center"/>
              <w:rPr>
                <w:rFonts w:cstheme="minorHAnsi"/>
                <w:sz w:val="16"/>
                <w:szCs w:val="16"/>
              </w:rPr>
            </w:pPr>
            <w:r w:rsidRPr="00FF01CA">
              <w:rPr>
                <w:rFonts w:cstheme="minorHAnsi"/>
                <w:sz w:val="16"/>
                <w:szCs w:val="16"/>
              </w:rPr>
              <w:t>Agriculture Stakeholders</w:t>
            </w:r>
          </w:p>
        </w:tc>
        <w:tc>
          <w:tcPr>
            <w:tcW w:w="0" w:type="auto"/>
            <w:vAlign w:val="center"/>
          </w:tcPr>
          <w:p w14:paraId="11A35E28" w14:textId="4FD6FBF3" w:rsidR="007A5A25" w:rsidRPr="00FF01CA" w:rsidRDefault="007A5A25" w:rsidP="00FF01CA">
            <w:pPr>
              <w:tabs>
                <w:tab w:val="left" w:pos="1515"/>
              </w:tabs>
              <w:jc w:val="center"/>
              <w:rPr>
                <w:rFonts w:cstheme="minorHAnsi"/>
                <w:sz w:val="16"/>
                <w:szCs w:val="16"/>
              </w:rPr>
            </w:pPr>
            <w:r w:rsidRPr="00FF01CA">
              <w:rPr>
                <w:rFonts w:cstheme="minorHAnsi"/>
                <w:sz w:val="16"/>
                <w:szCs w:val="16"/>
              </w:rPr>
              <w:t>Farmers, livestock holders</w:t>
            </w:r>
          </w:p>
        </w:tc>
        <w:tc>
          <w:tcPr>
            <w:tcW w:w="0" w:type="auto"/>
            <w:vAlign w:val="center"/>
          </w:tcPr>
          <w:p w14:paraId="435FCF51" w14:textId="058C6EED" w:rsidR="007A5A25" w:rsidRPr="00FF01CA" w:rsidRDefault="007A5A25" w:rsidP="00FF01CA">
            <w:pPr>
              <w:tabs>
                <w:tab w:val="left" w:pos="1515"/>
              </w:tabs>
              <w:jc w:val="center"/>
              <w:rPr>
                <w:rFonts w:cstheme="minorHAnsi"/>
                <w:sz w:val="16"/>
                <w:szCs w:val="16"/>
              </w:rPr>
            </w:pPr>
            <w:r w:rsidRPr="00FF01CA">
              <w:rPr>
                <w:rFonts w:cstheme="minorHAnsi"/>
                <w:sz w:val="16"/>
                <w:szCs w:val="16"/>
              </w:rPr>
              <w:t>Irrigation, livestock watering, manure management</w:t>
            </w:r>
          </w:p>
        </w:tc>
        <w:tc>
          <w:tcPr>
            <w:tcW w:w="2766" w:type="dxa"/>
            <w:vAlign w:val="center"/>
          </w:tcPr>
          <w:p w14:paraId="4DA12566" w14:textId="77881ECF" w:rsidR="007A5A25" w:rsidRPr="00FF01CA" w:rsidRDefault="007A5A25" w:rsidP="00FF01CA">
            <w:pPr>
              <w:tabs>
                <w:tab w:val="left" w:pos="1515"/>
              </w:tabs>
              <w:jc w:val="center"/>
              <w:rPr>
                <w:rFonts w:cstheme="minorHAnsi"/>
                <w:sz w:val="16"/>
                <w:szCs w:val="16"/>
              </w:rPr>
            </w:pPr>
            <w:r w:rsidRPr="00FF01CA">
              <w:rPr>
                <w:rFonts w:cstheme="minorHAnsi"/>
                <w:sz w:val="16"/>
                <w:szCs w:val="16"/>
              </w:rPr>
              <w:t>Medium – diffuse pollution risk</w:t>
            </w:r>
          </w:p>
        </w:tc>
      </w:tr>
      <w:tr w:rsidR="007A5A25" w:rsidRPr="00D60A13" w14:paraId="590B9E35" w14:textId="77777777" w:rsidTr="00FF01CA">
        <w:trPr>
          <w:trHeight w:val="498"/>
          <w:tblCellSpacing w:w="15" w:type="dxa"/>
          <w:jc w:val="center"/>
        </w:trPr>
        <w:tc>
          <w:tcPr>
            <w:tcW w:w="0" w:type="auto"/>
            <w:vAlign w:val="center"/>
          </w:tcPr>
          <w:p w14:paraId="05269BA6"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Protected Area Authorities</w:t>
            </w:r>
          </w:p>
        </w:tc>
        <w:tc>
          <w:tcPr>
            <w:tcW w:w="0" w:type="auto"/>
            <w:vAlign w:val="center"/>
          </w:tcPr>
          <w:p w14:paraId="352DF058" w14:textId="73ACE49C" w:rsidR="007A5A25" w:rsidRPr="00FF01CA" w:rsidRDefault="007A5A25" w:rsidP="00FF01CA">
            <w:pPr>
              <w:tabs>
                <w:tab w:val="left" w:pos="1515"/>
              </w:tabs>
              <w:jc w:val="center"/>
              <w:rPr>
                <w:rFonts w:cstheme="minorHAnsi"/>
                <w:sz w:val="16"/>
                <w:szCs w:val="16"/>
              </w:rPr>
            </w:pPr>
            <w:r w:rsidRPr="00FF01CA">
              <w:rPr>
                <w:rFonts w:cstheme="minorHAnsi"/>
                <w:sz w:val="16"/>
                <w:szCs w:val="16"/>
              </w:rPr>
              <w:t>Nature protection bodies</w:t>
            </w:r>
          </w:p>
        </w:tc>
        <w:tc>
          <w:tcPr>
            <w:tcW w:w="0" w:type="auto"/>
            <w:vAlign w:val="center"/>
          </w:tcPr>
          <w:p w14:paraId="3E6A2CEC" w14:textId="6F149A00" w:rsidR="007A5A25" w:rsidRPr="00FF01CA" w:rsidRDefault="007A5A25" w:rsidP="00FF01CA">
            <w:pPr>
              <w:tabs>
                <w:tab w:val="left" w:pos="1515"/>
              </w:tabs>
              <w:jc w:val="center"/>
              <w:rPr>
                <w:rFonts w:cstheme="minorHAnsi"/>
                <w:sz w:val="16"/>
                <w:szCs w:val="16"/>
              </w:rPr>
            </w:pPr>
            <w:r w:rsidRPr="00FF01CA">
              <w:rPr>
                <w:rFonts w:cstheme="minorHAnsi"/>
                <w:sz w:val="16"/>
                <w:szCs w:val="16"/>
              </w:rPr>
              <w:t>Conservation, tourism management, infrastructure control</w:t>
            </w:r>
          </w:p>
        </w:tc>
        <w:tc>
          <w:tcPr>
            <w:tcW w:w="2766" w:type="dxa"/>
            <w:vAlign w:val="center"/>
          </w:tcPr>
          <w:p w14:paraId="0A4A221E" w14:textId="2ED4F043" w:rsidR="007A5A25" w:rsidRPr="00FF01CA" w:rsidRDefault="007A5A25" w:rsidP="00FF01CA">
            <w:pPr>
              <w:tabs>
                <w:tab w:val="left" w:pos="1515"/>
              </w:tabs>
              <w:jc w:val="center"/>
              <w:rPr>
                <w:rFonts w:cstheme="minorHAnsi"/>
                <w:sz w:val="16"/>
                <w:szCs w:val="16"/>
              </w:rPr>
            </w:pPr>
            <w:r w:rsidRPr="00FF01CA">
              <w:rPr>
                <w:rFonts w:cstheme="minorHAnsi"/>
                <w:sz w:val="16"/>
                <w:szCs w:val="16"/>
              </w:rPr>
              <w:t>Medium–High – potential leverage for groundwater protection</w:t>
            </w:r>
          </w:p>
        </w:tc>
      </w:tr>
      <w:tr w:rsidR="007A5A25" w:rsidRPr="00D60A13" w14:paraId="246F2783" w14:textId="77777777" w:rsidTr="00FF01CA">
        <w:trPr>
          <w:trHeight w:val="498"/>
          <w:tblCellSpacing w:w="15" w:type="dxa"/>
          <w:jc w:val="center"/>
        </w:trPr>
        <w:tc>
          <w:tcPr>
            <w:tcW w:w="0" w:type="auto"/>
            <w:vAlign w:val="center"/>
          </w:tcPr>
          <w:p w14:paraId="318856BD"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Civil Society &amp; NGOs</w:t>
            </w:r>
          </w:p>
        </w:tc>
        <w:tc>
          <w:tcPr>
            <w:tcW w:w="0" w:type="auto"/>
            <w:vAlign w:val="center"/>
          </w:tcPr>
          <w:p w14:paraId="56744FAC" w14:textId="2A9D2FBC" w:rsidR="007A5A25" w:rsidRPr="00FF01CA" w:rsidRDefault="007A5A25" w:rsidP="00FF01CA">
            <w:pPr>
              <w:tabs>
                <w:tab w:val="left" w:pos="1515"/>
              </w:tabs>
              <w:jc w:val="center"/>
              <w:rPr>
                <w:rFonts w:cstheme="minorHAnsi"/>
                <w:sz w:val="16"/>
                <w:szCs w:val="16"/>
              </w:rPr>
            </w:pPr>
            <w:r w:rsidRPr="00FF01CA">
              <w:rPr>
                <w:rFonts w:cstheme="minorHAnsi"/>
                <w:sz w:val="16"/>
                <w:szCs w:val="16"/>
              </w:rPr>
              <w:t>Environmental NGOs, youth groups</w:t>
            </w:r>
          </w:p>
        </w:tc>
        <w:tc>
          <w:tcPr>
            <w:tcW w:w="0" w:type="auto"/>
            <w:vAlign w:val="center"/>
          </w:tcPr>
          <w:p w14:paraId="47217078" w14:textId="1E5F6EE7" w:rsidR="007A5A25" w:rsidRPr="00FF01CA" w:rsidRDefault="007A5A25" w:rsidP="00FF01CA">
            <w:pPr>
              <w:tabs>
                <w:tab w:val="left" w:pos="1515"/>
              </w:tabs>
              <w:jc w:val="center"/>
              <w:rPr>
                <w:rFonts w:cstheme="minorHAnsi"/>
                <w:sz w:val="16"/>
                <w:szCs w:val="16"/>
              </w:rPr>
            </w:pPr>
            <w:r w:rsidRPr="00FF01CA">
              <w:rPr>
                <w:rFonts w:cstheme="minorHAnsi"/>
                <w:sz w:val="16"/>
                <w:szCs w:val="16"/>
              </w:rPr>
              <w:t>Awareness raising, advocacy, participatory monitoring</w:t>
            </w:r>
          </w:p>
        </w:tc>
        <w:tc>
          <w:tcPr>
            <w:tcW w:w="2766" w:type="dxa"/>
            <w:vAlign w:val="center"/>
          </w:tcPr>
          <w:p w14:paraId="68E49684" w14:textId="632D6011" w:rsidR="007A5A25" w:rsidRPr="00FF01CA" w:rsidRDefault="007A5A25" w:rsidP="00FF01CA">
            <w:pPr>
              <w:tabs>
                <w:tab w:val="left" w:pos="1515"/>
              </w:tabs>
              <w:jc w:val="center"/>
              <w:rPr>
                <w:rFonts w:cstheme="minorHAnsi"/>
                <w:sz w:val="16"/>
                <w:szCs w:val="16"/>
              </w:rPr>
            </w:pPr>
            <w:r w:rsidRPr="00FF01CA">
              <w:rPr>
                <w:rFonts w:cstheme="minorHAnsi"/>
                <w:sz w:val="16"/>
                <w:szCs w:val="16"/>
              </w:rPr>
              <w:t>Medium – supports engagement and transparency</w:t>
            </w:r>
          </w:p>
        </w:tc>
      </w:tr>
      <w:tr w:rsidR="007A5A25" w:rsidRPr="00D60A13" w14:paraId="7BB4634C" w14:textId="77777777" w:rsidTr="00FF01CA">
        <w:trPr>
          <w:trHeight w:val="498"/>
          <w:tblCellSpacing w:w="15" w:type="dxa"/>
          <w:jc w:val="center"/>
        </w:trPr>
        <w:tc>
          <w:tcPr>
            <w:tcW w:w="0" w:type="auto"/>
            <w:vAlign w:val="center"/>
          </w:tcPr>
          <w:p w14:paraId="574B9319"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Local Communities</w:t>
            </w:r>
          </w:p>
        </w:tc>
        <w:tc>
          <w:tcPr>
            <w:tcW w:w="0" w:type="auto"/>
            <w:vAlign w:val="center"/>
          </w:tcPr>
          <w:p w14:paraId="0956FD01" w14:textId="07434A4D" w:rsidR="007A5A25" w:rsidRPr="00FF01CA" w:rsidRDefault="007A5A25" w:rsidP="00FF01CA">
            <w:pPr>
              <w:tabs>
                <w:tab w:val="left" w:pos="1515"/>
              </w:tabs>
              <w:jc w:val="center"/>
              <w:rPr>
                <w:rFonts w:cstheme="minorHAnsi"/>
                <w:sz w:val="16"/>
                <w:szCs w:val="16"/>
              </w:rPr>
            </w:pPr>
            <w:r w:rsidRPr="00FF01CA">
              <w:rPr>
                <w:rFonts w:cstheme="minorHAnsi"/>
                <w:sz w:val="16"/>
                <w:szCs w:val="16"/>
              </w:rPr>
              <w:t>Urban and rural populations</w:t>
            </w:r>
          </w:p>
        </w:tc>
        <w:tc>
          <w:tcPr>
            <w:tcW w:w="0" w:type="auto"/>
            <w:vAlign w:val="center"/>
          </w:tcPr>
          <w:p w14:paraId="6934B773" w14:textId="226BBC38" w:rsidR="007A5A25" w:rsidRPr="00FF01CA" w:rsidRDefault="007A5A25" w:rsidP="00FF01CA">
            <w:pPr>
              <w:tabs>
                <w:tab w:val="left" w:pos="1515"/>
              </w:tabs>
              <w:jc w:val="center"/>
              <w:rPr>
                <w:rFonts w:cstheme="minorHAnsi"/>
                <w:sz w:val="16"/>
                <w:szCs w:val="16"/>
              </w:rPr>
            </w:pPr>
            <w:r w:rsidRPr="00FF01CA">
              <w:rPr>
                <w:rFonts w:cstheme="minorHAnsi"/>
                <w:sz w:val="16"/>
                <w:szCs w:val="16"/>
              </w:rPr>
              <w:t>Daily sanitation practices, waste disposal, land-use behaviour</w:t>
            </w:r>
          </w:p>
        </w:tc>
        <w:tc>
          <w:tcPr>
            <w:tcW w:w="2766" w:type="dxa"/>
            <w:vAlign w:val="center"/>
          </w:tcPr>
          <w:p w14:paraId="266E9770" w14:textId="6C062E64" w:rsidR="007A5A25" w:rsidRPr="00FF01CA" w:rsidRDefault="007A5A25" w:rsidP="00FF01CA">
            <w:pPr>
              <w:tabs>
                <w:tab w:val="left" w:pos="1515"/>
              </w:tabs>
              <w:jc w:val="center"/>
              <w:rPr>
                <w:rFonts w:cstheme="minorHAnsi"/>
                <w:sz w:val="16"/>
                <w:szCs w:val="16"/>
              </w:rPr>
            </w:pPr>
            <w:r w:rsidRPr="00FF01CA">
              <w:rPr>
                <w:rFonts w:cstheme="minorHAnsi"/>
                <w:sz w:val="16"/>
                <w:szCs w:val="16"/>
              </w:rPr>
              <w:t>High – cumulative impact on groundwater</w:t>
            </w:r>
          </w:p>
        </w:tc>
      </w:tr>
      <w:tr w:rsidR="007A5A25" w:rsidRPr="00D60A13" w14:paraId="0C95D5BC" w14:textId="77777777" w:rsidTr="00FF01CA">
        <w:trPr>
          <w:trHeight w:val="498"/>
          <w:tblCellSpacing w:w="15" w:type="dxa"/>
          <w:jc w:val="center"/>
        </w:trPr>
        <w:tc>
          <w:tcPr>
            <w:tcW w:w="0" w:type="auto"/>
            <w:vAlign w:val="center"/>
          </w:tcPr>
          <w:p w14:paraId="525262FA"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Research &amp; Academia</w:t>
            </w:r>
          </w:p>
        </w:tc>
        <w:tc>
          <w:tcPr>
            <w:tcW w:w="0" w:type="auto"/>
            <w:vAlign w:val="center"/>
          </w:tcPr>
          <w:p w14:paraId="3DAC0123" w14:textId="45C7D8C1" w:rsidR="007A5A25" w:rsidRPr="00FF01CA" w:rsidRDefault="007A5A25" w:rsidP="00FF01CA">
            <w:pPr>
              <w:tabs>
                <w:tab w:val="left" w:pos="1515"/>
              </w:tabs>
              <w:jc w:val="center"/>
              <w:rPr>
                <w:rFonts w:cstheme="minorHAnsi"/>
                <w:sz w:val="16"/>
                <w:szCs w:val="16"/>
              </w:rPr>
            </w:pPr>
            <w:r w:rsidRPr="00FF01CA">
              <w:rPr>
                <w:rFonts w:cstheme="minorHAnsi"/>
                <w:sz w:val="16"/>
                <w:szCs w:val="16"/>
              </w:rPr>
              <w:t>Universities, hydrologists</w:t>
            </w:r>
          </w:p>
        </w:tc>
        <w:tc>
          <w:tcPr>
            <w:tcW w:w="0" w:type="auto"/>
            <w:vAlign w:val="center"/>
          </w:tcPr>
          <w:p w14:paraId="0AB48046" w14:textId="26368B42" w:rsidR="007A5A25" w:rsidRPr="00FF01CA" w:rsidRDefault="007A5A25" w:rsidP="00FF01CA">
            <w:pPr>
              <w:tabs>
                <w:tab w:val="left" w:pos="1515"/>
              </w:tabs>
              <w:jc w:val="center"/>
              <w:rPr>
                <w:rFonts w:cstheme="minorHAnsi"/>
                <w:sz w:val="16"/>
                <w:szCs w:val="16"/>
              </w:rPr>
            </w:pPr>
            <w:r w:rsidRPr="00FF01CA">
              <w:rPr>
                <w:rFonts w:cstheme="minorHAnsi"/>
                <w:sz w:val="16"/>
                <w:szCs w:val="16"/>
              </w:rPr>
              <w:t>Data collection, studies, hydrogeological and vulnerability assessments</w:t>
            </w:r>
          </w:p>
        </w:tc>
        <w:tc>
          <w:tcPr>
            <w:tcW w:w="2766" w:type="dxa"/>
            <w:vAlign w:val="center"/>
          </w:tcPr>
          <w:p w14:paraId="49A9A7C4" w14:textId="4A2EAF48" w:rsidR="007A5A25" w:rsidRPr="00FF01CA" w:rsidRDefault="007A5A25" w:rsidP="00FF01CA">
            <w:pPr>
              <w:tabs>
                <w:tab w:val="left" w:pos="1515"/>
              </w:tabs>
              <w:jc w:val="center"/>
              <w:rPr>
                <w:rFonts w:cstheme="minorHAnsi"/>
                <w:sz w:val="16"/>
                <w:szCs w:val="16"/>
              </w:rPr>
            </w:pPr>
            <w:r w:rsidRPr="00FF01CA">
              <w:rPr>
                <w:rFonts w:cstheme="minorHAnsi"/>
                <w:sz w:val="16"/>
                <w:szCs w:val="16"/>
              </w:rPr>
              <w:t>Medium – supports evidence-based decision-making</w:t>
            </w:r>
          </w:p>
        </w:tc>
      </w:tr>
      <w:tr w:rsidR="007A5A25" w:rsidRPr="00D60A13" w14:paraId="3A55EFB6" w14:textId="77777777" w:rsidTr="00FF01CA">
        <w:trPr>
          <w:trHeight w:val="498"/>
          <w:tblCellSpacing w:w="15" w:type="dxa"/>
          <w:jc w:val="center"/>
        </w:trPr>
        <w:tc>
          <w:tcPr>
            <w:tcW w:w="0" w:type="auto"/>
            <w:vAlign w:val="center"/>
          </w:tcPr>
          <w:p w14:paraId="6B35445E" w14:textId="77777777" w:rsidR="007A5A25" w:rsidRPr="00FF01CA" w:rsidRDefault="007A5A25" w:rsidP="00FF01CA">
            <w:pPr>
              <w:tabs>
                <w:tab w:val="left" w:pos="1515"/>
              </w:tabs>
              <w:jc w:val="center"/>
              <w:rPr>
                <w:rFonts w:cstheme="minorHAnsi"/>
                <w:sz w:val="16"/>
                <w:szCs w:val="16"/>
              </w:rPr>
            </w:pPr>
            <w:r w:rsidRPr="00FF01CA">
              <w:rPr>
                <w:rFonts w:cstheme="minorHAnsi"/>
                <w:sz w:val="16"/>
                <w:szCs w:val="16"/>
              </w:rPr>
              <w:t>International Actors</w:t>
            </w:r>
          </w:p>
        </w:tc>
        <w:tc>
          <w:tcPr>
            <w:tcW w:w="0" w:type="auto"/>
            <w:vAlign w:val="center"/>
          </w:tcPr>
          <w:p w14:paraId="758CB764" w14:textId="59CF70B7" w:rsidR="007A5A25" w:rsidRPr="00FF01CA" w:rsidRDefault="007A5A25" w:rsidP="00FF01CA">
            <w:pPr>
              <w:tabs>
                <w:tab w:val="left" w:pos="1515"/>
              </w:tabs>
              <w:jc w:val="center"/>
              <w:rPr>
                <w:rFonts w:cstheme="minorHAnsi"/>
                <w:sz w:val="16"/>
                <w:szCs w:val="16"/>
              </w:rPr>
            </w:pPr>
            <w:r w:rsidRPr="00FF01CA">
              <w:rPr>
                <w:rFonts w:cstheme="minorHAnsi"/>
                <w:sz w:val="16"/>
                <w:szCs w:val="16"/>
              </w:rPr>
              <w:t>UNESCO, GEF, EU</w:t>
            </w:r>
          </w:p>
        </w:tc>
        <w:tc>
          <w:tcPr>
            <w:tcW w:w="0" w:type="auto"/>
            <w:vAlign w:val="center"/>
          </w:tcPr>
          <w:p w14:paraId="3264713D" w14:textId="2C76DBEB" w:rsidR="007A5A25" w:rsidRPr="00FF01CA" w:rsidRDefault="007A5A25" w:rsidP="00FF01CA">
            <w:pPr>
              <w:tabs>
                <w:tab w:val="left" w:pos="1515"/>
              </w:tabs>
              <w:jc w:val="center"/>
              <w:rPr>
                <w:rFonts w:cstheme="minorHAnsi"/>
                <w:sz w:val="16"/>
                <w:szCs w:val="16"/>
              </w:rPr>
            </w:pPr>
            <w:r w:rsidRPr="00FF01CA">
              <w:rPr>
                <w:rFonts w:cstheme="minorHAnsi"/>
                <w:sz w:val="16"/>
                <w:szCs w:val="16"/>
              </w:rPr>
              <w:t>Funding, technical support, facilitation of governance frameworks</w:t>
            </w:r>
          </w:p>
        </w:tc>
        <w:tc>
          <w:tcPr>
            <w:tcW w:w="2766" w:type="dxa"/>
            <w:vAlign w:val="center"/>
          </w:tcPr>
          <w:p w14:paraId="5258F904" w14:textId="2C3D275A" w:rsidR="007A5A25" w:rsidRPr="00FF01CA" w:rsidRDefault="007A5A25" w:rsidP="00FF01CA">
            <w:pPr>
              <w:tabs>
                <w:tab w:val="left" w:pos="1515"/>
              </w:tabs>
              <w:jc w:val="center"/>
              <w:rPr>
                <w:rFonts w:cstheme="minorHAnsi"/>
                <w:sz w:val="16"/>
                <w:szCs w:val="16"/>
              </w:rPr>
            </w:pPr>
            <w:r w:rsidRPr="00FF01CA">
              <w:rPr>
                <w:rFonts w:cstheme="minorHAnsi"/>
                <w:sz w:val="16"/>
                <w:szCs w:val="16"/>
              </w:rPr>
              <w:t>High – supports transboundary cooperation and coordination</w:t>
            </w:r>
          </w:p>
        </w:tc>
      </w:tr>
    </w:tbl>
    <w:p w14:paraId="0DD9EA1E" w14:textId="77777777" w:rsidR="00104A51" w:rsidRPr="00D60A13" w:rsidRDefault="00104A51" w:rsidP="00104A51">
      <w:pPr>
        <w:rPr>
          <w:rFonts w:ascii="Calibri" w:hAnsi="Calibri" w:cs="Calibri"/>
          <w:color w:val="0070C0"/>
        </w:rPr>
      </w:pPr>
    </w:p>
    <w:tbl>
      <w:tblPr>
        <w:tblW w:w="8630" w:type="dxa"/>
        <w:jc w:val="center"/>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533"/>
        <w:gridCol w:w="927"/>
        <w:gridCol w:w="2212"/>
        <w:gridCol w:w="2067"/>
        <w:gridCol w:w="1891"/>
      </w:tblGrid>
      <w:tr w:rsidR="00104A51" w:rsidRPr="00D60A13" w14:paraId="57A96123" w14:textId="77777777" w:rsidTr="00FF01CA">
        <w:trPr>
          <w:trHeight w:val="409"/>
          <w:tblHeader/>
          <w:tblCellSpacing w:w="15" w:type="dxa"/>
          <w:jc w:val="center"/>
        </w:trPr>
        <w:tc>
          <w:tcPr>
            <w:tcW w:w="8570" w:type="dxa"/>
            <w:gridSpan w:val="5"/>
            <w:shd w:val="clear" w:color="auto" w:fill="D9E2F3" w:themeFill="accent1" w:themeFillTint="33"/>
            <w:vAlign w:val="center"/>
          </w:tcPr>
          <w:p w14:paraId="7BF741EF" w14:textId="60536BEB" w:rsidR="00104A51" w:rsidRPr="00D60A13" w:rsidRDefault="00104A51" w:rsidP="00FF01CA">
            <w:pPr>
              <w:tabs>
                <w:tab w:val="left" w:pos="1515"/>
              </w:tabs>
              <w:jc w:val="center"/>
              <w:rPr>
                <w:rFonts w:ascii="Calibri" w:hAnsi="Calibri" w:cs="Calibri"/>
                <w:b/>
                <w:bCs/>
                <w:sz w:val="16"/>
                <w:szCs w:val="16"/>
              </w:rPr>
            </w:pPr>
            <w:r w:rsidRPr="00D60A13">
              <w:rPr>
                <w:rFonts w:ascii="Calibri" w:hAnsi="Calibri" w:cs="Calibri"/>
                <w:b/>
                <w:bCs/>
                <w:sz w:val="16"/>
                <w:szCs w:val="16"/>
              </w:rPr>
              <w:t xml:space="preserve">CROSS-BORDER COORDINATION ROLES – </w:t>
            </w:r>
            <w:r w:rsidR="006E39CE" w:rsidRPr="00D60A13">
              <w:rPr>
                <w:rFonts w:ascii="Calibri" w:hAnsi="Calibri" w:cs="Calibri"/>
                <w:b/>
                <w:bCs/>
                <w:sz w:val="16"/>
                <w:szCs w:val="16"/>
              </w:rPr>
              <w:t>UNA TBA</w:t>
            </w:r>
          </w:p>
        </w:tc>
      </w:tr>
      <w:tr w:rsidR="00104A51" w:rsidRPr="00D60A13" w14:paraId="38DC9F45" w14:textId="77777777" w:rsidTr="00FF01CA">
        <w:trPr>
          <w:trHeight w:val="484"/>
          <w:tblHeader/>
          <w:tblCellSpacing w:w="15" w:type="dxa"/>
          <w:jc w:val="center"/>
        </w:trPr>
        <w:tc>
          <w:tcPr>
            <w:tcW w:w="0" w:type="auto"/>
            <w:shd w:val="clear" w:color="auto" w:fill="D9E2F3" w:themeFill="accent1" w:themeFillTint="33"/>
            <w:vAlign w:val="center"/>
            <w:hideMark/>
          </w:tcPr>
          <w:p w14:paraId="18006A89" w14:textId="77777777" w:rsidR="00104A51" w:rsidRPr="00D60A13" w:rsidRDefault="00104A51" w:rsidP="00FF01CA">
            <w:pPr>
              <w:tabs>
                <w:tab w:val="left" w:pos="1515"/>
              </w:tabs>
              <w:jc w:val="center"/>
              <w:rPr>
                <w:rFonts w:ascii="Calibri" w:hAnsi="Calibri" w:cs="Calibri"/>
                <w:b/>
                <w:bCs/>
                <w:sz w:val="16"/>
                <w:szCs w:val="16"/>
              </w:rPr>
            </w:pPr>
            <w:r w:rsidRPr="00D60A13">
              <w:rPr>
                <w:rFonts w:ascii="Calibri" w:hAnsi="Calibri" w:cs="Calibri"/>
                <w:b/>
                <w:bCs/>
                <w:sz w:val="16"/>
                <w:szCs w:val="16"/>
              </w:rPr>
              <w:t>Actor / Institution</w:t>
            </w:r>
          </w:p>
        </w:tc>
        <w:tc>
          <w:tcPr>
            <w:tcW w:w="0" w:type="auto"/>
            <w:shd w:val="clear" w:color="auto" w:fill="D9E2F3" w:themeFill="accent1" w:themeFillTint="33"/>
            <w:vAlign w:val="center"/>
            <w:hideMark/>
          </w:tcPr>
          <w:p w14:paraId="6303D60B" w14:textId="77777777" w:rsidR="00104A51" w:rsidRPr="00D60A13" w:rsidRDefault="00104A51" w:rsidP="00FF01CA">
            <w:pPr>
              <w:tabs>
                <w:tab w:val="left" w:pos="1515"/>
              </w:tabs>
              <w:jc w:val="center"/>
              <w:rPr>
                <w:rFonts w:ascii="Calibri" w:hAnsi="Calibri" w:cs="Calibri"/>
                <w:b/>
                <w:bCs/>
                <w:sz w:val="16"/>
                <w:szCs w:val="16"/>
              </w:rPr>
            </w:pPr>
            <w:r w:rsidRPr="00D60A13">
              <w:rPr>
                <w:rFonts w:ascii="Calibri" w:hAnsi="Calibri" w:cs="Calibri"/>
                <w:b/>
                <w:bCs/>
                <w:sz w:val="16"/>
                <w:szCs w:val="16"/>
              </w:rPr>
              <w:t>Country</w:t>
            </w:r>
          </w:p>
        </w:tc>
        <w:tc>
          <w:tcPr>
            <w:tcW w:w="0" w:type="auto"/>
            <w:shd w:val="clear" w:color="auto" w:fill="D9E2F3" w:themeFill="accent1" w:themeFillTint="33"/>
            <w:vAlign w:val="center"/>
            <w:hideMark/>
          </w:tcPr>
          <w:p w14:paraId="253760C1" w14:textId="77777777" w:rsidR="00104A51" w:rsidRPr="00D60A13" w:rsidRDefault="00104A51" w:rsidP="00FF01CA">
            <w:pPr>
              <w:tabs>
                <w:tab w:val="left" w:pos="1515"/>
              </w:tabs>
              <w:jc w:val="center"/>
              <w:rPr>
                <w:rFonts w:ascii="Calibri" w:hAnsi="Calibri" w:cs="Calibri"/>
                <w:b/>
                <w:bCs/>
                <w:sz w:val="16"/>
                <w:szCs w:val="16"/>
              </w:rPr>
            </w:pPr>
            <w:r w:rsidRPr="00D60A13">
              <w:rPr>
                <w:rFonts w:ascii="Calibri" w:hAnsi="Calibri" w:cs="Calibri"/>
                <w:b/>
                <w:bCs/>
                <w:sz w:val="16"/>
                <w:szCs w:val="16"/>
              </w:rPr>
              <w:t>Mandate in National System</w:t>
            </w:r>
          </w:p>
        </w:tc>
        <w:tc>
          <w:tcPr>
            <w:tcW w:w="2037" w:type="dxa"/>
            <w:shd w:val="clear" w:color="auto" w:fill="D9E2F3" w:themeFill="accent1" w:themeFillTint="33"/>
            <w:vAlign w:val="center"/>
            <w:hideMark/>
          </w:tcPr>
          <w:p w14:paraId="58879026" w14:textId="77777777" w:rsidR="00104A51" w:rsidRPr="00D60A13" w:rsidRDefault="00104A51" w:rsidP="00FF01CA">
            <w:pPr>
              <w:tabs>
                <w:tab w:val="left" w:pos="1515"/>
              </w:tabs>
              <w:jc w:val="center"/>
              <w:rPr>
                <w:rFonts w:ascii="Calibri" w:hAnsi="Calibri" w:cs="Calibri"/>
                <w:b/>
                <w:bCs/>
                <w:sz w:val="16"/>
                <w:szCs w:val="16"/>
              </w:rPr>
            </w:pPr>
            <w:r w:rsidRPr="00D60A13">
              <w:rPr>
                <w:rFonts w:ascii="Calibri" w:hAnsi="Calibri" w:cs="Calibri"/>
                <w:b/>
                <w:bCs/>
                <w:sz w:val="16"/>
                <w:szCs w:val="16"/>
              </w:rPr>
              <w:t>Role in Cross-Border Cooperation</w:t>
            </w:r>
          </w:p>
        </w:tc>
        <w:tc>
          <w:tcPr>
            <w:tcW w:w="1846" w:type="dxa"/>
            <w:shd w:val="clear" w:color="auto" w:fill="D9E2F3" w:themeFill="accent1" w:themeFillTint="33"/>
            <w:vAlign w:val="center"/>
          </w:tcPr>
          <w:p w14:paraId="63B1D8F2" w14:textId="77777777" w:rsidR="00104A51" w:rsidRPr="00D60A13" w:rsidRDefault="00104A51" w:rsidP="00FF01CA">
            <w:pPr>
              <w:tabs>
                <w:tab w:val="left" w:pos="1515"/>
              </w:tabs>
              <w:jc w:val="center"/>
              <w:rPr>
                <w:rFonts w:ascii="Calibri" w:hAnsi="Calibri" w:cs="Calibri"/>
                <w:b/>
                <w:bCs/>
                <w:sz w:val="16"/>
                <w:szCs w:val="16"/>
              </w:rPr>
            </w:pPr>
            <w:r w:rsidRPr="00D60A13">
              <w:rPr>
                <w:rFonts w:ascii="Calibri" w:hAnsi="Calibri" w:cs="Calibri"/>
                <w:b/>
                <w:bCs/>
                <w:sz w:val="16"/>
                <w:szCs w:val="16"/>
              </w:rPr>
              <w:t>Priority Coordination Functions</w:t>
            </w:r>
          </w:p>
        </w:tc>
      </w:tr>
      <w:tr w:rsidR="00104A51" w:rsidRPr="00D60A13" w14:paraId="75205869" w14:textId="77777777" w:rsidTr="00FF01CA">
        <w:trPr>
          <w:trHeight w:val="498"/>
          <w:tblCellSpacing w:w="15" w:type="dxa"/>
          <w:jc w:val="center"/>
        </w:trPr>
        <w:tc>
          <w:tcPr>
            <w:tcW w:w="0" w:type="auto"/>
            <w:vAlign w:val="center"/>
            <w:hideMark/>
          </w:tcPr>
          <w:p w14:paraId="02D6EE5D" w14:textId="77777777" w:rsidR="00104A51" w:rsidRPr="00FF01CA" w:rsidRDefault="00104A51" w:rsidP="00FF01CA">
            <w:pPr>
              <w:tabs>
                <w:tab w:val="left" w:pos="1515"/>
              </w:tabs>
              <w:jc w:val="center"/>
              <w:rPr>
                <w:rFonts w:cstheme="minorHAnsi"/>
                <w:sz w:val="16"/>
                <w:szCs w:val="16"/>
              </w:rPr>
            </w:pPr>
            <w:proofErr w:type="spellStart"/>
            <w:r w:rsidRPr="00FF01CA">
              <w:rPr>
                <w:rFonts w:cstheme="minorHAnsi"/>
                <w:sz w:val="16"/>
                <w:szCs w:val="16"/>
              </w:rPr>
              <w:t>Hrvatske</w:t>
            </w:r>
            <w:proofErr w:type="spellEnd"/>
            <w:r w:rsidRPr="00FF01CA">
              <w:rPr>
                <w:rFonts w:cstheme="minorHAnsi"/>
                <w:sz w:val="16"/>
                <w:szCs w:val="16"/>
              </w:rPr>
              <w:t xml:space="preserve"> Vode (Croatian Waters)</w:t>
            </w:r>
          </w:p>
        </w:tc>
        <w:tc>
          <w:tcPr>
            <w:tcW w:w="0" w:type="auto"/>
            <w:vAlign w:val="center"/>
            <w:hideMark/>
          </w:tcPr>
          <w:p w14:paraId="0A832687" w14:textId="7919420B" w:rsidR="00104A51" w:rsidRPr="00FF01CA" w:rsidRDefault="00FF01CA" w:rsidP="00FF01CA">
            <w:pPr>
              <w:tabs>
                <w:tab w:val="left" w:pos="1515"/>
              </w:tabs>
              <w:jc w:val="center"/>
              <w:rPr>
                <w:rFonts w:cstheme="minorHAnsi"/>
                <w:sz w:val="16"/>
                <w:szCs w:val="16"/>
              </w:rPr>
            </w:pPr>
            <w:r>
              <w:rPr>
                <w:rFonts w:cstheme="minorHAnsi"/>
                <w:sz w:val="16"/>
                <w:szCs w:val="16"/>
              </w:rPr>
              <w:t>HR</w:t>
            </w:r>
          </w:p>
        </w:tc>
        <w:tc>
          <w:tcPr>
            <w:tcW w:w="0" w:type="auto"/>
            <w:vAlign w:val="center"/>
            <w:hideMark/>
          </w:tcPr>
          <w:p w14:paraId="6469BA1F" w14:textId="77777777" w:rsidR="00104A51" w:rsidRPr="00FF01CA" w:rsidRDefault="00104A51" w:rsidP="00FF01CA">
            <w:pPr>
              <w:tabs>
                <w:tab w:val="left" w:pos="1515"/>
              </w:tabs>
              <w:jc w:val="center"/>
              <w:rPr>
                <w:rFonts w:cstheme="minorHAnsi"/>
                <w:sz w:val="16"/>
                <w:szCs w:val="16"/>
              </w:rPr>
            </w:pPr>
            <w:r w:rsidRPr="00FF01CA">
              <w:rPr>
                <w:rFonts w:cstheme="minorHAnsi"/>
                <w:sz w:val="16"/>
                <w:szCs w:val="16"/>
              </w:rPr>
              <w:t>Groundwater monitoring, abstraction control, protection zones, WFD/GWD compliance</w:t>
            </w:r>
          </w:p>
        </w:tc>
        <w:tc>
          <w:tcPr>
            <w:tcW w:w="2037" w:type="dxa"/>
            <w:vAlign w:val="center"/>
            <w:hideMark/>
          </w:tcPr>
          <w:p w14:paraId="4716271F" w14:textId="77777777" w:rsidR="00104A51" w:rsidRPr="00FF01CA" w:rsidRDefault="00104A51" w:rsidP="00FF01CA">
            <w:pPr>
              <w:tabs>
                <w:tab w:val="left" w:pos="1515"/>
              </w:tabs>
              <w:jc w:val="center"/>
              <w:rPr>
                <w:rFonts w:cstheme="minorHAnsi"/>
                <w:sz w:val="16"/>
                <w:szCs w:val="16"/>
              </w:rPr>
            </w:pPr>
            <w:r w:rsidRPr="00FF01CA">
              <w:rPr>
                <w:rFonts w:cstheme="minorHAnsi"/>
                <w:sz w:val="16"/>
                <w:szCs w:val="16"/>
              </w:rPr>
              <w:t>Core technical counterpart to BiH institutions</w:t>
            </w:r>
          </w:p>
        </w:tc>
        <w:tc>
          <w:tcPr>
            <w:tcW w:w="1846" w:type="dxa"/>
            <w:vAlign w:val="center"/>
          </w:tcPr>
          <w:p w14:paraId="37E7A216" w14:textId="637AB90C" w:rsidR="00104A51" w:rsidRPr="00FF01CA" w:rsidRDefault="00104A51" w:rsidP="00FF01CA">
            <w:pPr>
              <w:spacing w:line="278" w:lineRule="auto"/>
              <w:jc w:val="center"/>
              <w:rPr>
                <w:rFonts w:cstheme="minorHAnsi"/>
                <w:sz w:val="16"/>
                <w:szCs w:val="16"/>
              </w:rPr>
            </w:pPr>
            <w:r w:rsidRPr="00FF01CA">
              <w:rPr>
                <w:rFonts w:cstheme="minorHAnsi"/>
                <w:sz w:val="16"/>
                <w:szCs w:val="16"/>
              </w:rPr>
              <w:t>Joint monitoring design</w:t>
            </w:r>
          </w:p>
          <w:p w14:paraId="4C41E6F4" w14:textId="7619DCD8" w:rsidR="00104A51" w:rsidRPr="00FF01CA" w:rsidRDefault="00104A51" w:rsidP="00FF01CA">
            <w:pPr>
              <w:spacing w:line="278" w:lineRule="auto"/>
              <w:jc w:val="center"/>
              <w:rPr>
                <w:rFonts w:cstheme="minorHAnsi"/>
                <w:sz w:val="16"/>
                <w:szCs w:val="16"/>
              </w:rPr>
            </w:pPr>
            <w:r w:rsidRPr="00FF01CA">
              <w:rPr>
                <w:rFonts w:cstheme="minorHAnsi"/>
                <w:sz w:val="16"/>
                <w:szCs w:val="16"/>
              </w:rPr>
              <w:t>Data harmonization</w:t>
            </w:r>
          </w:p>
          <w:p w14:paraId="2B887352" w14:textId="5A3F43D8" w:rsidR="007A5A25" w:rsidRPr="00FF01CA" w:rsidRDefault="007A5A25" w:rsidP="00FF01CA">
            <w:pPr>
              <w:spacing w:line="278" w:lineRule="auto"/>
              <w:jc w:val="center"/>
              <w:rPr>
                <w:rFonts w:cstheme="minorHAnsi"/>
                <w:sz w:val="16"/>
                <w:szCs w:val="16"/>
              </w:rPr>
            </w:pPr>
            <w:r w:rsidRPr="00FF01CA">
              <w:rPr>
                <w:rFonts w:cstheme="minorHAnsi"/>
                <w:sz w:val="16"/>
                <w:szCs w:val="16"/>
              </w:rPr>
              <w:t>Groundwater status assessment</w:t>
            </w:r>
          </w:p>
          <w:p w14:paraId="17460AFD" w14:textId="77777777" w:rsidR="00104A51" w:rsidRPr="00FF01CA" w:rsidRDefault="00104A51" w:rsidP="00FF01CA">
            <w:pPr>
              <w:tabs>
                <w:tab w:val="left" w:pos="1515"/>
              </w:tabs>
              <w:jc w:val="center"/>
              <w:rPr>
                <w:rFonts w:cstheme="minorHAnsi"/>
                <w:sz w:val="16"/>
                <w:szCs w:val="16"/>
              </w:rPr>
            </w:pPr>
            <w:r w:rsidRPr="00FF01CA">
              <w:rPr>
                <w:rFonts w:cstheme="minorHAnsi"/>
                <w:sz w:val="16"/>
                <w:szCs w:val="16"/>
              </w:rPr>
              <w:t>Early warning &amp; incident communication</w:t>
            </w:r>
          </w:p>
        </w:tc>
      </w:tr>
      <w:tr w:rsidR="00104A51" w:rsidRPr="00D60A13" w14:paraId="1F3D9D73" w14:textId="77777777" w:rsidTr="00FF01CA">
        <w:trPr>
          <w:trHeight w:val="498"/>
          <w:tblCellSpacing w:w="15" w:type="dxa"/>
          <w:jc w:val="center"/>
        </w:trPr>
        <w:tc>
          <w:tcPr>
            <w:tcW w:w="0" w:type="auto"/>
            <w:vAlign w:val="center"/>
          </w:tcPr>
          <w:p w14:paraId="0F76860F" w14:textId="221085A9" w:rsidR="00104A51" w:rsidRPr="00FF01CA" w:rsidRDefault="00FF01CA" w:rsidP="00FF01CA">
            <w:pPr>
              <w:tabs>
                <w:tab w:val="left" w:pos="1515"/>
              </w:tabs>
              <w:jc w:val="center"/>
              <w:rPr>
                <w:rFonts w:cstheme="minorHAnsi"/>
                <w:sz w:val="16"/>
                <w:szCs w:val="16"/>
              </w:rPr>
            </w:pPr>
            <w:r w:rsidRPr="00FF01CA">
              <w:rPr>
                <w:rFonts w:cstheme="minorHAnsi"/>
                <w:sz w:val="16"/>
                <w:szCs w:val="16"/>
              </w:rPr>
              <w:lastRenderedPageBreak/>
              <w:t>Ministry of Environmental Protection and Green Transition</w:t>
            </w:r>
          </w:p>
        </w:tc>
        <w:tc>
          <w:tcPr>
            <w:tcW w:w="0" w:type="auto"/>
            <w:vAlign w:val="center"/>
          </w:tcPr>
          <w:p w14:paraId="5101A7BE" w14:textId="3C461EA2" w:rsidR="00104A51" w:rsidRPr="00FF01CA" w:rsidRDefault="00FF01CA" w:rsidP="00FF01CA">
            <w:pPr>
              <w:tabs>
                <w:tab w:val="left" w:pos="1515"/>
              </w:tabs>
              <w:jc w:val="center"/>
              <w:rPr>
                <w:rFonts w:cstheme="minorHAnsi"/>
                <w:sz w:val="16"/>
                <w:szCs w:val="16"/>
              </w:rPr>
            </w:pPr>
            <w:r>
              <w:rPr>
                <w:rFonts w:cstheme="minorHAnsi"/>
                <w:sz w:val="16"/>
                <w:szCs w:val="16"/>
              </w:rPr>
              <w:t>HR</w:t>
            </w:r>
          </w:p>
        </w:tc>
        <w:tc>
          <w:tcPr>
            <w:tcW w:w="0" w:type="auto"/>
            <w:vAlign w:val="center"/>
          </w:tcPr>
          <w:p w14:paraId="478D0A00" w14:textId="77777777" w:rsidR="00104A51" w:rsidRPr="00FF01CA" w:rsidRDefault="00104A51" w:rsidP="00FF01CA">
            <w:pPr>
              <w:tabs>
                <w:tab w:val="left" w:pos="1515"/>
              </w:tabs>
              <w:jc w:val="center"/>
              <w:rPr>
                <w:rFonts w:cstheme="minorHAnsi"/>
                <w:sz w:val="16"/>
                <w:szCs w:val="16"/>
              </w:rPr>
            </w:pPr>
            <w:r w:rsidRPr="00FF01CA">
              <w:rPr>
                <w:rFonts w:cstheme="minorHAnsi"/>
                <w:sz w:val="16"/>
                <w:szCs w:val="16"/>
              </w:rPr>
              <w:t>National water/waste/environment policy</w:t>
            </w:r>
          </w:p>
        </w:tc>
        <w:tc>
          <w:tcPr>
            <w:tcW w:w="2037" w:type="dxa"/>
            <w:vAlign w:val="center"/>
          </w:tcPr>
          <w:p w14:paraId="08C58403" w14:textId="77777777" w:rsidR="00104A51" w:rsidRPr="00FF01CA" w:rsidRDefault="00104A51" w:rsidP="00FF01CA">
            <w:pPr>
              <w:tabs>
                <w:tab w:val="left" w:pos="1515"/>
              </w:tabs>
              <w:jc w:val="center"/>
              <w:rPr>
                <w:rFonts w:cstheme="minorHAnsi"/>
                <w:sz w:val="16"/>
                <w:szCs w:val="16"/>
              </w:rPr>
            </w:pPr>
            <w:r w:rsidRPr="00FF01CA">
              <w:rPr>
                <w:rFonts w:cstheme="minorHAnsi"/>
                <w:sz w:val="16"/>
                <w:szCs w:val="16"/>
              </w:rPr>
              <w:t>Strategic-level coordination, legislative alignment</w:t>
            </w:r>
          </w:p>
        </w:tc>
        <w:tc>
          <w:tcPr>
            <w:tcW w:w="1846" w:type="dxa"/>
            <w:vAlign w:val="center"/>
          </w:tcPr>
          <w:p w14:paraId="1C660AAF" w14:textId="593A425A" w:rsidR="00104A51" w:rsidRPr="00FF01CA" w:rsidRDefault="00104A51" w:rsidP="00FF01CA">
            <w:pPr>
              <w:spacing w:line="278" w:lineRule="auto"/>
              <w:jc w:val="center"/>
              <w:rPr>
                <w:rFonts w:cstheme="minorHAnsi"/>
                <w:sz w:val="16"/>
                <w:szCs w:val="16"/>
              </w:rPr>
            </w:pPr>
            <w:r w:rsidRPr="00FF01CA">
              <w:rPr>
                <w:rFonts w:cstheme="minorHAnsi"/>
                <w:sz w:val="16"/>
                <w:szCs w:val="16"/>
              </w:rPr>
              <w:t>Legal harmonisation</w:t>
            </w:r>
          </w:p>
          <w:p w14:paraId="11B499C5" w14:textId="2B106883" w:rsidR="00104A51" w:rsidRPr="00FF01CA" w:rsidRDefault="00104A51" w:rsidP="00FF01CA">
            <w:pPr>
              <w:spacing w:line="278" w:lineRule="auto"/>
              <w:jc w:val="center"/>
              <w:rPr>
                <w:rFonts w:cstheme="minorHAnsi"/>
                <w:sz w:val="16"/>
                <w:szCs w:val="16"/>
              </w:rPr>
            </w:pPr>
            <w:r w:rsidRPr="00FF01CA">
              <w:rPr>
                <w:rFonts w:cstheme="minorHAnsi"/>
                <w:sz w:val="16"/>
                <w:szCs w:val="16"/>
              </w:rPr>
              <w:t>Transboundary agreements</w:t>
            </w:r>
          </w:p>
          <w:p w14:paraId="587BC4E6" w14:textId="77777777" w:rsidR="00104A51" w:rsidRPr="00FF01CA" w:rsidRDefault="00104A51" w:rsidP="00FF01CA">
            <w:pPr>
              <w:spacing w:line="278" w:lineRule="auto"/>
              <w:jc w:val="center"/>
              <w:rPr>
                <w:rFonts w:cstheme="minorHAnsi"/>
                <w:sz w:val="16"/>
                <w:szCs w:val="16"/>
              </w:rPr>
            </w:pPr>
            <w:r w:rsidRPr="00FF01CA">
              <w:rPr>
                <w:rFonts w:cstheme="minorHAnsi"/>
                <w:sz w:val="16"/>
                <w:szCs w:val="16"/>
              </w:rPr>
              <w:t>Strategic guidance</w:t>
            </w:r>
          </w:p>
        </w:tc>
      </w:tr>
      <w:tr w:rsidR="00FF01CA" w:rsidRPr="00D60A13" w14:paraId="61D6B94B" w14:textId="77777777" w:rsidTr="00FF01CA">
        <w:trPr>
          <w:trHeight w:val="498"/>
          <w:tblCellSpacing w:w="15" w:type="dxa"/>
          <w:jc w:val="center"/>
        </w:trPr>
        <w:tc>
          <w:tcPr>
            <w:tcW w:w="0" w:type="auto"/>
            <w:vAlign w:val="center"/>
          </w:tcPr>
          <w:p w14:paraId="41CFB9D1" w14:textId="4430D18A" w:rsidR="00FF01CA" w:rsidRPr="00FF01CA" w:rsidRDefault="00FF01CA" w:rsidP="00FF01CA">
            <w:pPr>
              <w:tabs>
                <w:tab w:val="left" w:pos="1515"/>
              </w:tabs>
              <w:jc w:val="center"/>
              <w:rPr>
                <w:rFonts w:cstheme="minorHAnsi"/>
                <w:sz w:val="16"/>
                <w:szCs w:val="16"/>
              </w:rPr>
            </w:pPr>
            <w:r w:rsidRPr="00FF01CA">
              <w:rPr>
                <w:rFonts w:cstheme="minorHAnsi"/>
                <w:sz w:val="16"/>
                <w:szCs w:val="16"/>
              </w:rPr>
              <w:t>Dubrovnik-Neretva County</w:t>
            </w:r>
          </w:p>
        </w:tc>
        <w:tc>
          <w:tcPr>
            <w:tcW w:w="0" w:type="auto"/>
            <w:vAlign w:val="center"/>
          </w:tcPr>
          <w:p w14:paraId="59186795" w14:textId="542124C0" w:rsidR="00FF01CA" w:rsidRPr="00FF01CA" w:rsidRDefault="00FF01CA" w:rsidP="00FF01CA">
            <w:pPr>
              <w:tabs>
                <w:tab w:val="left" w:pos="1515"/>
              </w:tabs>
              <w:jc w:val="center"/>
              <w:rPr>
                <w:rFonts w:cstheme="minorHAnsi"/>
                <w:sz w:val="16"/>
                <w:szCs w:val="16"/>
              </w:rPr>
            </w:pPr>
            <w:r>
              <w:rPr>
                <w:rFonts w:cstheme="minorHAnsi"/>
                <w:sz w:val="16"/>
                <w:szCs w:val="16"/>
              </w:rPr>
              <w:t>HR</w:t>
            </w:r>
          </w:p>
        </w:tc>
        <w:tc>
          <w:tcPr>
            <w:tcW w:w="0" w:type="auto"/>
            <w:vAlign w:val="center"/>
          </w:tcPr>
          <w:p w14:paraId="184AA51C" w14:textId="71DABF58" w:rsidR="00FF01CA" w:rsidRPr="00FF01CA" w:rsidRDefault="00FF01CA" w:rsidP="00FF01CA">
            <w:pPr>
              <w:tabs>
                <w:tab w:val="left" w:pos="1515"/>
              </w:tabs>
              <w:jc w:val="center"/>
              <w:rPr>
                <w:rFonts w:cstheme="minorHAnsi"/>
                <w:sz w:val="16"/>
                <w:szCs w:val="16"/>
              </w:rPr>
            </w:pPr>
            <w:r w:rsidRPr="00FF01CA">
              <w:rPr>
                <w:rFonts w:cstheme="minorHAnsi"/>
                <w:sz w:val="16"/>
                <w:szCs w:val="16"/>
              </w:rPr>
              <w:t>Spatial planning, environmental oversight, regional coordination</w:t>
            </w:r>
          </w:p>
        </w:tc>
        <w:tc>
          <w:tcPr>
            <w:tcW w:w="2037" w:type="dxa"/>
            <w:vAlign w:val="center"/>
          </w:tcPr>
          <w:p w14:paraId="02ACDED2" w14:textId="6FEB90B2" w:rsidR="00FF01CA" w:rsidRPr="00FF01CA" w:rsidRDefault="00FF01CA" w:rsidP="00FF01CA">
            <w:pPr>
              <w:tabs>
                <w:tab w:val="left" w:pos="1515"/>
              </w:tabs>
              <w:jc w:val="center"/>
              <w:rPr>
                <w:rFonts w:cstheme="minorHAnsi"/>
                <w:sz w:val="16"/>
                <w:szCs w:val="16"/>
              </w:rPr>
            </w:pPr>
            <w:r w:rsidRPr="00FF01CA">
              <w:rPr>
                <w:rFonts w:cstheme="minorHAnsi"/>
                <w:sz w:val="16"/>
                <w:szCs w:val="16"/>
              </w:rPr>
              <w:t>Downstream operational partner to BiH institutions</w:t>
            </w:r>
          </w:p>
        </w:tc>
        <w:tc>
          <w:tcPr>
            <w:tcW w:w="1846" w:type="dxa"/>
            <w:vAlign w:val="center"/>
          </w:tcPr>
          <w:p w14:paraId="6C375E0E" w14:textId="77777777" w:rsidR="00FF01CA" w:rsidRDefault="00FF01CA" w:rsidP="00FF01CA">
            <w:pPr>
              <w:spacing w:line="278" w:lineRule="auto"/>
              <w:jc w:val="center"/>
              <w:rPr>
                <w:rFonts w:cstheme="minorHAnsi"/>
                <w:sz w:val="16"/>
                <w:szCs w:val="16"/>
              </w:rPr>
            </w:pPr>
            <w:r w:rsidRPr="00FF01CA">
              <w:rPr>
                <w:rFonts w:cstheme="minorHAnsi"/>
                <w:sz w:val="16"/>
                <w:szCs w:val="16"/>
              </w:rPr>
              <w:t>Land-use coordination</w:t>
            </w:r>
          </w:p>
          <w:p w14:paraId="7470A4F5" w14:textId="2F86400F" w:rsidR="00FF01CA" w:rsidRDefault="00FF01CA" w:rsidP="00FF01CA">
            <w:pPr>
              <w:spacing w:line="278" w:lineRule="auto"/>
              <w:jc w:val="center"/>
              <w:rPr>
                <w:rFonts w:cstheme="minorHAnsi"/>
                <w:sz w:val="16"/>
                <w:szCs w:val="16"/>
              </w:rPr>
            </w:pPr>
            <w:r>
              <w:rPr>
                <w:rFonts w:cstheme="minorHAnsi"/>
                <w:sz w:val="16"/>
                <w:szCs w:val="16"/>
              </w:rPr>
              <w:t>A</w:t>
            </w:r>
            <w:r w:rsidRPr="00FF01CA">
              <w:rPr>
                <w:rFonts w:cstheme="minorHAnsi"/>
                <w:sz w:val="16"/>
                <w:szCs w:val="16"/>
              </w:rPr>
              <w:t>gricultural pressure management</w:t>
            </w:r>
          </w:p>
          <w:p w14:paraId="5E0F10B1" w14:textId="4C544A74" w:rsidR="00FF01CA" w:rsidRDefault="00FF01CA" w:rsidP="00FF01CA">
            <w:pPr>
              <w:spacing w:line="278" w:lineRule="auto"/>
              <w:jc w:val="center"/>
              <w:rPr>
                <w:rFonts w:cstheme="minorHAnsi"/>
                <w:sz w:val="16"/>
                <w:szCs w:val="16"/>
              </w:rPr>
            </w:pPr>
            <w:r>
              <w:rPr>
                <w:rFonts w:cstheme="minorHAnsi"/>
                <w:sz w:val="16"/>
                <w:szCs w:val="16"/>
              </w:rPr>
              <w:t>S</w:t>
            </w:r>
            <w:r w:rsidRPr="00FF01CA">
              <w:rPr>
                <w:rFonts w:cstheme="minorHAnsi"/>
                <w:sz w:val="16"/>
                <w:szCs w:val="16"/>
              </w:rPr>
              <w:t>anitation planning</w:t>
            </w:r>
          </w:p>
          <w:p w14:paraId="3CECC1E1" w14:textId="3B0F920F" w:rsidR="00FF01CA" w:rsidRPr="00FF01CA" w:rsidRDefault="00FF01CA" w:rsidP="00FF01CA">
            <w:pPr>
              <w:spacing w:line="278" w:lineRule="auto"/>
              <w:jc w:val="center"/>
              <w:rPr>
                <w:rFonts w:cstheme="minorHAnsi"/>
                <w:sz w:val="16"/>
                <w:szCs w:val="16"/>
              </w:rPr>
            </w:pPr>
            <w:r>
              <w:rPr>
                <w:rFonts w:cstheme="minorHAnsi"/>
                <w:sz w:val="16"/>
                <w:szCs w:val="16"/>
              </w:rPr>
              <w:t>A</w:t>
            </w:r>
            <w:r w:rsidRPr="00FF01CA">
              <w:rPr>
                <w:rFonts w:cstheme="minorHAnsi"/>
                <w:sz w:val="16"/>
                <w:szCs w:val="16"/>
              </w:rPr>
              <w:t>wareness initiatives</w:t>
            </w:r>
          </w:p>
        </w:tc>
      </w:tr>
      <w:tr w:rsidR="00FF01CA" w:rsidRPr="00D60A13" w14:paraId="13E9D5CD" w14:textId="77777777" w:rsidTr="00FF01CA">
        <w:trPr>
          <w:trHeight w:val="498"/>
          <w:tblCellSpacing w:w="15" w:type="dxa"/>
          <w:jc w:val="center"/>
        </w:trPr>
        <w:tc>
          <w:tcPr>
            <w:tcW w:w="0" w:type="auto"/>
            <w:vAlign w:val="center"/>
          </w:tcPr>
          <w:p w14:paraId="6E384CC4" w14:textId="1ED6A0FA" w:rsidR="00FF01CA" w:rsidRPr="00FF01CA" w:rsidRDefault="00FF01CA" w:rsidP="00FF01CA">
            <w:pPr>
              <w:tabs>
                <w:tab w:val="left" w:pos="1515"/>
              </w:tabs>
              <w:jc w:val="center"/>
              <w:rPr>
                <w:rFonts w:cstheme="minorHAnsi"/>
                <w:sz w:val="16"/>
                <w:szCs w:val="16"/>
              </w:rPr>
            </w:pPr>
            <w:r w:rsidRPr="00FF01CA">
              <w:rPr>
                <w:rFonts w:cstheme="minorHAnsi"/>
                <w:sz w:val="16"/>
                <w:szCs w:val="16"/>
              </w:rPr>
              <w:t>Municipalities (</w:t>
            </w:r>
            <w:proofErr w:type="spellStart"/>
            <w:r w:rsidRPr="00FF01CA">
              <w:rPr>
                <w:rFonts w:cstheme="minorHAnsi"/>
                <w:sz w:val="16"/>
                <w:szCs w:val="16"/>
              </w:rPr>
              <w:t>Metković</w:t>
            </w:r>
            <w:proofErr w:type="spellEnd"/>
            <w:r w:rsidRPr="00FF01CA">
              <w:rPr>
                <w:rFonts w:cstheme="minorHAnsi"/>
                <w:sz w:val="16"/>
                <w:szCs w:val="16"/>
              </w:rPr>
              <w:t xml:space="preserve">, </w:t>
            </w:r>
            <w:proofErr w:type="spellStart"/>
            <w:r w:rsidRPr="00FF01CA">
              <w:rPr>
                <w:rFonts w:cstheme="minorHAnsi"/>
                <w:sz w:val="16"/>
                <w:szCs w:val="16"/>
              </w:rPr>
              <w:t>Opuzen</w:t>
            </w:r>
            <w:proofErr w:type="spellEnd"/>
            <w:r w:rsidRPr="00FF01CA">
              <w:rPr>
                <w:rFonts w:cstheme="minorHAnsi"/>
                <w:sz w:val="16"/>
                <w:szCs w:val="16"/>
              </w:rPr>
              <w:t xml:space="preserve">, </w:t>
            </w:r>
            <w:proofErr w:type="spellStart"/>
            <w:r w:rsidRPr="00FF01CA">
              <w:rPr>
                <w:rFonts w:cstheme="minorHAnsi"/>
                <w:sz w:val="16"/>
                <w:szCs w:val="16"/>
              </w:rPr>
              <w:t>Ploče</w:t>
            </w:r>
            <w:proofErr w:type="spellEnd"/>
            <w:r w:rsidRPr="00FF01CA">
              <w:rPr>
                <w:rFonts w:cstheme="minorHAnsi"/>
                <w:sz w:val="16"/>
                <w:szCs w:val="16"/>
              </w:rPr>
              <w:t>)</w:t>
            </w:r>
          </w:p>
        </w:tc>
        <w:tc>
          <w:tcPr>
            <w:tcW w:w="0" w:type="auto"/>
            <w:vAlign w:val="center"/>
          </w:tcPr>
          <w:p w14:paraId="00E5EDC6" w14:textId="05F86FD1" w:rsidR="00FF01CA" w:rsidRPr="00FF01CA" w:rsidRDefault="00FF01CA" w:rsidP="00FF01CA">
            <w:pPr>
              <w:tabs>
                <w:tab w:val="left" w:pos="1515"/>
              </w:tabs>
              <w:jc w:val="center"/>
              <w:rPr>
                <w:rFonts w:cstheme="minorHAnsi"/>
                <w:sz w:val="16"/>
                <w:szCs w:val="16"/>
              </w:rPr>
            </w:pPr>
            <w:r>
              <w:rPr>
                <w:rFonts w:cstheme="minorHAnsi"/>
                <w:sz w:val="16"/>
                <w:szCs w:val="16"/>
              </w:rPr>
              <w:t>HR</w:t>
            </w:r>
          </w:p>
        </w:tc>
        <w:tc>
          <w:tcPr>
            <w:tcW w:w="0" w:type="auto"/>
            <w:vAlign w:val="center"/>
          </w:tcPr>
          <w:p w14:paraId="0FDF6E12" w14:textId="7AA9A656" w:rsidR="00FF01CA" w:rsidRPr="00FF01CA" w:rsidRDefault="00FF01CA" w:rsidP="00FF01CA">
            <w:pPr>
              <w:tabs>
                <w:tab w:val="left" w:pos="1515"/>
              </w:tabs>
              <w:jc w:val="center"/>
              <w:rPr>
                <w:rFonts w:cstheme="minorHAnsi"/>
                <w:sz w:val="16"/>
                <w:szCs w:val="16"/>
              </w:rPr>
            </w:pPr>
            <w:r w:rsidRPr="00FF01CA">
              <w:rPr>
                <w:rFonts w:cstheme="minorHAnsi"/>
                <w:sz w:val="16"/>
                <w:szCs w:val="16"/>
              </w:rPr>
              <w:t>Local planning, sanitation, wastewater management, inspections</w:t>
            </w:r>
          </w:p>
        </w:tc>
        <w:tc>
          <w:tcPr>
            <w:tcW w:w="2037" w:type="dxa"/>
            <w:vAlign w:val="center"/>
          </w:tcPr>
          <w:p w14:paraId="098E514E" w14:textId="595F2E39" w:rsidR="00FF01CA" w:rsidRPr="00FF01CA" w:rsidRDefault="00FF01CA" w:rsidP="00FF01CA">
            <w:pPr>
              <w:tabs>
                <w:tab w:val="left" w:pos="1515"/>
              </w:tabs>
              <w:jc w:val="center"/>
              <w:rPr>
                <w:rFonts w:cstheme="minorHAnsi"/>
                <w:sz w:val="16"/>
                <w:szCs w:val="16"/>
              </w:rPr>
            </w:pPr>
            <w:r w:rsidRPr="00FF01CA">
              <w:rPr>
                <w:rFonts w:cstheme="minorHAnsi"/>
                <w:sz w:val="16"/>
                <w:szCs w:val="16"/>
              </w:rPr>
              <w:t>Local-level implementation and reporting</w:t>
            </w:r>
          </w:p>
        </w:tc>
        <w:tc>
          <w:tcPr>
            <w:tcW w:w="1846" w:type="dxa"/>
            <w:vAlign w:val="center"/>
          </w:tcPr>
          <w:p w14:paraId="22B5C3F3" w14:textId="77777777" w:rsidR="00FF01CA" w:rsidRDefault="00FF01CA" w:rsidP="00FF01CA">
            <w:pPr>
              <w:spacing w:line="278" w:lineRule="auto"/>
              <w:jc w:val="center"/>
              <w:rPr>
                <w:rFonts w:cstheme="minorHAnsi"/>
                <w:sz w:val="16"/>
                <w:szCs w:val="16"/>
              </w:rPr>
            </w:pPr>
            <w:r w:rsidRPr="00FF01CA">
              <w:rPr>
                <w:rFonts w:cstheme="minorHAnsi"/>
                <w:sz w:val="16"/>
                <w:szCs w:val="16"/>
              </w:rPr>
              <w:t>Sanitation improvements</w:t>
            </w:r>
          </w:p>
          <w:p w14:paraId="2B79BBCB" w14:textId="58B91729" w:rsidR="00FF01CA" w:rsidRDefault="00FF01CA" w:rsidP="00FF01CA">
            <w:pPr>
              <w:spacing w:line="278" w:lineRule="auto"/>
              <w:jc w:val="center"/>
              <w:rPr>
                <w:rFonts w:cstheme="minorHAnsi"/>
                <w:sz w:val="16"/>
                <w:szCs w:val="16"/>
              </w:rPr>
            </w:pPr>
            <w:r>
              <w:rPr>
                <w:rFonts w:cstheme="minorHAnsi"/>
                <w:sz w:val="16"/>
                <w:szCs w:val="16"/>
              </w:rPr>
              <w:t>I</w:t>
            </w:r>
            <w:r w:rsidRPr="00FF01CA">
              <w:rPr>
                <w:rFonts w:cstheme="minorHAnsi"/>
                <w:sz w:val="16"/>
                <w:szCs w:val="16"/>
              </w:rPr>
              <w:t>rrigation pressure management,</w:t>
            </w:r>
          </w:p>
          <w:p w14:paraId="415F320E" w14:textId="77777777" w:rsidR="00FF01CA" w:rsidRDefault="00FF01CA" w:rsidP="00FF01CA">
            <w:pPr>
              <w:spacing w:line="278" w:lineRule="auto"/>
              <w:jc w:val="center"/>
              <w:rPr>
                <w:rFonts w:cstheme="minorHAnsi"/>
                <w:sz w:val="16"/>
                <w:szCs w:val="16"/>
              </w:rPr>
            </w:pPr>
            <w:r>
              <w:rPr>
                <w:rFonts w:cstheme="minorHAnsi"/>
                <w:sz w:val="16"/>
                <w:szCs w:val="16"/>
              </w:rPr>
              <w:t>R</w:t>
            </w:r>
            <w:r w:rsidRPr="00FF01CA">
              <w:rPr>
                <w:rFonts w:cstheme="minorHAnsi"/>
                <w:sz w:val="16"/>
                <w:szCs w:val="16"/>
              </w:rPr>
              <w:t>eporting local incidents</w:t>
            </w:r>
          </w:p>
          <w:p w14:paraId="33D1D51F" w14:textId="4421DDCB" w:rsidR="00FF01CA" w:rsidRPr="00FF01CA" w:rsidRDefault="00FF01CA" w:rsidP="00FF01CA">
            <w:pPr>
              <w:spacing w:line="278" w:lineRule="auto"/>
              <w:jc w:val="center"/>
              <w:rPr>
                <w:rFonts w:cstheme="minorHAnsi"/>
                <w:sz w:val="16"/>
                <w:szCs w:val="16"/>
              </w:rPr>
            </w:pPr>
            <w:r>
              <w:rPr>
                <w:rFonts w:cstheme="minorHAnsi"/>
                <w:sz w:val="16"/>
                <w:szCs w:val="16"/>
              </w:rPr>
              <w:t>C</w:t>
            </w:r>
            <w:r w:rsidRPr="00FF01CA">
              <w:rPr>
                <w:rFonts w:cstheme="minorHAnsi"/>
                <w:sz w:val="16"/>
                <w:szCs w:val="16"/>
              </w:rPr>
              <w:t>ommunity engagement</w:t>
            </w:r>
          </w:p>
        </w:tc>
      </w:tr>
      <w:tr w:rsidR="00FF01CA" w:rsidRPr="00D60A13" w14:paraId="4AD47DC7" w14:textId="77777777" w:rsidTr="00FF01CA">
        <w:trPr>
          <w:trHeight w:val="498"/>
          <w:tblCellSpacing w:w="15" w:type="dxa"/>
          <w:jc w:val="center"/>
        </w:trPr>
        <w:tc>
          <w:tcPr>
            <w:tcW w:w="0" w:type="auto"/>
            <w:vAlign w:val="center"/>
          </w:tcPr>
          <w:p w14:paraId="6E5F5E10" w14:textId="3E87D994" w:rsidR="00FF01CA" w:rsidRPr="00FF01CA" w:rsidRDefault="00FF01CA" w:rsidP="00FF01CA">
            <w:pPr>
              <w:tabs>
                <w:tab w:val="left" w:pos="1515"/>
              </w:tabs>
              <w:jc w:val="center"/>
              <w:rPr>
                <w:rFonts w:cstheme="minorHAnsi"/>
                <w:sz w:val="16"/>
                <w:szCs w:val="16"/>
              </w:rPr>
            </w:pPr>
            <w:r w:rsidRPr="00FF01CA">
              <w:rPr>
                <w:rFonts w:cstheme="minorHAnsi"/>
                <w:sz w:val="16"/>
                <w:szCs w:val="16"/>
              </w:rPr>
              <w:t>Public Water Utilities (Croatia)</w:t>
            </w:r>
          </w:p>
        </w:tc>
        <w:tc>
          <w:tcPr>
            <w:tcW w:w="0" w:type="auto"/>
            <w:vAlign w:val="center"/>
          </w:tcPr>
          <w:p w14:paraId="5BA873D0" w14:textId="17BAB2C5" w:rsidR="00FF01CA" w:rsidRPr="00FF01CA" w:rsidRDefault="00FF01CA" w:rsidP="00FF01CA">
            <w:pPr>
              <w:tabs>
                <w:tab w:val="left" w:pos="1515"/>
              </w:tabs>
              <w:jc w:val="center"/>
              <w:rPr>
                <w:rFonts w:cstheme="minorHAnsi"/>
                <w:sz w:val="16"/>
                <w:szCs w:val="16"/>
              </w:rPr>
            </w:pPr>
            <w:r>
              <w:rPr>
                <w:rFonts w:cstheme="minorHAnsi"/>
                <w:sz w:val="16"/>
                <w:szCs w:val="16"/>
              </w:rPr>
              <w:t>HR</w:t>
            </w:r>
          </w:p>
        </w:tc>
        <w:tc>
          <w:tcPr>
            <w:tcW w:w="0" w:type="auto"/>
            <w:vAlign w:val="center"/>
          </w:tcPr>
          <w:p w14:paraId="686FD0E5" w14:textId="76E53F89" w:rsidR="00FF01CA" w:rsidRPr="00FF01CA" w:rsidRDefault="00FF01CA" w:rsidP="00FF01CA">
            <w:pPr>
              <w:tabs>
                <w:tab w:val="left" w:pos="1515"/>
              </w:tabs>
              <w:jc w:val="center"/>
              <w:rPr>
                <w:rFonts w:cstheme="minorHAnsi"/>
                <w:sz w:val="16"/>
                <w:szCs w:val="16"/>
              </w:rPr>
            </w:pPr>
            <w:r w:rsidRPr="00FF01CA">
              <w:rPr>
                <w:rFonts w:cstheme="minorHAnsi"/>
                <w:sz w:val="16"/>
                <w:szCs w:val="16"/>
              </w:rPr>
              <w:t>Groundwater abstraction and drinking water supply</w:t>
            </w:r>
          </w:p>
        </w:tc>
        <w:tc>
          <w:tcPr>
            <w:tcW w:w="2037" w:type="dxa"/>
            <w:vAlign w:val="center"/>
          </w:tcPr>
          <w:p w14:paraId="24ADD555" w14:textId="53C35EFC" w:rsidR="00FF01CA" w:rsidRPr="00FF01CA" w:rsidRDefault="00FF01CA" w:rsidP="00FF01CA">
            <w:pPr>
              <w:tabs>
                <w:tab w:val="left" w:pos="1515"/>
              </w:tabs>
              <w:jc w:val="center"/>
              <w:rPr>
                <w:rFonts w:cstheme="minorHAnsi"/>
                <w:sz w:val="16"/>
                <w:szCs w:val="16"/>
              </w:rPr>
            </w:pPr>
            <w:r w:rsidRPr="00FF01CA">
              <w:rPr>
                <w:rFonts w:cstheme="minorHAnsi"/>
                <w:sz w:val="16"/>
                <w:szCs w:val="16"/>
              </w:rPr>
              <w:t>Operational partners in monitoring and risk management</w:t>
            </w:r>
          </w:p>
        </w:tc>
        <w:tc>
          <w:tcPr>
            <w:tcW w:w="1846" w:type="dxa"/>
            <w:vAlign w:val="center"/>
          </w:tcPr>
          <w:p w14:paraId="48E9F5E1" w14:textId="4FBA63A0" w:rsidR="00FF01CA" w:rsidRDefault="00FF01CA" w:rsidP="00FF01CA">
            <w:pPr>
              <w:spacing w:line="278" w:lineRule="auto"/>
              <w:jc w:val="center"/>
              <w:rPr>
                <w:rFonts w:cstheme="minorHAnsi"/>
                <w:sz w:val="16"/>
                <w:szCs w:val="16"/>
              </w:rPr>
            </w:pPr>
            <w:r w:rsidRPr="00FF01CA">
              <w:rPr>
                <w:rFonts w:cstheme="minorHAnsi"/>
                <w:sz w:val="16"/>
                <w:szCs w:val="16"/>
              </w:rPr>
              <w:t>Data sharing</w:t>
            </w:r>
          </w:p>
          <w:p w14:paraId="27E6F7CB" w14:textId="3C8CC1E6" w:rsidR="00FF01CA" w:rsidRDefault="00FF01CA" w:rsidP="00FF01CA">
            <w:pPr>
              <w:spacing w:line="278" w:lineRule="auto"/>
              <w:jc w:val="center"/>
              <w:rPr>
                <w:rFonts w:cstheme="minorHAnsi"/>
                <w:sz w:val="16"/>
                <w:szCs w:val="16"/>
              </w:rPr>
            </w:pPr>
            <w:r>
              <w:rPr>
                <w:rFonts w:cstheme="minorHAnsi"/>
                <w:sz w:val="16"/>
                <w:szCs w:val="16"/>
              </w:rPr>
              <w:t>W</w:t>
            </w:r>
            <w:r w:rsidRPr="00FF01CA">
              <w:rPr>
                <w:rFonts w:cstheme="minorHAnsi"/>
                <w:sz w:val="16"/>
                <w:szCs w:val="16"/>
              </w:rPr>
              <w:t>ater quality monitoring</w:t>
            </w:r>
          </w:p>
          <w:p w14:paraId="074AF1FD" w14:textId="7EF7670C" w:rsidR="00FF01CA" w:rsidRDefault="00FF01CA" w:rsidP="00FF01CA">
            <w:pPr>
              <w:spacing w:line="278" w:lineRule="auto"/>
              <w:jc w:val="center"/>
              <w:rPr>
                <w:rFonts w:cstheme="minorHAnsi"/>
                <w:sz w:val="16"/>
                <w:szCs w:val="16"/>
              </w:rPr>
            </w:pPr>
            <w:r>
              <w:rPr>
                <w:rFonts w:cstheme="minorHAnsi"/>
                <w:sz w:val="16"/>
                <w:szCs w:val="16"/>
              </w:rPr>
              <w:t>P</w:t>
            </w:r>
            <w:r w:rsidRPr="00FF01CA">
              <w:rPr>
                <w:rFonts w:cstheme="minorHAnsi"/>
                <w:sz w:val="16"/>
                <w:szCs w:val="16"/>
              </w:rPr>
              <w:t>articipation in joint assessments</w:t>
            </w:r>
          </w:p>
          <w:p w14:paraId="3BDDE62F" w14:textId="72C04515" w:rsidR="00FF01CA" w:rsidRPr="00FF01CA" w:rsidRDefault="00FF01CA" w:rsidP="00FF01CA">
            <w:pPr>
              <w:spacing w:line="278" w:lineRule="auto"/>
              <w:jc w:val="center"/>
              <w:rPr>
                <w:rFonts w:cstheme="minorHAnsi"/>
                <w:sz w:val="16"/>
                <w:szCs w:val="16"/>
              </w:rPr>
            </w:pPr>
            <w:r>
              <w:rPr>
                <w:rFonts w:cstheme="minorHAnsi"/>
                <w:sz w:val="16"/>
                <w:szCs w:val="16"/>
              </w:rPr>
              <w:t>I</w:t>
            </w:r>
            <w:r w:rsidRPr="00FF01CA">
              <w:rPr>
                <w:rFonts w:cstheme="minorHAnsi"/>
                <w:sz w:val="16"/>
                <w:szCs w:val="16"/>
              </w:rPr>
              <w:t>ncident reporting</w:t>
            </w:r>
          </w:p>
        </w:tc>
      </w:tr>
      <w:tr w:rsidR="00104A51" w:rsidRPr="00D60A13" w14:paraId="23E2060D" w14:textId="77777777" w:rsidTr="00FF01CA">
        <w:trPr>
          <w:trHeight w:val="498"/>
          <w:tblCellSpacing w:w="15" w:type="dxa"/>
          <w:jc w:val="center"/>
        </w:trPr>
        <w:tc>
          <w:tcPr>
            <w:tcW w:w="0" w:type="auto"/>
            <w:vAlign w:val="center"/>
          </w:tcPr>
          <w:p w14:paraId="19CDFBDA" w14:textId="77777777" w:rsidR="00104A51" w:rsidRPr="00FF01CA" w:rsidRDefault="00104A51" w:rsidP="00FF01CA">
            <w:pPr>
              <w:tabs>
                <w:tab w:val="left" w:pos="1515"/>
              </w:tabs>
              <w:jc w:val="center"/>
              <w:rPr>
                <w:rFonts w:cstheme="minorHAnsi"/>
                <w:sz w:val="16"/>
                <w:szCs w:val="16"/>
              </w:rPr>
            </w:pPr>
            <w:r w:rsidRPr="00FF01CA">
              <w:rPr>
                <w:rFonts w:cstheme="minorHAnsi"/>
                <w:sz w:val="16"/>
                <w:szCs w:val="16"/>
              </w:rPr>
              <w:t>FBiH Ministry of Agriculture, Water Management and Forestry</w:t>
            </w:r>
          </w:p>
        </w:tc>
        <w:tc>
          <w:tcPr>
            <w:tcW w:w="0" w:type="auto"/>
            <w:vAlign w:val="center"/>
          </w:tcPr>
          <w:p w14:paraId="0E43A115" w14:textId="77777777" w:rsidR="00104A51" w:rsidRPr="00FF01CA" w:rsidRDefault="00104A51" w:rsidP="00FF01CA">
            <w:pPr>
              <w:tabs>
                <w:tab w:val="left" w:pos="1515"/>
              </w:tabs>
              <w:jc w:val="center"/>
              <w:rPr>
                <w:rFonts w:cstheme="minorHAnsi"/>
                <w:sz w:val="16"/>
                <w:szCs w:val="16"/>
              </w:rPr>
            </w:pPr>
            <w:r w:rsidRPr="00FF01CA">
              <w:rPr>
                <w:rFonts w:cstheme="minorHAnsi"/>
                <w:sz w:val="16"/>
                <w:szCs w:val="16"/>
              </w:rPr>
              <w:t>BiH</w:t>
            </w:r>
          </w:p>
        </w:tc>
        <w:tc>
          <w:tcPr>
            <w:tcW w:w="0" w:type="auto"/>
            <w:vAlign w:val="center"/>
          </w:tcPr>
          <w:p w14:paraId="53874FA9" w14:textId="77777777" w:rsidR="00104A51" w:rsidRPr="00FF01CA" w:rsidRDefault="00104A51" w:rsidP="00FF01CA">
            <w:pPr>
              <w:tabs>
                <w:tab w:val="left" w:pos="1515"/>
              </w:tabs>
              <w:jc w:val="center"/>
              <w:rPr>
                <w:rFonts w:cstheme="minorHAnsi"/>
                <w:sz w:val="16"/>
                <w:szCs w:val="16"/>
              </w:rPr>
            </w:pPr>
            <w:r w:rsidRPr="00FF01CA">
              <w:rPr>
                <w:rFonts w:cstheme="minorHAnsi"/>
                <w:sz w:val="16"/>
                <w:szCs w:val="16"/>
              </w:rPr>
              <w:t>Entity-level water governance &amp; permitting</w:t>
            </w:r>
          </w:p>
        </w:tc>
        <w:tc>
          <w:tcPr>
            <w:tcW w:w="2037" w:type="dxa"/>
            <w:vAlign w:val="center"/>
          </w:tcPr>
          <w:p w14:paraId="0907E69B" w14:textId="77777777" w:rsidR="00104A51" w:rsidRPr="00FF01CA" w:rsidRDefault="00104A51" w:rsidP="00FF01CA">
            <w:pPr>
              <w:tabs>
                <w:tab w:val="left" w:pos="1515"/>
              </w:tabs>
              <w:jc w:val="center"/>
              <w:rPr>
                <w:rFonts w:cstheme="minorHAnsi"/>
                <w:sz w:val="16"/>
                <w:szCs w:val="16"/>
              </w:rPr>
            </w:pPr>
            <w:r w:rsidRPr="00FF01CA">
              <w:rPr>
                <w:rFonts w:cstheme="minorHAnsi"/>
                <w:sz w:val="16"/>
                <w:szCs w:val="16"/>
              </w:rPr>
              <w:t>Strategic-level coordination and regulatory alignment</w:t>
            </w:r>
          </w:p>
        </w:tc>
        <w:tc>
          <w:tcPr>
            <w:tcW w:w="1846" w:type="dxa"/>
            <w:vAlign w:val="center"/>
          </w:tcPr>
          <w:p w14:paraId="0F26847B" w14:textId="74393709" w:rsidR="00104A51" w:rsidRPr="00FF01CA" w:rsidRDefault="00104A51" w:rsidP="00FF01CA">
            <w:pPr>
              <w:spacing w:line="278" w:lineRule="auto"/>
              <w:jc w:val="center"/>
              <w:rPr>
                <w:rFonts w:cstheme="minorHAnsi"/>
                <w:sz w:val="16"/>
                <w:szCs w:val="16"/>
              </w:rPr>
            </w:pPr>
            <w:r w:rsidRPr="00FF01CA">
              <w:rPr>
                <w:rFonts w:cstheme="minorHAnsi"/>
                <w:sz w:val="16"/>
                <w:szCs w:val="16"/>
              </w:rPr>
              <w:t>Joint policy discussions</w:t>
            </w:r>
          </w:p>
          <w:p w14:paraId="53B510B0" w14:textId="520141E4" w:rsidR="00104A51" w:rsidRPr="00FF01CA" w:rsidRDefault="00104A51" w:rsidP="00FF01CA">
            <w:pPr>
              <w:spacing w:line="278" w:lineRule="auto"/>
              <w:jc w:val="center"/>
              <w:rPr>
                <w:rFonts w:cstheme="minorHAnsi"/>
                <w:sz w:val="16"/>
                <w:szCs w:val="16"/>
              </w:rPr>
            </w:pPr>
            <w:r w:rsidRPr="00FF01CA">
              <w:rPr>
                <w:rFonts w:cstheme="minorHAnsi"/>
                <w:sz w:val="16"/>
                <w:szCs w:val="16"/>
              </w:rPr>
              <w:t>Harmonising standards</w:t>
            </w:r>
          </w:p>
          <w:p w14:paraId="644E1E01" w14:textId="77777777" w:rsidR="00104A51" w:rsidRPr="00FF01CA" w:rsidRDefault="00104A51" w:rsidP="00FF01CA">
            <w:pPr>
              <w:spacing w:line="278" w:lineRule="auto"/>
              <w:jc w:val="center"/>
              <w:rPr>
                <w:rFonts w:cstheme="minorHAnsi"/>
                <w:sz w:val="16"/>
                <w:szCs w:val="16"/>
              </w:rPr>
            </w:pPr>
            <w:r w:rsidRPr="00FF01CA">
              <w:rPr>
                <w:rFonts w:cstheme="minorHAnsi"/>
                <w:sz w:val="16"/>
                <w:szCs w:val="16"/>
              </w:rPr>
              <w:t>Coordinating permits affecting transboundary zones</w:t>
            </w:r>
          </w:p>
        </w:tc>
      </w:tr>
      <w:tr w:rsidR="00FF01CA" w:rsidRPr="00D60A13" w14:paraId="5FA5EB34" w14:textId="77777777" w:rsidTr="00FF01CA">
        <w:trPr>
          <w:trHeight w:val="498"/>
          <w:tblCellSpacing w:w="15" w:type="dxa"/>
          <w:jc w:val="center"/>
        </w:trPr>
        <w:tc>
          <w:tcPr>
            <w:tcW w:w="0" w:type="auto"/>
            <w:vAlign w:val="center"/>
          </w:tcPr>
          <w:p w14:paraId="310ED39A" w14:textId="75CA7A6F" w:rsidR="00FF01CA" w:rsidRPr="00FF01CA" w:rsidRDefault="00FF01CA" w:rsidP="00FF01CA">
            <w:pPr>
              <w:tabs>
                <w:tab w:val="left" w:pos="1515"/>
              </w:tabs>
              <w:jc w:val="center"/>
              <w:rPr>
                <w:rFonts w:cstheme="minorHAnsi"/>
                <w:sz w:val="16"/>
                <w:szCs w:val="16"/>
              </w:rPr>
            </w:pPr>
            <w:r w:rsidRPr="00FF01CA">
              <w:rPr>
                <w:rFonts w:cstheme="minorHAnsi"/>
                <w:sz w:val="16"/>
                <w:szCs w:val="16"/>
              </w:rPr>
              <w:t>Herzegovina-Neretva Canton</w:t>
            </w:r>
          </w:p>
        </w:tc>
        <w:tc>
          <w:tcPr>
            <w:tcW w:w="0" w:type="auto"/>
            <w:vAlign w:val="center"/>
          </w:tcPr>
          <w:p w14:paraId="20D87B3C" w14:textId="66428D30" w:rsidR="00FF01CA" w:rsidRPr="00FF01CA" w:rsidRDefault="00FF01CA" w:rsidP="00FF01CA">
            <w:pPr>
              <w:tabs>
                <w:tab w:val="left" w:pos="1515"/>
              </w:tabs>
              <w:jc w:val="center"/>
              <w:rPr>
                <w:rFonts w:cstheme="minorHAnsi"/>
                <w:sz w:val="16"/>
                <w:szCs w:val="16"/>
              </w:rPr>
            </w:pPr>
            <w:r>
              <w:rPr>
                <w:rFonts w:cstheme="minorHAnsi"/>
                <w:sz w:val="16"/>
                <w:szCs w:val="16"/>
              </w:rPr>
              <w:t>BiH</w:t>
            </w:r>
          </w:p>
        </w:tc>
        <w:tc>
          <w:tcPr>
            <w:tcW w:w="0" w:type="auto"/>
            <w:vAlign w:val="center"/>
          </w:tcPr>
          <w:p w14:paraId="2BFC80CB" w14:textId="31A64899" w:rsidR="00FF01CA" w:rsidRPr="00FF01CA" w:rsidRDefault="00FF01CA" w:rsidP="00FF01CA">
            <w:pPr>
              <w:tabs>
                <w:tab w:val="left" w:pos="1515"/>
              </w:tabs>
              <w:jc w:val="center"/>
              <w:rPr>
                <w:rFonts w:cstheme="minorHAnsi"/>
                <w:sz w:val="16"/>
                <w:szCs w:val="16"/>
              </w:rPr>
            </w:pPr>
            <w:r w:rsidRPr="00FF01CA">
              <w:rPr>
                <w:rFonts w:cstheme="minorHAnsi"/>
                <w:sz w:val="16"/>
                <w:szCs w:val="16"/>
              </w:rPr>
              <w:t>Environmental protection, spatial planning, communal services</w:t>
            </w:r>
          </w:p>
        </w:tc>
        <w:tc>
          <w:tcPr>
            <w:tcW w:w="2037" w:type="dxa"/>
            <w:vAlign w:val="center"/>
          </w:tcPr>
          <w:p w14:paraId="10E5B6FA" w14:textId="3E6B07C0" w:rsidR="00FF01CA" w:rsidRPr="00FF01CA" w:rsidRDefault="00FF01CA" w:rsidP="00FF01CA">
            <w:pPr>
              <w:tabs>
                <w:tab w:val="left" w:pos="1515"/>
              </w:tabs>
              <w:jc w:val="center"/>
              <w:rPr>
                <w:rFonts w:cstheme="minorHAnsi"/>
                <w:sz w:val="16"/>
                <w:szCs w:val="16"/>
              </w:rPr>
            </w:pPr>
            <w:r w:rsidRPr="00FF01CA">
              <w:rPr>
                <w:rFonts w:cstheme="minorHAnsi"/>
                <w:sz w:val="16"/>
                <w:szCs w:val="16"/>
              </w:rPr>
              <w:t>Operational coordination with Croatian authorities</w:t>
            </w:r>
          </w:p>
        </w:tc>
        <w:tc>
          <w:tcPr>
            <w:tcW w:w="1846" w:type="dxa"/>
            <w:vAlign w:val="center"/>
          </w:tcPr>
          <w:p w14:paraId="58FA02F5" w14:textId="154997C8" w:rsidR="00FF01CA" w:rsidRDefault="00FF01CA" w:rsidP="00FF01CA">
            <w:pPr>
              <w:spacing w:line="278" w:lineRule="auto"/>
              <w:jc w:val="center"/>
              <w:rPr>
                <w:rFonts w:cstheme="minorHAnsi"/>
                <w:sz w:val="16"/>
                <w:szCs w:val="16"/>
              </w:rPr>
            </w:pPr>
            <w:r w:rsidRPr="00FF01CA">
              <w:rPr>
                <w:rFonts w:cstheme="minorHAnsi"/>
                <w:sz w:val="16"/>
                <w:szCs w:val="16"/>
              </w:rPr>
              <w:t>Land-use planning alignment</w:t>
            </w:r>
          </w:p>
          <w:p w14:paraId="46CCA133" w14:textId="4E51ADC8" w:rsidR="00FF01CA" w:rsidRDefault="00FF01CA" w:rsidP="00FF01CA">
            <w:pPr>
              <w:spacing w:line="278" w:lineRule="auto"/>
              <w:jc w:val="center"/>
              <w:rPr>
                <w:rFonts w:cstheme="minorHAnsi"/>
                <w:sz w:val="16"/>
                <w:szCs w:val="16"/>
              </w:rPr>
            </w:pPr>
            <w:r>
              <w:rPr>
                <w:rFonts w:cstheme="minorHAnsi"/>
                <w:sz w:val="16"/>
                <w:szCs w:val="16"/>
              </w:rPr>
              <w:t>S</w:t>
            </w:r>
            <w:r w:rsidRPr="00FF01CA">
              <w:rPr>
                <w:rFonts w:cstheme="minorHAnsi"/>
                <w:sz w:val="16"/>
                <w:szCs w:val="16"/>
              </w:rPr>
              <w:t>anitation priorities</w:t>
            </w:r>
          </w:p>
          <w:p w14:paraId="444C7C62" w14:textId="23A4AB21" w:rsidR="00FF01CA" w:rsidRDefault="00FF01CA" w:rsidP="00FF01CA">
            <w:pPr>
              <w:spacing w:line="278" w:lineRule="auto"/>
              <w:jc w:val="center"/>
              <w:rPr>
                <w:rFonts w:cstheme="minorHAnsi"/>
                <w:sz w:val="16"/>
                <w:szCs w:val="16"/>
              </w:rPr>
            </w:pPr>
            <w:r>
              <w:rPr>
                <w:rFonts w:cstheme="minorHAnsi"/>
                <w:sz w:val="16"/>
                <w:szCs w:val="16"/>
              </w:rPr>
              <w:t>H</w:t>
            </w:r>
            <w:r w:rsidRPr="00FF01CA">
              <w:rPr>
                <w:rFonts w:cstheme="minorHAnsi"/>
                <w:sz w:val="16"/>
                <w:szCs w:val="16"/>
              </w:rPr>
              <w:t>otspot identification</w:t>
            </w:r>
          </w:p>
          <w:p w14:paraId="0C882FFE" w14:textId="35ADF6F3" w:rsidR="00FF01CA" w:rsidRPr="00FF01CA" w:rsidRDefault="00FF01CA" w:rsidP="00FF01CA">
            <w:pPr>
              <w:spacing w:line="278" w:lineRule="auto"/>
              <w:jc w:val="center"/>
              <w:rPr>
                <w:rFonts w:cstheme="minorHAnsi"/>
                <w:sz w:val="16"/>
                <w:szCs w:val="16"/>
              </w:rPr>
            </w:pPr>
            <w:r>
              <w:rPr>
                <w:rFonts w:cstheme="minorHAnsi"/>
                <w:sz w:val="16"/>
                <w:szCs w:val="16"/>
              </w:rPr>
              <w:t>T</w:t>
            </w:r>
            <w:r w:rsidRPr="00FF01CA">
              <w:rPr>
                <w:rFonts w:cstheme="minorHAnsi"/>
                <w:sz w:val="16"/>
                <w:szCs w:val="16"/>
              </w:rPr>
              <w:t>ourism pressure management</w:t>
            </w:r>
          </w:p>
        </w:tc>
      </w:tr>
      <w:tr w:rsidR="00FF01CA" w:rsidRPr="00D60A13" w14:paraId="04392DB6" w14:textId="77777777" w:rsidTr="00FF01CA">
        <w:trPr>
          <w:trHeight w:val="498"/>
          <w:tblCellSpacing w:w="15" w:type="dxa"/>
          <w:jc w:val="center"/>
        </w:trPr>
        <w:tc>
          <w:tcPr>
            <w:tcW w:w="0" w:type="auto"/>
            <w:vAlign w:val="center"/>
          </w:tcPr>
          <w:p w14:paraId="79E37118" w14:textId="74062EEA" w:rsidR="00FF01CA" w:rsidRPr="00FF01CA" w:rsidRDefault="00FF01CA" w:rsidP="00FF01CA">
            <w:pPr>
              <w:tabs>
                <w:tab w:val="left" w:pos="1515"/>
              </w:tabs>
              <w:jc w:val="center"/>
              <w:rPr>
                <w:rFonts w:cstheme="minorHAnsi"/>
                <w:sz w:val="16"/>
                <w:szCs w:val="16"/>
              </w:rPr>
            </w:pPr>
            <w:r w:rsidRPr="00FF01CA">
              <w:rPr>
                <w:rFonts w:cstheme="minorHAnsi"/>
                <w:sz w:val="16"/>
                <w:szCs w:val="16"/>
              </w:rPr>
              <w:t>Municipalities (Mostar, Konjic, Jablanica)</w:t>
            </w:r>
          </w:p>
        </w:tc>
        <w:tc>
          <w:tcPr>
            <w:tcW w:w="0" w:type="auto"/>
            <w:vAlign w:val="center"/>
          </w:tcPr>
          <w:p w14:paraId="2576B0B6" w14:textId="13AC6278" w:rsidR="00FF01CA" w:rsidRPr="00FF01CA" w:rsidRDefault="00FF01CA" w:rsidP="00FF01CA">
            <w:pPr>
              <w:tabs>
                <w:tab w:val="left" w:pos="1515"/>
              </w:tabs>
              <w:jc w:val="center"/>
              <w:rPr>
                <w:rFonts w:cstheme="minorHAnsi"/>
                <w:sz w:val="16"/>
                <w:szCs w:val="16"/>
              </w:rPr>
            </w:pPr>
            <w:r>
              <w:rPr>
                <w:rFonts w:cstheme="minorHAnsi"/>
                <w:sz w:val="16"/>
                <w:szCs w:val="16"/>
              </w:rPr>
              <w:t>BiH</w:t>
            </w:r>
          </w:p>
        </w:tc>
        <w:tc>
          <w:tcPr>
            <w:tcW w:w="0" w:type="auto"/>
            <w:vAlign w:val="center"/>
          </w:tcPr>
          <w:p w14:paraId="55660DDB" w14:textId="1A0C26EB" w:rsidR="00FF01CA" w:rsidRPr="00FF01CA" w:rsidRDefault="00FF01CA" w:rsidP="00FF01CA">
            <w:pPr>
              <w:tabs>
                <w:tab w:val="left" w:pos="1515"/>
              </w:tabs>
              <w:jc w:val="center"/>
              <w:rPr>
                <w:rFonts w:cstheme="minorHAnsi"/>
                <w:sz w:val="16"/>
                <w:szCs w:val="16"/>
              </w:rPr>
            </w:pPr>
            <w:r w:rsidRPr="00FF01CA">
              <w:rPr>
                <w:rFonts w:cstheme="minorHAnsi"/>
                <w:sz w:val="16"/>
                <w:szCs w:val="16"/>
              </w:rPr>
              <w:t>Spatial planning, wastewater management, inspections</w:t>
            </w:r>
          </w:p>
        </w:tc>
        <w:tc>
          <w:tcPr>
            <w:tcW w:w="2037" w:type="dxa"/>
            <w:vAlign w:val="center"/>
          </w:tcPr>
          <w:p w14:paraId="472E7F4C" w14:textId="5F3DB8C5" w:rsidR="00FF01CA" w:rsidRPr="00FF01CA" w:rsidRDefault="00FF01CA" w:rsidP="00FF01CA">
            <w:pPr>
              <w:tabs>
                <w:tab w:val="left" w:pos="1515"/>
              </w:tabs>
              <w:jc w:val="center"/>
              <w:rPr>
                <w:rFonts w:cstheme="minorHAnsi"/>
                <w:sz w:val="16"/>
                <w:szCs w:val="16"/>
              </w:rPr>
            </w:pPr>
            <w:r w:rsidRPr="00FF01CA">
              <w:rPr>
                <w:rFonts w:cstheme="minorHAnsi"/>
                <w:sz w:val="16"/>
                <w:szCs w:val="16"/>
              </w:rPr>
              <w:t>Key upstream implementation actors</w:t>
            </w:r>
          </w:p>
        </w:tc>
        <w:tc>
          <w:tcPr>
            <w:tcW w:w="1846" w:type="dxa"/>
            <w:vAlign w:val="center"/>
          </w:tcPr>
          <w:p w14:paraId="6AFB224B" w14:textId="1C450EB3" w:rsidR="00FF01CA" w:rsidRDefault="00FF01CA" w:rsidP="00FF01CA">
            <w:pPr>
              <w:spacing w:line="278" w:lineRule="auto"/>
              <w:jc w:val="center"/>
              <w:rPr>
                <w:rFonts w:cstheme="minorHAnsi"/>
                <w:sz w:val="16"/>
                <w:szCs w:val="16"/>
              </w:rPr>
            </w:pPr>
            <w:r w:rsidRPr="00FF01CA">
              <w:rPr>
                <w:rFonts w:cstheme="minorHAnsi"/>
                <w:sz w:val="16"/>
                <w:szCs w:val="16"/>
              </w:rPr>
              <w:t>Urban wastewater management</w:t>
            </w:r>
          </w:p>
          <w:p w14:paraId="4C2EA2FB" w14:textId="7C3C326E" w:rsidR="00FF01CA" w:rsidRDefault="00FF01CA" w:rsidP="00FF01CA">
            <w:pPr>
              <w:spacing w:line="278" w:lineRule="auto"/>
              <w:jc w:val="center"/>
              <w:rPr>
                <w:rFonts w:cstheme="minorHAnsi"/>
                <w:sz w:val="16"/>
                <w:szCs w:val="16"/>
              </w:rPr>
            </w:pPr>
            <w:r>
              <w:rPr>
                <w:rFonts w:cstheme="minorHAnsi"/>
                <w:sz w:val="16"/>
                <w:szCs w:val="16"/>
              </w:rPr>
              <w:t>L</w:t>
            </w:r>
            <w:r w:rsidRPr="00FF01CA">
              <w:rPr>
                <w:rFonts w:cstheme="minorHAnsi"/>
                <w:sz w:val="16"/>
                <w:szCs w:val="16"/>
              </w:rPr>
              <w:t>ocal inspections</w:t>
            </w:r>
          </w:p>
          <w:p w14:paraId="14AED717" w14:textId="43507FDD" w:rsidR="00FF01CA" w:rsidRDefault="00FF01CA" w:rsidP="00FF01CA">
            <w:pPr>
              <w:spacing w:line="278" w:lineRule="auto"/>
              <w:jc w:val="center"/>
              <w:rPr>
                <w:rFonts w:cstheme="minorHAnsi"/>
                <w:sz w:val="16"/>
                <w:szCs w:val="16"/>
              </w:rPr>
            </w:pPr>
            <w:r>
              <w:rPr>
                <w:rFonts w:cstheme="minorHAnsi"/>
                <w:sz w:val="16"/>
                <w:szCs w:val="16"/>
              </w:rPr>
              <w:t>R</w:t>
            </w:r>
            <w:r w:rsidRPr="00FF01CA">
              <w:rPr>
                <w:rFonts w:cstheme="minorHAnsi"/>
                <w:sz w:val="16"/>
                <w:szCs w:val="16"/>
              </w:rPr>
              <w:t>eporting pressures</w:t>
            </w:r>
          </w:p>
          <w:p w14:paraId="5DD6604C" w14:textId="11505421" w:rsidR="00FF01CA" w:rsidRPr="00FF01CA" w:rsidRDefault="00FF01CA" w:rsidP="00FF01CA">
            <w:pPr>
              <w:spacing w:line="278" w:lineRule="auto"/>
              <w:jc w:val="center"/>
              <w:rPr>
                <w:rFonts w:cstheme="minorHAnsi"/>
                <w:sz w:val="16"/>
                <w:szCs w:val="16"/>
              </w:rPr>
            </w:pPr>
            <w:r>
              <w:rPr>
                <w:rFonts w:cstheme="minorHAnsi"/>
                <w:sz w:val="16"/>
                <w:szCs w:val="16"/>
              </w:rPr>
              <w:t>C</w:t>
            </w:r>
            <w:r w:rsidRPr="00FF01CA">
              <w:rPr>
                <w:rFonts w:cstheme="minorHAnsi"/>
                <w:sz w:val="16"/>
                <w:szCs w:val="16"/>
              </w:rPr>
              <w:t>oordination with utilities</w:t>
            </w:r>
          </w:p>
        </w:tc>
      </w:tr>
      <w:tr w:rsidR="00FF01CA" w:rsidRPr="00D60A13" w14:paraId="45245F95" w14:textId="77777777" w:rsidTr="00FF01CA">
        <w:trPr>
          <w:trHeight w:val="498"/>
          <w:tblCellSpacing w:w="15" w:type="dxa"/>
          <w:jc w:val="center"/>
        </w:trPr>
        <w:tc>
          <w:tcPr>
            <w:tcW w:w="0" w:type="auto"/>
            <w:vAlign w:val="center"/>
          </w:tcPr>
          <w:p w14:paraId="75087510" w14:textId="0232FAA5" w:rsidR="00FF01CA" w:rsidRPr="00FF01CA" w:rsidRDefault="00FF01CA" w:rsidP="00FF01CA">
            <w:pPr>
              <w:tabs>
                <w:tab w:val="left" w:pos="1515"/>
              </w:tabs>
              <w:jc w:val="center"/>
              <w:rPr>
                <w:rFonts w:cstheme="minorHAnsi"/>
                <w:sz w:val="16"/>
                <w:szCs w:val="16"/>
              </w:rPr>
            </w:pPr>
            <w:r w:rsidRPr="00FF01CA">
              <w:rPr>
                <w:rFonts w:cstheme="minorHAnsi"/>
                <w:sz w:val="16"/>
                <w:szCs w:val="16"/>
              </w:rPr>
              <w:lastRenderedPageBreak/>
              <w:t>Public Water Utilities (Mostar, Konjic, Jablanica)</w:t>
            </w:r>
          </w:p>
        </w:tc>
        <w:tc>
          <w:tcPr>
            <w:tcW w:w="0" w:type="auto"/>
            <w:vAlign w:val="center"/>
          </w:tcPr>
          <w:p w14:paraId="607FD781" w14:textId="45291F27" w:rsidR="00FF01CA" w:rsidRPr="00FF01CA" w:rsidRDefault="00FF01CA" w:rsidP="00FF01CA">
            <w:pPr>
              <w:tabs>
                <w:tab w:val="left" w:pos="1515"/>
              </w:tabs>
              <w:jc w:val="center"/>
              <w:rPr>
                <w:rFonts w:cstheme="minorHAnsi"/>
                <w:sz w:val="16"/>
                <w:szCs w:val="16"/>
              </w:rPr>
            </w:pPr>
            <w:r>
              <w:rPr>
                <w:rFonts w:cstheme="minorHAnsi"/>
                <w:sz w:val="16"/>
                <w:szCs w:val="16"/>
              </w:rPr>
              <w:t>BiH</w:t>
            </w:r>
          </w:p>
        </w:tc>
        <w:tc>
          <w:tcPr>
            <w:tcW w:w="0" w:type="auto"/>
            <w:vAlign w:val="center"/>
          </w:tcPr>
          <w:p w14:paraId="237B50E6" w14:textId="6A224A88" w:rsidR="00FF01CA" w:rsidRPr="00FF01CA" w:rsidRDefault="00FF01CA" w:rsidP="00FF01CA">
            <w:pPr>
              <w:tabs>
                <w:tab w:val="left" w:pos="1515"/>
              </w:tabs>
              <w:jc w:val="center"/>
              <w:rPr>
                <w:rFonts w:cstheme="minorHAnsi"/>
                <w:sz w:val="16"/>
                <w:szCs w:val="16"/>
              </w:rPr>
            </w:pPr>
            <w:r w:rsidRPr="00FF01CA">
              <w:rPr>
                <w:rFonts w:cstheme="minorHAnsi"/>
                <w:sz w:val="16"/>
                <w:szCs w:val="16"/>
              </w:rPr>
              <w:t>Groundwater abstraction and public water supply</w:t>
            </w:r>
          </w:p>
        </w:tc>
        <w:tc>
          <w:tcPr>
            <w:tcW w:w="2037" w:type="dxa"/>
            <w:vAlign w:val="center"/>
          </w:tcPr>
          <w:p w14:paraId="4CDB43A6" w14:textId="40923BD1" w:rsidR="00FF01CA" w:rsidRPr="00FF01CA" w:rsidRDefault="00FF01CA" w:rsidP="00FF01CA">
            <w:pPr>
              <w:tabs>
                <w:tab w:val="left" w:pos="1515"/>
              </w:tabs>
              <w:jc w:val="center"/>
              <w:rPr>
                <w:rFonts w:cstheme="minorHAnsi"/>
                <w:sz w:val="16"/>
                <w:szCs w:val="16"/>
              </w:rPr>
            </w:pPr>
            <w:r w:rsidRPr="00FF01CA">
              <w:rPr>
                <w:rFonts w:cstheme="minorHAnsi"/>
                <w:sz w:val="16"/>
                <w:szCs w:val="16"/>
              </w:rPr>
              <w:t>Key operational actors in upstream and midstream areas</w:t>
            </w:r>
          </w:p>
        </w:tc>
        <w:tc>
          <w:tcPr>
            <w:tcW w:w="1846" w:type="dxa"/>
            <w:vAlign w:val="center"/>
          </w:tcPr>
          <w:p w14:paraId="7AA23C58" w14:textId="57E6163A" w:rsidR="00FF01CA" w:rsidRDefault="00FF01CA" w:rsidP="00FF01CA">
            <w:pPr>
              <w:spacing w:line="278" w:lineRule="auto"/>
              <w:jc w:val="center"/>
              <w:rPr>
                <w:rFonts w:cstheme="minorHAnsi"/>
                <w:sz w:val="16"/>
                <w:szCs w:val="16"/>
              </w:rPr>
            </w:pPr>
            <w:r w:rsidRPr="00FF01CA">
              <w:rPr>
                <w:rFonts w:cstheme="minorHAnsi"/>
                <w:sz w:val="16"/>
                <w:szCs w:val="16"/>
              </w:rPr>
              <w:t>Sharing abstraction and quality data</w:t>
            </w:r>
          </w:p>
          <w:p w14:paraId="2A445715" w14:textId="6EEF0302" w:rsidR="00FF01CA" w:rsidRDefault="00FF01CA" w:rsidP="00FF01CA">
            <w:pPr>
              <w:spacing w:line="278" w:lineRule="auto"/>
              <w:jc w:val="center"/>
              <w:rPr>
                <w:rFonts w:cstheme="minorHAnsi"/>
                <w:sz w:val="16"/>
                <w:szCs w:val="16"/>
              </w:rPr>
            </w:pPr>
            <w:r>
              <w:rPr>
                <w:rFonts w:cstheme="minorHAnsi"/>
                <w:sz w:val="16"/>
                <w:szCs w:val="16"/>
              </w:rPr>
              <w:t>P</w:t>
            </w:r>
            <w:r w:rsidRPr="00FF01CA">
              <w:rPr>
                <w:rFonts w:cstheme="minorHAnsi"/>
                <w:sz w:val="16"/>
                <w:szCs w:val="16"/>
              </w:rPr>
              <w:t>articipation in joint monitoring</w:t>
            </w:r>
          </w:p>
          <w:p w14:paraId="12BF04B5" w14:textId="32FFA0DD" w:rsidR="00FF01CA" w:rsidRPr="00FF01CA" w:rsidRDefault="00FF01CA" w:rsidP="00FF01CA">
            <w:pPr>
              <w:spacing w:line="278" w:lineRule="auto"/>
              <w:jc w:val="center"/>
              <w:rPr>
                <w:rFonts w:cstheme="minorHAnsi"/>
                <w:sz w:val="16"/>
                <w:szCs w:val="16"/>
              </w:rPr>
            </w:pPr>
            <w:r>
              <w:rPr>
                <w:rFonts w:cstheme="minorHAnsi"/>
                <w:sz w:val="16"/>
                <w:szCs w:val="16"/>
              </w:rPr>
              <w:t>E</w:t>
            </w:r>
            <w:r w:rsidRPr="00FF01CA">
              <w:rPr>
                <w:rFonts w:cstheme="minorHAnsi"/>
                <w:sz w:val="16"/>
                <w:szCs w:val="16"/>
              </w:rPr>
              <w:t>arly warning and emergency response</w:t>
            </w:r>
          </w:p>
        </w:tc>
      </w:tr>
      <w:tr w:rsidR="00FF01CA" w:rsidRPr="00D60A13" w14:paraId="34BE9868" w14:textId="77777777" w:rsidTr="00FF01CA">
        <w:trPr>
          <w:trHeight w:val="498"/>
          <w:tblCellSpacing w:w="15" w:type="dxa"/>
          <w:jc w:val="center"/>
        </w:trPr>
        <w:tc>
          <w:tcPr>
            <w:tcW w:w="0" w:type="auto"/>
            <w:vAlign w:val="center"/>
          </w:tcPr>
          <w:p w14:paraId="0AE83DF1" w14:textId="3284D3BF" w:rsidR="00FF01CA" w:rsidRPr="00FF01CA" w:rsidRDefault="00FF01CA" w:rsidP="00FF01CA">
            <w:pPr>
              <w:tabs>
                <w:tab w:val="left" w:pos="1515"/>
              </w:tabs>
              <w:jc w:val="center"/>
              <w:rPr>
                <w:rFonts w:cstheme="minorHAnsi"/>
                <w:sz w:val="16"/>
                <w:szCs w:val="16"/>
              </w:rPr>
            </w:pPr>
            <w:r w:rsidRPr="00FF01CA">
              <w:rPr>
                <w:rFonts w:cstheme="minorHAnsi"/>
                <w:sz w:val="16"/>
                <w:szCs w:val="16"/>
              </w:rPr>
              <w:t>Hydropower Operators</w:t>
            </w:r>
          </w:p>
        </w:tc>
        <w:tc>
          <w:tcPr>
            <w:tcW w:w="0" w:type="auto"/>
            <w:vAlign w:val="center"/>
          </w:tcPr>
          <w:p w14:paraId="0A9CF250" w14:textId="2C048432" w:rsidR="00FF01CA" w:rsidRPr="00FF01CA" w:rsidRDefault="00FF01CA" w:rsidP="00FF01CA">
            <w:pPr>
              <w:tabs>
                <w:tab w:val="left" w:pos="1515"/>
              </w:tabs>
              <w:jc w:val="center"/>
              <w:rPr>
                <w:rFonts w:cstheme="minorHAnsi"/>
                <w:sz w:val="16"/>
                <w:szCs w:val="16"/>
              </w:rPr>
            </w:pPr>
            <w:r>
              <w:rPr>
                <w:rFonts w:cstheme="minorHAnsi"/>
                <w:sz w:val="16"/>
                <w:szCs w:val="16"/>
              </w:rPr>
              <w:t>BiH</w:t>
            </w:r>
          </w:p>
        </w:tc>
        <w:tc>
          <w:tcPr>
            <w:tcW w:w="0" w:type="auto"/>
            <w:vAlign w:val="center"/>
          </w:tcPr>
          <w:p w14:paraId="42089D89" w14:textId="4794C999" w:rsidR="00FF01CA" w:rsidRPr="00FF01CA" w:rsidRDefault="00FF01CA" w:rsidP="00FF01CA">
            <w:pPr>
              <w:tabs>
                <w:tab w:val="left" w:pos="1515"/>
              </w:tabs>
              <w:jc w:val="center"/>
              <w:rPr>
                <w:rFonts w:cstheme="minorHAnsi"/>
                <w:sz w:val="16"/>
                <w:szCs w:val="16"/>
              </w:rPr>
            </w:pPr>
            <w:r w:rsidRPr="00FF01CA">
              <w:rPr>
                <w:rFonts w:cstheme="minorHAnsi"/>
                <w:sz w:val="16"/>
                <w:szCs w:val="16"/>
              </w:rPr>
              <w:t>Energy production, river flow regulation, reservoir management</w:t>
            </w:r>
          </w:p>
        </w:tc>
        <w:tc>
          <w:tcPr>
            <w:tcW w:w="2037" w:type="dxa"/>
            <w:vAlign w:val="center"/>
          </w:tcPr>
          <w:p w14:paraId="5F906CA1" w14:textId="3206C035" w:rsidR="00FF01CA" w:rsidRPr="00FF01CA" w:rsidRDefault="00FF01CA" w:rsidP="00FF01CA">
            <w:pPr>
              <w:tabs>
                <w:tab w:val="left" w:pos="1515"/>
              </w:tabs>
              <w:jc w:val="center"/>
              <w:rPr>
                <w:rFonts w:cstheme="minorHAnsi"/>
                <w:sz w:val="16"/>
                <w:szCs w:val="16"/>
              </w:rPr>
            </w:pPr>
            <w:r w:rsidRPr="00FF01CA">
              <w:rPr>
                <w:rFonts w:cstheme="minorHAnsi"/>
                <w:sz w:val="16"/>
                <w:szCs w:val="16"/>
              </w:rPr>
              <w:t>Indirect but influential transboundary actors</w:t>
            </w:r>
          </w:p>
        </w:tc>
        <w:tc>
          <w:tcPr>
            <w:tcW w:w="1846" w:type="dxa"/>
            <w:vAlign w:val="center"/>
          </w:tcPr>
          <w:p w14:paraId="6F4A0DBD" w14:textId="02462192" w:rsidR="00FF01CA" w:rsidRDefault="00FF01CA" w:rsidP="00FF01CA">
            <w:pPr>
              <w:spacing w:line="278" w:lineRule="auto"/>
              <w:jc w:val="center"/>
              <w:rPr>
                <w:rFonts w:cstheme="minorHAnsi"/>
                <w:sz w:val="16"/>
                <w:szCs w:val="16"/>
              </w:rPr>
            </w:pPr>
            <w:r w:rsidRPr="00FF01CA">
              <w:rPr>
                <w:rFonts w:cstheme="minorHAnsi"/>
                <w:sz w:val="16"/>
                <w:szCs w:val="16"/>
              </w:rPr>
              <w:t>Sharing operational data,</w:t>
            </w:r>
          </w:p>
          <w:p w14:paraId="57067DE7" w14:textId="5782A12C" w:rsidR="00FF01CA" w:rsidRDefault="00FF01CA" w:rsidP="00FF01CA">
            <w:pPr>
              <w:spacing w:line="278" w:lineRule="auto"/>
              <w:jc w:val="center"/>
              <w:rPr>
                <w:rFonts w:cstheme="minorHAnsi"/>
                <w:sz w:val="16"/>
                <w:szCs w:val="16"/>
              </w:rPr>
            </w:pPr>
            <w:r>
              <w:rPr>
                <w:rFonts w:cstheme="minorHAnsi"/>
                <w:sz w:val="16"/>
                <w:szCs w:val="16"/>
              </w:rPr>
              <w:t>C</w:t>
            </w:r>
            <w:r w:rsidRPr="00FF01CA">
              <w:rPr>
                <w:rFonts w:cstheme="minorHAnsi"/>
                <w:sz w:val="16"/>
                <w:szCs w:val="16"/>
              </w:rPr>
              <w:t>oordination on flow regimes,</w:t>
            </w:r>
          </w:p>
          <w:p w14:paraId="42A450DA" w14:textId="6B785D90" w:rsidR="00FF01CA" w:rsidRPr="00FF01CA" w:rsidRDefault="00FF01CA" w:rsidP="00FF01CA">
            <w:pPr>
              <w:spacing w:line="278" w:lineRule="auto"/>
              <w:jc w:val="center"/>
              <w:rPr>
                <w:rFonts w:cstheme="minorHAnsi"/>
                <w:sz w:val="16"/>
                <w:szCs w:val="16"/>
              </w:rPr>
            </w:pPr>
            <w:r>
              <w:rPr>
                <w:rFonts w:cstheme="minorHAnsi"/>
                <w:sz w:val="16"/>
                <w:szCs w:val="16"/>
              </w:rPr>
              <w:t>C</w:t>
            </w:r>
            <w:r w:rsidRPr="00FF01CA">
              <w:rPr>
                <w:rFonts w:cstheme="minorHAnsi"/>
                <w:sz w:val="16"/>
                <w:szCs w:val="16"/>
              </w:rPr>
              <w:t>ontribution to groundwater–surface water assessments</w:t>
            </w:r>
          </w:p>
        </w:tc>
      </w:tr>
      <w:tr w:rsidR="00FF01CA" w:rsidRPr="00D60A13" w14:paraId="2B5D4A86" w14:textId="77777777" w:rsidTr="00FF01CA">
        <w:trPr>
          <w:trHeight w:val="498"/>
          <w:tblCellSpacing w:w="15" w:type="dxa"/>
          <w:jc w:val="center"/>
        </w:trPr>
        <w:tc>
          <w:tcPr>
            <w:tcW w:w="0" w:type="auto"/>
            <w:vAlign w:val="center"/>
          </w:tcPr>
          <w:p w14:paraId="0B66962E" w14:textId="7A6464D5" w:rsidR="00FF01CA" w:rsidRPr="00FF01CA" w:rsidRDefault="00FF01CA" w:rsidP="00FF01CA">
            <w:pPr>
              <w:tabs>
                <w:tab w:val="left" w:pos="1515"/>
              </w:tabs>
              <w:jc w:val="center"/>
              <w:rPr>
                <w:rFonts w:cstheme="minorHAnsi"/>
                <w:sz w:val="16"/>
                <w:szCs w:val="16"/>
              </w:rPr>
            </w:pPr>
            <w:r w:rsidRPr="00FF01CA">
              <w:rPr>
                <w:rFonts w:cstheme="minorHAnsi"/>
                <w:sz w:val="16"/>
                <w:szCs w:val="16"/>
              </w:rPr>
              <w:t xml:space="preserve">Protected Area Authorities (Neretva </w:t>
            </w:r>
            <w:r w:rsidR="003108B4">
              <w:rPr>
                <w:rFonts w:cstheme="minorHAnsi"/>
                <w:sz w:val="16"/>
                <w:szCs w:val="16"/>
              </w:rPr>
              <w:t>Delta</w:t>
            </w:r>
            <w:r w:rsidRPr="00FF01CA">
              <w:rPr>
                <w:rFonts w:cstheme="minorHAnsi"/>
                <w:sz w:val="16"/>
                <w:szCs w:val="16"/>
              </w:rPr>
              <w:t xml:space="preserve"> and related areas)</w:t>
            </w:r>
          </w:p>
        </w:tc>
        <w:tc>
          <w:tcPr>
            <w:tcW w:w="0" w:type="auto"/>
            <w:vAlign w:val="center"/>
          </w:tcPr>
          <w:p w14:paraId="799C10DD" w14:textId="50F8900C" w:rsidR="00FF01CA" w:rsidRPr="00FF01CA" w:rsidRDefault="00FF01CA" w:rsidP="00FF01CA">
            <w:pPr>
              <w:tabs>
                <w:tab w:val="left" w:pos="1515"/>
              </w:tabs>
              <w:jc w:val="center"/>
              <w:rPr>
                <w:rFonts w:cstheme="minorHAnsi"/>
                <w:sz w:val="16"/>
                <w:szCs w:val="16"/>
              </w:rPr>
            </w:pPr>
            <w:r>
              <w:rPr>
                <w:rFonts w:cstheme="minorHAnsi"/>
                <w:sz w:val="16"/>
                <w:szCs w:val="16"/>
              </w:rPr>
              <w:t>HR</w:t>
            </w:r>
            <w:r w:rsidRPr="00FF01CA">
              <w:rPr>
                <w:rFonts w:cstheme="minorHAnsi"/>
                <w:sz w:val="16"/>
                <w:szCs w:val="16"/>
              </w:rPr>
              <w:t xml:space="preserve"> / BiH</w:t>
            </w:r>
          </w:p>
        </w:tc>
        <w:tc>
          <w:tcPr>
            <w:tcW w:w="0" w:type="auto"/>
            <w:vAlign w:val="center"/>
          </w:tcPr>
          <w:p w14:paraId="733FEA4A" w14:textId="66569F37" w:rsidR="00FF01CA" w:rsidRPr="00FF01CA" w:rsidRDefault="00FF01CA" w:rsidP="00FF01CA">
            <w:pPr>
              <w:tabs>
                <w:tab w:val="left" w:pos="1515"/>
              </w:tabs>
              <w:jc w:val="center"/>
              <w:rPr>
                <w:rFonts w:cstheme="minorHAnsi"/>
                <w:sz w:val="16"/>
                <w:szCs w:val="16"/>
              </w:rPr>
            </w:pPr>
            <w:r w:rsidRPr="00FF01CA">
              <w:rPr>
                <w:rFonts w:cstheme="minorHAnsi"/>
                <w:sz w:val="16"/>
                <w:szCs w:val="16"/>
              </w:rPr>
              <w:t>Conservation, tourism management, environmental protection</w:t>
            </w:r>
          </w:p>
        </w:tc>
        <w:tc>
          <w:tcPr>
            <w:tcW w:w="2037" w:type="dxa"/>
            <w:vAlign w:val="center"/>
          </w:tcPr>
          <w:p w14:paraId="760C0A65" w14:textId="2426F439" w:rsidR="00FF01CA" w:rsidRPr="00FF01CA" w:rsidRDefault="00FF01CA" w:rsidP="00FF01CA">
            <w:pPr>
              <w:tabs>
                <w:tab w:val="left" w:pos="1515"/>
              </w:tabs>
              <w:jc w:val="center"/>
              <w:rPr>
                <w:rFonts w:cstheme="minorHAnsi"/>
                <w:sz w:val="16"/>
                <w:szCs w:val="16"/>
              </w:rPr>
            </w:pPr>
            <w:r w:rsidRPr="00FF01CA">
              <w:rPr>
                <w:rFonts w:cstheme="minorHAnsi"/>
                <w:sz w:val="16"/>
                <w:szCs w:val="16"/>
              </w:rPr>
              <w:t>Support coordination on sensitive ecosystems and tourism impacts</w:t>
            </w:r>
          </w:p>
        </w:tc>
        <w:tc>
          <w:tcPr>
            <w:tcW w:w="1846" w:type="dxa"/>
            <w:vAlign w:val="center"/>
          </w:tcPr>
          <w:p w14:paraId="36B62699" w14:textId="496E0B99" w:rsidR="00FF01CA" w:rsidRDefault="00FF01CA" w:rsidP="00FF01CA">
            <w:pPr>
              <w:spacing w:line="278" w:lineRule="auto"/>
              <w:jc w:val="center"/>
              <w:rPr>
                <w:rFonts w:cstheme="minorHAnsi"/>
                <w:sz w:val="16"/>
                <w:szCs w:val="16"/>
              </w:rPr>
            </w:pPr>
            <w:r w:rsidRPr="00FF01CA">
              <w:rPr>
                <w:rFonts w:cstheme="minorHAnsi"/>
                <w:sz w:val="16"/>
                <w:szCs w:val="16"/>
              </w:rPr>
              <w:t>Monitoring of sensitive zones,</w:t>
            </w:r>
          </w:p>
          <w:p w14:paraId="10563ACC" w14:textId="1DBFCBAB" w:rsidR="00FF01CA" w:rsidRDefault="00FF01CA" w:rsidP="00FF01CA">
            <w:pPr>
              <w:spacing w:line="278" w:lineRule="auto"/>
              <w:jc w:val="center"/>
              <w:rPr>
                <w:rFonts w:cstheme="minorHAnsi"/>
                <w:sz w:val="16"/>
                <w:szCs w:val="16"/>
              </w:rPr>
            </w:pPr>
            <w:r>
              <w:rPr>
                <w:rFonts w:cstheme="minorHAnsi"/>
                <w:sz w:val="16"/>
                <w:szCs w:val="16"/>
              </w:rPr>
              <w:t>C</w:t>
            </w:r>
            <w:r w:rsidRPr="00FF01CA">
              <w:rPr>
                <w:rFonts w:cstheme="minorHAnsi"/>
                <w:sz w:val="16"/>
                <w:szCs w:val="16"/>
              </w:rPr>
              <w:t>oordination of environmental standards,</w:t>
            </w:r>
          </w:p>
          <w:p w14:paraId="46F7CC16" w14:textId="2914C1DD" w:rsidR="00FF01CA" w:rsidRPr="00FF01CA" w:rsidRDefault="00FF01CA" w:rsidP="00FF01CA">
            <w:pPr>
              <w:spacing w:line="278" w:lineRule="auto"/>
              <w:jc w:val="center"/>
              <w:rPr>
                <w:rFonts w:cstheme="minorHAnsi"/>
                <w:sz w:val="16"/>
                <w:szCs w:val="16"/>
              </w:rPr>
            </w:pPr>
            <w:r>
              <w:rPr>
                <w:rFonts w:cstheme="minorHAnsi"/>
                <w:sz w:val="16"/>
                <w:szCs w:val="16"/>
              </w:rPr>
              <w:t>A</w:t>
            </w:r>
            <w:r w:rsidRPr="00FF01CA">
              <w:rPr>
                <w:rFonts w:cstheme="minorHAnsi"/>
                <w:sz w:val="16"/>
                <w:szCs w:val="16"/>
              </w:rPr>
              <w:t>wareness activities</w:t>
            </w:r>
          </w:p>
        </w:tc>
      </w:tr>
      <w:tr w:rsidR="00FF01CA" w:rsidRPr="00D60A13" w14:paraId="7F61EDC7" w14:textId="77777777" w:rsidTr="00FF01CA">
        <w:trPr>
          <w:trHeight w:val="498"/>
          <w:tblCellSpacing w:w="15" w:type="dxa"/>
          <w:jc w:val="center"/>
        </w:trPr>
        <w:tc>
          <w:tcPr>
            <w:tcW w:w="0" w:type="auto"/>
            <w:vAlign w:val="center"/>
          </w:tcPr>
          <w:p w14:paraId="1BF5CDBC" w14:textId="51039055" w:rsidR="00FF01CA" w:rsidRPr="00FF01CA" w:rsidRDefault="00FF01CA" w:rsidP="00FF01CA">
            <w:pPr>
              <w:tabs>
                <w:tab w:val="left" w:pos="1515"/>
              </w:tabs>
              <w:jc w:val="center"/>
              <w:rPr>
                <w:rFonts w:cstheme="minorHAnsi"/>
                <w:sz w:val="16"/>
                <w:szCs w:val="16"/>
              </w:rPr>
            </w:pPr>
            <w:r w:rsidRPr="00FF01CA">
              <w:rPr>
                <w:rFonts w:cstheme="minorHAnsi"/>
                <w:sz w:val="16"/>
                <w:szCs w:val="16"/>
              </w:rPr>
              <w:t xml:space="preserve">Tourism Operators (accommodation, rafting, </w:t>
            </w:r>
            <w:proofErr w:type="spellStart"/>
            <w:r w:rsidRPr="00FF01CA">
              <w:rPr>
                <w:rFonts w:cstheme="minorHAnsi"/>
                <w:sz w:val="16"/>
                <w:szCs w:val="16"/>
              </w:rPr>
              <w:t>agri</w:t>
            </w:r>
            <w:proofErr w:type="spellEnd"/>
            <w:r w:rsidRPr="00FF01CA">
              <w:rPr>
                <w:rFonts w:cstheme="minorHAnsi"/>
                <w:sz w:val="16"/>
                <w:szCs w:val="16"/>
              </w:rPr>
              <w:t>-tourism)</w:t>
            </w:r>
          </w:p>
        </w:tc>
        <w:tc>
          <w:tcPr>
            <w:tcW w:w="0" w:type="auto"/>
            <w:vAlign w:val="center"/>
          </w:tcPr>
          <w:p w14:paraId="3FE26789" w14:textId="68C6BF88" w:rsidR="00FF01CA" w:rsidRPr="00FF01CA" w:rsidRDefault="00FF01CA" w:rsidP="00FF01CA">
            <w:pPr>
              <w:tabs>
                <w:tab w:val="left" w:pos="1515"/>
              </w:tabs>
              <w:jc w:val="center"/>
              <w:rPr>
                <w:rFonts w:cstheme="minorHAnsi"/>
                <w:sz w:val="16"/>
                <w:szCs w:val="16"/>
              </w:rPr>
            </w:pPr>
            <w:r>
              <w:rPr>
                <w:rFonts w:cstheme="minorHAnsi"/>
                <w:sz w:val="16"/>
                <w:szCs w:val="16"/>
              </w:rPr>
              <w:t>HR</w:t>
            </w:r>
            <w:r w:rsidRPr="00FF01CA">
              <w:rPr>
                <w:rFonts w:cstheme="minorHAnsi"/>
                <w:sz w:val="16"/>
                <w:szCs w:val="16"/>
              </w:rPr>
              <w:t xml:space="preserve"> / BiH</w:t>
            </w:r>
          </w:p>
        </w:tc>
        <w:tc>
          <w:tcPr>
            <w:tcW w:w="0" w:type="auto"/>
            <w:vAlign w:val="center"/>
          </w:tcPr>
          <w:p w14:paraId="6BAABC1F" w14:textId="6BA8FFF7" w:rsidR="00FF01CA" w:rsidRPr="00FF01CA" w:rsidRDefault="00FF01CA" w:rsidP="00FF01CA">
            <w:pPr>
              <w:tabs>
                <w:tab w:val="left" w:pos="1515"/>
              </w:tabs>
              <w:jc w:val="center"/>
              <w:rPr>
                <w:rFonts w:cstheme="minorHAnsi"/>
                <w:sz w:val="16"/>
                <w:szCs w:val="16"/>
              </w:rPr>
            </w:pPr>
            <w:r w:rsidRPr="00FF01CA">
              <w:rPr>
                <w:rFonts w:cstheme="minorHAnsi"/>
                <w:sz w:val="16"/>
                <w:szCs w:val="16"/>
              </w:rPr>
              <w:t xml:space="preserve">Service provision, seasonal water </w:t>
            </w:r>
            <w:proofErr w:type="gramStart"/>
            <w:r w:rsidRPr="00FF01CA">
              <w:rPr>
                <w:rFonts w:cstheme="minorHAnsi"/>
                <w:sz w:val="16"/>
                <w:szCs w:val="16"/>
              </w:rPr>
              <w:t>use</w:t>
            </w:r>
            <w:proofErr w:type="gramEnd"/>
            <w:r w:rsidRPr="00FF01CA">
              <w:rPr>
                <w:rFonts w:cstheme="minorHAnsi"/>
                <w:sz w:val="16"/>
                <w:szCs w:val="16"/>
              </w:rPr>
              <w:t xml:space="preserve"> and wastewater generation</w:t>
            </w:r>
          </w:p>
        </w:tc>
        <w:tc>
          <w:tcPr>
            <w:tcW w:w="2037" w:type="dxa"/>
            <w:vAlign w:val="center"/>
          </w:tcPr>
          <w:p w14:paraId="0FFFEACC" w14:textId="4D7086B7" w:rsidR="00FF01CA" w:rsidRPr="00FF01CA" w:rsidRDefault="00FF01CA" w:rsidP="00FF01CA">
            <w:pPr>
              <w:tabs>
                <w:tab w:val="left" w:pos="1515"/>
              </w:tabs>
              <w:jc w:val="center"/>
              <w:rPr>
                <w:rFonts w:cstheme="minorHAnsi"/>
                <w:sz w:val="16"/>
                <w:szCs w:val="16"/>
              </w:rPr>
            </w:pPr>
            <w:r w:rsidRPr="00FF01CA">
              <w:rPr>
                <w:rFonts w:cstheme="minorHAnsi"/>
                <w:sz w:val="16"/>
                <w:szCs w:val="16"/>
              </w:rPr>
              <w:t>Implementation of good environmental practices</w:t>
            </w:r>
          </w:p>
        </w:tc>
        <w:tc>
          <w:tcPr>
            <w:tcW w:w="1846" w:type="dxa"/>
            <w:vAlign w:val="center"/>
          </w:tcPr>
          <w:p w14:paraId="0F65EA0A" w14:textId="0DA9B292" w:rsidR="00FF01CA" w:rsidRDefault="00FF01CA" w:rsidP="00FF01CA">
            <w:pPr>
              <w:spacing w:line="278" w:lineRule="auto"/>
              <w:jc w:val="center"/>
              <w:rPr>
                <w:rFonts w:cstheme="minorHAnsi"/>
                <w:sz w:val="16"/>
                <w:szCs w:val="16"/>
              </w:rPr>
            </w:pPr>
            <w:r w:rsidRPr="00FF01CA">
              <w:rPr>
                <w:rFonts w:cstheme="minorHAnsi"/>
                <w:sz w:val="16"/>
                <w:szCs w:val="16"/>
              </w:rPr>
              <w:t>Adoption of harmonised guidelines</w:t>
            </w:r>
          </w:p>
          <w:p w14:paraId="76A3588E" w14:textId="50CC12A4" w:rsidR="00FF01CA" w:rsidRDefault="00FF01CA" w:rsidP="00FF01CA">
            <w:pPr>
              <w:spacing w:line="278" w:lineRule="auto"/>
              <w:jc w:val="center"/>
              <w:rPr>
                <w:rFonts w:cstheme="minorHAnsi"/>
                <w:sz w:val="16"/>
                <w:szCs w:val="16"/>
              </w:rPr>
            </w:pPr>
            <w:r>
              <w:rPr>
                <w:rFonts w:cstheme="minorHAnsi"/>
                <w:sz w:val="16"/>
                <w:szCs w:val="16"/>
              </w:rPr>
              <w:t>R</w:t>
            </w:r>
            <w:r w:rsidRPr="00FF01CA">
              <w:rPr>
                <w:rFonts w:cstheme="minorHAnsi"/>
                <w:sz w:val="16"/>
                <w:szCs w:val="16"/>
              </w:rPr>
              <w:t>eporting seasonal pressures</w:t>
            </w:r>
          </w:p>
          <w:p w14:paraId="67DF5F8F" w14:textId="6F1B63FB" w:rsidR="00FF01CA" w:rsidRPr="00FF01CA" w:rsidRDefault="00FF01CA" w:rsidP="00FF01CA">
            <w:pPr>
              <w:spacing w:line="278" w:lineRule="auto"/>
              <w:jc w:val="center"/>
              <w:rPr>
                <w:rFonts w:cstheme="minorHAnsi"/>
                <w:sz w:val="16"/>
                <w:szCs w:val="16"/>
              </w:rPr>
            </w:pPr>
            <w:r>
              <w:rPr>
                <w:rFonts w:cstheme="minorHAnsi"/>
                <w:sz w:val="16"/>
                <w:szCs w:val="16"/>
              </w:rPr>
              <w:t>P</w:t>
            </w:r>
            <w:r w:rsidRPr="00FF01CA">
              <w:rPr>
                <w:rFonts w:cstheme="minorHAnsi"/>
                <w:sz w:val="16"/>
                <w:szCs w:val="16"/>
              </w:rPr>
              <w:t>articipation in awareness initiatives</w:t>
            </w:r>
          </w:p>
        </w:tc>
      </w:tr>
      <w:tr w:rsidR="00FF01CA" w:rsidRPr="00D60A13" w14:paraId="00E05329" w14:textId="77777777" w:rsidTr="00FF01CA">
        <w:trPr>
          <w:trHeight w:val="498"/>
          <w:tblCellSpacing w:w="15" w:type="dxa"/>
          <w:jc w:val="center"/>
        </w:trPr>
        <w:tc>
          <w:tcPr>
            <w:tcW w:w="0" w:type="auto"/>
            <w:vAlign w:val="center"/>
          </w:tcPr>
          <w:p w14:paraId="32CC7041" w14:textId="65AE01AB" w:rsidR="00FF01CA" w:rsidRPr="00FF01CA" w:rsidRDefault="00FF01CA" w:rsidP="00FF01CA">
            <w:pPr>
              <w:tabs>
                <w:tab w:val="left" w:pos="1515"/>
              </w:tabs>
              <w:jc w:val="center"/>
              <w:rPr>
                <w:rFonts w:cstheme="minorHAnsi"/>
                <w:sz w:val="16"/>
                <w:szCs w:val="16"/>
              </w:rPr>
            </w:pPr>
            <w:r w:rsidRPr="00FF01CA">
              <w:rPr>
                <w:rFonts w:cstheme="minorHAnsi"/>
                <w:sz w:val="16"/>
                <w:szCs w:val="16"/>
              </w:rPr>
              <w:t>Agricultural Authorities and Cooperatives</w:t>
            </w:r>
          </w:p>
        </w:tc>
        <w:tc>
          <w:tcPr>
            <w:tcW w:w="0" w:type="auto"/>
            <w:vAlign w:val="center"/>
          </w:tcPr>
          <w:p w14:paraId="67FB2E6D" w14:textId="53FD9E5B" w:rsidR="00FF01CA" w:rsidRPr="00FF01CA" w:rsidRDefault="00FF01CA" w:rsidP="00FF01CA">
            <w:pPr>
              <w:tabs>
                <w:tab w:val="left" w:pos="1515"/>
              </w:tabs>
              <w:jc w:val="center"/>
              <w:rPr>
                <w:rFonts w:cstheme="minorHAnsi"/>
                <w:sz w:val="16"/>
                <w:szCs w:val="16"/>
              </w:rPr>
            </w:pPr>
            <w:r>
              <w:rPr>
                <w:rFonts w:cstheme="minorHAnsi"/>
                <w:sz w:val="16"/>
                <w:szCs w:val="16"/>
              </w:rPr>
              <w:t>HR</w:t>
            </w:r>
            <w:r w:rsidRPr="00FF01CA">
              <w:rPr>
                <w:rFonts w:cstheme="minorHAnsi"/>
                <w:sz w:val="16"/>
                <w:szCs w:val="16"/>
              </w:rPr>
              <w:t xml:space="preserve"> / BiH</w:t>
            </w:r>
          </w:p>
        </w:tc>
        <w:tc>
          <w:tcPr>
            <w:tcW w:w="0" w:type="auto"/>
            <w:vAlign w:val="center"/>
          </w:tcPr>
          <w:p w14:paraId="2A30EA02" w14:textId="3CB667EC" w:rsidR="00FF01CA" w:rsidRPr="00FF01CA" w:rsidRDefault="00FF01CA" w:rsidP="00FF01CA">
            <w:pPr>
              <w:tabs>
                <w:tab w:val="left" w:pos="1515"/>
              </w:tabs>
              <w:jc w:val="center"/>
              <w:rPr>
                <w:rFonts w:cstheme="minorHAnsi"/>
                <w:sz w:val="16"/>
                <w:szCs w:val="16"/>
              </w:rPr>
            </w:pPr>
            <w:r w:rsidRPr="00FF01CA">
              <w:rPr>
                <w:rFonts w:cstheme="minorHAnsi"/>
                <w:sz w:val="16"/>
                <w:szCs w:val="16"/>
              </w:rPr>
              <w:t>Agricultural support, irrigation practices, land-use management</w:t>
            </w:r>
          </w:p>
        </w:tc>
        <w:tc>
          <w:tcPr>
            <w:tcW w:w="2037" w:type="dxa"/>
            <w:vAlign w:val="center"/>
          </w:tcPr>
          <w:p w14:paraId="318E2379" w14:textId="3CBDA8A5" w:rsidR="00FF01CA" w:rsidRPr="00FF01CA" w:rsidRDefault="00FF01CA" w:rsidP="00FF01CA">
            <w:pPr>
              <w:tabs>
                <w:tab w:val="left" w:pos="1515"/>
              </w:tabs>
              <w:jc w:val="center"/>
              <w:rPr>
                <w:rFonts w:cstheme="minorHAnsi"/>
                <w:sz w:val="16"/>
                <w:szCs w:val="16"/>
              </w:rPr>
            </w:pPr>
            <w:r w:rsidRPr="00FF01CA">
              <w:rPr>
                <w:rFonts w:cstheme="minorHAnsi"/>
                <w:sz w:val="16"/>
                <w:szCs w:val="16"/>
              </w:rPr>
              <w:t>Sector-specific coordination</w:t>
            </w:r>
          </w:p>
        </w:tc>
        <w:tc>
          <w:tcPr>
            <w:tcW w:w="1846" w:type="dxa"/>
            <w:vAlign w:val="center"/>
          </w:tcPr>
          <w:p w14:paraId="6C48DD5A" w14:textId="61F525DA" w:rsidR="00FF01CA" w:rsidRDefault="00FF01CA" w:rsidP="00FF01CA">
            <w:pPr>
              <w:spacing w:line="278" w:lineRule="auto"/>
              <w:jc w:val="center"/>
              <w:rPr>
                <w:rFonts w:cstheme="minorHAnsi"/>
                <w:sz w:val="16"/>
                <w:szCs w:val="16"/>
              </w:rPr>
            </w:pPr>
            <w:r w:rsidRPr="00FF01CA">
              <w:rPr>
                <w:rFonts w:cstheme="minorHAnsi"/>
                <w:sz w:val="16"/>
                <w:szCs w:val="16"/>
              </w:rPr>
              <w:t>Promotion of efficient irrigation</w:t>
            </w:r>
          </w:p>
          <w:p w14:paraId="55C2DB32" w14:textId="38AAA67A" w:rsidR="00FF01CA" w:rsidRDefault="00FF01CA" w:rsidP="00FF01CA">
            <w:pPr>
              <w:spacing w:line="278" w:lineRule="auto"/>
              <w:jc w:val="center"/>
              <w:rPr>
                <w:rFonts w:cstheme="minorHAnsi"/>
                <w:sz w:val="16"/>
                <w:szCs w:val="16"/>
              </w:rPr>
            </w:pPr>
            <w:r>
              <w:rPr>
                <w:rFonts w:cstheme="minorHAnsi"/>
                <w:sz w:val="16"/>
                <w:szCs w:val="16"/>
              </w:rPr>
              <w:t>N</w:t>
            </w:r>
            <w:r w:rsidRPr="00FF01CA">
              <w:rPr>
                <w:rFonts w:cstheme="minorHAnsi"/>
                <w:sz w:val="16"/>
                <w:szCs w:val="16"/>
              </w:rPr>
              <w:t>utrient management</w:t>
            </w:r>
          </w:p>
          <w:p w14:paraId="12D49A10" w14:textId="14BA0805" w:rsidR="00FF01CA" w:rsidRDefault="00FF01CA" w:rsidP="00FF01CA">
            <w:pPr>
              <w:spacing w:line="278" w:lineRule="auto"/>
              <w:jc w:val="center"/>
              <w:rPr>
                <w:rFonts w:cstheme="minorHAnsi"/>
                <w:sz w:val="16"/>
                <w:szCs w:val="16"/>
              </w:rPr>
            </w:pPr>
            <w:r>
              <w:rPr>
                <w:rFonts w:cstheme="minorHAnsi"/>
                <w:sz w:val="16"/>
                <w:szCs w:val="16"/>
              </w:rPr>
              <w:t>R</w:t>
            </w:r>
            <w:r w:rsidRPr="00FF01CA">
              <w:rPr>
                <w:rFonts w:cstheme="minorHAnsi"/>
                <w:sz w:val="16"/>
                <w:szCs w:val="16"/>
              </w:rPr>
              <w:t>eduction of diffuse pollution,</w:t>
            </w:r>
          </w:p>
          <w:p w14:paraId="34F39D25" w14:textId="64C514BB" w:rsidR="00FF01CA" w:rsidRPr="00FF01CA" w:rsidRDefault="00FF01CA" w:rsidP="00FF01CA">
            <w:pPr>
              <w:spacing w:line="278" w:lineRule="auto"/>
              <w:jc w:val="center"/>
              <w:rPr>
                <w:rFonts w:cstheme="minorHAnsi"/>
                <w:sz w:val="16"/>
                <w:szCs w:val="16"/>
              </w:rPr>
            </w:pPr>
            <w:r>
              <w:rPr>
                <w:rFonts w:cstheme="minorHAnsi"/>
                <w:sz w:val="16"/>
                <w:szCs w:val="16"/>
              </w:rPr>
              <w:t>S</w:t>
            </w:r>
            <w:r w:rsidRPr="00FF01CA">
              <w:rPr>
                <w:rFonts w:cstheme="minorHAnsi"/>
                <w:sz w:val="16"/>
                <w:szCs w:val="16"/>
              </w:rPr>
              <w:t>alinisation risk management</w:t>
            </w:r>
          </w:p>
        </w:tc>
      </w:tr>
      <w:tr w:rsidR="00FF01CA" w:rsidRPr="00D60A13" w14:paraId="53B78164" w14:textId="77777777" w:rsidTr="00FF01CA">
        <w:trPr>
          <w:trHeight w:val="498"/>
          <w:tblCellSpacing w:w="15" w:type="dxa"/>
          <w:jc w:val="center"/>
        </w:trPr>
        <w:tc>
          <w:tcPr>
            <w:tcW w:w="0" w:type="auto"/>
            <w:vAlign w:val="center"/>
          </w:tcPr>
          <w:p w14:paraId="6F1FA59A" w14:textId="04E47184" w:rsidR="00FF01CA" w:rsidRPr="00FF01CA" w:rsidRDefault="00FF01CA" w:rsidP="00FF01CA">
            <w:pPr>
              <w:tabs>
                <w:tab w:val="left" w:pos="1515"/>
              </w:tabs>
              <w:jc w:val="center"/>
              <w:rPr>
                <w:rFonts w:cstheme="minorHAnsi"/>
                <w:sz w:val="16"/>
                <w:szCs w:val="16"/>
              </w:rPr>
            </w:pPr>
            <w:r w:rsidRPr="00FF01CA">
              <w:rPr>
                <w:rFonts w:cstheme="minorHAnsi"/>
                <w:sz w:val="16"/>
                <w:szCs w:val="16"/>
              </w:rPr>
              <w:t>NGOs and Civil Society Organisations</w:t>
            </w:r>
          </w:p>
        </w:tc>
        <w:tc>
          <w:tcPr>
            <w:tcW w:w="0" w:type="auto"/>
            <w:vAlign w:val="center"/>
          </w:tcPr>
          <w:p w14:paraId="2C20EFB8" w14:textId="4B01CF6A" w:rsidR="00FF01CA" w:rsidRPr="00FF01CA" w:rsidRDefault="00FF01CA" w:rsidP="00FF01CA">
            <w:pPr>
              <w:tabs>
                <w:tab w:val="left" w:pos="1515"/>
              </w:tabs>
              <w:jc w:val="center"/>
              <w:rPr>
                <w:rFonts w:cstheme="minorHAnsi"/>
                <w:sz w:val="16"/>
                <w:szCs w:val="16"/>
              </w:rPr>
            </w:pPr>
            <w:r>
              <w:rPr>
                <w:rFonts w:cstheme="minorHAnsi"/>
                <w:sz w:val="16"/>
                <w:szCs w:val="16"/>
              </w:rPr>
              <w:t>HR</w:t>
            </w:r>
            <w:r w:rsidRPr="00FF01CA">
              <w:rPr>
                <w:rFonts w:cstheme="minorHAnsi"/>
                <w:sz w:val="16"/>
                <w:szCs w:val="16"/>
              </w:rPr>
              <w:t xml:space="preserve"> / BiH</w:t>
            </w:r>
          </w:p>
        </w:tc>
        <w:tc>
          <w:tcPr>
            <w:tcW w:w="0" w:type="auto"/>
            <w:vAlign w:val="center"/>
          </w:tcPr>
          <w:p w14:paraId="0699398B" w14:textId="166E7034" w:rsidR="00FF01CA" w:rsidRPr="00FF01CA" w:rsidRDefault="00FF01CA" w:rsidP="00FF01CA">
            <w:pPr>
              <w:tabs>
                <w:tab w:val="left" w:pos="1515"/>
              </w:tabs>
              <w:jc w:val="center"/>
              <w:rPr>
                <w:rFonts w:cstheme="minorHAnsi"/>
                <w:sz w:val="16"/>
                <w:szCs w:val="16"/>
              </w:rPr>
            </w:pPr>
            <w:r w:rsidRPr="00FF01CA">
              <w:rPr>
                <w:rFonts w:cstheme="minorHAnsi"/>
                <w:sz w:val="16"/>
                <w:szCs w:val="16"/>
              </w:rPr>
              <w:t>Awareness raising, advocacy, participatory monitoring</w:t>
            </w:r>
          </w:p>
        </w:tc>
        <w:tc>
          <w:tcPr>
            <w:tcW w:w="2037" w:type="dxa"/>
            <w:vAlign w:val="center"/>
          </w:tcPr>
          <w:p w14:paraId="3F4138DA" w14:textId="25D340A7" w:rsidR="00FF01CA" w:rsidRPr="00FF01CA" w:rsidRDefault="00FF01CA" w:rsidP="00FF01CA">
            <w:pPr>
              <w:tabs>
                <w:tab w:val="left" w:pos="1515"/>
              </w:tabs>
              <w:jc w:val="center"/>
              <w:rPr>
                <w:rFonts w:cstheme="minorHAnsi"/>
                <w:sz w:val="16"/>
                <w:szCs w:val="16"/>
              </w:rPr>
            </w:pPr>
            <w:r w:rsidRPr="00FF01CA">
              <w:rPr>
                <w:rFonts w:cstheme="minorHAnsi"/>
                <w:sz w:val="16"/>
                <w:szCs w:val="16"/>
              </w:rPr>
              <w:t>Facilitation of stakeholder engagement and trust-building</w:t>
            </w:r>
          </w:p>
        </w:tc>
        <w:tc>
          <w:tcPr>
            <w:tcW w:w="1846" w:type="dxa"/>
            <w:vAlign w:val="center"/>
          </w:tcPr>
          <w:p w14:paraId="173ED658" w14:textId="257BFC94" w:rsidR="00FF01CA" w:rsidRDefault="00FF01CA" w:rsidP="00FF01CA">
            <w:pPr>
              <w:spacing w:line="278" w:lineRule="auto"/>
              <w:jc w:val="center"/>
              <w:rPr>
                <w:rFonts w:cstheme="minorHAnsi"/>
                <w:sz w:val="16"/>
                <w:szCs w:val="16"/>
              </w:rPr>
            </w:pPr>
            <w:r w:rsidRPr="00FF01CA">
              <w:rPr>
                <w:rFonts w:cstheme="minorHAnsi"/>
                <w:sz w:val="16"/>
                <w:szCs w:val="16"/>
              </w:rPr>
              <w:t>Reporting pollution hotspots</w:t>
            </w:r>
          </w:p>
          <w:p w14:paraId="18B0EDEB" w14:textId="39F3AD7E" w:rsidR="00FF01CA" w:rsidRDefault="00FF01CA" w:rsidP="00FF01CA">
            <w:pPr>
              <w:spacing w:line="278" w:lineRule="auto"/>
              <w:jc w:val="center"/>
              <w:rPr>
                <w:rFonts w:cstheme="minorHAnsi"/>
                <w:sz w:val="16"/>
                <w:szCs w:val="16"/>
              </w:rPr>
            </w:pPr>
            <w:r>
              <w:rPr>
                <w:rFonts w:cstheme="minorHAnsi"/>
                <w:sz w:val="16"/>
                <w:szCs w:val="16"/>
              </w:rPr>
              <w:t>C</w:t>
            </w:r>
            <w:r w:rsidRPr="00FF01CA">
              <w:rPr>
                <w:rFonts w:cstheme="minorHAnsi"/>
                <w:sz w:val="16"/>
                <w:szCs w:val="16"/>
              </w:rPr>
              <w:t>ommunity engagement</w:t>
            </w:r>
          </w:p>
          <w:p w14:paraId="442ED53E" w14:textId="6E14A36A" w:rsidR="00FF01CA" w:rsidRPr="00FF01CA" w:rsidRDefault="00FF01CA" w:rsidP="00FF01CA">
            <w:pPr>
              <w:spacing w:line="278" w:lineRule="auto"/>
              <w:jc w:val="center"/>
              <w:rPr>
                <w:rFonts w:cstheme="minorHAnsi"/>
                <w:sz w:val="16"/>
                <w:szCs w:val="16"/>
              </w:rPr>
            </w:pPr>
            <w:r>
              <w:rPr>
                <w:rFonts w:cstheme="minorHAnsi"/>
                <w:sz w:val="16"/>
                <w:szCs w:val="16"/>
              </w:rPr>
              <w:t>S</w:t>
            </w:r>
            <w:r w:rsidRPr="00FF01CA">
              <w:rPr>
                <w:rFonts w:cstheme="minorHAnsi"/>
                <w:sz w:val="16"/>
                <w:szCs w:val="16"/>
              </w:rPr>
              <w:t>upport to awareness campaigns</w:t>
            </w:r>
          </w:p>
        </w:tc>
      </w:tr>
      <w:tr w:rsidR="00FF01CA" w:rsidRPr="00D60A13" w14:paraId="5D30A226" w14:textId="77777777" w:rsidTr="00FF01CA">
        <w:trPr>
          <w:trHeight w:val="498"/>
          <w:tblCellSpacing w:w="15" w:type="dxa"/>
          <w:jc w:val="center"/>
        </w:trPr>
        <w:tc>
          <w:tcPr>
            <w:tcW w:w="0" w:type="auto"/>
            <w:vAlign w:val="center"/>
          </w:tcPr>
          <w:p w14:paraId="6782CE5A" w14:textId="0570E9F2" w:rsidR="00FF01CA" w:rsidRPr="00FF01CA" w:rsidRDefault="00FF01CA" w:rsidP="00FF01CA">
            <w:pPr>
              <w:tabs>
                <w:tab w:val="left" w:pos="1515"/>
              </w:tabs>
              <w:jc w:val="center"/>
              <w:rPr>
                <w:rFonts w:cstheme="minorHAnsi"/>
                <w:sz w:val="16"/>
                <w:szCs w:val="16"/>
              </w:rPr>
            </w:pPr>
            <w:r w:rsidRPr="00FF01CA">
              <w:rPr>
                <w:rFonts w:cstheme="minorHAnsi"/>
                <w:sz w:val="16"/>
                <w:szCs w:val="16"/>
              </w:rPr>
              <w:t>Research and Academic Institutions</w:t>
            </w:r>
          </w:p>
        </w:tc>
        <w:tc>
          <w:tcPr>
            <w:tcW w:w="0" w:type="auto"/>
            <w:vAlign w:val="center"/>
          </w:tcPr>
          <w:p w14:paraId="20334437" w14:textId="60676B41" w:rsidR="00FF01CA" w:rsidRPr="00FF01CA" w:rsidRDefault="00FF01CA" w:rsidP="00FF01CA">
            <w:pPr>
              <w:tabs>
                <w:tab w:val="left" w:pos="1515"/>
              </w:tabs>
              <w:jc w:val="center"/>
              <w:rPr>
                <w:rFonts w:cstheme="minorHAnsi"/>
                <w:sz w:val="16"/>
                <w:szCs w:val="16"/>
              </w:rPr>
            </w:pPr>
            <w:r>
              <w:rPr>
                <w:rFonts w:cstheme="minorHAnsi"/>
                <w:sz w:val="16"/>
                <w:szCs w:val="16"/>
              </w:rPr>
              <w:t>HR</w:t>
            </w:r>
            <w:r w:rsidRPr="00FF01CA">
              <w:rPr>
                <w:rFonts w:cstheme="minorHAnsi"/>
                <w:sz w:val="16"/>
                <w:szCs w:val="16"/>
              </w:rPr>
              <w:t xml:space="preserve"> / BiH</w:t>
            </w:r>
          </w:p>
        </w:tc>
        <w:tc>
          <w:tcPr>
            <w:tcW w:w="0" w:type="auto"/>
            <w:vAlign w:val="center"/>
          </w:tcPr>
          <w:p w14:paraId="69CCAC92" w14:textId="399A55BC" w:rsidR="00FF01CA" w:rsidRPr="00FF01CA" w:rsidRDefault="00FF01CA" w:rsidP="00FF01CA">
            <w:pPr>
              <w:tabs>
                <w:tab w:val="left" w:pos="1515"/>
              </w:tabs>
              <w:jc w:val="center"/>
              <w:rPr>
                <w:rFonts w:cstheme="minorHAnsi"/>
                <w:sz w:val="16"/>
                <w:szCs w:val="16"/>
              </w:rPr>
            </w:pPr>
            <w:r w:rsidRPr="00FF01CA">
              <w:rPr>
                <w:rFonts w:cstheme="minorHAnsi"/>
                <w:sz w:val="16"/>
                <w:szCs w:val="16"/>
              </w:rPr>
              <w:t>Hydrology, karst research, data analysis</w:t>
            </w:r>
          </w:p>
        </w:tc>
        <w:tc>
          <w:tcPr>
            <w:tcW w:w="2037" w:type="dxa"/>
            <w:vAlign w:val="center"/>
          </w:tcPr>
          <w:p w14:paraId="6C055EE3" w14:textId="70D7D1C7" w:rsidR="00FF01CA" w:rsidRPr="00FF01CA" w:rsidRDefault="00FF01CA" w:rsidP="00FF01CA">
            <w:pPr>
              <w:tabs>
                <w:tab w:val="left" w:pos="1515"/>
              </w:tabs>
              <w:jc w:val="center"/>
              <w:rPr>
                <w:rFonts w:cstheme="minorHAnsi"/>
                <w:sz w:val="16"/>
                <w:szCs w:val="16"/>
              </w:rPr>
            </w:pPr>
            <w:r w:rsidRPr="00FF01CA">
              <w:rPr>
                <w:rFonts w:cstheme="minorHAnsi"/>
                <w:sz w:val="16"/>
                <w:szCs w:val="16"/>
              </w:rPr>
              <w:t>Technical support to transboundary cooperation</w:t>
            </w:r>
          </w:p>
        </w:tc>
        <w:tc>
          <w:tcPr>
            <w:tcW w:w="1846" w:type="dxa"/>
            <w:vAlign w:val="center"/>
          </w:tcPr>
          <w:p w14:paraId="3A1CA53E" w14:textId="6F003FA4" w:rsidR="00FF01CA" w:rsidRDefault="00FF01CA" w:rsidP="00FF01CA">
            <w:pPr>
              <w:spacing w:line="278" w:lineRule="auto"/>
              <w:jc w:val="center"/>
              <w:rPr>
                <w:rFonts w:cstheme="minorHAnsi"/>
                <w:sz w:val="16"/>
                <w:szCs w:val="16"/>
              </w:rPr>
            </w:pPr>
            <w:r w:rsidRPr="00FF01CA">
              <w:rPr>
                <w:rFonts w:cstheme="minorHAnsi"/>
                <w:sz w:val="16"/>
                <w:szCs w:val="16"/>
              </w:rPr>
              <w:t>Joint studies</w:t>
            </w:r>
          </w:p>
          <w:p w14:paraId="4E377E5B" w14:textId="2EFAB9A8" w:rsidR="00FF01CA" w:rsidRDefault="00FF01CA" w:rsidP="00FF01CA">
            <w:pPr>
              <w:spacing w:line="278" w:lineRule="auto"/>
              <w:jc w:val="center"/>
              <w:rPr>
                <w:rFonts w:cstheme="minorHAnsi"/>
                <w:sz w:val="16"/>
                <w:szCs w:val="16"/>
              </w:rPr>
            </w:pPr>
            <w:r>
              <w:rPr>
                <w:rFonts w:cstheme="minorHAnsi"/>
                <w:sz w:val="16"/>
                <w:szCs w:val="16"/>
              </w:rPr>
              <w:t>M</w:t>
            </w:r>
            <w:r w:rsidRPr="00FF01CA">
              <w:rPr>
                <w:rFonts w:cstheme="minorHAnsi"/>
                <w:sz w:val="16"/>
                <w:szCs w:val="16"/>
              </w:rPr>
              <w:t>ethodology alignment</w:t>
            </w:r>
          </w:p>
          <w:p w14:paraId="4912BD98" w14:textId="07D5179B" w:rsidR="00FF01CA" w:rsidRDefault="00FF01CA" w:rsidP="00FF01CA">
            <w:pPr>
              <w:spacing w:line="278" w:lineRule="auto"/>
              <w:jc w:val="center"/>
              <w:rPr>
                <w:rFonts w:cstheme="minorHAnsi"/>
                <w:sz w:val="16"/>
                <w:szCs w:val="16"/>
              </w:rPr>
            </w:pPr>
            <w:r>
              <w:rPr>
                <w:rFonts w:cstheme="minorHAnsi"/>
                <w:sz w:val="16"/>
                <w:szCs w:val="16"/>
              </w:rPr>
              <w:lastRenderedPageBreak/>
              <w:t>D</w:t>
            </w:r>
            <w:r w:rsidRPr="00FF01CA">
              <w:rPr>
                <w:rFonts w:cstheme="minorHAnsi"/>
                <w:sz w:val="16"/>
                <w:szCs w:val="16"/>
              </w:rPr>
              <w:t>ata interpretation</w:t>
            </w:r>
          </w:p>
          <w:p w14:paraId="2516225A" w14:textId="6BECCCFE" w:rsidR="00FF01CA" w:rsidRPr="00FF01CA" w:rsidRDefault="00FF01CA" w:rsidP="00FF01CA">
            <w:pPr>
              <w:spacing w:line="278" w:lineRule="auto"/>
              <w:jc w:val="center"/>
              <w:rPr>
                <w:rFonts w:cstheme="minorHAnsi"/>
                <w:sz w:val="16"/>
                <w:szCs w:val="16"/>
              </w:rPr>
            </w:pPr>
            <w:r>
              <w:rPr>
                <w:rFonts w:cstheme="minorHAnsi"/>
                <w:sz w:val="16"/>
                <w:szCs w:val="16"/>
              </w:rPr>
              <w:t>T</w:t>
            </w:r>
            <w:r w:rsidRPr="00FF01CA">
              <w:rPr>
                <w:rFonts w:cstheme="minorHAnsi"/>
                <w:sz w:val="16"/>
                <w:szCs w:val="16"/>
              </w:rPr>
              <w:t>echnical training</w:t>
            </w:r>
          </w:p>
        </w:tc>
      </w:tr>
      <w:tr w:rsidR="00FF01CA" w:rsidRPr="00D60A13" w14:paraId="4ED3E3C1" w14:textId="77777777" w:rsidTr="00FF01CA">
        <w:trPr>
          <w:trHeight w:val="498"/>
          <w:tblCellSpacing w:w="15" w:type="dxa"/>
          <w:jc w:val="center"/>
        </w:trPr>
        <w:tc>
          <w:tcPr>
            <w:tcW w:w="0" w:type="auto"/>
            <w:vAlign w:val="center"/>
          </w:tcPr>
          <w:p w14:paraId="206CB01A" w14:textId="4B35B883" w:rsidR="00FF01CA" w:rsidRPr="00FF01CA" w:rsidRDefault="00FF01CA" w:rsidP="00FF01CA">
            <w:pPr>
              <w:tabs>
                <w:tab w:val="left" w:pos="1515"/>
              </w:tabs>
              <w:jc w:val="center"/>
              <w:rPr>
                <w:rFonts w:cstheme="minorHAnsi"/>
                <w:sz w:val="16"/>
                <w:szCs w:val="16"/>
              </w:rPr>
            </w:pPr>
            <w:r w:rsidRPr="00FF01CA">
              <w:rPr>
                <w:rFonts w:cstheme="minorHAnsi"/>
                <w:sz w:val="16"/>
                <w:szCs w:val="16"/>
              </w:rPr>
              <w:lastRenderedPageBreak/>
              <w:t>UNESCO / DIKTAS II Partners</w:t>
            </w:r>
          </w:p>
        </w:tc>
        <w:tc>
          <w:tcPr>
            <w:tcW w:w="0" w:type="auto"/>
            <w:vAlign w:val="center"/>
          </w:tcPr>
          <w:p w14:paraId="04AC9537" w14:textId="66F44424" w:rsidR="00FF01CA" w:rsidRPr="00FF01CA" w:rsidRDefault="00FF01CA" w:rsidP="00FF01CA">
            <w:pPr>
              <w:tabs>
                <w:tab w:val="left" w:pos="1515"/>
              </w:tabs>
              <w:jc w:val="center"/>
              <w:rPr>
                <w:rFonts w:cstheme="minorHAnsi"/>
                <w:sz w:val="16"/>
                <w:szCs w:val="16"/>
              </w:rPr>
            </w:pPr>
            <w:r w:rsidRPr="00FF01CA">
              <w:rPr>
                <w:rFonts w:cstheme="minorHAnsi"/>
                <w:sz w:val="16"/>
                <w:szCs w:val="16"/>
              </w:rPr>
              <w:t>International</w:t>
            </w:r>
          </w:p>
        </w:tc>
        <w:tc>
          <w:tcPr>
            <w:tcW w:w="0" w:type="auto"/>
            <w:vAlign w:val="center"/>
          </w:tcPr>
          <w:p w14:paraId="6BE50232" w14:textId="43E70F04" w:rsidR="00FF01CA" w:rsidRPr="00FF01CA" w:rsidRDefault="00FF01CA" w:rsidP="00FF01CA">
            <w:pPr>
              <w:tabs>
                <w:tab w:val="left" w:pos="1515"/>
              </w:tabs>
              <w:jc w:val="center"/>
              <w:rPr>
                <w:rFonts w:cstheme="minorHAnsi"/>
                <w:sz w:val="16"/>
                <w:szCs w:val="16"/>
              </w:rPr>
            </w:pPr>
            <w:r w:rsidRPr="00FF01CA">
              <w:rPr>
                <w:rFonts w:cstheme="minorHAnsi"/>
                <w:sz w:val="16"/>
                <w:szCs w:val="16"/>
              </w:rPr>
              <w:t>Project coordination, facilitation, technical support</w:t>
            </w:r>
          </w:p>
        </w:tc>
        <w:tc>
          <w:tcPr>
            <w:tcW w:w="2037" w:type="dxa"/>
            <w:vAlign w:val="center"/>
          </w:tcPr>
          <w:p w14:paraId="4B92203D" w14:textId="1237E28D" w:rsidR="00FF01CA" w:rsidRPr="00FF01CA" w:rsidRDefault="00FF01CA" w:rsidP="00FF01CA">
            <w:pPr>
              <w:tabs>
                <w:tab w:val="left" w:pos="1515"/>
              </w:tabs>
              <w:jc w:val="center"/>
              <w:rPr>
                <w:rFonts w:cstheme="minorHAnsi"/>
                <w:sz w:val="16"/>
                <w:szCs w:val="16"/>
              </w:rPr>
            </w:pPr>
            <w:r w:rsidRPr="00FF01CA">
              <w:rPr>
                <w:rFonts w:cstheme="minorHAnsi"/>
                <w:sz w:val="16"/>
                <w:szCs w:val="16"/>
              </w:rPr>
              <w:t>Catalytic role in strengthening cooperation frameworks</w:t>
            </w:r>
          </w:p>
        </w:tc>
        <w:tc>
          <w:tcPr>
            <w:tcW w:w="1846" w:type="dxa"/>
            <w:vAlign w:val="center"/>
          </w:tcPr>
          <w:p w14:paraId="53BC7FB1" w14:textId="3FD269E7" w:rsidR="00FF01CA" w:rsidRDefault="00FF01CA" w:rsidP="00FF01CA">
            <w:pPr>
              <w:spacing w:line="278" w:lineRule="auto"/>
              <w:jc w:val="center"/>
              <w:rPr>
                <w:rFonts w:cstheme="minorHAnsi"/>
                <w:sz w:val="16"/>
                <w:szCs w:val="16"/>
              </w:rPr>
            </w:pPr>
            <w:r w:rsidRPr="00FF01CA">
              <w:rPr>
                <w:rFonts w:cstheme="minorHAnsi"/>
                <w:sz w:val="16"/>
                <w:szCs w:val="16"/>
              </w:rPr>
              <w:t>Support to coordination mechanisms,</w:t>
            </w:r>
          </w:p>
          <w:p w14:paraId="7AA7CAA5" w14:textId="0635A4B4" w:rsidR="00FF01CA" w:rsidRDefault="00FF01CA" w:rsidP="00FF01CA">
            <w:pPr>
              <w:spacing w:line="278" w:lineRule="auto"/>
              <w:jc w:val="center"/>
              <w:rPr>
                <w:rFonts w:cstheme="minorHAnsi"/>
                <w:sz w:val="16"/>
                <w:szCs w:val="16"/>
              </w:rPr>
            </w:pPr>
            <w:r>
              <w:rPr>
                <w:rFonts w:cstheme="minorHAnsi"/>
                <w:sz w:val="16"/>
                <w:szCs w:val="16"/>
              </w:rPr>
              <w:t>D</w:t>
            </w:r>
            <w:r w:rsidRPr="00FF01CA">
              <w:rPr>
                <w:rFonts w:cstheme="minorHAnsi"/>
                <w:sz w:val="16"/>
                <w:szCs w:val="16"/>
              </w:rPr>
              <w:t>evelopment of tools and guidelines</w:t>
            </w:r>
          </w:p>
          <w:p w14:paraId="3FEBA98A" w14:textId="017B84F1" w:rsidR="00FF01CA" w:rsidRPr="00FF01CA" w:rsidRDefault="00FF01CA" w:rsidP="00FF01CA">
            <w:pPr>
              <w:spacing w:line="278" w:lineRule="auto"/>
              <w:jc w:val="center"/>
              <w:rPr>
                <w:rFonts w:cstheme="minorHAnsi"/>
                <w:sz w:val="16"/>
                <w:szCs w:val="16"/>
              </w:rPr>
            </w:pPr>
            <w:r w:rsidRPr="00FF01CA">
              <w:rPr>
                <w:rFonts w:cstheme="minorHAnsi"/>
                <w:sz w:val="16"/>
                <w:szCs w:val="16"/>
              </w:rPr>
              <w:t>facilitation of dialogue and reporting</w:t>
            </w:r>
          </w:p>
        </w:tc>
      </w:tr>
    </w:tbl>
    <w:p w14:paraId="3C1E1A82" w14:textId="77777777" w:rsidR="00104A51" w:rsidRPr="00D60A13" w:rsidRDefault="00104A51" w:rsidP="00104A51">
      <w:pPr>
        <w:jc w:val="both"/>
        <w:rPr>
          <w:rFonts w:ascii="Calibri" w:hAnsi="Calibri" w:cs="Calibri"/>
          <w:b/>
          <w:bCs/>
          <w:color w:val="0070C0"/>
          <w:sz w:val="24"/>
          <w:szCs w:val="24"/>
        </w:rPr>
      </w:pPr>
    </w:p>
    <w:p w14:paraId="08041E64" w14:textId="5CD9F0A3" w:rsidR="00064851" w:rsidRPr="00D60A13" w:rsidRDefault="00104A51" w:rsidP="00064851">
      <w:pPr>
        <w:pStyle w:val="Heading2"/>
        <w:rPr>
          <w:lang w:val="en-GB"/>
        </w:rPr>
      </w:pPr>
      <w:bookmarkStart w:id="282" w:name="_Toc223524363"/>
      <w:bookmarkStart w:id="283" w:name="_Toc229036333"/>
      <w:r w:rsidRPr="00D60A13">
        <w:rPr>
          <w:lang w:val="en-GB"/>
        </w:rPr>
        <w:t>13.</w:t>
      </w:r>
      <w:r w:rsidR="00C53B35">
        <w:rPr>
          <w:lang w:val="en-GB"/>
        </w:rPr>
        <w:t>3</w:t>
      </w:r>
      <w:r w:rsidRPr="00D60A13">
        <w:rPr>
          <w:lang w:val="en-GB"/>
        </w:rPr>
        <w:t xml:space="preserve"> </w:t>
      </w:r>
      <w:r w:rsidR="00064851" w:rsidRPr="00D60A13">
        <w:rPr>
          <w:lang w:val="en-GB"/>
        </w:rPr>
        <w:t>References</w:t>
      </w:r>
      <w:bookmarkEnd w:id="282"/>
      <w:bookmarkEnd w:id="283"/>
      <w:r w:rsidR="00064851" w:rsidRPr="00D60A13">
        <w:rPr>
          <w:lang w:val="en-GB"/>
        </w:rPr>
        <w:tab/>
      </w:r>
    </w:p>
    <w:p w14:paraId="0B515085" w14:textId="5EFDD3E9" w:rsidR="00104A51" w:rsidRPr="00D60A13" w:rsidRDefault="00064851" w:rsidP="00064851">
      <w:pPr>
        <w:pStyle w:val="Heading3"/>
        <w:rPr>
          <w:lang w:val="en-GB"/>
        </w:rPr>
      </w:pPr>
      <w:bookmarkStart w:id="284" w:name="_Toc223524364"/>
      <w:bookmarkStart w:id="285" w:name="_Toc229036334"/>
      <w:r w:rsidRPr="00D60A13">
        <w:rPr>
          <w:lang w:val="en-GB"/>
        </w:rPr>
        <w:t>13.</w:t>
      </w:r>
      <w:r w:rsidR="00C53B35">
        <w:rPr>
          <w:lang w:val="en-GB"/>
        </w:rPr>
        <w:t>3</w:t>
      </w:r>
      <w:r w:rsidRPr="00D60A13">
        <w:rPr>
          <w:lang w:val="en-GB"/>
        </w:rPr>
        <w:t xml:space="preserve">.1 </w:t>
      </w:r>
      <w:r w:rsidR="00104A51" w:rsidRPr="00D60A13">
        <w:rPr>
          <w:lang w:val="en-GB"/>
        </w:rPr>
        <w:t xml:space="preserve">Legal </w:t>
      </w:r>
      <w:r w:rsidR="00881616" w:rsidRPr="00D60A13">
        <w:rPr>
          <w:lang w:val="en-GB"/>
        </w:rPr>
        <w:t>f</w:t>
      </w:r>
      <w:r w:rsidR="00104A51" w:rsidRPr="00D60A13">
        <w:rPr>
          <w:lang w:val="en-GB"/>
        </w:rPr>
        <w:t xml:space="preserve">ramework </w:t>
      </w:r>
      <w:r w:rsidR="00881616" w:rsidRPr="00D60A13">
        <w:rPr>
          <w:lang w:val="en-GB"/>
        </w:rPr>
        <w:t>r</w:t>
      </w:r>
      <w:r w:rsidR="00104A51" w:rsidRPr="00D60A13">
        <w:rPr>
          <w:lang w:val="en-GB"/>
        </w:rPr>
        <w:t>eferences</w:t>
      </w:r>
      <w:bookmarkEnd w:id="284"/>
      <w:bookmarkEnd w:id="285"/>
      <w:r w:rsidR="00104A51" w:rsidRPr="00D60A13">
        <w:rPr>
          <w:lang w:val="en-GB"/>
        </w:rPr>
        <w:t xml:space="preserve"> </w:t>
      </w:r>
    </w:p>
    <w:p w14:paraId="1061D63E" w14:textId="03F5B766" w:rsidR="006C3750" w:rsidRPr="00D60A13" w:rsidRDefault="00104A51" w:rsidP="006C3750">
      <w:pPr>
        <w:spacing w:after="0" w:line="276" w:lineRule="auto"/>
        <w:jc w:val="both"/>
        <w:rPr>
          <w:rFonts w:ascii="Calibri" w:eastAsia="Calibri" w:hAnsi="Calibri" w:cs="Times New Roman"/>
          <w:i/>
          <w:iCs/>
        </w:rPr>
      </w:pPr>
      <w:bookmarkStart w:id="286" w:name="_Hlk218509080"/>
      <w:r w:rsidRPr="00D60A13">
        <w:rPr>
          <w:rFonts w:ascii="Calibri" w:eastAsia="Calibri" w:hAnsi="Calibri" w:cs="Times New Roman"/>
          <w:i/>
          <w:iCs/>
        </w:rPr>
        <w:t xml:space="preserve">I. Policy, </w:t>
      </w:r>
      <w:r w:rsidR="00881616" w:rsidRPr="00D60A13">
        <w:rPr>
          <w:rFonts w:ascii="Calibri" w:eastAsia="Calibri" w:hAnsi="Calibri" w:cs="Times New Roman"/>
          <w:i/>
          <w:iCs/>
        </w:rPr>
        <w:t>l</w:t>
      </w:r>
      <w:r w:rsidRPr="00D60A13">
        <w:rPr>
          <w:rFonts w:ascii="Calibri" w:eastAsia="Calibri" w:hAnsi="Calibri" w:cs="Times New Roman"/>
          <w:i/>
          <w:iCs/>
        </w:rPr>
        <w:t xml:space="preserve">egal and </w:t>
      </w:r>
      <w:r w:rsidR="00881616" w:rsidRPr="00D60A13">
        <w:rPr>
          <w:rFonts w:ascii="Calibri" w:eastAsia="Calibri" w:hAnsi="Calibri" w:cs="Times New Roman"/>
          <w:i/>
          <w:iCs/>
        </w:rPr>
        <w:t>r</w:t>
      </w:r>
      <w:r w:rsidRPr="00D60A13">
        <w:rPr>
          <w:rFonts w:ascii="Calibri" w:eastAsia="Calibri" w:hAnsi="Calibri" w:cs="Times New Roman"/>
          <w:i/>
          <w:iCs/>
        </w:rPr>
        <w:t xml:space="preserve">egulatory </w:t>
      </w:r>
      <w:r w:rsidR="00881616" w:rsidRPr="00D60A13">
        <w:rPr>
          <w:rFonts w:ascii="Calibri" w:eastAsia="Calibri" w:hAnsi="Calibri" w:cs="Times New Roman"/>
          <w:i/>
          <w:iCs/>
        </w:rPr>
        <w:t>f</w:t>
      </w:r>
      <w:r w:rsidRPr="00D60A13">
        <w:rPr>
          <w:rFonts w:ascii="Calibri" w:eastAsia="Calibri" w:hAnsi="Calibri" w:cs="Times New Roman"/>
          <w:i/>
          <w:iCs/>
        </w:rPr>
        <w:t>ramework in Croatia</w:t>
      </w:r>
    </w:p>
    <w:bookmarkEnd w:id="286"/>
    <w:p w14:paraId="68D66A49" w14:textId="77777777" w:rsidR="00104A51" w:rsidRPr="00D60A13" w:rsidRDefault="00104A51" w:rsidP="00104A51">
      <w:pPr>
        <w:numPr>
          <w:ilvl w:val="0"/>
          <w:numId w:val="1"/>
        </w:numPr>
        <w:spacing w:line="276" w:lineRule="auto"/>
        <w:ind w:left="714" w:hanging="357"/>
        <w:contextualSpacing/>
        <w:jc w:val="both"/>
        <w:rPr>
          <w:rFonts w:ascii="Calibri" w:eastAsia="Calibri" w:hAnsi="Calibri" w:cs="Times New Roman"/>
        </w:rPr>
      </w:pPr>
      <w:r w:rsidRPr="00D60A13">
        <w:rPr>
          <w:rFonts w:ascii="Calibri" w:eastAsia="Calibri" w:hAnsi="Calibri" w:cs="Times New Roman"/>
        </w:rPr>
        <w:t>Agriculture Strategy of the Republic of Croatia until 2030, Official Gazette No. 26/2022.</w:t>
      </w:r>
    </w:p>
    <w:p w14:paraId="04B86E28"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Environmental Protection Act, Official Gazette No. 80/2013, 153/2013, 78/2015, 12/2018, 118/2018.</w:t>
      </w:r>
    </w:p>
    <w:p w14:paraId="32669CC5"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Forest Act, Official Gazette No. 68/2018, 115/2018, 98/2019, 32/2020, 145/2020, 101/2023, 36/2024.</w:t>
      </w:r>
    </w:p>
    <w:p w14:paraId="2598F9CD"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Nature Protection Act, Official Gazette No. 80/2013, 15/2018, 14/2019, 127/2019, 155/2023.</w:t>
      </w:r>
    </w:p>
    <w:p w14:paraId="78B3E4D7"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Regulation on the Ecological Network (Natura 2000), Official Gazette No. 124/2013.</w:t>
      </w:r>
    </w:p>
    <w:p w14:paraId="285F153A"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Regulation on Emission Limit Values for Wastewater, Official Gazette No. 26/2020.</w:t>
      </w:r>
    </w:p>
    <w:p w14:paraId="62BE1521"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Regulation on Water Quality Standards, Official Gazette No. 96/2019, 20/2023, 50/2023.</w:t>
      </w:r>
    </w:p>
    <w:p w14:paraId="313D82A2"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Regulation on Water Service Pricing Methodology, Official Gazette No. 70/2023.</w:t>
      </w:r>
    </w:p>
    <w:p w14:paraId="1FC94D0E"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River Basin Management Plan of the Republic of Croatia until 2027, Official Gazette No. 84/2023.</w:t>
      </w:r>
    </w:p>
    <w:p w14:paraId="089DE183"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Rulebook on Conditions for Establishing Sanitary Protection Zones of Water Sources, Official Gazette No. 66/2011, 47/2013.</w:t>
      </w:r>
    </w:p>
    <w:p w14:paraId="2BE126BF"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Rulebook on Conformity Parameters, Analytical Methods, and Monitoring of Water Intended for Human Consumption, Official Gazette No. 64/2023, 88/2023.</w:t>
      </w:r>
    </w:p>
    <w:p w14:paraId="77984427"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Rulebook on Technical Requirements for Drainage Structures, Official Gazette No. 3/2011.</w:t>
      </w:r>
    </w:p>
    <w:p w14:paraId="277B730C"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Rulebook on the Issuance of Water Acts, Official Gazette No. 9/2020, 39/2022.</w:t>
      </w:r>
    </w:p>
    <w:p w14:paraId="45F955F8"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Rulebook on Water Sampling and Testing, Official Gazette No. 125/2017.</w:t>
      </w:r>
    </w:p>
    <w:p w14:paraId="0963F74B"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Spatial Development Strategy of the Republic of Croatia, Official Gazette No. 106/2017.</w:t>
      </w:r>
    </w:p>
    <w:p w14:paraId="5B12B6CF"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Sustainable Tourism Development Strategy of the Republic of Croatia until 2030, Official Gazette No. 2/2023.</w:t>
      </w:r>
    </w:p>
    <w:p w14:paraId="77FC16BC"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Transport Development Strategy of the Republic of Croatia 2017–2030, Official Gazette No. 84/2017.</w:t>
      </w:r>
    </w:p>
    <w:p w14:paraId="1D012DF3"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Waste Management Act, Official Gazette No. 84/2021.</w:t>
      </w:r>
    </w:p>
    <w:p w14:paraId="514C7C4C"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lastRenderedPageBreak/>
        <w:t>Waste Management Plan of the Republic of Croatia for the Period 2023–2028, Official Gazette No. 84/2023.</w:t>
      </w:r>
    </w:p>
    <w:p w14:paraId="7E495236"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Water Act, Official Gazette No. 66/2019, 84/2021, 47/2023.</w:t>
      </w:r>
    </w:p>
    <w:p w14:paraId="5DE3E351"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Water for Human Consumption Act, Official Gazette No. 30/2023.</w:t>
      </w:r>
    </w:p>
    <w:p w14:paraId="0A948474"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Water Management Financing Act, Official Gazette No. 153/2009, 90/2011, 56/2013, 154/2014, 119/2015, 120/2016, 127/2017, 66/2019, 36/2024.</w:t>
      </w:r>
    </w:p>
    <w:p w14:paraId="7EAA0A70"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Water Management Strategy of the Republic of Croatia, Official Gazette No. 91/2008.</w:t>
      </w:r>
    </w:p>
    <w:p w14:paraId="5C5F62A5" w14:textId="77777777" w:rsidR="00104A51" w:rsidRPr="00D60A13" w:rsidRDefault="00104A51" w:rsidP="00104A51">
      <w:pPr>
        <w:numPr>
          <w:ilvl w:val="0"/>
          <w:numId w:val="1"/>
        </w:numPr>
        <w:spacing w:line="276" w:lineRule="auto"/>
        <w:contextualSpacing/>
        <w:jc w:val="both"/>
        <w:rPr>
          <w:rFonts w:ascii="Calibri" w:eastAsia="Calibri" w:hAnsi="Calibri" w:cs="Times New Roman"/>
        </w:rPr>
      </w:pPr>
      <w:r w:rsidRPr="00D60A13">
        <w:rPr>
          <w:rFonts w:ascii="Calibri" w:eastAsia="Calibri" w:hAnsi="Calibri" w:cs="Times New Roman"/>
        </w:rPr>
        <w:t>Water Services Act, Official Gazette No. 66/2019, 84/2021, 47/2023, 110/2024.</w:t>
      </w:r>
    </w:p>
    <w:p w14:paraId="20872DCA" w14:textId="5587978B" w:rsidR="00104A51" w:rsidRPr="00D60A13" w:rsidRDefault="00104A51" w:rsidP="00104A51">
      <w:pPr>
        <w:pStyle w:val="NoSpacing"/>
        <w:rPr>
          <w:rFonts w:ascii="Calibri" w:hAnsi="Calibri" w:cs="Calibri"/>
          <w:i/>
          <w:iCs/>
          <w:sz w:val="22"/>
          <w:szCs w:val="22"/>
          <w:lang w:val="en-GB"/>
        </w:rPr>
      </w:pPr>
      <w:bookmarkStart w:id="287" w:name="_Hlk218509722"/>
      <w:r w:rsidRPr="00D60A13">
        <w:rPr>
          <w:rFonts w:ascii="Calibri" w:hAnsi="Calibri" w:cs="Calibri"/>
          <w:i/>
          <w:iCs/>
          <w:sz w:val="22"/>
          <w:szCs w:val="22"/>
          <w:lang w:val="en-GB"/>
        </w:rPr>
        <w:t xml:space="preserve">II. Policy, </w:t>
      </w:r>
      <w:r w:rsidR="00881616" w:rsidRPr="00D60A13">
        <w:rPr>
          <w:rFonts w:ascii="Calibri" w:hAnsi="Calibri" w:cs="Calibri"/>
          <w:i/>
          <w:iCs/>
          <w:sz w:val="22"/>
          <w:szCs w:val="22"/>
          <w:lang w:val="en-GB"/>
        </w:rPr>
        <w:t>l</w:t>
      </w:r>
      <w:r w:rsidRPr="00D60A13">
        <w:rPr>
          <w:rFonts w:ascii="Calibri" w:hAnsi="Calibri" w:cs="Calibri"/>
          <w:i/>
          <w:iCs/>
          <w:sz w:val="22"/>
          <w:szCs w:val="22"/>
          <w:lang w:val="en-GB"/>
        </w:rPr>
        <w:t xml:space="preserve">egal and </w:t>
      </w:r>
      <w:r w:rsidR="00881616" w:rsidRPr="00D60A13">
        <w:rPr>
          <w:rFonts w:ascii="Calibri" w:hAnsi="Calibri" w:cs="Calibri"/>
          <w:i/>
          <w:iCs/>
          <w:sz w:val="22"/>
          <w:szCs w:val="22"/>
          <w:lang w:val="en-GB"/>
        </w:rPr>
        <w:t>r</w:t>
      </w:r>
      <w:r w:rsidRPr="00D60A13">
        <w:rPr>
          <w:rFonts w:ascii="Calibri" w:hAnsi="Calibri" w:cs="Calibri"/>
          <w:i/>
          <w:iCs/>
          <w:sz w:val="22"/>
          <w:szCs w:val="22"/>
          <w:lang w:val="en-GB"/>
        </w:rPr>
        <w:t xml:space="preserve">egulatory </w:t>
      </w:r>
      <w:r w:rsidR="00881616" w:rsidRPr="00D60A13">
        <w:rPr>
          <w:rFonts w:ascii="Calibri" w:hAnsi="Calibri" w:cs="Calibri"/>
          <w:i/>
          <w:iCs/>
          <w:sz w:val="22"/>
          <w:szCs w:val="22"/>
          <w:lang w:val="en-GB"/>
        </w:rPr>
        <w:t>f</w:t>
      </w:r>
      <w:r w:rsidRPr="00D60A13">
        <w:rPr>
          <w:rFonts w:ascii="Calibri" w:hAnsi="Calibri" w:cs="Calibri"/>
          <w:i/>
          <w:iCs/>
          <w:sz w:val="22"/>
          <w:szCs w:val="22"/>
          <w:lang w:val="en-GB"/>
        </w:rPr>
        <w:t>ramework in Bosnia and Herzegovina</w:t>
      </w:r>
    </w:p>
    <w:bookmarkEnd w:id="287"/>
    <w:p w14:paraId="7CF465A3" w14:textId="77777777" w:rsidR="00104A51" w:rsidRPr="00D60A13" w:rsidRDefault="00104A51" w:rsidP="006C3750">
      <w:pPr>
        <w:pStyle w:val="NormalWeb"/>
        <w:numPr>
          <w:ilvl w:val="0"/>
          <w:numId w:val="13"/>
        </w:numPr>
        <w:spacing w:before="0" w:beforeAutospacing="0" w:after="0" w:afterAutospacing="0" w:line="259" w:lineRule="auto"/>
        <w:ind w:left="782" w:hanging="357"/>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Agriculture and Rural Development Strategy of the Federation of Bosnia and Herzegovina 2021–2027, Official Gazette of the Federation of BiH No. 52/24.</w:t>
      </w:r>
    </w:p>
    <w:p w14:paraId="46EC1474"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Agriculture and Rural Development Strategy of the Republic of Srpska 2021–2027, Official Gazette of the Republic of Srpska No. 123/21.</w:t>
      </w:r>
    </w:p>
    <w:p w14:paraId="69D971E4"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Decision on the Characterization of Surface and Groundwater, Reference Conditions and Parameters for Assessing the Status of Water, and Water Monitoring, Official Gazette of the Federation of BiH No. 1/14.</w:t>
      </w:r>
    </w:p>
    <w:p w14:paraId="55F32A2B"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Decision on the Adoption of the Strategy of Integral Water Management of the Republic of Srpska 2015–2024. Official Gazette of the Republic of Srpska 17/16 (18 February 2016).</w:t>
      </w:r>
    </w:p>
    <w:p w14:paraId="6CA59480"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Energy Development Strategy of the Federation of Bosnia and Herzegovina until 2035, Official Gazette of the Federation of BiH No. 28/20 (2020).</w:t>
      </w:r>
    </w:p>
    <w:p w14:paraId="273EED62"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Energy Development Strategy of the Republic of Srpska until 2035, Official Gazette of RS No. 49/09.</w:t>
      </w:r>
    </w:p>
    <w:p w14:paraId="34259E3F"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Environmental Protection Strategy of the Republic of Srpska 2022–2032, Official Gazette of RS No. 96/22.</w:t>
      </w:r>
    </w:p>
    <w:p w14:paraId="2234A1F8" w14:textId="331EAEC6"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 xml:space="preserve">Law on Environmental Protection, Official Gazette of the </w:t>
      </w:r>
      <w:r w:rsidR="007B48DF" w:rsidRPr="00D60A13">
        <w:rPr>
          <w:rStyle w:val="Strong"/>
          <w:rFonts w:ascii="Calibri" w:eastAsiaTheme="majorEastAsia" w:hAnsi="Calibri" w:cs="Calibri"/>
          <w:b w:val="0"/>
          <w:bCs w:val="0"/>
          <w:sz w:val="22"/>
          <w:szCs w:val="22"/>
        </w:rPr>
        <w:t>Federation of BiH</w:t>
      </w:r>
      <w:r w:rsidRPr="00D60A13">
        <w:rPr>
          <w:rStyle w:val="Strong"/>
          <w:rFonts w:ascii="Calibri" w:eastAsiaTheme="majorEastAsia" w:hAnsi="Calibri" w:cs="Calibri"/>
          <w:b w:val="0"/>
          <w:bCs w:val="0"/>
          <w:sz w:val="22"/>
          <w:szCs w:val="22"/>
        </w:rPr>
        <w:t>, No. 33/03 and 38/09.</w:t>
      </w:r>
    </w:p>
    <w:p w14:paraId="58365AB8"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Law on Environmental Protection, Official Gazette of the Republic of Srpska, No. 71/12, 79/15, 70/20 – consolidated text.</w:t>
      </w:r>
    </w:p>
    <w:p w14:paraId="38432474"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Law on Spatial Planning and Construction of the Republic of Srpska, Official Gazette of the Republic of Srpska No. 40/13.</w:t>
      </w:r>
    </w:p>
    <w:p w14:paraId="02DA474B" w14:textId="26234776"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 xml:space="preserve">Law on Spatial Planning and Land Use of the </w:t>
      </w:r>
      <w:r w:rsidR="007B48DF" w:rsidRPr="00D60A13">
        <w:rPr>
          <w:rStyle w:val="Strong"/>
          <w:rFonts w:ascii="Calibri" w:eastAsiaTheme="majorEastAsia" w:hAnsi="Calibri" w:cs="Calibri"/>
          <w:b w:val="0"/>
          <w:bCs w:val="0"/>
          <w:sz w:val="22"/>
          <w:szCs w:val="22"/>
        </w:rPr>
        <w:t>Federation of BiH</w:t>
      </w:r>
      <w:r w:rsidRPr="00D60A13">
        <w:rPr>
          <w:rStyle w:val="Strong"/>
          <w:rFonts w:ascii="Calibri" w:eastAsiaTheme="majorEastAsia" w:hAnsi="Calibri" w:cs="Calibri"/>
          <w:b w:val="0"/>
          <w:bCs w:val="0"/>
          <w:sz w:val="22"/>
          <w:szCs w:val="22"/>
        </w:rPr>
        <w:t>, Official Gazette of the Federation of BiH No. 2/06, 72/07, 32/08, 4/10, 13/10, 45/10, 85/21, 92/21, 72/24.</w:t>
      </w:r>
    </w:p>
    <w:p w14:paraId="0AEDB0DC"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Regulation on Amendments and Supplements to the Regulation on Conditions for Discharge of Wastewater into the Environment and Public Sewerage Systems, Official Gazette of the Federation of BiH No. 01/24.</w:t>
      </w:r>
    </w:p>
    <w:p w14:paraId="5BA6ACA2"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Regulation on the Characterization of Surface and Groundwater, Reference Conditions and Parameters for Assessing Water Status and Monitoring, Official Gazette of the Republic of Srpska No. 1/14.</w:t>
      </w:r>
    </w:p>
    <w:p w14:paraId="2439A2FA" w14:textId="1E67D50B"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 xml:space="preserve">Regulation on the Classification of Waters and Categorization of Watercourses, Official Gazette of </w:t>
      </w:r>
      <w:r w:rsidR="007B48DF" w:rsidRPr="00D60A13">
        <w:rPr>
          <w:rStyle w:val="Strong"/>
          <w:rFonts w:ascii="Calibri" w:eastAsiaTheme="majorEastAsia" w:hAnsi="Calibri" w:cs="Calibri"/>
          <w:b w:val="0"/>
          <w:bCs w:val="0"/>
          <w:sz w:val="22"/>
          <w:szCs w:val="22"/>
        </w:rPr>
        <w:t>Federation of BiH</w:t>
      </w:r>
      <w:r w:rsidRPr="00D60A13">
        <w:rPr>
          <w:rStyle w:val="Strong"/>
          <w:rFonts w:ascii="Calibri" w:eastAsiaTheme="majorEastAsia" w:hAnsi="Calibri" w:cs="Calibri"/>
          <w:b w:val="0"/>
          <w:bCs w:val="0"/>
          <w:sz w:val="22"/>
          <w:szCs w:val="22"/>
        </w:rPr>
        <w:t xml:space="preserve"> No. 18/99.</w:t>
      </w:r>
    </w:p>
    <w:p w14:paraId="522E1D19"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Regulation on the Classification of Waters and Categorization of Watercourses, Official Gazette of the Republic of Srpska No. 42/01.</w:t>
      </w:r>
    </w:p>
    <w:p w14:paraId="6C9F4593" w14:textId="560890B3" w:rsidR="007B48DF" w:rsidRPr="00D60A13" w:rsidRDefault="007B48DF" w:rsidP="007B48DF">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Regulation on the Conditions for Discharging Wastewater into the Environment and Public Sewerage Systems, Official Gazette of the Federation of BiH No. 101/2015.</w:t>
      </w:r>
    </w:p>
    <w:p w14:paraId="4E1F1E79" w14:textId="3B69D0B0"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lastRenderedPageBreak/>
        <w:t xml:space="preserve">River Basin Management Plan for the Adriatic Sea Basin in the </w:t>
      </w:r>
      <w:r w:rsidR="007B48DF" w:rsidRPr="00D60A13">
        <w:rPr>
          <w:rStyle w:val="Strong"/>
          <w:rFonts w:ascii="Calibri" w:eastAsiaTheme="majorEastAsia" w:hAnsi="Calibri" w:cs="Calibri"/>
          <w:b w:val="0"/>
          <w:bCs w:val="0"/>
          <w:sz w:val="22"/>
          <w:szCs w:val="22"/>
        </w:rPr>
        <w:t>Federation of BiH</w:t>
      </w:r>
      <w:r w:rsidRPr="00D60A13">
        <w:rPr>
          <w:rStyle w:val="Strong"/>
          <w:rFonts w:ascii="Calibri" w:eastAsiaTheme="majorEastAsia" w:hAnsi="Calibri" w:cs="Calibri"/>
          <w:b w:val="0"/>
          <w:bCs w:val="0"/>
          <w:sz w:val="22"/>
          <w:szCs w:val="22"/>
        </w:rPr>
        <w:t xml:space="preserve"> (2022–2027).</w:t>
      </w:r>
      <w:r w:rsidR="007B48DF" w:rsidRPr="00D60A13">
        <w:rPr>
          <w:rStyle w:val="Strong"/>
          <w:rFonts w:ascii="Calibri" w:eastAsiaTheme="majorEastAsia" w:hAnsi="Calibri" w:cs="Calibri"/>
          <w:b w:val="0"/>
          <w:bCs w:val="0"/>
          <w:sz w:val="22"/>
          <w:szCs w:val="22"/>
        </w:rPr>
        <w:t xml:space="preserve"> </w:t>
      </w:r>
    </w:p>
    <w:p w14:paraId="1AE0F25C"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River Basin Management Plan for the Sava River Basin in the Republic of Srpska 2016–2021.</w:t>
      </w:r>
    </w:p>
    <w:p w14:paraId="42BE6433" w14:textId="0A52DE75"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 xml:space="preserve">River Basin Management Plan for the Sava River Basin in the </w:t>
      </w:r>
      <w:r w:rsidR="007B48DF" w:rsidRPr="00D60A13">
        <w:rPr>
          <w:rStyle w:val="Strong"/>
          <w:rFonts w:ascii="Calibri" w:eastAsiaTheme="majorEastAsia" w:hAnsi="Calibri" w:cs="Calibri"/>
          <w:b w:val="0"/>
          <w:bCs w:val="0"/>
          <w:sz w:val="22"/>
          <w:szCs w:val="22"/>
        </w:rPr>
        <w:t xml:space="preserve">Federation of BiH </w:t>
      </w:r>
      <w:r w:rsidRPr="00D60A13">
        <w:rPr>
          <w:rStyle w:val="Strong"/>
          <w:rFonts w:ascii="Calibri" w:eastAsiaTheme="majorEastAsia" w:hAnsi="Calibri" w:cs="Calibri"/>
          <w:b w:val="0"/>
          <w:bCs w:val="0"/>
          <w:sz w:val="22"/>
          <w:szCs w:val="22"/>
        </w:rPr>
        <w:t>(2022–2027).</w:t>
      </w:r>
    </w:p>
    <w:p w14:paraId="1D16DBE2"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 xml:space="preserve">River Basin Management Plan for the </w:t>
      </w:r>
      <w:proofErr w:type="spellStart"/>
      <w:r w:rsidRPr="00D60A13">
        <w:rPr>
          <w:rStyle w:val="Strong"/>
          <w:rFonts w:ascii="Calibri" w:eastAsiaTheme="majorEastAsia" w:hAnsi="Calibri" w:cs="Calibri"/>
          <w:b w:val="0"/>
          <w:bCs w:val="0"/>
          <w:sz w:val="22"/>
          <w:szCs w:val="22"/>
        </w:rPr>
        <w:t>Trebišnjica</w:t>
      </w:r>
      <w:proofErr w:type="spellEnd"/>
      <w:r w:rsidRPr="00D60A13">
        <w:rPr>
          <w:rStyle w:val="Strong"/>
          <w:rFonts w:ascii="Calibri" w:eastAsiaTheme="majorEastAsia" w:hAnsi="Calibri" w:cs="Calibri"/>
          <w:b w:val="0"/>
          <w:bCs w:val="0"/>
          <w:sz w:val="22"/>
          <w:szCs w:val="22"/>
        </w:rPr>
        <w:t>/Adriatic Basin in the Republic of Srpska 2016–2021.</w:t>
      </w:r>
    </w:p>
    <w:p w14:paraId="10FE4166" w14:textId="3627C1A5"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 xml:space="preserve">Rulebook on the Classification of Waters and Categorization of Watercourses, Official Gazette of the </w:t>
      </w:r>
      <w:r w:rsidR="007B48DF" w:rsidRPr="00D60A13">
        <w:rPr>
          <w:rStyle w:val="Strong"/>
          <w:rFonts w:ascii="Calibri" w:eastAsiaTheme="majorEastAsia" w:hAnsi="Calibri" w:cs="Calibri"/>
          <w:b w:val="0"/>
          <w:bCs w:val="0"/>
          <w:sz w:val="22"/>
          <w:szCs w:val="22"/>
        </w:rPr>
        <w:t xml:space="preserve">Federation of BiH </w:t>
      </w:r>
      <w:r w:rsidRPr="00D60A13">
        <w:rPr>
          <w:rStyle w:val="Strong"/>
          <w:rFonts w:ascii="Calibri" w:eastAsiaTheme="majorEastAsia" w:hAnsi="Calibri" w:cs="Calibri"/>
          <w:b w:val="0"/>
          <w:bCs w:val="0"/>
          <w:sz w:val="22"/>
          <w:szCs w:val="22"/>
        </w:rPr>
        <w:t>No. 18/99.</w:t>
      </w:r>
    </w:p>
    <w:p w14:paraId="2A4E9130"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Rulebook on Conditions for Discharge of Wastewater into Surface Waters, Official Gazette of the Republic of Srpska No. 44/01.</w:t>
      </w:r>
    </w:p>
    <w:p w14:paraId="0386E867" w14:textId="3CEE10C2" w:rsidR="007B48DF" w:rsidRPr="00D60A13" w:rsidRDefault="007B48DF"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Rulebook on the Conditions for Discharging Wastewater into the Environment and Public Sewage Systems, Official Gazette of Federation of BiH, No. 26/20 and 96/20.</w:t>
      </w:r>
    </w:p>
    <w:p w14:paraId="7E93C1C7" w14:textId="3DA6EF49" w:rsidR="007B48DF" w:rsidRPr="00D60A13" w:rsidRDefault="00104A51" w:rsidP="007B48DF">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Rulebook on Determining Areas Prone to Eutrophication and Sensitive to Nitrates, Official Gazette of the Federation of BiH No. 71/09.</w:t>
      </w:r>
    </w:p>
    <w:p w14:paraId="5298EF25"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Rulebook on Measures of Protection, Method of Determining and Maintaining Sanitary Protection Zones of Water Sources and Facilities, Official Gazette of the Republic of Srpska No. 7/03.</w:t>
      </w:r>
    </w:p>
    <w:p w14:paraId="501B470A"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Rulebook on Monitoring in Areas Prone to Eutrophication and Sensitive to Nitrates, Official Gazette of the Federation of BiH No. 71/09.</w:t>
      </w:r>
    </w:p>
    <w:p w14:paraId="41813A5A"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Rulebook on Monitoring of Surface and Groundwater (FBiH), Official Gazette of the Federation of BiH No. 71/09.</w:t>
      </w:r>
    </w:p>
    <w:p w14:paraId="15A861DE"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Rulebook on the Method of Determining Conditions for Establishing Sanitary Protection Zones and Protective Measures for Water Sources for Public Water Supply of the Population, Official Gazette of the Federation of BiH No. 88/12.</w:t>
      </w:r>
    </w:p>
    <w:p w14:paraId="77BF4CF3"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Rulebook on the Treatment and Drainage of Wastewater for Urban Areas and Settlements without Public Sewerage Systems, Official Gazette of the Republic of Srpska No. 68/01.</w:t>
      </w:r>
    </w:p>
    <w:p w14:paraId="00F7F52D" w14:textId="28543C7C"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 xml:space="preserve">Tourism Development Strategy of the </w:t>
      </w:r>
      <w:r w:rsidR="007B48DF" w:rsidRPr="00D60A13">
        <w:rPr>
          <w:rStyle w:val="Strong"/>
          <w:rFonts w:ascii="Calibri" w:eastAsiaTheme="majorEastAsia" w:hAnsi="Calibri" w:cs="Calibri"/>
          <w:b w:val="0"/>
          <w:bCs w:val="0"/>
          <w:sz w:val="22"/>
          <w:szCs w:val="22"/>
        </w:rPr>
        <w:t xml:space="preserve">Federation of BiH </w:t>
      </w:r>
      <w:r w:rsidRPr="00D60A13">
        <w:rPr>
          <w:rStyle w:val="Strong"/>
          <w:rFonts w:ascii="Calibri" w:eastAsiaTheme="majorEastAsia" w:hAnsi="Calibri" w:cs="Calibri"/>
          <w:b w:val="0"/>
          <w:bCs w:val="0"/>
          <w:sz w:val="22"/>
          <w:szCs w:val="22"/>
        </w:rPr>
        <w:t>2022–2027, Official Gazette of the Federation of BiH No. 88/23.</w:t>
      </w:r>
    </w:p>
    <w:p w14:paraId="43856C3B"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Tourism Development Strategy of the Republic of Srpska 2021–2027, Official Gazette of RS No. 119/21.</w:t>
      </w:r>
    </w:p>
    <w:p w14:paraId="7095E5B4" w14:textId="02499B8B"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 xml:space="preserve">Water Management Strategy of the </w:t>
      </w:r>
      <w:r w:rsidR="007B48DF" w:rsidRPr="00D60A13">
        <w:rPr>
          <w:rStyle w:val="Strong"/>
          <w:rFonts w:ascii="Calibri" w:eastAsiaTheme="majorEastAsia" w:hAnsi="Calibri" w:cs="Calibri"/>
          <w:b w:val="0"/>
          <w:bCs w:val="0"/>
          <w:sz w:val="22"/>
          <w:szCs w:val="22"/>
        </w:rPr>
        <w:t xml:space="preserve">Federation of BiH </w:t>
      </w:r>
      <w:r w:rsidRPr="00D60A13">
        <w:rPr>
          <w:rStyle w:val="Strong"/>
          <w:rFonts w:ascii="Calibri" w:eastAsiaTheme="majorEastAsia" w:hAnsi="Calibri" w:cs="Calibri"/>
          <w:b w:val="0"/>
          <w:bCs w:val="0"/>
          <w:sz w:val="22"/>
          <w:szCs w:val="22"/>
        </w:rPr>
        <w:t>2022–2032, Official Gazette of the Federation of BiH No. 9/23.</w:t>
      </w:r>
    </w:p>
    <w:p w14:paraId="419A20A1"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Water Strategy of the Federation of BiH, Government of FBiH, 2012.</w:t>
      </w:r>
    </w:p>
    <w:p w14:paraId="50E28C3D" w14:textId="77777777" w:rsidR="00104A51" w:rsidRPr="00D60A13" w:rsidRDefault="00104A51" w:rsidP="00104A51">
      <w:pPr>
        <w:pStyle w:val="NormalWeb"/>
        <w:numPr>
          <w:ilvl w:val="0"/>
          <w:numId w:val="13"/>
        </w:numPr>
        <w:spacing w:after="0" w:line="276" w:lineRule="auto"/>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Water Law of the Federation of BiH, Official Gazette No. 70/06, 01/12, 70/20.</w:t>
      </w:r>
    </w:p>
    <w:p w14:paraId="205FDA2F" w14:textId="69B72FA6" w:rsidR="006C3750" w:rsidRPr="00D60A13" w:rsidRDefault="00104A51" w:rsidP="006C3750">
      <w:pPr>
        <w:pStyle w:val="NormalWeb"/>
        <w:numPr>
          <w:ilvl w:val="0"/>
          <w:numId w:val="13"/>
        </w:numPr>
        <w:spacing w:before="0" w:beforeAutospacing="0" w:after="0" w:afterAutospacing="0" w:line="259" w:lineRule="auto"/>
        <w:ind w:left="782" w:hanging="357"/>
        <w:jc w:val="both"/>
        <w:rPr>
          <w:rStyle w:val="Strong"/>
          <w:rFonts w:ascii="Calibri" w:eastAsiaTheme="majorEastAsia" w:hAnsi="Calibri" w:cs="Calibri"/>
          <w:b w:val="0"/>
          <w:bCs w:val="0"/>
          <w:sz w:val="22"/>
          <w:szCs w:val="22"/>
        </w:rPr>
      </w:pPr>
      <w:r w:rsidRPr="00D60A13">
        <w:rPr>
          <w:rStyle w:val="Strong"/>
          <w:rFonts w:ascii="Calibri" w:eastAsiaTheme="majorEastAsia" w:hAnsi="Calibri" w:cs="Calibri"/>
          <w:b w:val="0"/>
          <w:bCs w:val="0"/>
          <w:sz w:val="22"/>
          <w:szCs w:val="22"/>
        </w:rPr>
        <w:t>Water Law of the Republic of Srpska (Official Gazette No. 50/06, 92/09, 121/12, 39/13, 44/15, 19/16, 1/20.</w:t>
      </w:r>
    </w:p>
    <w:p w14:paraId="65A6DF89" w14:textId="77777777" w:rsidR="006C3750" w:rsidRPr="00D60A13" w:rsidRDefault="006C3750" w:rsidP="006C3750">
      <w:pPr>
        <w:pStyle w:val="NormalWeb"/>
        <w:spacing w:before="0" w:beforeAutospacing="0" w:after="0" w:afterAutospacing="0" w:line="259" w:lineRule="auto"/>
        <w:ind w:left="425"/>
        <w:jc w:val="both"/>
        <w:rPr>
          <w:rFonts w:ascii="Calibri" w:eastAsiaTheme="majorEastAsia" w:hAnsi="Calibri" w:cs="Calibri"/>
          <w:sz w:val="22"/>
          <w:szCs w:val="22"/>
        </w:rPr>
      </w:pPr>
    </w:p>
    <w:p w14:paraId="70A5F961" w14:textId="6FE43554" w:rsidR="00104A51" w:rsidRPr="00D60A13" w:rsidRDefault="00104A51" w:rsidP="006C3750">
      <w:pPr>
        <w:spacing w:after="0"/>
        <w:jc w:val="both"/>
        <w:rPr>
          <w:rFonts w:ascii="Calibri" w:hAnsi="Calibri" w:cs="Calibri"/>
          <w:i/>
          <w:iCs/>
        </w:rPr>
      </w:pPr>
      <w:r w:rsidRPr="00D60A13">
        <w:rPr>
          <w:rFonts w:ascii="Calibri" w:hAnsi="Calibri" w:cs="Calibri"/>
          <w:i/>
          <w:iCs/>
        </w:rPr>
        <w:t xml:space="preserve">III. International </w:t>
      </w:r>
      <w:r w:rsidR="00881616" w:rsidRPr="00D60A13">
        <w:rPr>
          <w:rFonts w:ascii="Calibri" w:hAnsi="Calibri" w:cs="Calibri"/>
          <w:i/>
          <w:iCs/>
        </w:rPr>
        <w:t>l</w:t>
      </w:r>
      <w:r w:rsidRPr="00D60A13">
        <w:rPr>
          <w:rFonts w:ascii="Calibri" w:hAnsi="Calibri" w:cs="Calibri"/>
          <w:i/>
          <w:iCs/>
        </w:rPr>
        <w:t xml:space="preserve">aws, </w:t>
      </w:r>
      <w:r w:rsidR="00881616" w:rsidRPr="00D60A13">
        <w:rPr>
          <w:rFonts w:ascii="Calibri" w:hAnsi="Calibri" w:cs="Calibri"/>
          <w:i/>
          <w:iCs/>
        </w:rPr>
        <w:t>c</w:t>
      </w:r>
      <w:r w:rsidRPr="00D60A13">
        <w:rPr>
          <w:rFonts w:ascii="Calibri" w:hAnsi="Calibri" w:cs="Calibri"/>
          <w:i/>
          <w:iCs/>
        </w:rPr>
        <w:t xml:space="preserve">ontracts and </w:t>
      </w:r>
      <w:r w:rsidR="00881616" w:rsidRPr="00D60A13">
        <w:rPr>
          <w:rFonts w:ascii="Calibri" w:hAnsi="Calibri" w:cs="Calibri"/>
          <w:i/>
          <w:iCs/>
        </w:rPr>
        <w:t>a</w:t>
      </w:r>
      <w:r w:rsidRPr="00D60A13">
        <w:rPr>
          <w:rFonts w:ascii="Calibri" w:hAnsi="Calibri" w:cs="Calibri"/>
          <w:i/>
          <w:iCs/>
        </w:rPr>
        <w:t>greements, EU directives</w:t>
      </w:r>
    </w:p>
    <w:p w14:paraId="2A5CF91F" w14:textId="77777777" w:rsidR="00104A51" w:rsidRPr="00D60A13" w:rsidRDefault="00104A51" w:rsidP="00104A51">
      <w:pPr>
        <w:pStyle w:val="ListParagraph"/>
        <w:numPr>
          <w:ilvl w:val="0"/>
          <w:numId w:val="2"/>
        </w:numPr>
        <w:spacing w:line="276" w:lineRule="auto"/>
        <w:jc w:val="both"/>
        <w:rPr>
          <w:rFonts w:ascii="Calibri" w:hAnsi="Calibri" w:cs="Calibri"/>
        </w:rPr>
      </w:pPr>
      <w:r w:rsidRPr="00D60A13">
        <w:rPr>
          <w:rFonts w:ascii="Calibri" w:hAnsi="Calibri" w:cs="Calibri"/>
        </w:rPr>
        <w:t>Barcelona Convention – Convention for the Protection of the Marine Environment and the Coastal Region of the Mediterranean (1976, revised 1995), International Contracts, Official Gazette No. 17/1998.</w:t>
      </w:r>
    </w:p>
    <w:p w14:paraId="4BCDEFE8" w14:textId="77777777" w:rsidR="00104A51" w:rsidRPr="00D60A13" w:rsidRDefault="00104A51" w:rsidP="00104A51">
      <w:pPr>
        <w:pStyle w:val="ListParagraph"/>
        <w:numPr>
          <w:ilvl w:val="0"/>
          <w:numId w:val="2"/>
        </w:numPr>
        <w:spacing w:line="276" w:lineRule="auto"/>
        <w:jc w:val="both"/>
        <w:rPr>
          <w:rFonts w:ascii="Calibri" w:hAnsi="Calibri" w:cs="Calibri"/>
        </w:rPr>
      </w:pPr>
      <w:r w:rsidRPr="00D60A13">
        <w:rPr>
          <w:rFonts w:ascii="Calibri" w:hAnsi="Calibri" w:cs="Calibri"/>
        </w:rPr>
        <w:t>Contract between the Government of the Republic of Croatia and the Government of Bosnia and Herzegovina on Water Management Relations (Dubrovnik, 1996), International Contracts, Official Gazette No. 12/1996.</w:t>
      </w:r>
    </w:p>
    <w:p w14:paraId="3679625C" w14:textId="77777777" w:rsidR="00104A51" w:rsidRPr="00D60A13" w:rsidRDefault="00104A51" w:rsidP="00104A51">
      <w:pPr>
        <w:pStyle w:val="ListParagraph"/>
        <w:numPr>
          <w:ilvl w:val="0"/>
          <w:numId w:val="2"/>
        </w:numPr>
        <w:spacing w:line="276" w:lineRule="auto"/>
        <w:jc w:val="both"/>
        <w:rPr>
          <w:rFonts w:ascii="Calibri" w:hAnsi="Calibri" w:cs="Calibri"/>
        </w:rPr>
      </w:pPr>
      <w:r w:rsidRPr="00D60A13">
        <w:rPr>
          <w:rFonts w:ascii="Calibri" w:hAnsi="Calibri" w:cs="Calibri"/>
        </w:rPr>
        <w:lastRenderedPageBreak/>
        <w:t>Convention on Cooperation for the Protection and Sustainable Use of the Danube River, Sofia, 1994. International Contracts, Official Gazette No. 2/1996.</w:t>
      </w:r>
    </w:p>
    <w:p w14:paraId="69BF3D69" w14:textId="4F520207" w:rsidR="00104A51" w:rsidRPr="00D60A13" w:rsidRDefault="00104A51" w:rsidP="00104A51">
      <w:pPr>
        <w:pStyle w:val="ListParagraph"/>
        <w:numPr>
          <w:ilvl w:val="0"/>
          <w:numId w:val="2"/>
        </w:numPr>
        <w:spacing w:line="276" w:lineRule="auto"/>
        <w:jc w:val="both"/>
        <w:rPr>
          <w:rFonts w:ascii="Calibri" w:hAnsi="Calibri" w:cs="Calibri"/>
        </w:rPr>
      </w:pPr>
      <w:r w:rsidRPr="00D60A13">
        <w:rPr>
          <w:rFonts w:ascii="Calibri" w:hAnsi="Calibri" w:cs="Calibri"/>
        </w:rPr>
        <w:t>Convention on the Protection and Use of Transboundary Watercourses and International Lakes, Helsinki, 1992. International Contracts, Official Gazette No. 4/1996.</w:t>
      </w:r>
    </w:p>
    <w:p w14:paraId="68A3C4C0" w14:textId="77777777" w:rsidR="00104A51" w:rsidRPr="00D60A13" w:rsidRDefault="00104A51" w:rsidP="00104A51">
      <w:pPr>
        <w:pStyle w:val="ListParagraph"/>
        <w:numPr>
          <w:ilvl w:val="0"/>
          <w:numId w:val="2"/>
        </w:numPr>
        <w:spacing w:line="276" w:lineRule="auto"/>
        <w:jc w:val="both"/>
        <w:rPr>
          <w:rFonts w:ascii="Calibri" w:hAnsi="Calibri" w:cs="Calibri"/>
        </w:rPr>
      </w:pPr>
      <w:r w:rsidRPr="00D60A13">
        <w:rPr>
          <w:rFonts w:ascii="Calibri" w:hAnsi="Calibri" w:cs="Calibri"/>
        </w:rPr>
        <w:t>Convention on the Transboundary Effects of Industrial Accidents, Helsinki, 1992., International Contracts, Official Gazette No. 7/1999.</w:t>
      </w:r>
    </w:p>
    <w:p w14:paraId="54303707" w14:textId="13D54575" w:rsidR="00914731" w:rsidRDefault="00914731" w:rsidP="00104A51">
      <w:pPr>
        <w:pStyle w:val="ListParagraph"/>
        <w:numPr>
          <w:ilvl w:val="0"/>
          <w:numId w:val="2"/>
        </w:numPr>
        <w:spacing w:line="276" w:lineRule="auto"/>
        <w:jc w:val="both"/>
        <w:rPr>
          <w:rFonts w:ascii="Calibri" w:hAnsi="Calibri" w:cs="Calibri"/>
        </w:rPr>
      </w:pPr>
      <w:r w:rsidRPr="00914731">
        <w:rPr>
          <w:rFonts w:ascii="Calibri" w:hAnsi="Calibri" w:cs="Calibri"/>
        </w:rPr>
        <w:t>Directive (EU) 2020/2184 on the quality of water intended for human consumption</w:t>
      </w:r>
      <w:r>
        <w:rPr>
          <w:rFonts w:ascii="Calibri" w:hAnsi="Calibri" w:cs="Calibri"/>
        </w:rPr>
        <w:t>.</w:t>
      </w:r>
    </w:p>
    <w:p w14:paraId="6DBFF142" w14:textId="6726BD12" w:rsidR="00104A51" w:rsidRPr="00D60A13" w:rsidRDefault="00104A51" w:rsidP="00104A51">
      <w:pPr>
        <w:pStyle w:val="ListParagraph"/>
        <w:numPr>
          <w:ilvl w:val="0"/>
          <w:numId w:val="2"/>
        </w:numPr>
        <w:spacing w:line="276" w:lineRule="auto"/>
        <w:jc w:val="both"/>
        <w:rPr>
          <w:rFonts w:ascii="Calibri" w:hAnsi="Calibri" w:cs="Calibri"/>
        </w:rPr>
      </w:pPr>
      <w:r w:rsidRPr="00D60A13">
        <w:rPr>
          <w:rFonts w:ascii="Calibri" w:hAnsi="Calibri" w:cs="Calibri"/>
        </w:rPr>
        <w:t>Environmental Liability Directive (2004/35/EC).</w:t>
      </w:r>
    </w:p>
    <w:p w14:paraId="77976650" w14:textId="77777777" w:rsidR="00104A51" w:rsidRPr="00D60A13" w:rsidRDefault="00104A51" w:rsidP="00104A51">
      <w:pPr>
        <w:pStyle w:val="ListParagraph"/>
        <w:numPr>
          <w:ilvl w:val="0"/>
          <w:numId w:val="2"/>
        </w:numPr>
        <w:spacing w:line="276" w:lineRule="auto"/>
        <w:jc w:val="both"/>
        <w:rPr>
          <w:rFonts w:ascii="Calibri" w:hAnsi="Calibri" w:cs="Calibri"/>
        </w:rPr>
      </w:pPr>
      <w:r w:rsidRPr="00D60A13">
        <w:rPr>
          <w:rFonts w:ascii="Calibri" w:hAnsi="Calibri" w:cs="Calibri"/>
        </w:rPr>
        <w:t>Framework Agreement on the Sava River Basin, Kranjska Gora, 2002. International Contracts, Official Gazette No. 14/2003.</w:t>
      </w:r>
    </w:p>
    <w:p w14:paraId="063CF64A" w14:textId="77777777" w:rsidR="00104A51" w:rsidRPr="00D60A13" w:rsidRDefault="00104A51" w:rsidP="00104A51">
      <w:pPr>
        <w:pStyle w:val="ListParagraph"/>
        <w:numPr>
          <w:ilvl w:val="0"/>
          <w:numId w:val="2"/>
        </w:numPr>
        <w:spacing w:line="276" w:lineRule="auto"/>
        <w:jc w:val="both"/>
        <w:rPr>
          <w:rFonts w:ascii="Calibri" w:hAnsi="Calibri" w:cs="Calibri"/>
        </w:rPr>
      </w:pPr>
      <w:r w:rsidRPr="00D60A13">
        <w:rPr>
          <w:rFonts w:ascii="Calibri" w:hAnsi="Calibri" w:cs="Calibri"/>
        </w:rPr>
        <w:t>Groundwater Directive (GWD), Directive 2006/118/EC and 2014/80/EU.</w:t>
      </w:r>
    </w:p>
    <w:p w14:paraId="6BC125A9" w14:textId="77777777" w:rsidR="00104A51" w:rsidRPr="00D60A13" w:rsidRDefault="00104A51" w:rsidP="00104A51">
      <w:pPr>
        <w:pStyle w:val="ListParagraph"/>
        <w:numPr>
          <w:ilvl w:val="0"/>
          <w:numId w:val="2"/>
        </w:numPr>
        <w:spacing w:line="276" w:lineRule="auto"/>
        <w:jc w:val="both"/>
        <w:rPr>
          <w:rFonts w:ascii="Calibri" w:hAnsi="Calibri" w:cs="Calibri"/>
        </w:rPr>
      </w:pPr>
      <w:r w:rsidRPr="00D60A13">
        <w:rPr>
          <w:rFonts w:ascii="Calibri" w:hAnsi="Calibri" w:cs="Calibri"/>
        </w:rPr>
        <w:t>Habitats Directive (92/43/EEC)</w:t>
      </w:r>
    </w:p>
    <w:p w14:paraId="6BCEA7BF" w14:textId="77777777" w:rsidR="00104A51" w:rsidRPr="00D60A13" w:rsidRDefault="00104A51" w:rsidP="00104A51">
      <w:pPr>
        <w:pStyle w:val="ListParagraph"/>
        <w:numPr>
          <w:ilvl w:val="0"/>
          <w:numId w:val="2"/>
        </w:numPr>
        <w:spacing w:line="276" w:lineRule="auto"/>
        <w:jc w:val="both"/>
        <w:rPr>
          <w:rFonts w:ascii="Calibri" w:hAnsi="Calibri" w:cs="Calibri"/>
        </w:rPr>
      </w:pPr>
      <w:r w:rsidRPr="00D60A13">
        <w:rPr>
          <w:rFonts w:ascii="Calibri" w:hAnsi="Calibri" w:cs="Calibri"/>
        </w:rPr>
        <w:t>INSPIRE Directive, Directive 2007/2/EC.</w:t>
      </w:r>
    </w:p>
    <w:p w14:paraId="72064531" w14:textId="77777777" w:rsidR="00104A51" w:rsidRPr="00D60A13" w:rsidRDefault="00104A51" w:rsidP="00104A51">
      <w:pPr>
        <w:pStyle w:val="ListParagraph"/>
        <w:numPr>
          <w:ilvl w:val="0"/>
          <w:numId w:val="2"/>
        </w:numPr>
        <w:spacing w:line="276" w:lineRule="auto"/>
        <w:jc w:val="both"/>
        <w:rPr>
          <w:rFonts w:ascii="Calibri" w:hAnsi="Calibri" w:cs="Calibri"/>
        </w:rPr>
      </w:pPr>
      <w:r w:rsidRPr="00D60A13">
        <w:rPr>
          <w:rFonts w:ascii="Calibri" w:hAnsi="Calibri" w:cs="Calibri"/>
        </w:rPr>
        <w:t>Nitrates Directive (91/676/EEC).</w:t>
      </w:r>
    </w:p>
    <w:p w14:paraId="75995DE9" w14:textId="77777777" w:rsidR="00104A51" w:rsidRPr="00D60A13" w:rsidRDefault="00104A51" w:rsidP="00104A51">
      <w:pPr>
        <w:pStyle w:val="ListParagraph"/>
        <w:numPr>
          <w:ilvl w:val="0"/>
          <w:numId w:val="2"/>
        </w:numPr>
        <w:spacing w:line="276" w:lineRule="auto"/>
        <w:jc w:val="both"/>
        <w:rPr>
          <w:rFonts w:ascii="Calibri" w:hAnsi="Calibri" w:cs="Calibri"/>
        </w:rPr>
      </w:pPr>
      <w:r w:rsidRPr="00D60A13">
        <w:rPr>
          <w:rFonts w:ascii="Calibri" w:hAnsi="Calibri" w:cs="Calibri"/>
        </w:rPr>
        <w:t>UN General Assembly, The Law of Transboundary Aquifers, GA Res 63/124, UN Doc A/RES/63/124 (2008).</w:t>
      </w:r>
    </w:p>
    <w:p w14:paraId="17B4B041" w14:textId="77777777" w:rsidR="00104A51" w:rsidRPr="00D60A13" w:rsidRDefault="00104A51" w:rsidP="00104A51">
      <w:pPr>
        <w:pStyle w:val="ListParagraph"/>
        <w:numPr>
          <w:ilvl w:val="0"/>
          <w:numId w:val="2"/>
        </w:numPr>
        <w:spacing w:line="276" w:lineRule="auto"/>
        <w:jc w:val="both"/>
        <w:rPr>
          <w:rFonts w:ascii="Calibri" w:hAnsi="Calibri" w:cs="Calibri"/>
        </w:rPr>
      </w:pPr>
      <w:r w:rsidRPr="00D60A13">
        <w:rPr>
          <w:rFonts w:ascii="Calibri" w:hAnsi="Calibri" w:cs="Calibri"/>
        </w:rPr>
        <w:t>Urban Wastewater Directive (91/271/EEC).</w:t>
      </w:r>
    </w:p>
    <w:p w14:paraId="0D0B7342" w14:textId="71AE74A8" w:rsidR="00104A51" w:rsidRPr="00D60A13" w:rsidRDefault="00104A51" w:rsidP="006C3750">
      <w:pPr>
        <w:pStyle w:val="ListParagraph"/>
        <w:numPr>
          <w:ilvl w:val="0"/>
          <w:numId w:val="2"/>
        </w:numPr>
        <w:spacing w:after="0"/>
        <w:ind w:left="714" w:hanging="357"/>
        <w:jc w:val="both"/>
        <w:rPr>
          <w:rFonts w:ascii="Calibri" w:hAnsi="Calibri" w:cs="Calibri"/>
        </w:rPr>
      </w:pPr>
      <w:r w:rsidRPr="00D60A13">
        <w:rPr>
          <w:rFonts w:ascii="Calibri" w:hAnsi="Calibri" w:cs="Calibri"/>
        </w:rPr>
        <w:t>Water Framework Directive (WFD), Directive 2000/60/EC.</w:t>
      </w:r>
    </w:p>
    <w:p w14:paraId="23F394C1" w14:textId="77777777" w:rsidR="006C3750" w:rsidRPr="00D60A13" w:rsidRDefault="006C3750" w:rsidP="006C3750">
      <w:pPr>
        <w:pStyle w:val="Heading3"/>
        <w:spacing w:before="0" w:after="0"/>
        <w:rPr>
          <w:rFonts w:eastAsia="Calibri"/>
          <w:lang w:val="en-GB"/>
        </w:rPr>
      </w:pPr>
    </w:p>
    <w:p w14:paraId="2CAF539B" w14:textId="2D5552C8" w:rsidR="006C3750" w:rsidRPr="00D60A13" w:rsidRDefault="006C3750" w:rsidP="006C3750">
      <w:pPr>
        <w:pStyle w:val="Heading3"/>
        <w:rPr>
          <w:lang w:val="en-GB"/>
        </w:rPr>
      </w:pPr>
      <w:bookmarkStart w:id="288" w:name="_Toc223524365"/>
      <w:bookmarkStart w:id="289" w:name="_Toc229036335"/>
      <w:r w:rsidRPr="00D60A13">
        <w:rPr>
          <w:lang w:val="en-GB"/>
        </w:rPr>
        <w:t>13.</w:t>
      </w:r>
      <w:r w:rsidR="00FF2D6D">
        <w:rPr>
          <w:lang w:val="en-GB"/>
        </w:rPr>
        <w:t>3</w:t>
      </w:r>
      <w:r w:rsidRPr="00D60A13">
        <w:rPr>
          <w:lang w:val="en-GB"/>
        </w:rPr>
        <w:t xml:space="preserve">.2 Reports, </w:t>
      </w:r>
      <w:r w:rsidR="00881616" w:rsidRPr="00D60A13">
        <w:rPr>
          <w:lang w:val="en-GB"/>
        </w:rPr>
        <w:t>s</w:t>
      </w:r>
      <w:r w:rsidRPr="00D60A13">
        <w:rPr>
          <w:lang w:val="en-GB"/>
        </w:rPr>
        <w:t xml:space="preserve">tudies, </w:t>
      </w:r>
      <w:r w:rsidR="00881616" w:rsidRPr="00D60A13">
        <w:rPr>
          <w:lang w:val="en-GB"/>
        </w:rPr>
        <w:t>p</w:t>
      </w:r>
      <w:r w:rsidRPr="00D60A13">
        <w:rPr>
          <w:lang w:val="en-GB"/>
        </w:rPr>
        <w:t xml:space="preserve">apers, </w:t>
      </w:r>
      <w:r w:rsidR="00881616" w:rsidRPr="00D60A13">
        <w:rPr>
          <w:lang w:val="en-GB"/>
        </w:rPr>
        <w:t>r</w:t>
      </w:r>
      <w:r w:rsidRPr="00D60A13">
        <w:rPr>
          <w:lang w:val="en-GB"/>
        </w:rPr>
        <w:t xml:space="preserve">egional </w:t>
      </w:r>
      <w:r w:rsidR="00881616" w:rsidRPr="00D60A13">
        <w:rPr>
          <w:lang w:val="en-GB"/>
        </w:rPr>
        <w:t>p</w:t>
      </w:r>
      <w:r w:rsidRPr="00D60A13">
        <w:rPr>
          <w:lang w:val="en-GB"/>
        </w:rPr>
        <w:t xml:space="preserve">lans and </w:t>
      </w:r>
      <w:r w:rsidR="00881616" w:rsidRPr="00D60A13">
        <w:rPr>
          <w:lang w:val="en-GB"/>
        </w:rPr>
        <w:t>s</w:t>
      </w:r>
      <w:r w:rsidRPr="00D60A13">
        <w:rPr>
          <w:lang w:val="en-GB"/>
        </w:rPr>
        <w:t>trategies</w:t>
      </w:r>
      <w:bookmarkEnd w:id="288"/>
      <w:bookmarkEnd w:id="289"/>
      <w:r w:rsidRPr="00D60A13">
        <w:rPr>
          <w:lang w:val="en-GB"/>
        </w:rPr>
        <w:t xml:space="preserve"> </w:t>
      </w:r>
    </w:p>
    <w:p w14:paraId="73E50389" w14:textId="504E0C74" w:rsidR="00437EDE"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Agency for Statistics of Bosnia and Herzegovina (BHAS) (2024)</w:t>
      </w:r>
      <w:r>
        <w:rPr>
          <w:rFonts w:eastAsia="Calibri" w:cstheme="minorHAnsi"/>
        </w:rPr>
        <w:t>:</w:t>
      </w:r>
      <w:r w:rsidRPr="00437EDE">
        <w:rPr>
          <w:rFonts w:eastAsia="Calibri" w:cstheme="minorHAnsi"/>
        </w:rPr>
        <w:t xml:space="preserve"> Labour force survey 2023 and environmental statistics 2023. Sarajevo.</w:t>
      </w:r>
    </w:p>
    <w:p w14:paraId="0273AB46" w14:textId="6BBB86CF" w:rsidR="00914731" w:rsidRDefault="00914731" w:rsidP="00437EDE">
      <w:pPr>
        <w:pStyle w:val="ListParagraph"/>
        <w:numPr>
          <w:ilvl w:val="0"/>
          <w:numId w:val="21"/>
        </w:numPr>
        <w:spacing w:after="200" w:line="276" w:lineRule="auto"/>
        <w:jc w:val="both"/>
        <w:rPr>
          <w:rFonts w:eastAsia="Calibri" w:cstheme="minorHAnsi"/>
        </w:rPr>
      </w:pPr>
      <w:r w:rsidRPr="00914731">
        <w:rPr>
          <w:rFonts w:eastAsia="Calibri" w:cstheme="minorHAnsi"/>
        </w:rPr>
        <w:t>Agency for watershed of the Adriatic Sea (Mostar) (2016)</w:t>
      </w:r>
      <w:r>
        <w:rPr>
          <w:rFonts w:eastAsia="Calibri" w:cstheme="minorHAnsi"/>
        </w:rPr>
        <w:t>:</w:t>
      </w:r>
      <w:r w:rsidRPr="00914731">
        <w:rPr>
          <w:rFonts w:eastAsia="Calibri" w:cstheme="minorHAnsi"/>
        </w:rPr>
        <w:t xml:space="preserve"> </w:t>
      </w:r>
      <w:r>
        <w:rPr>
          <w:rFonts w:eastAsia="Calibri" w:cstheme="minorHAnsi"/>
        </w:rPr>
        <w:t>River Basin Management Plan for Adriatic Region in</w:t>
      </w:r>
      <w:r w:rsidRPr="00914731">
        <w:rPr>
          <w:rFonts w:eastAsia="Calibri" w:cstheme="minorHAnsi"/>
        </w:rPr>
        <w:t xml:space="preserve"> </w:t>
      </w:r>
      <w:r>
        <w:rPr>
          <w:rFonts w:eastAsia="Calibri" w:cstheme="minorHAnsi"/>
        </w:rPr>
        <w:t>F</w:t>
      </w:r>
      <w:r w:rsidRPr="00914731">
        <w:rPr>
          <w:rFonts w:eastAsia="Calibri" w:cstheme="minorHAnsi"/>
        </w:rPr>
        <w:t>BiH (2016–2021)</w:t>
      </w:r>
      <w:r>
        <w:rPr>
          <w:rFonts w:eastAsia="Calibri" w:cstheme="minorHAnsi"/>
        </w:rPr>
        <w:t>,</w:t>
      </w:r>
      <w:r w:rsidRPr="00914731">
        <w:rPr>
          <w:rFonts w:eastAsia="Calibri" w:cstheme="minorHAnsi"/>
        </w:rPr>
        <w:t xml:space="preserve"> Mostar.</w:t>
      </w:r>
    </w:p>
    <w:p w14:paraId="4AC83357" w14:textId="427AAC14" w:rsidR="00356E7A" w:rsidRPr="00437EDE" w:rsidRDefault="00356E7A" w:rsidP="00437EDE">
      <w:pPr>
        <w:pStyle w:val="ListParagraph"/>
        <w:numPr>
          <w:ilvl w:val="0"/>
          <w:numId w:val="21"/>
        </w:numPr>
        <w:spacing w:after="200" w:line="276" w:lineRule="auto"/>
        <w:jc w:val="both"/>
        <w:rPr>
          <w:rFonts w:eastAsia="Calibri" w:cstheme="minorHAnsi"/>
        </w:rPr>
      </w:pPr>
      <w:r w:rsidRPr="00546BDE">
        <w:rPr>
          <w:rFonts w:cstheme="minorHAnsi"/>
        </w:rPr>
        <w:t xml:space="preserve">Antunović I., (2014): </w:t>
      </w:r>
      <w:r>
        <w:rPr>
          <w:rFonts w:cstheme="minorHAnsi"/>
        </w:rPr>
        <w:t xml:space="preserve">Hydrogeological characteristics of west </w:t>
      </w:r>
      <w:r w:rsidRPr="00546BDE">
        <w:rPr>
          <w:rFonts w:cstheme="minorHAnsi"/>
        </w:rPr>
        <w:t>Hercegovina</w:t>
      </w:r>
      <w:r>
        <w:rPr>
          <w:rFonts w:cstheme="minorHAnsi"/>
        </w:rPr>
        <w:t xml:space="preserve"> (In Bosnian), Study, Mostar.</w:t>
      </w:r>
    </w:p>
    <w:p w14:paraId="0FE5EF42" w14:textId="3778877F" w:rsidR="007C7E58" w:rsidRDefault="007C7E58" w:rsidP="00BA6D3B">
      <w:pPr>
        <w:pStyle w:val="ListParagraph"/>
        <w:numPr>
          <w:ilvl w:val="0"/>
          <w:numId w:val="21"/>
        </w:numPr>
        <w:spacing w:after="200" w:line="276" w:lineRule="auto"/>
        <w:jc w:val="both"/>
        <w:rPr>
          <w:rFonts w:eastAsia="Calibri" w:cstheme="minorHAnsi"/>
        </w:rPr>
      </w:pPr>
      <w:r w:rsidRPr="007C7E58">
        <w:rPr>
          <w:rFonts w:eastAsia="Calibri" w:cstheme="minorHAnsi"/>
        </w:rPr>
        <w:t>Antunović I. (2019)</w:t>
      </w:r>
      <w:r>
        <w:rPr>
          <w:rFonts w:eastAsia="Calibri" w:cstheme="minorHAnsi"/>
        </w:rPr>
        <w:t>:</w:t>
      </w:r>
      <w:r w:rsidRPr="007C7E58">
        <w:rPr>
          <w:rFonts w:eastAsia="Calibri" w:cstheme="minorHAnsi"/>
        </w:rPr>
        <w:t xml:space="preserve"> </w:t>
      </w:r>
      <w:proofErr w:type="spellStart"/>
      <w:r w:rsidRPr="007C7E58">
        <w:rPr>
          <w:rFonts w:eastAsia="Calibri" w:cstheme="minorHAnsi"/>
        </w:rPr>
        <w:t>Prud</w:t>
      </w:r>
      <w:proofErr w:type="spellEnd"/>
      <w:r w:rsidRPr="007C7E58">
        <w:rPr>
          <w:rFonts w:eastAsia="Calibri" w:cstheme="minorHAnsi"/>
        </w:rPr>
        <w:t xml:space="preserve"> water source protection study (in Croatian), Integra, Mostar</w:t>
      </w:r>
    </w:p>
    <w:p w14:paraId="45C11F57" w14:textId="36F92AA6" w:rsidR="00AB0929" w:rsidRDefault="00AB0929" w:rsidP="00BA6D3B">
      <w:pPr>
        <w:pStyle w:val="ListParagraph"/>
        <w:numPr>
          <w:ilvl w:val="0"/>
          <w:numId w:val="21"/>
        </w:numPr>
        <w:spacing w:after="200" w:line="276" w:lineRule="auto"/>
        <w:jc w:val="both"/>
        <w:rPr>
          <w:rFonts w:eastAsia="Calibri" w:cstheme="minorHAnsi"/>
        </w:rPr>
      </w:pPr>
      <w:r w:rsidRPr="00D60A13">
        <w:rPr>
          <w:rFonts w:eastAsia="Calibri" w:cstheme="minorHAnsi"/>
        </w:rPr>
        <w:t xml:space="preserve">Biondić, R., </w:t>
      </w:r>
      <w:proofErr w:type="spellStart"/>
      <w:r w:rsidRPr="00D60A13">
        <w:rPr>
          <w:rFonts w:eastAsia="Calibri" w:cstheme="minorHAnsi"/>
        </w:rPr>
        <w:t>Rubinić</w:t>
      </w:r>
      <w:proofErr w:type="spellEnd"/>
      <w:r w:rsidRPr="00D60A13">
        <w:rPr>
          <w:rFonts w:eastAsia="Calibri" w:cstheme="minorHAnsi"/>
        </w:rPr>
        <w:t xml:space="preserve">, J., Biondić B., </w:t>
      </w:r>
      <w:proofErr w:type="spellStart"/>
      <w:r w:rsidRPr="00D60A13">
        <w:rPr>
          <w:rFonts w:eastAsia="Calibri" w:cstheme="minorHAnsi"/>
        </w:rPr>
        <w:t>Meaški</w:t>
      </w:r>
      <w:proofErr w:type="spellEnd"/>
      <w:r w:rsidRPr="00D60A13">
        <w:rPr>
          <w:rFonts w:eastAsia="Calibri" w:cstheme="minorHAnsi"/>
        </w:rPr>
        <w:t xml:space="preserve"> H., </w:t>
      </w:r>
      <w:proofErr w:type="spellStart"/>
      <w:r w:rsidRPr="00D60A13">
        <w:rPr>
          <w:rFonts w:eastAsia="Calibri" w:cstheme="minorHAnsi"/>
        </w:rPr>
        <w:t>Radišić</w:t>
      </w:r>
      <w:proofErr w:type="spellEnd"/>
      <w:r w:rsidRPr="00D60A13">
        <w:rPr>
          <w:rFonts w:eastAsia="Calibri" w:cstheme="minorHAnsi"/>
        </w:rPr>
        <w:t xml:space="preserve"> M. (2016)</w:t>
      </w:r>
      <w:r w:rsidR="0046605F" w:rsidRPr="00D60A13">
        <w:rPr>
          <w:rFonts w:eastAsia="Calibri" w:cstheme="minorHAnsi"/>
        </w:rPr>
        <w:t>:</w:t>
      </w:r>
      <w:r w:rsidRPr="00D60A13">
        <w:rPr>
          <w:rFonts w:eastAsia="Calibri" w:cstheme="minorHAnsi"/>
        </w:rPr>
        <w:t xml:space="preserve"> Defining trends and assessing the status of groundwater in karst areas of Croatia (in Croatian: “</w:t>
      </w:r>
      <w:proofErr w:type="spellStart"/>
      <w:r w:rsidRPr="00D60A13">
        <w:rPr>
          <w:rFonts w:eastAsia="Calibri" w:cstheme="minorHAnsi"/>
        </w:rPr>
        <w:t>Definiranje</w:t>
      </w:r>
      <w:proofErr w:type="spellEnd"/>
      <w:r w:rsidRPr="00D60A13">
        <w:rPr>
          <w:rFonts w:eastAsia="Calibri" w:cstheme="minorHAnsi"/>
        </w:rPr>
        <w:t xml:space="preserve"> </w:t>
      </w:r>
      <w:proofErr w:type="spellStart"/>
      <w:r w:rsidRPr="00D60A13">
        <w:rPr>
          <w:rFonts w:eastAsia="Calibri" w:cstheme="minorHAnsi"/>
        </w:rPr>
        <w:t>trendova</w:t>
      </w:r>
      <w:proofErr w:type="spellEnd"/>
      <w:r w:rsidRPr="00D60A13">
        <w:rPr>
          <w:rFonts w:eastAsia="Calibri" w:cstheme="minorHAnsi"/>
        </w:rPr>
        <w:t xml:space="preserve"> </w:t>
      </w:r>
      <w:proofErr w:type="spellStart"/>
      <w:r w:rsidRPr="00D60A13">
        <w:rPr>
          <w:rFonts w:eastAsia="Calibri" w:cstheme="minorHAnsi"/>
        </w:rPr>
        <w:t>i</w:t>
      </w:r>
      <w:proofErr w:type="spellEnd"/>
      <w:r w:rsidRPr="00D60A13">
        <w:rPr>
          <w:rFonts w:eastAsia="Calibri" w:cstheme="minorHAnsi"/>
        </w:rPr>
        <w:t xml:space="preserve"> </w:t>
      </w:r>
      <w:proofErr w:type="spellStart"/>
      <w:r w:rsidRPr="00D60A13">
        <w:rPr>
          <w:rFonts w:eastAsia="Calibri" w:cstheme="minorHAnsi"/>
        </w:rPr>
        <w:t>ocjena</w:t>
      </w:r>
      <w:proofErr w:type="spellEnd"/>
      <w:r w:rsidRPr="00D60A13">
        <w:rPr>
          <w:rFonts w:eastAsia="Calibri" w:cstheme="minorHAnsi"/>
        </w:rPr>
        <w:t xml:space="preserve"> </w:t>
      </w:r>
      <w:proofErr w:type="spellStart"/>
      <w:r w:rsidRPr="00D60A13">
        <w:rPr>
          <w:rFonts w:eastAsia="Calibri" w:cstheme="minorHAnsi"/>
        </w:rPr>
        <w:t>stanja</w:t>
      </w:r>
      <w:proofErr w:type="spellEnd"/>
      <w:r w:rsidRPr="00D60A13">
        <w:rPr>
          <w:rFonts w:eastAsia="Calibri" w:cstheme="minorHAnsi"/>
        </w:rPr>
        <w:t xml:space="preserve"> </w:t>
      </w:r>
      <w:proofErr w:type="spellStart"/>
      <w:r w:rsidRPr="00D60A13">
        <w:rPr>
          <w:rFonts w:eastAsia="Calibri" w:cstheme="minorHAnsi"/>
        </w:rPr>
        <w:t>podzemnih</w:t>
      </w:r>
      <w:proofErr w:type="spellEnd"/>
      <w:r w:rsidRPr="00D60A13">
        <w:rPr>
          <w:rFonts w:eastAsia="Calibri" w:cstheme="minorHAnsi"/>
        </w:rPr>
        <w:t xml:space="preserve"> </w:t>
      </w:r>
      <w:proofErr w:type="spellStart"/>
      <w:r w:rsidRPr="00D60A13">
        <w:rPr>
          <w:rFonts w:eastAsia="Calibri" w:cstheme="minorHAnsi"/>
        </w:rPr>
        <w:t>voda</w:t>
      </w:r>
      <w:proofErr w:type="spellEnd"/>
      <w:r w:rsidRPr="00D60A13">
        <w:rPr>
          <w:rFonts w:eastAsia="Calibri" w:cstheme="minorHAnsi"/>
        </w:rPr>
        <w:t xml:space="preserve"> </w:t>
      </w:r>
      <w:proofErr w:type="spellStart"/>
      <w:r w:rsidRPr="00D60A13">
        <w:rPr>
          <w:rFonts w:eastAsia="Calibri" w:cstheme="minorHAnsi"/>
        </w:rPr>
        <w:t>na</w:t>
      </w:r>
      <w:proofErr w:type="spellEnd"/>
      <w:r w:rsidRPr="00D60A13">
        <w:rPr>
          <w:rFonts w:eastAsia="Calibri" w:cstheme="minorHAnsi"/>
        </w:rPr>
        <w:t xml:space="preserve"> </w:t>
      </w:r>
      <w:proofErr w:type="spellStart"/>
      <w:r w:rsidRPr="00D60A13">
        <w:rPr>
          <w:rFonts w:eastAsia="Calibri" w:cstheme="minorHAnsi"/>
        </w:rPr>
        <w:t>području</w:t>
      </w:r>
      <w:proofErr w:type="spellEnd"/>
      <w:r w:rsidRPr="00D60A13">
        <w:rPr>
          <w:rFonts w:eastAsia="Calibri" w:cstheme="minorHAnsi"/>
        </w:rPr>
        <w:t xml:space="preserve"> </w:t>
      </w:r>
      <w:proofErr w:type="spellStart"/>
      <w:r w:rsidRPr="00D60A13">
        <w:rPr>
          <w:rFonts w:eastAsia="Calibri" w:cstheme="minorHAnsi"/>
        </w:rPr>
        <w:t>krša</w:t>
      </w:r>
      <w:proofErr w:type="spellEnd"/>
      <w:r w:rsidRPr="00D60A13">
        <w:rPr>
          <w:rFonts w:eastAsia="Calibri" w:cstheme="minorHAnsi"/>
        </w:rPr>
        <w:t xml:space="preserve"> u </w:t>
      </w:r>
      <w:proofErr w:type="spellStart"/>
      <w:r w:rsidRPr="00D60A13">
        <w:rPr>
          <w:rFonts w:eastAsia="Calibri" w:cstheme="minorHAnsi"/>
        </w:rPr>
        <w:t>Hrvatskoj</w:t>
      </w:r>
      <w:proofErr w:type="spellEnd"/>
      <w:r w:rsidRPr="00D60A13">
        <w:rPr>
          <w:rFonts w:eastAsia="Calibri" w:cstheme="minorHAnsi"/>
        </w:rPr>
        <w:t>”), University of Zagreb, Faculty of Geotechnical Engineering, &amp; University of Rijeka, Faculty of Civil Engineering, Zagreb.</w:t>
      </w:r>
    </w:p>
    <w:p w14:paraId="70FFC506" w14:textId="621AA9ED" w:rsidR="00437EDE" w:rsidRPr="00437EDE"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Croatian Bureau of Statistics (CBS) (2021)</w:t>
      </w:r>
      <w:r w:rsidR="00D73F11">
        <w:rPr>
          <w:rFonts w:eastAsia="Calibri" w:cstheme="minorHAnsi"/>
        </w:rPr>
        <w:t>:</w:t>
      </w:r>
      <w:r w:rsidRPr="00437EDE">
        <w:rPr>
          <w:rFonts w:eastAsia="Calibri" w:cstheme="minorHAnsi"/>
        </w:rPr>
        <w:t xml:space="preserve"> Population census 2021. Zagreb.</w:t>
      </w:r>
    </w:p>
    <w:p w14:paraId="7B0A642E" w14:textId="2D65E104" w:rsidR="003B71DB" w:rsidRPr="00D60A13" w:rsidRDefault="003B71DB" w:rsidP="00BA6D3B">
      <w:pPr>
        <w:pStyle w:val="ListParagraph"/>
        <w:numPr>
          <w:ilvl w:val="0"/>
          <w:numId w:val="21"/>
        </w:numPr>
        <w:spacing w:after="200" w:line="276" w:lineRule="auto"/>
        <w:jc w:val="both"/>
        <w:rPr>
          <w:rFonts w:eastAsia="Calibri" w:cstheme="minorHAnsi"/>
        </w:rPr>
      </w:pPr>
      <w:r w:rsidRPr="00D60A13">
        <w:rPr>
          <w:rFonts w:ascii="Calibri" w:hAnsi="Calibri" w:cs="Calibri"/>
        </w:rPr>
        <w:t>Commission of the European Communities (2007)</w:t>
      </w:r>
      <w:r w:rsidR="00BA6D3B" w:rsidRPr="00D60A13">
        <w:rPr>
          <w:rFonts w:ascii="Calibri" w:hAnsi="Calibri" w:cs="Calibri"/>
        </w:rPr>
        <w:t>:</w:t>
      </w:r>
      <w:r w:rsidRPr="00D60A13">
        <w:rPr>
          <w:rFonts w:ascii="Calibri" w:hAnsi="Calibri" w:cs="Calibri"/>
        </w:rPr>
        <w:t xml:space="preserve"> Guidance on preventing or limiting direct and indirect inputs in the context of the Groundwater directive 2006/118/EC Guidance document No 17. Technical Report – 2007 – 012. ISBN 978-92-79-06277-3, European Communities, Luxembourg.</w:t>
      </w:r>
    </w:p>
    <w:p w14:paraId="13DFE096" w14:textId="3F4C34E2" w:rsidR="00D00ED1" w:rsidRPr="00D00ED1" w:rsidRDefault="00D00ED1" w:rsidP="00D00ED1">
      <w:pPr>
        <w:pStyle w:val="ListParagraph"/>
        <w:numPr>
          <w:ilvl w:val="0"/>
          <w:numId w:val="21"/>
        </w:numPr>
        <w:spacing w:after="200" w:line="276" w:lineRule="auto"/>
        <w:jc w:val="both"/>
        <w:rPr>
          <w:rFonts w:eastAsia="Calibri" w:cstheme="minorHAnsi"/>
        </w:rPr>
      </w:pPr>
      <w:r w:rsidRPr="00D60A13">
        <w:rPr>
          <w:rFonts w:ascii="Calibri" w:hAnsi="Calibri" w:cs="Calibri"/>
        </w:rPr>
        <w:t xml:space="preserve">Commission of the European Communities </w:t>
      </w:r>
      <w:r>
        <w:rPr>
          <w:rFonts w:ascii="Calibri" w:hAnsi="Calibri" w:cs="Calibri"/>
        </w:rPr>
        <w:t>(</w:t>
      </w:r>
      <w:r w:rsidRPr="00D00ED1">
        <w:rPr>
          <w:rFonts w:eastAsia="Calibri" w:cstheme="minorHAnsi"/>
        </w:rPr>
        <w:t>2015</w:t>
      </w:r>
      <w:r>
        <w:rPr>
          <w:rFonts w:eastAsia="Calibri" w:cstheme="minorHAnsi"/>
        </w:rPr>
        <w:t>):</w:t>
      </w:r>
      <w:r w:rsidRPr="00D00ED1">
        <w:rPr>
          <w:rFonts w:eastAsia="Calibri" w:cstheme="minorHAnsi"/>
        </w:rPr>
        <w:t xml:space="preserve"> Procedure to fit new or updated classification methods to the results of a completed intercalibration exercise. Common Implementation Strategy for the Water Framework Directive (2000/60/EC), Guidance Document No. 30. Luxembourg: Publications Office of the European Union.</w:t>
      </w:r>
      <w:r>
        <w:rPr>
          <w:rFonts w:eastAsia="Calibri" w:cstheme="minorHAnsi"/>
        </w:rPr>
        <w:t xml:space="preserve"> </w:t>
      </w:r>
      <w:r w:rsidRPr="00D00ED1">
        <w:rPr>
          <w:rFonts w:eastAsia="Calibri" w:cstheme="minorHAnsi"/>
        </w:rPr>
        <w:t>ISBN: 978-92-79-38434-9. https://doi.org/10.2779/158259</w:t>
      </w:r>
      <w:r>
        <w:rPr>
          <w:rFonts w:eastAsia="Calibri" w:cstheme="minorHAnsi"/>
        </w:rPr>
        <w:t>.</w:t>
      </w:r>
    </w:p>
    <w:p w14:paraId="4E75FB4A" w14:textId="7F9F0DC3" w:rsidR="00BA6D3B" w:rsidRPr="007C7E58" w:rsidRDefault="00BA6D3B" w:rsidP="00BA6D3B">
      <w:pPr>
        <w:pStyle w:val="ListParagraph"/>
        <w:numPr>
          <w:ilvl w:val="0"/>
          <w:numId w:val="21"/>
        </w:numPr>
        <w:spacing w:after="200" w:line="276" w:lineRule="auto"/>
        <w:jc w:val="both"/>
        <w:rPr>
          <w:rFonts w:eastAsia="Calibri" w:cstheme="minorHAnsi"/>
        </w:rPr>
      </w:pPr>
      <w:r w:rsidRPr="00D60A13">
        <w:rPr>
          <w:rFonts w:cstheme="minorHAnsi"/>
        </w:rPr>
        <w:lastRenderedPageBreak/>
        <w:t>Commission of the European Communities (2015): Procedure to fit new or updated classification methods to the results of a completed intercalibration exercise. CIS Guidance Document No. 30, Brussels: Publications Office of the European Union.</w:t>
      </w:r>
    </w:p>
    <w:p w14:paraId="03CE2A11" w14:textId="662BE535" w:rsidR="00437EDE" w:rsidRDefault="00437EDE" w:rsidP="00437EDE">
      <w:pPr>
        <w:pStyle w:val="ListParagraph"/>
        <w:numPr>
          <w:ilvl w:val="0"/>
          <w:numId w:val="21"/>
        </w:numPr>
        <w:spacing w:after="200" w:line="276" w:lineRule="auto"/>
        <w:jc w:val="both"/>
        <w:rPr>
          <w:rFonts w:eastAsia="Calibri" w:cstheme="minorHAnsi"/>
        </w:rPr>
      </w:pPr>
      <w:r w:rsidRPr="00D60A13">
        <w:rPr>
          <w:rFonts w:cstheme="minorHAnsi"/>
        </w:rPr>
        <w:t xml:space="preserve">Commission of the European Communities </w:t>
      </w:r>
      <w:r w:rsidRPr="00437EDE">
        <w:rPr>
          <w:rFonts w:eastAsia="Calibri" w:cstheme="minorHAnsi"/>
        </w:rPr>
        <w:t>(2023)</w:t>
      </w:r>
      <w:r>
        <w:rPr>
          <w:rFonts w:eastAsia="Calibri" w:cstheme="minorHAnsi"/>
        </w:rPr>
        <w:t>:</w:t>
      </w:r>
      <w:r w:rsidRPr="00437EDE">
        <w:rPr>
          <w:rFonts w:eastAsia="Calibri" w:cstheme="minorHAnsi"/>
        </w:rPr>
        <w:t xml:space="preserve"> Gender equality statistics and unpaid work indicators. Brussels.</w:t>
      </w:r>
    </w:p>
    <w:p w14:paraId="0927C0C0" w14:textId="512F6F9A" w:rsidR="007A1174" w:rsidRPr="00437EDE" w:rsidRDefault="007A1174" w:rsidP="007A1174">
      <w:pPr>
        <w:pStyle w:val="ListParagraph"/>
        <w:numPr>
          <w:ilvl w:val="0"/>
          <w:numId w:val="21"/>
        </w:numPr>
        <w:spacing w:after="200" w:line="276" w:lineRule="auto"/>
        <w:jc w:val="both"/>
        <w:rPr>
          <w:rFonts w:eastAsia="Calibri" w:cstheme="minorHAnsi"/>
        </w:rPr>
      </w:pPr>
      <w:r w:rsidRPr="007A1174">
        <w:rPr>
          <w:rFonts w:eastAsia="Calibri" w:cstheme="minorHAnsi"/>
        </w:rPr>
        <w:t>Croatian Waters (2021)</w:t>
      </w:r>
      <w:r>
        <w:rPr>
          <w:rFonts w:eastAsia="Calibri" w:cstheme="minorHAnsi"/>
        </w:rPr>
        <w:t>:</w:t>
      </w:r>
      <w:r w:rsidRPr="007A1174">
        <w:rPr>
          <w:rFonts w:eastAsia="Calibri" w:cstheme="minorHAnsi"/>
        </w:rPr>
        <w:t xml:space="preserve"> Soil and water salinization protection project in the Lower Neretva </w:t>
      </w:r>
      <w:proofErr w:type="gramStart"/>
      <w:r w:rsidRPr="007A1174">
        <w:rPr>
          <w:rFonts w:eastAsia="Calibri" w:cstheme="minorHAnsi"/>
        </w:rPr>
        <w:t>area.https://voda.hr/hr/novost/krece-realizacija-projekta-zastite-od-zaslanjivanja-tala-i-voda-podrucja-donje-neretve</w:t>
      </w:r>
      <w:proofErr w:type="gramEnd"/>
      <w:r>
        <w:rPr>
          <w:rFonts w:eastAsia="Calibri" w:cstheme="minorHAnsi"/>
        </w:rPr>
        <w:t>.</w:t>
      </w:r>
    </w:p>
    <w:p w14:paraId="346B69FF" w14:textId="77777777" w:rsidR="00437EDE" w:rsidRPr="00D60A13"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 xml:space="preserve">DIKTAS II Project Team (Nakić, Z., Čengić, S., Vranić, M., Bušljeta Tonković, A., Funduk, M., </w:t>
      </w:r>
      <w:proofErr w:type="spellStart"/>
      <w:r w:rsidRPr="00437EDE">
        <w:rPr>
          <w:rFonts w:eastAsia="Calibri" w:cstheme="minorHAnsi"/>
        </w:rPr>
        <w:t>Serdarević</w:t>
      </w:r>
      <w:proofErr w:type="spellEnd"/>
      <w:r w:rsidRPr="00437EDE">
        <w:rPr>
          <w:rFonts w:eastAsia="Calibri" w:cstheme="minorHAnsi"/>
        </w:rPr>
        <w:t>, N., Zoga, R.) (2026)</w:t>
      </w:r>
      <w:r>
        <w:rPr>
          <w:rFonts w:eastAsia="Calibri" w:cstheme="minorHAnsi"/>
        </w:rPr>
        <w:t>:</w:t>
      </w:r>
      <w:r w:rsidRPr="00437EDE">
        <w:rPr>
          <w:rFonts w:eastAsia="Calibri" w:cstheme="minorHAnsi"/>
        </w:rPr>
        <w:t xml:space="preserve"> Bilateral Groundwater Governance Diagnostic Analysis – Neretva TBA (BGGDA). Output 2.1, DIKTAS II Project. February 2026.</w:t>
      </w:r>
    </w:p>
    <w:p w14:paraId="17307C42" w14:textId="33F5D49F" w:rsidR="00437EDE" w:rsidRPr="00437EDE"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Food and Agriculture Organization (FAO) (2018). Gender and land rights database: Bosnia and Herzegovina profile. Rome.</w:t>
      </w:r>
    </w:p>
    <w:p w14:paraId="3A1BBEA7" w14:textId="750BEAC2" w:rsidR="00437EDE" w:rsidRPr="00437EDE"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 xml:space="preserve">Glasnović, P., Novak, Š., </w:t>
      </w:r>
      <w:proofErr w:type="spellStart"/>
      <w:r w:rsidRPr="00437EDE">
        <w:rPr>
          <w:rFonts w:eastAsia="Calibri" w:cstheme="minorHAnsi"/>
        </w:rPr>
        <w:t>Behrič</w:t>
      </w:r>
      <w:proofErr w:type="spellEnd"/>
      <w:r w:rsidRPr="00437EDE">
        <w:rPr>
          <w:rFonts w:eastAsia="Calibri" w:cstheme="minorHAnsi"/>
        </w:rPr>
        <w:t>, S., &amp; Fujs, N. (2015)</w:t>
      </w:r>
      <w:r>
        <w:rPr>
          <w:rFonts w:eastAsia="Calibri" w:cstheme="minorHAnsi"/>
        </w:rPr>
        <w:t>:</w:t>
      </w:r>
      <w:r w:rsidRPr="00437EDE">
        <w:rPr>
          <w:rFonts w:eastAsia="Calibri" w:cstheme="minorHAnsi"/>
        </w:rPr>
        <w:t xml:space="preserve"> Towards a checklist of the vascular flora of the Neretva River </w:t>
      </w:r>
      <w:r w:rsidR="003108B4">
        <w:rPr>
          <w:rFonts w:eastAsia="Calibri" w:cstheme="minorHAnsi"/>
        </w:rPr>
        <w:t>Delta</w:t>
      </w:r>
      <w:r w:rsidRPr="00437EDE">
        <w:rPr>
          <w:rFonts w:eastAsia="Calibri" w:cstheme="minorHAnsi"/>
        </w:rPr>
        <w:t xml:space="preserve"> (Croatia). Natura </w:t>
      </w:r>
      <w:proofErr w:type="spellStart"/>
      <w:r w:rsidRPr="00437EDE">
        <w:rPr>
          <w:rFonts w:eastAsia="Calibri" w:cstheme="minorHAnsi"/>
        </w:rPr>
        <w:t>Croatica</w:t>
      </w:r>
      <w:proofErr w:type="spellEnd"/>
      <w:r w:rsidRPr="00437EDE">
        <w:rPr>
          <w:rFonts w:eastAsia="Calibri" w:cstheme="minorHAnsi"/>
        </w:rPr>
        <w:t>, 24(2), 163–190.</w:t>
      </w:r>
    </w:p>
    <w:p w14:paraId="35CABD5C" w14:textId="5A489214" w:rsidR="00437EDE" w:rsidRDefault="00437EDE" w:rsidP="00437EDE">
      <w:pPr>
        <w:pStyle w:val="ListParagraph"/>
        <w:numPr>
          <w:ilvl w:val="0"/>
          <w:numId w:val="21"/>
        </w:numPr>
        <w:spacing w:after="200" w:line="276" w:lineRule="auto"/>
        <w:jc w:val="both"/>
        <w:rPr>
          <w:rFonts w:eastAsia="Calibri" w:cstheme="minorHAnsi"/>
        </w:rPr>
      </w:pPr>
      <w:proofErr w:type="spellStart"/>
      <w:r w:rsidRPr="00437EDE">
        <w:rPr>
          <w:rFonts w:eastAsia="Calibri" w:cstheme="minorHAnsi"/>
        </w:rPr>
        <w:t>Glamuzina</w:t>
      </w:r>
      <w:proofErr w:type="spellEnd"/>
      <w:r w:rsidRPr="00437EDE">
        <w:rPr>
          <w:rFonts w:eastAsia="Calibri" w:cstheme="minorHAnsi"/>
        </w:rPr>
        <w:t>, B., Tutman, P., Nikolić, V., et al. (2017)</w:t>
      </w:r>
      <w:r>
        <w:rPr>
          <w:rFonts w:eastAsia="Calibri" w:cstheme="minorHAnsi"/>
        </w:rPr>
        <w:t>:</w:t>
      </w:r>
      <w:r w:rsidRPr="00437EDE">
        <w:rPr>
          <w:rFonts w:eastAsia="Calibri" w:cstheme="minorHAnsi"/>
        </w:rPr>
        <w:t xml:space="preserve"> Risk screening of invasive fishes in the Neretva catchment. River Research and Applications.</w:t>
      </w:r>
    </w:p>
    <w:p w14:paraId="5C897D81" w14:textId="263F3B79" w:rsidR="007A1174" w:rsidRPr="007A1174" w:rsidRDefault="007A1174" w:rsidP="007A1174">
      <w:pPr>
        <w:pStyle w:val="ListParagraph"/>
        <w:numPr>
          <w:ilvl w:val="0"/>
          <w:numId w:val="21"/>
        </w:numPr>
        <w:jc w:val="both"/>
        <w:rPr>
          <w:rFonts w:eastAsia="Calibri" w:cstheme="minorHAnsi"/>
        </w:rPr>
      </w:pPr>
      <w:r w:rsidRPr="007A1174">
        <w:rPr>
          <w:rFonts w:eastAsia="Calibri" w:cstheme="minorHAnsi"/>
        </w:rPr>
        <w:t>Heinz, B., Birk, S., Liedl, R., Geyer, T, Straub, K., Bester, K., Kappler, A. (2006): Vulnerability of a Karst Spring to Wastewater Infiltration (</w:t>
      </w:r>
      <w:proofErr w:type="spellStart"/>
      <w:r w:rsidRPr="007A1174">
        <w:rPr>
          <w:rFonts w:eastAsia="Calibri" w:cstheme="minorHAnsi"/>
        </w:rPr>
        <w:t>Gallusquelle</w:t>
      </w:r>
      <w:proofErr w:type="spellEnd"/>
      <w:r w:rsidRPr="007A1174">
        <w:rPr>
          <w:rFonts w:eastAsia="Calibri" w:cstheme="minorHAnsi"/>
        </w:rPr>
        <w:t xml:space="preserve">, Southwest Germany). Austrian Journal of Earth Sciences, 99, pp. 11-17. </w:t>
      </w:r>
    </w:p>
    <w:p w14:paraId="515B8898" w14:textId="25427032" w:rsidR="002B5D94" w:rsidRDefault="002B5D94" w:rsidP="00437EDE">
      <w:pPr>
        <w:pStyle w:val="ListParagraph"/>
        <w:numPr>
          <w:ilvl w:val="0"/>
          <w:numId w:val="21"/>
        </w:numPr>
        <w:spacing w:after="200" w:line="276" w:lineRule="auto"/>
        <w:jc w:val="both"/>
        <w:rPr>
          <w:rFonts w:eastAsia="Calibri" w:cstheme="minorHAnsi"/>
        </w:rPr>
      </w:pPr>
      <w:r w:rsidRPr="002B5D94">
        <w:rPr>
          <w:rFonts w:eastAsia="Calibri" w:cstheme="minorHAnsi"/>
        </w:rPr>
        <w:t>Integra d.o.o. (2018)</w:t>
      </w:r>
      <w:r>
        <w:rPr>
          <w:rFonts w:eastAsia="Calibri" w:cstheme="minorHAnsi"/>
        </w:rPr>
        <w:t>:</w:t>
      </w:r>
      <w:r w:rsidRPr="002B5D94">
        <w:rPr>
          <w:rFonts w:eastAsia="Calibri" w:cstheme="minorHAnsi"/>
        </w:rPr>
        <w:t xml:space="preserve"> Water source protection study of the </w:t>
      </w:r>
      <w:proofErr w:type="spellStart"/>
      <w:r w:rsidRPr="002B5D94">
        <w:rPr>
          <w:rFonts w:eastAsia="Calibri" w:cstheme="minorHAnsi"/>
        </w:rPr>
        <w:t>Vrioštica</w:t>
      </w:r>
      <w:proofErr w:type="spellEnd"/>
      <w:r w:rsidRPr="002B5D94">
        <w:rPr>
          <w:rFonts w:eastAsia="Calibri" w:cstheme="minorHAnsi"/>
        </w:rPr>
        <w:t xml:space="preserve"> Spring (In Croatian: </w:t>
      </w:r>
      <w:proofErr w:type="spellStart"/>
      <w:r w:rsidRPr="002B5D94">
        <w:rPr>
          <w:rFonts w:eastAsia="Calibri" w:cstheme="minorHAnsi"/>
        </w:rPr>
        <w:t>Elaborat</w:t>
      </w:r>
      <w:proofErr w:type="spellEnd"/>
      <w:r w:rsidRPr="002B5D94">
        <w:rPr>
          <w:rFonts w:eastAsia="Calibri" w:cstheme="minorHAnsi"/>
        </w:rPr>
        <w:t xml:space="preserve"> </w:t>
      </w:r>
      <w:proofErr w:type="spellStart"/>
      <w:r w:rsidRPr="002B5D94">
        <w:rPr>
          <w:rFonts w:eastAsia="Calibri" w:cstheme="minorHAnsi"/>
        </w:rPr>
        <w:t>zaštite</w:t>
      </w:r>
      <w:proofErr w:type="spellEnd"/>
      <w:r w:rsidRPr="002B5D94">
        <w:rPr>
          <w:rFonts w:eastAsia="Calibri" w:cstheme="minorHAnsi"/>
        </w:rPr>
        <w:t xml:space="preserve"> </w:t>
      </w:r>
      <w:proofErr w:type="spellStart"/>
      <w:r w:rsidRPr="002B5D94">
        <w:rPr>
          <w:rFonts w:eastAsia="Calibri" w:cstheme="minorHAnsi"/>
        </w:rPr>
        <w:t>izvorišta</w:t>
      </w:r>
      <w:proofErr w:type="spellEnd"/>
      <w:r w:rsidRPr="002B5D94">
        <w:rPr>
          <w:rFonts w:eastAsia="Calibri" w:cstheme="minorHAnsi"/>
        </w:rPr>
        <w:t xml:space="preserve"> </w:t>
      </w:r>
      <w:proofErr w:type="spellStart"/>
      <w:r w:rsidRPr="002B5D94">
        <w:rPr>
          <w:rFonts w:eastAsia="Calibri" w:cstheme="minorHAnsi"/>
        </w:rPr>
        <w:t>Vrioštice</w:t>
      </w:r>
      <w:proofErr w:type="spellEnd"/>
      <w:r w:rsidRPr="002B5D94">
        <w:rPr>
          <w:rFonts w:eastAsia="Calibri" w:cstheme="minorHAnsi"/>
        </w:rPr>
        <w:t>). Mostar.</w:t>
      </w:r>
    </w:p>
    <w:p w14:paraId="6090D5D4" w14:textId="34B3A51F" w:rsidR="002B5D94" w:rsidRDefault="002B5D94" w:rsidP="00437EDE">
      <w:pPr>
        <w:pStyle w:val="ListParagraph"/>
        <w:numPr>
          <w:ilvl w:val="0"/>
          <w:numId w:val="21"/>
        </w:numPr>
        <w:spacing w:after="200" w:line="276" w:lineRule="auto"/>
        <w:jc w:val="both"/>
        <w:rPr>
          <w:rFonts w:eastAsia="Calibri" w:cstheme="minorHAnsi"/>
        </w:rPr>
      </w:pPr>
      <w:r w:rsidRPr="002B5D94">
        <w:rPr>
          <w:rFonts w:eastAsia="Calibri" w:cstheme="minorHAnsi"/>
        </w:rPr>
        <w:t>Integra d.o.o. (2019)</w:t>
      </w:r>
      <w:r>
        <w:rPr>
          <w:rFonts w:eastAsia="Calibri" w:cstheme="minorHAnsi"/>
        </w:rPr>
        <w:t>:</w:t>
      </w:r>
      <w:r w:rsidRPr="002B5D94">
        <w:rPr>
          <w:rFonts w:eastAsia="Calibri" w:cstheme="minorHAnsi"/>
        </w:rPr>
        <w:t xml:space="preserve"> Water source protection study of the </w:t>
      </w:r>
      <w:proofErr w:type="spellStart"/>
      <w:r w:rsidRPr="002B5D94">
        <w:rPr>
          <w:rFonts w:eastAsia="Calibri" w:cstheme="minorHAnsi"/>
        </w:rPr>
        <w:t>Grudsko</w:t>
      </w:r>
      <w:proofErr w:type="spellEnd"/>
      <w:r w:rsidRPr="002B5D94">
        <w:rPr>
          <w:rFonts w:eastAsia="Calibri" w:cstheme="minorHAnsi"/>
        </w:rPr>
        <w:t xml:space="preserve"> </w:t>
      </w:r>
      <w:proofErr w:type="spellStart"/>
      <w:r w:rsidRPr="002B5D94">
        <w:rPr>
          <w:rFonts w:eastAsia="Calibri" w:cstheme="minorHAnsi"/>
        </w:rPr>
        <w:t>Vrilo</w:t>
      </w:r>
      <w:proofErr w:type="spellEnd"/>
      <w:r w:rsidRPr="002B5D94">
        <w:rPr>
          <w:rFonts w:eastAsia="Calibri" w:cstheme="minorHAnsi"/>
        </w:rPr>
        <w:t xml:space="preserve"> Spring (In Croatian: </w:t>
      </w:r>
      <w:proofErr w:type="spellStart"/>
      <w:r w:rsidRPr="002B5D94">
        <w:rPr>
          <w:rFonts w:eastAsia="Calibri" w:cstheme="minorHAnsi"/>
        </w:rPr>
        <w:t>Elaborat</w:t>
      </w:r>
      <w:proofErr w:type="spellEnd"/>
      <w:r w:rsidRPr="002B5D94">
        <w:rPr>
          <w:rFonts w:eastAsia="Calibri" w:cstheme="minorHAnsi"/>
        </w:rPr>
        <w:t xml:space="preserve"> </w:t>
      </w:r>
      <w:proofErr w:type="spellStart"/>
      <w:r w:rsidRPr="002B5D94">
        <w:rPr>
          <w:rFonts w:eastAsia="Calibri" w:cstheme="minorHAnsi"/>
        </w:rPr>
        <w:t>zaštite</w:t>
      </w:r>
      <w:proofErr w:type="spellEnd"/>
      <w:r w:rsidRPr="002B5D94">
        <w:rPr>
          <w:rFonts w:eastAsia="Calibri" w:cstheme="minorHAnsi"/>
        </w:rPr>
        <w:t xml:space="preserve"> </w:t>
      </w:r>
      <w:proofErr w:type="spellStart"/>
      <w:r w:rsidRPr="002B5D94">
        <w:rPr>
          <w:rFonts w:eastAsia="Calibri" w:cstheme="minorHAnsi"/>
        </w:rPr>
        <w:t>izvorišta</w:t>
      </w:r>
      <w:proofErr w:type="spellEnd"/>
      <w:r w:rsidRPr="002B5D94">
        <w:rPr>
          <w:rFonts w:eastAsia="Calibri" w:cstheme="minorHAnsi"/>
        </w:rPr>
        <w:t xml:space="preserve"> </w:t>
      </w:r>
      <w:proofErr w:type="spellStart"/>
      <w:r w:rsidRPr="002B5D94">
        <w:rPr>
          <w:rFonts w:eastAsia="Calibri" w:cstheme="minorHAnsi"/>
        </w:rPr>
        <w:t>Grudsko</w:t>
      </w:r>
      <w:proofErr w:type="spellEnd"/>
      <w:r w:rsidRPr="002B5D94">
        <w:rPr>
          <w:rFonts w:eastAsia="Calibri" w:cstheme="minorHAnsi"/>
        </w:rPr>
        <w:t xml:space="preserve"> </w:t>
      </w:r>
      <w:proofErr w:type="spellStart"/>
      <w:r w:rsidRPr="002B5D94">
        <w:rPr>
          <w:rFonts w:eastAsia="Calibri" w:cstheme="minorHAnsi"/>
        </w:rPr>
        <w:t>vrilo</w:t>
      </w:r>
      <w:proofErr w:type="spellEnd"/>
      <w:r w:rsidRPr="002B5D94">
        <w:rPr>
          <w:rFonts w:eastAsia="Calibri" w:cstheme="minorHAnsi"/>
        </w:rPr>
        <w:t>). Mostar.</w:t>
      </w:r>
    </w:p>
    <w:p w14:paraId="184EA969" w14:textId="5CAF6982" w:rsidR="00437EDE" w:rsidRPr="00437EDE"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Intergovernmental Panel on Climate Change (IPCC) (2022</w:t>
      </w:r>
      <w:r w:rsidR="00D73F11">
        <w:rPr>
          <w:rFonts w:eastAsia="Calibri" w:cstheme="minorHAnsi"/>
        </w:rPr>
        <w:t>)</w:t>
      </w:r>
      <w:r>
        <w:rPr>
          <w:rFonts w:eastAsia="Calibri" w:cstheme="minorHAnsi"/>
        </w:rPr>
        <w:t>:</w:t>
      </w:r>
      <w:r w:rsidRPr="00437EDE">
        <w:rPr>
          <w:rFonts w:eastAsia="Calibri" w:cstheme="minorHAnsi"/>
        </w:rPr>
        <w:t xml:space="preserve"> Sixth assessment report: Impacts, adaptation and vulnerability. Geneva.</w:t>
      </w:r>
    </w:p>
    <w:p w14:paraId="6F37F6F2" w14:textId="7C4A1638" w:rsidR="00437EDE"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 xml:space="preserve">Jakovljević, I., </w:t>
      </w:r>
      <w:proofErr w:type="spellStart"/>
      <w:r w:rsidRPr="00437EDE">
        <w:rPr>
          <w:rFonts w:eastAsia="Calibri" w:cstheme="minorHAnsi"/>
        </w:rPr>
        <w:t>Stipičević</w:t>
      </w:r>
      <w:proofErr w:type="spellEnd"/>
      <w:r w:rsidRPr="00437EDE">
        <w:rPr>
          <w:rFonts w:eastAsia="Calibri" w:cstheme="minorHAnsi"/>
        </w:rPr>
        <w:t>, S., Herceg Romanić, S., et al. (2025)</w:t>
      </w:r>
      <w:r>
        <w:rPr>
          <w:rFonts w:eastAsia="Calibri" w:cstheme="minorHAnsi"/>
        </w:rPr>
        <w:t>:</w:t>
      </w:r>
      <w:r w:rsidRPr="00437EDE">
        <w:rPr>
          <w:rFonts w:eastAsia="Calibri" w:cstheme="minorHAnsi"/>
        </w:rPr>
        <w:t xml:space="preserve"> Organic pollutants and potentially toxic elements in the Neretva </w:t>
      </w:r>
      <w:r w:rsidR="003108B4">
        <w:rPr>
          <w:rFonts w:eastAsia="Calibri" w:cstheme="minorHAnsi"/>
        </w:rPr>
        <w:t>Delta</w:t>
      </w:r>
      <w:r w:rsidRPr="00437EDE">
        <w:rPr>
          <w:rFonts w:eastAsia="Calibri" w:cstheme="minorHAnsi"/>
        </w:rPr>
        <w:t xml:space="preserve"> sediments. Water, Air, &amp; Soil Pollution, 236, 182.</w:t>
      </w:r>
    </w:p>
    <w:p w14:paraId="3D7D89D0" w14:textId="5A364668" w:rsidR="007C7E58" w:rsidRDefault="007C7E58" w:rsidP="00BA6D3B">
      <w:pPr>
        <w:pStyle w:val="ListParagraph"/>
        <w:numPr>
          <w:ilvl w:val="0"/>
          <w:numId w:val="21"/>
        </w:numPr>
        <w:spacing w:after="200" w:line="276" w:lineRule="auto"/>
        <w:jc w:val="both"/>
        <w:rPr>
          <w:rFonts w:eastAsia="Calibri" w:cstheme="minorHAnsi"/>
        </w:rPr>
      </w:pPr>
      <w:proofErr w:type="spellStart"/>
      <w:r w:rsidRPr="007C7E58">
        <w:rPr>
          <w:rFonts w:eastAsia="Calibri" w:cstheme="minorHAnsi"/>
        </w:rPr>
        <w:t>Jolović</w:t>
      </w:r>
      <w:proofErr w:type="spellEnd"/>
      <w:r w:rsidRPr="007C7E58">
        <w:rPr>
          <w:rFonts w:eastAsia="Calibri" w:cstheme="minorHAnsi"/>
        </w:rPr>
        <w:t xml:space="preserve"> B. (2009)</w:t>
      </w:r>
      <w:r>
        <w:rPr>
          <w:rFonts w:eastAsia="Calibri" w:cstheme="minorHAnsi"/>
        </w:rPr>
        <w:t>:</w:t>
      </w:r>
      <w:r w:rsidRPr="007C7E58">
        <w:rPr>
          <w:rFonts w:eastAsia="Calibri" w:cstheme="minorHAnsi"/>
        </w:rPr>
        <w:t xml:space="preserve"> National hydrogeological report for Bosnia and Herzegovina, Preparatory stage of DIKTAS Project, </w:t>
      </w:r>
      <w:proofErr w:type="spellStart"/>
      <w:r w:rsidRPr="007C7E58">
        <w:rPr>
          <w:rFonts w:eastAsia="Calibri" w:cstheme="minorHAnsi"/>
        </w:rPr>
        <w:t>Zvornik</w:t>
      </w:r>
      <w:proofErr w:type="spellEnd"/>
      <w:r>
        <w:rPr>
          <w:rFonts w:eastAsia="Calibri" w:cstheme="minorHAnsi"/>
        </w:rPr>
        <w:t>.</w:t>
      </w:r>
    </w:p>
    <w:p w14:paraId="4684C724" w14:textId="08731322" w:rsidR="00356E7A" w:rsidRDefault="00356E7A" w:rsidP="00BA6D3B">
      <w:pPr>
        <w:pStyle w:val="ListParagraph"/>
        <w:numPr>
          <w:ilvl w:val="0"/>
          <w:numId w:val="21"/>
        </w:numPr>
        <w:spacing w:after="200" w:line="276" w:lineRule="auto"/>
        <w:jc w:val="both"/>
        <w:rPr>
          <w:rFonts w:eastAsia="Calibri" w:cstheme="minorHAnsi"/>
        </w:rPr>
      </w:pPr>
      <w:r w:rsidRPr="00356E7A">
        <w:rPr>
          <w:rFonts w:eastAsia="Calibri" w:cstheme="minorHAnsi"/>
        </w:rPr>
        <w:t xml:space="preserve">Kuhta M., Brkić Ž. (2020): Analysis of tracer tests conducted in karst areas of the Republic of Croatia (In Croatian: Analiza </w:t>
      </w:r>
      <w:proofErr w:type="spellStart"/>
      <w:r w:rsidRPr="00356E7A">
        <w:rPr>
          <w:rFonts w:eastAsia="Calibri" w:cstheme="minorHAnsi"/>
        </w:rPr>
        <w:t>trasiranja</w:t>
      </w:r>
      <w:proofErr w:type="spellEnd"/>
      <w:r w:rsidRPr="00356E7A">
        <w:rPr>
          <w:rFonts w:eastAsia="Calibri" w:cstheme="minorHAnsi"/>
        </w:rPr>
        <w:t xml:space="preserve"> </w:t>
      </w:r>
      <w:proofErr w:type="spellStart"/>
      <w:r w:rsidRPr="00356E7A">
        <w:rPr>
          <w:rFonts w:eastAsia="Calibri" w:cstheme="minorHAnsi"/>
        </w:rPr>
        <w:t>provedenih</w:t>
      </w:r>
      <w:proofErr w:type="spellEnd"/>
      <w:r w:rsidRPr="00356E7A">
        <w:rPr>
          <w:rFonts w:eastAsia="Calibri" w:cstheme="minorHAnsi"/>
        </w:rPr>
        <w:t xml:space="preserve"> </w:t>
      </w:r>
      <w:proofErr w:type="spellStart"/>
      <w:r w:rsidRPr="00356E7A">
        <w:rPr>
          <w:rFonts w:eastAsia="Calibri" w:cstheme="minorHAnsi"/>
        </w:rPr>
        <w:t>na</w:t>
      </w:r>
      <w:proofErr w:type="spellEnd"/>
      <w:r w:rsidRPr="00356E7A">
        <w:rPr>
          <w:rFonts w:eastAsia="Calibri" w:cstheme="minorHAnsi"/>
        </w:rPr>
        <w:t xml:space="preserve"> </w:t>
      </w:r>
      <w:proofErr w:type="spellStart"/>
      <w:r w:rsidRPr="00356E7A">
        <w:rPr>
          <w:rFonts w:eastAsia="Calibri" w:cstheme="minorHAnsi"/>
        </w:rPr>
        <w:t>području</w:t>
      </w:r>
      <w:proofErr w:type="spellEnd"/>
      <w:r w:rsidRPr="00356E7A">
        <w:rPr>
          <w:rFonts w:eastAsia="Calibri" w:cstheme="minorHAnsi"/>
        </w:rPr>
        <w:t xml:space="preserve"> </w:t>
      </w:r>
      <w:proofErr w:type="spellStart"/>
      <w:r w:rsidRPr="00356E7A">
        <w:rPr>
          <w:rFonts w:eastAsia="Calibri" w:cstheme="minorHAnsi"/>
        </w:rPr>
        <w:t>krša</w:t>
      </w:r>
      <w:proofErr w:type="spellEnd"/>
      <w:r w:rsidRPr="00356E7A">
        <w:rPr>
          <w:rFonts w:eastAsia="Calibri" w:cstheme="minorHAnsi"/>
        </w:rPr>
        <w:t xml:space="preserve"> u </w:t>
      </w:r>
      <w:proofErr w:type="spellStart"/>
      <w:r w:rsidRPr="00356E7A">
        <w:rPr>
          <w:rFonts w:eastAsia="Calibri" w:cstheme="minorHAnsi"/>
        </w:rPr>
        <w:t>Republici</w:t>
      </w:r>
      <w:proofErr w:type="spellEnd"/>
      <w:r w:rsidRPr="00356E7A">
        <w:rPr>
          <w:rFonts w:eastAsia="Calibri" w:cstheme="minorHAnsi"/>
        </w:rPr>
        <w:t xml:space="preserve"> </w:t>
      </w:r>
      <w:proofErr w:type="spellStart"/>
      <w:r w:rsidRPr="00356E7A">
        <w:rPr>
          <w:rFonts w:eastAsia="Calibri" w:cstheme="minorHAnsi"/>
        </w:rPr>
        <w:t>Hrvatskoj</w:t>
      </w:r>
      <w:proofErr w:type="spellEnd"/>
      <w:r w:rsidRPr="00356E7A">
        <w:rPr>
          <w:rFonts w:eastAsia="Calibri" w:cstheme="minorHAnsi"/>
        </w:rPr>
        <w:t>), Croatian Geological Survey, Zagreb</w:t>
      </w:r>
      <w:r>
        <w:rPr>
          <w:rFonts w:eastAsia="Calibri" w:cstheme="minorHAnsi"/>
        </w:rPr>
        <w:t>.</w:t>
      </w:r>
    </w:p>
    <w:p w14:paraId="75838082" w14:textId="686CDF55" w:rsidR="007A1174" w:rsidRDefault="007A1174" w:rsidP="00BA6D3B">
      <w:pPr>
        <w:pStyle w:val="ListParagraph"/>
        <w:numPr>
          <w:ilvl w:val="0"/>
          <w:numId w:val="21"/>
        </w:numPr>
        <w:spacing w:after="200" w:line="276" w:lineRule="auto"/>
        <w:jc w:val="both"/>
        <w:rPr>
          <w:rFonts w:eastAsia="Calibri" w:cstheme="minorHAnsi"/>
        </w:rPr>
      </w:pPr>
      <w:r w:rsidRPr="007A1174">
        <w:rPr>
          <w:rFonts w:eastAsia="Calibri" w:cstheme="minorHAnsi"/>
        </w:rPr>
        <w:t xml:space="preserve">Lukač-Reberski, J., Selak, A., Lapworth, D. J., Maurice, L. D., Terzić, J., Civil, W., </w:t>
      </w:r>
      <w:proofErr w:type="spellStart"/>
      <w:r w:rsidRPr="007A1174">
        <w:rPr>
          <w:rFonts w:eastAsia="Calibri" w:cstheme="minorHAnsi"/>
        </w:rPr>
        <w:t>Stroj</w:t>
      </w:r>
      <w:proofErr w:type="spellEnd"/>
      <w:r w:rsidRPr="007A1174">
        <w:rPr>
          <w:rFonts w:eastAsia="Calibri" w:cstheme="minorHAnsi"/>
        </w:rPr>
        <w:t xml:space="preserve">, A. (2023): Emerging organic contaminants in springs of the highly </w:t>
      </w:r>
      <w:proofErr w:type="spellStart"/>
      <w:r w:rsidRPr="007A1174">
        <w:rPr>
          <w:rFonts w:eastAsia="Calibri" w:cstheme="minorHAnsi"/>
        </w:rPr>
        <w:t>karstified</w:t>
      </w:r>
      <w:proofErr w:type="spellEnd"/>
      <w:r w:rsidRPr="007A1174">
        <w:rPr>
          <w:rFonts w:eastAsia="Calibri" w:cstheme="minorHAnsi"/>
        </w:rPr>
        <w:t xml:space="preserve"> Dinaric region.  Journal of Hydrology, 621, 129583</w:t>
      </w:r>
      <w:r>
        <w:rPr>
          <w:rFonts w:eastAsia="Calibri" w:cstheme="minorHAnsi"/>
        </w:rPr>
        <w:t>.</w:t>
      </w:r>
    </w:p>
    <w:p w14:paraId="081A4106" w14:textId="6A97C603" w:rsidR="007C7E58" w:rsidRDefault="007C7E58" w:rsidP="00BA6D3B">
      <w:pPr>
        <w:pStyle w:val="ListParagraph"/>
        <w:numPr>
          <w:ilvl w:val="0"/>
          <w:numId w:val="21"/>
        </w:numPr>
        <w:spacing w:after="200" w:line="276" w:lineRule="auto"/>
        <w:jc w:val="both"/>
        <w:rPr>
          <w:rFonts w:eastAsia="Calibri" w:cstheme="minorHAnsi"/>
        </w:rPr>
      </w:pPr>
      <w:r w:rsidRPr="007C7E58">
        <w:rPr>
          <w:rFonts w:eastAsia="Calibri" w:cstheme="minorHAnsi"/>
        </w:rPr>
        <w:t>Milanović, P. (2018)</w:t>
      </w:r>
      <w:r>
        <w:rPr>
          <w:rFonts w:eastAsia="Calibri" w:cstheme="minorHAnsi"/>
        </w:rPr>
        <w:t>:</w:t>
      </w:r>
      <w:r w:rsidRPr="007C7E58">
        <w:rPr>
          <w:rFonts w:eastAsia="Calibri" w:cstheme="minorHAnsi"/>
        </w:rPr>
        <w:t xml:space="preserve"> Karst hydrogeology. Water Resources Publications, reprint Centre for Karst Hydrogeology, Belgrade</w:t>
      </w:r>
      <w:r>
        <w:rPr>
          <w:rFonts w:eastAsia="Calibri" w:cstheme="minorHAnsi"/>
        </w:rPr>
        <w:t>.</w:t>
      </w:r>
    </w:p>
    <w:p w14:paraId="78C2EE3F" w14:textId="2E91B50E" w:rsidR="00D00ED1" w:rsidRDefault="00D00ED1" w:rsidP="00BA6D3B">
      <w:pPr>
        <w:pStyle w:val="ListParagraph"/>
        <w:numPr>
          <w:ilvl w:val="0"/>
          <w:numId w:val="21"/>
        </w:numPr>
        <w:spacing w:after="200" w:line="276" w:lineRule="auto"/>
        <w:jc w:val="both"/>
        <w:rPr>
          <w:rFonts w:eastAsia="Calibri" w:cstheme="minorHAnsi"/>
        </w:rPr>
      </w:pPr>
      <w:r w:rsidRPr="00D00ED1">
        <w:rPr>
          <w:rFonts w:eastAsia="Calibri" w:cstheme="minorHAnsi"/>
        </w:rPr>
        <w:t>National Monitoring Plan for 2025, Water Institute Josip Juraj Strossmayer, 2025</w:t>
      </w:r>
    </w:p>
    <w:p w14:paraId="7D46BB3E" w14:textId="4DE294BC" w:rsidR="00437EDE"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Organisation for Economic Co-operation and Development (OECD) (2025)</w:t>
      </w:r>
      <w:r>
        <w:rPr>
          <w:rFonts w:eastAsia="Calibri" w:cstheme="minorHAnsi"/>
        </w:rPr>
        <w:t>:</w:t>
      </w:r>
      <w:r w:rsidRPr="00437EDE">
        <w:rPr>
          <w:rFonts w:eastAsia="Calibri" w:cstheme="minorHAnsi"/>
        </w:rPr>
        <w:t xml:space="preserve"> OECD reviews of labour market and social policies: Croatia. Paris.</w:t>
      </w:r>
    </w:p>
    <w:p w14:paraId="5CBACC8B" w14:textId="33E1287A" w:rsidR="002B5D94" w:rsidRPr="00437EDE" w:rsidRDefault="002B5D94" w:rsidP="00437EDE">
      <w:pPr>
        <w:pStyle w:val="ListParagraph"/>
        <w:numPr>
          <w:ilvl w:val="0"/>
          <w:numId w:val="21"/>
        </w:numPr>
        <w:spacing w:after="200" w:line="276" w:lineRule="auto"/>
        <w:jc w:val="both"/>
        <w:rPr>
          <w:rFonts w:eastAsia="Calibri" w:cstheme="minorHAnsi"/>
        </w:rPr>
      </w:pPr>
      <w:r w:rsidRPr="002B5D94">
        <w:rPr>
          <w:rFonts w:eastAsia="Calibri" w:cstheme="minorHAnsi"/>
        </w:rPr>
        <w:t>Slišković, I. (1996)</w:t>
      </w:r>
      <w:r>
        <w:rPr>
          <w:rFonts w:eastAsia="Calibri" w:cstheme="minorHAnsi"/>
        </w:rPr>
        <w:t>:</w:t>
      </w:r>
      <w:r w:rsidRPr="002B5D94">
        <w:rPr>
          <w:rFonts w:eastAsia="Calibri" w:cstheme="minorHAnsi"/>
        </w:rPr>
        <w:t xml:space="preserve"> Elaborate – Hydrogeological investigations for the proposal of sanitary protection zones of the </w:t>
      </w:r>
      <w:proofErr w:type="spellStart"/>
      <w:r w:rsidRPr="002B5D94">
        <w:rPr>
          <w:rFonts w:eastAsia="Calibri" w:cstheme="minorHAnsi"/>
        </w:rPr>
        <w:t>Prud</w:t>
      </w:r>
      <w:proofErr w:type="spellEnd"/>
      <w:r w:rsidRPr="002B5D94">
        <w:rPr>
          <w:rFonts w:eastAsia="Calibri" w:cstheme="minorHAnsi"/>
        </w:rPr>
        <w:t xml:space="preserve"> Spring (Norin River) (In Croatian: </w:t>
      </w:r>
      <w:proofErr w:type="spellStart"/>
      <w:r w:rsidRPr="002B5D94">
        <w:rPr>
          <w:rFonts w:eastAsia="Calibri" w:cstheme="minorHAnsi"/>
        </w:rPr>
        <w:t>Elaborat</w:t>
      </w:r>
      <w:proofErr w:type="spellEnd"/>
      <w:r w:rsidRPr="002B5D94">
        <w:rPr>
          <w:rFonts w:eastAsia="Calibri" w:cstheme="minorHAnsi"/>
        </w:rPr>
        <w:t xml:space="preserve"> – </w:t>
      </w:r>
      <w:proofErr w:type="spellStart"/>
      <w:r w:rsidRPr="002B5D94">
        <w:rPr>
          <w:rFonts w:eastAsia="Calibri" w:cstheme="minorHAnsi"/>
        </w:rPr>
        <w:t>Hidrogeološka</w:t>
      </w:r>
      <w:proofErr w:type="spellEnd"/>
      <w:r w:rsidRPr="002B5D94">
        <w:rPr>
          <w:rFonts w:eastAsia="Calibri" w:cstheme="minorHAnsi"/>
        </w:rPr>
        <w:t xml:space="preserve"> </w:t>
      </w:r>
      <w:proofErr w:type="spellStart"/>
      <w:r w:rsidRPr="002B5D94">
        <w:rPr>
          <w:rFonts w:eastAsia="Calibri" w:cstheme="minorHAnsi"/>
        </w:rPr>
        <w:lastRenderedPageBreak/>
        <w:t>istraživanja</w:t>
      </w:r>
      <w:proofErr w:type="spellEnd"/>
      <w:r w:rsidRPr="002B5D94">
        <w:rPr>
          <w:rFonts w:eastAsia="Calibri" w:cstheme="minorHAnsi"/>
        </w:rPr>
        <w:t xml:space="preserve"> za </w:t>
      </w:r>
      <w:proofErr w:type="spellStart"/>
      <w:r w:rsidRPr="002B5D94">
        <w:rPr>
          <w:rFonts w:eastAsia="Calibri" w:cstheme="minorHAnsi"/>
        </w:rPr>
        <w:t>prijedlog</w:t>
      </w:r>
      <w:proofErr w:type="spellEnd"/>
      <w:r w:rsidRPr="002B5D94">
        <w:rPr>
          <w:rFonts w:eastAsia="Calibri" w:cstheme="minorHAnsi"/>
        </w:rPr>
        <w:t xml:space="preserve"> zona </w:t>
      </w:r>
      <w:proofErr w:type="spellStart"/>
      <w:r w:rsidRPr="002B5D94">
        <w:rPr>
          <w:rFonts w:eastAsia="Calibri" w:cstheme="minorHAnsi"/>
        </w:rPr>
        <w:t>sanitarne</w:t>
      </w:r>
      <w:proofErr w:type="spellEnd"/>
      <w:r w:rsidRPr="002B5D94">
        <w:rPr>
          <w:rFonts w:eastAsia="Calibri" w:cstheme="minorHAnsi"/>
        </w:rPr>
        <w:t xml:space="preserve"> </w:t>
      </w:r>
      <w:proofErr w:type="spellStart"/>
      <w:r w:rsidRPr="002B5D94">
        <w:rPr>
          <w:rFonts w:eastAsia="Calibri" w:cstheme="minorHAnsi"/>
        </w:rPr>
        <w:t>zaštite</w:t>
      </w:r>
      <w:proofErr w:type="spellEnd"/>
      <w:r w:rsidRPr="002B5D94">
        <w:rPr>
          <w:rFonts w:eastAsia="Calibri" w:cstheme="minorHAnsi"/>
        </w:rPr>
        <w:t xml:space="preserve"> </w:t>
      </w:r>
      <w:proofErr w:type="spellStart"/>
      <w:r w:rsidRPr="002B5D94">
        <w:rPr>
          <w:rFonts w:eastAsia="Calibri" w:cstheme="minorHAnsi"/>
        </w:rPr>
        <w:t>izvora</w:t>
      </w:r>
      <w:proofErr w:type="spellEnd"/>
      <w:r w:rsidRPr="002B5D94">
        <w:rPr>
          <w:rFonts w:eastAsia="Calibri" w:cstheme="minorHAnsi"/>
        </w:rPr>
        <w:t xml:space="preserve"> </w:t>
      </w:r>
      <w:proofErr w:type="spellStart"/>
      <w:r w:rsidRPr="002B5D94">
        <w:rPr>
          <w:rFonts w:eastAsia="Calibri" w:cstheme="minorHAnsi"/>
        </w:rPr>
        <w:t>Prud</w:t>
      </w:r>
      <w:proofErr w:type="spellEnd"/>
      <w:r w:rsidRPr="002B5D94">
        <w:rPr>
          <w:rFonts w:eastAsia="Calibri" w:cstheme="minorHAnsi"/>
        </w:rPr>
        <w:t xml:space="preserve"> (</w:t>
      </w:r>
      <w:proofErr w:type="spellStart"/>
      <w:r w:rsidRPr="002B5D94">
        <w:rPr>
          <w:rFonts w:eastAsia="Calibri" w:cstheme="minorHAnsi"/>
        </w:rPr>
        <w:t>Norinska</w:t>
      </w:r>
      <w:proofErr w:type="spellEnd"/>
      <w:r w:rsidRPr="002B5D94">
        <w:rPr>
          <w:rFonts w:eastAsia="Calibri" w:cstheme="minorHAnsi"/>
        </w:rPr>
        <w:t xml:space="preserve"> </w:t>
      </w:r>
      <w:proofErr w:type="spellStart"/>
      <w:r w:rsidRPr="002B5D94">
        <w:rPr>
          <w:rFonts w:eastAsia="Calibri" w:cstheme="minorHAnsi"/>
        </w:rPr>
        <w:t>rijeka</w:t>
      </w:r>
      <w:proofErr w:type="spellEnd"/>
      <w:r w:rsidRPr="002B5D94">
        <w:rPr>
          <w:rFonts w:eastAsia="Calibri" w:cstheme="minorHAnsi"/>
        </w:rPr>
        <w:t>)). Archive of the Croatian Geological Survey, Report No. 55/96.</w:t>
      </w:r>
    </w:p>
    <w:p w14:paraId="3A672A8B" w14:textId="77777777" w:rsidR="00437EDE" w:rsidRDefault="00437EDE" w:rsidP="00437EDE">
      <w:pPr>
        <w:pStyle w:val="ListParagraph"/>
        <w:numPr>
          <w:ilvl w:val="0"/>
          <w:numId w:val="21"/>
        </w:numPr>
        <w:spacing w:after="200" w:line="276" w:lineRule="auto"/>
        <w:jc w:val="both"/>
        <w:rPr>
          <w:rFonts w:eastAsia="Calibri" w:cstheme="minorHAnsi"/>
        </w:rPr>
      </w:pPr>
      <w:r w:rsidRPr="007C7E58">
        <w:rPr>
          <w:rFonts w:eastAsia="Calibri" w:cstheme="minorHAnsi"/>
        </w:rPr>
        <w:t>Terzić, J., Frangen, T., Lukač-Reberski, J. (2019)</w:t>
      </w:r>
      <w:r>
        <w:rPr>
          <w:rFonts w:eastAsia="Calibri" w:cstheme="minorHAnsi"/>
        </w:rPr>
        <w:t>:</w:t>
      </w:r>
      <w:r w:rsidRPr="007C7E58">
        <w:rPr>
          <w:rFonts w:eastAsia="Calibri" w:cstheme="minorHAnsi"/>
        </w:rPr>
        <w:t xml:space="preserve"> Update of sanitary protection zones for the </w:t>
      </w:r>
      <w:proofErr w:type="spellStart"/>
      <w:r w:rsidRPr="007C7E58">
        <w:rPr>
          <w:rFonts w:eastAsia="Calibri" w:cstheme="minorHAnsi"/>
        </w:rPr>
        <w:t>Prud</w:t>
      </w:r>
      <w:proofErr w:type="spellEnd"/>
      <w:r w:rsidRPr="007C7E58">
        <w:rPr>
          <w:rFonts w:eastAsia="Calibri" w:cstheme="minorHAnsi"/>
        </w:rPr>
        <w:t xml:space="preserve"> water source – Croatian territory, Croatian Geological Survey, Zagreb</w:t>
      </w:r>
      <w:r>
        <w:rPr>
          <w:rFonts w:eastAsia="Calibri" w:cstheme="minorHAnsi"/>
        </w:rPr>
        <w:t>.</w:t>
      </w:r>
    </w:p>
    <w:p w14:paraId="294453A3" w14:textId="38491E71" w:rsidR="002B5D94" w:rsidRPr="00D60A13" w:rsidRDefault="002B5D94" w:rsidP="00437EDE">
      <w:pPr>
        <w:pStyle w:val="ListParagraph"/>
        <w:numPr>
          <w:ilvl w:val="0"/>
          <w:numId w:val="21"/>
        </w:numPr>
        <w:spacing w:after="200" w:line="276" w:lineRule="auto"/>
        <w:jc w:val="both"/>
        <w:rPr>
          <w:rFonts w:eastAsia="Calibri" w:cstheme="minorHAnsi"/>
        </w:rPr>
      </w:pPr>
      <w:r w:rsidRPr="002B5D94">
        <w:rPr>
          <w:rFonts w:eastAsia="Calibri" w:cstheme="minorHAnsi"/>
        </w:rPr>
        <w:t>Terzić, J., Frangen, T. (2019)</w:t>
      </w:r>
      <w:r>
        <w:rPr>
          <w:rFonts w:eastAsia="Calibri" w:cstheme="minorHAnsi"/>
        </w:rPr>
        <w:t>:</w:t>
      </w:r>
      <w:r w:rsidRPr="002B5D94">
        <w:rPr>
          <w:rFonts w:eastAsia="Calibri" w:cstheme="minorHAnsi"/>
        </w:rPr>
        <w:t xml:space="preserve"> Transboundary sanitary protection zones of the </w:t>
      </w:r>
      <w:proofErr w:type="spellStart"/>
      <w:r w:rsidRPr="002B5D94">
        <w:rPr>
          <w:rFonts w:eastAsia="Calibri" w:cstheme="minorHAnsi"/>
        </w:rPr>
        <w:t>Prud</w:t>
      </w:r>
      <w:proofErr w:type="spellEnd"/>
      <w:r w:rsidRPr="002B5D94">
        <w:rPr>
          <w:rFonts w:eastAsia="Calibri" w:cstheme="minorHAnsi"/>
        </w:rPr>
        <w:t xml:space="preserve"> Spring – Testing the methodology from the document “Proposal of a protection system and methods for the protection of karst aquifers in the border areas of Bosnia and Herzegovina and Croatia” (In Croatian: </w:t>
      </w:r>
      <w:proofErr w:type="spellStart"/>
      <w:r w:rsidRPr="002B5D94">
        <w:rPr>
          <w:rFonts w:eastAsia="Calibri" w:cstheme="minorHAnsi"/>
        </w:rPr>
        <w:t>Prekogranične</w:t>
      </w:r>
      <w:proofErr w:type="spellEnd"/>
      <w:r w:rsidRPr="002B5D94">
        <w:rPr>
          <w:rFonts w:eastAsia="Calibri" w:cstheme="minorHAnsi"/>
        </w:rPr>
        <w:t xml:space="preserve"> zone </w:t>
      </w:r>
      <w:proofErr w:type="spellStart"/>
      <w:r w:rsidRPr="002B5D94">
        <w:rPr>
          <w:rFonts w:eastAsia="Calibri" w:cstheme="minorHAnsi"/>
        </w:rPr>
        <w:t>sanitarne</w:t>
      </w:r>
      <w:proofErr w:type="spellEnd"/>
      <w:r w:rsidRPr="002B5D94">
        <w:rPr>
          <w:rFonts w:eastAsia="Calibri" w:cstheme="minorHAnsi"/>
        </w:rPr>
        <w:t xml:space="preserve"> </w:t>
      </w:r>
      <w:proofErr w:type="spellStart"/>
      <w:r w:rsidRPr="002B5D94">
        <w:rPr>
          <w:rFonts w:eastAsia="Calibri" w:cstheme="minorHAnsi"/>
        </w:rPr>
        <w:t>zaštite</w:t>
      </w:r>
      <w:proofErr w:type="spellEnd"/>
      <w:r w:rsidRPr="002B5D94">
        <w:rPr>
          <w:rFonts w:eastAsia="Calibri" w:cstheme="minorHAnsi"/>
        </w:rPr>
        <w:t xml:space="preserve"> </w:t>
      </w:r>
      <w:proofErr w:type="spellStart"/>
      <w:r w:rsidRPr="002B5D94">
        <w:rPr>
          <w:rFonts w:eastAsia="Calibri" w:cstheme="minorHAnsi"/>
        </w:rPr>
        <w:t>izvora</w:t>
      </w:r>
      <w:proofErr w:type="spellEnd"/>
      <w:r w:rsidRPr="002B5D94">
        <w:rPr>
          <w:rFonts w:eastAsia="Calibri" w:cstheme="minorHAnsi"/>
        </w:rPr>
        <w:t xml:space="preserve"> </w:t>
      </w:r>
      <w:proofErr w:type="spellStart"/>
      <w:r w:rsidRPr="002B5D94">
        <w:rPr>
          <w:rFonts w:eastAsia="Calibri" w:cstheme="minorHAnsi"/>
        </w:rPr>
        <w:t>Prud</w:t>
      </w:r>
      <w:proofErr w:type="spellEnd"/>
      <w:r w:rsidRPr="002B5D94">
        <w:rPr>
          <w:rFonts w:eastAsia="Calibri" w:cstheme="minorHAnsi"/>
        </w:rPr>
        <w:t xml:space="preserve"> – </w:t>
      </w:r>
      <w:proofErr w:type="spellStart"/>
      <w:r w:rsidRPr="002B5D94">
        <w:rPr>
          <w:rFonts w:eastAsia="Calibri" w:cstheme="minorHAnsi"/>
        </w:rPr>
        <w:t>Testiranje</w:t>
      </w:r>
      <w:proofErr w:type="spellEnd"/>
      <w:r w:rsidRPr="002B5D94">
        <w:rPr>
          <w:rFonts w:eastAsia="Calibri" w:cstheme="minorHAnsi"/>
        </w:rPr>
        <w:t xml:space="preserve"> </w:t>
      </w:r>
      <w:proofErr w:type="spellStart"/>
      <w:r w:rsidRPr="002B5D94">
        <w:rPr>
          <w:rFonts w:eastAsia="Calibri" w:cstheme="minorHAnsi"/>
        </w:rPr>
        <w:t>metodologije</w:t>
      </w:r>
      <w:proofErr w:type="spellEnd"/>
      <w:r w:rsidRPr="002B5D94">
        <w:rPr>
          <w:rFonts w:eastAsia="Calibri" w:cstheme="minorHAnsi"/>
        </w:rPr>
        <w:t xml:space="preserve"> </w:t>
      </w:r>
      <w:proofErr w:type="spellStart"/>
      <w:r w:rsidRPr="002B5D94">
        <w:rPr>
          <w:rFonts w:eastAsia="Calibri" w:cstheme="minorHAnsi"/>
        </w:rPr>
        <w:t>iz</w:t>
      </w:r>
      <w:proofErr w:type="spellEnd"/>
      <w:r w:rsidRPr="002B5D94">
        <w:rPr>
          <w:rFonts w:eastAsia="Calibri" w:cstheme="minorHAnsi"/>
        </w:rPr>
        <w:t xml:space="preserve"> </w:t>
      </w:r>
      <w:proofErr w:type="spellStart"/>
      <w:r w:rsidRPr="002B5D94">
        <w:rPr>
          <w:rFonts w:eastAsia="Calibri" w:cstheme="minorHAnsi"/>
        </w:rPr>
        <w:t>dokumenta</w:t>
      </w:r>
      <w:proofErr w:type="spellEnd"/>
      <w:r w:rsidRPr="002B5D94">
        <w:rPr>
          <w:rFonts w:eastAsia="Calibri" w:cstheme="minorHAnsi"/>
        </w:rPr>
        <w:t xml:space="preserve"> </w:t>
      </w:r>
      <w:proofErr w:type="spellStart"/>
      <w:r w:rsidRPr="002B5D94">
        <w:rPr>
          <w:rFonts w:eastAsia="Calibri" w:cstheme="minorHAnsi"/>
        </w:rPr>
        <w:t>Prijedlog</w:t>
      </w:r>
      <w:proofErr w:type="spellEnd"/>
      <w:r w:rsidRPr="002B5D94">
        <w:rPr>
          <w:rFonts w:eastAsia="Calibri" w:cstheme="minorHAnsi"/>
        </w:rPr>
        <w:t xml:space="preserve"> </w:t>
      </w:r>
      <w:proofErr w:type="spellStart"/>
      <w:r w:rsidRPr="002B5D94">
        <w:rPr>
          <w:rFonts w:eastAsia="Calibri" w:cstheme="minorHAnsi"/>
        </w:rPr>
        <w:t>sustava</w:t>
      </w:r>
      <w:proofErr w:type="spellEnd"/>
      <w:r w:rsidRPr="002B5D94">
        <w:rPr>
          <w:rFonts w:eastAsia="Calibri" w:cstheme="minorHAnsi"/>
        </w:rPr>
        <w:t xml:space="preserve"> </w:t>
      </w:r>
      <w:proofErr w:type="spellStart"/>
      <w:r w:rsidRPr="002B5D94">
        <w:rPr>
          <w:rFonts w:eastAsia="Calibri" w:cstheme="minorHAnsi"/>
        </w:rPr>
        <w:t>zaštite</w:t>
      </w:r>
      <w:proofErr w:type="spellEnd"/>
      <w:r w:rsidRPr="002B5D94">
        <w:rPr>
          <w:rFonts w:eastAsia="Calibri" w:cstheme="minorHAnsi"/>
        </w:rPr>
        <w:t xml:space="preserve"> </w:t>
      </w:r>
      <w:proofErr w:type="spellStart"/>
      <w:r w:rsidRPr="002B5D94">
        <w:rPr>
          <w:rFonts w:eastAsia="Calibri" w:cstheme="minorHAnsi"/>
        </w:rPr>
        <w:t>i</w:t>
      </w:r>
      <w:proofErr w:type="spellEnd"/>
      <w:r w:rsidRPr="002B5D94">
        <w:rPr>
          <w:rFonts w:eastAsia="Calibri" w:cstheme="minorHAnsi"/>
        </w:rPr>
        <w:t xml:space="preserve"> </w:t>
      </w:r>
      <w:proofErr w:type="spellStart"/>
      <w:r w:rsidRPr="002B5D94">
        <w:rPr>
          <w:rFonts w:eastAsia="Calibri" w:cstheme="minorHAnsi"/>
        </w:rPr>
        <w:t>metode</w:t>
      </w:r>
      <w:proofErr w:type="spellEnd"/>
      <w:r w:rsidRPr="002B5D94">
        <w:rPr>
          <w:rFonts w:eastAsia="Calibri" w:cstheme="minorHAnsi"/>
        </w:rPr>
        <w:t xml:space="preserve"> za </w:t>
      </w:r>
      <w:proofErr w:type="spellStart"/>
      <w:r w:rsidRPr="002B5D94">
        <w:rPr>
          <w:rFonts w:eastAsia="Calibri" w:cstheme="minorHAnsi"/>
        </w:rPr>
        <w:t>zaštitu</w:t>
      </w:r>
      <w:proofErr w:type="spellEnd"/>
      <w:r w:rsidRPr="002B5D94">
        <w:rPr>
          <w:rFonts w:eastAsia="Calibri" w:cstheme="minorHAnsi"/>
        </w:rPr>
        <w:t xml:space="preserve"> </w:t>
      </w:r>
      <w:proofErr w:type="spellStart"/>
      <w:r w:rsidRPr="002B5D94">
        <w:rPr>
          <w:rFonts w:eastAsia="Calibri" w:cstheme="minorHAnsi"/>
        </w:rPr>
        <w:t>krških</w:t>
      </w:r>
      <w:proofErr w:type="spellEnd"/>
      <w:r w:rsidRPr="002B5D94">
        <w:rPr>
          <w:rFonts w:eastAsia="Calibri" w:cstheme="minorHAnsi"/>
        </w:rPr>
        <w:t xml:space="preserve"> </w:t>
      </w:r>
      <w:proofErr w:type="spellStart"/>
      <w:r w:rsidRPr="002B5D94">
        <w:rPr>
          <w:rFonts w:eastAsia="Calibri" w:cstheme="minorHAnsi"/>
        </w:rPr>
        <w:t>vodonosnika</w:t>
      </w:r>
      <w:proofErr w:type="spellEnd"/>
      <w:r w:rsidRPr="002B5D94">
        <w:rPr>
          <w:rFonts w:eastAsia="Calibri" w:cstheme="minorHAnsi"/>
        </w:rPr>
        <w:t xml:space="preserve"> u </w:t>
      </w:r>
      <w:proofErr w:type="spellStart"/>
      <w:r w:rsidRPr="002B5D94">
        <w:rPr>
          <w:rFonts w:eastAsia="Calibri" w:cstheme="minorHAnsi"/>
        </w:rPr>
        <w:t>graničnim</w:t>
      </w:r>
      <w:proofErr w:type="spellEnd"/>
      <w:r w:rsidRPr="002B5D94">
        <w:rPr>
          <w:rFonts w:eastAsia="Calibri" w:cstheme="minorHAnsi"/>
        </w:rPr>
        <w:t xml:space="preserve"> </w:t>
      </w:r>
      <w:proofErr w:type="spellStart"/>
      <w:r w:rsidRPr="002B5D94">
        <w:rPr>
          <w:rFonts w:eastAsia="Calibri" w:cstheme="minorHAnsi"/>
        </w:rPr>
        <w:t>područjima</w:t>
      </w:r>
      <w:proofErr w:type="spellEnd"/>
      <w:r w:rsidRPr="002B5D94">
        <w:rPr>
          <w:rFonts w:eastAsia="Calibri" w:cstheme="minorHAnsi"/>
        </w:rPr>
        <w:t xml:space="preserve"> </w:t>
      </w:r>
      <w:proofErr w:type="spellStart"/>
      <w:r w:rsidRPr="002B5D94">
        <w:rPr>
          <w:rFonts w:eastAsia="Calibri" w:cstheme="minorHAnsi"/>
        </w:rPr>
        <w:t>Bosne</w:t>
      </w:r>
      <w:proofErr w:type="spellEnd"/>
      <w:r w:rsidRPr="002B5D94">
        <w:rPr>
          <w:rFonts w:eastAsia="Calibri" w:cstheme="minorHAnsi"/>
        </w:rPr>
        <w:t xml:space="preserve"> </w:t>
      </w:r>
      <w:proofErr w:type="spellStart"/>
      <w:r w:rsidRPr="002B5D94">
        <w:rPr>
          <w:rFonts w:eastAsia="Calibri" w:cstheme="minorHAnsi"/>
        </w:rPr>
        <w:t>i</w:t>
      </w:r>
      <w:proofErr w:type="spellEnd"/>
      <w:r w:rsidRPr="002B5D94">
        <w:rPr>
          <w:rFonts w:eastAsia="Calibri" w:cstheme="minorHAnsi"/>
        </w:rPr>
        <w:t xml:space="preserve"> </w:t>
      </w:r>
      <w:proofErr w:type="spellStart"/>
      <w:r w:rsidRPr="002B5D94">
        <w:rPr>
          <w:rFonts w:eastAsia="Calibri" w:cstheme="minorHAnsi"/>
        </w:rPr>
        <w:t>Hercegovine</w:t>
      </w:r>
      <w:proofErr w:type="spellEnd"/>
      <w:r w:rsidRPr="002B5D94">
        <w:rPr>
          <w:rFonts w:eastAsia="Calibri" w:cstheme="minorHAnsi"/>
        </w:rPr>
        <w:t xml:space="preserve"> </w:t>
      </w:r>
      <w:proofErr w:type="spellStart"/>
      <w:r w:rsidRPr="002B5D94">
        <w:rPr>
          <w:rFonts w:eastAsia="Calibri" w:cstheme="minorHAnsi"/>
        </w:rPr>
        <w:t>i</w:t>
      </w:r>
      <w:proofErr w:type="spellEnd"/>
      <w:r w:rsidRPr="002B5D94">
        <w:rPr>
          <w:rFonts w:eastAsia="Calibri" w:cstheme="minorHAnsi"/>
        </w:rPr>
        <w:t xml:space="preserve"> </w:t>
      </w:r>
      <w:proofErr w:type="spellStart"/>
      <w:r w:rsidRPr="002B5D94">
        <w:rPr>
          <w:rFonts w:eastAsia="Calibri" w:cstheme="minorHAnsi"/>
        </w:rPr>
        <w:t>Hrvatske</w:t>
      </w:r>
      <w:proofErr w:type="spellEnd"/>
      <w:r w:rsidRPr="002B5D94">
        <w:rPr>
          <w:rFonts w:eastAsia="Calibri" w:cstheme="minorHAnsi"/>
        </w:rPr>
        <w:t>). Archive of the Croatian Geological Survey, Report No. 47/19.</w:t>
      </w:r>
    </w:p>
    <w:p w14:paraId="1D8A2D24" w14:textId="55B9E991" w:rsidR="00437EDE" w:rsidRPr="00437EDE"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United Nations Development Programme (UNDP) (2016)</w:t>
      </w:r>
      <w:r>
        <w:rPr>
          <w:rFonts w:eastAsia="Calibri" w:cstheme="minorHAnsi"/>
        </w:rPr>
        <w:t>:</w:t>
      </w:r>
      <w:r w:rsidRPr="00437EDE">
        <w:rPr>
          <w:rFonts w:eastAsia="Calibri" w:cstheme="minorHAnsi"/>
        </w:rPr>
        <w:t xml:space="preserve"> Gender mainstreaming guidance. New York.</w:t>
      </w:r>
    </w:p>
    <w:p w14:paraId="58F27C0B" w14:textId="08FE6148" w:rsidR="00437EDE" w:rsidRPr="00437EDE"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United Nations Development Programme (UNDP) (2020)</w:t>
      </w:r>
      <w:r>
        <w:rPr>
          <w:rFonts w:eastAsia="Calibri" w:cstheme="minorHAnsi"/>
        </w:rPr>
        <w:t>:</w:t>
      </w:r>
      <w:r w:rsidRPr="00437EDE">
        <w:rPr>
          <w:rFonts w:eastAsia="Calibri" w:cstheme="minorHAnsi"/>
        </w:rPr>
        <w:t xml:space="preserve"> Human development report: Western Balkans. New York.</w:t>
      </w:r>
    </w:p>
    <w:p w14:paraId="698D9426" w14:textId="53A734EF" w:rsidR="00437EDE" w:rsidRPr="00437EDE"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UN Women (2021)</w:t>
      </w:r>
      <w:r>
        <w:rPr>
          <w:rFonts w:eastAsia="Calibri" w:cstheme="minorHAnsi"/>
        </w:rPr>
        <w:t>:</w:t>
      </w:r>
      <w:r w:rsidRPr="00437EDE">
        <w:rPr>
          <w:rFonts w:eastAsia="Calibri" w:cstheme="minorHAnsi"/>
        </w:rPr>
        <w:t xml:space="preserve"> Gender and water governance. New York.</w:t>
      </w:r>
    </w:p>
    <w:p w14:paraId="7779740E" w14:textId="243CB915" w:rsidR="00437EDE" w:rsidRPr="00437EDE"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UN Women (2022)</w:t>
      </w:r>
      <w:r>
        <w:rPr>
          <w:rFonts w:eastAsia="Calibri" w:cstheme="minorHAnsi"/>
        </w:rPr>
        <w:t>:</w:t>
      </w:r>
      <w:r w:rsidRPr="00437EDE">
        <w:rPr>
          <w:rFonts w:eastAsia="Calibri" w:cstheme="minorHAnsi"/>
        </w:rPr>
        <w:t xml:space="preserve"> Turning promises into action. New York.</w:t>
      </w:r>
    </w:p>
    <w:p w14:paraId="1ECB5161" w14:textId="1C029430" w:rsidR="00437EDE"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UN Women (2023)</w:t>
      </w:r>
      <w:r>
        <w:rPr>
          <w:rFonts w:eastAsia="Calibri" w:cstheme="minorHAnsi"/>
        </w:rPr>
        <w:t>:</w:t>
      </w:r>
      <w:r w:rsidRPr="00437EDE">
        <w:rPr>
          <w:rFonts w:eastAsia="Calibri" w:cstheme="minorHAnsi"/>
        </w:rPr>
        <w:t xml:space="preserve"> The climate–care nexus. New York.</w:t>
      </w:r>
    </w:p>
    <w:p w14:paraId="66467828" w14:textId="6DC553E8" w:rsidR="007A1174" w:rsidRDefault="007A1174" w:rsidP="00437EDE">
      <w:pPr>
        <w:pStyle w:val="ListParagraph"/>
        <w:numPr>
          <w:ilvl w:val="0"/>
          <w:numId w:val="21"/>
        </w:numPr>
        <w:spacing w:after="200" w:line="276" w:lineRule="auto"/>
        <w:jc w:val="both"/>
        <w:rPr>
          <w:rFonts w:eastAsia="Calibri" w:cstheme="minorHAnsi"/>
        </w:rPr>
      </w:pPr>
      <w:proofErr w:type="spellStart"/>
      <w:r w:rsidRPr="007A1174">
        <w:rPr>
          <w:rFonts w:eastAsia="Calibri" w:cstheme="minorHAnsi"/>
        </w:rPr>
        <w:t>Vymazal</w:t>
      </w:r>
      <w:proofErr w:type="spellEnd"/>
      <w:r w:rsidRPr="007A1174">
        <w:rPr>
          <w:rFonts w:eastAsia="Calibri" w:cstheme="minorHAnsi"/>
        </w:rPr>
        <w:t xml:space="preserve"> J. (2010): Constructed wetlands for wastewater treatment</w:t>
      </w:r>
      <w:r>
        <w:rPr>
          <w:rFonts w:eastAsia="Calibri" w:cstheme="minorHAnsi"/>
        </w:rPr>
        <w:t>,</w:t>
      </w:r>
      <w:r w:rsidRPr="007A1174">
        <w:rPr>
          <w:rFonts w:eastAsia="Calibri" w:cstheme="minorHAnsi"/>
        </w:rPr>
        <w:t xml:space="preserve"> Water, 2(3), pp. 530-549.</w:t>
      </w:r>
    </w:p>
    <w:p w14:paraId="7790400F" w14:textId="54336677" w:rsidR="00437EDE" w:rsidRDefault="00437EDE" w:rsidP="00437EDE">
      <w:pPr>
        <w:pStyle w:val="ListParagraph"/>
        <w:numPr>
          <w:ilvl w:val="0"/>
          <w:numId w:val="21"/>
        </w:numPr>
        <w:spacing w:after="200" w:line="276" w:lineRule="auto"/>
        <w:jc w:val="both"/>
        <w:rPr>
          <w:rFonts w:eastAsia="Calibri" w:cstheme="minorHAnsi"/>
        </w:rPr>
      </w:pPr>
      <w:r w:rsidRPr="00437EDE">
        <w:rPr>
          <w:rFonts w:eastAsia="Calibri" w:cstheme="minorHAnsi"/>
        </w:rPr>
        <w:t>World Health Organization (WHO) &amp; United Nations Children’s Fund (UNICEF) (2023)</w:t>
      </w:r>
      <w:r>
        <w:rPr>
          <w:rFonts w:eastAsia="Calibri" w:cstheme="minorHAnsi"/>
        </w:rPr>
        <w:t>:</w:t>
      </w:r>
      <w:r w:rsidRPr="00437EDE">
        <w:rPr>
          <w:rFonts w:eastAsia="Calibri" w:cstheme="minorHAnsi"/>
        </w:rPr>
        <w:t xml:space="preserve"> Progress on household drinking water, sanitation and hygiene. Geneva.</w:t>
      </w:r>
    </w:p>
    <w:p w14:paraId="6A7393E7" w14:textId="7C0F1341" w:rsidR="003B71DB" w:rsidRPr="00D60A13" w:rsidRDefault="003B71DB" w:rsidP="00BA6D3B">
      <w:pPr>
        <w:pStyle w:val="ListParagraph"/>
        <w:numPr>
          <w:ilvl w:val="0"/>
          <w:numId w:val="21"/>
        </w:numPr>
        <w:spacing w:after="200" w:line="276" w:lineRule="auto"/>
        <w:jc w:val="both"/>
        <w:rPr>
          <w:rFonts w:eastAsia="Calibri" w:cstheme="minorHAnsi"/>
        </w:rPr>
      </w:pPr>
      <w:r w:rsidRPr="00D60A13">
        <w:rPr>
          <w:rFonts w:ascii="Calibri" w:hAnsi="Calibri" w:cs="Calibri"/>
        </w:rPr>
        <w:t>Yuan, J., Van Dyke, M.I., Huck, P.M. (2016): Water reuse through managed aquifer recharge (MAR): assessment of regulations/guidelines and case studies, Water Quality Research Journal, (2016) 51 (4): 357–376.</w:t>
      </w:r>
    </w:p>
    <w:p w14:paraId="2DE3556B" w14:textId="1CBADFF3" w:rsidR="000C15B9" w:rsidRPr="00D60A13" w:rsidRDefault="000C15B9">
      <w:pPr>
        <w:rPr>
          <w:rFonts w:eastAsia="Calibri" w:cstheme="minorHAnsi"/>
        </w:rPr>
      </w:pPr>
      <w:r w:rsidRPr="00D60A13">
        <w:rPr>
          <w:rFonts w:eastAsia="Calibri" w:cstheme="minorHAnsi"/>
        </w:rPr>
        <w:br w:type="page"/>
      </w:r>
    </w:p>
    <w:p w14:paraId="6E80CC2C" w14:textId="77777777" w:rsidR="00FF2D6D" w:rsidRPr="002F7519" w:rsidRDefault="000C15B9" w:rsidP="00FF2D6D">
      <w:pPr>
        <w:pStyle w:val="Heading2"/>
        <w:rPr>
          <w:rFonts w:ascii="Calibri" w:hAnsi="Calibri" w:cs="Calibri"/>
          <w:lang w:val="en-GB"/>
        </w:rPr>
      </w:pPr>
      <w:bookmarkStart w:id="290" w:name="_Toc223524366"/>
      <w:bookmarkStart w:id="291" w:name="_Toc229036336"/>
      <w:r w:rsidRPr="002F7519">
        <w:rPr>
          <w:lang w:val="en-GB"/>
        </w:rPr>
        <w:lastRenderedPageBreak/>
        <w:t>13.</w:t>
      </w:r>
      <w:r w:rsidR="00FF2D6D" w:rsidRPr="002F7519">
        <w:rPr>
          <w:lang w:val="en-GB"/>
        </w:rPr>
        <w:t>4</w:t>
      </w:r>
      <w:r w:rsidRPr="002F7519">
        <w:rPr>
          <w:lang w:val="en-GB"/>
        </w:rPr>
        <w:t xml:space="preserve"> </w:t>
      </w:r>
      <w:bookmarkEnd w:id="290"/>
      <w:r w:rsidR="00FF2D6D" w:rsidRPr="002F7519">
        <w:rPr>
          <w:lang w:val="en-GB"/>
        </w:rPr>
        <w:t>Best practice examples (nutrient/pesticide management in karst; wastewater solutions)</w:t>
      </w:r>
      <w:bookmarkEnd w:id="291"/>
      <w:r w:rsidR="00FF2D6D" w:rsidRPr="002F7519">
        <w:rPr>
          <w:rFonts w:ascii="Calibri" w:hAnsi="Calibri" w:cs="Calibri"/>
          <w:lang w:val="en-GB"/>
        </w:rPr>
        <w:t xml:space="preserve"> </w:t>
      </w:r>
    </w:p>
    <w:p w14:paraId="1BEEDAAB" w14:textId="3201F211" w:rsidR="00FF2D6D" w:rsidRPr="001916A6" w:rsidRDefault="00FF2D6D" w:rsidP="00FF2D6D">
      <w:pPr>
        <w:jc w:val="both"/>
      </w:pPr>
      <w:r w:rsidRPr="001916A6">
        <w:t xml:space="preserve">Studies conducted in karst environments, such as the </w:t>
      </w:r>
      <w:proofErr w:type="spellStart"/>
      <w:r w:rsidRPr="001916A6">
        <w:t>Gallusquelle</w:t>
      </w:r>
      <w:proofErr w:type="spellEnd"/>
      <w:r w:rsidRPr="001916A6">
        <w:t xml:space="preserve"> spring system in Germany</w:t>
      </w:r>
      <w:r>
        <w:t xml:space="preserve"> (Heinz et al., 2006)</w:t>
      </w:r>
      <w:r w:rsidRPr="001916A6">
        <w:t>, clearly demonstrate the high vulnerability of karst aquifers to contamination from wastewater inputs, particularly during rainfall events. Due to the characteristics of karst systems</w:t>
      </w:r>
      <w:r>
        <w:t xml:space="preserve"> - </w:t>
      </w:r>
      <w:r w:rsidRPr="001916A6">
        <w:t>high permeability, rapid groundwater flow, and limited natural attenuation</w:t>
      </w:r>
      <w:r>
        <w:t xml:space="preserve"> - </w:t>
      </w:r>
      <w:r w:rsidRPr="001916A6">
        <w:t>contaminants can be quickly transported from the surface to groundwater and spring outlets with minimal filtration.</w:t>
      </w:r>
    </w:p>
    <w:p w14:paraId="354780E1" w14:textId="77777777" w:rsidR="00FF2D6D" w:rsidRPr="001916A6" w:rsidRDefault="00FF2D6D" w:rsidP="00FF2D6D">
      <w:pPr>
        <w:jc w:val="both"/>
      </w:pPr>
      <w:r w:rsidRPr="001916A6">
        <w:t xml:space="preserve">In the </w:t>
      </w:r>
      <w:proofErr w:type="spellStart"/>
      <w:r w:rsidRPr="001916A6">
        <w:t>Gallusquelle</w:t>
      </w:r>
      <w:proofErr w:type="spellEnd"/>
      <w:r w:rsidRPr="001916A6">
        <w:t xml:space="preserve"> case, combined sewer overflow (CSO) events during periods of intense precipitation resulted in the discharge of untreated wastewater into surface depressions hydraulically connected to the karst system. Dye tests confirmed a direct connection between these infiltration zones and the spring. Monitoring data showed that such events led to rapid and significant deterioration of water quality, including increased turbidity and a sharp rise in microbiological indicators (e.g. E. coli), often exceeding drinking water standards. These impacts were typically short-term but intense, reflecting the dynamic and event-driven nature of contaminant transport in karst systems.</w:t>
      </w:r>
    </w:p>
    <w:p w14:paraId="1327F868" w14:textId="77777777" w:rsidR="00FF2D6D" w:rsidRPr="001916A6" w:rsidRDefault="00FF2D6D" w:rsidP="00FF2D6D">
      <w:pPr>
        <w:jc w:val="both"/>
      </w:pPr>
      <w:r w:rsidRPr="001916A6">
        <w:t>This case highlights that contamination in karst aquifers often occurs as episodic “pulse” events rather than gradual processes, and that conventional periodic monitoring may fail to detect such peaks. Consequently, effective protection of karst groundwater relies primarily on preventing contaminant entry into the subsurface, rather than relying on natural attenuation processes within the aquifer.</w:t>
      </w:r>
    </w:p>
    <w:p w14:paraId="7F7157E3" w14:textId="0FB2A475" w:rsidR="00FF2D6D" w:rsidRPr="001916A6" w:rsidRDefault="00FF2D6D" w:rsidP="00FF2D6D">
      <w:pPr>
        <w:jc w:val="both"/>
      </w:pPr>
      <w:r w:rsidRPr="001916A6">
        <w:t xml:space="preserve">A similar mechanism is highly relevant for the Neretva </w:t>
      </w:r>
      <w:r>
        <w:t>TBA</w:t>
      </w:r>
      <w:r w:rsidRPr="001916A6">
        <w:t xml:space="preserve">, particularly in recharge areas such as </w:t>
      </w:r>
      <w:proofErr w:type="spellStart"/>
      <w:r w:rsidRPr="001916A6">
        <w:t>Ljubuško</w:t>
      </w:r>
      <w:proofErr w:type="spellEnd"/>
      <w:r w:rsidRPr="001916A6">
        <w:t xml:space="preserve"> polje and along the </w:t>
      </w:r>
      <w:proofErr w:type="spellStart"/>
      <w:r w:rsidRPr="001916A6">
        <w:t>Trebižat</w:t>
      </w:r>
      <w:proofErr w:type="spellEnd"/>
      <w:r w:rsidRPr="001916A6">
        <w:t xml:space="preserve"> River, where losing sections and sinkholes facilitate direct infiltration into the karst aquifer. During periods of intense rainfall or flooding, surface runoff may mobilize nutrients, pesticides, and untreated or partially treated wastewater, which can then rapidly enter the subsurface and be transported towards major discharge points, including the </w:t>
      </w:r>
      <w:proofErr w:type="spellStart"/>
      <w:r w:rsidRPr="001916A6">
        <w:t>Prud</w:t>
      </w:r>
      <w:proofErr w:type="spellEnd"/>
      <w:r w:rsidRPr="001916A6">
        <w:t xml:space="preserve"> spring.</w:t>
      </w:r>
    </w:p>
    <w:p w14:paraId="1C83EF70" w14:textId="2A847FDF" w:rsidR="00FF2D6D" w:rsidRPr="001916A6" w:rsidRDefault="00FF2D6D" w:rsidP="00FF2D6D">
      <w:pPr>
        <w:jc w:val="both"/>
      </w:pPr>
      <w:r w:rsidRPr="001916A6">
        <w:t xml:space="preserve">In such conditions, the </w:t>
      </w:r>
      <w:proofErr w:type="spellStart"/>
      <w:r w:rsidRPr="001916A6">
        <w:t>Prud</w:t>
      </w:r>
      <w:proofErr w:type="spellEnd"/>
      <w:r w:rsidRPr="001916A6">
        <w:t xml:space="preserve"> spring may exhibit typical karst responses, including temporary increases in turbidity, fluctuations in nutrient concentrations, and potential microbiological contamination. These short-term variations may not be fully captured by standard monitoring programs but represent an important risk for water quality and water supply safety. In line with these findings, groundwater protection and remediation strategies in the Neretva </w:t>
      </w:r>
      <w:r>
        <w:t>TBA</w:t>
      </w:r>
      <w:r w:rsidRPr="001916A6">
        <w:t xml:space="preserve"> should focus on:</w:t>
      </w:r>
    </w:p>
    <w:p w14:paraId="0C85686B" w14:textId="4E12A58A" w:rsidR="00FF2D6D" w:rsidRPr="001916A6" w:rsidRDefault="00FF2D6D" w:rsidP="00FF2D6D">
      <w:pPr>
        <w:pStyle w:val="ListParagraph"/>
        <w:numPr>
          <w:ilvl w:val="0"/>
          <w:numId w:val="182"/>
        </w:numPr>
        <w:jc w:val="both"/>
      </w:pPr>
      <w:r w:rsidRPr="001916A6">
        <w:t>preventing direct infiltration of contaminated water in recharge zones</w:t>
      </w:r>
      <w:r>
        <w:t>;</w:t>
      </w:r>
    </w:p>
    <w:p w14:paraId="75038458" w14:textId="1C2F3683" w:rsidR="00FF2D6D" w:rsidRPr="001916A6" w:rsidRDefault="00FF2D6D" w:rsidP="00FF2D6D">
      <w:pPr>
        <w:pStyle w:val="ListParagraph"/>
        <w:numPr>
          <w:ilvl w:val="0"/>
          <w:numId w:val="182"/>
        </w:numPr>
        <w:jc w:val="both"/>
      </w:pPr>
      <w:r w:rsidRPr="001916A6">
        <w:t>improving wastewater collection and treatment systems and controlling overflow events</w:t>
      </w:r>
      <w:r>
        <w:t>;</w:t>
      </w:r>
    </w:p>
    <w:p w14:paraId="22F91C02" w14:textId="083EE625" w:rsidR="00FF2D6D" w:rsidRPr="001916A6" w:rsidRDefault="00FF2D6D" w:rsidP="00FF2D6D">
      <w:pPr>
        <w:pStyle w:val="ListParagraph"/>
        <w:numPr>
          <w:ilvl w:val="0"/>
          <w:numId w:val="182"/>
        </w:numPr>
        <w:jc w:val="both"/>
      </w:pPr>
      <w:r w:rsidRPr="001916A6">
        <w:t>implementing interception measures such as buffer zones or constructed wetlands</w:t>
      </w:r>
      <w:r>
        <w:t>;</w:t>
      </w:r>
    </w:p>
    <w:p w14:paraId="20051915" w14:textId="578FADB8" w:rsidR="00FF2D6D" w:rsidRPr="003A7BC5" w:rsidRDefault="00FF2D6D" w:rsidP="00FF2D6D">
      <w:pPr>
        <w:pStyle w:val="ListParagraph"/>
        <w:numPr>
          <w:ilvl w:val="0"/>
          <w:numId w:val="182"/>
        </w:numPr>
        <w:jc w:val="both"/>
      </w:pPr>
      <w:r w:rsidRPr="001916A6">
        <w:t>introducing event-based monitoring during high-flow conditions.</w:t>
      </w:r>
    </w:p>
    <w:p w14:paraId="7E9FFE23" w14:textId="299120E8" w:rsidR="00FF2D6D" w:rsidRPr="001916A6" w:rsidRDefault="00FF2D6D" w:rsidP="00FF2D6D">
      <w:pPr>
        <w:jc w:val="both"/>
      </w:pPr>
      <w:r>
        <w:t>T</w:t>
      </w:r>
      <w:r w:rsidRPr="001916A6">
        <w:t>his case study confirms that in karst environments, effective water quality management depends on source control and early interception of pollutants, as the capacity for natural purification within the aquifer is inherently limited.</w:t>
      </w:r>
    </w:p>
    <w:p w14:paraId="5AE577CE" w14:textId="31D49A6C" w:rsidR="00FF2D6D" w:rsidRPr="001916A6" w:rsidRDefault="00FF2D6D" w:rsidP="00FF2D6D">
      <w:pPr>
        <w:jc w:val="both"/>
      </w:pPr>
      <w:r w:rsidRPr="001916A6">
        <w:t xml:space="preserve">Examples of constructed wetlands for wastewater treatment are presented in the work of </w:t>
      </w:r>
      <w:proofErr w:type="spellStart"/>
      <w:r w:rsidRPr="001916A6">
        <w:t>Vymazal</w:t>
      </w:r>
      <w:proofErr w:type="spellEnd"/>
      <w:r w:rsidRPr="001916A6">
        <w:t xml:space="preserve"> (2010). These systems are</w:t>
      </w:r>
      <w:r>
        <w:t xml:space="preserve"> </w:t>
      </w:r>
      <w:r w:rsidRPr="00242C45">
        <w:t>highly applicable</w:t>
      </w:r>
      <w:r w:rsidRPr="001916A6">
        <w:t xml:space="preserve"> for application in recharge zones, where they act as a barrier between pollution sources and groundwater.</w:t>
      </w:r>
      <w:r>
        <w:t xml:space="preserve"> </w:t>
      </w:r>
      <w:r w:rsidRPr="001916A6">
        <w:t>Nutrient removal is achieved through a combination of physical, chemical and biological processes, including sedimentation, filtration and microbial transformations such as nitrification and denitrification. Reported nitrogen removal efficiencies typically range between 40</w:t>
      </w:r>
      <w:r>
        <w:t>-</w:t>
      </w:r>
      <w:r w:rsidRPr="001916A6">
        <w:t>55%, depending on system design and loading conditions.</w:t>
      </w:r>
    </w:p>
    <w:p w14:paraId="3031F3AD" w14:textId="77777777" w:rsidR="00FF2D6D" w:rsidRDefault="00FF2D6D" w:rsidP="00FF2D6D">
      <w:pPr>
        <w:jc w:val="both"/>
      </w:pPr>
      <w:r w:rsidRPr="001916A6">
        <w:lastRenderedPageBreak/>
        <w:t xml:space="preserve">Due to their low operational requirements and ability to intercept pollutants before infiltration, constructed wetlands are </w:t>
      </w:r>
      <w:r>
        <w:t xml:space="preserve">well </w:t>
      </w:r>
      <w:r w:rsidRPr="001916A6">
        <w:t>suitable for application in karst environments, where conventional reme</w:t>
      </w:r>
      <w:r>
        <w:t>d</w:t>
      </w:r>
      <w:r w:rsidRPr="001916A6">
        <w:t>iation within the aquifer is limited.</w:t>
      </w:r>
    </w:p>
    <w:p w14:paraId="075E0586" w14:textId="77777777" w:rsidR="00FF2D6D" w:rsidRDefault="00FF2D6D" w:rsidP="00FF2D6D">
      <w:pPr>
        <w:jc w:val="both"/>
      </w:pPr>
      <w:r>
        <w:t>Agricultural activities are considered an important source of emerging organic contaminants (EOCs) in karst environments, particularly in areas with intensive land use. However, the relationship between agricultural land use and contaminant occurrence is not always clearly defined. In karst systems, this can be attributed to complex groundwater flow patterns, large and heterogeneous catchments, and additional factors such as long-range atmospheric transport of certain compounds.</w:t>
      </w:r>
    </w:p>
    <w:p w14:paraId="3D0698B5" w14:textId="77777777" w:rsidR="00FF2D6D" w:rsidRDefault="00FF2D6D" w:rsidP="00FF2D6D">
      <w:pPr>
        <w:jc w:val="both"/>
      </w:pPr>
      <w:r>
        <w:t>These findings indicate that land use alone is not always a reliable predictor of groundwater contamination levels, and that a detailed understanding of site-specific hydrogeological conditions is essential. More targeted investigations at the catchment scale are therefore required to better assess contaminant transport and attenuation processes in karst aquifers.</w:t>
      </w:r>
    </w:p>
    <w:p w14:paraId="411D25FB" w14:textId="77777777" w:rsidR="00FF2D6D" w:rsidRDefault="00FF2D6D" w:rsidP="00FF2D6D">
      <w:pPr>
        <w:jc w:val="both"/>
      </w:pPr>
      <w:r>
        <w:t>Recent studies (</w:t>
      </w:r>
      <w:r w:rsidRPr="00242C45">
        <w:t>Lukač-</w:t>
      </w:r>
      <w:proofErr w:type="spellStart"/>
      <w:r w:rsidRPr="00242C45">
        <w:t>Reberski</w:t>
      </w:r>
      <w:proofErr w:type="spellEnd"/>
      <w:r w:rsidRPr="00242C45">
        <w:t xml:space="preserve"> et al., 2023</w:t>
      </w:r>
      <w:r>
        <w:t>) in the Dinaric karst region show that, in addition to nutrients and pesticides, groundwater systems are increasingly affected by emerging organic contaminants such as pharmaceuticals, personal care products and other micropollutants. These substances are detected in groundwater, springs and surface waters, with concentrations strongly influenced by hydrological conditions and showing significant temporal variability. Peak concentrations often occur following recharge events, reflecting rapid infiltration through karst features such as sinkholes and fractures, while dilution may occur during high-flow conditions.</w:t>
      </w:r>
    </w:p>
    <w:p w14:paraId="1646D9F0" w14:textId="2A72D48F" w:rsidR="00FF2D6D" w:rsidRDefault="00FF2D6D" w:rsidP="00FF2D6D">
      <w:pPr>
        <w:jc w:val="both"/>
      </w:pPr>
      <w:r>
        <w:t>The presence of persistent compounds further highlights the vulnerability of karst aquifers and the need to expand monitoring beyond conventional parameters. These findings demonstrate that effective groundwater protection in karst environments requires an integrated approach combining source control, interception measures and adaptive monitoring, as in-aquifer remediation options remain limited.</w:t>
      </w:r>
    </w:p>
    <w:p w14:paraId="3723982A" w14:textId="77777777" w:rsidR="00FF2D6D" w:rsidRDefault="00FF2D6D" w:rsidP="00FF2D6D">
      <w:pPr>
        <w:jc w:val="both"/>
      </w:pPr>
      <w:r>
        <w:t>In the Neretva delta, groundwater and soil salinisation represent a major pressure driven by seawater intrusion, reduced freshwater inflows and irrigation practices. Planned measures in the “Project for protection against salinisation of soils and waters in the lower Neretva area” focus on integrated hydraulic control and improved water management.</w:t>
      </w:r>
    </w:p>
    <w:p w14:paraId="6B916423" w14:textId="77777777" w:rsidR="00FF2D6D" w:rsidRDefault="00FF2D6D" w:rsidP="00FF2D6D">
      <w:pPr>
        <w:jc w:val="both"/>
      </w:pPr>
      <w:r>
        <w:t>Key interventions include the construction of a mobile barrier on the Neretva River to limit upstream intrusion of seawater, combined with measures to improve the availability and management of freshwater for irrigation. These actions aim to reduce salinity in soil and groundwater and support sustainable agricultural use of the area.</w:t>
      </w:r>
      <w:r w:rsidRPr="00474BAD">
        <w:t xml:space="preserve"> </w:t>
      </w:r>
    </w:p>
    <w:p w14:paraId="5EEF38B6" w14:textId="749ACC36" w:rsidR="000C15B9" w:rsidRPr="00D60A13" w:rsidRDefault="000C15B9" w:rsidP="00E01112">
      <w:pPr>
        <w:pStyle w:val="ListParagraph"/>
        <w:numPr>
          <w:ilvl w:val="1"/>
          <w:numId w:val="46"/>
        </w:numPr>
        <w:ind w:left="426" w:hanging="426"/>
        <w:jc w:val="both"/>
        <w:rPr>
          <w:rFonts w:cstheme="minorHAnsi"/>
        </w:rPr>
      </w:pPr>
      <w:r w:rsidRPr="00D60A13">
        <w:br w:type="page"/>
      </w:r>
    </w:p>
    <w:p w14:paraId="069C94B9" w14:textId="60FB8CFE" w:rsidR="000C15B9" w:rsidRPr="00D60A13" w:rsidRDefault="000C15B9" w:rsidP="000C15B9">
      <w:pPr>
        <w:pStyle w:val="Heading2"/>
        <w:rPr>
          <w:lang w:val="en-GB"/>
        </w:rPr>
      </w:pPr>
      <w:bookmarkStart w:id="292" w:name="_Toc223524369"/>
      <w:bookmarkStart w:id="293" w:name="_Toc229036337"/>
      <w:r w:rsidRPr="00D60A13">
        <w:rPr>
          <w:lang w:val="en-GB"/>
        </w:rPr>
        <w:lastRenderedPageBreak/>
        <w:t>13.</w:t>
      </w:r>
      <w:r w:rsidR="009E5B3F">
        <w:rPr>
          <w:lang w:val="en-GB"/>
        </w:rPr>
        <w:t>5</w:t>
      </w:r>
      <w:r w:rsidRPr="00D60A13">
        <w:rPr>
          <w:lang w:val="en-GB"/>
        </w:rPr>
        <w:t xml:space="preserve"> Qualitative indicators for groundwater </w:t>
      </w:r>
      <w:r w:rsidR="009F0A14" w:rsidRPr="00D60A13">
        <w:rPr>
          <w:lang w:val="en-GB"/>
        </w:rPr>
        <w:t xml:space="preserve">governance </w:t>
      </w:r>
      <w:r w:rsidR="006B74FF" w:rsidRPr="00D60A13">
        <w:rPr>
          <w:lang w:val="en-GB"/>
        </w:rPr>
        <w:t>(example)</w:t>
      </w:r>
      <w:bookmarkEnd w:id="292"/>
      <w:bookmarkEnd w:id="293"/>
      <w:r w:rsidRPr="00D60A13">
        <w:rPr>
          <w:lang w:val="en-GB"/>
        </w:rPr>
        <w:tab/>
      </w:r>
      <w:r w:rsidR="009F0A14" w:rsidRPr="00D60A13">
        <w:rPr>
          <w:lang w:val="en-GB"/>
        </w:rPr>
        <w:t xml:space="preserve"> </w:t>
      </w:r>
    </w:p>
    <w:p w14:paraId="4EA23BFC" w14:textId="5E67D2D5" w:rsidR="00FD01B3" w:rsidRPr="00D60A13" w:rsidRDefault="00FD01B3" w:rsidP="00AF3199">
      <w:pPr>
        <w:pStyle w:val="Heading3"/>
        <w:rPr>
          <w:lang w:val="en-GB"/>
        </w:rPr>
      </w:pPr>
      <w:bookmarkStart w:id="294" w:name="_Toc223524370"/>
      <w:bookmarkStart w:id="295" w:name="_Toc229036338"/>
      <w:r w:rsidRPr="00D60A13">
        <w:rPr>
          <w:lang w:val="en-GB"/>
        </w:rPr>
        <w:t>13.</w:t>
      </w:r>
      <w:r w:rsidR="009E5B3F">
        <w:rPr>
          <w:lang w:val="en-GB"/>
        </w:rPr>
        <w:t>5</w:t>
      </w:r>
      <w:r w:rsidRPr="00D60A13">
        <w:rPr>
          <w:lang w:val="en-GB"/>
        </w:rPr>
        <w:t>.1 Indicator category: Institutional</w:t>
      </w:r>
      <w:bookmarkEnd w:id="294"/>
      <w:bookmarkEnd w:id="295"/>
    </w:p>
    <w:tbl>
      <w:tblPr>
        <w:tblStyle w:val="TableGrid"/>
        <w:tblW w:w="0" w:type="auto"/>
        <w:tblLook w:val="04A0" w:firstRow="1" w:lastRow="0" w:firstColumn="1" w:lastColumn="0" w:noHBand="0" w:noVBand="1"/>
      </w:tblPr>
      <w:tblGrid>
        <w:gridCol w:w="1574"/>
        <w:gridCol w:w="2078"/>
        <w:gridCol w:w="1864"/>
        <w:gridCol w:w="2109"/>
        <w:gridCol w:w="1391"/>
      </w:tblGrid>
      <w:tr w:rsidR="00FD01B3" w:rsidRPr="00D60A13" w14:paraId="7EB66F6B" w14:textId="77777777" w:rsidTr="00514F9C">
        <w:tc>
          <w:tcPr>
            <w:tcW w:w="0" w:type="auto"/>
            <w:shd w:val="clear" w:color="auto" w:fill="D9E2F3" w:themeFill="accent1" w:themeFillTint="33"/>
            <w:hideMark/>
          </w:tcPr>
          <w:p w14:paraId="40E4062B"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Activity</w:t>
            </w:r>
          </w:p>
        </w:tc>
        <w:tc>
          <w:tcPr>
            <w:tcW w:w="2078" w:type="dxa"/>
            <w:shd w:val="clear" w:color="auto" w:fill="D9E2F3" w:themeFill="accent1" w:themeFillTint="33"/>
            <w:hideMark/>
          </w:tcPr>
          <w:p w14:paraId="06CD6E60"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Indicators</w:t>
            </w:r>
          </w:p>
        </w:tc>
        <w:tc>
          <w:tcPr>
            <w:tcW w:w="1864" w:type="dxa"/>
            <w:shd w:val="clear" w:color="auto" w:fill="D9E2F3" w:themeFill="accent1" w:themeFillTint="33"/>
            <w:hideMark/>
          </w:tcPr>
          <w:p w14:paraId="121008AF"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Activity Implementation Time</w:t>
            </w:r>
          </w:p>
        </w:tc>
        <w:tc>
          <w:tcPr>
            <w:tcW w:w="2109" w:type="dxa"/>
            <w:shd w:val="clear" w:color="auto" w:fill="D9E2F3" w:themeFill="accent1" w:themeFillTint="33"/>
            <w:hideMark/>
          </w:tcPr>
          <w:p w14:paraId="0C29D0B5"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Context for Application</w:t>
            </w:r>
          </w:p>
        </w:tc>
        <w:tc>
          <w:tcPr>
            <w:tcW w:w="1391" w:type="dxa"/>
            <w:shd w:val="clear" w:color="auto" w:fill="D9E2F3" w:themeFill="accent1" w:themeFillTint="33"/>
            <w:hideMark/>
          </w:tcPr>
          <w:p w14:paraId="3B386CE5"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Competence (if applicable)</w:t>
            </w:r>
          </w:p>
        </w:tc>
      </w:tr>
      <w:tr w:rsidR="00FD01B3" w:rsidRPr="00D60A13" w14:paraId="3C5A4643" w14:textId="77777777" w:rsidTr="00AF3199">
        <w:tc>
          <w:tcPr>
            <w:tcW w:w="0" w:type="auto"/>
            <w:hideMark/>
          </w:tcPr>
          <w:p w14:paraId="37DD6118" w14:textId="56CA198C"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 xml:space="preserve">Establish a </w:t>
            </w:r>
            <w:r w:rsidR="007079BA" w:rsidRPr="00D60A13">
              <w:rPr>
                <w:rFonts w:ascii="Calibri" w:hAnsi="Calibri" w:cs="Calibri"/>
                <w:b/>
                <w:bCs/>
                <w:sz w:val="16"/>
                <w:szCs w:val="16"/>
              </w:rPr>
              <w:t>j</w:t>
            </w:r>
            <w:r w:rsidRPr="00D60A13">
              <w:rPr>
                <w:rFonts w:ascii="Calibri" w:hAnsi="Calibri" w:cs="Calibri"/>
                <w:b/>
                <w:bCs/>
                <w:sz w:val="16"/>
                <w:szCs w:val="16"/>
              </w:rPr>
              <w:t xml:space="preserve">oint </w:t>
            </w:r>
            <w:r w:rsidR="007079BA" w:rsidRPr="00D60A13">
              <w:rPr>
                <w:rFonts w:ascii="Calibri" w:hAnsi="Calibri" w:cs="Calibri"/>
                <w:b/>
                <w:bCs/>
                <w:sz w:val="16"/>
                <w:szCs w:val="16"/>
              </w:rPr>
              <w:t>d</w:t>
            </w:r>
            <w:r w:rsidRPr="00D60A13">
              <w:rPr>
                <w:rFonts w:ascii="Calibri" w:hAnsi="Calibri" w:cs="Calibri"/>
                <w:b/>
                <w:bCs/>
                <w:sz w:val="16"/>
                <w:szCs w:val="16"/>
              </w:rPr>
              <w:t xml:space="preserve">ata </w:t>
            </w:r>
            <w:r w:rsidR="007079BA" w:rsidRPr="00D60A13">
              <w:rPr>
                <w:rFonts w:ascii="Calibri" w:hAnsi="Calibri" w:cs="Calibri"/>
                <w:b/>
                <w:bCs/>
                <w:sz w:val="16"/>
                <w:szCs w:val="16"/>
              </w:rPr>
              <w:t>s</w:t>
            </w:r>
            <w:r w:rsidRPr="00D60A13">
              <w:rPr>
                <w:rFonts w:ascii="Calibri" w:hAnsi="Calibri" w:cs="Calibri"/>
                <w:b/>
                <w:bCs/>
                <w:sz w:val="16"/>
                <w:szCs w:val="16"/>
              </w:rPr>
              <w:t xml:space="preserve">haring </w:t>
            </w:r>
            <w:r w:rsidR="007079BA" w:rsidRPr="00D60A13">
              <w:rPr>
                <w:rFonts w:ascii="Calibri" w:hAnsi="Calibri" w:cs="Calibri"/>
                <w:b/>
                <w:bCs/>
                <w:sz w:val="16"/>
                <w:szCs w:val="16"/>
              </w:rPr>
              <w:t>p</w:t>
            </w:r>
            <w:r w:rsidRPr="00D60A13">
              <w:rPr>
                <w:rFonts w:ascii="Calibri" w:hAnsi="Calibri" w:cs="Calibri"/>
                <w:b/>
                <w:bCs/>
                <w:sz w:val="16"/>
                <w:szCs w:val="16"/>
              </w:rPr>
              <w:t xml:space="preserve">rotocol for </w:t>
            </w:r>
            <w:r w:rsidR="009114DC" w:rsidRPr="00D60A13">
              <w:rPr>
                <w:rFonts w:ascii="Calibri" w:hAnsi="Calibri" w:cs="Calibri"/>
                <w:b/>
                <w:bCs/>
                <w:sz w:val="16"/>
                <w:szCs w:val="16"/>
              </w:rPr>
              <w:t>Neretva TBA</w:t>
            </w:r>
            <w:r w:rsidRPr="00D60A13">
              <w:rPr>
                <w:rFonts w:ascii="Calibri" w:hAnsi="Calibri" w:cs="Calibri"/>
                <w:b/>
                <w:bCs/>
                <w:sz w:val="16"/>
                <w:szCs w:val="16"/>
              </w:rPr>
              <w:t xml:space="preserve"> (under JAP)</w:t>
            </w:r>
          </w:p>
        </w:tc>
        <w:tc>
          <w:tcPr>
            <w:tcW w:w="2078" w:type="dxa"/>
            <w:hideMark/>
          </w:tcPr>
          <w:p w14:paraId="1FB5A953" w14:textId="77777777" w:rsidR="009114DC" w:rsidRPr="00D60A13" w:rsidRDefault="009114DC" w:rsidP="00322118">
            <w:pPr>
              <w:rPr>
                <w:rFonts w:ascii="Calibri" w:hAnsi="Calibri" w:cs="Calibri"/>
                <w:sz w:val="16"/>
                <w:szCs w:val="16"/>
              </w:rPr>
            </w:pPr>
            <w:r w:rsidRPr="00D60A13">
              <w:rPr>
                <w:rFonts w:ascii="Calibri" w:hAnsi="Calibri" w:cs="Calibri"/>
                <w:sz w:val="16"/>
                <w:szCs w:val="16"/>
              </w:rPr>
              <w:t>• % of quantitative/qualitative monitoring stations exchanging data bilaterally</w:t>
            </w:r>
          </w:p>
          <w:p w14:paraId="28685C59" w14:textId="172D9E5C" w:rsidR="009114DC" w:rsidRPr="00D60A13" w:rsidRDefault="009114DC" w:rsidP="00322118">
            <w:pPr>
              <w:rPr>
                <w:rFonts w:ascii="Calibri" w:hAnsi="Calibri" w:cs="Calibri"/>
                <w:sz w:val="16"/>
                <w:szCs w:val="16"/>
              </w:rPr>
            </w:pPr>
            <w:r w:rsidRPr="00D60A13">
              <w:rPr>
                <w:rFonts w:ascii="Calibri" w:hAnsi="Calibri" w:cs="Calibri"/>
                <w:sz w:val="16"/>
                <w:szCs w:val="16"/>
              </w:rPr>
              <w:t xml:space="preserve">• Number of harmonized joint datasets/year  </w:t>
            </w:r>
          </w:p>
          <w:p w14:paraId="0D3C5536" w14:textId="1BFF3386" w:rsidR="00FD01B3" w:rsidRPr="00D60A13" w:rsidRDefault="009114DC" w:rsidP="00322118">
            <w:pPr>
              <w:rPr>
                <w:rFonts w:ascii="Calibri" w:hAnsi="Calibri" w:cs="Calibri"/>
                <w:sz w:val="16"/>
                <w:szCs w:val="16"/>
              </w:rPr>
            </w:pPr>
            <w:r w:rsidRPr="00D60A13">
              <w:rPr>
                <w:rFonts w:ascii="Calibri" w:hAnsi="Calibri" w:cs="Calibri"/>
                <w:sz w:val="16"/>
                <w:szCs w:val="16"/>
              </w:rPr>
              <w:t>• Number of joint groundwater status reports/year</w:t>
            </w:r>
          </w:p>
        </w:tc>
        <w:tc>
          <w:tcPr>
            <w:tcW w:w="1864" w:type="dxa"/>
            <w:hideMark/>
          </w:tcPr>
          <w:p w14:paraId="5E9DB156"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Short</w:t>
            </w:r>
            <w:r w:rsidRPr="00D60A13">
              <w:rPr>
                <w:rFonts w:ascii="Calibri" w:hAnsi="Calibri" w:cs="Calibri"/>
                <w:sz w:val="16"/>
                <w:szCs w:val="16"/>
              </w:rPr>
              <w:noBreakHyphen/>
              <w:t>term (one year)</w:t>
            </w:r>
          </w:p>
        </w:tc>
        <w:tc>
          <w:tcPr>
            <w:tcW w:w="2109" w:type="dxa"/>
            <w:hideMark/>
          </w:tcPr>
          <w:p w14:paraId="62A91D56"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Builds on JAP Ch. 7.2 Joint data sharing mechanism; aligns with need for transparent, widely shared knowledge and open data to enable governance. </w:t>
            </w:r>
          </w:p>
        </w:tc>
        <w:tc>
          <w:tcPr>
            <w:tcW w:w="1391" w:type="dxa"/>
            <w:hideMark/>
          </w:tcPr>
          <w:p w14:paraId="0CD75811" w14:textId="77777777" w:rsidR="00FD01B3" w:rsidRPr="00D60A13" w:rsidRDefault="00FD01B3" w:rsidP="00322118">
            <w:pPr>
              <w:jc w:val="center"/>
              <w:rPr>
                <w:rFonts w:ascii="Calibri" w:hAnsi="Calibri" w:cs="Calibri"/>
                <w:sz w:val="16"/>
                <w:szCs w:val="16"/>
              </w:rPr>
            </w:pPr>
            <w:r w:rsidRPr="00D60A13">
              <w:rPr>
                <w:rFonts w:ascii="Calibri" w:hAnsi="Calibri" w:cs="Calibri"/>
                <w:sz w:val="16"/>
                <w:szCs w:val="16"/>
              </w:rPr>
              <w:t>CIE</w:t>
            </w:r>
          </w:p>
        </w:tc>
      </w:tr>
      <w:tr w:rsidR="00FD01B3" w:rsidRPr="00D60A13" w14:paraId="228EB708" w14:textId="77777777" w:rsidTr="00AF3199">
        <w:tc>
          <w:tcPr>
            <w:tcW w:w="0" w:type="auto"/>
            <w:hideMark/>
          </w:tcPr>
          <w:p w14:paraId="6E465A1E" w14:textId="300D46EB"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 xml:space="preserve">Create a </w:t>
            </w:r>
            <w:r w:rsidR="007079BA" w:rsidRPr="00D60A13">
              <w:rPr>
                <w:rFonts w:ascii="Calibri" w:hAnsi="Calibri" w:cs="Calibri"/>
                <w:b/>
                <w:bCs/>
                <w:sz w:val="16"/>
                <w:szCs w:val="16"/>
              </w:rPr>
              <w:t>p</w:t>
            </w:r>
            <w:r w:rsidRPr="00D60A13">
              <w:rPr>
                <w:rFonts w:ascii="Calibri" w:hAnsi="Calibri" w:cs="Calibri"/>
                <w:b/>
                <w:bCs/>
                <w:sz w:val="16"/>
                <w:szCs w:val="16"/>
              </w:rPr>
              <w:t xml:space="preserve">ermanent </w:t>
            </w:r>
            <w:r w:rsidR="007079BA" w:rsidRPr="00D60A13">
              <w:rPr>
                <w:rFonts w:ascii="Calibri" w:hAnsi="Calibri" w:cs="Calibri"/>
                <w:b/>
                <w:bCs/>
                <w:sz w:val="16"/>
                <w:szCs w:val="16"/>
              </w:rPr>
              <w:t>s</w:t>
            </w:r>
            <w:r w:rsidRPr="00D60A13">
              <w:rPr>
                <w:rFonts w:ascii="Calibri" w:hAnsi="Calibri" w:cs="Calibri"/>
                <w:b/>
                <w:bCs/>
                <w:sz w:val="16"/>
                <w:szCs w:val="16"/>
              </w:rPr>
              <w:t xml:space="preserve">takeholder </w:t>
            </w:r>
            <w:r w:rsidR="007079BA" w:rsidRPr="00D60A13">
              <w:rPr>
                <w:rFonts w:ascii="Calibri" w:hAnsi="Calibri" w:cs="Calibri"/>
                <w:b/>
                <w:bCs/>
                <w:sz w:val="16"/>
                <w:szCs w:val="16"/>
              </w:rPr>
              <w:t>p</w:t>
            </w:r>
            <w:r w:rsidRPr="00D60A13">
              <w:rPr>
                <w:rFonts w:ascii="Calibri" w:hAnsi="Calibri" w:cs="Calibri"/>
                <w:b/>
                <w:bCs/>
                <w:sz w:val="16"/>
                <w:szCs w:val="16"/>
              </w:rPr>
              <w:t>latform for groundwater</w:t>
            </w:r>
            <w:r w:rsidR="009114DC" w:rsidRPr="00D60A13">
              <w:rPr>
                <w:rFonts w:ascii="Calibri" w:hAnsi="Calibri" w:cs="Calibri"/>
                <w:b/>
                <w:bCs/>
                <w:sz w:val="16"/>
                <w:szCs w:val="16"/>
              </w:rPr>
              <w:t xml:space="preserve"> governance</w:t>
            </w:r>
          </w:p>
        </w:tc>
        <w:tc>
          <w:tcPr>
            <w:tcW w:w="2078" w:type="dxa"/>
            <w:hideMark/>
          </w:tcPr>
          <w:p w14:paraId="1BFC32AD"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Number of multi-stakeholder meetings/year </w:t>
            </w:r>
          </w:p>
          <w:p w14:paraId="3530E167"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Stakeholder diversity index (metric that quantifies the variety and representation of different stakeholder groups)</w:t>
            </w:r>
          </w:p>
          <w:p w14:paraId="2F43FBFE"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 JAP decisions reflecting stakeholder inputs</w:t>
            </w:r>
          </w:p>
        </w:tc>
        <w:tc>
          <w:tcPr>
            <w:tcW w:w="1864" w:type="dxa"/>
            <w:hideMark/>
          </w:tcPr>
          <w:p w14:paraId="5E27155D"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Short</w:t>
            </w:r>
            <w:r w:rsidRPr="00D60A13">
              <w:rPr>
                <w:rFonts w:ascii="Calibri" w:hAnsi="Calibri" w:cs="Calibri"/>
                <w:sz w:val="16"/>
                <w:szCs w:val="16"/>
              </w:rPr>
              <w:noBreakHyphen/>
              <w:t>term (one year) / Medium</w:t>
            </w:r>
            <w:r w:rsidRPr="00D60A13">
              <w:rPr>
                <w:rFonts w:ascii="Calibri" w:hAnsi="Calibri" w:cs="Calibri"/>
                <w:sz w:val="16"/>
                <w:szCs w:val="16"/>
              </w:rPr>
              <w:noBreakHyphen/>
              <w:t>term (2-4 years)</w:t>
            </w:r>
          </w:p>
        </w:tc>
        <w:tc>
          <w:tcPr>
            <w:tcW w:w="2109" w:type="dxa"/>
            <w:hideMark/>
          </w:tcPr>
          <w:p w14:paraId="1C6B85AD"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Directly tied to JAP Ch. 8.5 Community Participation and JAP Ch. 9.7 Role of stakeholders, and to GGP (UNDP/GEF Groundwater Governance Project) requirement for permanent stakeholder engagement as a governance cornerstone. </w:t>
            </w:r>
          </w:p>
        </w:tc>
        <w:tc>
          <w:tcPr>
            <w:tcW w:w="1391" w:type="dxa"/>
            <w:hideMark/>
          </w:tcPr>
          <w:p w14:paraId="63F3FF1C"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CIE; relevant stakeholders </w:t>
            </w:r>
          </w:p>
        </w:tc>
      </w:tr>
      <w:tr w:rsidR="00FD01B3" w:rsidRPr="00D60A13" w14:paraId="715069AD" w14:textId="77777777" w:rsidTr="00AF3199">
        <w:tc>
          <w:tcPr>
            <w:tcW w:w="0" w:type="auto"/>
            <w:hideMark/>
          </w:tcPr>
          <w:p w14:paraId="581069EC"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Strengthen the Joint Water Management (JWM) Commission mandate on groundwater</w:t>
            </w:r>
          </w:p>
        </w:tc>
        <w:tc>
          <w:tcPr>
            <w:tcW w:w="2078" w:type="dxa"/>
            <w:hideMark/>
          </w:tcPr>
          <w:p w14:paraId="08BC6F89"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Number of groundwater agenda items/year </w:t>
            </w:r>
          </w:p>
          <w:p w14:paraId="400F845B"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Number of adopted cross-border resolutions </w:t>
            </w:r>
          </w:p>
          <w:p w14:paraId="2E5569A2"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Number of joint field inspections/activities</w:t>
            </w:r>
          </w:p>
        </w:tc>
        <w:tc>
          <w:tcPr>
            <w:tcW w:w="1864" w:type="dxa"/>
            <w:hideMark/>
          </w:tcPr>
          <w:p w14:paraId="1DC225C6"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Medium</w:t>
            </w:r>
            <w:r w:rsidRPr="00D60A13">
              <w:rPr>
                <w:rFonts w:ascii="Calibri" w:hAnsi="Calibri" w:cs="Calibri"/>
                <w:sz w:val="16"/>
                <w:szCs w:val="16"/>
              </w:rPr>
              <w:noBreakHyphen/>
              <w:t>term (2-4 years)</w:t>
            </w:r>
          </w:p>
        </w:tc>
        <w:tc>
          <w:tcPr>
            <w:tcW w:w="2109" w:type="dxa"/>
            <w:hideMark/>
          </w:tcPr>
          <w:p w14:paraId="3C2FE011"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Leverages JAP Ch. 7.1 Commission operations and GGP guidance on transboundary aquifers: start with professional cooperation → joint programs → agreements. </w:t>
            </w:r>
          </w:p>
        </w:tc>
        <w:tc>
          <w:tcPr>
            <w:tcW w:w="1391" w:type="dxa"/>
            <w:hideMark/>
          </w:tcPr>
          <w:p w14:paraId="13B3BC6D"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JVM Commission secretariat</w:t>
            </w:r>
          </w:p>
        </w:tc>
      </w:tr>
      <w:tr w:rsidR="00FD01B3" w:rsidRPr="00D60A13" w14:paraId="16950919" w14:textId="77777777" w:rsidTr="00AF3199">
        <w:tc>
          <w:tcPr>
            <w:tcW w:w="0" w:type="auto"/>
          </w:tcPr>
          <w:p w14:paraId="34F30803" w14:textId="2BE9EA8F"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 xml:space="preserve">Implement joint data-sharing mechanism for </w:t>
            </w:r>
            <w:r w:rsidR="009114DC" w:rsidRPr="00D60A13">
              <w:rPr>
                <w:rFonts w:ascii="Calibri" w:hAnsi="Calibri" w:cs="Calibri"/>
                <w:b/>
                <w:bCs/>
                <w:sz w:val="16"/>
                <w:szCs w:val="16"/>
              </w:rPr>
              <w:t>Neretva</w:t>
            </w:r>
            <w:r w:rsidRPr="00D60A13">
              <w:rPr>
                <w:rFonts w:ascii="Calibri" w:hAnsi="Calibri" w:cs="Calibri"/>
                <w:b/>
                <w:bCs/>
                <w:sz w:val="16"/>
                <w:szCs w:val="16"/>
              </w:rPr>
              <w:t xml:space="preserve"> TBA</w:t>
            </w:r>
          </w:p>
        </w:tc>
        <w:tc>
          <w:tcPr>
            <w:tcW w:w="2078" w:type="dxa"/>
          </w:tcPr>
          <w:p w14:paraId="6A871FCC"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Institutional framework agreed; regular bilateral data exchange in place</w:t>
            </w:r>
          </w:p>
        </w:tc>
        <w:tc>
          <w:tcPr>
            <w:tcW w:w="1864" w:type="dxa"/>
          </w:tcPr>
          <w:p w14:paraId="5CDBC49A"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Short-term (1 year)</w:t>
            </w:r>
          </w:p>
        </w:tc>
        <w:tc>
          <w:tcPr>
            <w:tcW w:w="2109" w:type="dxa"/>
          </w:tcPr>
          <w:p w14:paraId="76122C92"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Directly linked to JAP Chapter 7.2 Joint data sharing mechanism</w:t>
            </w:r>
          </w:p>
        </w:tc>
        <w:tc>
          <w:tcPr>
            <w:tcW w:w="1391" w:type="dxa"/>
          </w:tcPr>
          <w:p w14:paraId="3244DB12" w14:textId="47D834A9" w:rsidR="00FD01B3" w:rsidRPr="00D60A13" w:rsidRDefault="00FD01B3" w:rsidP="00322118">
            <w:pPr>
              <w:rPr>
                <w:rFonts w:ascii="Calibri" w:hAnsi="Calibri" w:cs="Calibri"/>
                <w:sz w:val="16"/>
                <w:szCs w:val="16"/>
              </w:rPr>
            </w:pPr>
            <w:r w:rsidRPr="00D60A13">
              <w:rPr>
                <w:rFonts w:ascii="Calibri" w:hAnsi="Calibri" w:cs="Calibri"/>
                <w:sz w:val="16"/>
                <w:szCs w:val="16"/>
              </w:rPr>
              <w:t>National water management authorities; JWM Commission</w:t>
            </w:r>
          </w:p>
        </w:tc>
      </w:tr>
      <w:tr w:rsidR="00FD01B3" w:rsidRPr="00D60A13" w14:paraId="3F8BAF4F" w14:textId="77777777" w:rsidTr="00AF3199">
        <w:tc>
          <w:tcPr>
            <w:tcW w:w="0" w:type="auto"/>
          </w:tcPr>
          <w:p w14:paraId="6E8AC977"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Engage local and regional authorities in groundwater governance</w:t>
            </w:r>
          </w:p>
        </w:tc>
        <w:tc>
          <w:tcPr>
            <w:tcW w:w="2078" w:type="dxa"/>
          </w:tcPr>
          <w:p w14:paraId="5D5FBBB6"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Active involvement of authorities; continuity of engagement</w:t>
            </w:r>
          </w:p>
        </w:tc>
        <w:tc>
          <w:tcPr>
            <w:tcW w:w="1864" w:type="dxa"/>
          </w:tcPr>
          <w:p w14:paraId="3CB11B18"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Short-term (1 year) / Medium-term (2–4 years)</w:t>
            </w:r>
          </w:p>
        </w:tc>
        <w:tc>
          <w:tcPr>
            <w:tcW w:w="2109" w:type="dxa"/>
          </w:tcPr>
          <w:p w14:paraId="716949B9"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Linked to JAP Chapter 7.6 and Stakeholder Involvement Plan</w:t>
            </w:r>
          </w:p>
        </w:tc>
        <w:tc>
          <w:tcPr>
            <w:tcW w:w="1391" w:type="dxa"/>
          </w:tcPr>
          <w:p w14:paraId="6F3E2E86"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Local/regional authorities in each country</w:t>
            </w:r>
          </w:p>
        </w:tc>
      </w:tr>
      <w:tr w:rsidR="00AF3199" w:rsidRPr="00D60A13" w14:paraId="55E622C9" w14:textId="77777777" w:rsidTr="00AF3199">
        <w:tc>
          <w:tcPr>
            <w:tcW w:w="0" w:type="auto"/>
          </w:tcPr>
          <w:p w14:paraId="6CD14170"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Strengthen local implementation capacity</w:t>
            </w:r>
          </w:p>
        </w:tc>
        <w:tc>
          <w:tcPr>
            <w:tcW w:w="2078" w:type="dxa"/>
          </w:tcPr>
          <w:p w14:paraId="32C85A6D"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Groundwater consideration reflected in local planning and sanitation decisions</w:t>
            </w:r>
          </w:p>
        </w:tc>
        <w:tc>
          <w:tcPr>
            <w:tcW w:w="1864" w:type="dxa"/>
          </w:tcPr>
          <w:p w14:paraId="4B41E170"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Medium-term (2–4 years)</w:t>
            </w:r>
          </w:p>
        </w:tc>
        <w:tc>
          <w:tcPr>
            <w:tcW w:w="2109" w:type="dxa"/>
          </w:tcPr>
          <w:p w14:paraId="3972575C" w14:textId="2C6B9A7B" w:rsidR="00FD01B3" w:rsidRPr="00D60A13" w:rsidRDefault="00FD01B3" w:rsidP="00322118">
            <w:pPr>
              <w:rPr>
                <w:rFonts w:ascii="Calibri" w:hAnsi="Calibri" w:cs="Calibri"/>
                <w:sz w:val="16"/>
                <w:szCs w:val="16"/>
              </w:rPr>
            </w:pPr>
            <w:r w:rsidRPr="00D60A13">
              <w:rPr>
                <w:rFonts w:ascii="Calibri" w:hAnsi="Calibri" w:cs="Calibri"/>
                <w:sz w:val="16"/>
                <w:szCs w:val="16"/>
              </w:rPr>
              <w:t>Addresses implementation gaps in rural karst and tourism</w:t>
            </w:r>
            <w:r w:rsidR="009114DC" w:rsidRPr="00D60A13">
              <w:rPr>
                <w:rFonts w:ascii="Calibri" w:hAnsi="Calibri" w:cs="Calibri"/>
                <w:sz w:val="16"/>
                <w:szCs w:val="16"/>
              </w:rPr>
              <w:t xml:space="preserve"> and agriculture</w:t>
            </w:r>
            <w:r w:rsidRPr="00D60A13">
              <w:rPr>
                <w:rFonts w:ascii="Calibri" w:hAnsi="Calibri" w:cs="Calibri"/>
                <w:sz w:val="16"/>
                <w:szCs w:val="16"/>
              </w:rPr>
              <w:t>-affected areas</w:t>
            </w:r>
          </w:p>
        </w:tc>
        <w:tc>
          <w:tcPr>
            <w:tcW w:w="1391" w:type="dxa"/>
          </w:tcPr>
          <w:p w14:paraId="728E3DCF"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Local/regional authorities in each country</w:t>
            </w:r>
          </w:p>
        </w:tc>
      </w:tr>
      <w:tr w:rsidR="00FD01B3" w:rsidRPr="00D60A13" w14:paraId="45924883" w14:textId="77777777" w:rsidTr="00AF3199">
        <w:tc>
          <w:tcPr>
            <w:tcW w:w="0" w:type="auto"/>
          </w:tcPr>
          <w:p w14:paraId="78D16B22"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Establish cross-border notification and response procedures</w:t>
            </w:r>
          </w:p>
        </w:tc>
        <w:tc>
          <w:tcPr>
            <w:tcW w:w="2078" w:type="dxa"/>
          </w:tcPr>
          <w:p w14:paraId="1507E9B2"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Procedures agreed; timely information exchange during incidents</w:t>
            </w:r>
          </w:p>
        </w:tc>
        <w:tc>
          <w:tcPr>
            <w:tcW w:w="1864" w:type="dxa"/>
          </w:tcPr>
          <w:p w14:paraId="6B9D0C55"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Medium-term (2–4 years)</w:t>
            </w:r>
          </w:p>
        </w:tc>
        <w:tc>
          <w:tcPr>
            <w:tcW w:w="2109" w:type="dxa"/>
          </w:tcPr>
          <w:p w14:paraId="02EEFB57"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Supports preparedness and coordinated response under JAP Chapter 7.4</w:t>
            </w:r>
          </w:p>
        </w:tc>
        <w:tc>
          <w:tcPr>
            <w:tcW w:w="1391" w:type="dxa"/>
          </w:tcPr>
          <w:p w14:paraId="252CDFCC"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Water utilities; environmental authorities; municipalities</w:t>
            </w:r>
          </w:p>
        </w:tc>
      </w:tr>
      <w:tr w:rsidR="00FD01B3" w:rsidRPr="00D60A13" w14:paraId="67917B04" w14:textId="77777777" w:rsidTr="00AF3199">
        <w:tc>
          <w:tcPr>
            <w:tcW w:w="0" w:type="auto"/>
          </w:tcPr>
          <w:p w14:paraId="17F4AB4D"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Apply feedback and learning in institutional cooperation</w:t>
            </w:r>
          </w:p>
        </w:tc>
        <w:tc>
          <w:tcPr>
            <w:tcW w:w="2078" w:type="dxa"/>
          </w:tcPr>
          <w:p w14:paraId="205C570E"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Feedback reviewed; coordination practices adjusted</w:t>
            </w:r>
          </w:p>
        </w:tc>
        <w:tc>
          <w:tcPr>
            <w:tcW w:w="1864" w:type="dxa"/>
          </w:tcPr>
          <w:p w14:paraId="118482C4"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Medium-term (2–4 years)</w:t>
            </w:r>
          </w:p>
        </w:tc>
        <w:tc>
          <w:tcPr>
            <w:tcW w:w="2109" w:type="dxa"/>
          </w:tcPr>
          <w:p w14:paraId="2399420B"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Ensures adaptive governance under JAP Chapter 7 measures</w:t>
            </w:r>
          </w:p>
        </w:tc>
        <w:tc>
          <w:tcPr>
            <w:tcW w:w="1391" w:type="dxa"/>
          </w:tcPr>
          <w:p w14:paraId="4987533F"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All relevant institutions involved in transboundary cooperation </w:t>
            </w:r>
          </w:p>
        </w:tc>
      </w:tr>
      <w:tr w:rsidR="00FD01B3" w:rsidRPr="00D60A13" w14:paraId="611D56B6" w14:textId="77777777" w:rsidTr="00AF3199">
        <w:tc>
          <w:tcPr>
            <w:tcW w:w="0" w:type="auto"/>
          </w:tcPr>
          <w:p w14:paraId="53292E34" w14:textId="6367877E"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Ensure the sustainability of cooperation mechanisms beyond the</w:t>
            </w:r>
            <w:r w:rsidR="007079BA" w:rsidRPr="00D60A13">
              <w:rPr>
                <w:rFonts w:ascii="Calibri" w:hAnsi="Calibri" w:cs="Calibri"/>
                <w:b/>
                <w:bCs/>
                <w:sz w:val="16"/>
                <w:szCs w:val="16"/>
              </w:rPr>
              <w:t xml:space="preserve"> DIKTAS II</w:t>
            </w:r>
            <w:r w:rsidRPr="00D60A13">
              <w:rPr>
                <w:rFonts w:ascii="Calibri" w:hAnsi="Calibri" w:cs="Calibri"/>
                <w:b/>
                <w:bCs/>
                <w:sz w:val="16"/>
                <w:szCs w:val="16"/>
              </w:rPr>
              <w:t xml:space="preserve"> project duration</w:t>
            </w:r>
          </w:p>
        </w:tc>
        <w:tc>
          <w:tcPr>
            <w:tcW w:w="2078" w:type="dxa"/>
          </w:tcPr>
          <w:p w14:paraId="6DDE745A"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Responsibilities embedded in existing institutions</w:t>
            </w:r>
          </w:p>
        </w:tc>
        <w:tc>
          <w:tcPr>
            <w:tcW w:w="1864" w:type="dxa"/>
          </w:tcPr>
          <w:p w14:paraId="0A229D61"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Long-term (5–6 years)</w:t>
            </w:r>
          </w:p>
        </w:tc>
        <w:tc>
          <w:tcPr>
            <w:tcW w:w="2109" w:type="dxa"/>
          </w:tcPr>
          <w:p w14:paraId="6CFC4F4D"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Reduces dependences on project-based arrangements and external facilitation</w:t>
            </w:r>
          </w:p>
        </w:tc>
        <w:tc>
          <w:tcPr>
            <w:tcW w:w="1391" w:type="dxa"/>
          </w:tcPr>
          <w:p w14:paraId="267B3E9A" w14:textId="4ED81552" w:rsidR="00FD01B3" w:rsidRPr="00D60A13" w:rsidRDefault="00FD01B3" w:rsidP="00322118">
            <w:pPr>
              <w:rPr>
                <w:rFonts w:ascii="Calibri" w:hAnsi="Calibri" w:cs="Calibri"/>
                <w:sz w:val="16"/>
                <w:szCs w:val="16"/>
              </w:rPr>
            </w:pPr>
            <w:r w:rsidRPr="00D60A13">
              <w:rPr>
                <w:rFonts w:ascii="Calibri" w:hAnsi="Calibri" w:cs="Calibri"/>
                <w:sz w:val="16"/>
                <w:szCs w:val="16"/>
              </w:rPr>
              <w:t>National water management authorities; J</w:t>
            </w:r>
            <w:r w:rsidR="009114DC" w:rsidRPr="00D60A13">
              <w:rPr>
                <w:rFonts w:ascii="Calibri" w:hAnsi="Calibri" w:cs="Calibri"/>
                <w:sz w:val="16"/>
                <w:szCs w:val="16"/>
              </w:rPr>
              <w:t>W</w:t>
            </w:r>
            <w:r w:rsidRPr="00D60A13">
              <w:rPr>
                <w:rFonts w:ascii="Calibri" w:hAnsi="Calibri" w:cs="Calibri"/>
                <w:sz w:val="16"/>
                <w:szCs w:val="16"/>
              </w:rPr>
              <w:t>M Commission secretariat</w:t>
            </w:r>
          </w:p>
        </w:tc>
      </w:tr>
      <w:tr w:rsidR="00FD01B3" w:rsidRPr="00D60A13" w14:paraId="78477A08" w14:textId="77777777" w:rsidTr="00AF3199">
        <w:tc>
          <w:tcPr>
            <w:tcW w:w="0" w:type="auto"/>
            <w:hideMark/>
          </w:tcPr>
          <w:p w14:paraId="3D9469DF"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Build local institutional capacity for JAP delivery (training)</w:t>
            </w:r>
          </w:p>
        </w:tc>
        <w:tc>
          <w:tcPr>
            <w:tcW w:w="2078" w:type="dxa"/>
            <w:hideMark/>
          </w:tcPr>
          <w:p w14:paraId="01AE5D1E"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Number of staff trained (hydrogeology, QA/QC, law) </w:t>
            </w:r>
          </w:p>
          <w:p w14:paraId="1936F7DB"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Dedicated groundwater unit/team established </w:t>
            </w:r>
          </w:p>
        </w:tc>
        <w:tc>
          <w:tcPr>
            <w:tcW w:w="1864" w:type="dxa"/>
            <w:hideMark/>
          </w:tcPr>
          <w:p w14:paraId="6CCF49A0"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Medium</w:t>
            </w:r>
            <w:r w:rsidRPr="00D60A13">
              <w:rPr>
                <w:rFonts w:ascii="Calibri" w:hAnsi="Calibri" w:cs="Calibri"/>
                <w:sz w:val="16"/>
                <w:szCs w:val="16"/>
              </w:rPr>
              <w:noBreakHyphen/>
              <w:t>term (2-4 years)</w:t>
            </w:r>
          </w:p>
        </w:tc>
        <w:tc>
          <w:tcPr>
            <w:tcW w:w="2109" w:type="dxa"/>
            <w:hideMark/>
          </w:tcPr>
          <w:p w14:paraId="67487163"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GGP recommends national &amp; local groundwater units with specialist staff and secure financing; supports JAP Ch.8 consolidation and JAP Ch.5 financing. </w:t>
            </w:r>
          </w:p>
        </w:tc>
        <w:tc>
          <w:tcPr>
            <w:tcW w:w="1391" w:type="dxa"/>
            <w:hideMark/>
          </w:tcPr>
          <w:p w14:paraId="6132E351"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JVM Commission secretariat</w:t>
            </w:r>
          </w:p>
        </w:tc>
      </w:tr>
    </w:tbl>
    <w:p w14:paraId="69217C6A" w14:textId="77777777" w:rsidR="00FD01B3" w:rsidRPr="00D60A13" w:rsidRDefault="00FD01B3" w:rsidP="00FD01B3">
      <w:pPr>
        <w:rPr>
          <w:b/>
          <w:bCs/>
        </w:rPr>
      </w:pPr>
    </w:p>
    <w:p w14:paraId="142D3D7D" w14:textId="77777777" w:rsidR="00FD01B3" w:rsidRPr="00D60A13" w:rsidRDefault="00FD01B3" w:rsidP="00FD01B3">
      <w:pPr>
        <w:rPr>
          <w:rFonts w:ascii="Calibri" w:hAnsi="Calibri" w:cs="Calibri"/>
          <w:sz w:val="20"/>
          <w:szCs w:val="20"/>
        </w:rPr>
      </w:pPr>
    </w:p>
    <w:p w14:paraId="44AEE3EC" w14:textId="12D14CC5" w:rsidR="00FD01B3" w:rsidRPr="00D60A13" w:rsidRDefault="00FD01B3" w:rsidP="00AF3199">
      <w:pPr>
        <w:pStyle w:val="Heading3"/>
        <w:rPr>
          <w:b/>
          <w:bCs/>
          <w:lang w:val="en-GB"/>
        </w:rPr>
      </w:pPr>
      <w:bookmarkStart w:id="296" w:name="_Toc223524371"/>
      <w:bookmarkStart w:id="297" w:name="_Toc229036339"/>
      <w:r w:rsidRPr="00D60A13">
        <w:rPr>
          <w:lang w:val="en-GB"/>
        </w:rPr>
        <w:lastRenderedPageBreak/>
        <w:t>13.</w:t>
      </w:r>
      <w:r w:rsidR="009E5B3F">
        <w:rPr>
          <w:lang w:val="en-GB"/>
        </w:rPr>
        <w:t>5</w:t>
      </w:r>
      <w:r w:rsidRPr="00D60A13">
        <w:rPr>
          <w:lang w:val="en-GB"/>
        </w:rPr>
        <w:t>.2 Indicator category: Legal &amp; Fiscal</w:t>
      </w:r>
      <w:bookmarkEnd w:id="296"/>
      <w:bookmarkEnd w:id="297"/>
    </w:p>
    <w:tbl>
      <w:tblPr>
        <w:tblStyle w:val="TableGrid"/>
        <w:tblW w:w="0" w:type="auto"/>
        <w:tblLook w:val="04A0" w:firstRow="1" w:lastRow="0" w:firstColumn="1" w:lastColumn="0" w:noHBand="0" w:noVBand="1"/>
      </w:tblPr>
      <w:tblGrid>
        <w:gridCol w:w="1549"/>
        <w:gridCol w:w="2110"/>
        <w:gridCol w:w="1832"/>
        <w:gridCol w:w="2159"/>
        <w:gridCol w:w="1366"/>
      </w:tblGrid>
      <w:tr w:rsidR="00FD01B3" w:rsidRPr="00D60A13" w14:paraId="53BE21C7" w14:textId="77777777" w:rsidTr="00514F9C">
        <w:tc>
          <w:tcPr>
            <w:tcW w:w="1549" w:type="dxa"/>
            <w:shd w:val="clear" w:color="auto" w:fill="D9E2F3" w:themeFill="accent1" w:themeFillTint="33"/>
            <w:hideMark/>
          </w:tcPr>
          <w:p w14:paraId="046AA06A"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Activity</w:t>
            </w:r>
          </w:p>
        </w:tc>
        <w:tc>
          <w:tcPr>
            <w:tcW w:w="2110" w:type="dxa"/>
            <w:shd w:val="clear" w:color="auto" w:fill="D9E2F3" w:themeFill="accent1" w:themeFillTint="33"/>
            <w:hideMark/>
          </w:tcPr>
          <w:p w14:paraId="0998C785"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Indicators</w:t>
            </w:r>
          </w:p>
        </w:tc>
        <w:tc>
          <w:tcPr>
            <w:tcW w:w="1832" w:type="dxa"/>
            <w:shd w:val="clear" w:color="auto" w:fill="D9E2F3" w:themeFill="accent1" w:themeFillTint="33"/>
            <w:hideMark/>
          </w:tcPr>
          <w:p w14:paraId="452AF7F5"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Activity Implementation Time</w:t>
            </w:r>
          </w:p>
        </w:tc>
        <w:tc>
          <w:tcPr>
            <w:tcW w:w="2159" w:type="dxa"/>
            <w:shd w:val="clear" w:color="auto" w:fill="D9E2F3" w:themeFill="accent1" w:themeFillTint="33"/>
            <w:hideMark/>
          </w:tcPr>
          <w:p w14:paraId="1C774627"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Context for Application</w:t>
            </w:r>
          </w:p>
        </w:tc>
        <w:tc>
          <w:tcPr>
            <w:tcW w:w="1366" w:type="dxa"/>
            <w:shd w:val="clear" w:color="auto" w:fill="D9E2F3" w:themeFill="accent1" w:themeFillTint="33"/>
            <w:hideMark/>
          </w:tcPr>
          <w:p w14:paraId="26CAF8F9"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Competence</w:t>
            </w:r>
          </w:p>
        </w:tc>
      </w:tr>
      <w:tr w:rsidR="00FD01B3" w:rsidRPr="00D60A13" w14:paraId="3D052D75" w14:textId="77777777" w:rsidTr="00AF3199">
        <w:tc>
          <w:tcPr>
            <w:tcW w:w="1549" w:type="dxa"/>
            <w:hideMark/>
          </w:tcPr>
          <w:p w14:paraId="4022A769"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Implement licensing &amp; control of groundwater abstraction and wastewater discharge</w:t>
            </w:r>
          </w:p>
        </w:tc>
        <w:tc>
          <w:tcPr>
            <w:tcW w:w="2110" w:type="dxa"/>
            <w:hideMark/>
          </w:tcPr>
          <w:p w14:paraId="0C7D3200"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 of wells/springs licensed &amp; in registry </w:t>
            </w:r>
          </w:p>
          <w:p w14:paraId="39F3EF16"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Number of inspections &amp; compliance rate </w:t>
            </w:r>
          </w:p>
          <w:p w14:paraId="5E27E499"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Number of illegal water supply objects closed </w:t>
            </w:r>
          </w:p>
          <w:p w14:paraId="3B79B7F8"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Number of discharge permits issued/denied</w:t>
            </w:r>
          </w:p>
        </w:tc>
        <w:tc>
          <w:tcPr>
            <w:tcW w:w="1832" w:type="dxa"/>
            <w:hideMark/>
          </w:tcPr>
          <w:p w14:paraId="47937EA2"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Short</w:t>
            </w:r>
            <w:r w:rsidRPr="00D60A13">
              <w:rPr>
                <w:rFonts w:ascii="Calibri" w:hAnsi="Calibri" w:cs="Calibri"/>
                <w:sz w:val="16"/>
                <w:szCs w:val="16"/>
              </w:rPr>
              <w:noBreakHyphen/>
              <w:t>term (one year) → Medium</w:t>
            </w:r>
            <w:r w:rsidRPr="00D60A13">
              <w:rPr>
                <w:rFonts w:ascii="Calibri" w:hAnsi="Calibri" w:cs="Calibri"/>
                <w:sz w:val="16"/>
                <w:szCs w:val="16"/>
              </w:rPr>
              <w:noBreakHyphen/>
              <w:t>term (2-4 years)</w:t>
            </w:r>
          </w:p>
        </w:tc>
        <w:tc>
          <w:tcPr>
            <w:tcW w:w="2159" w:type="dxa"/>
            <w:hideMark/>
          </w:tcPr>
          <w:p w14:paraId="006DE904"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Directly based on JAP Ch. 8.3 Control and licensing; mirrors GGP core legal provisions: bring groundwater under public control, license wells (springs)/uses, and control point-source pollution. </w:t>
            </w:r>
          </w:p>
        </w:tc>
        <w:tc>
          <w:tcPr>
            <w:tcW w:w="1366" w:type="dxa"/>
            <w:hideMark/>
          </w:tcPr>
          <w:p w14:paraId="139101F7"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Local/regional authorities in each country</w:t>
            </w:r>
          </w:p>
        </w:tc>
      </w:tr>
      <w:tr w:rsidR="00FD01B3" w:rsidRPr="00D60A13" w14:paraId="1A71437A" w14:textId="77777777" w:rsidTr="00AF3199">
        <w:tc>
          <w:tcPr>
            <w:tcW w:w="1549" w:type="dxa"/>
            <w:hideMark/>
          </w:tcPr>
          <w:p w14:paraId="0AADC6D9"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Introduce graduated sanctions &amp; permits</w:t>
            </w:r>
          </w:p>
        </w:tc>
        <w:tc>
          <w:tcPr>
            <w:tcW w:w="2110" w:type="dxa"/>
            <w:hideMark/>
          </w:tcPr>
          <w:p w14:paraId="47B22CD4"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Number of sanctions applied</w:t>
            </w:r>
          </w:p>
          <w:p w14:paraId="196E8B1F"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 % permits with adaptive (reviewable) conditions </w:t>
            </w:r>
          </w:p>
          <w:p w14:paraId="40DBF064"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Reduction in over</w:t>
            </w:r>
            <w:r w:rsidRPr="00D60A13">
              <w:rPr>
                <w:rFonts w:ascii="Calibri" w:hAnsi="Calibri" w:cs="Calibri"/>
                <w:sz w:val="16"/>
                <w:szCs w:val="16"/>
              </w:rPr>
              <w:noBreakHyphen/>
              <w:t>abstraction hotspots</w:t>
            </w:r>
          </w:p>
        </w:tc>
        <w:tc>
          <w:tcPr>
            <w:tcW w:w="1832" w:type="dxa"/>
            <w:hideMark/>
          </w:tcPr>
          <w:p w14:paraId="50A1F4C8"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Medium</w:t>
            </w:r>
            <w:r w:rsidRPr="00D60A13">
              <w:rPr>
                <w:rFonts w:ascii="Calibri" w:hAnsi="Calibri" w:cs="Calibri"/>
                <w:sz w:val="16"/>
                <w:szCs w:val="16"/>
              </w:rPr>
              <w:noBreakHyphen/>
              <w:t>term (2-4 years)</w:t>
            </w:r>
          </w:p>
        </w:tc>
        <w:tc>
          <w:tcPr>
            <w:tcW w:w="2159" w:type="dxa"/>
            <w:hideMark/>
          </w:tcPr>
          <w:p w14:paraId="47B85391" w14:textId="4FD255EC" w:rsidR="00E305E3" w:rsidRPr="00D60A13" w:rsidRDefault="00E305E3" w:rsidP="00322118">
            <w:pPr>
              <w:rPr>
                <w:rFonts w:ascii="Calibri" w:hAnsi="Calibri" w:cs="Calibri"/>
                <w:sz w:val="16"/>
                <w:szCs w:val="16"/>
              </w:rPr>
            </w:pPr>
            <w:r w:rsidRPr="00D60A13">
              <w:rPr>
                <w:rFonts w:ascii="Calibri" w:hAnsi="Calibri" w:cs="Calibri"/>
                <w:sz w:val="16"/>
                <w:szCs w:val="16"/>
              </w:rPr>
              <w:t xml:space="preserve">• Illegal pesticide/fertilizer use in </w:t>
            </w:r>
            <w:r w:rsidR="003108B4">
              <w:rPr>
                <w:rFonts w:ascii="Calibri" w:hAnsi="Calibri" w:cs="Calibri"/>
                <w:sz w:val="16"/>
                <w:szCs w:val="16"/>
              </w:rPr>
              <w:t>Delta</w:t>
            </w:r>
            <w:r w:rsidRPr="00D60A13">
              <w:rPr>
                <w:rFonts w:ascii="Calibri" w:hAnsi="Calibri" w:cs="Calibri"/>
                <w:sz w:val="16"/>
                <w:szCs w:val="16"/>
              </w:rPr>
              <w:t xml:space="preserve"> and septic leakage near </w:t>
            </w:r>
            <w:proofErr w:type="spellStart"/>
            <w:r w:rsidRPr="00D60A13">
              <w:rPr>
                <w:rFonts w:ascii="Calibri" w:hAnsi="Calibri" w:cs="Calibri"/>
                <w:sz w:val="16"/>
                <w:szCs w:val="16"/>
              </w:rPr>
              <w:t>Prud</w:t>
            </w:r>
            <w:proofErr w:type="spellEnd"/>
            <w:r w:rsidRPr="00D60A13">
              <w:rPr>
                <w:rFonts w:ascii="Calibri" w:hAnsi="Calibri" w:cs="Calibri"/>
                <w:sz w:val="16"/>
                <w:szCs w:val="16"/>
              </w:rPr>
              <w:t xml:space="preserve"> require graduated penalties and adaptive permit conditions tied to pollution reduction.</w:t>
            </w:r>
          </w:p>
          <w:p w14:paraId="70388F4B" w14:textId="52B9F976" w:rsidR="00FD01B3" w:rsidRPr="00D60A13" w:rsidRDefault="00E305E3" w:rsidP="00322118">
            <w:pPr>
              <w:rPr>
                <w:rFonts w:ascii="Calibri" w:hAnsi="Calibri" w:cs="Calibri"/>
                <w:sz w:val="16"/>
                <w:szCs w:val="16"/>
              </w:rPr>
            </w:pPr>
            <w:r w:rsidRPr="00D60A13">
              <w:rPr>
                <w:rFonts w:ascii="Calibri" w:hAnsi="Calibri" w:cs="Calibri"/>
                <w:sz w:val="16"/>
                <w:szCs w:val="16"/>
              </w:rPr>
              <w:t xml:space="preserve">• </w:t>
            </w:r>
            <w:r w:rsidR="00FD01B3" w:rsidRPr="00D60A13">
              <w:rPr>
                <w:rFonts w:ascii="Calibri" w:hAnsi="Calibri" w:cs="Calibri"/>
                <w:sz w:val="16"/>
                <w:szCs w:val="16"/>
              </w:rPr>
              <w:t xml:space="preserve">GGP recommends adaptive rights, loss if unused, termination if environmental damage occurs </w:t>
            </w:r>
          </w:p>
        </w:tc>
        <w:tc>
          <w:tcPr>
            <w:tcW w:w="1366" w:type="dxa"/>
            <w:hideMark/>
          </w:tcPr>
          <w:p w14:paraId="44DE2D00"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Local/regional authorities in each country</w:t>
            </w:r>
          </w:p>
        </w:tc>
      </w:tr>
      <w:tr w:rsidR="00FD01B3" w:rsidRPr="00D60A13" w14:paraId="523DEF47" w14:textId="77777777" w:rsidTr="00AF3199">
        <w:tc>
          <w:tcPr>
            <w:tcW w:w="1549" w:type="dxa"/>
            <w:hideMark/>
          </w:tcPr>
          <w:p w14:paraId="06365712"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Design fiscal incentives for water</w:t>
            </w:r>
            <w:r w:rsidRPr="00D60A13">
              <w:rPr>
                <w:rFonts w:ascii="Calibri" w:hAnsi="Calibri" w:cs="Calibri"/>
                <w:b/>
                <w:bCs/>
                <w:sz w:val="16"/>
                <w:szCs w:val="16"/>
              </w:rPr>
              <w:noBreakHyphen/>
              <w:t xml:space="preserve">efficient technologies </w:t>
            </w:r>
          </w:p>
        </w:tc>
        <w:tc>
          <w:tcPr>
            <w:tcW w:w="2110" w:type="dxa"/>
            <w:hideMark/>
          </w:tcPr>
          <w:p w14:paraId="6DB70668"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Number of beneficiaries of incentives </w:t>
            </w:r>
          </w:p>
          <w:p w14:paraId="217DBED1"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Reduction in energy subsidies tied to pumping </w:t>
            </w:r>
          </w:p>
          <w:p w14:paraId="700E154A"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m³ saved per Euro of incentive</w:t>
            </w:r>
          </w:p>
        </w:tc>
        <w:tc>
          <w:tcPr>
            <w:tcW w:w="1832" w:type="dxa"/>
            <w:hideMark/>
          </w:tcPr>
          <w:p w14:paraId="6753AF04"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Medium</w:t>
            </w:r>
            <w:r w:rsidRPr="00D60A13">
              <w:rPr>
                <w:rFonts w:ascii="Calibri" w:hAnsi="Calibri" w:cs="Calibri"/>
                <w:sz w:val="16"/>
                <w:szCs w:val="16"/>
              </w:rPr>
              <w:noBreakHyphen/>
              <w:t>term (2-4 years)</w:t>
            </w:r>
          </w:p>
        </w:tc>
        <w:tc>
          <w:tcPr>
            <w:tcW w:w="2159" w:type="dxa"/>
            <w:hideMark/>
          </w:tcPr>
          <w:p w14:paraId="106E2577"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Connects JAP Ch. 8.2 Promotion of water</w:t>
            </w:r>
            <w:r w:rsidRPr="00D60A13">
              <w:rPr>
                <w:rFonts w:ascii="Calibri" w:hAnsi="Calibri" w:cs="Calibri"/>
                <w:sz w:val="16"/>
                <w:szCs w:val="16"/>
              </w:rPr>
              <w:noBreakHyphen/>
              <w:t xml:space="preserve">efficient technologies with GGP redirecting finance &amp; aligning incentives to discourage depletion and reward efficiency. </w:t>
            </w:r>
          </w:p>
        </w:tc>
        <w:tc>
          <w:tcPr>
            <w:tcW w:w="1366" w:type="dxa"/>
          </w:tcPr>
          <w:p w14:paraId="6CA0071E"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Local/regional authorities in each country</w:t>
            </w:r>
          </w:p>
        </w:tc>
      </w:tr>
      <w:tr w:rsidR="00FD01B3" w:rsidRPr="00D60A13" w14:paraId="61C56013" w14:textId="77777777" w:rsidTr="00AF3199">
        <w:tc>
          <w:tcPr>
            <w:tcW w:w="1549" w:type="dxa"/>
            <w:hideMark/>
          </w:tcPr>
          <w:p w14:paraId="2D11477E"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Establish charging schemes for large commercial groundwater users</w:t>
            </w:r>
          </w:p>
        </w:tc>
        <w:tc>
          <w:tcPr>
            <w:tcW w:w="2110" w:type="dxa"/>
            <w:hideMark/>
          </w:tcPr>
          <w:p w14:paraId="0AF0784E"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Number of users charged </w:t>
            </w:r>
          </w:p>
          <w:p w14:paraId="4643FF68"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Annual revenue for JAP monitoring/QA </w:t>
            </w:r>
          </w:p>
          <w:p w14:paraId="39AA2607"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 cost recovery for governance functions</w:t>
            </w:r>
          </w:p>
        </w:tc>
        <w:tc>
          <w:tcPr>
            <w:tcW w:w="1832" w:type="dxa"/>
            <w:hideMark/>
          </w:tcPr>
          <w:p w14:paraId="4F81ADF0"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Long</w:t>
            </w:r>
            <w:r w:rsidRPr="00D60A13">
              <w:rPr>
                <w:rFonts w:ascii="Calibri" w:hAnsi="Calibri" w:cs="Calibri"/>
                <w:sz w:val="16"/>
                <w:szCs w:val="16"/>
              </w:rPr>
              <w:noBreakHyphen/>
              <w:t>term (5-6 years)</w:t>
            </w:r>
          </w:p>
        </w:tc>
        <w:tc>
          <w:tcPr>
            <w:tcW w:w="2159" w:type="dxa"/>
            <w:hideMark/>
          </w:tcPr>
          <w:p w14:paraId="3CFAB065"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GGP highlights charging for groundwater use (where feasible) and using ICT/pre</w:t>
            </w:r>
            <w:r w:rsidRPr="00D60A13">
              <w:rPr>
                <w:rFonts w:ascii="Calibri" w:hAnsi="Calibri" w:cs="Calibri"/>
                <w:sz w:val="16"/>
                <w:szCs w:val="16"/>
              </w:rPr>
              <w:noBreakHyphen/>
              <w:t>paid systems to regulate consumption and recover costs.</w:t>
            </w:r>
          </w:p>
        </w:tc>
        <w:tc>
          <w:tcPr>
            <w:tcW w:w="1366" w:type="dxa"/>
            <w:hideMark/>
          </w:tcPr>
          <w:p w14:paraId="784DF538"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Local/regional authorities in each country</w:t>
            </w:r>
          </w:p>
        </w:tc>
      </w:tr>
    </w:tbl>
    <w:p w14:paraId="6C03A71F" w14:textId="77777777" w:rsidR="00FD01B3" w:rsidRPr="00D60A13" w:rsidRDefault="00FD01B3" w:rsidP="00FD01B3">
      <w:pPr>
        <w:rPr>
          <w:rFonts w:ascii="Calibri" w:hAnsi="Calibri" w:cs="Calibri"/>
          <w:sz w:val="20"/>
          <w:szCs w:val="20"/>
        </w:rPr>
      </w:pPr>
    </w:p>
    <w:p w14:paraId="456DF93D" w14:textId="77777777" w:rsidR="00AF3199" w:rsidRPr="00D60A13" w:rsidRDefault="00AF3199">
      <w:pPr>
        <w:rPr>
          <w:rFonts w:ascii="Calibri" w:hAnsi="Calibri" w:cs="Calibri"/>
          <w:sz w:val="20"/>
          <w:szCs w:val="20"/>
        </w:rPr>
      </w:pPr>
      <w:r w:rsidRPr="00D60A13">
        <w:rPr>
          <w:rFonts w:ascii="Calibri" w:hAnsi="Calibri" w:cs="Calibri"/>
          <w:sz w:val="20"/>
          <w:szCs w:val="20"/>
        </w:rPr>
        <w:br w:type="page"/>
      </w:r>
    </w:p>
    <w:p w14:paraId="632F3184" w14:textId="3DE431D0" w:rsidR="00FD01B3" w:rsidRPr="00D60A13" w:rsidRDefault="00FD01B3" w:rsidP="00AF3199">
      <w:pPr>
        <w:pStyle w:val="Heading3"/>
        <w:rPr>
          <w:b/>
          <w:bCs/>
          <w:lang w:val="en-GB"/>
        </w:rPr>
      </w:pPr>
      <w:bookmarkStart w:id="298" w:name="_Toc223524372"/>
      <w:bookmarkStart w:id="299" w:name="_Toc229036340"/>
      <w:r w:rsidRPr="00D60A13">
        <w:rPr>
          <w:lang w:val="en-GB"/>
        </w:rPr>
        <w:lastRenderedPageBreak/>
        <w:t>13.</w:t>
      </w:r>
      <w:r w:rsidR="009E5B3F">
        <w:rPr>
          <w:lang w:val="en-GB"/>
        </w:rPr>
        <w:t>5</w:t>
      </w:r>
      <w:r w:rsidRPr="00D60A13">
        <w:rPr>
          <w:lang w:val="en-GB"/>
        </w:rPr>
        <w:t>.3 Indicator category: Technical</w:t>
      </w:r>
      <w:bookmarkEnd w:id="298"/>
      <w:bookmarkEnd w:id="299"/>
    </w:p>
    <w:tbl>
      <w:tblPr>
        <w:tblStyle w:val="TableGrid"/>
        <w:tblW w:w="0" w:type="auto"/>
        <w:tblLook w:val="04A0" w:firstRow="1" w:lastRow="0" w:firstColumn="1" w:lastColumn="0" w:noHBand="0" w:noVBand="1"/>
      </w:tblPr>
      <w:tblGrid>
        <w:gridCol w:w="1555"/>
        <w:gridCol w:w="2126"/>
        <w:gridCol w:w="1813"/>
        <w:gridCol w:w="2156"/>
        <w:gridCol w:w="1366"/>
      </w:tblGrid>
      <w:tr w:rsidR="00FD01B3" w:rsidRPr="00D60A13" w14:paraId="6EF819F6" w14:textId="77777777" w:rsidTr="00514F9C">
        <w:tc>
          <w:tcPr>
            <w:tcW w:w="1555" w:type="dxa"/>
            <w:shd w:val="clear" w:color="auto" w:fill="D9E2F3" w:themeFill="accent1" w:themeFillTint="33"/>
            <w:hideMark/>
          </w:tcPr>
          <w:p w14:paraId="248B8C77"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Activity</w:t>
            </w:r>
          </w:p>
        </w:tc>
        <w:tc>
          <w:tcPr>
            <w:tcW w:w="2126" w:type="dxa"/>
            <w:shd w:val="clear" w:color="auto" w:fill="D9E2F3" w:themeFill="accent1" w:themeFillTint="33"/>
            <w:hideMark/>
          </w:tcPr>
          <w:p w14:paraId="18988035"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Indicators</w:t>
            </w:r>
          </w:p>
        </w:tc>
        <w:tc>
          <w:tcPr>
            <w:tcW w:w="1813" w:type="dxa"/>
            <w:shd w:val="clear" w:color="auto" w:fill="D9E2F3" w:themeFill="accent1" w:themeFillTint="33"/>
            <w:hideMark/>
          </w:tcPr>
          <w:p w14:paraId="2D7B35F7"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Activity Implementation Time</w:t>
            </w:r>
          </w:p>
        </w:tc>
        <w:tc>
          <w:tcPr>
            <w:tcW w:w="2156" w:type="dxa"/>
            <w:shd w:val="clear" w:color="auto" w:fill="D9E2F3" w:themeFill="accent1" w:themeFillTint="33"/>
            <w:hideMark/>
          </w:tcPr>
          <w:p w14:paraId="6AD20DDC"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Context for Application</w:t>
            </w:r>
          </w:p>
        </w:tc>
        <w:tc>
          <w:tcPr>
            <w:tcW w:w="1366" w:type="dxa"/>
            <w:shd w:val="clear" w:color="auto" w:fill="D9E2F3" w:themeFill="accent1" w:themeFillTint="33"/>
            <w:hideMark/>
          </w:tcPr>
          <w:p w14:paraId="176A958E"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Competence</w:t>
            </w:r>
          </w:p>
        </w:tc>
      </w:tr>
      <w:tr w:rsidR="00FD01B3" w:rsidRPr="00D60A13" w14:paraId="0D524876" w14:textId="77777777" w:rsidTr="00AF3199">
        <w:tc>
          <w:tcPr>
            <w:tcW w:w="1555" w:type="dxa"/>
            <w:hideMark/>
          </w:tcPr>
          <w:p w14:paraId="3F08E71B"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Implementation of water-saving technologies (for irrigation and household supply)</w:t>
            </w:r>
          </w:p>
        </w:tc>
        <w:tc>
          <w:tcPr>
            <w:tcW w:w="2126" w:type="dxa"/>
            <w:hideMark/>
          </w:tcPr>
          <w:p w14:paraId="5396D0A6"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Adoption rate (% of target users) </w:t>
            </w:r>
          </w:p>
          <w:p w14:paraId="5BCF41FA"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m³/year groundwater saved </w:t>
            </w:r>
          </w:p>
          <w:p w14:paraId="3922ED36"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Trend in nitrate and key quality indicators at important water supply facilities</w:t>
            </w:r>
          </w:p>
        </w:tc>
        <w:tc>
          <w:tcPr>
            <w:tcW w:w="1813" w:type="dxa"/>
            <w:hideMark/>
          </w:tcPr>
          <w:p w14:paraId="0BF2FED9"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Short</w:t>
            </w:r>
            <w:r w:rsidRPr="00D60A13">
              <w:rPr>
                <w:rFonts w:ascii="Calibri" w:hAnsi="Calibri" w:cs="Calibri"/>
                <w:sz w:val="16"/>
                <w:szCs w:val="16"/>
              </w:rPr>
              <w:noBreakHyphen/>
              <w:t>term (one year) → Medium</w:t>
            </w:r>
            <w:r w:rsidRPr="00D60A13">
              <w:rPr>
                <w:rFonts w:ascii="Calibri" w:hAnsi="Calibri" w:cs="Calibri"/>
                <w:sz w:val="16"/>
                <w:szCs w:val="16"/>
              </w:rPr>
              <w:noBreakHyphen/>
              <w:t>term (2-4 years)</w:t>
            </w:r>
          </w:p>
        </w:tc>
        <w:tc>
          <w:tcPr>
            <w:tcW w:w="2156" w:type="dxa"/>
            <w:hideMark/>
          </w:tcPr>
          <w:p w14:paraId="0427703A"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JAP Ch. 8.2 promotes efficient technologies; GGP cautions to balance efficiency &amp; recharge; indicators track real savings and quality benefits amid microbiological &amp; nutrient pressures. </w:t>
            </w:r>
          </w:p>
        </w:tc>
        <w:tc>
          <w:tcPr>
            <w:tcW w:w="1366" w:type="dxa"/>
            <w:hideMark/>
          </w:tcPr>
          <w:p w14:paraId="780906AE"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Local/regional authorities in each country</w:t>
            </w:r>
          </w:p>
        </w:tc>
      </w:tr>
      <w:tr w:rsidR="00B06C96" w:rsidRPr="00D60A13" w14:paraId="3C185D06" w14:textId="77777777" w:rsidTr="00AF3199">
        <w:tc>
          <w:tcPr>
            <w:tcW w:w="1555" w:type="dxa"/>
          </w:tcPr>
          <w:p w14:paraId="28B2851A" w14:textId="77777777" w:rsidR="00B06C96" w:rsidRPr="00D60A13" w:rsidRDefault="00B06C96" w:rsidP="00B06C96">
            <w:pPr>
              <w:rPr>
                <w:rFonts w:ascii="Calibri" w:hAnsi="Calibri" w:cs="Calibri"/>
                <w:b/>
                <w:bCs/>
                <w:sz w:val="16"/>
                <w:szCs w:val="16"/>
              </w:rPr>
            </w:pPr>
            <w:r w:rsidRPr="00D60A13">
              <w:rPr>
                <w:rFonts w:ascii="Calibri" w:hAnsi="Calibri" w:cs="Calibri"/>
                <w:b/>
                <w:bCs/>
                <w:sz w:val="16"/>
                <w:szCs w:val="16"/>
              </w:rPr>
              <w:t>Use shared GIS datasets for joint assessments</w:t>
            </w:r>
          </w:p>
        </w:tc>
        <w:tc>
          <w:tcPr>
            <w:tcW w:w="2126" w:type="dxa"/>
          </w:tcPr>
          <w:p w14:paraId="63A8ECB1" w14:textId="77777777" w:rsidR="00B06C96" w:rsidRPr="00D60A13" w:rsidRDefault="00B06C96" w:rsidP="00B06C96">
            <w:pPr>
              <w:rPr>
                <w:rFonts w:ascii="Calibri" w:hAnsi="Calibri" w:cs="Calibri"/>
                <w:sz w:val="16"/>
                <w:szCs w:val="16"/>
              </w:rPr>
            </w:pPr>
            <w:r w:rsidRPr="00D60A13">
              <w:rPr>
                <w:rFonts w:ascii="Calibri" w:hAnsi="Calibri" w:cs="Calibri"/>
                <w:sz w:val="16"/>
                <w:szCs w:val="16"/>
              </w:rPr>
              <w:t>Compatible datasets used in joint analyses and reporting</w:t>
            </w:r>
          </w:p>
        </w:tc>
        <w:tc>
          <w:tcPr>
            <w:tcW w:w="1813" w:type="dxa"/>
          </w:tcPr>
          <w:p w14:paraId="628D2F9F" w14:textId="77777777" w:rsidR="00B06C96" w:rsidRPr="00D60A13" w:rsidRDefault="00B06C96" w:rsidP="00B06C96">
            <w:pPr>
              <w:rPr>
                <w:rFonts w:ascii="Calibri" w:hAnsi="Calibri" w:cs="Calibri"/>
                <w:sz w:val="16"/>
                <w:szCs w:val="16"/>
              </w:rPr>
            </w:pPr>
            <w:r w:rsidRPr="00D60A13">
              <w:rPr>
                <w:rFonts w:ascii="Calibri" w:hAnsi="Calibri" w:cs="Calibri"/>
                <w:sz w:val="16"/>
                <w:szCs w:val="16"/>
              </w:rPr>
              <w:t>Medium-term (2–4 years)</w:t>
            </w:r>
          </w:p>
        </w:tc>
        <w:tc>
          <w:tcPr>
            <w:tcW w:w="2156" w:type="dxa"/>
          </w:tcPr>
          <w:p w14:paraId="5D68C120" w14:textId="35CF4C61" w:rsidR="00B06C96" w:rsidRPr="00D60A13" w:rsidRDefault="00B06C96" w:rsidP="00B06C96">
            <w:pPr>
              <w:rPr>
                <w:rFonts w:ascii="Calibri" w:hAnsi="Calibri" w:cs="Calibri"/>
                <w:sz w:val="16"/>
                <w:szCs w:val="16"/>
              </w:rPr>
            </w:pPr>
            <w:r w:rsidRPr="00D60A13">
              <w:rPr>
                <w:rFonts w:ascii="Calibri" w:hAnsi="Calibri" w:cs="Calibri"/>
                <w:sz w:val="16"/>
                <w:szCs w:val="16"/>
              </w:rPr>
              <w:t>Supports coordinated RBMP implementation and DIKTAS</w:t>
            </w:r>
            <w:r w:rsidR="007079BA" w:rsidRPr="00D60A13">
              <w:rPr>
                <w:rFonts w:ascii="Calibri" w:hAnsi="Calibri" w:cs="Calibri"/>
                <w:sz w:val="16"/>
                <w:szCs w:val="16"/>
              </w:rPr>
              <w:t xml:space="preserve"> II</w:t>
            </w:r>
            <w:r w:rsidRPr="00D60A13">
              <w:rPr>
                <w:rFonts w:ascii="Calibri" w:hAnsi="Calibri" w:cs="Calibri"/>
                <w:sz w:val="16"/>
                <w:szCs w:val="16"/>
              </w:rPr>
              <w:t xml:space="preserve"> monitoring objectives</w:t>
            </w:r>
          </w:p>
        </w:tc>
        <w:tc>
          <w:tcPr>
            <w:tcW w:w="1366" w:type="dxa"/>
          </w:tcPr>
          <w:p w14:paraId="16C5C4B7" w14:textId="743E4224" w:rsidR="00B06C96" w:rsidRPr="00D60A13" w:rsidRDefault="00B06C96" w:rsidP="00B06C96">
            <w:pPr>
              <w:rPr>
                <w:rFonts w:ascii="Calibri" w:hAnsi="Calibri" w:cs="Calibri"/>
                <w:sz w:val="16"/>
                <w:szCs w:val="16"/>
              </w:rPr>
            </w:pPr>
            <w:r w:rsidRPr="00D60A13">
              <w:rPr>
                <w:rFonts w:ascii="Calibri" w:hAnsi="Calibri" w:cs="Calibri"/>
                <w:sz w:val="16"/>
                <w:szCs w:val="16"/>
              </w:rPr>
              <w:t>Local/regional authorities in each country; JWM Commission</w:t>
            </w:r>
          </w:p>
        </w:tc>
      </w:tr>
      <w:tr w:rsidR="00B06C96" w:rsidRPr="00D60A13" w14:paraId="55821DDC" w14:textId="77777777" w:rsidTr="00AF3199">
        <w:tc>
          <w:tcPr>
            <w:tcW w:w="1555" w:type="dxa"/>
          </w:tcPr>
          <w:p w14:paraId="0DB58008" w14:textId="77777777" w:rsidR="00B06C96" w:rsidRPr="00D60A13" w:rsidRDefault="00B06C96" w:rsidP="00B06C96">
            <w:pPr>
              <w:rPr>
                <w:rFonts w:ascii="Calibri" w:hAnsi="Calibri" w:cs="Calibri"/>
                <w:b/>
                <w:bCs/>
                <w:sz w:val="16"/>
                <w:szCs w:val="16"/>
              </w:rPr>
            </w:pPr>
            <w:r w:rsidRPr="00D60A13">
              <w:rPr>
                <w:rFonts w:ascii="Calibri" w:hAnsi="Calibri" w:cs="Calibri"/>
                <w:b/>
                <w:bCs/>
                <w:sz w:val="16"/>
                <w:szCs w:val="16"/>
              </w:rPr>
              <w:t>Align monitoring and assessment approaches</w:t>
            </w:r>
          </w:p>
        </w:tc>
        <w:tc>
          <w:tcPr>
            <w:tcW w:w="2126" w:type="dxa"/>
          </w:tcPr>
          <w:p w14:paraId="06FD6603" w14:textId="77777777" w:rsidR="00B06C96" w:rsidRPr="00D60A13" w:rsidRDefault="00B06C96" w:rsidP="00B06C96">
            <w:pPr>
              <w:rPr>
                <w:rFonts w:ascii="Calibri" w:hAnsi="Calibri" w:cs="Calibri"/>
                <w:sz w:val="16"/>
                <w:szCs w:val="16"/>
              </w:rPr>
            </w:pPr>
            <w:r w:rsidRPr="00D60A13">
              <w:rPr>
                <w:rFonts w:ascii="Calibri" w:hAnsi="Calibri" w:cs="Calibri"/>
                <w:sz w:val="16"/>
                <w:szCs w:val="16"/>
              </w:rPr>
              <w:t>Core parameters agreed; joint or coordinated monitoring activities</w:t>
            </w:r>
          </w:p>
        </w:tc>
        <w:tc>
          <w:tcPr>
            <w:tcW w:w="1813" w:type="dxa"/>
          </w:tcPr>
          <w:p w14:paraId="423F2FEC" w14:textId="77777777" w:rsidR="00B06C96" w:rsidRPr="00D60A13" w:rsidRDefault="00B06C96" w:rsidP="00B06C96">
            <w:pPr>
              <w:rPr>
                <w:rFonts w:ascii="Calibri" w:hAnsi="Calibri" w:cs="Calibri"/>
                <w:sz w:val="16"/>
                <w:szCs w:val="16"/>
              </w:rPr>
            </w:pPr>
            <w:r w:rsidRPr="00D60A13">
              <w:rPr>
                <w:rFonts w:ascii="Calibri" w:hAnsi="Calibri" w:cs="Calibri"/>
                <w:sz w:val="16"/>
                <w:szCs w:val="16"/>
              </w:rPr>
              <w:t>Medium-term (2–4 years)</w:t>
            </w:r>
          </w:p>
        </w:tc>
        <w:tc>
          <w:tcPr>
            <w:tcW w:w="2156" w:type="dxa"/>
          </w:tcPr>
          <w:p w14:paraId="0D1E385F" w14:textId="77777777" w:rsidR="00B06C96" w:rsidRPr="00D60A13" w:rsidRDefault="00B06C96" w:rsidP="00B06C96">
            <w:pPr>
              <w:rPr>
                <w:rFonts w:ascii="Calibri" w:hAnsi="Calibri" w:cs="Calibri"/>
                <w:sz w:val="16"/>
                <w:szCs w:val="16"/>
              </w:rPr>
            </w:pPr>
            <w:r w:rsidRPr="00D60A13">
              <w:rPr>
                <w:rFonts w:ascii="Calibri" w:hAnsi="Calibri" w:cs="Calibri"/>
                <w:sz w:val="16"/>
                <w:szCs w:val="16"/>
              </w:rPr>
              <w:t>Responds to methodological differences identified in JAP (Chapters 5&amp;6)</w:t>
            </w:r>
          </w:p>
        </w:tc>
        <w:tc>
          <w:tcPr>
            <w:tcW w:w="1366" w:type="dxa"/>
          </w:tcPr>
          <w:p w14:paraId="5B653A80" w14:textId="77777777" w:rsidR="00B06C96" w:rsidRPr="00D60A13" w:rsidRDefault="00B06C96" w:rsidP="00B06C96">
            <w:pPr>
              <w:rPr>
                <w:rFonts w:ascii="Calibri" w:hAnsi="Calibri" w:cs="Calibri"/>
                <w:sz w:val="16"/>
                <w:szCs w:val="16"/>
              </w:rPr>
            </w:pPr>
            <w:r w:rsidRPr="00D60A13">
              <w:rPr>
                <w:rFonts w:ascii="Calibri" w:hAnsi="Calibri" w:cs="Calibri"/>
                <w:sz w:val="16"/>
                <w:szCs w:val="16"/>
              </w:rPr>
              <w:t>National water management authorities; competent monitoring authorities</w:t>
            </w:r>
          </w:p>
        </w:tc>
      </w:tr>
      <w:tr w:rsidR="00B06C96" w:rsidRPr="00D60A13" w14:paraId="2563EDA4" w14:textId="77777777" w:rsidTr="00AF3199">
        <w:tc>
          <w:tcPr>
            <w:tcW w:w="1555" w:type="dxa"/>
            <w:hideMark/>
          </w:tcPr>
          <w:p w14:paraId="7BC06732" w14:textId="02664036" w:rsidR="00B06C96" w:rsidRPr="00D60A13" w:rsidRDefault="00DB3070" w:rsidP="00B06C96">
            <w:pPr>
              <w:rPr>
                <w:rFonts w:ascii="Calibri" w:hAnsi="Calibri" w:cs="Calibri"/>
                <w:b/>
                <w:bCs/>
                <w:sz w:val="16"/>
                <w:szCs w:val="16"/>
              </w:rPr>
            </w:pPr>
            <w:r w:rsidRPr="00D60A13">
              <w:rPr>
                <w:rFonts w:ascii="Calibri" w:hAnsi="Calibri" w:cs="Calibri"/>
                <w:b/>
                <w:bCs/>
                <w:sz w:val="16"/>
                <w:szCs w:val="16"/>
              </w:rPr>
              <w:t xml:space="preserve">Implement </w:t>
            </w:r>
            <w:r w:rsidR="00E45BE0" w:rsidRPr="00D60A13">
              <w:rPr>
                <w:rFonts w:ascii="Calibri" w:hAnsi="Calibri" w:cs="Calibri"/>
                <w:b/>
                <w:bCs/>
                <w:sz w:val="16"/>
                <w:szCs w:val="16"/>
              </w:rPr>
              <w:t>i</w:t>
            </w:r>
            <w:r w:rsidRPr="00D60A13">
              <w:rPr>
                <w:rFonts w:ascii="Calibri" w:hAnsi="Calibri" w:cs="Calibri"/>
                <w:b/>
                <w:bCs/>
                <w:sz w:val="16"/>
                <w:szCs w:val="16"/>
              </w:rPr>
              <w:t>ntegrated salinity</w:t>
            </w:r>
            <w:r w:rsidRPr="00D60A13">
              <w:rPr>
                <w:rFonts w:ascii="Cambria Math" w:hAnsi="Cambria Math" w:cs="Cambria Math"/>
                <w:b/>
                <w:bCs/>
                <w:sz w:val="16"/>
                <w:szCs w:val="16"/>
              </w:rPr>
              <w:t>‑</w:t>
            </w:r>
            <w:r w:rsidRPr="00D60A13">
              <w:rPr>
                <w:rFonts w:ascii="Calibri" w:hAnsi="Calibri" w:cs="Calibri"/>
                <w:b/>
                <w:bCs/>
                <w:sz w:val="16"/>
                <w:szCs w:val="16"/>
              </w:rPr>
              <w:t xml:space="preserve">control measures in the Neretva </w:t>
            </w:r>
            <w:r w:rsidR="003108B4">
              <w:rPr>
                <w:rFonts w:ascii="Calibri" w:hAnsi="Calibri" w:cs="Calibri"/>
                <w:b/>
                <w:bCs/>
                <w:sz w:val="16"/>
                <w:szCs w:val="16"/>
              </w:rPr>
              <w:t>Delta</w:t>
            </w:r>
            <w:r w:rsidRPr="00D60A13">
              <w:rPr>
                <w:rFonts w:ascii="Calibri" w:hAnsi="Calibri" w:cs="Calibri"/>
                <w:b/>
                <w:bCs/>
                <w:sz w:val="16"/>
                <w:szCs w:val="16"/>
              </w:rPr>
              <w:t xml:space="preserve"> to prevent seawater intrusion</w:t>
            </w:r>
          </w:p>
        </w:tc>
        <w:tc>
          <w:tcPr>
            <w:tcW w:w="2126" w:type="dxa"/>
            <w:hideMark/>
          </w:tcPr>
          <w:p w14:paraId="13F4BDFB" w14:textId="24BBE6C0" w:rsidR="00DB3070" w:rsidRPr="00D60A13" w:rsidRDefault="00DB3070" w:rsidP="00B06C96">
            <w:pPr>
              <w:rPr>
                <w:rFonts w:ascii="Calibri" w:hAnsi="Calibri" w:cs="Calibri"/>
                <w:sz w:val="16"/>
                <w:szCs w:val="16"/>
              </w:rPr>
            </w:pPr>
            <w:r w:rsidRPr="00D60A13">
              <w:rPr>
                <w:rFonts w:ascii="Calibri" w:hAnsi="Calibri" w:cs="Calibri"/>
                <w:sz w:val="16"/>
                <w:szCs w:val="16"/>
              </w:rPr>
              <w:t xml:space="preserve">• Number of operational </w:t>
            </w:r>
            <w:proofErr w:type="gramStart"/>
            <w:r w:rsidRPr="00D60A13">
              <w:rPr>
                <w:rFonts w:ascii="Calibri" w:hAnsi="Calibri" w:cs="Calibri"/>
                <w:sz w:val="16"/>
                <w:szCs w:val="16"/>
              </w:rPr>
              <w:t>salinity</w:t>
            </w:r>
            <w:proofErr w:type="gramEnd"/>
            <w:r w:rsidRPr="00D60A13">
              <w:rPr>
                <w:rFonts w:ascii="Cambria Math" w:hAnsi="Cambria Math" w:cs="Cambria Math"/>
                <w:sz w:val="16"/>
                <w:szCs w:val="16"/>
              </w:rPr>
              <w:t>‑</w:t>
            </w:r>
            <w:r w:rsidRPr="00D60A13">
              <w:rPr>
                <w:rFonts w:ascii="Calibri" w:hAnsi="Calibri" w:cs="Calibri"/>
                <w:sz w:val="16"/>
                <w:szCs w:val="16"/>
              </w:rPr>
              <w:t xml:space="preserve">monitoring stations in the </w:t>
            </w:r>
            <w:r w:rsidR="003108B4">
              <w:rPr>
                <w:rFonts w:ascii="Calibri" w:hAnsi="Calibri" w:cs="Calibri"/>
                <w:sz w:val="16"/>
                <w:szCs w:val="16"/>
              </w:rPr>
              <w:t>Delta</w:t>
            </w:r>
            <w:r w:rsidRPr="00D60A13">
              <w:rPr>
                <w:rFonts w:ascii="Calibri" w:hAnsi="Calibri" w:cs="Calibri"/>
                <w:sz w:val="16"/>
                <w:szCs w:val="16"/>
              </w:rPr>
              <w:t xml:space="preserve">  </w:t>
            </w:r>
          </w:p>
          <w:p w14:paraId="527194E4" w14:textId="77777777" w:rsidR="00DB3070" w:rsidRPr="00D60A13" w:rsidRDefault="00DB3070" w:rsidP="00B06C96">
            <w:pPr>
              <w:rPr>
                <w:rFonts w:ascii="Calibri" w:hAnsi="Calibri" w:cs="Calibri"/>
                <w:sz w:val="16"/>
                <w:szCs w:val="16"/>
              </w:rPr>
            </w:pPr>
            <w:r w:rsidRPr="00D60A13">
              <w:rPr>
                <w:rFonts w:ascii="Calibri" w:hAnsi="Calibri" w:cs="Calibri"/>
                <w:sz w:val="16"/>
                <w:szCs w:val="16"/>
              </w:rPr>
              <w:t xml:space="preserve">• Reduction in frequency/duration of salinity exceedances at key agricultural and ecological sites  </w:t>
            </w:r>
          </w:p>
          <w:p w14:paraId="7B3DAC02" w14:textId="77777777" w:rsidR="00DB3070" w:rsidRPr="00D60A13" w:rsidRDefault="00DB3070" w:rsidP="00B06C96">
            <w:pPr>
              <w:rPr>
                <w:rFonts w:ascii="Calibri" w:hAnsi="Calibri" w:cs="Calibri"/>
                <w:sz w:val="16"/>
                <w:szCs w:val="16"/>
              </w:rPr>
            </w:pPr>
            <w:r w:rsidRPr="00D60A13">
              <w:rPr>
                <w:rFonts w:ascii="Calibri" w:hAnsi="Calibri" w:cs="Calibri"/>
                <w:sz w:val="16"/>
                <w:szCs w:val="16"/>
              </w:rPr>
              <w:t>• % of canals/structures upgraded to limit saline intrusion (e.g., gates, barriers, reverse</w:t>
            </w:r>
            <w:r w:rsidRPr="00D60A13">
              <w:rPr>
                <w:rFonts w:ascii="Cambria Math" w:hAnsi="Cambria Math" w:cs="Cambria Math"/>
                <w:sz w:val="16"/>
                <w:szCs w:val="16"/>
              </w:rPr>
              <w:t>‑</w:t>
            </w:r>
            <w:r w:rsidRPr="00D60A13">
              <w:rPr>
                <w:rFonts w:ascii="Calibri" w:hAnsi="Calibri" w:cs="Calibri"/>
                <w:sz w:val="16"/>
                <w:szCs w:val="16"/>
              </w:rPr>
              <w:t xml:space="preserve">flow controls)  </w:t>
            </w:r>
          </w:p>
          <w:p w14:paraId="1E0C5B12" w14:textId="6A69E331" w:rsidR="00B06C96" w:rsidRPr="00D60A13" w:rsidRDefault="00DB3070" w:rsidP="00B06C96">
            <w:pPr>
              <w:rPr>
                <w:rFonts w:ascii="Calibri" w:hAnsi="Calibri" w:cs="Calibri"/>
                <w:sz w:val="16"/>
                <w:szCs w:val="16"/>
              </w:rPr>
            </w:pPr>
            <w:r w:rsidRPr="00D60A13">
              <w:rPr>
                <w:rFonts w:ascii="Calibri" w:hAnsi="Calibri" w:cs="Calibri"/>
                <w:sz w:val="16"/>
                <w:szCs w:val="16"/>
              </w:rPr>
              <w:t>• Stability/improvement of groundwater EC trends in coastal GW bodies</w:t>
            </w:r>
          </w:p>
        </w:tc>
        <w:tc>
          <w:tcPr>
            <w:tcW w:w="1813" w:type="dxa"/>
            <w:hideMark/>
          </w:tcPr>
          <w:p w14:paraId="5B0E8426" w14:textId="2DEF1B12" w:rsidR="00B06C96" w:rsidRPr="00D60A13" w:rsidRDefault="00DB3070" w:rsidP="00B06C96">
            <w:pPr>
              <w:rPr>
                <w:rFonts w:ascii="Calibri" w:hAnsi="Calibri" w:cs="Calibri"/>
                <w:sz w:val="16"/>
                <w:szCs w:val="16"/>
              </w:rPr>
            </w:pPr>
            <w:r w:rsidRPr="00D60A13">
              <w:rPr>
                <w:rFonts w:ascii="Calibri" w:hAnsi="Calibri" w:cs="Calibri"/>
                <w:sz w:val="16"/>
                <w:szCs w:val="16"/>
              </w:rPr>
              <w:t>Medium term (2-4 years) → Long term (5-6 years)</w:t>
            </w:r>
          </w:p>
        </w:tc>
        <w:tc>
          <w:tcPr>
            <w:tcW w:w="2156" w:type="dxa"/>
            <w:hideMark/>
          </w:tcPr>
          <w:p w14:paraId="2306CE3C" w14:textId="77777777" w:rsidR="00DB3070" w:rsidRPr="00D60A13" w:rsidRDefault="00DB3070" w:rsidP="00B06C96">
            <w:pPr>
              <w:rPr>
                <w:rFonts w:ascii="Calibri" w:hAnsi="Calibri" w:cs="Calibri"/>
                <w:sz w:val="16"/>
                <w:szCs w:val="16"/>
              </w:rPr>
            </w:pPr>
            <w:r w:rsidRPr="00D60A13">
              <w:rPr>
                <w:rFonts w:ascii="Calibri" w:hAnsi="Calibri" w:cs="Calibri"/>
                <w:sz w:val="16"/>
                <w:szCs w:val="16"/>
              </w:rPr>
              <w:t xml:space="preserve">• </w:t>
            </w:r>
            <w:r w:rsidR="00B06C96" w:rsidRPr="00D60A13">
              <w:rPr>
                <w:rFonts w:ascii="Calibri" w:hAnsi="Calibri" w:cs="Calibri"/>
                <w:sz w:val="16"/>
                <w:szCs w:val="16"/>
              </w:rPr>
              <w:t>JAP Ch. 9.</w:t>
            </w:r>
            <w:r w:rsidRPr="00D60A13">
              <w:rPr>
                <w:rFonts w:ascii="Calibri" w:hAnsi="Calibri" w:cs="Calibri"/>
                <w:sz w:val="16"/>
                <w:szCs w:val="16"/>
              </w:rPr>
              <w:t>6</w:t>
            </w:r>
            <w:r w:rsidR="00B06C96" w:rsidRPr="00D60A13">
              <w:rPr>
                <w:rFonts w:ascii="Calibri" w:hAnsi="Calibri" w:cs="Calibri"/>
                <w:sz w:val="16"/>
                <w:szCs w:val="16"/>
              </w:rPr>
              <w:t xml:space="preserve"> </w:t>
            </w:r>
            <w:r w:rsidRPr="00D60A13">
              <w:rPr>
                <w:rFonts w:ascii="Calibri" w:hAnsi="Calibri" w:cs="Calibri"/>
                <w:sz w:val="16"/>
                <w:szCs w:val="16"/>
              </w:rPr>
              <w:t>Land-use planning tools for groundwater vulnerability mitigation</w:t>
            </w:r>
            <w:r w:rsidR="00B06C96" w:rsidRPr="00D60A13">
              <w:rPr>
                <w:rFonts w:ascii="Calibri" w:hAnsi="Calibri" w:cs="Calibri"/>
                <w:sz w:val="16"/>
                <w:szCs w:val="16"/>
              </w:rPr>
              <w:t xml:space="preserve">; </w:t>
            </w:r>
          </w:p>
          <w:p w14:paraId="56F09200" w14:textId="51098D56" w:rsidR="00B06C96" w:rsidRPr="00D60A13" w:rsidRDefault="00DB3070" w:rsidP="00B06C96">
            <w:pPr>
              <w:rPr>
                <w:rFonts w:ascii="Calibri" w:hAnsi="Calibri" w:cs="Calibri"/>
                <w:sz w:val="16"/>
                <w:szCs w:val="16"/>
              </w:rPr>
            </w:pPr>
            <w:r w:rsidRPr="00D60A13">
              <w:rPr>
                <w:rFonts w:ascii="Calibri" w:hAnsi="Calibri" w:cs="Calibri"/>
                <w:sz w:val="16"/>
                <w:szCs w:val="16"/>
              </w:rPr>
              <w:t xml:space="preserve">• the Neretva </w:t>
            </w:r>
            <w:r w:rsidR="003108B4">
              <w:rPr>
                <w:rFonts w:ascii="Calibri" w:hAnsi="Calibri" w:cs="Calibri"/>
                <w:sz w:val="16"/>
                <w:szCs w:val="16"/>
              </w:rPr>
              <w:t>Delta</w:t>
            </w:r>
            <w:r w:rsidRPr="00D60A13">
              <w:rPr>
                <w:rFonts w:ascii="Calibri" w:hAnsi="Calibri" w:cs="Calibri"/>
                <w:sz w:val="16"/>
                <w:szCs w:val="16"/>
              </w:rPr>
              <w:t xml:space="preserve"> is experiencing increasing seawater intrusion due to reduced river inflows, altered hydrodynamics from upstream hydropower operations, sea</w:t>
            </w:r>
            <w:r w:rsidRPr="00D60A13">
              <w:rPr>
                <w:rFonts w:ascii="Cambria Math" w:hAnsi="Cambria Math" w:cs="Cambria Math"/>
                <w:sz w:val="16"/>
                <w:szCs w:val="16"/>
              </w:rPr>
              <w:t>‑</w:t>
            </w:r>
            <w:r w:rsidRPr="00D60A13">
              <w:rPr>
                <w:rFonts w:ascii="Calibri" w:hAnsi="Calibri" w:cs="Calibri"/>
                <w:sz w:val="16"/>
                <w:szCs w:val="16"/>
              </w:rPr>
              <w:t>level rise, and over</w:t>
            </w:r>
            <w:r w:rsidRPr="00D60A13">
              <w:rPr>
                <w:rFonts w:ascii="Cambria Math" w:hAnsi="Cambria Math" w:cs="Cambria Math"/>
                <w:sz w:val="16"/>
                <w:szCs w:val="16"/>
              </w:rPr>
              <w:t>‑</w:t>
            </w:r>
            <w:r w:rsidRPr="00D60A13">
              <w:rPr>
                <w:rFonts w:ascii="Calibri" w:hAnsi="Calibri" w:cs="Calibri"/>
                <w:sz w:val="16"/>
                <w:szCs w:val="16"/>
              </w:rPr>
              <w:t>abstraction. Salinization threatens agricultural production, groundwater</w:t>
            </w:r>
            <w:r w:rsidRPr="00D60A13">
              <w:rPr>
                <w:rFonts w:ascii="Cambria Math" w:hAnsi="Cambria Math" w:cs="Cambria Math"/>
                <w:sz w:val="16"/>
                <w:szCs w:val="16"/>
              </w:rPr>
              <w:t>‑</w:t>
            </w:r>
            <w:r w:rsidRPr="00D60A13">
              <w:rPr>
                <w:rFonts w:ascii="Calibri" w:hAnsi="Calibri" w:cs="Calibri"/>
                <w:sz w:val="16"/>
                <w:szCs w:val="16"/>
              </w:rPr>
              <w:t>dependent ecosystems, and drinking</w:t>
            </w:r>
            <w:r w:rsidRPr="00D60A13">
              <w:rPr>
                <w:rFonts w:ascii="Cambria Math" w:hAnsi="Cambria Math" w:cs="Cambria Math"/>
                <w:sz w:val="16"/>
                <w:szCs w:val="16"/>
              </w:rPr>
              <w:t>‑</w:t>
            </w:r>
            <w:r w:rsidRPr="00D60A13">
              <w:rPr>
                <w:rFonts w:ascii="Calibri" w:hAnsi="Calibri" w:cs="Calibri"/>
                <w:sz w:val="16"/>
                <w:szCs w:val="16"/>
              </w:rPr>
              <w:t>water sources. Integrated responses must combine hydrotechnical upgrades, monitoring, and conjunctive surface–groundwater management.</w:t>
            </w:r>
          </w:p>
        </w:tc>
        <w:tc>
          <w:tcPr>
            <w:tcW w:w="1366" w:type="dxa"/>
            <w:hideMark/>
          </w:tcPr>
          <w:p w14:paraId="661DEEED" w14:textId="4DA07459" w:rsidR="00B06C96" w:rsidRPr="00D60A13" w:rsidRDefault="00B06C96" w:rsidP="00B06C96">
            <w:pPr>
              <w:rPr>
                <w:rFonts w:ascii="Calibri" w:hAnsi="Calibri" w:cs="Calibri"/>
                <w:sz w:val="16"/>
                <w:szCs w:val="16"/>
              </w:rPr>
            </w:pPr>
            <w:r w:rsidRPr="00D60A13">
              <w:rPr>
                <w:rFonts w:ascii="Calibri" w:hAnsi="Calibri" w:cs="Calibri"/>
                <w:sz w:val="16"/>
                <w:szCs w:val="16"/>
              </w:rPr>
              <w:t>J</w:t>
            </w:r>
            <w:r w:rsidR="00E305E3" w:rsidRPr="00D60A13">
              <w:rPr>
                <w:rFonts w:ascii="Calibri" w:hAnsi="Calibri" w:cs="Calibri"/>
                <w:sz w:val="16"/>
                <w:szCs w:val="16"/>
              </w:rPr>
              <w:t>W</w:t>
            </w:r>
            <w:r w:rsidRPr="00D60A13">
              <w:rPr>
                <w:rFonts w:ascii="Calibri" w:hAnsi="Calibri" w:cs="Calibri"/>
                <w:sz w:val="16"/>
                <w:szCs w:val="16"/>
              </w:rPr>
              <w:t>M Commission; Local/regional authorities in each country</w:t>
            </w:r>
            <w:r w:rsidR="00DB3070" w:rsidRPr="00D60A13">
              <w:rPr>
                <w:rFonts w:ascii="Calibri" w:hAnsi="Calibri" w:cs="Calibri"/>
                <w:sz w:val="16"/>
                <w:szCs w:val="16"/>
              </w:rPr>
              <w:t>; hydropower operators</w:t>
            </w:r>
          </w:p>
        </w:tc>
      </w:tr>
      <w:tr w:rsidR="00B06C96" w:rsidRPr="00D60A13" w14:paraId="162E4A64" w14:textId="77777777" w:rsidTr="00AF3199">
        <w:tc>
          <w:tcPr>
            <w:tcW w:w="1555" w:type="dxa"/>
            <w:hideMark/>
          </w:tcPr>
          <w:p w14:paraId="05A06381" w14:textId="70630B8E" w:rsidR="00B06C96" w:rsidRPr="00D60A13" w:rsidRDefault="00B06C96" w:rsidP="00B06C96">
            <w:pPr>
              <w:rPr>
                <w:rFonts w:ascii="Calibri" w:hAnsi="Calibri" w:cs="Calibri"/>
                <w:b/>
                <w:bCs/>
                <w:sz w:val="16"/>
                <w:szCs w:val="16"/>
              </w:rPr>
            </w:pPr>
            <w:r w:rsidRPr="00D60A13">
              <w:rPr>
                <w:rFonts w:ascii="Calibri" w:hAnsi="Calibri" w:cs="Calibri"/>
                <w:b/>
                <w:bCs/>
                <w:sz w:val="16"/>
                <w:szCs w:val="16"/>
              </w:rPr>
              <w:t xml:space="preserve">Implement conjunctive use pilots (surface–groundwater) (if applicable) </w:t>
            </w:r>
          </w:p>
        </w:tc>
        <w:tc>
          <w:tcPr>
            <w:tcW w:w="2126" w:type="dxa"/>
            <w:hideMark/>
          </w:tcPr>
          <w:p w14:paraId="751604CE" w14:textId="77777777" w:rsidR="00B06C96" w:rsidRPr="00D60A13" w:rsidRDefault="00B06C96" w:rsidP="00B06C96">
            <w:pPr>
              <w:rPr>
                <w:rFonts w:ascii="Calibri" w:hAnsi="Calibri" w:cs="Calibri"/>
                <w:sz w:val="16"/>
                <w:szCs w:val="16"/>
              </w:rPr>
            </w:pPr>
            <w:r w:rsidRPr="00D60A13">
              <w:rPr>
                <w:rFonts w:ascii="Calibri" w:hAnsi="Calibri" w:cs="Calibri"/>
                <w:sz w:val="16"/>
                <w:szCs w:val="16"/>
              </w:rPr>
              <w:t xml:space="preserve">•Surface / groundwater supply ratio </w:t>
            </w:r>
          </w:p>
          <w:p w14:paraId="68C354D6" w14:textId="77777777" w:rsidR="00B06C96" w:rsidRPr="00D60A13" w:rsidRDefault="00B06C96" w:rsidP="00B06C96">
            <w:pPr>
              <w:rPr>
                <w:rFonts w:ascii="Calibri" w:hAnsi="Calibri" w:cs="Calibri"/>
                <w:sz w:val="16"/>
                <w:szCs w:val="16"/>
              </w:rPr>
            </w:pPr>
            <w:r w:rsidRPr="00D60A13">
              <w:rPr>
                <w:rFonts w:ascii="Calibri" w:hAnsi="Calibri" w:cs="Calibri"/>
                <w:sz w:val="16"/>
                <w:szCs w:val="16"/>
              </w:rPr>
              <w:t xml:space="preserve">• Reduction in waterlogging or depletion indicators </w:t>
            </w:r>
          </w:p>
          <w:p w14:paraId="289A7547" w14:textId="77777777" w:rsidR="00B06C96" w:rsidRPr="00D60A13" w:rsidRDefault="00B06C96" w:rsidP="00B06C96">
            <w:pPr>
              <w:rPr>
                <w:rFonts w:ascii="Calibri" w:hAnsi="Calibri" w:cs="Calibri"/>
                <w:sz w:val="16"/>
                <w:szCs w:val="16"/>
              </w:rPr>
            </w:pPr>
            <w:r w:rsidRPr="00D60A13">
              <w:rPr>
                <w:rFonts w:ascii="Calibri" w:hAnsi="Calibri" w:cs="Calibri"/>
                <w:sz w:val="16"/>
                <w:szCs w:val="16"/>
              </w:rPr>
              <w:t>• Stability of spring/baseflow</w:t>
            </w:r>
          </w:p>
        </w:tc>
        <w:tc>
          <w:tcPr>
            <w:tcW w:w="1813" w:type="dxa"/>
            <w:hideMark/>
          </w:tcPr>
          <w:p w14:paraId="4891EEF9" w14:textId="77777777" w:rsidR="00B06C96" w:rsidRPr="00D60A13" w:rsidRDefault="00B06C96" w:rsidP="00B06C96">
            <w:pPr>
              <w:rPr>
                <w:rFonts w:ascii="Calibri" w:hAnsi="Calibri" w:cs="Calibri"/>
                <w:sz w:val="16"/>
                <w:szCs w:val="16"/>
              </w:rPr>
            </w:pPr>
            <w:r w:rsidRPr="00D60A13">
              <w:rPr>
                <w:rFonts w:ascii="Calibri" w:hAnsi="Calibri" w:cs="Calibri"/>
                <w:sz w:val="16"/>
                <w:szCs w:val="16"/>
              </w:rPr>
              <w:t>Long</w:t>
            </w:r>
            <w:r w:rsidRPr="00D60A13">
              <w:rPr>
                <w:rFonts w:ascii="Calibri" w:hAnsi="Calibri" w:cs="Calibri"/>
                <w:sz w:val="16"/>
                <w:szCs w:val="16"/>
              </w:rPr>
              <w:noBreakHyphen/>
              <w:t>term (5-6 years)</w:t>
            </w:r>
          </w:p>
        </w:tc>
        <w:tc>
          <w:tcPr>
            <w:tcW w:w="2156" w:type="dxa"/>
            <w:hideMark/>
          </w:tcPr>
          <w:p w14:paraId="551D4458" w14:textId="28E4B4B6" w:rsidR="00E305E3" w:rsidRPr="00D60A13" w:rsidRDefault="00E305E3" w:rsidP="00B06C96">
            <w:pPr>
              <w:rPr>
                <w:rFonts w:ascii="Calibri" w:hAnsi="Calibri" w:cs="Calibri"/>
                <w:sz w:val="16"/>
                <w:szCs w:val="16"/>
              </w:rPr>
            </w:pPr>
            <w:r w:rsidRPr="00D60A13">
              <w:rPr>
                <w:rFonts w:ascii="Calibri" w:hAnsi="Calibri" w:cs="Calibri"/>
                <w:sz w:val="16"/>
                <w:szCs w:val="16"/>
              </w:rPr>
              <w:t xml:space="preserve">• Neretva River–karst aquifer interactions are highly dynamic; salinity intrusion risk in </w:t>
            </w:r>
            <w:r w:rsidR="003108B4">
              <w:rPr>
                <w:rFonts w:ascii="Calibri" w:hAnsi="Calibri" w:cs="Calibri"/>
                <w:sz w:val="16"/>
                <w:szCs w:val="16"/>
              </w:rPr>
              <w:t>Delta</w:t>
            </w:r>
            <w:r w:rsidRPr="00D60A13">
              <w:rPr>
                <w:rFonts w:ascii="Calibri" w:hAnsi="Calibri" w:cs="Calibri"/>
                <w:sz w:val="16"/>
                <w:szCs w:val="16"/>
              </w:rPr>
              <w:t>; hydropower influences flow regime. Conjunctive use can stabilize supply and reduce ecological pressures.</w:t>
            </w:r>
          </w:p>
          <w:p w14:paraId="2189998E" w14:textId="4D8131DF" w:rsidR="00B06C96" w:rsidRPr="00D60A13" w:rsidRDefault="00E305E3" w:rsidP="00B06C96">
            <w:pPr>
              <w:rPr>
                <w:rFonts w:ascii="Calibri" w:hAnsi="Calibri" w:cs="Calibri"/>
                <w:sz w:val="16"/>
                <w:szCs w:val="16"/>
              </w:rPr>
            </w:pPr>
            <w:r w:rsidRPr="00D60A13">
              <w:rPr>
                <w:rFonts w:ascii="Calibri" w:hAnsi="Calibri" w:cs="Calibri"/>
                <w:sz w:val="16"/>
                <w:szCs w:val="16"/>
              </w:rPr>
              <w:t xml:space="preserve">• </w:t>
            </w:r>
            <w:r w:rsidR="00B06C96" w:rsidRPr="00D60A13">
              <w:rPr>
                <w:rFonts w:ascii="Calibri" w:hAnsi="Calibri" w:cs="Calibri"/>
                <w:sz w:val="16"/>
                <w:szCs w:val="16"/>
              </w:rPr>
              <w:t>GGP / IWRM principle - balance to avoid both depletion and waterlogging; relevant to river - aquifer interactions</w:t>
            </w:r>
            <w:r w:rsidRPr="00D60A13">
              <w:rPr>
                <w:rFonts w:ascii="Calibri" w:hAnsi="Calibri" w:cs="Calibri"/>
                <w:sz w:val="16"/>
                <w:szCs w:val="16"/>
              </w:rPr>
              <w:t xml:space="preserve">; </w:t>
            </w:r>
          </w:p>
        </w:tc>
        <w:tc>
          <w:tcPr>
            <w:tcW w:w="1366" w:type="dxa"/>
            <w:hideMark/>
          </w:tcPr>
          <w:p w14:paraId="36D4A0EC" w14:textId="6E3A690C" w:rsidR="00B06C96" w:rsidRPr="00D60A13" w:rsidRDefault="00B06C96" w:rsidP="00B06C96">
            <w:pPr>
              <w:rPr>
                <w:rFonts w:ascii="Calibri" w:hAnsi="Calibri" w:cs="Calibri"/>
                <w:sz w:val="16"/>
                <w:szCs w:val="16"/>
              </w:rPr>
            </w:pPr>
            <w:r w:rsidRPr="00D60A13">
              <w:rPr>
                <w:rFonts w:ascii="Calibri" w:hAnsi="Calibri" w:cs="Calibri"/>
                <w:sz w:val="16"/>
                <w:szCs w:val="16"/>
              </w:rPr>
              <w:t>JVM Commission; Local/regional authorities in each country</w:t>
            </w:r>
          </w:p>
        </w:tc>
      </w:tr>
    </w:tbl>
    <w:p w14:paraId="08E88AD7" w14:textId="77777777" w:rsidR="00FD01B3" w:rsidRPr="00D60A13" w:rsidRDefault="00FD01B3" w:rsidP="00FD01B3">
      <w:pPr>
        <w:rPr>
          <w:b/>
          <w:bCs/>
        </w:rPr>
      </w:pPr>
    </w:p>
    <w:p w14:paraId="15F13585" w14:textId="77777777" w:rsidR="00AF3199" w:rsidRPr="00D60A13" w:rsidRDefault="00AF3199" w:rsidP="00FD01B3">
      <w:pPr>
        <w:rPr>
          <w:rFonts w:ascii="Calibri" w:hAnsi="Calibri" w:cs="Calibri"/>
          <w:sz w:val="20"/>
          <w:szCs w:val="20"/>
        </w:rPr>
      </w:pPr>
    </w:p>
    <w:p w14:paraId="2B7A28DD" w14:textId="77777777" w:rsidR="00AF3199" w:rsidRPr="00D60A13" w:rsidRDefault="00AF3199">
      <w:pPr>
        <w:rPr>
          <w:rFonts w:ascii="Calibri" w:hAnsi="Calibri" w:cs="Calibri"/>
          <w:sz w:val="20"/>
          <w:szCs w:val="20"/>
        </w:rPr>
      </w:pPr>
      <w:r w:rsidRPr="00D60A13">
        <w:rPr>
          <w:rFonts w:ascii="Calibri" w:hAnsi="Calibri" w:cs="Calibri"/>
          <w:sz w:val="20"/>
          <w:szCs w:val="20"/>
        </w:rPr>
        <w:br w:type="page"/>
      </w:r>
    </w:p>
    <w:p w14:paraId="5C230989" w14:textId="23E1AE91" w:rsidR="00FD01B3" w:rsidRPr="00D60A13" w:rsidRDefault="00FD01B3" w:rsidP="00AF3199">
      <w:pPr>
        <w:pStyle w:val="Heading3"/>
        <w:rPr>
          <w:b/>
          <w:bCs/>
          <w:lang w:val="en-GB"/>
        </w:rPr>
      </w:pPr>
      <w:bookmarkStart w:id="300" w:name="_Toc223524373"/>
      <w:bookmarkStart w:id="301" w:name="_Toc229036341"/>
      <w:r w:rsidRPr="00D60A13">
        <w:rPr>
          <w:lang w:val="en-GB"/>
        </w:rPr>
        <w:lastRenderedPageBreak/>
        <w:t>13.</w:t>
      </w:r>
      <w:r w:rsidR="009E5B3F">
        <w:rPr>
          <w:lang w:val="en-GB"/>
        </w:rPr>
        <w:t>5</w:t>
      </w:r>
      <w:r w:rsidRPr="00D60A13">
        <w:rPr>
          <w:lang w:val="en-GB"/>
        </w:rPr>
        <w:t>.4 Indicator category: Policy &amp; Planning</w:t>
      </w:r>
      <w:bookmarkEnd w:id="300"/>
      <w:bookmarkEnd w:id="301"/>
    </w:p>
    <w:tbl>
      <w:tblPr>
        <w:tblStyle w:val="TableGrid"/>
        <w:tblW w:w="0" w:type="auto"/>
        <w:tblLook w:val="04A0" w:firstRow="1" w:lastRow="0" w:firstColumn="1" w:lastColumn="0" w:noHBand="0" w:noVBand="1"/>
      </w:tblPr>
      <w:tblGrid>
        <w:gridCol w:w="1610"/>
        <w:gridCol w:w="1806"/>
        <w:gridCol w:w="1463"/>
        <w:gridCol w:w="3033"/>
        <w:gridCol w:w="1104"/>
      </w:tblGrid>
      <w:tr w:rsidR="00EC0242" w:rsidRPr="00D60A13" w14:paraId="7A50EEF4" w14:textId="77777777" w:rsidTr="00514F9C">
        <w:tc>
          <w:tcPr>
            <w:tcW w:w="0" w:type="auto"/>
            <w:shd w:val="clear" w:color="auto" w:fill="D9E2F3" w:themeFill="accent1" w:themeFillTint="33"/>
            <w:hideMark/>
          </w:tcPr>
          <w:p w14:paraId="4731A5C9"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Activity</w:t>
            </w:r>
          </w:p>
        </w:tc>
        <w:tc>
          <w:tcPr>
            <w:tcW w:w="0" w:type="auto"/>
            <w:shd w:val="clear" w:color="auto" w:fill="D9E2F3" w:themeFill="accent1" w:themeFillTint="33"/>
            <w:hideMark/>
          </w:tcPr>
          <w:p w14:paraId="56B1E1C4"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Indicators</w:t>
            </w:r>
          </w:p>
        </w:tc>
        <w:tc>
          <w:tcPr>
            <w:tcW w:w="0" w:type="auto"/>
            <w:shd w:val="clear" w:color="auto" w:fill="D9E2F3" w:themeFill="accent1" w:themeFillTint="33"/>
            <w:hideMark/>
          </w:tcPr>
          <w:p w14:paraId="012EFC91"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Activity Implementation Time</w:t>
            </w:r>
          </w:p>
        </w:tc>
        <w:tc>
          <w:tcPr>
            <w:tcW w:w="0" w:type="auto"/>
            <w:shd w:val="clear" w:color="auto" w:fill="D9E2F3" w:themeFill="accent1" w:themeFillTint="33"/>
            <w:hideMark/>
          </w:tcPr>
          <w:p w14:paraId="029BEA6C"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Context for Application</w:t>
            </w:r>
          </w:p>
        </w:tc>
        <w:tc>
          <w:tcPr>
            <w:tcW w:w="0" w:type="auto"/>
            <w:shd w:val="clear" w:color="auto" w:fill="D9E2F3" w:themeFill="accent1" w:themeFillTint="33"/>
            <w:hideMark/>
          </w:tcPr>
          <w:p w14:paraId="327CD700"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Competence</w:t>
            </w:r>
          </w:p>
        </w:tc>
      </w:tr>
      <w:tr w:rsidR="00EC0242" w:rsidRPr="00D60A13" w14:paraId="0D9F715A" w14:textId="77777777" w:rsidTr="00322118">
        <w:tc>
          <w:tcPr>
            <w:tcW w:w="0" w:type="auto"/>
            <w:hideMark/>
          </w:tcPr>
          <w:p w14:paraId="0DEBF0EE" w14:textId="3D954595"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 xml:space="preserve">Develop and adopt an operational Plan for </w:t>
            </w:r>
            <w:r w:rsidR="00EC0242" w:rsidRPr="00D60A13">
              <w:rPr>
                <w:rFonts w:ascii="Calibri" w:hAnsi="Calibri" w:cs="Calibri"/>
                <w:b/>
                <w:bCs/>
                <w:sz w:val="16"/>
                <w:szCs w:val="16"/>
              </w:rPr>
              <w:t>s</w:t>
            </w:r>
            <w:r w:rsidRPr="00D60A13">
              <w:rPr>
                <w:rFonts w:ascii="Calibri" w:hAnsi="Calibri" w:cs="Calibri"/>
                <w:b/>
                <w:bCs/>
                <w:sz w:val="16"/>
                <w:szCs w:val="16"/>
              </w:rPr>
              <w:t xml:space="preserve">ustainable </w:t>
            </w:r>
            <w:r w:rsidR="00EC0242" w:rsidRPr="00D60A13">
              <w:rPr>
                <w:rFonts w:ascii="Calibri" w:hAnsi="Calibri" w:cs="Calibri"/>
                <w:b/>
                <w:bCs/>
                <w:sz w:val="16"/>
                <w:szCs w:val="16"/>
              </w:rPr>
              <w:t>g</w:t>
            </w:r>
            <w:r w:rsidRPr="00D60A13">
              <w:rPr>
                <w:rFonts w:ascii="Calibri" w:hAnsi="Calibri" w:cs="Calibri"/>
                <w:b/>
                <w:bCs/>
                <w:sz w:val="16"/>
                <w:szCs w:val="16"/>
              </w:rPr>
              <w:t xml:space="preserve">roundwater </w:t>
            </w:r>
            <w:r w:rsidR="00EC0242" w:rsidRPr="00D60A13">
              <w:rPr>
                <w:rFonts w:ascii="Calibri" w:hAnsi="Calibri" w:cs="Calibri"/>
                <w:b/>
                <w:bCs/>
                <w:sz w:val="16"/>
                <w:szCs w:val="16"/>
              </w:rPr>
              <w:t>m</w:t>
            </w:r>
            <w:r w:rsidRPr="00D60A13">
              <w:rPr>
                <w:rFonts w:ascii="Calibri" w:hAnsi="Calibri" w:cs="Calibri"/>
                <w:b/>
                <w:bCs/>
                <w:sz w:val="16"/>
                <w:szCs w:val="16"/>
              </w:rPr>
              <w:t xml:space="preserve">anagement </w:t>
            </w:r>
          </w:p>
        </w:tc>
        <w:tc>
          <w:tcPr>
            <w:tcW w:w="0" w:type="auto"/>
            <w:hideMark/>
          </w:tcPr>
          <w:p w14:paraId="2F869415"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Plan adopted &amp; budgeted </w:t>
            </w:r>
          </w:p>
          <w:p w14:paraId="58EBB741"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Targets (abstraction, quality) defined </w:t>
            </w:r>
          </w:p>
          <w:p w14:paraId="65E21958"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Annual progress report</w:t>
            </w:r>
          </w:p>
        </w:tc>
        <w:tc>
          <w:tcPr>
            <w:tcW w:w="0" w:type="auto"/>
            <w:hideMark/>
          </w:tcPr>
          <w:p w14:paraId="2DF331EA"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Short</w:t>
            </w:r>
            <w:r w:rsidRPr="00D60A13">
              <w:rPr>
                <w:rFonts w:ascii="Calibri" w:hAnsi="Calibri" w:cs="Calibri"/>
                <w:sz w:val="16"/>
                <w:szCs w:val="16"/>
              </w:rPr>
              <w:noBreakHyphen/>
              <w:t>term (one year)</w:t>
            </w:r>
          </w:p>
        </w:tc>
        <w:tc>
          <w:tcPr>
            <w:tcW w:w="0" w:type="auto"/>
            <w:hideMark/>
          </w:tcPr>
          <w:p w14:paraId="65CEBBE4"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Directly from JAP Ch. 8.1 Strategic approach; operationalizes GGP planning &amp; management process with evidence</w:t>
            </w:r>
            <w:r w:rsidRPr="00D60A13">
              <w:rPr>
                <w:rFonts w:ascii="Calibri" w:hAnsi="Calibri" w:cs="Calibri"/>
                <w:sz w:val="16"/>
                <w:szCs w:val="16"/>
              </w:rPr>
              <w:noBreakHyphen/>
              <w:t xml:space="preserve">based, contestable plans and clear indicators. </w:t>
            </w:r>
          </w:p>
        </w:tc>
        <w:tc>
          <w:tcPr>
            <w:tcW w:w="0" w:type="auto"/>
            <w:hideMark/>
          </w:tcPr>
          <w:p w14:paraId="470B0A85" w14:textId="0DED3A38" w:rsidR="00FD01B3" w:rsidRPr="00D60A13" w:rsidRDefault="00FD01B3" w:rsidP="00322118">
            <w:pPr>
              <w:rPr>
                <w:rFonts w:ascii="Calibri" w:hAnsi="Calibri" w:cs="Calibri"/>
                <w:sz w:val="16"/>
                <w:szCs w:val="16"/>
              </w:rPr>
            </w:pPr>
            <w:r w:rsidRPr="00D60A13">
              <w:rPr>
                <w:rFonts w:ascii="Calibri" w:hAnsi="Calibri" w:cs="Calibri"/>
                <w:sz w:val="16"/>
                <w:szCs w:val="16"/>
              </w:rPr>
              <w:t>CIE / J</w:t>
            </w:r>
            <w:r w:rsidR="00EC0242" w:rsidRPr="00D60A13">
              <w:rPr>
                <w:rFonts w:ascii="Calibri" w:hAnsi="Calibri" w:cs="Calibri"/>
                <w:sz w:val="16"/>
                <w:szCs w:val="16"/>
              </w:rPr>
              <w:t>W</w:t>
            </w:r>
            <w:r w:rsidRPr="00D60A13">
              <w:rPr>
                <w:rFonts w:ascii="Calibri" w:hAnsi="Calibri" w:cs="Calibri"/>
                <w:sz w:val="16"/>
                <w:szCs w:val="16"/>
              </w:rPr>
              <w:t>M Commission</w:t>
            </w:r>
          </w:p>
        </w:tc>
      </w:tr>
      <w:tr w:rsidR="00EC0242" w:rsidRPr="00D60A13" w14:paraId="40295375" w14:textId="77777777" w:rsidTr="00322118">
        <w:tc>
          <w:tcPr>
            <w:tcW w:w="0" w:type="auto"/>
            <w:hideMark/>
          </w:tcPr>
          <w:p w14:paraId="38CC45CA" w14:textId="77777777"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JAP Communication Strategy for groundwater governance</w:t>
            </w:r>
          </w:p>
        </w:tc>
        <w:tc>
          <w:tcPr>
            <w:tcW w:w="0" w:type="auto"/>
            <w:hideMark/>
          </w:tcPr>
          <w:p w14:paraId="0F9E23C9"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Campaign reach (% population) </w:t>
            </w:r>
          </w:p>
          <w:p w14:paraId="40CFA1D9"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Awareness score (survey) </w:t>
            </w:r>
          </w:p>
          <w:p w14:paraId="7880D4C6"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Number of media pieces / stakeholder toolkits</w:t>
            </w:r>
          </w:p>
        </w:tc>
        <w:tc>
          <w:tcPr>
            <w:tcW w:w="0" w:type="auto"/>
            <w:hideMark/>
          </w:tcPr>
          <w:p w14:paraId="016FB30F"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Short</w:t>
            </w:r>
            <w:r w:rsidRPr="00D60A13">
              <w:rPr>
                <w:rFonts w:ascii="Calibri" w:hAnsi="Calibri" w:cs="Calibri"/>
                <w:sz w:val="16"/>
                <w:szCs w:val="16"/>
              </w:rPr>
              <w:noBreakHyphen/>
              <w:t>term (one year) → Medium</w:t>
            </w:r>
            <w:r w:rsidRPr="00D60A13">
              <w:rPr>
                <w:rFonts w:ascii="Calibri" w:hAnsi="Calibri" w:cs="Calibri"/>
                <w:sz w:val="16"/>
                <w:szCs w:val="16"/>
              </w:rPr>
              <w:noBreakHyphen/>
              <w:t>term (2-4 years)</w:t>
            </w:r>
          </w:p>
        </w:tc>
        <w:tc>
          <w:tcPr>
            <w:tcW w:w="0" w:type="auto"/>
            <w:hideMark/>
          </w:tcPr>
          <w:p w14:paraId="3534F521" w14:textId="5A25F1FF" w:rsidR="00FD01B3" w:rsidRPr="00D60A13" w:rsidRDefault="00FD01B3" w:rsidP="00322118">
            <w:pPr>
              <w:rPr>
                <w:rFonts w:ascii="Calibri" w:hAnsi="Calibri" w:cs="Calibri"/>
                <w:sz w:val="16"/>
                <w:szCs w:val="16"/>
              </w:rPr>
            </w:pPr>
            <w:r w:rsidRPr="00D60A13">
              <w:rPr>
                <w:rFonts w:ascii="Calibri" w:hAnsi="Calibri" w:cs="Calibri"/>
                <w:sz w:val="16"/>
                <w:szCs w:val="16"/>
              </w:rPr>
              <w:t>JAP Ch. 8.6 Communication strategy; GGP awareness</w:t>
            </w:r>
            <w:r w:rsidRPr="00D60A13">
              <w:rPr>
                <w:rFonts w:ascii="Calibri" w:hAnsi="Calibri" w:cs="Calibri"/>
                <w:sz w:val="16"/>
                <w:szCs w:val="16"/>
              </w:rPr>
              <w:noBreakHyphen/>
              <w:t>raising is vital for sustained compliance and adaptive management across rural/urban audiences</w:t>
            </w:r>
            <w:r w:rsidR="00EC0242" w:rsidRPr="00D60A13">
              <w:rPr>
                <w:rFonts w:ascii="Calibri" w:hAnsi="Calibri" w:cs="Calibri"/>
                <w:sz w:val="16"/>
                <w:szCs w:val="16"/>
              </w:rPr>
              <w:t xml:space="preserve"> (low awareness among farmers, tourists, municipalities; needed to reduce illegal pesticide use, improve wastewater practices, and increase compliance with SPZs)</w:t>
            </w:r>
          </w:p>
        </w:tc>
        <w:tc>
          <w:tcPr>
            <w:tcW w:w="0" w:type="auto"/>
            <w:hideMark/>
          </w:tcPr>
          <w:p w14:paraId="4BACD30C" w14:textId="6E2B99C0" w:rsidR="00FD01B3" w:rsidRPr="00D60A13" w:rsidRDefault="00FD01B3" w:rsidP="00322118">
            <w:pPr>
              <w:rPr>
                <w:rFonts w:ascii="Calibri" w:hAnsi="Calibri" w:cs="Calibri"/>
                <w:sz w:val="16"/>
                <w:szCs w:val="16"/>
              </w:rPr>
            </w:pPr>
            <w:r w:rsidRPr="00D60A13">
              <w:rPr>
                <w:rFonts w:ascii="Calibri" w:hAnsi="Calibri" w:cs="Calibri"/>
                <w:sz w:val="16"/>
                <w:szCs w:val="16"/>
              </w:rPr>
              <w:t>J</w:t>
            </w:r>
            <w:r w:rsidR="00EC0242" w:rsidRPr="00D60A13">
              <w:rPr>
                <w:rFonts w:ascii="Calibri" w:hAnsi="Calibri" w:cs="Calibri"/>
                <w:sz w:val="16"/>
                <w:szCs w:val="16"/>
              </w:rPr>
              <w:t>W</w:t>
            </w:r>
            <w:r w:rsidRPr="00D60A13">
              <w:rPr>
                <w:rFonts w:ascii="Calibri" w:hAnsi="Calibri" w:cs="Calibri"/>
                <w:sz w:val="16"/>
                <w:szCs w:val="16"/>
              </w:rPr>
              <w:t>M Commission</w:t>
            </w:r>
          </w:p>
        </w:tc>
      </w:tr>
      <w:tr w:rsidR="00EC0242" w:rsidRPr="00D60A13" w14:paraId="00037449" w14:textId="77777777" w:rsidTr="00322118">
        <w:tc>
          <w:tcPr>
            <w:tcW w:w="0" w:type="auto"/>
            <w:hideMark/>
          </w:tcPr>
          <w:p w14:paraId="0C737471" w14:textId="019A3B58" w:rsidR="00FD01B3" w:rsidRPr="00D60A13" w:rsidRDefault="00FD01B3" w:rsidP="00322118">
            <w:pPr>
              <w:rPr>
                <w:rFonts w:ascii="Calibri" w:hAnsi="Calibri" w:cs="Calibri"/>
                <w:b/>
                <w:bCs/>
                <w:sz w:val="16"/>
                <w:szCs w:val="16"/>
              </w:rPr>
            </w:pPr>
            <w:r w:rsidRPr="00D60A13">
              <w:rPr>
                <w:rFonts w:ascii="Calibri" w:hAnsi="Calibri" w:cs="Calibri"/>
                <w:b/>
                <w:bCs/>
                <w:sz w:val="16"/>
                <w:szCs w:val="16"/>
              </w:rPr>
              <w:t xml:space="preserve">Establish </w:t>
            </w:r>
            <w:r w:rsidR="00EC0242" w:rsidRPr="00D60A13">
              <w:rPr>
                <w:rFonts w:ascii="Calibri" w:hAnsi="Calibri" w:cs="Calibri"/>
                <w:b/>
                <w:bCs/>
                <w:sz w:val="16"/>
                <w:szCs w:val="16"/>
              </w:rPr>
              <w:t>c</w:t>
            </w:r>
            <w:r w:rsidRPr="00D60A13">
              <w:rPr>
                <w:rFonts w:ascii="Calibri" w:hAnsi="Calibri" w:cs="Calibri"/>
                <w:b/>
                <w:bCs/>
                <w:sz w:val="16"/>
                <w:szCs w:val="16"/>
              </w:rPr>
              <w:t xml:space="preserve">onflict </w:t>
            </w:r>
            <w:r w:rsidR="00EC0242" w:rsidRPr="00D60A13">
              <w:rPr>
                <w:rFonts w:ascii="Calibri" w:hAnsi="Calibri" w:cs="Calibri"/>
                <w:b/>
                <w:bCs/>
                <w:sz w:val="16"/>
                <w:szCs w:val="16"/>
              </w:rPr>
              <w:t>r</w:t>
            </w:r>
            <w:r w:rsidRPr="00D60A13">
              <w:rPr>
                <w:rFonts w:ascii="Calibri" w:hAnsi="Calibri" w:cs="Calibri"/>
                <w:b/>
                <w:bCs/>
                <w:sz w:val="16"/>
                <w:szCs w:val="16"/>
              </w:rPr>
              <w:t xml:space="preserve">esolution </w:t>
            </w:r>
            <w:r w:rsidR="00EC0242" w:rsidRPr="00D60A13">
              <w:rPr>
                <w:rFonts w:ascii="Calibri" w:hAnsi="Calibri" w:cs="Calibri"/>
                <w:b/>
                <w:bCs/>
                <w:sz w:val="16"/>
                <w:szCs w:val="16"/>
              </w:rPr>
              <w:t>m</w:t>
            </w:r>
            <w:r w:rsidRPr="00D60A13">
              <w:rPr>
                <w:rFonts w:ascii="Calibri" w:hAnsi="Calibri" w:cs="Calibri"/>
                <w:b/>
                <w:bCs/>
                <w:sz w:val="16"/>
                <w:szCs w:val="16"/>
              </w:rPr>
              <w:t xml:space="preserve">echanism for competing uses </w:t>
            </w:r>
          </w:p>
        </w:tc>
        <w:tc>
          <w:tcPr>
            <w:tcW w:w="0" w:type="auto"/>
            <w:hideMark/>
          </w:tcPr>
          <w:p w14:paraId="4446CAB9"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Number of disputes resolved/year </w:t>
            </w:r>
          </w:p>
          <w:p w14:paraId="6ADBF378"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xml:space="preserve">• Avg. time to resolution </w:t>
            </w:r>
          </w:p>
          <w:p w14:paraId="131841C0"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 Satisfaction index of parties (quantitative measure of how satisfied all involved stakeholders are with the conflict resolution process and its outcome)</w:t>
            </w:r>
          </w:p>
        </w:tc>
        <w:tc>
          <w:tcPr>
            <w:tcW w:w="0" w:type="auto"/>
            <w:hideMark/>
          </w:tcPr>
          <w:p w14:paraId="249F1FAB" w14:textId="77777777" w:rsidR="00FD01B3" w:rsidRPr="00D60A13" w:rsidRDefault="00FD01B3" w:rsidP="00322118">
            <w:pPr>
              <w:rPr>
                <w:rFonts w:ascii="Calibri" w:hAnsi="Calibri" w:cs="Calibri"/>
                <w:sz w:val="16"/>
                <w:szCs w:val="16"/>
              </w:rPr>
            </w:pPr>
            <w:r w:rsidRPr="00D60A13">
              <w:rPr>
                <w:rFonts w:ascii="Calibri" w:hAnsi="Calibri" w:cs="Calibri"/>
                <w:sz w:val="16"/>
                <w:szCs w:val="16"/>
              </w:rPr>
              <w:t>Short</w:t>
            </w:r>
            <w:r w:rsidRPr="00D60A13">
              <w:rPr>
                <w:rFonts w:ascii="Calibri" w:hAnsi="Calibri" w:cs="Calibri"/>
                <w:sz w:val="16"/>
                <w:szCs w:val="16"/>
              </w:rPr>
              <w:noBreakHyphen/>
              <w:t>term (one year) → Medium</w:t>
            </w:r>
            <w:r w:rsidRPr="00D60A13">
              <w:rPr>
                <w:rFonts w:ascii="Calibri" w:hAnsi="Calibri" w:cs="Calibri"/>
                <w:sz w:val="16"/>
                <w:szCs w:val="16"/>
              </w:rPr>
              <w:noBreakHyphen/>
              <w:t>term (2-4 years)</w:t>
            </w:r>
          </w:p>
        </w:tc>
        <w:tc>
          <w:tcPr>
            <w:tcW w:w="0" w:type="auto"/>
            <w:hideMark/>
          </w:tcPr>
          <w:p w14:paraId="078EB073" w14:textId="2D6124DA" w:rsidR="00FD01B3" w:rsidRPr="00D60A13" w:rsidRDefault="00FD01B3" w:rsidP="00322118">
            <w:pPr>
              <w:rPr>
                <w:rFonts w:ascii="Calibri" w:hAnsi="Calibri" w:cs="Calibri"/>
                <w:sz w:val="16"/>
                <w:szCs w:val="16"/>
              </w:rPr>
            </w:pPr>
            <w:r w:rsidRPr="00D60A13">
              <w:rPr>
                <w:rFonts w:ascii="Calibri" w:hAnsi="Calibri" w:cs="Calibri"/>
                <w:sz w:val="16"/>
                <w:szCs w:val="16"/>
              </w:rPr>
              <w:t>JAP Ch. 8.7 Conflict resolution supports cooperative governance; complements GGP guidance on stakeholder engagement &amp; transboundary cooperation</w:t>
            </w:r>
            <w:r w:rsidR="00EC0242" w:rsidRPr="00D60A13">
              <w:rPr>
                <w:rFonts w:ascii="Calibri" w:hAnsi="Calibri" w:cs="Calibri"/>
                <w:sz w:val="16"/>
                <w:szCs w:val="16"/>
              </w:rPr>
              <w:t xml:space="preserve"> (conflicts present between agriculture–tourism–ecosystem needs; Neretva </w:t>
            </w:r>
            <w:r w:rsidR="003108B4">
              <w:rPr>
                <w:rFonts w:ascii="Calibri" w:hAnsi="Calibri" w:cs="Calibri"/>
                <w:sz w:val="16"/>
                <w:szCs w:val="16"/>
              </w:rPr>
              <w:t>Delta</w:t>
            </w:r>
            <w:r w:rsidR="00EC0242" w:rsidRPr="00D60A13">
              <w:rPr>
                <w:rFonts w:ascii="Calibri" w:hAnsi="Calibri" w:cs="Calibri"/>
                <w:sz w:val="16"/>
                <w:szCs w:val="16"/>
              </w:rPr>
              <w:t xml:space="preserve"> under multi</w:t>
            </w:r>
            <w:r w:rsidR="00EC0242" w:rsidRPr="00D60A13">
              <w:rPr>
                <w:rFonts w:ascii="Cambria Math" w:hAnsi="Cambria Math" w:cs="Cambria Math"/>
                <w:sz w:val="16"/>
                <w:szCs w:val="16"/>
              </w:rPr>
              <w:t>‑</w:t>
            </w:r>
            <w:r w:rsidR="00EC0242" w:rsidRPr="00D60A13">
              <w:rPr>
                <w:rFonts w:ascii="Calibri" w:hAnsi="Calibri" w:cs="Calibri"/>
                <w:sz w:val="16"/>
                <w:szCs w:val="16"/>
              </w:rPr>
              <w:t>sector pressure; hydropower alters hydrodynamics; mechanism needed to manage trade</w:t>
            </w:r>
            <w:r w:rsidR="00EC0242" w:rsidRPr="00D60A13">
              <w:rPr>
                <w:rFonts w:ascii="Cambria Math" w:hAnsi="Cambria Math" w:cs="Cambria Math"/>
                <w:sz w:val="16"/>
                <w:szCs w:val="16"/>
              </w:rPr>
              <w:t>‑</w:t>
            </w:r>
            <w:r w:rsidR="00EC0242" w:rsidRPr="00D60A13">
              <w:rPr>
                <w:rFonts w:ascii="Calibri" w:hAnsi="Calibri" w:cs="Calibri"/>
                <w:sz w:val="16"/>
                <w:szCs w:val="16"/>
              </w:rPr>
              <w:t>offs fairly)</w:t>
            </w:r>
          </w:p>
        </w:tc>
        <w:tc>
          <w:tcPr>
            <w:tcW w:w="0" w:type="auto"/>
            <w:hideMark/>
          </w:tcPr>
          <w:p w14:paraId="0813F0A4" w14:textId="002E7E09" w:rsidR="00FD01B3" w:rsidRPr="00D60A13" w:rsidRDefault="00FD01B3" w:rsidP="00322118">
            <w:pPr>
              <w:rPr>
                <w:rFonts w:ascii="Calibri" w:hAnsi="Calibri" w:cs="Calibri"/>
                <w:sz w:val="16"/>
                <w:szCs w:val="16"/>
              </w:rPr>
            </w:pPr>
            <w:r w:rsidRPr="00D60A13">
              <w:rPr>
                <w:rFonts w:ascii="Calibri" w:hAnsi="Calibri" w:cs="Calibri"/>
                <w:sz w:val="16"/>
                <w:szCs w:val="16"/>
              </w:rPr>
              <w:t>J</w:t>
            </w:r>
            <w:r w:rsidR="00EC0242" w:rsidRPr="00D60A13">
              <w:rPr>
                <w:rFonts w:ascii="Calibri" w:hAnsi="Calibri" w:cs="Calibri"/>
                <w:sz w:val="16"/>
                <w:szCs w:val="16"/>
              </w:rPr>
              <w:t>W</w:t>
            </w:r>
            <w:r w:rsidRPr="00D60A13">
              <w:rPr>
                <w:rFonts w:ascii="Calibri" w:hAnsi="Calibri" w:cs="Calibri"/>
                <w:sz w:val="16"/>
                <w:szCs w:val="16"/>
              </w:rPr>
              <w:t>M Commission</w:t>
            </w:r>
          </w:p>
        </w:tc>
      </w:tr>
    </w:tbl>
    <w:p w14:paraId="0ABB0AE9" w14:textId="378868AF" w:rsidR="009C542C" w:rsidRPr="00D60A13" w:rsidRDefault="009C542C" w:rsidP="00FD01B3"/>
    <w:p w14:paraId="0724DF50" w14:textId="77777777" w:rsidR="009C542C" w:rsidRPr="00D60A13" w:rsidRDefault="009C542C">
      <w:r w:rsidRPr="00D60A13">
        <w:br w:type="page"/>
      </w:r>
    </w:p>
    <w:p w14:paraId="5425976A" w14:textId="319E1AAA" w:rsidR="009C542C" w:rsidRPr="00D60A13" w:rsidRDefault="009C542C" w:rsidP="009C542C">
      <w:pPr>
        <w:pStyle w:val="Heading2"/>
        <w:rPr>
          <w:lang w:val="en-GB"/>
        </w:rPr>
      </w:pPr>
      <w:bookmarkStart w:id="302" w:name="_Toc223524374"/>
      <w:bookmarkStart w:id="303" w:name="_Toc229036342"/>
      <w:r w:rsidRPr="00D60A13">
        <w:rPr>
          <w:lang w:val="en-GB"/>
        </w:rPr>
        <w:lastRenderedPageBreak/>
        <w:t>13.</w:t>
      </w:r>
      <w:r w:rsidR="009E5B3F">
        <w:rPr>
          <w:lang w:val="en-GB"/>
        </w:rPr>
        <w:t>6</w:t>
      </w:r>
      <w:r w:rsidRPr="00D60A13">
        <w:rPr>
          <w:lang w:val="en-GB"/>
        </w:rPr>
        <w:t xml:space="preserve"> Methodological tools and templates for indicator tracking</w:t>
      </w:r>
      <w:bookmarkEnd w:id="302"/>
      <w:bookmarkEnd w:id="303"/>
      <w:r w:rsidRPr="00D60A13">
        <w:rPr>
          <w:lang w:val="en-GB"/>
        </w:rPr>
        <w:t xml:space="preserve"> </w:t>
      </w:r>
    </w:p>
    <w:p w14:paraId="7EAD3F93" w14:textId="77777777" w:rsidR="009C542C" w:rsidRPr="00D60A13" w:rsidRDefault="009C542C" w:rsidP="009C542C">
      <w:pPr>
        <w:jc w:val="both"/>
        <w:rPr>
          <w:rFonts w:ascii="Calibri" w:hAnsi="Calibri" w:cs="Calibri"/>
        </w:rPr>
      </w:pPr>
      <w:r w:rsidRPr="00D60A13">
        <w:rPr>
          <w:rFonts w:ascii="Calibri" w:hAnsi="Calibri" w:cs="Calibri"/>
        </w:rPr>
        <w:t xml:space="preserve">Templates for groundwater governance indicator tracking are organized into four mutually supportive categories: </w:t>
      </w:r>
    </w:p>
    <w:p w14:paraId="576CF8FD" w14:textId="77777777" w:rsidR="009C542C" w:rsidRPr="00D60A13" w:rsidRDefault="009C542C" w:rsidP="009C542C">
      <w:pPr>
        <w:jc w:val="both"/>
        <w:rPr>
          <w:rFonts w:ascii="Calibri" w:hAnsi="Calibri" w:cs="Calibri"/>
          <w:b/>
          <w:bCs/>
          <w:color w:val="0070C0"/>
        </w:rPr>
      </w:pPr>
      <w:r w:rsidRPr="00D60A13">
        <w:rPr>
          <w:rFonts w:ascii="Calibri" w:hAnsi="Calibri" w:cs="Calibri"/>
          <w:b/>
          <w:bCs/>
          <w:color w:val="0070C0"/>
        </w:rPr>
        <w:t xml:space="preserve">A) METHODOLOGICAL GUIDANCE </w:t>
      </w:r>
    </w:p>
    <w:p w14:paraId="0A98F53A" w14:textId="77777777" w:rsidR="009C542C" w:rsidRPr="00D60A13" w:rsidRDefault="009C542C" w:rsidP="009C542C">
      <w:pPr>
        <w:jc w:val="both"/>
        <w:rPr>
          <w:rFonts w:ascii="Calibri" w:hAnsi="Calibri" w:cs="Calibri"/>
          <w:b/>
          <w:bCs/>
          <w:color w:val="0070C0"/>
        </w:rPr>
      </w:pPr>
      <w:r w:rsidRPr="00D60A13">
        <w:rPr>
          <w:rFonts w:ascii="Calibri" w:hAnsi="Calibri" w:cs="Calibri"/>
          <w:b/>
          <w:bCs/>
          <w:color w:val="0070C0"/>
        </w:rPr>
        <w:t>B) STANDARDIZED REPORTING TEMPLATES</w:t>
      </w:r>
    </w:p>
    <w:p w14:paraId="29047A74" w14:textId="77777777" w:rsidR="009C542C" w:rsidRPr="00D60A13" w:rsidRDefault="009C542C" w:rsidP="009C542C">
      <w:pPr>
        <w:jc w:val="both"/>
        <w:rPr>
          <w:rFonts w:ascii="Calibri" w:hAnsi="Calibri" w:cs="Calibri"/>
          <w:b/>
          <w:bCs/>
          <w:color w:val="0070C0"/>
        </w:rPr>
      </w:pPr>
      <w:r w:rsidRPr="00D60A13">
        <w:rPr>
          <w:rFonts w:ascii="Calibri" w:hAnsi="Calibri" w:cs="Calibri"/>
          <w:b/>
          <w:bCs/>
          <w:color w:val="0070C0"/>
        </w:rPr>
        <w:t xml:space="preserve">C) MONITORING PROTOCOLS </w:t>
      </w:r>
    </w:p>
    <w:p w14:paraId="2BDA7973" w14:textId="77777777" w:rsidR="009C542C" w:rsidRPr="00D60A13" w:rsidRDefault="009C542C" w:rsidP="009C542C">
      <w:pPr>
        <w:jc w:val="both"/>
        <w:rPr>
          <w:rFonts w:ascii="Calibri" w:hAnsi="Calibri" w:cs="Calibri"/>
          <w:b/>
          <w:bCs/>
          <w:color w:val="0070C0"/>
        </w:rPr>
      </w:pPr>
      <w:r w:rsidRPr="00D60A13">
        <w:rPr>
          <w:rFonts w:ascii="Calibri" w:hAnsi="Calibri" w:cs="Calibri"/>
          <w:b/>
          <w:bCs/>
          <w:color w:val="0070C0"/>
        </w:rPr>
        <w:t>D) CAPACITY</w:t>
      </w:r>
      <w:r w:rsidRPr="00D60A13">
        <w:rPr>
          <w:rFonts w:ascii="Cambria Math" w:hAnsi="Cambria Math" w:cs="Cambria Math"/>
          <w:b/>
          <w:bCs/>
          <w:color w:val="0070C0"/>
        </w:rPr>
        <w:t>‑</w:t>
      </w:r>
      <w:r w:rsidRPr="00D60A13">
        <w:rPr>
          <w:rFonts w:ascii="Calibri" w:hAnsi="Calibri" w:cs="Calibri"/>
          <w:b/>
          <w:bCs/>
          <w:color w:val="0070C0"/>
        </w:rPr>
        <w:t>BUILDING COMPONENTS</w:t>
      </w:r>
    </w:p>
    <w:p w14:paraId="77720B4A" w14:textId="1D2CC120" w:rsidR="009C542C" w:rsidRPr="00D60A13" w:rsidRDefault="009C542C" w:rsidP="009C542C">
      <w:pPr>
        <w:jc w:val="both"/>
        <w:rPr>
          <w:rFonts w:ascii="Calibri" w:hAnsi="Calibri" w:cs="Calibri"/>
        </w:rPr>
      </w:pPr>
      <w:r w:rsidRPr="00D60A13">
        <w:rPr>
          <w:rFonts w:ascii="Calibri" w:hAnsi="Calibri" w:cs="Calibri"/>
        </w:rPr>
        <w:t xml:space="preserve">More detailed information on the purpose and use of each template is provided in Section 12.2 Periodic Reporting of the JAP for </w:t>
      </w:r>
      <w:r w:rsidR="00394947">
        <w:rPr>
          <w:rFonts w:ascii="Calibri" w:hAnsi="Calibri" w:cs="Calibri"/>
        </w:rPr>
        <w:t>Neretva</w:t>
      </w:r>
      <w:r w:rsidR="00394947" w:rsidRPr="00D60A13">
        <w:rPr>
          <w:rFonts w:ascii="Calibri" w:hAnsi="Calibri" w:cs="Calibri"/>
        </w:rPr>
        <w:t xml:space="preserve"> </w:t>
      </w:r>
      <w:r w:rsidRPr="00D60A13">
        <w:rPr>
          <w:rFonts w:ascii="Calibri" w:hAnsi="Calibri" w:cs="Calibri"/>
        </w:rPr>
        <w:t>TBA.</w:t>
      </w:r>
    </w:p>
    <w:p w14:paraId="6D27FFE7" w14:textId="77777777" w:rsidR="009C542C" w:rsidRPr="00D60A13" w:rsidRDefault="009C542C" w:rsidP="009C542C">
      <w:pPr>
        <w:jc w:val="both"/>
        <w:rPr>
          <w:rFonts w:ascii="Calibri" w:hAnsi="Calibri" w:cs="Calibri"/>
        </w:rPr>
      </w:pPr>
    </w:p>
    <w:p w14:paraId="32914205" w14:textId="77777777" w:rsidR="009C542C" w:rsidRPr="00D60A13" w:rsidRDefault="009C542C" w:rsidP="009C542C">
      <w:pPr>
        <w:pStyle w:val="ListParagraph"/>
        <w:numPr>
          <w:ilvl w:val="0"/>
          <w:numId w:val="88"/>
        </w:numPr>
        <w:spacing w:line="278" w:lineRule="auto"/>
        <w:rPr>
          <w:rFonts w:ascii="Calibri" w:hAnsi="Calibri" w:cs="Calibri"/>
          <w:b/>
          <w:bCs/>
          <w:color w:val="0070C0"/>
        </w:rPr>
      </w:pPr>
      <w:r w:rsidRPr="00D60A13">
        <w:rPr>
          <w:rFonts w:ascii="Calibri" w:hAnsi="Calibri" w:cs="Calibri"/>
          <w:b/>
          <w:bCs/>
          <w:color w:val="0070C0"/>
        </w:rPr>
        <w:t>METHODOLOGICAL GUIDANCE</w:t>
      </w:r>
    </w:p>
    <w:p w14:paraId="099E9276" w14:textId="77777777" w:rsidR="009C542C" w:rsidRPr="00D60A13" w:rsidRDefault="009C542C" w:rsidP="009C542C">
      <w:pPr>
        <w:rPr>
          <w:rFonts w:ascii="Calibri" w:hAnsi="Calibri" w:cs="Calibri"/>
          <w:b/>
          <w:bCs/>
        </w:rPr>
      </w:pPr>
      <w:r w:rsidRPr="00D60A13">
        <w:rPr>
          <w:rFonts w:ascii="Calibri" w:hAnsi="Calibri" w:cs="Calibri"/>
          <w:b/>
          <w:bCs/>
        </w:rPr>
        <w:t>TEMPLATE 1 – ANNUAL INDICATOR REPORTING TABLE</w:t>
      </w:r>
    </w:p>
    <w:tbl>
      <w:tblPr>
        <w:tblStyle w:val="PlainTable2"/>
        <w:tblW w:w="0" w:type="auto"/>
        <w:tblLook w:val="04A0" w:firstRow="1" w:lastRow="0" w:firstColumn="1" w:lastColumn="0" w:noHBand="0" w:noVBand="1"/>
      </w:tblPr>
      <w:tblGrid>
        <w:gridCol w:w="2324"/>
        <w:gridCol w:w="775"/>
        <w:gridCol w:w="950"/>
        <w:gridCol w:w="977"/>
        <w:gridCol w:w="627"/>
        <w:gridCol w:w="1793"/>
        <w:gridCol w:w="1580"/>
      </w:tblGrid>
      <w:tr w:rsidR="009C542C" w:rsidRPr="00D60A13" w14:paraId="6EF50450"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vAlign w:val="center"/>
            <w:hideMark/>
          </w:tcPr>
          <w:p w14:paraId="236567C6" w14:textId="77777777" w:rsidR="009C542C" w:rsidRPr="00D60A13" w:rsidRDefault="009C542C" w:rsidP="00322118">
            <w:pPr>
              <w:spacing w:after="160" w:line="278" w:lineRule="auto"/>
              <w:rPr>
                <w:rFonts w:ascii="Calibri" w:hAnsi="Calibri" w:cs="Calibri"/>
                <w:sz w:val="16"/>
                <w:szCs w:val="16"/>
              </w:rPr>
            </w:pPr>
            <w:r w:rsidRPr="00D60A13">
              <w:rPr>
                <w:rFonts w:ascii="Calibri" w:hAnsi="Calibri" w:cs="Calibri"/>
                <w:sz w:val="16"/>
                <w:szCs w:val="16"/>
              </w:rPr>
              <w:t>Indicator</w:t>
            </w:r>
          </w:p>
        </w:tc>
        <w:tc>
          <w:tcPr>
            <w:tcW w:w="0" w:type="auto"/>
            <w:shd w:val="clear" w:color="auto" w:fill="D9E2F3" w:themeFill="accent1" w:themeFillTint="33"/>
            <w:vAlign w:val="center"/>
            <w:hideMark/>
          </w:tcPr>
          <w:p w14:paraId="044AE589" w14:textId="77777777" w:rsidR="009C542C" w:rsidRPr="00D60A13"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Baseline</w:t>
            </w:r>
          </w:p>
        </w:tc>
        <w:tc>
          <w:tcPr>
            <w:tcW w:w="0" w:type="auto"/>
            <w:shd w:val="clear" w:color="auto" w:fill="D9E2F3" w:themeFill="accent1" w:themeFillTint="33"/>
            <w:vAlign w:val="center"/>
            <w:hideMark/>
          </w:tcPr>
          <w:p w14:paraId="48545AA3" w14:textId="77777777" w:rsidR="009C542C" w:rsidRPr="00D60A13"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Current Value</w:t>
            </w:r>
          </w:p>
        </w:tc>
        <w:tc>
          <w:tcPr>
            <w:tcW w:w="0" w:type="auto"/>
            <w:shd w:val="clear" w:color="auto" w:fill="D9E2F3" w:themeFill="accent1" w:themeFillTint="33"/>
            <w:vAlign w:val="center"/>
            <w:hideMark/>
          </w:tcPr>
          <w:p w14:paraId="6725FCF3" w14:textId="77777777" w:rsidR="009C542C" w:rsidRPr="00D60A13"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Trend</w:t>
            </w:r>
          </w:p>
        </w:tc>
        <w:tc>
          <w:tcPr>
            <w:tcW w:w="0" w:type="auto"/>
            <w:shd w:val="clear" w:color="auto" w:fill="D9E2F3" w:themeFill="accent1" w:themeFillTint="33"/>
            <w:vAlign w:val="center"/>
            <w:hideMark/>
          </w:tcPr>
          <w:p w14:paraId="3765D909" w14:textId="77777777" w:rsidR="009C542C" w:rsidRPr="00D60A13"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Target</w:t>
            </w:r>
          </w:p>
        </w:tc>
        <w:tc>
          <w:tcPr>
            <w:tcW w:w="0" w:type="auto"/>
            <w:shd w:val="clear" w:color="auto" w:fill="D9E2F3" w:themeFill="accent1" w:themeFillTint="33"/>
            <w:vAlign w:val="center"/>
            <w:hideMark/>
          </w:tcPr>
          <w:p w14:paraId="5943F12E" w14:textId="77777777" w:rsidR="009C542C" w:rsidRPr="00D60A13"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Responsible Institutions</w:t>
            </w:r>
          </w:p>
        </w:tc>
        <w:tc>
          <w:tcPr>
            <w:tcW w:w="0" w:type="auto"/>
            <w:shd w:val="clear" w:color="auto" w:fill="D9E2F3" w:themeFill="accent1" w:themeFillTint="33"/>
            <w:vAlign w:val="center"/>
            <w:hideMark/>
          </w:tcPr>
          <w:p w14:paraId="1E88536B" w14:textId="77777777" w:rsidR="009C542C" w:rsidRPr="00D60A13"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Actions Required</w:t>
            </w:r>
          </w:p>
        </w:tc>
      </w:tr>
      <w:tr w:rsidR="009C542C" w:rsidRPr="00D60A13" w14:paraId="7CA665C0"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B3661A" w14:textId="77777777" w:rsidR="009C542C" w:rsidRPr="00D60A13" w:rsidRDefault="009C542C" w:rsidP="00322118">
            <w:pPr>
              <w:spacing w:after="160" w:line="278" w:lineRule="auto"/>
              <w:rPr>
                <w:rFonts w:ascii="Calibri" w:hAnsi="Calibri" w:cs="Calibri"/>
                <w:b w:val="0"/>
                <w:bCs w:val="0"/>
                <w:sz w:val="16"/>
                <w:szCs w:val="16"/>
              </w:rPr>
            </w:pPr>
            <w:r w:rsidRPr="00D60A13">
              <w:rPr>
                <w:rFonts w:ascii="Calibri" w:hAnsi="Calibri" w:cs="Calibri"/>
                <w:b w:val="0"/>
                <w:bCs w:val="0"/>
                <w:i/>
                <w:iCs/>
                <w:sz w:val="16"/>
                <w:szCs w:val="16"/>
              </w:rPr>
              <w:t>Example</w:t>
            </w:r>
            <w:r w:rsidRPr="00D60A13">
              <w:rPr>
                <w:rFonts w:ascii="Calibri" w:hAnsi="Calibri" w:cs="Calibri"/>
                <w:b w:val="0"/>
                <w:bCs w:val="0"/>
                <w:sz w:val="16"/>
                <w:szCs w:val="16"/>
              </w:rPr>
              <w:t>: Sanitation coverage in high-risk villages</w:t>
            </w:r>
          </w:p>
        </w:tc>
        <w:tc>
          <w:tcPr>
            <w:tcW w:w="0" w:type="auto"/>
            <w:vAlign w:val="center"/>
            <w:hideMark/>
          </w:tcPr>
          <w:p w14:paraId="2560C2CC"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22%</w:t>
            </w:r>
          </w:p>
        </w:tc>
        <w:tc>
          <w:tcPr>
            <w:tcW w:w="0" w:type="auto"/>
            <w:vAlign w:val="center"/>
            <w:hideMark/>
          </w:tcPr>
          <w:p w14:paraId="0C1DCD4D"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27%</w:t>
            </w:r>
          </w:p>
        </w:tc>
        <w:tc>
          <w:tcPr>
            <w:tcW w:w="0" w:type="auto"/>
            <w:vAlign w:val="center"/>
            <w:hideMark/>
          </w:tcPr>
          <w:p w14:paraId="6E59B77F"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 Improving</w:t>
            </w:r>
          </w:p>
        </w:tc>
        <w:tc>
          <w:tcPr>
            <w:tcW w:w="0" w:type="auto"/>
            <w:vAlign w:val="center"/>
            <w:hideMark/>
          </w:tcPr>
          <w:p w14:paraId="02E169A5"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50%</w:t>
            </w:r>
          </w:p>
        </w:tc>
        <w:tc>
          <w:tcPr>
            <w:tcW w:w="0" w:type="auto"/>
            <w:vAlign w:val="center"/>
            <w:hideMark/>
          </w:tcPr>
          <w:p w14:paraId="1C9E7EA3"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Municipalities, Utilities</w:t>
            </w:r>
          </w:p>
        </w:tc>
        <w:tc>
          <w:tcPr>
            <w:tcW w:w="0" w:type="auto"/>
            <w:vAlign w:val="center"/>
            <w:hideMark/>
          </w:tcPr>
          <w:p w14:paraId="076D06B1"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Funding for upgrades needed</w:t>
            </w:r>
          </w:p>
        </w:tc>
      </w:tr>
      <w:tr w:rsidR="009C542C" w:rsidRPr="00D60A13" w14:paraId="50B97430"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9A7276" w14:textId="77777777" w:rsidR="009C542C" w:rsidRPr="00D60A13" w:rsidRDefault="009C542C" w:rsidP="00322118">
            <w:pPr>
              <w:spacing w:after="160" w:line="278" w:lineRule="auto"/>
              <w:rPr>
                <w:rFonts w:ascii="Calibri" w:hAnsi="Calibri" w:cs="Calibri"/>
                <w:b w:val="0"/>
                <w:bCs w:val="0"/>
                <w:sz w:val="16"/>
                <w:szCs w:val="16"/>
              </w:rPr>
            </w:pPr>
            <w:r w:rsidRPr="00D60A13">
              <w:rPr>
                <w:rFonts w:ascii="Calibri" w:hAnsi="Calibri" w:cs="Calibri"/>
                <w:b w:val="0"/>
                <w:bCs w:val="0"/>
                <w:i/>
                <w:iCs/>
                <w:sz w:val="16"/>
                <w:szCs w:val="16"/>
              </w:rPr>
              <w:t>Example</w:t>
            </w:r>
            <w:r w:rsidRPr="00D60A13">
              <w:rPr>
                <w:rFonts w:ascii="Calibri" w:hAnsi="Calibri" w:cs="Calibri"/>
                <w:b w:val="0"/>
                <w:bCs w:val="0"/>
                <w:sz w:val="16"/>
                <w:szCs w:val="16"/>
              </w:rPr>
              <w:t>: Joint monitoring events</w:t>
            </w:r>
          </w:p>
        </w:tc>
        <w:tc>
          <w:tcPr>
            <w:tcW w:w="0" w:type="auto"/>
            <w:vAlign w:val="center"/>
            <w:hideMark/>
          </w:tcPr>
          <w:p w14:paraId="3E25C826"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1</w:t>
            </w:r>
          </w:p>
        </w:tc>
        <w:tc>
          <w:tcPr>
            <w:tcW w:w="0" w:type="auto"/>
            <w:vAlign w:val="center"/>
            <w:hideMark/>
          </w:tcPr>
          <w:p w14:paraId="4A7C24E2"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2</w:t>
            </w:r>
          </w:p>
        </w:tc>
        <w:tc>
          <w:tcPr>
            <w:tcW w:w="0" w:type="auto"/>
            <w:vAlign w:val="center"/>
            <w:hideMark/>
          </w:tcPr>
          <w:p w14:paraId="179FCC18"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 Improving</w:t>
            </w:r>
          </w:p>
        </w:tc>
        <w:tc>
          <w:tcPr>
            <w:tcW w:w="0" w:type="auto"/>
            <w:vAlign w:val="center"/>
            <w:hideMark/>
          </w:tcPr>
          <w:p w14:paraId="68656DF6"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≥3</w:t>
            </w:r>
          </w:p>
        </w:tc>
        <w:tc>
          <w:tcPr>
            <w:tcW w:w="0" w:type="auto"/>
            <w:vAlign w:val="center"/>
            <w:hideMark/>
          </w:tcPr>
          <w:p w14:paraId="16386DE1" w14:textId="6F23C956"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Croatian Waters, Water Utilit</w:t>
            </w:r>
            <w:r w:rsidR="009E5B3F">
              <w:rPr>
                <w:rFonts w:ascii="Calibri" w:hAnsi="Calibri" w:cs="Calibri"/>
                <w:sz w:val="16"/>
                <w:szCs w:val="16"/>
              </w:rPr>
              <w:t>ies</w:t>
            </w:r>
          </w:p>
        </w:tc>
        <w:tc>
          <w:tcPr>
            <w:tcW w:w="0" w:type="auto"/>
            <w:vAlign w:val="center"/>
            <w:hideMark/>
          </w:tcPr>
          <w:p w14:paraId="0DDC1FB7"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Schedule additional sampling</w:t>
            </w:r>
          </w:p>
        </w:tc>
      </w:tr>
    </w:tbl>
    <w:p w14:paraId="75AB44EE" w14:textId="77777777" w:rsidR="009C542C" w:rsidRPr="00D60A13" w:rsidRDefault="009C542C" w:rsidP="009C542C">
      <w:pPr>
        <w:rPr>
          <w:rFonts w:ascii="Calibri" w:hAnsi="Calibri" w:cs="Calibri"/>
          <w:sz w:val="20"/>
          <w:szCs w:val="20"/>
        </w:rPr>
      </w:pPr>
      <w:r w:rsidRPr="00D60A13">
        <w:rPr>
          <w:rFonts w:ascii="Calibri" w:hAnsi="Calibri" w:cs="Calibri"/>
          <w:i/>
          <w:iCs/>
          <w:sz w:val="20"/>
          <w:szCs w:val="20"/>
        </w:rPr>
        <w:t>Expand rows for each governance indicator.</w:t>
      </w:r>
    </w:p>
    <w:p w14:paraId="7A9EC214" w14:textId="77777777" w:rsidR="00FD01B3" w:rsidRPr="00D60A13" w:rsidRDefault="00FD01B3" w:rsidP="00FD01B3"/>
    <w:p w14:paraId="31A40351" w14:textId="56419A2E" w:rsidR="009C542C" w:rsidRPr="00D60A13" w:rsidRDefault="009C542C" w:rsidP="009C542C">
      <w:pPr>
        <w:rPr>
          <w:rFonts w:ascii="Calibri" w:hAnsi="Calibri" w:cs="Calibri"/>
          <w:b/>
          <w:bCs/>
        </w:rPr>
      </w:pPr>
      <w:r w:rsidRPr="00D60A13">
        <w:rPr>
          <w:rFonts w:ascii="Calibri" w:hAnsi="Calibri" w:cs="Calibri"/>
          <w:b/>
          <w:bCs/>
        </w:rPr>
        <w:t>TEMPLATE 2 – DASHBOARD FOR GOVERNANCE INDICATOR TRACKING</w:t>
      </w:r>
      <w:r w:rsidRPr="00D60A13">
        <w:rPr>
          <w:rFonts w:ascii="Calibri" w:hAnsi="Calibri" w:cs="Calibri"/>
          <w:i/>
          <w:iCs/>
        </w:rPr>
        <w:t xml:space="preserve"> (can be updated yearly)</w:t>
      </w:r>
    </w:p>
    <w:p w14:paraId="7C1FF58A" w14:textId="77777777" w:rsidR="009C542C" w:rsidRPr="00D60A13" w:rsidRDefault="009C542C" w:rsidP="009C542C">
      <w:pPr>
        <w:rPr>
          <w:rFonts w:ascii="Calibri" w:hAnsi="Calibri" w:cs="Calibri"/>
          <w:sz w:val="16"/>
          <w:szCs w:val="16"/>
        </w:rPr>
      </w:pPr>
      <w:r w:rsidRPr="00D60A13">
        <w:rPr>
          <w:rFonts w:ascii="Calibri" w:hAnsi="Calibri" w:cs="Calibri"/>
          <w:sz w:val="16"/>
          <w:szCs w:val="16"/>
        </w:rPr>
        <w:t>TBA UNA – Governance Indicator Dashboard (</w:t>
      </w:r>
      <w:r w:rsidRPr="00D60A13">
        <w:rPr>
          <w:rFonts w:ascii="Calibri" w:hAnsi="Calibri" w:cs="Calibri"/>
          <w:i/>
          <w:iCs/>
          <w:sz w:val="16"/>
          <w:szCs w:val="16"/>
        </w:rPr>
        <w:t>Example</w:t>
      </w:r>
      <w:r w:rsidRPr="00D60A13">
        <w:rPr>
          <w:rFonts w:ascii="Calibri" w:hAnsi="Calibri" w:cs="Calibri"/>
          <w:sz w:val="16"/>
          <w:szCs w:val="16"/>
        </w:rPr>
        <w:t>)</w:t>
      </w:r>
    </w:p>
    <w:p w14:paraId="711BBB65" w14:textId="77777777" w:rsidR="009C542C" w:rsidRPr="00D60A13" w:rsidRDefault="009C542C" w:rsidP="009C542C">
      <w:pPr>
        <w:rPr>
          <w:rFonts w:ascii="Calibri" w:hAnsi="Calibri" w:cs="Calibri"/>
          <w:sz w:val="16"/>
          <w:szCs w:val="16"/>
        </w:rPr>
      </w:pPr>
      <w:r w:rsidRPr="00D60A13">
        <w:rPr>
          <w:rFonts w:ascii="Calibri" w:hAnsi="Calibri" w:cs="Calibri"/>
          <w:sz w:val="16"/>
          <w:szCs w:val="16"/>
        </w:rPr>
        <w:t>Reporting Year: ______</w:t>
      </w:r>
    </w:p>
    <w:tbl>
      <w:tblPr>
        <w:tblStyle w:val="PlainTable2"/>
        <w:tblW w:w="0" w:type="auto"/>
        <w:tblLook w:val="04A0" w:firstRow="1" w:lastRow="0" w:firstColumn="1" w:lastColumn="0" w:noHBand="0" w:noVBand="1"/>
      </w:tblPr>
      <w:tblGrid>
        <w:gridCol w:w="2495"/>
        <w:gridCol w:w="1400"/>
        <w:gridCol w:w="595"/>
        <w:gridCol w:w="1797"/>
        <w:gridCol w:w="2365"/>
      </w:tblGrid>
      <w:tr w:rsidR="009C542C" w:rsidRPr="00D60A13" w14:paraId="20E58BAA"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vAlign w:val="center"/>
            <w:hideMark/>
          </w:tcPr>
          <w:p w14:paraId="4FF11318" w14:textId="77777777" w:rsidR="009C542C" w:rsidRPr="00D60A13" w:rsidRDefault="009C542C" w:rsidP="00322118">
            <w:pPr>
              <w:spacing w:after="160" w:line="278" w:lineRule="auto"/>
              <w:rPr>
                <w:rFonts w:ascii="Calibri" w:hAnsi="Calibri" w:cs="Calibri"/>
                <w:sz w:val="16"/>
                <w:szCs w:val="16"/>
              </w:rPr>
            </w:pPr>
            <w:r w:rsidRPr="00D60A13">
              <w:rPr>
                <w:rFonts w:ascii="Calibri" w:hAnsi="Calibri" w:cs="Calibri"/>
                <w:sz w:val="16"/>
                <w:szCs w:val="16"/>
              </w:rPr>
              <w:t>Indicator</w:t>
            </w:r>
          </w:p>
        </w:tc>
        <w:tc>
          <w:tcPr>
            <w:tcW w:w="0" w:type="auto"/>
            <w:shd w:val="clear" w:color="auto" w:fill="D9E2F3" w:themeFill="accent1" w:themeFillTint="33"/>
            <w:vAlign w:val="center"/>
            <w:hideMark/>
          </w:tcPr>
          <w:p w14:paraId="6E764DDE" w14:textId="77777777" w:rsidR="009C542C" w:rsidRPr="00D60A13"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Status</w:t>
            </w:r>
          </w:p>
        </w:tc>
        <w:tc>
          <w:tcPr>
            <w:tcW w:w="0" w:type="auto"/>
            <w:shd w:val="clear" w:color="auto" w:fill="D9E2F3" w:themeFill="accent1" w:themeFillTint="33"/>
            <w:vAlign w:val="center"/>
            <w:hideMark/>
          </w:tcPr>
          <w:p w14:paraId="4B9628CC" w14:textId="77777777" w:rsidR="009C542C" w:rsidRPr="00D60A13"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Trend</w:t>
            </w:r>
          </w:p>
        </w:tc>
        <w:tc>
          <w:tcPr>
            <w:tcW w:w="0" w:type="auto"/>
            <w:shd w:val="clear" w:color="auto" w:fill="D9E2F3" w:themeFill="accent1" w:themeFillTint="33"/>
            <w:vAlign w:val="center"/>
            <w:hideMark/>
          </w:tcPr>
          <w:p w14:paraId="5AA7EA5B" w14:textId="77777777" w:rsidR="009C542C" w:rsidRPr="00D60A13"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Alert Level</w:t>
            </w:r>
          </w:p>
        </w:tc>
        <w:tc>
          <w:tcPr>
            <w:tcW w:w="0" w:type="auto"/>
            <w:shd w:val="clear" w:color="auto" w:fill="D9E2F3" w:themeFill="accent1" w:themeFillTint="33"/>
            <w:vAlign w:val="center"/>
            <w:hideMark/>
          </w:tcPr>
          <w:p w14:paraId="76D69380" w14:textId="77777777" w:rsidR="009C542C" w:rsidRPr="00D60A13"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Comments</w:t>
            </w:r>
          </w:p>
        </w:tc>
      </w:tr>
      <w:tr w:rsidR="009C542C" w:rsidRPr="00D60A13" w14:paraId="7DEE9508"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2BBD78" w14:textId="77777777" w:rsidR="009C542C" w:rsidRPr="00D60A13" w:rsidRDefault="009C542C" w:rsidP="00322118">
            <w:pPr>
              <w:spacing w:after="160" w:line="278" w:lineRule="auto"/>
              <w:rPr>
                <w:rFonts w:ascii="Calibri" w:hAnsi="Calibri" w:cs="Calibri"/>
                <w:b w:val="0"/>
                <w:bCs w:val="0"/>
                <w:sz w:val="16"/>
                <w:szCs w:val="16"/>
              </w:rPr>
            </w:pPr>
            <w:r w:rsidRPr="00D60A13">
              <w:rPr>
                <w:rFonts w:ascii="Calibri" w:hAnsi="Calibri" w:cs="Calibri"/>
                <w:b w:val="0"/>
                <w:bCs w:val="0"/>
                <w:sz w:val="16"/>
                <w:szCs w:val="16"/>
              </w:rPr>
              <w:t>Legal harmonization</w:t>
            </w:r>
          </w:p>
        </w:tc>
        <w:tc>
          <w:tcPr>
            <w:tcW w:w="0" w:type="auto"/>
            <w:vAlign w:val="center"/>
            <w:hideMark/>
          </w:tcPr>
          <w:p w14:paraId="26106DBA"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65% alignment</w:t>
            </w:r>
          </w:p>
        </w:tc>
        <w:tc>
          <w:tcPr>
            <w:tcW w:w="0" w:type="auto"/>
            <w:vAlign w:val="center"/>
            <w:hideMark/>
          </w:tcPr>
          <w:p w14:paraId="5F4E36D6"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w:t>
            </w:r>
          </w:p>
        </w:tc>
        <w:tc>
          <w:tcPr>
            <w:tcW w:w="0" w:type="auto"/>
            <w:vAlign w:val="center"/>
            <w:hideMark/>
          </w:tcPr>
          <w:p w14:paraId="569A8768"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Segoe UI Emoji" w:hAnsi="Segoe UI Emoji" w:cs="Segoe UI Emoji"/>
                <w:sz w:val="16"/>
                <w:szCs w:val="16"/>
              </w:rPr>
              <w:t>🟡</w:t>
            </w:r>
            <w:r w:rsidRPr="00D60A13">
              <w:rPr>
                <w:rFonts w:ascii="Calibri" w:hAnsi="Calibri" w:cs="Calibri"/>
                <w:sz w:val="16"/>
                <w:szCs w:val="16"/>
              </w:rPr>
              <w:t xml:space="preserve"> Medium</w:t>
            </w:r>
          </w:p>
        </w:tc>
        <w:tc>
          <w:tcPr>
            <w:tcW w:w="0" w:type="auto"/>
            <w:vAlign w:val="center"/>
            <w:hideMark/>
          </w:tcPr>
          <w:p w14:paraId="01498E8E"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Draft amendments pending</w:t>
            </w:r>
          </w:p>
        </w:tc>
      </w:tr>
      <w:tr w:rsidR="009C542C" w:rsidRPr="00D60A13" w14:paraId="69FA6130"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D83DA2" w14:textId="77777777" w:rsidR="009C542C" w:rsidRPr="00D60A13" w:rsidRDefault="009C542C" w:rsidP="00322118">
            <w:pPr>
              <w:spacing w:after="160" w:line="278" w:lineRule="auto"/>
              <w:rPr>
                <w:rFonts w:ascii="Calibri" w:hAnsi="Calibri" w:cs="Calibri"/>
                <w:b w:val="0"/>
                <w:bCs w:val="0"/>
                <w:sz w:val="16"/>
                <w:szCs w:val="16"/>
              </w:rPr>
            </w:pPr>
            <w:r w:rsidRPr="00D60A13">
              <w:rPr>
                <w:rFonts w:ascii="Calibri" w:hAnsi="Calibri" w:cs="Calibri"/>
                <w:b w:val="0"/>
                <w:bCs w:val="0"/>
                <w:sz w:val="16"/>
                <w:szCs w:val="16"/>
              </w:rPr>
              <w:t>Data sharing frequency</w:t>
            </w:r>
          </w:p>
        </w:tc>
        <w:tc>
          <w:tcPr>
            <w:tcW w:w="0" w:type="auto"/>
            <w:vAlign w:val="center"/>
            <w:hideMark/>
          </w:tcPr>
          <w:p w14:paraId="36C13A42"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Quarterly uploads</w:t>
            </w:r>
          </w:p>
        </w:tc>
        <w:tc>
          <w:tcPr>
            <w:tcW w:w="0" w:type="auto"/>
            <w:vAlign w:val="center"/>
            <w:hideMark/>
          </w:tcPr>
          <w:p w14:paraId="2DE4B79D"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w:t>
            </w:r>
          </w:p>
        </w:tc>
        <w:tc>
          <w:tcPr>
            <w:tcW w:w="0" w:type="auto"/>
            <w:vAlign w:val="center"/>
            <w:hideMark/>
          </w:tcPr>
          <w:p w14:paraId="3A64E05F"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Segoe UI Emoji" w:hAnsi="Segoe UI Emoji" w:cs="Segoe UI Emoji"/>
                <w:sz w:val="16"/>
                <w:szCs w:val="16"/>
              </w:rPr>
              <w:t>🟢</w:t>
            </w:r>
            <w:r w:rsidRPr="00D60A13">
              <w:rPr>
                <w:rFonts w:ascii="Calibri" w:hAnsi="Calibri" w:cs="Calibri"/>
                <w:sz w:val="16"/>
                <w:szCs w:val="16"/>
              </w:rPr>
              <w:t xml:space="preserve"> Good</w:t>
            </w:r>
          </w:p>
        </w:tc>
        <w:tc>
          <w:tcPr>
            <w:tcW w:w="0" w:type="auto"/>
            <w:vAlign w:val="center"/>
            <w:hideMark/>
          </w:tcPr>
          <w:p w14:paraId="4B006A49"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Functioning platform</w:t>
            </w:r>
          </w:p>
        </w:tc>
      </w:tr>
      <w:tr w:rsidR="009C542C" w:rsidRPr="00D60A13" w14:paraId="07A3E82C"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6F5324" w14:textId="77777777" w:rsidR="009C542C" w:rsidRPr="00D60A13" w:rsidRDefault="009C542C" w:rsidP="00322118">
            <w:pPr>
              <w:spacing w:after="160" w:line="278" w:lineRule="auto"/>
              <w:rPr>
                <w:rFonts w:ascii="Calibri" w:hAnsi="Calibri" w:cs="Calibri"/>
                <w:b w:val="0"/>
                <w:bCs w:val="0"/>
                <w:sz w:val="16"/>
                <w:szCs w:val="16"/>
              </w:rPr>
            </w:pPr>
            <w:r w:rsidRPr="00D60A13">
              <w:rPr>
                <w:rFonts w:ascii="Calibri" w:hAnsi="Calibri" w:cs="Calibri"/>
                <w:b w:val="0"/>
                <w:bCs w:val="0"/>
                <w:sz w:val="16"/>
                <w:szCs w:val="16"/>
              </w:rPr>
              <w:t>Stakeholder participation</w:t>
            </w:r>
          </w:p>
        </w:tc>
        <w:tc>
          <w:tcPr>
            <w:tcW w:w="0" w:type="auto"/>
            <w:vAlign w:val="center"/>
            <w:hideMark/>
          </w:tcPr>
          <w:p w14:paraId="5AD56AB6"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60% inclusiveness</w:t>
            </w:r>
          </w:p>
        </w:tc>
        <w:tc>
          <w:tcPr>
            <w:tcW w:w="0" w:type="auto"/>
            <w:vAlign w:val="center"/>
            <w:hideMark/>
          </w:tcPr>
          <w:p w14:paraId="486BB1C4"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w:t>
            </w:r>
          </w:p>
        </w:tc>
        <w:tc>
          <w:tcPr>
            <w:tcW w:w="0" w:type="auto"/>
            <w:vAlign w:val="center"/>
            <w:hideMark/>
          </w:tcPr>
          <w:p w14:paraId="668F8A63"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Segoe UI Emoji" w:hAnsi="Segoe UI Emoji" w:cs="Segoe UI Emoji"/>
                <w:sz w:val="16"/>
                <w:szCs w:val="16"/>
              </w:rPr>
              <w:t>🟡</w:t>
            </w:r>
            <w:r w:rsidRPr="00D60A13">
              <w:rPr>
                <w:rFonts w:ascii="Calibri" w:hAnsi="Calibri" w:cs="Calibri"/>
                <w:sz w:val="16"/>
                <w:szCs w:val="16"/>
              </w:rPr>
              <w:t xml:space="preserve"> Medium</w:t>
            </w:r>
          </w:p>
        </w:tc>
        <w:tc>
          <w:tcPr>
            <w:tcW w:w="0" w:type="auto"/>
            <w:vAlign w:val="center"/>
            <w:hideMark/>
          </w:tcPr>
          <w:p w14:paraId="2BBCDE2B"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Private sector under-represented</w:t>
            </w:r>
          </w:p>
        </w:tc>
      </w:tr>
      <w:tr w:rsidR="009C542C" w:rsidRPr="00D60A13" w14:paraId="7B46699D"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0E9D94" w14:textId="77777777" w:rsidR="009C542C" w:rsidRPr="00D60A13" w:rsidRDefault="009C542C" w:rsidP="00322118">
            <w:pPr>
              <w:spacing w:after="160" w:line="278" w:lineRule="auto"/>
              <w:rPr>
                <w:rFonts w:ascii="Calibri" w:hAnsi="Calibri" w:cs="Calibri"/>
                <w:b w:val="0"/>
                <w:bCs w:val="0"/>
                <w:sz w:val="16"/>
                <w:szCs w:val="16"/>
              </w:rPr>
            </w:pPr>
            <w:r w:rsidRPr="00D60A13">
              <w:rPr>
                <w:rFonts w:ascii="Calibri" w:hAnsi="Calibri" w:cs="Calibri"/>
                <w:b w:val="0"/>
                <w:bCs w:val="0"/>
                <w:sz w:val="16"/>
                <w:szCs w:val="16"/>
              </w:rPr>
              <w:t>Sanitation upgrades</w:t>
            </w:r>
          </w:p>
        </w:tc>
        <w:tc>
          <w:tcPr>
            <w:tcW w:w="0" w:type="auto"/>
            <w:vAlign w:val="center"/>
            <w:hideMark/>
          </w:tcPr>
          <w:p w14:paraId="69BFF614"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14% implemented</w:t>
            </w:r>
          </w:p>
        </w:tc>
        <w:tc>
          <w:tcPr>
            <w:tcW w:w="0" w:type="auto"/>
            <w:vAlign w:val="center"/>
            <w:hideMark/>
          </w:tcPr>
          <w:p w14:paraId="045049C4"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w:t>
            </w:r>
          </w:p>
        </w:tc>
        <w:tc>
          <w:tcPr>
            <w:tcW w:w="0" w:type="auto"/>
            <w:vAlign w:val="center"/>
            <w:hideMark/>
          </w:tcPr>
          <w:p w14:paraId="172A9848"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Segoe UI Emoji" w:hAnsi="Segoe UI Emoji" w:cs="Segoe UI Emoji"/>
                <w:sz w:val="16"/>
                <w:szCs w:val="16"/>
              </w:rPr>
              <w:t>🟠</w:t>
            </w:r>
            <w:r w:rsidRPr="00D60A13">
              <w:rPr>
                <w:rFonts w:ascii="Calibri" w:hAnsi="Calibri" w:cs="Calibri"/>
                <w:sz w:val="16"/>
                <w:szCs w:val="16"/>
              </w:rPr>
              <w:t xml:space="preserve"> Low</w:t>
            </w:r>
          </w:p>
        </w:tc>
        <w:tc>
          <w:tcPr>
            <w:tcW w:w="0" w:type="auto"/>
            <w:vAlign w:val="center"/>
            <w:hideMark/>
          </w:tcPr>
          <w:p w14:paraId="5820BED9"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Funding constraints</w:t>
            </w:r>
          </w:p>
        </w:tc>
      </w:tr>
      <w:tr w:rsidR="009C542C" w:rsidRPr="00D60A13" w14:paraId="5CC0FB04"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4EA39F" w14:textId="77777777" w:rsidR="009C542C" w:rsidRPr="00D60A13" w:rsidRDefault="009C542C" w:rsidP="00322118">
            <w:pPr>
              <w:spacing w:after="160" w:line="278" w:lineRule="auto"/>
              <w:rPr>
                <w:rFonts w:ascii="Calibri" w:hAnsi="Calibri" w:cs="Calibri"/>
                <w:b w:val="0"/>
                <w:bCs w:val="0"/>
                <w:sz w:val="16"/>
                <w:szCs w:val="16"/>
              </w:rPr>
            </w:pPr>
            <w:r w:rsidRPr="00D60A13">
              <w:rPr>
                <w:rFonts w:ascii="Calibri" w:hAnsi="Calibri" w:cs="Calibri"/>
                <w:b w:val="0"/>
                <w:bCs w:val="0"/>
                <w:sz w:val="16"/>
                <w:szCs w:val="16"/>
              </w:rPr>
              <w:t>Tourism environmental compliance</w:t>
            </w:r>
          </w:p>
        </w:tc>
        <w:tc>
          <w:tcPr>
            <w:tcW w:w="0" w:type="auto"/>
            <w:vAlign w:val="center"/>
            <w:hideMark/>
          </w:tcPr>
          <w:p w14:paraId="7EE7E0B3"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25% operators</w:t>
            </w:r>
          </w:p>
        </w:tc>
        <w:tc>
          <w:tcPr>
            <w:tcW w:w="0" w:type="auto"/>
            <w:vAlign w:val="center"/>
            <w:hideMark/>
          </w:tcPr>
          <w:p w14:paraId="20A44058"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w:t>
            </w:r>
          </w:p>
        </w:tc>
        <w:tc>
          <w:tcPr>
            <w:tcW w:w="0" w:type="auto"/>
            <w:vAlign w:val="center"/>
            <w:hideMark/>
          </w:tcPr>
          <w:p w14:paraId="5845399F"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Segoe UI Emoji" w:hAnsi="Segoe UI Emoji" w:cs="Segoe UI Emoji"/>
                <w:sz w:val="16"/>
                <w:szCs w:val="16"/>
              </w:rPr>
              <w:t>🟡</w:t>
            </w:r>
            <w:r w:rsidRPr="00D60A13">
              <w:rPr>
                <w:rFonts w:ascii="Calibri" w:hAnsi="Calibri" w:cs="Calibri"/>
                <w:sz w:val="16"/>
                <w:szCs w:val="16"/>
              </w:rPr>
              <w:t xml:space="preserve"> Medium</w:t>
            </w:r>
          </w:p>
        </w:tc>
        <w:tc>
          <w:tcPr>
            <w:tcW w:w="0" w:type="auto"/>
            <w:vAlign w:val="center"/>
            <w:hideMark/>
          </w:tcPr>
          <w:p w14:paraId="72C077CD" w14:textId="77777777" w:rsidR="009C542C" w:rsidRPr="00D60A13"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Training needed</w:t>
            </w:r>
          </w:p>
        </w:tc>
      </w:tr>
      <w:tr w:rsidR="009C542C" w:rsidRPr="00D60A13" w14:paraId="5F52527F"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6AB8EB" w14:textId="77777777" w:rsidR="009C542C" w:rsidRPr="00D60A13" w:rsidRDefault="009C542C" w:rsidP="00322118">
            <w:pPr>
              <w:spacing w:after="160" w:line="278" w:lineRule="auto"/>
              <w:rPr>
                <w:rFonts w:ascii="Calibri" w:hAnsi="Calibri" w:cs="Calibri"/>
                <w:b w:val="0"/>
                <w:bCs w:val="0"/>
                <w:sz w:val="16"/>
                <w:szCs w:val="16"/>
              </w:rPr>
            </w:pPr>
            <w:r w:rsidRPr="00D60A13">
              <w:rPr>
                <w:rFonts w:ascii="Calibri" w:hAnsi="Calibri" w:cs="Calibri"/>
                <w:b w:val="0"/>
                <w:bCs w:val="0"/>
                <w:sz w:val="16"/>
                <w:szCs w:val="16"/>
              </w:rPr>
              <w:t>Joint monitoring events</w:t>
            </w:r>
          </w:p>
        </w:tc>
        <w:tc>
          <w:tcPr>
            <w:tcW w:w="0" w:type="auto"/>
            <w:vAlign w:val="center"/>
            <w:hideMark/>
          </w:tcPr>
          <w:p w14:paraId="034501DE"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2 per year</w:t>
            </w:r>
          </w:p>
        </w:tc>
        <w:tc>
          <w:tcPr>
            <w:tcW w:w="0" w:type="auto"/>
            <w:vAlign w:val="center"/>
            <w:hideMark/>
          </w:tcPr>
          <w:p w14:paraId="096543BF"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w:t>
            </w:r>
          </w:p>
        </w:tc>
        <w:tc>
          <w:tcPr>
            <w:tcW w:w="0" w:type="auto"/>
            <w:vAlign w:val="center"/>
            <w:hideMark/>
          </w:tcPr>
          <w:p w14:paraId="0CE49C4E"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Segoe UI Emoji" w:hAnsi="Segoe UI Emoji" w:cs="Segoe UI Emoji"/>
                <w:sz w:val="16"/>
                <w:szCs w:val="16"/>
              </w:rPr>
              <w:t>🟠</w:t>
            </w:r>
            <w:r w:rsidRPr="00D60A13">
              <w:rPr>
                <w:rFonts w:ascii="Calibri" w:hAnsi="Calibri" w:cs="Calibri"/>
                <w:sz w:val="16"/>
                <w:szCs w:val="16"/>
              </w:rPr>
              <w:t xml:space="preserve"> Needs improvement</w:t>
            </w:r>
          </w:p>
        </w:tc>
        <w:tc>
          <w:tcPr>
            <w:tcW w:w="0" w:type="auto"/>
            <w:vAlign w:val="center"/>
            <w:hideMark/>
          </w:tcPr>
          <w:p w14:paraId="394D235C" w14:textId="77777777" w:rsidR="009C542C" w:rsidRPr="00D60A13"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Target ≥3</w:t>
            </w:r>
          </w:p>
        </w:tc>
      </w:tr>
    </w:tbl>
    <w:p w14:paraId="7433AF6B" w14:textId="77777777" w:rsidR="009C542C" w:rsidRPr="00D60A13" w:rsidRDefault="009C542C" w:rsidP="009C542C">
      <w:pPr>
        <w:rPr>
          <w:rFonts w:ascii="Calibri" w:hAnsi="Calibri" w:cs="Calibri"/>
          <w:sz w:val="16"/>
          <w:szCs w:val="16"/>
        </w:rPr>
      </w:pPr>
      <w:r w:rsidRPr="00D60A13">
        <w:rPr>
          <w:rFonts w:ascii="Calibri" w:hAnsi="Calibri" w:cs="Calibri"/>
          <w:sz w:val="16"/>
          <w:szCs w:val="16"/>
        </w:rPr>
        <w:t>Legend:</w:t>
      </w:r>
      <w:r w:rsidRPr="00D60A13">
        <w:rPr>
          <w:rFonts w:ascii="Calibri" w:hAnsi="Calibri" w:cs="Calibri"/>
          <w:sz w:val="16"/>
          <w:szCs w:val="16"/>
        </w:rPr>
        <w:br/>
      </w:r>
      <w:r w:rsidRPr="00D60A13">
        <w:rPr>
          <w:rFonts w:ascii="Segoe UI Emoji" w:hAnsi="Segoe UI Emoji" w:cs="Segoe UI Emoji"/>
          <w:sz w:val="16"/>
          <w:szCs w:val="16"/>
        </w:rPr>
        <w:t>🟢</w:t>
      </w:r>
      <w:r w:rsidRPr="00D60A13">
        <w:rPr>
          <w:rFonts w:ascii="Calibri" w:hAnsi="Calibri" w:cs="Calibri"/>
          <w:sz w:val="16"/>
          <w:szCs w:val="16"/>
        </w:rPr>
        <w:t xml:space="preserve"> = Good progress</w:t>
      </w:r>
      <w:r w:rsidRPr="00D60A13">
        <w:rPr>
          <w:rFonts w:ascii="Calibri" w:hAnsi="Calibri" w:cs="Calibri"/>
          <w:sz w:val="16"/>
          <w:szCs w:val="16"/>
        </w:rPr>
        <w:br/>
      </w:r>
      <w:r w:rsidRPr="00D60A13">
        <w:rPr>
          <w:rFonts w:ascii="Segoe UI Emoji" w:hAnsi="Segoe UI Emoji" w:cs="Segoe UI Emoji"/>
          <w:sz w:val="16"/>
          <w:szCs w:val="16"/>
        </w:rPr>
        <w:t>🟡</w:t>
      </w:r>
      <w:r w:rsidRPr="00D60A13">
        <w:rPr>
          <w:rFonts w:ascii="Calibri" w:hAnsi="Calibri" w:cs="Calibri"/>
          <w:sz w:val="16"/>
          <w:szCs w:val="16"/>
        </w:rPr>
        <w:t xml:space="preserve"> = Moderate progress</w:t>
      </w:r>
      <w:r w:rsidRPr="00D60A13">
        <w:rPr>
          <w:rFonts w:ascii="Calibri" w:hAnsi="Calibri" w:cs="Calibri"/>
          <w:sz w:val="16"/>
          <w:szCs w:val="16"/>
        </w:rPr>
        <w:br/>
      </w:r>
      <w:r w:rsidRPr="00D60A13">
        <w:rPr>
          <w:rFonts w:ascii="Segoe UI Emoji" w:hAnsi="Segoe UI Emoji" w:cs="Segoe UI Emoji"/>
          <w:sz w:val="16"/>
          <w:szCs w:val="16"/>
        </w:rPr>
        <w:t>🟠</w:t>
      </w:r>
      <w:r w:rsidRPr="00D60A13">
        <w:rPr>
          <w:rFonts w:ascii="Calibri" w:hAnsi="Calibri" w:cs="Calibri"/>
          <w:sz w:val="16"/>
          <w:szCs w:val="16"/>
        </w:rPr>
        <w:t xml:space="preserve"> = Needs improvement</w:t>
      </w:r>
      <w:r w:rsidRPr="00D60A13">
        <w:rPr>
          <w:rFonts w:ascii="Calibri" w:hAnsi="Calibri" w:cs="Calibri"/>
          <w:sz w:val="16"/>
          <w:szCs w:val="16"/>
        </w:rPr>
        <w:br/>
      </w:r>
      <w:r w:rsidRPr="00D60A13">
        <w:rPr>
          <w:rFonts w:ascii="Segoe UI Emoji" w:hAnsi="Segoe UI Emoji" w:cs="Segoe UI Emoji"/>
          <w:sz w:val="16"/>
          <w:szCs w:val="16"/>
        </w:rPr>
        <w:t>🔴</w:t>
      </w:r>
      <w:r w:rsidRPr="00D60A13">
        <w:rPr>
          <w:rFonts w:ascii="Calibri" w:hAnsi="Calibri" w:cs="Calibri"/>
          <w:sz w:val="16"/>
          <w:szCs w:val="16"/>
        </w:rPr>
        <w:t xml:space="preserve"> = Critical attention required</w:t>
      </w:r>
    </w:p>
    <w:p w14:paraId="73FC8535" w14:textId="77777777" w:rsidR="009C542C" w:rsidRPr="00D60A13" w:rsidRDefault="009C542C" w:rsidP="00FD01B3">
      <w:pPr>
        <w:rPr>
          <w:sz w:val="16"/>
          <w:szCs w:val="16"/>
        </w:rPr>
      </w:pPr>
    </w:p>
    <w:p w14:paraId="23572B3B" w14:textId="77777777" w:rsidR="00353092" w:rsidRPr="00D60A13" w:rsidRDefault="00353092" w:rsidP="00353092">
      <w:pPr>
        <w:pStyle w:val="ListParagraph"/>
        <w:numPr>
          <w:ilvl w:val="0"/>
          <w:numId w:val="88"/>
        </w:numPr>
        <w:spacing w:line="278" w:lineRule="auto"/>
        <w:rPr>
          <w:rFonts w:ascii="Calibri" w:hAnsi="Calibri" w:cs="Calibri"/>
          <w:b/>
          <w:bCs/>
          <w:color w:val="0070C0"/>
        </w:rPr>
      </w:pPr>
      <w:r w:rsidRPr="00D60A13">
        <w:rPr>
          <w:rFonts w:ascii="Calibri" w:hAnsi="Calibri" w:cs="Calibri"/>
          <w:b/>
          <w:bCs/>
          <w:color w:val="0070C0"/>
        </w:rPr>
        <w:lastRenderedPageBreak/>
        <w:t>STANDARDIZED TEMPLATES FOR REPORTING INDICATOR STATUS</w:t>
      </w:r>
    </w:p>
    <w:p w14:paraId="62223226" w14:textId="77777777" w:rsidR="00353092" w:rsidRPr="00D60A13" w:rsidRDefault="00353092" w:rsidP="00353092">
      <w:pPr>
        <w:rPr>
          <w:rFonts w:ascii="Calibri" w:hAnsi="Calibri" w:cs="Calibri"/>
          <w:b/>
          <w:bCs/>
        </w:rPr>
      </w:pPr>
      <w:r w:rsidRPr="00D60A13">
        <w:rPr>
          <w:rFonts w:ascii="Calibri" w:hAnsi="Calibri" w:cs="Calibri"/>
          <w:b/>
          <w:bCs/>
        </w:rPr>
        <w:t>TEMPLATE 3 – DATA QUALITY ASSURANCE &amp; HARMONIZATION CHECKLIST</w:t>
      </w:r>
    </w:p>
    <w:p w14:paraId="54EAD317" w14:textId="77777777" w:rsidR="00353092" w:rsidRPr="00D60A13" w:rsidRDefault="00353092" w:rsidP="00353092">
      <w:pPr>
        <w:rPr>
          <w:rFonts w:ascii="Calibri" w:hAnsi="Calibri" w:cs="Calibri"/>
        </w:rPr>
      </w:pPr>
      <w:r w:rsidRPr="00D60A13">
        <w:rPr>
          <w:rFonts w:ascii="Calibri" w:hAnsi="Calibri" w:cs="Calibri"/>
        </w:rPr>
        <w:t>(Use this checklist every time data is submitted by HR or BiH authorities.)</w:t>
      </w:r>
    </w:p>
    <w:p w14:paraId="4FB0F9CA" w14:textId="77777777" w:rsidR="00353092" w:rsidRPr="00D60A13" w:rsidRDefault="00353092" w:rsidP="00353092">
      <w:pPr>
        <w:rPr>
          <w:rFonts w:ascii="Calibri" w:hAnsi="Calibri" w:cs="Calibri"/>
          <w:u w:val="single"/>
        </w:rPr>
      </w:pPr>
      <w:r w:rsidRPr="00D60A13">
        <w:rPr>
          <w:rFonts w:ascii="Calibri" w:hAnsi="Calibri" w:cs="Calibri"/>
          <w:u w:val="single"/>
        </w:rPr>
        <w:t>1. Technical Consistency</w:t>
      </w:r>
    </w:p>
    <w:p w14:paraId="536B8B74" w14:textId="77777777" w:rsidR="00353092" w:rsidRPr="00D60A13" w:rsidRDefault="00353092" w:rsidP="00353092">
      <w:pPr>
        <w:rPr>
          <w:rFonts w:ascii="Calibri" w:hAnsi="Calibri" w:cs="Calibri"/>
        </w:rPr>
      </w:pPr>
      <w:r w:rsidRPr="00D60A13">
        <w:rPr>
          <w:rFonts w:ascii="Calibri" w:hAnsi="Calibri" w:cs="Calibri"/>
        </w:rPr>
        <w:t>□ Units of measurement harmonized (e.g., mg/L, L/s)</w:t>
      </w:r>
      <w:r w:rsidRPr="00D60A13">
        <w:rPr>
          <w:rFonts w:ascii="Calibri" w:hAnsi="Calibri" w:cs="Calibri"/>
        </w:rPr>
        <w:br/>
        <w:t>□ Same sampling frequency applied</w:t>
      </w:r>
      <w:r w:rsidRPr="00D60A13">
        <w:rPr>
          <w:rFonts w:ascii="Calibri" w:hAnsi="Calibri" w:cs="Calibri"/>
        </w:rPr>
        <w:br/>
        <w:t>□ Same laboratory methods or mutually recognized methods</w:t>
      </w:r>
      <w:r w:rsidRPr="00D60A13">
        <w:rPr>
          <w:rFonts w:ascii="Calibri" w:hAnsi="Calibri" w:cs="Calibri"/>
        </w:rPr>
        <w:br/>
        <w:t>□ Metadata complete (location, time, method, weather conditions)</w:t>
      </w:r>
    </w:p>
    <w:p w14:paraId="5FD1CF82" w14:textId="77777777" w:rsidR="00353092" w:rsidRPr="00D60A13" w:rsidRDefault="00353092" w:rsidP="00353092">
      <w:pPr>
        <w:rPr>
          <w:rFonts w:ascii="Calibri" w:hAnsi="Calibri" w:cs="Calibri"/>
          <w:u w:val="single"/>
        </w:rPr>
      </w:pPr>
      <w:r w:rsidRPr="00D60A13">
        <w:rPr>
          <w:rFonts w:ascii="Calibri" w:hAnsi="Calibri" w:cs="Calibri"/>
          <w:u w:val="single"/>
        </w:rPr>
        <w:t>2. Internal Validation (Country Level)</w:t>
      </w:r>
    </w:p>
    <w:p w14:paraId="0F129D6C" w14:textId="77777777" w:rsidR="00353092" w:rsidRPr="00D60A13" w:rsidRDefault="00353092" w:rsidP="00353092">
      <w:pPr>
        <w:rPr>
          <w:rFonts w:ascii="Calibri" w:hAnsi="Calibri" w:cs="Calibri"/>
        </w:rPr>
      </w:pPr>
      <w:r w:rsidRPr="00D60A13">
        <w:rPr>
          <w:rFonts w:ascii="Calibri" w:hAnsi="Calibri" w:cs="Calibri"/>
        </w:rPr>
        <w:t>□ Data reviewed by national technical institution</w:t>
      </w:r>
      <w:r w:rsidRPr="00D60A13">
        <w:rPr>
          <w:rFonts w:ascii="Calibri" w:hAnsi="Calibri" w:cs="Calibri"/>
        </w:rPr>
        <w:br/>
        <w:t>□ Errors, missing values, outliers addressed</w:t>
      </w:r>
      <w:r w:rsidRPr="00D60A13">
        <w:rPr>
          <w:rFonts w:ascii="Calibri" w:hAnsi="Calibri" w:cs="Calibri"/>
        </w:rPr>
        <w:br/>
        <w:t>□ Clear explanation for any gaps</w:t>
      </w:r>
    </w:p>
    <w:p w14:paraId="582E00FD" w14:textId="77777777" w:rsidR="00353092" w:rsidRPr="00D60A13" w:rsidRDefault="00353092" w:rsidP="00353092">
      <w:pPr>
        <w:rPr>
          <w:rFonts w:ascii="Calibri" w:hAnsi="Calibri" w:cs="Calibri"/>
          <w:u w:val="single"/>
        </w:rPr>
      </w:pPr>
      <w:r w:rsidRPr="00D60A13">
        <w:rPr>
          <w:rFonts w:ascii="Calibri" w:hAnsi="Calibri" w:cs="Calibri"/>
          <w:u w:val="single"/>
        </w:rPr>
        <w:t>3. Cross-Border Harmonization</w:t>
      </w:r>
    </w:p>
    <w:p w14:paraId="77E8D20F" w14:textId="77777777" w:rsidR="00353092" w:rsidRPr="00D60A13" w:rsidRDefault="00353092" w:rsidP="00353092">
      <w:pPr>
        <w:rPr>
          <w:rFonts w:ascii="Calibri" w:hAnsi="Calibri" w:cs="Calibri"/>
        </w:rPr>
      </w:pPr>
      <w:r w:rsidRPr="00D60A13">
        <w:rPr>
          <w:rFonts w:ascii="Calibri" w:hAnsi="Calibri" w:cs="Calibri"/>
        </w:rPr>
        <w:t>□ Indicators calculated using identical formulas</w:t>
      </w:r>
      <w:r w:rsidRPr="00D60A13">
        <w:rPr>
          <w:rFonts w:ascii="Calibri" w:hAnsi="Calibri" w:cs="Calibri"/>
        </w:rPr>
        <w:br/>
        <w:t>□ Thresholds and classification levels matched</w:t>
      </w:r>
      <w:r w:rsidRPr="00D60A13">
        <w:rPr>
          <w:rFonts w:ascii="Calibri" w:hAnsi="Calibri" w:cs="Calibri"/>
        </w:rPr>
        <w:br/>
        <w:t>□ Data comparable across both sides of the TBA</w:t>
      </w:r>
    </w:p>
    <w:p w14:paraId="39CF75B9" w14:textId="77777777" w:rsidR="00353092" w:rsidRPr="00D60A13" w:rsidRDefault="00353092" w:rsidP="00353092">
      <w:pPr>
        <w:rPr>
          <w:rFonts w:ascii="Calibri" w:hAnsi="Calibri" w:cs="Calibri"/>
          <w:u w:val="single"/>
        </w:rPr>
      </w:pPr>
      <w:r w:rsidRPr="00D60A13">
        <w:rPr>
          <w:rFonts w:ascii="Calibri" w:hAnsi="Calibri" w:cs="Calibri"/>
          <w:u w:val="single"/>
        </w:rPr>
        <w:t>4. Final Quality Verification</w:t>
      </w:r>
    </w:p>
    <w:p w14:paraId="66E3FFD0" w14:textId="77777777" w:rsidR="00353092" w:rsidRPr="00D60A13" w:rsidRDefault="00353092" w:rsidP="00353092">
      <w:pPr>
        <w:rPr>
          <w:rFonts w:ascii="Calibri" w:hAnsi="Calibri" w:cs="Calibri"/>
        </w:rPr>
      </w:pPr>
      <w:r w:rsidRPr="00D60A13">
        <w:rPr>
          <w:rFonts w:ascii="Calibri" w:hAnsi="Calibri" w:cs="Calibri"/>
        </w:rPr>
        <w:t>□ Approved by responsible institutions in HR and BiH</w:t>
      </w:r>
      <w:r w:rsidRPr="00D60A13">
        <w:rPr>
          <w:rFonts w:ascii="Calibri" w:hAnsi="Calibri" w:cs="Calibri"/>
        </w:rPr>
        <w:br/>
        <w:t>□ Ready for inclusion in joint reporting</w:t>
      </w:r>
      <w:r w:rsidRPr="00D60A13">
        <w:rPr>
          <w:rFonts w:ascii="Calibri" w:hAnsi="Calibri" w:cs="Calibri"/>
        </w:rPr>
        <w:br/>
        <w:t>□ Archived in shared digital platform</w:t>
      </w:r>
    </w:p>
    <w:p w14:paraId="7081A2B1" w14:textId="77777777" w:rsidR="009C542C" w:rsidRPr="00D60A13" w:rsidRDefault="009C542C" w:rsidP="00FD01B3">
      <w:pPr>
        <w:rPr>
          <w:sz w:val="16"/>
          <w:szCs w:val="16"/>
        </w:rPr>
      </w:pPr>
    </w:p>
    <w:p w14:paraId="2B2B8FEB" w14:textId="77777777" w:rsidR="00353092" w:rsidRPr="00D60A13" w:rsidRDefault="00353092" w:rsidP="00353092">
      <w:pPr>
        <w:rPr>
          <w:rFonts w:ascii="Calibri" w:hAnsi="Calibri" w:cs="Calibri"/>
          <w:b/>
          <w:bCs/>
        </w:rPr>
      </w:pPr>
      <w:r w:rsidRPr="00D60A13">
        <w:rPr>
          <w:rFonts w:ascii="Calibri" w:hAnsi="Calibri" w:cs="Calibri"/>
          <w:b/>
          <w:bCs/>
        </w:rPr>
        <w:t>TEMPLATE 4 – INDICATOR SELECTION &amp; PRIORITIZATION FLOWCHART (TEXT DIAGRAM)</w:t>
      </w:r>
    </w:p>
    <w:p w14:paraId="413CE2CB" w14:textId="77777777" w:rsidR="00353092" w:rsidRPr="00D60A13" w:rsidRDefault="00353092" w:rsidP="00353092">
      <w:pPr>
        <w:rPr>
          <w:rFonts w:ascii="Calibri" w:hAnsi="Calibri" w:cs="Calibri"/>
        </w:rPr>
      </w:pPr>
      <w:r w:rsidRPr="00D60A13">
        <w:rPr>
          <w:rFonts w:ascii="Calibri" w:hAnsi="Calibri" w:cs="Calibri"/>
          <w:u w:val="single"/>
        </w:rPr>
        <w:t>STEP 1</w:t>
      </w:r>
      <w:r w:rsidRPr="00D60A13">
        <w:rPr>
          <w:rFonts w:ascii="Calibri" w:hAnsi="Calibri" w:cs="Calibri"/>
        </w:rPr>
        <w:t>: Identify management need</w:t>
      </w:r>
    </w:p>
    <w:p w14:paraId="57D556F8" w14:textId="77777777" w:rsidR="00353092" w:rsidRPr="00D60A13" w:rsidRDefault="00353092" w:rsidP="00353092">
      <w:pPr>
        <w:rPr>
          <w:rFonts w:ascii="Calibri" w:hAnsi="Calibri" w:cs="Calibri"/>
        </w:rPr>
      </w:pPr>
      <w:r w:rsidRPr="00D60A13">
        <w:rPr>
          <w:rFonts w:ascii="Calibri" w:hAnsi="Calibri" w:cs="Calibri"/>
          <w:u w:val="single"/>
        </w:rPr>
        <w:t>STEP 2</w:t>
      </w:r>
      <w:r w:rsidRPr="00D60A13">
        <w:rPr>
          <w:rFonts w:ascii="Calibri" w:hAnsi="Calibri" w:cs="Calibri"/>
        </w:rPr>
        <w:t>: Define governance question</w:t>
      </w:r>
    </w:p>
    <w:p w14:paraId="2E763E0A" w14:textId="77777777" w:rsidR="00353092" w:rsidRPr="00D60A13" w:rsidRDefault="00353092" w:rsidP="00353092">
      <w:pPr>
        <w:rPr>
          <w:rFonts w:ascii="Calibri" w:hAnsi="Calibri" w:cs="Calibri"/>
        </w:rPr>
      </w:pPr>
      <w:r w:rsidRPr="00D60A13">
        <w:rPr>
          <w:rFonts w:ascii="Calibri" w:hAnsi="Calibri" w:cs="Calibri"/>
          <w:u w:val="single"/>
        </w:rPr>
        <w:t>STEP 3</w:t>
      </w:r>
      <w:r w:rsidRPr="00D60A13">
        <w:rPr>
          <w:rFonts w:ascii="Calibri" w:hAnsi="Calibri" w:cs="Calibri"/>
        </w:rPr>
        <w:t>: Check indicator relevance (Does it measure pressure, state, response, or cooperation?)</w:t>
      </w:r>
    </w:p>
    <w:p w14:paraId="0936C63A" w14:textId="77777777" w:rsidR="00353092" w:rsidRPr="00D60A13" w:rsidRDefault="00353092" w:rsidP="00353092">
      <w:pPr>
        <w:rPr>
          <w:rFonts w:ascii="Calibri" w:hAnsi="Calibri" w:cs="Calibri"/>
        </w:rPr>
      </w:pPr>
      <w:r w:rsidRPr="00D60A13">
        <w:rPr>
          <w:rFonts w:ascii="Calibri" w:hAnsi="Calibri" w:cs="Calibri"/>
          <w:u w:val="single"/>
        </w:rPr>
        <w:t>STEP 4</w:t>
      </w:r>
      <w:r w:rsidRPr="00D60A13">
        <w:rPr>
          <w:rFonts w:ascii="Calibri" w:hAnsi="Calibri" w:cs="Calibri"/>
        </w:rPr>
        <w:t>: Check feasibility</w:t>
      </w:r>
    </w:p>
    <w:p w14:paraId="155F4237" w14:textId="77777777" w:rsidR="00353092" w:rsidRPr="00D60A13" w:rsidRDefault="00353092" w:rsidP="00353092">
      <w:pPr>
        <w:rPr>
          <w:rFonts w:ascii="Calibri" w:hAnsi="Calibri" w:cs="Calibri"/>
        </w:rPr>
      </w:pPr>
      <w:r w:rsidRPr="00D60A13">
        <w:rPr>
          <w:rFonts w:ascii="Calibri" w:hAnsi="Calibri" w:cs="Calibri"/>
        </w:rPr>
        <w:t xml:space="preserve">      • Is data available?</w:t>
      </w:r>
    </w:p>
    <w:p w14:paraId="027BF2BA" w14:textId="77777777" w:rsidR="00353092" w:rsidRPr="00D60A13" w:rsidRDefault="00353092" w:rsidP="00353092">
      <w:pPr>
        <w:rPr>
          <w:rFonts w:ascii="Calibri" w:hAnsi="Calibri" w:cs="Calibri"/>
        </w:rPr>
      </w:pPr>
      <w:r w:rsidRPr="00D60A13">
        <w:rPr>
          <w:rFonts w:ascii="Calibri" w:hAnsi="Calibri" w:cs="Calibri"/>
        </w:rPr>
        <w:t xml:space="preserve">      • Can both countries measure it?</w:t>
      </w:r>
    </w:p>
    <w:p w14:paraId="681B8CA1" w14:textId="77777777" w:rsidR="00353092" w:rsidRPr="00D60A13" w:rsidRDefault="00353092" w:rsidP="00353092">
      <w:pPr>
        <w:rPr>
          <w:rFonts w:ascii="Calibri" w:hAnsi="Calibri" w:cs="Calibri"/>
        </w:rPr>
      </w:pPr>
      <w:r w:rsidRPr="00D60A13">
        <w:rPr>
          <w:rFonts w:ascii="Calibri" w:hAnsi="Calibri" w:cs="Calibri"/>
          <w:u w:val="single"/>
        </w:rPr>
        <w:t>STEP 5</w:t>
      </w:r>
      <w:r w:rsidRPr="00D60A13">
        <w:rPr>
          <w:rFonts w:ascii="Calibri" w:hAnsi="Calibri" w:cs="Calibri"/>
        </w:rPr>
        <w:t>: Cross-border harmonization test</w:t>
      </w:r>
    </w:p>
    <w:p w14:paraId="03EEEC23" w14:textId="77777777" w:rsidR="00353092" w:rsidRPr="00D60A13" w:rsidRDefault="00353092" w:rsidP="00353092">
      <w:pPr>
        <w:rPr>
          <w:rFonts w:ascii="Calibri" w:hAnsi="Calibri" w:cs="Calibri"/>
        </w:rPr>
      </w:pPr>
      <w:r w:rsidRPr="00D60A13">
        <w:rPr>
          <w:rFonts w:ascii="Calibri" w:hAnsi="Calibri" w:cs="Calibri"/>
        </w:rPr>
        <w:t xml:space="preserve">      • Same definitions?</w:t>
      </w:r>
    </w:p>
    <w:p w14:paraId="7FE5B78E" w14:textId="77777777" w:rsidR="00353092" w:rsidRPr="00D60A13" w:rsidRDefault="00353092" w:rsidP="00353092">
      <w:pPr>
        <w:rPr>
          <w:rFonts w:ascii="Calibri" w:hAnsi="Calibri" w:cs="Calibri"/>
        </w:rPr>
      </w:pPr>
      <w:r w:rsidRPr="00D60A13">
        <w:rPr>
          <w:rFonts w:ascii="Calibri" w:hAnsi="Calibri" w:cs="Calibri"/>
          <w:u w:val="single"/>
        </w:rPr>
        <w:t>STEP 6</w:t>
      </w:r>
      <w:r w:rsidRPr="00D60A13">
        <w:rPr>
          <w:rFonts w:ascii="Calibri" w:hAnsi="Calibri" w:cs="Calibri"/>
        </w:rPr>
        <w:t>: Prioritize</w:t>
      </w:r>
    </w:p>
    <w:p w14:paraId="2ABFAF4F" w14:textId="77777777" w:rsidR="00353092" w:rsidRPr="00D60A13" w:rsidRDefault="00353092" w:rsidP="00353092">
      <w:pPr>
        <w:rPr>
          <w:rFonts w:ascii="Calibri" w:hAnsi="Calibri" w:cs="Calibri"/>
        </w:rPr>
      </w:pPr>
      <w:r w:rsidRPr="00D60A13">
        <w:rPr>
          <w:rFonts w:ascii="Calibri" w:hAnsi="Calibri" w:cs="Calibri"/>
        </w:rPr>
        <w:t xml:space="preserve">      • High relevance + High feasibility + High transboundary significance     </w:t>
      </w:r>
    </w:p>
    <w:p w14:paraId="29F15A8D" w14:textId="081038FD" w:rsidR="00353092" w:rsidRPr="00D60A13" w:rsidRDefault="00353092" w:rsidP="00353092">
      <w:pPr>
        <w:rPr>
          <w:rFonts w:ascii="Calibri" w:hAnsi="Calibri" w:cs="Calibri"/>
        </w:rPr>
      </w:pPr>
      <w:r w:rsidRPr="00D60A13">
        <w:rPr>
          <w:rFonts w:ascii="Calibri" w:hAnsi="Calibri" w:cs="Calibri"/>
          <w:u w:val="single"/>
        </w:rPr>
        <w:t>STEP 7</w:t>
      </w:r>
      <w:r w:rsidRPr="00D60A13">
        <w:rPr>
          <w:rFonts w:ascii="Calibri" w:hAnsi="Calibri" w:cs="Calibri"/>
        </w:rPr>
        <w:t>: Approve indicator and assign responsibilities</w:t>
      </w:r>
    </w:p>
    <w:p w14:paraId="716704D2" w14:textId="77777777" w:rsidR="00353092" w:rsidRPr="00D60A13" w:rsidRDefault="00353092">
      <w:pPr>
        <w:rPr>
          <w:rFonts w:ascii="Calibri" w:hAnsi="Calibri" w:cs="Calibri"/>
        </w:rPr>
      </w:pPr>
      <w:r w:rsidRPr="00D60A13">
        <w:rPr>
          <w:rFonts w:ascii="Calibri" w:hAnsi="Calibri" w:cs="Calibri"/>
        </w:rPr>
        <w:br w:type="page"/>
      </w:r>
    </w:p>
    <w:p w14:paraId="0399268A" w14:textId="77777777" w:rsidR="006C187C" w:rsidRPr="00D60A13" w:rsidRDefault="006C187C" w:rsidP="006C187C">
      <w:pPr>
        <w:pStyle w:val="ListParagraph"/>
        <w:numPr>
          <w:ilvl w:val="0"/>
          <w:numId w:val="88"/>
        </w:numPr>
        <w:spacing w:line="278" w:lineRule="auto"/>
        <w:rPr>
          <w:rFonts w:ascii="Calibri" w:hAnsi="Calibri" w:cs="Calibri"/>
          <w:b/>
          <w:bCs/>
          <w:color w:val="0070C0"/>
        </w:rPr>
      </w:pPr>
      <w:r w:rsidRPr="00D60A13">
        <w:rPr>
          <w:rFonts w:ascii="Calibri" w:hAnsi="Calibri" w:cs="Calibri"/>
          <w:b/>
          <w:bCs/>
          <w:color w:val="0070C0"/>
        </w:rPr>
        <w:lastRenderedPageBreak/>
        <w:t>MONITORING PROTOCOLS</w:t>
      </w:r>
    </w:p>
    <w:p w14:paraId="2568256C" w14:textId="77777777" w:rsidR="006C187C" w:rsidRPr="00D60A13" w:rsidRDefault="006C187C" w:rsidP="006C187C">
      <w:pPr>
        <w:rPr>
          <w:rFonts w:ascii="Calibri" w:hAnsi="Calibri" w:cs="Calibri"/>
          <w:b/>
          <w:bCs/>
        </w:rPr>
      </w:pPr>
      <w:r w:rsidRPr="00D60A13">
        <w:rPr>
          <w:rFonts w:ascii="Calibri" w:hAnsi="Calibri" w:cs="Calibri"/>
          <w:b/>
          <w:bCs/>
        </w:rPr>
        <w:t>TEMPLATE 5 – MONITORING PROTOCOL TABLE</w:t>
      </w:r>
    </w:p>
    <w:tbl>
      <w:tblPr>
        <w:tblStyle w:val="PlainTable2"/>
        <w:tblW w:w="0" w:type="auto"/>
        <w:tblLook w:val="04A0" w:firstRow="1" w:lastRow="0" w:firstColumn="1" w:lastColumn="0" w:noHBand="0" w:noVBand="1"/>
      </w:tblPr>
      <w:tblGrid>
        <w:gridCol w:w="2031"/>
        <w:gridCol w:w="2641"/>
        <w:gridCol w:w="1943"/>
        <w:gridCol w:w="906"/>
        <w:gridCol w:w="1505"/>
      </w:tblGrid>
      <w:tr w:rsidR="00222C36" w:rsidRPr="00D60A13" w14:paraId="22B459A0"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vAlign w:val="center"/>
            <w:hideMark/>
          </w:tcPr>
          <w:p w14:paraId="277056EF" w14:textId="7A8D5723" w:rsidR="00222C36" w:rsidRPr="00D60A13" w:rsidRDefault="006C187C" w:rsidP="006C187C">
            <w:pPr>
              <w:spacing w:after="160" w:line="278" w:lineRule="auto"/>
              <w:rPr>
                <w:rFonts w:ascii="Calibri" w:hAnsi="Calibri" w:cs="Calibri"/>
                <w:b w:val="0"/>
                <w:bCs w:val="0"/>
                <w:sz w:val="16"/>
                <w:szCs w:val="16"/>
              </w:rPr>
            </w:pPr>
            <w:r w:rsidRPr="00D60A13">
              <w:rPr>
                <w:rFonts w:ascii="Calibri" w:hAnsi="Calibri" w:cs="Calibri"/>
                <w:sz w:val="16"/>
                <w:szCs w:val="16"/>
              </w:rPr>
              <w:t>Monitoring Component</w:t>
            </w:r>
            <w:r w:rsidR="00222C36" w:rsidRPr="00D60A13">
              <w:rPr>
                <w:rFonts w:ascii="Calibri" w:hAnsi="Calibri" w:cs="Calibri"/>
                <w:sz w:val="16"/>
                <w:szCs w:val="16"/>
              </w:rPr>
              <w:t xml:space="preserve"> (</w:t>
            </w:r>
            <w:r w:rsidR="00222C36" w:rsidRPr="00D60A13">
              <w:rPr>
                <w:rFonts w:ascii="Calibri" w:hAnsi="Calibri" w:cs="Calibri"/>
                <w:i/>
                <w:iCs/>
                <w:sz w:val="16"/>
                <w:szCs w:val="16"/>
              </w:rPr>
              <w:t>example</w:t>
            </w:r>
            <w:r w:rsidR="00222C36" w:rsidRPr="00D60A13">
              <w:rPr>
                <w:rFonts w:ascii="Calibri" w:hAnsi="Calibri" w:cs="Calibri"/>
                <w:sz w:val="16"/>
                <w:szCs w:val="16"/>
              </w:rPr>
              <w:t>)</w:t>
            </w:r>
          </w:p>
        </w:tc>
        <w:tc>
          <w:tcPr>
            <w:tcW w:w="0" w:type="auto"/>
            <w:shd w:val="clear" w:color="auto" w:fill="D9E2F3" w:themeFill="accent1" w:themeFillTint="33"/>
            <w:vAlign w:val="center"/>
            <w:hideMark/>
          </w:tcPr>
          <w:p w14:paraId="1BC3D93B" w14:textId="77777777" w:rsidR="006C187C" w:rsidRPr="00D60A13" w:rsidRDefault="006C187C" w:rsidP="006C187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Procedure</w:t>
            </w:r>
          </w:p>
        </w:tc>
        <w:tc>
          <w:tcPr>
            <w:tcW w:w="0" w:type="auto"/>
            <w:shd w:val="clear" w:color="auto" w:fill="D9E2F3" w:themeFill="accent1" w:themeFillTint="33"/>
            <w:vAlign w:val="center"/>
            <w:hideMark/>
          </w:tcPr>
          <w:p w14:paraId="43716E12" w14:textId="77777777" w:rsidR="006C187C" w:rsidRPr="00D60A13" w:rsidRDefault="006C187C" w:rsidP="006C187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Responsible Actors (HR/BiH)</w:t>
            </w:r>
          </w:p>
        </w:tc>
        <w:tc>
          <w:tcPr>
            <w:tcW w:w="0" w:type="auto"/>
            <w:shd w:val="clear" w:color="auto" w:fill="D9E2F3" w:themeFill="accent1" w:themeFillTint="33"/>
            <w:vAlign w:val="center"/>
            <w:hideMark/>
          </w:tcPr>
          <w:p w14:paraId="719886DF" w14:textId="77777777" w:rsidR="006C187C" w:rsidRPr="00D60A13" w:rsidRDefault="006C187C" w:rsidP="006C187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Frequency</w:t>
            </w:r>
          </w:p>
        </w:tc>
        <w:tc>
          <w:tcPr>
            <w:tcW w:w="0" w:type="auto"/>
            <w:shd w:val="clear" w:color="auto" w:fill="D9E2F3" w:themeFill="accent1" w:themeFillTint="33"/>
            <w:vAlign w:val="center"/>
            <w:hideMark/>
          </w:tcPr>
          <w:p w14:paraId="037B0D28" w14:textId="77777777" w:rsidR="006C187C" w:rsidRPr="00D60A13" w:rsidRDefault="006C187C" w:rsidP="006C187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Required Tools</w:t>
            </w:r>
          </w:p>
        </w:tc>
      </w:tr>
      <w:tr w:rsidR="00222C36" w:rsidRPr="00D60A13" w14:paraId="4EEB47CF"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DF1B66" w14:textId="77777777" w:rsidR="006C187C" w:rsidRPr="00D60A13" w:rsidRDefault="006C187C" w:rsidP="00322118">
            <w:pPr>
              <w:spacing w:after="160" w:line="278" w:lineRule="auto"/>
              <w:rPr>
                <w:rFonts w:ascii="Calibri" w:hAnsi="Calibri" w:cs="Calibri"/>
                <w:b w:val="0"/>
                <w:bCs w:val="0"/>
                <w:sz w:val="16"/>
                <w:szCs w:val="16"/>
              </w:rPr>
            </w:pPr>
            <w:r w:rsidRPr="00D60A13">
              <w:rPr>
                <w:rFonts w:ascii="Calibri" w:hAnsi="Calibri" w:cs="Calibri"/>
                <w:b w:val="0"/>
                <w:bCs w:val="0"/>
                <w:sz w:val="16"/>
                <w:szCs w:val="16"/>
              </w:rPr>
              <w:t>Groundwater quantity</w:t>
            </w:r>
          </w:p>
        </w:tc>
        <w:tc>
          <w:tcPr>
            <w:tcW w:w="0" w:type="auto"/>
            <w:vAlign w:val="center"/>
            <w:hideMark/>
          </w:tcPr>
          <w:p w14:paraId="392B14D0" w14:textId="77777777" w:rsidR="006C187C" w:rsidRPr="00D60A13"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Measure spring discharge at agreed stations</w:t>
            </w:r>
          </w:p>
        </w:tc>
        <w:tc>
          <w:tcPr>
            <w:tcW w:w="0" w:type="auto"/>
            <w:vAlign w:val="center"/>
            <w:hideMark/>
          </w:tcPr>
          <w:p w14:paraId="44CA33AC" w14:textId="49F30AA4" w:rsidR="006C187C" w:rsidRPr="00D60A13" w:rsidRDefault="009E5B3F"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Pr>
                <w:rFonts w:ascii="Calibri" w:hAnsi="Calibri" w:cs="Calibri"/>
                <w:sz w:val="16"/>
                <w:szCs w:val="16"/>
              </w:rPr>
              <w:t>Croatian Waters</w:t>
            </w:r>
            <w:r w:rsidR="006C187C" w:rsidRPr="00D60A13">
              <w:rPr>
                <w:rFonts w:ascii="Calibri" w:hAnsi="Calibri" w:cs="Calibri"/>
                <w:sz w:val="16"/>
                <w:szCs w:val="16"/>
              </w:rPr>
              <w:t xml:space="preserve"> / Water Utilit</w:t>
            </w:r>
            <w:r>
              <w:rPr>
                <w:rFonts w:ascii="Calibri" w:hAnsi="Calibri" w:cs="Calibri"/>
                <w:sz w:val="16"/>
                <w:szCs w:val="16"/>
              </w:rPr>
              <w:t>ies</w:t>
            </w:r>
          </w:p>
        </w:tc>
        <w:tc>
          <w:tcPr>
            <w:tcW w:w="0" w:type="auto"/>
            <w:vAlign w:val="center"/>
            <w:hideMark/>
          </w:tcPr>
          <w:p w14:paraId="1C2D2B99" w14:textId="77777777" w:rsidR="006C187C" w:rsidRPr="00D60A13"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Monthly</w:t>
            </w:r>
          </w:p>
        </w:tc>
        <w:tc>
          <w:tcPr>
            <w:tcW w:w="0" w:type="auto"/>
            <w:vAlign w:val="center"/>
            <w:hideMark/>
          </w:tcPr>
          <w:p w14:paraId="0BEE4575" w14:textId="77777777" w:rsidR="006C187C" w:rsidRPr="00D60A13"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Flow meters, database</w:t>
            </w:r>
          </w:p>
        </w:tc>
      </w:tr>
      <w:tr w:rsidR="00222C36" w:rsidRPr="00D60A13" w14:paraId="6528B219"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2EB3C8" w14:textId="77777777" w:rsidR="006C187C" w:rsidRPr="00D60A13" w:rsidRDefault="006C187C" w:rsidP="00322118">
            <w:pPr>
              <w:spacing w:after="160" w:line="278" w:lineRule="auto"/>
              <w:rPr>
                <w:rFonts w:ascii="Calibri" w:hAnsi="Calibri" w:cs="Calibri"/>
                <w:b w:val="0"/>
                <w:bCs w:val="0"/>
                <w:sz w:val="16"/>
                <w:szCs w:val="16"/>
              </w:rPr>
            </w:pPr>
            <w:r w:rsidRPr="00D60A13">
              <w:rPr>
                <w:rFonts w:ascii="Calibri" w:hAnsi="Calibri" w:cs="Calibri"/>
                <w:b w:val="0"/>
                <w:bCs w:val="0"/>
                <w:sz w:val="16"/>
                <w:szCs w:val="16"/>
              </w:rPr>
              <w:t>Groundwater quality</w:t>
            </w:r>
          </w:p>
        </w:tc>
        <w:tc>
          <w:tcPr>
            <w:tcW w:w="0" w:type="auto"/>
            <w:vAlign w:val="center"/>
            <w:hideMark/>
          </w:tcPr>
          <w:p w14:paraId="21B3C27F" w14:textId="77777777" w:rsidR="006C187C" w:rsidRPr="00D60A13"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Sample microbiological &amp; chemical parameters</w:t>
            </w:r>
          </w:p>
        </w:tc>
        <w:tc>
          <w:tcPr>
            <w:tcW w:w="0" w:type="auto"/>
            <w:vAlign w:val="center"/>
            <w:hideMark/>
          </w:tcPr>
          <w:p w14:paraId="08393684" w14:textId="77777777" w:rsidR="006C187C" w:rsidRPr="00D60A13"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Utilities / Accredited labs</w:t>
            </w:r>
          </w:p>
        </w:tc>
        <w:tc>
          <w:tcPr>
            <w:tcW w:w="0" w:type="auto"/>
            <w:vAlign w:val="center"/>
            <w:hideMark/>
          </w:tcPr>
          <w:p w14:paraId="15ED1828" w14:textId="77777777" w:rsidR="006C187C" w:rsidRPr="00D60A13"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Quarterly</w:t>
            </w:r>
          </w:p>
        </w:tc>
        <w:tc>
          <w:tcPr>
            <w:tcW w:w="0" w:type="auto"/>
            <w:vAlign w:val="center"/>
            <w:hideMark/>
          </w:tcPr>
          <w:p w14:paraId="43C484D5" w14:textId="77777777" w:rsidR="006C187C" w:rsidRPr="00D60A13"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Sampling kits, QA forms</w:t>
            </w:r>
          </w:p>
        </w:tc>
      </w:tr>
      <w:tr w:rsidR="00222C36" w:rsidRPr="00D60A13" w14:paraId="50AF500A"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45574D" w14:textId="77777777" w:rsidR="006C187C" w:rsidRPr="00D60A13" w:rsidRDefault="006C187C" w:rsidP="00322118">
            <w:pPr>
              <w:spacing w:after="160" w:line="278" w:lineRule="auto"/>
              <w:rPr>
                <w:rFonts w:ascii="Calibri" w:hAnsi="Calibri" w:cs="Calibri"/>
                <w:b w:val="0"/>
                <w:bCs w:val="0"/>
                <w:sz w:val="16"/>
                <w:szCs w:val="16"/>
              </w:rPr>
            </w:pPr>
            <w:r w:rsidRPr="00D60A13">
              <w:rPr>
                <w:rFonts w:ascii="Calibri" w:hAnsi="Calibri" w:cs="Calibri"/>
                <w:b w:val="0"/>
                <w:bCs w:val="0"/>
                <w:sz w:val="16"/>
                <w:szCs w:val="16"/>
              </w:rPr>
              <w:t>Sanitation monitoring</w:t>
            </w:r>
          </w:p>
        </w:tc>
        <w:tc>
          <w:tcPr>
            <w:tcW w:w="0" w:type="auto"/>
            <w:vAlign w:val="center"/>
            <w:hideMark/>
          </w:tcPr>
          <w:p w14:paraId="3033063B" w14:textId="77777777" w:rsidR="006C187C" w:rsidRPr="00D60A13"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Inspect septic tanks in high-risk settlements</w:t>
            </w:r>
          </w:p>
        </w:tc>
        <w:tc>
          <w:tcPr>
            <w:tcW w:w="0" w:type="auto"/>
            <w:vAlign w:val="center"/>
            <w:hideMark/>
          </w:tcPr>
          <w:p w14:paraId="3082D66F" w14:textId="77777777" w:rsidR="006C187C" w:rsidRPr="00D60A13"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Municipalities</w:t>
            </w:r>
          </w:p>
        </w:tc>
        <w:tc>
          <w:tcPr>
            <w:tcW w:w="0" w:type="auto"/>
            <w:vAlign w:val="center"/>
            <w:hideMark/>
          </w:tcPr>
          <w:p w14:paraId="2669215D" w14:textId="77777777" w:rsidR="006C187C" w:rsidRPr="00D60A13"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Annual</w:t>
            </w:r>
          </w:p>
        </w:tc>
        <w:tc>
          <w:tcPr>
            <w:tcW w:w="0" w:type="auto"/>
            <w:vAlign w:val="center"/>
            <w:hideMark/>
          </w:tcPr>
          <w:p w14:paraId="2A31B9BD" w14:textId="77777777" w:rsidR="006C187C" w:rsidRPr="00D60A13"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Inspection checklist</w:t>
            </w:r>
          </w:p>
        </w:tc>
      </w:tr>
      <w:tr w:rsidR="00222C36" w:rsidRPr="00D60A13" w14:paraId="2DC8A9D5"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9E7B4D" w14:textId="77777777" w:rsidR="006C187C" w:rsidRPr="00D60A13" w:rsidRDefault="006C187C" w:rsidP="00322118">
            <w:pPr>
              <w:spacing w:after="160" w:line="278" w:lineRule="auto"/>
              <w:rPr>
                <w:rFonts w:ascii="Calibri" w:hAnsi="Calibri" w:cs="Calibri"/>
                <w:b w:val="0"/>
                <w:bCs w:val="0"/>
                <w:sz w:val="16"/>
                <w:szCs w:val="16"/>
              </w:rPr>
            </w:pPr>
            <w:r w:rsidRPr="00D60A13">
              <w:rPr>
                <w:rFonts w:ascii="Calibri" w:hAnsi="Calibri" w:cs="Calibri"/>
                <w:b w:val="0"/>
                <w:bCs w:val="0"/>
                <w:sz w:val="16"/>
                <w:szCs w:val="16"/>
              </w:rPr>
              <w:t>Tourism pressure</w:t>
            </w:r>
          </w:p>
        </w:tc>
        <w:tc>
          <w:tcPr>
            <w:tcW w:w="0" w:type="auto"/>
            <w:vAlign w:val="center"/>
            <w:hideMark/>
          </w:tcPr>
          <w:p w14:paraId="0AED39DA" w14:textId="77777777" w:rsidR="006C187C" w:rsidRPr="00D60A13"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Record visitor numbers, wastewater loads</w:t>
            </w:r>
          </w:p>
        </w:tc>
        <w:tc>
          <w:tcPr>
            <w:tcW w:w="0" w:type="auto"/>
            <w:vAlign w:val="center"/>
            <w:hideMark/>
          </w:tcPr>
          <w:p w14:paraId="49D123DB" w14:textId="2B5ADF06" w:rsidR="006C187C" w:rsidRPr="00D60A13"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Tourism Boards</w:t>
            </w:r>
          </w:p>
        </w:tc>
        <w:tc>
          <w:tcPr>
            <w:tcW w:w="0" w:type="auto"/>
            <w:vAlign w:val="center"/>
            <w:hideMark/>
          </w:tcPr>
          <w:p w14:paraId="77596338" w14:textId="77777777" w:rsidR="006C187C" w:rsidRPr="00D60A13"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Seasonal</w:t>
            </w:r>
          </w:p>
        </w:tc>
        <w:tc>
          <w:tcPr>
            <w:tcW w:w="0" w:type="auto"/>
            <w:vAlign w:val="center"/>
            <w:hideMark/>
          </w:tcPr>
          <w:p w14:paraId="3B40534E" w14:textId="77777777" w:rsidR="006C187C" w:rsidRPr="00D60A13"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Visitor count sheets</w:t>
            </w:r>
          </w:p>
        </w:tc>
      </w:tr>
      <w:tr w:rsidR="00222C36" w:rsidRPr="00D60A13" w14:paraId="7ED05680"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2829B3" w14:textId="77777777" w:rsidR="006C187C" w:rsidRPr="00D60A13" w:rsidRDefault="006C187C" w:rsidP="00322118">
            <w:pPr>
              <w:spacing w:after="160" w:line="278" w:lineRule="auto"/>
              <w:rPr>
                <w:rFonts w:ascii="Calibri" w:hAnsi="Calibri" w:cs="Calibri"/>
                <w:b w:val="0"/>
                <w:bCs w:val="0"/>
                <w:sz w:val="16"/>
                <w:szCs w:val="16"/>
              </w:rPr>
            </w:pPr>
            <w:r w:rsidRPr="00D60A13">
              <w:rPr>
                <w:rFonts w:ascii="Calibri" w:hAnsi="Calibri" w:cs="Calibri"/>
                <w:b w:val="0"/>
                <w:bCs w:val="0"/>
                <w:sz w:val="16"/>
                <w:szCs w:val="16"/>
              </w:rPr>
              <w:t>Stakeholder engagement</w:t>
            </w:r>
          </w:p>
        </w:tc>
        <w:tc>
          <w:tcPr>
            <w:tcW w:w="0" w:type="auto"/>
            <w:vAlign w:val="center"/>
            <w:hideMark/>
          </w:tcPr>
          <w:p w14:paraId="4DD458EC" w14:textId="77777777" w:rsidR="006C187C" w:rsidRPr="00D60A13"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Record participation in meetings/forums</w:t>
            </w:r>
          </w:p>
        </w:tc>
        <w:tc>
          <w:tcPr>
            <w:tcW w:w="0" w:type="auto"/>
            <w:vAlign w:val="center"/>
            <w:hideMark/>
          </w:tcPr>
          <w:p w14:paraId="6664259B" w14:textId="77777777" w:rsidR="006C187C" w:rsidRPr="00D60A13"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Coordination Group</w:t>
            </w:r>
          </w:p>
        </w:tc>
        <w:tc>
          <w:tcPr>
            <w:tcW w:w="0" w:type="auto"/>
            <w:vAlign w:val="center"/>
            <w:hideMark/>
          </w:tcPr>
          <w:p w14:paraId="2B039D47" w14:textId="77777777" w:rsidR="006C187C" w:rsidRPr="00D60A13"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Annual</w:t>
            </w:r>
          </w:p>
        </w:tc>
        <w:tc>
          <w:tcPr>
            <w:tcW w:w="0" w:type="auto"/>
            <w:vAlign w:val="center"/>
            <w:hideMark/>
          </w:tcPr>
          <w:p w14:paraId="44B56AD5" w14:textId="77777777" w:rsidR="006C187C" w:rsidRPr="00D60A13"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Attendance logs</w:t>
            </w:r>
          </w:p>
        </w:tc>
      </w:tr>
      <w:tr w:rsidR="00222C36" w:rsidRPr="00D60A13" w14:paraId="09ED2AD6"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9366A3" w14:textId="77777777" w:rsidR="006C187C" w:rsidRPr="00D60A13" w:rsidRDefault="006C187C" w:rsidP="00322118">
            <w:pPr>
              <w:spacing w:after="160" w:line="278" w:lineRule="auto"/>
              <w:rPr>
                <w:rFonts w:ascii="Calibri" w:hAnsi="Calibri" w:cs="Calibri"/>
                <w:b w:val="0"/>
                <w:bCs w:val="0"/>
                <w:sz w:val="16"/>
                <w:szCs w:val="16"/>
              </w:rPr>
            </w:pPr>
            <w:r w:rsidRPr="00D60A13">
              <w:rPr>
                <w:rFonts w:ascii="Calibri" w:hAnsi="Calibri" w:cs="Calibri"/>
                <w:b w:val="0"/>
                <w:bCs w:val="0"/>
                <w:sz w:val="16"/>
                <w:szCs w:val="16"/>
              </w:rPr>
              <w:t>Cross-border cooperation</w:t>
            </w:r>
          </w:p>
        </w:tc>
        <w:tc>
          <w:tcPr>
            <w:tcW w:w="0" w:type="auto"/>
            <w:vAlign w:val="center"/>
            <w:hideMark/>
          </w:tcPr>
          <w:p w14:paraId="46D531B0" w14:textId="77777777" w:rsidR="006C187C" w:rsidRPr="00D60A13"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Document bilateral meetings &amp; joint actions</w:t>
            </w:r>
          </w:p>
        </w:tc>
        <w:tc>
          <w:tcPr>
            <w:tcW w:w="0" w:type="auto"/>
            <w:vAlign w:val="center"/>
            <w:hideMark/>
          </w:tcPr>
          <w:p w14:paraId="7BE008CC" w14:textId="77777777" w:rsidR="006C187C" w:rsidRPr="00D60A13"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HR–BiH Coordination Group</w:t>
            </w:r>
          </w:p>
        </w:tc>
        <w:tc>
          <w:tcPr>
            <w:tcW w:w="0" w:type="auto"/>
            <w:vAlign w:val="center"/>
            <w:hideMark/>
          </w:tcPr>
          <w:p w14:paraId="5CBE6E79" w14:textId="77777777" w:rsidR="006C187C" w:rsidRPr="00D60A13"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Annual</w:t>
            </w:r>
          </w:p>
        </w:tc>
        <w:tc>
          <w:tcPr>
            <w:tcW w:w="0" w:type="auto"/>
            <w:vAlign w:val="center"/>
            <w:hideMark/>
          </w:tcPr>
          <w:p w14:paraId="10A0F53F" w14:textId="77777777" w:rsidR="006C187C" w:rsidRPr="00D60A13"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Joint report template</w:t>
            </w:r>
          </w:p>
        </w:tc>
      </w:tr>
    </w:tbl>
    <w:p w14:paraId="7D538487" w14:textId="77777777" w:rsidR="00353092" w:rsidRPr="00D60A13" w:rsidRDefault="00353092" w:rsidP="00353092"/>
    <w:p w14:paraId="02BB9C46" w14:textId="77777777" w:rsidR="00844263" w:rsidRPr="00D60A13" w:rsidRDefault="00844263" w:rsidP="00844263">
      <w:pPr>
        <w:rPr>
          <w:rFonts w:ascii="Calibri" w:hAnsi="Calibri" w:cs="Calibri"/>
          <w:b/>
          <w:bCs/>
        </w:rPr>
      </w:pPr>
      <w:r w:rsidRPr="00D60A13">
        <w:rPr>
          <w:rFonts w:ascii="Calibri" w:hAnsi="Calibri" w:cs="Calibri"/>
          <w:b/>
          <w:bCs/>
        </w:rPr>
        <w:t>TEMPLATE 6 – STAKEHOLDER INVOLVEMENT LOG (FOR MONITORING PARTICIPATION)</w:t>
      </w:r>
    </w:p>
    <w:tbl>
      <w:tblPr>
        <w:tblStyle w:val="PlainTable3"/>
        <w:tblW w:w="9072" w:type="dxa"/>
        <w:tblLayout w:type="fixed"/>
        <w:tblLook w:val="04A0" w:firstRow="1" w:lastRow="0" w:firstColumn="1" w:lastColumn="0" w:noHBand="0" w:noVBand="1"/>
      </w:tblPr>
      <w:tblGrid>
        <w:gridCol w:w="426"/>
        <w:gridCol w:w="567"/>
        <w:gridCol w:w="708"/>
        <w:gridCol w:w="1418"/>
        <w:gridCol w:w="567"/>
        <w:gridCol w:w="992"/>
        <w:gridCol w:w="1276"/>
        <w:gridCol w:w="709"/>
        <w:gridCol w:w="992"/>
        <w:gridCol w:w="1417"/>
      </w:tblGrid>
      <w:tr w:rsidR="009E354B" w:rsidRPr="00D60A13" w14:paraId="019DB19E"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6" w:type="dxa"/>
            <w:shd w:val="clear" w:color="auto" w:fill="D9E2F3" w:themeFill="accent1" w:themeFillTint="33"/>
            <w:hideMark/>
          </w:tcPr>
          <w:p w14:paraId="7266D8B5" w14:textId="4BB5BE9C" w:rsidR="009E354B" w:rsidRPr="00D60A13" w:rsidRDefault="009E354B" w:rsidP="009E354B">
            <w:pPr>
              <w:pStyle w:val="BodyText"/>
              <w:jc w:val="center"/>
              <w:rPr>
                <w:rFonts w:cstheme="minorHAnsi"/>
                <w:b w:val="0"/>
                <w:bCs w:val="0"/>
                <w:sz w:val="14"/>
                <w:szCs w:val="14"/>
              </w:rPr>
            </w:pPr>
            <w:r w:rsidRPr="00D60A13">
              <w:rPr>
                <w:rFonts w:cstheme="minorHAnsi"/>
                <w:caps w:val="0"/>
                <w:sz w:val="14"/>
                <w:szCs w:val="14"/>
              </w:rPr>
              <w:t>ID</w:t>
            </w:r>
          </w:p>
        </w:tc>
        <w:tc>
          <w:tcPr>
            <w:tcW w:w="567" w:type="dxa"/>
            <w:shd w:val="clear" w:color="auto" w:fill="D9E2F3" w:themeFill="accent1" w:themeFillTint="33"/>
            <w:hideMark/>
          </w:tcPr>
          <w:p w14:paraId="6E948932" w14:textId="38BE14AF" w:rsidR="009E354B" w:rsidRPr="00D60A13" w:rsidRDefault="009E354B" w:rsidP="009E354B">
            <w:pPr>
              <w:pStyle w:val="BodyText"/>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rPr>
            </w:pPr>
            <w:r w:rsidRPr="00D60A13">
              <w:rPr>
                <w:rFonts w:cstheme="minorHAnsi"/>
                <w:caps w:val="0"/>
                <w:sz w:val="14"/>
                <w:szCs w:val="14"/>
              </w:rPr>
              <w:t>Date</w:t>
            </w:r>
          </w:p>
        </w:tc>
        <w:tc>
          <w:tcPr>
            <w:tcW w:w="708" w:type="dxa"/>
            <w:shd w:val="clear" w:color="auto" w:fill="D9E2F3" w:themeFill="accent1" w:themeFillTint="33"/>
            <w:hideMark/>
          </w:tcPr>
          <w:p w14:paraId="5360343B" w14:textId="141C63EE" w:rsidR="009E354B" w:rsidRPr="00D60A13" w:rsidRDefault="009E354B" w:rsidP="009E354B">
            <w:pPr>
              <w:pStyle w:val="BodyText"/>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rPr>
            </w:pPr>
            <w:r w:rsidRPr="00D60A13">
              <w:rPr>
                <w:rFonts w:cstheme="minorHAnsi"/>
                <w:caps w:val="0"/>
                <w:sz w:val="14"/>
                <w:szCs w:val="14"/>
              </w:rPr>
              <w:t>Country</w:t>
            </w:r>
          </w:p>
        </w:tc>
        <w:tc>
          <w:tcPr>
            <w:tcW w:w="1418" w:type="dxa"/>
            <w:shd w:val="clear" w:color="auto" w:fill="D9E2F3" w:themeFill="accent1" w:themeFillTint="33"/>
            <w:hideMark/>
          </w:tcPr>
          <w:p w14:paraId="2CC09905" w14:textId="49A5E22E" w:rsidR="009E354B" w:rsidRPr="00D60A13" w:rsidRDefault="009E354B" w:rsidP="009E354B">
            <w:pPr>
              <w:pStyle w:val="BodyText"/>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rPr>
            </w:pPr>
            <w:r w:rsidRPr="00D60A13">
              <w:rPr>
                <w:rFonts w:cstheme="minorHAnsi"/>
                <w:caps w:val="0"/>
                <w:sz w:val="14"/>
                <w:szCs w:val="14"/>
              </w:rPr>
              <w:t>Event type (consultation/clinic/forum/briefing)</w:t>
            </w:r>
          </w:p>
        </w:tc>
        <w:tc>
          <w:tcPr>
            <w:tcW w:w="567" w:type="dxa"/>
            <w:shd w:val="clear" w:color="auto" w:fill="D9E2F3" w:themeFill="accent1" w:themeFillTint="33"/>
            <w:hideMark/>
          </w:tcPr>
          <w:p w14:paraId="73BB29A2" w14:textId="214CD610" w:rsidR="009E354B" w:rsidRPr="00D60A13" w:rsidRDefault="009E354B" w:rsidP="009E354B">
            <w:pPr>
              <w:pStyle w:val="BodyText"/>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rPr>
            </w:pPr>
            <w:r w:rsidRPr="00D60A13">
              <w:rPr>
                <w:rFonts w:cstheme="minorHAnsi"/>
                <w:caps w:val="0"/>
                <w:sz w:val="14"/>
                <w:szCs w:val="14"/>
              </w:rPr>
              <w:t>Title / Topic</w:t>
            </w:r>
          </w:p>
        </w:tc>
        <w:tc>
          <w:tcPr>
            <w:tcW w:w="992" w:type="dxa"/>
            <w:shd w:val="clear" w:color="auto" w:fill="D9E2F3" w:themeFill="accent1" w:themeFillTint="33"/>
            <w:hideMark/>
          </w:tcPr>
          <w:p w14:paraId="6E391D5E" w14:textId="5D92688F" w:rsidR="009E354B" w:rsidRPr="00D60A13" w:rsidRDefault="009E354B" w:rsidP="009E354B">
            <w:pPr>
              <w:pStyle w:val="BodyText"/>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rPr>
            </w:pPr>
            <w:r w:rsidRPr="00D60A13">
              <w:rPr>
                <w:rFonts w:cstheme="minorHAnsi"/>
                <w:caps w:val="0"/>
                <w:sz w:val="14"/>
                <w:szCs w:val="14"/>
              </w:rPr>
              <w:t>Invited Stakeholder groups</w:t>
            </w:r>
          </w:p>
        </w:tc>
        <w:tc>
          <w:tcPr>
            <w:tcW w:w="1276" w:type="dxa"/>
            <w:shd w:val="clear" w:color="auto" w:fill="D9E2F3" w:themeFill="accent1" w:themeFillTint="33"/>
            <w:hideMark/>
          </w:tcPr>
          <w:p w14:paraId="2028802F" w14:textId="385C9695" w:rsidR="009E354B" w:rsidRPr="00D60A13" w:rsidRDefault="009E354B" w:rsidP="009E354B">
            <w:pPr>
              <w:pStyle w:val="BodyText"/>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rPr>
            </w:pPr>
            <w:r w:rsidRPr="00D60A13">
              <w:rPr>
                <w:rFonts w:cstheme="minorHAnsi"/>
                <w:caps w:val="0"/>
                <w:sz w:val="14"/>
                <w:szCs w:val="14"/>
              </w:rPr>
              <w:t>Attendance (f / m / youth*)</w:t>
            </w:r>
          </w:p>
        </w:tc>
        <w:tc>
          <w:tcPr>
            <w:tcW w:w="709" w:type="dxa"/>
            <w:shd w:val="clear" w:color="auto" w:fill="D9E2F3" w:themeFill="accent1" w:themeFillTint="33"/>
            <w:hideMark/>
          </w:tcPr>
          <w:p w14:paraId="4CCA473E" w14:textId="36700B3F" w:rsidR="009E354B" w:rsidRPr="00D60A13" w:rsidRDefault="009E354B" w:rsidP="009E354B">
            <w:pPr>
              <w:pStyle w:val="BodyText"/>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rPr>
            </w:pPr>
            <w:r w:rsidRPr="00D60A13">
              <w:rPr>
                <w:rFonts w:cstheme="minorHAnsi"/>
                <w:caps w:val="0"/>
                <w:sz w:val="14"/>
                <w:szCs w:val="14"/>
              </w:rPr>
              <w:t>Key points / issues</w:t>
            </w:r>
          </w:p>
        </w:tc>
        <w:tc>
          <w:tcPr>
            <w:tcW w:w="992" w:type="dxa"/>
            <w:shd w:val="clear" w:color="auto" w:fill="D9E2F3" w:themeFill="accent1" w:themeFillTint="33"/>
            <w:hideMark/>
          </w:tcPr>
          <w:p w14:paraId="071BE9E6" w14:textId="5C836C1A" w:rsidR="009E354B" w:rsidRPr="00D60A13" w:rsidRDefault="009E354B" w:rsidP="009E354B">
            <w:pPr>
              <w:pStyle w:val="BodyText"/>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rPr>
            </w:pPr>
            <w:r w:rsidRPr="00D60A13">
              <w:rPr>
                <w:rFonts w:cstheme="minorHAnsi"/>
                <w:caps w:val="0"/>
                <w:sz w:val="14"/>
                <w:szCs w:val="14"/>
              </w:rPr>
              <w:t>Agreed actions (deadline)</w:t>
            </w:r>
          </w:p>
        </w:tc>
        <w:tc>
          <w:tcPr>
            <w:tcW w:w="1417" w:type="dxa"/>
            <w:shd w:val="clear" w:color="auto" w:fill="D9E2F3" w:themeFill="accent1" w:themeFillTint="33"/>
            <w:hideMark/>
          </w:tcPr>
          <w:p w14:paraId="7FC9F3DF" w14:textId="2219A673" w:rsidR="009E354B" w:rsidRPr="00D60A13" w:rsidRDefault="009E354B" w:rsidP="009E354B">
            <w:pPr>
              <w:pStyle w:val="BodyText"/>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rPr>
            </w:pPr>
            <w:r w:rsidRPr="00D60A13">
              <w:rPr>
                <w:rFonts w:cstheme="minorHAnsi"/>
                <w:caps w:val="0"/>
                <w:sz w:val="14"/>
                <w:szCs w:val="14"/>
              </w:rPr>
              <w:t>Satisfaction (1–5)</w:t>
            </w:r>
          </w:p>
        </w:tc>
      </w:tr>
      <w:tr w:rsidR="009E354B" w:rsidRPr="00D60A13" w14:paraId="3A29CC03"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19B3BAC4" w14:textId="77777777" w:rsidR="009E354B" w:rsidRPr="00D60A13" w:rsidRDefault="009E354B" w:rsidP="00322118">
            <w:pPr>
              <w:pStyle w:val="BodyText"/>
              <w:jc w:val="left"/>
              <w:rPr>
                <w:rFonts w:cstheme="minorHAnsi"/>
                <w:b w:val="0"/>
                <w:bCs w:val="0"/>
                <w:sz w:val="14"/>
                <w:szCs w:val="14"/>
              </w:rPr>
            </w:pPr>
          </w:p>
        </w:tc>
        <w:tc>
          <w:tcPr>
            <w:tcW w:w="567" w:type="dxa"/>
          </w:tcPr>
          <w:p w14:paraId="1F10A5CE"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8" w:type="dxa"/>
          </w:tcPr>
          <w:p w14:paraId="5CB5A271"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8" w:type="dxa"/>
          </w:tcPr>
          <w:p w14:paraId="3F25C000"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567" w:type="dxa"/>
          </w:tcPr>
          <w:p w14:paraId="26439439"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099A087B"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276" w:type="dxa"/>
          </w:tcPr>
          <w:p w14:paraId="75440BE1"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9" w:type="dxa"/>
          </w:tcPr>
          <w:p w14:paraId="4E88B597"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6DAB4F9F"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7" w:type="dxa"/>
          </w:tcPr>
          <w:p w14:paraId="7550DC8C"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r>
      <w:tr w:rsidR="009E354B" w:rsidRPr="00D60A13" w14:paraId="70425E1F"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70847151" w14:textId="77777777" w:rsidR="009E354B" w:rsidRPr="00D60A13" w:rsidRDefault="009E354B" w:rsidP="00322118">
            <w:pPr>
              <w:pStyle w:val="BodyText"/>
              <w:jc w:val="left"/>
              <w:rPr>
                <w:rFonts w:cstheme="minorHAnsi"/>
                <w:b w:val="0"/>
                <w:bCs w:val="0"/>
                <w:sz w:val="14"/>
                <w:szCs w:val="14"/>
              </w:rPr>
            </w:pPr>
          </w:p>
        </w:tc>
        <w:tc>
          <w:tcPr>
            <w:tcW w:w="567" w:type="dxa"/>
          </w:tcPr>
          <w:p w14:paraId="23FC35A6"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8" w:type="dxa"/>
          </w:tcPr>
          <w:p w14:paraId="1DA2F9A6"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8" w:type="dxa"/>
          </w:tcPr>
          <w:p w14:paraId="10500EB4"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567" w:type="dxa"/>
          </w:tcPr>
          <w:p w14:paraId="6A50C81C"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3819C745"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276" w:type="dxa"/>
          </w:tcPr>
          <w:p w14:paraId="4FFE6786"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9" w:type="dxa"/>
          </w:tcPr>
          <w:p w14:paraId="6DD66821"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55659BC5"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7" w:type="dxa"/>
          </w:tcPr>
          <w:p w14:paraId="790FDA9B"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r>
      <w:tr w:rsidR="009E354B" w:rsidRPr="00D60A13" w14:paraId="19ABAC86"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3D21C82B" w14:textId="77777777" w:rsidR="009E354B" w:rsidRPr="00D60A13" w:rsidRDefault="009E354B" w:rsidP="00322118">
            <w:pPr>
              <w:pStyle w:val="BodyText"/>
              <w:jc w:val="left"/>
              <w:rPr>
                <w:rFonts w:cstheme="minorHAnsi"/>
                <w:b w:val="0"/>
                <w:bCs w:val="0"/>
                <w:sz w:val="14"/>
                <w:szCs w:val="14"/>
              </w:rPr>
            </w:pPr>
          </w:p>
        </w:tc>
        <w:tc>
          <w:tcPr>
            <w:tcW w:w="567" w:type="dxa"/>
          </w:tcPr>
          <w:p w14:paraId="5408EBAB"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8" w:type="dxa"/>
          </w:tcPr>
          <w:p w14:paraId="7545D4FC"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8" w:type="dxa"/>
          </w:tcPr>
          <w:p w14:paraId="1308CDE5"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567" w:type="dxa"/>
          </w:tcPr>
          <w:p w14:paraId="53CF97E4"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5E02ED87"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276" w:type="dxa"/>
          </w:tcPr>
          <w:p w14:paraId="315F3CDE"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9" w:type="dxa"/>
          </w:tcPr>
          <w:p w14:paraId="2DAEEEE9"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2B102774"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7" w:type="dxa"/>
          </w:tcPr>
          <w:p w14:paraId="4566F401"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r>
      <w:tr w:rsidR="009E354B" w:rsidRPr="00D60A13" w14:paraId="4A7E62F5"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A064234" w14:textId="77777777" w:rsidR="009E354B" w:rsidRPr="00D60A13" w:rsidRDefault="009E354B" w:rsidP="00322118">
            <w:pPr>
              <w:pStyle w:val="BodyText"/>
              <w:jc w:val="left"/>
              <w:rPr>
                <w:rFonts w:cstheme="minorHAnsi"/>
                <w:b w:val="0"/>
                <w:bCs w:val="0"/>
                <w:sz w:val="14"/>
                <w:szCs w:val="14"/>
              </w:rPr>
            </w:pPr>
          </w:p>
        </w:tc>
        <w:tc>
          <w:tcPr>
            <w:tcW w:w="567" w:type="dxa"/>
          </w:tcPr>
          <w:p w14:paraId="0D26C792"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8" w:type="dxa"/>
          </w:tcPr>
          <w:p w14:paraId="23C2D720"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8" w:type="dxa"/>
          </w:tcPr>
          <w:p w14:paraId="04C3AB1D"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567" w:type="dxa"/>
          </w:tcPr>
          <w:p w14:paraId="61882BC2"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4003A278"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276" w:type="dxa"/>
          </w:tcPr>
          <w:p w14:paraId="667CAC22"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9" w:type="dxa"/>
          </w:tcPr>
          <w:p w14:paraId="57E48CAF"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75F60AD6"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7" w:type="dxa"/>
          </w:tcPr>
          <w:p w14:paraId="60702D15"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r>
      <w:tr w:rsidR="009E354B" w:rsidRPr="00D60A13" w14:paraId="7FDB49BD"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DA73328" w14:textId="77777777" w:rsidR="009E354B" w:rsidRPr="00D60A13" w:rsidRDefault="009E354B" w:rsidP="00322118">
            <w:pPr>
              <w:pStyle w:val="BodyText"/>
              <w:jc w:val="left"/>
              <w:rPr>
                <w:rFonts w:cstheme="minorHAnsi"/>
                <w:b w:val="0"/>
                <w:bCs w:val="0"/>
                <w:sz w:val="14"/>
                <w:szCs w:val="14"/>
              </w:rPr>
            </w:pPr>
          </w:p>
        </w:tc>
        <w:tc>
          <w:tcPr>
            <w:tcW w:w="567" w:type="dxa"/>
          </w:tcPr>
          <w:p w14:paraId="426283C9"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8" w:type="dxa"/>
          </w:tcPr>
          <w:p w14:paraId="58669268"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8" w:type="dxa"/>
          </w:tcPr>
          <w:p w14:paraId="720B7832"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567" w:type="dxa"/>
          </w:tcPr>
          <w:p w14:paraId="3D0EFCE4"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030891DF"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276" w:type="dxa"/>
          </w:tcPr>
          <w:p w14:paraId="7AD0BFB8"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9" w:type="dxa"/>
          </w:tcPr>
          <w:p w14:paraId="35580064"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0C13C131"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7" w:type="dxa"/>
          </w:tcPr>
          <w:p w14:paraId="7A96A23F"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r>
      <w:tr w:rsidR="009E354B" w:rsidRPr="00D60A13" w14:paraId="645D5240"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1AA8C56F" w14:textId="77777777" w:rsidR="009E354B" w:rsidRPr="00D60A13" w:rsidRDefault="009E354B" w:rsidP="00322118">
            <w:pPr>
              <w:pStyle w:val="BodyText"/>
              <w:jc w:val="left"/>
              <w:rPr>
                <w:rFonts w:cstheme="minorHAnsi"/>
                <w:b w:val="0"/>
                <w:bCs w:val="0"/>
                <w:sz w:val="14"/>
                <w:szCs w:val="14"/>
              </w:rPr>
            </w:pPr>
          </w:p>
        </w:tc>
        <w:tc>
          <w:tcPr>
            <w:tcW w:w="567" w:type="dxa"/>
          </w:tcPr>
          <w:p w14:paraId="57AAEAD8"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8" w:type="dxa"/>
          </w:tcPr>
          <w:p w14:paraId="53005129"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8" w:type="dxa"/>
          </w:tcPr>
          <w:p w14:paraId="4E3672ED"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567" w:type="dxa"/>
          </w:tcPr>
          <w:p w14:paraId="19E3D08E"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53C4A4FC"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276" w:type="dxa"/>
          </w:tcPr>
          <w:p w14:paraId="39FA49BD"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9" w:type="dxa"/>
          </w:tcPr>
          <w:p w14:paraId="51EBAA9B"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58FCD912"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7" w:type="dxa"/>
          </w:tcPr>
          <w:p w14:paraId="2F86E072"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r>
      <w:tr w:rsidR="009E354B" w:rsidRPr="00D60A13" w14:paraId="298B949A"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B293D1C" w14:textId="77777777" w:rsidR="009E354B" w:rsidRPr="00D60A13" w:rsidRDefault="009E354B" w:rsidP="00322118">
            <w:pPr>
              <w:pStyle w:val="BodyText"/>
              <w:jc w:val="left"/>
              <w:rPr>
                <w:rFonts w:cstheme="minorHAnsi"/>
                <w:b w:val="0"/>
                <w:bCs w:val="0"/>
                <w:sz w:val="14"/>
                <w:szCs w:val="14"/>
              </w:rPr>
            </w:pPr>
          </w:p>
        </w:tc>
        <w:tc>
          <w:tcPr>
            <w:tcW w:w="567" w:type="dxa"/>
          </w:tcPr>
          <w:p w14:paraId="281A4F8A"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8" w:type="dxa"/>
          </w:tcPr>
          <w:p w14:paraId="146A180F"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8" w:type="dxa"/>
          </w:tcPr>
          <w:p w14:paraId="4529B065"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567" w:type="dxa"/>
          </w:tcPr>
          <w:p w14:paraId="6B60EE54"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00A3EBFA"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276" w:type="dxa"/>
          </w:tcPr>
          <w:p w14:paraId="2BA0992F"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9" w:type="dxa"/>
          </w:tcPr>
          <w:p w14:paraId="4B215EDD"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5A4131DE"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7" w:type="dxa"/>
          </w:tcPr>
          <w:p w14:paraId="618E421F"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r>
      <w:tr w:rsidR="009E354B" w:rsidRPr="00D60A13" w14:paraId="4969D88C"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AD09CA7" w14:textId="77777777" w:rsidR="009E354B" w:rsidRPr="00D60A13" w:rsidRDefault="009E354B" w:rsidP="00322118">
            <w:pPr>
              <w:pStyle w:val="BodyText"/>
              <w:jc w:val="left"/>
              <w:rPr>
                <w:rFonts w:cstheme="minorHAnsi"/>
                <w:b w:val="0"/>
                <w:bCs w:val="0"/>
                <w:sz w:val="14"/>
                <w:szCs w:val="14"/>
              </w:rPr>
            </w:pPr>
          </w:p>
        </w:tc>
        <w:tc>
          <w:tcPr>
            <w:tcW w:w="567" w:type="dxa"/>
          </w:tcPr>
          <w:p w14:paraId="6016A229"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8" w:type="dxa"/>
          </w:tcPr>
          <w:p w14:paraId="5F57E386"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8" w:type="dxa"/>
          </w:tcPr>
          <w:p w14:paraId="49C06358"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567" w:type="dxa"/>
          </w:tcPr>
          <w:p w14:paraId="74B014BC"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22187479"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276" w:type="dxa"/>
          </w:tcPr>
          <w:p w14:paraId="1F390952"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9" w:type="dxa"/>
          </w:tcPr>
          <w:p w14:paraId="6A274D94"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00D808DA"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7" w:type="dxa"/>
          </w:tcPr>
          <w:p w14:paraId="54C5F58C"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r>
      <w:tr w:rsidR="009E354B" w:rsidRPr="00D60A13" w14:paraId="6993EA3B"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7CA540C8" w14:textId="77777777" w:rsidR="009E354B" w:rsidRPr="00D60A13" w:rsidRDefault="009E354B" w:rsidP="00322118">
            <w:pPr>
              <w:pStyle w:val="BodyText"/>
              <w:jc w:val="left"/>
              <w:rPr>
                <w:rFonts w:cstheme="minorHAnsi"/>
                <w:b w:val="0"/>
                <w:bCs w:val="0"/>
                <w:sz w:val="14"/>
                <w:szCs w:val="14"/>
              </w:rPr>
            </w:pPr>
          </w:p>
        </w:tc>
        <w:tc>
          <w:tcPr>
            <w:tcW w:w="567" w:type="dxa"/>
          </w:tcPr>
          <w:p w14:paraId="6AB33542"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8" w:type="dxa"/>
          </w:tcPr>
          <w:p w14:paraId="780F27E0"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8" w:type="dxa"/>
          </w:tcPr>
          <w:p w14:paraId="7879A2B9"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567" w:type="dxa"/>
          </w:tcPr>
          <w:p w14:paraId="6D649834"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472FEC9D"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276" w:type="dxa"/>
          </w:tcPr>
          <w:p w14:paraId="14952844"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9" w:type="dxa"/>
          </w:tcPr>
          <w:p w14:paraId="39367B64"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7A287820"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7" w:type="dxa"/>
          </w:tcPr>
          <w:p w14:paraId="682EE1A8"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r>
      <w:tr w:rsidR="009E354B" w:rsidRPr="00D60A13" w14:paraId="4A875154"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A8DD177" w14:textId="77777777" w:rsidR="009E354B" w:rsidRPr="00D60A13" w:rsidRDefault="009E354B" w:rsidP="00322118">
            <w:pPr>
              <w:pStyle w:val="BodyText"/>
              <w:jc w:val="left"/>
              <w:rPr>
                <w:rFonts w:cstheme="minorHAnsi"/>
                <w:b w:val="0"/>
                <w:bCs w:val="0"/>
                <w:sz w:val="14"/>
                <w:szCs w:val="14"/>
              </w:rPr>
            </w:pPr>
          </w:p>
        </w:tc>
        <w:tc>
          <w:tcPr>
            <w:tcW w:w="567" w:type="dxa"/>
          </w:tcPr>
          <w:p w14:paraId="5DA9C1FB"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8" w:type="dxa"/>
          </w:tcPr>
          <w:p w14:paraId="5483AEC5"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8" w:type="dxa"/>
          </w:tcPr>
          <w:p w14:paraId="5AD4ADAE"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567" w:type="dxa"/>
          </w:tcPr>
          <w:p w14:paraId="2C17DE8E"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2AC1A81B"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276" w:type="dxa"/>
          </w:tcPr>
          <w:p w14:paraId="625AE853"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9" w:type="dxa"/>
          </w:tcPr>
          <w:p w14:paraId="548FB428"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27FF53F9"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7" w:type="dxa"/>
          </w:tcPr>
          <w:p w14:paraId="43526206"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r>
      <w:tr w:rsidR="009E354B" w:rsidRPr="00D60A13" w14:paraId="124C4080"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4447D27D" w14:textId="77777777" w:rsidR="009E354B" w:rsidRPr="00D60A13" w:rsidRDefault="009E354B" w:rsidP="00322118">
            <w:pPr>
              <w:pStyle w:val="BodyText"/>
              <w:jc w:val="left"/>
              <w:rPr>
                <w:rFonts w:cstheme="minorHAnsi"/>
                <w:b w:val="0"/>
                <w:bCs w:val="0"/>
                <w:sz w:val="14"/>
                <w:szCs w:val="14"/>
              </w:rPr>
            </w:pPr>
          </w:p>
        </w:tc>
        <w:tc>
          <w:tcPr>
            <w:tcW w:w="567" w:type="dxa"/>
          </w:tcPr>
          <w:p w14:paraId="1262F07C"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8" w:type="dxa"/>
          </w:tcPr>
          <w:p w14:paraId="78B08E2C"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8" w:type="dxa"/>
          </w:tcPr>
          <w:p w14:paraId="284B38FA"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567" w:type="dxa"/>
          </w:tcPr>
          <w:p w14:paraId="68D5A68F"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6763B0AF"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276" w:type="dxa"/>
          </w:tcPr>
          <w:p w14:paraId="767E29A0"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9" w:type="dxa"/>
          </w:tcPr>
          <w:p w14:paraId="610FC939"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35A77157"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7" w:type="dxa"/>
          </w:tcPr>
          <w:p w14:paraId="5741CC6C"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r>
      <w:tr w:rsidR="009E354B" w:rsidRPr="00D60A13" w14:paraId="0D4B6EF4"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12532C3E" w14:textId="77777777" w:rsidR="009E354B" w:rsidRPr="00D60A13" w:rsidRDefault="009E354B" w:rsidP="00322118">
            <w:pPr>
              <w:pStyle w:val="BodyText"/>
              <w:jc w:val="left"/>
              <w:rPr>
                <w:rFonts w:cstheme="minorHAnsi"/>
                <w:b w:val="0"/>
                <w:bCs w:val="0"/>
                <w:sz w:val="14"/>
                <w:szCs w:val="14"/>
              </w:rPr>
            </w:pPr>
          </w:p>
        </w:tc>
        <w:tc>
          <w:tcPr>
            <w:tcW w:w="567" w:type="dxa"/>
          </w:tcPr>
          <w:p w14:paraId="1BD513C7"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8" w:type="dxa"/>
          </w:tcPr>
          <w:p w14:paraId="5864772F"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8" w:type="dxa"/>
          </w:tcPr>
          <w:p w14:paraId="213D2144"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567" w:type="dxa"/>
          </w:tcPr>
          <w:p w14:paraId="4131E35A"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31EBCFA2"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276" w:type="dxa"/>
          </w:tcPr>
          <w:p w14:paraId="3E894ED2"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9" w:type="dxa"/>
          </w:tcPr>
          <w:p w14:paraId="34A1A761"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389F0CF4"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7" w:type="dxa"/>
          </w:tcPr>
          <w:p w14:paraId="26E72A38" w14:textId="77777777" w:rsidR="009E354B" w:rsidRPr="00D60A13" w:rsidRDefault="009E354B"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r>
      <w:tr w:rsidR="009E354B" w:rsidRPr="00D60A13" w14:paraId="4F5E82D1"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21EC3A7E" w14:textId="77777777" w:rsidR="009E354B" w:rsidRPr="00D60A13" w:rsidRDefault="009E354B" w:rsidP="00322118">
            <w:pPr>
              <w:pStyle w:val="BodyText"/>
              <w:jc w:val="left"/>
              <w:rPr>
                <w:rFonts w:cstheme="minorHAnsi"/>
                <w:b w:val="0"/>
                <w:bCs w:val="0"/>
                <w:sz w:val="14"/>
                <w:szCs w:val="14"/>
              </w:rPr>
            </w:pPr>
          </w:p>
        </w:tc>
        <w:tc>
          <w:tcPr>
            <w:tcW w:w="567" w:type="dxa"/>
          </w:tcPr>
          <w:p w14:paraId="7E8CC1EC"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8" w:type="dxa"/>
          </w:tcPr>
          <w:p w14:paraId="78F865E1"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8" w:type="dxa"/>
          </w:tcPr>
          <w:p w14:paraId="6C695F59"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567" w:type="dxa"/>
          </w:tcPr>
          <w:p w14:paraId="217BC7DA"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24AECD0A"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276" w:type="dxa"/>
          </w:tcPr>
          <w:p w14:paraId="60FCC01D"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9" w:type="dxa"/>
          </w:tcPr>
          <w:p w14:paraId="5B62FD50"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7F9CCBA9"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7" w:type="dxa"/>
          </w:tcPr>
          <w:p w14:paraId="131CB528" w14:textId="77777777" w:rsidR="009E354B" w:rsidRPr="00D60A13" w:rsidRDefault="009E354B"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r>
      <w:tr w:rsidR="00F07956" w:rsidRPr="00D60A13" w14:paraId="3578C600"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0EA9DBC6" w14:textId="77777777" w:rsidR="00F07956" w:rsidRPr="00D60A13" w:rsidRDefault="00F07956" w:rsidP="00322118">
            <w:pPr>
              <w:pStyle w:val="BodyText"/>
              <w:jc w:val="left"/>
              <w:rPr>
                <w:rFonts w:cstheme="minorHAnsi"/>
                <w:b w:val="0"/>
                <w:bCs w:val="0"/>
                <w:sz w:val="14"/>
                <w:szCs w:val="14"/>
              </w:rPr>
            </w:pPr>
          </w:p>
        </w:tc>
        <w:tc>
          <w:tcPr>
            <w:tcW w:w="567" w:type="dxa"/>
          </w:tcPr>
          <w:p w14:paraId="2560EDE2"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8" w:type="dxa"/>
          </w:tcPr>
          <w:p w14:paraId="1292BE5D"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8" w:type="dxa"/>
          </w:tcPr>
          <w:p w14:paraId="229D9F4C"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567" w:type="dxa"/>
          </w:tcPr>
          <w:p w14:paraId="13F4F237"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36FCE606"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276" w:type="dxa"/>
          </w:tcPr>
          <w:p w14:paraId="1F1136F1"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9" w:type="dxa"/>
          </w:tcPr>
          <w:p w14:paraId="72758F51"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2308197A"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7" w:type="dxa"/>
          </w:tcPr>
          <w:p w14:paraId="08C62B53"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r>
      <w:tr w:rsidR="00F07956" w:rsidRPr="00D60A13" w14:paraId="21D80E71"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7550C656" w14:textId="77777777" w:rsidR="00F07956" w:rsidRPr="00D60A13" w:rsidRDefault="00F07956" w:rsidP="00322118">
            <w:pPr>
              <w:pStyle w:val="BodyText"/>
              <w:jc w:val="left"/>
              <w:rPr>
                <w:rFonts w:cstheme="minorHAnsi"/>
                <w:b w:val="0"/>
                <w:bCs w:val="0"/>
                <w:sz w:val="14"/>
                <w:szCs w:val="14"/>
              </w:rPr>
            </w:pPr>
          </w:p>
        </w:tc>
        <w:tc>
          <w:tcPr>
            <w:tcW w:w="567" w:type="dxa"/>
          </w:tcPr>
          <w:p w14:paraId="36D5D75D"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8" w:type="dxa"/>
          </w:tcPr>
          <w:p w14:paraId="44B3EA05"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8" w:type="dxa"/>
          </w:tcPr>
          <w:p w14:paraId="4525967C"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567" w:type="dxa"/>
          </w:tcPr>
          <w:p w14:paraId="4E0AF6A0"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15A44154"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276" w:type="dxa"/>
          </w:tcPr>
          <w:p w14:paraId="596AE7E4"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9" w:type="dxa"/>
          </w:tcPr>
          <w:p w14:paraId="754EEE64"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701C66FD"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7" w:type="dxa"/>
          </w:tcPr>
          <w:p w14:paraId="0CA7F113"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r>
      <w:tr w:rsidR="00F07956" w:rsidRPr="00D60A13" w14:paraId="5974B24F"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78AEC2CA" w14:textId="77777777" w:rsidR="00F07956" w:rsidRPr="00D60A13" w:rsidRDefault="00F07956" w:rsidP="00322118">
            <w:pPr>
              <w:pStyle w:val="BodyText"/>
              <w:jc w:val="left"/>
              <w:rPr>
                <w:rFonts w:cstheme="minorHAnsi"/>
                <w:b w:val="0"/>
                <w:bCs w:val="0"/>
                <w:sz w:val="14"/>
                <w:szCs w:val="14"/>
              </w:rPr>
            </w:pPr>
          </w:p>
        </w:tc>
        <w:tc>
          <w:tcPr>
            <w:tcW w:w="567" w:type="dxa"/>
          </w:tcPr>
          <w:p w14:paraId="6373B2FF"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8" w:type="dxa"/>
          </w:tcPr>
          <w:p w14:paraId="68A6C4F7"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8" w:type="dxa"/>
          </w:tcPr>
          <w:p w14:paraId="60DF19E3"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567" w:type="dxa"/>
          </w:tcPr>
          <w:p w14:paraId="69F0F15A"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5B680C5E"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276" w:type="dxa"/>
          </w:tcPr>
          <w:p w14:paraId="41AF69F6"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9" w:type="dxa"/>
          </w:tcPr>
          <w:p w14:paraId="0180C6DB"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445973C9"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7" w:type="dxa"/>
          </w:tcPr>
          <w:p w14:paraId="36BBB0A6"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r>
      <w:tr w:rsidR="00F07956" w:rsidRPr="00D60A13" w14:paraId="3BAA85D1"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5091814F" w14:textId="77777777" w:rsidR="00F07956" w:rsidRPr="00D60A13" w:rsidRDefault="00F07956" w:rsidP="00322118">
            <w:pPr>
              <w:pStyle w:val="BodyText"/>
              <w:jc w:val="left"/>
              <w:rPr>
                <w:rFonts w:cstheme="minorHAnsi"/>
                <w:b w:val="0"/>
                <w:bCs w:val="0"/>
                <w:sz w:val="14"/>
                <w:szCs w:val="14"/>
              </w:rPr>
            </w:pPr>
          </w:p>
        </w:tc>
        <w:tc>
          <w:tcPr>
            <w:tcW w:w="567" w:type="dxa"/>
          </w:tcPr>
          <w:p w14:paraId="791A99AC"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8" w:type="dxa"/>
          </w:tcPr>
          <w:p w14:paraId="0C8663DB"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8" w:type="dxa"/>
          </w:tcPr>
          <w:p w14:paraId="1AB19284"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567" w:type="dxa"/>
          </w:tcPr>
          <w:p w14:paraId="294E9025"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45FCAC24"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276" w:type="dxa"/>
          </w:tcPr>
          <w:p w14:paraId="0964AC9C"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9" w:type="dxa"/>
          </w:tcPr>
          <w:p w14:paraId="763E93BE"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59B6CD45"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7" w:type="dxa"/>
          </w:tcPr>
          <w:p w14:paraId="54EDA39C"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r>
      <w:tr w:rsidR="00F07956" w:rsidRPr="00D60A13" w14:paraId="09C1DACA"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17DC7D38" w14:textId="77777777" w:rsidR="00F07956" w:rsidRPr="00D60A13" w:rsidRDefault="00F07956" w:rsidP="00322118">
            <w:pPr>
              <w:pStyle w:val="BodyText"/>
              <w:jc w:val="left"/>
              <w:rPr>
                <w:rFonts w:cstheme="minorHAnsi"/>
                <w:b w:val="0"/>
                <w:bCs w:val="0"/>
                <w:sz w:val="14"/>
                <w:szCs w:val="14"/>
              </w:rPr>
            </w:pPr>
          </w:p>
        </w:tc>
        <w:tc>
          <w:tcPr>
            <w:tcW w:w="567" w:type="dxa"/>
          </w:tcPr>
          <w:p w14:paraId="00BC7C1A"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8" w:type="dxa"/>
          </w:tcPr>
          <w:p w14:paraId="59F1B21B"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8" w:type="dxa"/>
          </w:tcPr>
          <w:p w14:paraId="284AACA6"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567" w:type="dxa"/>
          </w:tcPr>
          <w:p w14:paraId="53CE1E64"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2570C41D"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276" w:type="dxa"/>
          </w:tcPr>
          <w:p w14:paraId="72204195"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709" w:type="dxa"/>
          </w:tcPr>
          <w:p w14:paraId="5A80E20B"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992" w:type="dxa"/>
          </w:tcPr>
          <w:p w14:paraId="1D6CB603"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c>
          <w:tcPr>
            <w:tcW w:w="1417" w:type="dxa"/>
          </w:tcPr>
          <w:p w14:paraId="6E8F47C9" w14:textId="77777777" w:rsidR="00F07956" w:rsidRPr="00D60A13" w:rsidRDefault="00F07956" w:rsidP="00322118">
            <w:pPr>
              <w:pStyle w:val="BodyText"/>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rPr>
            </w:pPr>
          </w:p>
        </w:tc>
      </w:tr>
      <w:tr w:rsidR="00F07956" w:rsidRPr="00D60A13" w14:paraId="2CCAC23D"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CF33918" w14:textId="77777777" w:rsidR="00F07956" w:rsidRPr="00D60A13" w:rsidRDefault="00F07956" w:rsidP="00322118">
            <w:pPr>
              <w:pStyle w:val="BodyText"/>
              <w:jc w:val="left"/>
              <w:rPr>
                <w:rFonts w:cstheme="minorHAnsi"/>
                <w:b w:val="0"/>
                <w:bCs w:val="0"/>
                <w:sz w:val="14"/>
                <w:szCs w:val="14"/>
              </w:rPr>
            </w:pPr>
          </w:p>
        </w:tc>
        <w:tc>
          <w:tcPr>
            <w:tcW w:w="567" w:type="dxa"/>
          </w:tcPr>
          <w:p w14:paraId="49E23306"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8" w:type="dxa"/>
          </w:tcPr>
          <w:p w14:paraId="05CC36D7"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8" w:type="dxa"/>
          </w:tcPr>
          <w:p w14:paraId="0660786D"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567" w:type="dxa"/>
          </w:tcPr>
          <w:p w14:paraId="3DF8A86B"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0761DAE7"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276" w:type="dxa"/>
          </w:tcPr>
          <w:p w14:paraId="50179513"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709" w:type="dxa"/>
          </w:tcPr>
          <w:p w14:paraId="33BEECD8"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992" w:type="dxa"/>
          </w:tcPr>
          <w:p w14:paraId="3E90E65F"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c>
          <w:tcPr>
            <w:tcW w:w="1417" w:type="dxa"/>
          </w:tcPr>
          <w:p w14:paraId="57E2A46D" w14:textId="77777777" w:rsidR="00F07956" w:rsidRPr="00D60A13" w:rsidRDefault="00F07956" w:rsidP="00322118">
            <w:pPr>
              <w:pStyle w:val="BodyText"/>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rPr>
            </w:pPr>
          </w:p>
        </w:tc>
      </w:tr>
    </w:tbl>
    <w:p w14:paraId="6C75EABF" w14:textId="29C41B0A" w:rsidR="00F07956" w:rsidRPr="00D60A13" w:rsidRDefault="009E354B" w:rsidP="00353092">
      <w:pPr>
        <w:rPr>
          <w:rFonts w:ascii="Calibri" w:hAnsi="Calibri" w:cs="Calibri"/>
          <w:i/>
          <w:iCs/>
          <w:sz w:val="20"/>
          <w:szCs w:val="20"/>
        </w:rPr>
      </w:pPr>
      <w:r w:rsidRPr="00D60A13">
        <w:rPr>
          <w:i/>
          <w:iCs/>
          <w:sz w:val="20"/>
          <w:szCs w:val="20"/>
        </w:rPr>
        <w:t xml:space="preserve">Note: </w:t>
      </w:r>
      <w:r w:rsidRPr="00D60A13">
        <w:rPr>
          <w:rFonts w:ascii="Calibri" w:hAnsi="Calibri" w:cs="Calibri"/>
          <w:i/>
          <w:iCs/>
          <w:sz w:val="20"/>
          <w:szCs w:val="20"/>
        </w:rPr>
        <w:t>Record youth if feasible. Keep personal data minimal; publish aggregates only.</w:t>
      </w:r>
    </w:p>
    <w:p w14:paraId="634E167D" w14:textId="77777777" w:rsidR="00F07956" w:rsidRPr="00D60A13" w:rsidRDefault="00F07956">
      <w:pPr>
        <w:rPr>
          <w:rFonts w:ascii="Calibri" w:hAnsi="Calibri" w:cs="Calibri"/>
          <w:i/>
          <w:iCs/>
          <w:sz w:val="20"/>
          <w:szCs w:val="20"/>
        </w:rPr>
      </w:pPr>
      <w:r w:rsidRPr="00D60A13">
        <w:rPr>
          <w:rFonts w:ascii="Calibri" w:hAnsi="Calibri" w:cs="Calibri"/>
          <w:i/>
          <w:iCs/>
          <w:sz w:val="20"/>
          <w:szCs w:val="20"/>
        </w:rPr>
        <w:br w:type="page"/>
      </w:r>
    </w:p>
    <w:p w14:paraId="6745138A" w14:textId="77777777" w:rsidR="00F07956" w:rsidRPr="00D60A13" w:rsidRDefault="00F07956" w:rsidP="00F07956">
      <w:pPr>
        <w:pStyle w:val="ListParagraph"/>
        <w:numPr>
          <w:ilvl w:val="0"/>
          <w:numId w:val="88"/>
        </w:numPr>
        <w:spacing w:line="278" w:lineRule="auto"/>
        <w:rPr>
          <w:rFonts w:ascii="Calibri" w:hAnsi="Calibri" w:cs="Calibri"/>
          <w:b/>
          <w:bCs/>
          <w:color w:val="0070C0"/>
        </w:rPr>
      </w:pPr>
      <w:r w:rsidRPr="00D60A13">
        <w:rPr>
          <w:rFonts w:ascii="Calibri" w:hAnsi="Calibri" w:cs="Calibri"/>
          <w:b/>
          <w:bCs/>
          <w:color w:val="0070C0"/>
        </w:rPr>
        <w:lastRenderedPageBreak/>
        <w:t>CAPACITY BUILDING COMPONENTS</w:t>
      </w:r>
    </w:p>
    <w:p w14:paraId="600B7BC8" w14:textId="77777777" w:rsidR="00F07956" w:rsidRPr="00D60A13" w:rsidRDefault="00F07956" w:rsidP="00F07956">
      <w:pPr>
        <w:rPr>
          <w:rFonts w:ascii="Calibri" w:hAnsi="Calibri" w:cs="Calibri"/>
          <w:b/>
          <w:bCs/>
        </w:rPr>
      </w:pPr>
      <w:r w:rsidRPr="00D60A13">
        <w:rPr>
          <w:rFonts w:ascii="Calibri" w:hAnsi="Calibri" w:cs="Calibri"/>
          <w:b/>
          <w:bCs/>
        </w:rPr>
        <w:t>TEMPLATE 7 – QUALITATIVE CAPACITY-BUILDING ASSESSMENT FORM (TRUST &amp; COOPERATION)</w:t>
      </w:r>
    </w:p>
    <w:tbl>
      <w:tblPr>
        <w:tblStyle w:val="PlainTable5"/>
        <w:tblW w:w="0" w:type="auto"/>
        <w:tblLook w:val="04A0" w:firstRow="1" w:lastRow="0" w:firstColumn="1" w:lastColumn="0" w:noHBand="0" w:noVBand="1"/>
      </w:tblPr>
      <w:tblGrid>
        <w:gridCol w:w="1219"/>
        <w:gridCol w:w="4171"/>
        <w:gridCol w:w="2386"/>
        <w:gridCol w:w="1250"/>
      </w:tblGrid>
      <w:tr w:rsidR="00F07956" w:rsidRPr="00D60A13" w14:paraId="2FFD4A11"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D9E2F3" w:themeFill="accent1" w:themeFillTint="33"/>
            <w:vAlign w:val="center"/>
            <w:hideMark/>
          </w:tcPr>
          <w:p w14:paraId="3398A204" w14:textId="77777777" w:rsidR="00F07956" w:rsidRPr="00D60A13" w:rsidRDefault="00F07956" w:rsidP="00322118">
            <w:pPr>
              <w:spacing w:after="160" w:line="278" w:lineRule="auto"/>
              <w:rPr>
                <w:rFonts w:ascii="Calibri" w:hAnsi="Calibri" w:cs="Calibri"/>
                <w:b/>
                <w:bCs/>
                <w:sz w:val="16"/>
                <w:szCs w:val="16"/>
              </w:rPr>
            </w:pPr>
            <w:r w:rsidRPr="00D60A13">
              <w:rPr>
                <w:rFonts w:ascii="Calibri" w:hAnsi="Calibri" w:cs="Calibri"/>
                <w:sz w:val="16"/>
                <w:szCs w:val="16"/>
              </w:rPr>
              <w:t>Governance Dimension</w:t>
            </w:r>
          </w:p>
        </w:tc>
        <w:tc>
          <w:tcPr>
            <w:tcW w:w="4445" w:type="dxa"/>
            <w:shd w:val="clear" w:color="auto" w:fill="D9E2F3" w:themeFill="accent1" w:themeFillTint="33"/>
            <w:vAlign w:val="center"/>
            <w:hideMark/>
          </w:tcPr>
          <w:p w14:paraId="018C3EAF" w14:textId="77777777" w:rsidR="00F07956" w:rsidRPr="00D60A13" w:rsidRDefault="00F07956"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sz w:val="16"/>
                <w:szCs w:val="16"/>
              </w:rPr>
            </w:pPr>
            <w:r w:rsidRPr="00D60A13">
              <w:rPr>
                <w:rFonts w:ascii="Calibri" w:hAnsi="Calibri" w:cs="Calibri"/>
                <w:sz w:val="16"/>
                <w:szCs w:val="16"/>
              </w:rPr>
              <w:t>Assessment Question</w:t>
            </w:r>
          </w:p>
        </w:tc>
        <w:tc>
          <w:tcPr>
            <w:tcW w:w="2540" w:type="dxa"/>
            <w:shd w:val="clear" w:color="auto" w:fill="D9E2F3" w:themeFill="accent1" w:themeFillTint="33"/>
            <w:vAlign w:val="center"/>
            <w:hideMark/>
          </w:tcPr>
          <w:p w14:paraId="7C4D8122" w14:textId="77777777" w:rsidR="00F07956" w:rsidRPr="00D60A13" w:rsidRDefault="00F07956"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sz w:val="16"/>
                <w:szCs w:val="16"/>
              </w:rPr>
            </w:pPr>
            <w:r w:rsidRPr="00D60A13">
              <w:rPr>
                <w:rFonts w:ascii="Calibri" w:hAnsi="Calibri" w:cs="Calibri"/>
                <w:sz w:val="16"/>
                <w:szCs w:val="16"/>
              </w:rPr>
              <w:t>Rating (1–5)</w:t>
            </w:r>
          </w:p>
        </w:tc>
        <w:tc>
          <w:tcPr>
            <w:tcW w:w="0" w:type="auto"/>
            <w:shd w:val="clear" w:color="auto" w:fill="D9E2F3" w:themeFill="accent1" w:themeFillTint="33"/>
            <w:vAlign w:val="center"/>
            <w:hideMark/>
          </w:tcPr>
          <w:p w14:paraId="445FF315" w14:textId="77777777" w:rsidR="00F07956" w:rsidRPr="00D60A13" w:rsidRDefault="00F07956"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sz w:val="16"/>
                <w:szCs w:val="16"/>
              </w:rPr>
            </w:pPr>
            <w:r w:rsidRPr="00D60A13">
              <w:rPr>
                <w:rFonts w:ascii="Calibri" w:hAnsi="Calibri" w:cs="Calibri"/>
                <w:sz w:val="16"/>
                <w:szCs w:val="16"/>
              </w:rPr>
              <w:t>Evidence / Notes</w:t>
            </w:r>
          </w:p>
        </w:tc>
      </w:tr>
      <w:tr w:rsidR="00F07956" w:rsidRPr="00D60A13" w14:paraId="3B52DDAF"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0F350F" w14:textId="77777777" w:rsidR="00F07956" w:rsidRPr="00D60A13" w:rsidRDefault="00F07956" w:rsidP="00322118">
            <w:pPr>
              <w:spacing w:after="160" w:line="278" w:lineRule="auto"/>
              <w:rPr>
                <w:rFonts w:ascii="Calibri" w:hAnsi="Calibri" w:cs="Calibri"/>
                <w:b/>
                <w:bCs/>
                <w:sz w:val="16"/>
                <w:szCs w:val="16"/>
              </w:rPr>
            </w:pPr>
            <w:r w:rsidRPr="00D60A13">
              <w:rPr>
                <w:rFonts w:ascii="Calibri" w:hAnsi="Calibri" w:cs="Calibri"/>
                <w:sz w:val="16"/>
                <w:szCs w:val="16"/>
              </w:rPr>
              <w:t>Trust between institutions</w:t>
            </w:r>
          </w:p>
        </w:tc>
        <w:tc>
          <w:tcPr>
            <w:tcW w:w="4445" w:type="dxa"/>
            <w:vAlign w:val="center"/>
            <w:hideMark/>
          </w:tcPr>
          <w:p w14:paraId="197353D9" w14:textId="77777777" w:rsidR="00F07956" w:rsidRPr="00D60A13"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Do HR &amp; BiH authorities view each other as reliable partners?</w:t>
            </w:r>
          </w:p>
        </w:tc>
        <w:tc>
          <w:tcPr>
            <w:tcW w:w="2540" w:type="dxa"/>
            <w:vAlign w:val="center"/>
            <w:hideMark/>
          </w:tcPr>
          <w:p w14:paraId="786465AC" w14:textId="77777777" w:rsidR="00F07956" w:rsidRPr="00D60A13"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__</w:t>
            </w:r>
          </w:p>
        </w:tc>
        <w:tc>
          <w:tcPr>
            <w:tcW w:w="0" w:type="auto"/>
            <w:vAlign w:val="center"/>
            <w:hideMark/>
          </w:tcPr>
          <w:p w14:paraId="3E9D8061" w14:textId="77777777" w:rsidR="00F07956" w:rsidRPr="00D60A13"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Examples of cooperation / conflict</w:t>
            </w:r>
          </w:p>
        </w:tc>
      </w:tr>
      <w:tr w:rsidR="00F07956" w:rsidRPr="00D60A13" w14:paraId="24F67726"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0F513F" w14:textId="77777777" w:rsidR="00F07956" w:rsidRPr="00D60A13" w:rsidRDefault="00F07956" w:rsidP="00322118">
            <w:pPr>
              <w:spacing w:after="160" w:line="278" w:lineRule="auto"/>
              <w:rPr>
                <w:rFonts w:ascii="Calibri" w:hAnsi="Calibri" w:cs="Calibri"/>
                <w:b/>
                <w:bCs/>
                <w:sz w:val="16"/>
                <w:szCs w:val="16"/>
              </w:rPr>
            </w:pPr>
            <w:r w:rsidRPr="00D60A13">
              <w:rPr>
                <w:rFonts w:ascii="Calibri" w:hAnsi="Calibri" w:cs="Calibri"/>
                <w:sz w:val="16"/>
                <w:szCs w:val="16"/>
              </w:rPr>
              <w:t>Transparency</w:t>
            </w:r>
          </w:p>
        </w:tc>
        <w:tc>
          <w:tcPr>
            <w:tcW w:w="4445" w:type="dxa"/>
            <w:vAlign w:val="center"/>
            <w:hideMark/>
          </w:tcPr>
          <w:p w14:paraId="67ACD372" w14:textId="77777777" w:rsidR="00F07956" w:rsidRPr="00D60A13"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Are decisions and monitoring results publicly accessible?</w:t>
            </w:r>
          </w:p>
        </w:tc>
        <w:tc>
          <w:tcPr>
            <w:tcW w:w="2540" w:type="dxa"/>
            <w:vAlign w:val="center"/>
            <w:hideMark/>
          </w:tcPr>
          <w:p w14:paraId="6C38BC77" w14:textId="77777777" w:rsidR="00F07956" w:rsidRPr="00D60A13"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__</w:t>
            </w:r>
          </w:p>
        </w:tc>
        <w:tc>
          <w:tcPr>
            <w:tcW w:w="0" w:type="auto"/>
            <w:vAlign w:val="center"/>
            <w:hideMark/>
          </w:tcPr>
          <w:p w14:paraId="57A30B54" w14:textId="77777777" w:rsidR="00F07956" w:rsidRPr="00D60A13"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Communication status</w:t>
            </w:r>
          </w:p>
        </w:tc>
      </w:tr>
      <w:tr w:rsidR="00F07956" w:rsidRPr="00D60A13" w14:paraId="43AD0E98"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45BA48" w14:textId="77777777" w:rsidR="00F07956" w:rsidRPr="00D60A13" w:rsidRDefault="00F07956" w:rsidP="00322118">
            <w:pPr>
              <w:spacing w:after="160" w:line="278" w:lineRule="auto"/>
              <w:rPr>
                <w:rFonts w:ascii="Calibri" w:hAnsi="Calibri" w:cs="Calibri"/>
                <w:b/>
                <w:bCs/>
                <w:sz w:val="16"/>
                <w:szCs w:val="16"/>
              </w:rPr>
            </w:pPr>
            <w:r w:rsidRPr="00D60A13">
              <w:rPr>
                <w:rFonts w:ascii="Calibri" w:hAnsi="Calibri" w:cs="Calibri"/>
                <w:sz w:val="16"/>
                <w:szCs w:val="16"/>
              </w:rPr>
              <w:t>Participation quality</w:t>
            </w:r>
          </w:p>
        </w:tc>
        <w:tc>
          <w:tcPr>
            <w:tcW w:w="4445" w:type="dxa"/>
            <w:vAlign w:val="center"/>
            <w:hideMark/>
          </w:tcPr>
          <w:p w14:paraId="74082EF3" w14:textId="77777777" w:rsidR="00F07956" w:rsidRPr="00D60A13"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Are stakeholders meaningfully engaged?</w:t>
            </w:r>
          </w:p>
        </w:tc>
        <w:tc>
          <w:tcPr>
            <w:tcW w:w="2540" w:type="dxa"/>
            <w:vAlign w:val="center"/>
            <w:hideMark/>
          </w:tcPr>
          <w:p w14:paraId="78FE1576" w14:textId="77777777" w:rsidR="00F07956" w:rsidRPr="00D60A13"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__</w:t>
            </w:r>
          </w:p>
        </w:tc>
        <w:tc>
          <w:tcPr>
            <w:tcW w:w="0" w:type="auto"/>
            <w:vAlign w:val="center"/>
            <w:hideMark/>
          </w:tcPr>
          <w:p w14:paraId="468A535E" w14:textId="77777777" w:rsidR="00F07956" w:rsidRPr="00D60A13"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Feedback from forums</w:t>
            </w:r>
          </w:p>
        </w:tc>
      </w:tr>
      <w:tr w:rsidR="00F07956" w:rsidRPr="00D60A13" w14:paraId="51B4C3B5"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15C811" w14:textId="77777777" w:rsidR="00F07956" w:rsidRPr="00D60A13" w:rsidRDefault="00F07956" w:rsidP="00322118">
            <w:pPr>
              <w:spacing w:after="160" w:line="278" w:lineRule="auto"/>
              <w:rPr>
                <w:rFonts w:ascii="Calibri" w:hAnsi="Calibri" w:cs="Calibri"/>
                <w:b/>
                <w:bCs/>
                <w:sz w:val="16"/>
                <w:szCs w:val="16"/>
              </w:rPr>
            </w:pPr>
            <w:r w:rsidRPr="00D60A13">
              <w:rPr>
                <w:rFonts w:ascii="Calibri" w:hAnsi="Calibri" w:cs="Calibri"/>
                <w:sz w:val="16"/>
                <w:szCs w:val="16"/>
              </w:rPr>
              <w:t>Perceived fairness</w:t>
            </w:r>
          </w:p>
        </w:tc>
        <w:tc>
          <w:tcPr>
            <w:tcW w:w="4445" w:type="dxa"/>
            <w:vAlign w:val="center"/>
            <w:hideMark/>
          </w:tcPr>
          <w:p w14:paraId="1BA90EC4" w14:textId="77777777" w:rsidR="00F07956" w:rsidRPr="00D60A13"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Do communities feel included and respected?</w:t>
            </w:r>
          </w:p>
        </w:tc>
        <w:tc>
          <w:tcPr>
            <w:tcW w:w="2540" w:type="dxa"/>
            <w:vAlign w:val="center"/>
            <w:hideMark/>
          </w:tcPr>
          <w:p w14:paraId="3FA83FD5" w14:textId="77777777" w:rsidR="00F07956" w:rsidRPr="00D60A13"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__</w:t>
            </w:r>
          </w:p>
        </w:tc>
        <w:tc>
          <w:tcPr>
            <w:tcW w:w="0" w:type="auto"/>
            <w:vAlign w:val="center"/>
            <w:hideMark/>
          </w:tcPr>
          <w:p w14:paraId="34A5A4EC" w14:textId="77777777" w:rsidR="00F07956" w:rsidRPr="00D60A13"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Observed concerns</w:t>
            </w:r>
          </w:p>
        </w:tc>
      </w:tr>
      <w:tr w:rsidR="00F07956" w:rsidRPr="00D60A13" w14:paraId="4637CECA"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C4C5A8" w14:textId="77777777" w:rsidR="00F07956" w:rsidRPr="00D60A13" w:rsidRDefault="00F07956" w:rsidP="00322118">
            <w:pPr>
              <w:spacing w:after="160" w:line="278" w:lineRule="auto"/>
              <w:rPr>
                <w:rFonts w:ascii="Calibri" w:hAnsi="Calibri" w:cs="Calibri"/>
                <w:b/>
                <w:bCs/>
                <w:sz w:val="16"/>
                <w:szCs w:val="16"/>
              </w:rPr>
            </w:pPr>
            <w:r w:rsidRPr="00D60A13">
              <w:rPr>
                <w:rFonts w:ascii="Calibri" w:hAnsi="Calibri" w:cs="Calibri"/>
                <w:sz w:val="16"/>
                <w:szCs w:val="16"/>
              </w:rPr>
              <w:t>Responsiveness</w:t>
            </w:r>
          </w:p>
        </w:tc>
        <w:tc>
          <w:tcPr>
            <w:tcW w:w="4445" w:type="dxa"/>
            <w:vAlign w:val="center"/>
            <w:hideMark/>
          </w:tcPr>
          <w:p w14:paraId="7DDF7BC5" w14:textId="77777777" w:rsidR="00F07956" w:rsidRPr="00D60A13"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Are issues addressed promptly by responsible institutions?</w:t>
            </w:r>
          </w:p>
        </w:tc>
        <w:tc>
          <w:tcPr>
            <w:tcW w:w="2540" w:type="dxa"/>
            <w:vAlign w:val="center"/>
            <w:hideMark/>
          </w:tcPr>
          <w:p w14:paraId="019C282F" w14:textId="77777777" w:rsidR="00F07956" w:rsidRPr="00D60A13"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__</w:t>
            </w:r>
          </w:p>
        </w:tc>
        <w:tc>
          <w:tcPr>
            <w:tcW w:w="0" w:type="auto"/>
            <w:vAlign w:val="center"/>
            <w:hideMark/>
          </w:tcPr>
          <w:p w14:paraId="5EBE510A" w14:textId="77777777" w:rsidR="00F07956" w:rsidRPr="00D60A13"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D60A13">
              <w:rPr>
                <w:rFonts w:ascii="Calibri" w:hAnsi="Calibri" w:cs="Calibri"/>
                <w:sz w:val="16"/>
                <w:szCs w:val="16"/>
              </w:rPr>
              <w:t>Response time logs</w:t>
            </w:r>
          </w:p>
        </w:tc>
      </w:tr>
    </w:tbl>
    <w:p w14:paraId="7DDD3195" w14:textId="77777777" w:rsidR="00844263" w:rsidRPr="00F07956" w:rsidRDefault="00844263" w:rsidP="00353092">
      <w:pPr>
        <w:rPr>
          <w:sz w:val="20"/>
          <w:szCs w:val="20"/>
        </w:rPr>
      </w:pPr>
    </w:p>
    <w:sectPr w:rsidR="00844263" w:rsidRPr="00F07956" w:rsidSect="00B47247">
      <w:footerReference w:type="default" r:id="rId29"/>
      <w:pgSz w:w="11906" w:h="16838"/>
      <w:pgMar w:top="1701" w:right="1440" w:bottom="1440" w:left="1440" w:header="85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EA9F7" w14:textId="77777777" w:rsidR="007C03B2" w:rsidRPr="00D60A13" w:rsidRDefault="007C03B2" w:rsidP="005833C2">
      <w:pPr>
        <w:spacing w:after="0" w:line="240" w:lineRule="auto"/>
      </w:pPr>
      <w:r w:rsidRPr="00D60A13">
        <w:separator/>
      </w:r>
    </w:p>
  </w:endnote>
  <w:endnote w:type="continuationSeparator" w:id="0">
    <w:p w14:paraId="7EF9AC98" w14:textId="77777777" w:rsidR="007C03B2" w:rsidRPr="00D60A13" w:rsidRDefault="007C03B2" w:rsidP="005833C2">
      <w:pPr>
        <w:spacing w:after="0" w:line="240" w:lineRule="auto"/>
      </w:pPr>
      <w:r w:rsidRPr="00D60A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97508" w14:textId="314EF721" w:rsidR="00E01435" w:rsidRPr="00D60A13" w:rsidRDefault="00E01435">
    <w:pPr>
      <w:pStyle w:val="Footer"/>
      <w:jc w:val="right"/>
    </w:pPr>
  </w:p>
  <w:p w14:paraId="4BBE15F0" w14:textId="77777777" w:rsidR="00AB60DA" w:rsidRPr="00D60A13" w:rsidRDefault="00AB60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8FC8" w14:textId="247615EA" w:rsidR="0017209D" w:rsidRPr="00D60A13" w:rsidRDefault="0017209D">
    <w:pPr>
      <w:pStyle w:val="Footer"/>
      <w:jc w:val="right"/>
    </w:pPr>
  </w:p>
  <w:p w14:paraId="031442E4" w14:textId="77777777" w:rsidR="001D2F82" w:rsidRPr="00D60A13" w:rsidRDefault="001D2F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0642926"/>
      <w:docPartObj>
        <w:docPartGallery w:val="Page Numbers (Bottom of Page)"/>
        <w:docPartUnique/>
      </w:docPartObj>
    </w:sdtPr>
    <w:sdtContent>
      <w:p w14:paraId="14AEFFBC" w14:textId="0A6551E7" w:rsidR="00F616D9" w:rsidRDefault="00F616D9">
        <w:pPr>
          <w:pStyle w:val="Footer"/>
          <w:jc w:val="right"/>
        </w:pPr>
        <w:r>
          <w:fldChar w:fldCharType="begin"/>
        </w:r>
        <w:r>
          <w:instrText>PAGE   \* MERGEFORMAT</w:instrText>
        </w:r>
        <w:r>
          <w:fldChar w:fldCharType="separate"/>
        </w:r>
        <w:r>
          <w:rPr>
            <w:lang w:val="hr-HR"/>
          </w:rPr>
          <w:t>2</w:t>
        </w:r>
        <w:r>
          <w:fldChar w:fldCharType="end"/>
        </w:r>
      </w:p>
    </w:sdtContent>
  </w:sdt>
  <w:p w14:paraId="19F7D3E2" w14:textId="77777777" w:rsidR="00F616D9" w:rsidRPr="00D60A13" w:rsidRDefault="00F616D9" w:rsidP="00F616D9">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4197119"/>
      <w:docPartObj>
        <w:docPartGallery w:val="Page Numbers (Bottom of Page)"/>
        <w:docPartUnique/>
      </w:docPartObj>
    </w:sdtPr>
    <w:sdtContent>
      <w:p w14:paraId="5F111F58" w14:textId="19158C63" w:rsidR="00B47247" w:rsidRDefault="00B47247">
        <w:pPr>
          <w:pStyle w:val="Footer"/>
          <w:jc w:val="right"/>
        </w:pPr>
        <w:r>
          <w:fldChar w:fldCharType="begin"/>
        </w:r>
        <w:r>
          <w:instrText>PAGE   \* MERGEFORMAT</w:instrText>
        </w:r>
        <w:r>
          <w:fldChar w:fldCharType="separate"/>
        </w:r>
        <w:r>
          <w:rPr>
            <w:lang w:val="hr-HR"/>
          </w:rPr>
          <w:t>2</w:t>
        </w:r>
        <w:r>
          <w:fldChar w:fldCharType="end"/>
        </w:r>
      </w:p>
    </w:sdtContent>
  </w:sdt>
  <w:p w14:paraId="1E576174" w14:textId="77777777" w:rsidR="00E01435" w:rsidRPr="00D60A13" w:rsidRDefault="00E014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7EE0D" w14:textId="77777777" w:rsidR="007C03B2" w:rsidRPr="00D60A13" w:rsidRDefault="007C03B2" w:rsidP="005833C2">
      <w:pPr>
        <w:spacing w:after="0" w:line="240" w:lineRule="auto"/>
      </w:pPr>
      <w:r w:rsidRPr="00D60A13">
        <w:separator/>
      </w:r>
    </w:p>
  </w:footnote>
  <w:footnote w:type="continuationSeparator" w:id="0">
    <w:p w14:paraId="36FAA04D" w14:textId="77777777" w:rsidR="007C03B2" w:rsidRPr="00D60A13" w:rsidRDefault="007C03B2" w:rsidP="005833C2">
      <w:pPr>
        <w:spacing w:after="0" w:line="240" w:lineRule="auto"/>
      </w:pPr>
      <w:r w:rsidRPr="00D60A1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55349" w14:textId="77777777" w:rsidR="00AB60DA" w:rsidRPr="00D60A13" w:rsidRDefault="00AB60DA">
    <w:pPr>
      <w:pStyle w:val="Header"/>
    </w:pPr>
    <w:r w:rsidRPr="00D60A13">
      <w:rPr>
        <w:noProof/>
      </w:rPr>
      <mc:AlternateContent>
        <mc:Choice Requires="wps">
          <w:drawing>
            <wp:anchor distT="0" distB="0" distL="114300" distR="114300" simplePos="0" relativeHeight="251659264" behindDoc="0" locked="0" layoutInCell="1" allowOverlap="1" wp14:anchorId="71012B0D" wp14:editId="54DD961F">
              <wp:simplePos x="0" y="0"/>
              <wp:positionH relativeFrom="column">
                <wp:posOffset>1076325</wp:posOffset>
              </wp:positionH>
              <wp:positionV relativeFrom="paragraph">
                <wp:posOffset>345440</wp:posOffset>
              </wp:positionV>
              <wp:extent cx="525780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257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905AA8"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4.75pt,27.2pt" to="498.7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" strokecolor="#4472c4 [3204]" strokeweight=".5pt">
              <v:stroke joinstyle="miter"/>
            </v:line>
          </w:pict>
        </mc:Fallback>
      </mc:AlternateContent>
    </w:r>
    <w:r w:rsidRPr="00D60A13">
      <w:rPr>
        <w:noProof/>
      </w:rPr>
      <w:drawing>
        <wp:anchor distT="0" distB="0" distL="114300" distR="114300" simplePos="0" relativeHeight="251658240" behindDoc="0" locked="0" layoutInCell="1" allowOverlap="1" wp14:anchorId="53D4FB9A" wp14:editId="2CC522B5">
          <wp:simplePos x="0" y="0"/>
          <wp:positionH relativeFrom="column">
            <wp:posOffset>-57150</wp:posOffset>
          </wp:positionH>
          <wp:positionV relativeFrom="paragraph">
            <wp:posOffset>-254635</wp:posOffset>
          </wp:positionV>
          <wp:extent cx="1099997" cy="619125"/>
          <wp:effectExtent l="0" t="0" r="5080" b="0"/>
          <wp:wrapNone/>
          <wp:docPr id="1076947325" name="Picture 1076947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997" cy="6191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33FC9988"/>
    <w:lvl w:ilvl="0">
      <w:start w:val="1"/>
      <w:numFmt w:val="decimal"/>
      <w:pStyle w:val="ListNumber"/>
      <w:lvlText w:val="%1."/>
      <w:lvlJc w:val="left"/>
      <w:pPr>
        <w:tabs>
          <w:tab w:val="num" w:pos="360"/>
        </w:tabs>
        <w:ind w:left="360" w:hanging="360"/>
      </w:pPr>
    </w:lvl>
  </w:abstractNum>
  <w:abstractNum w:abstractNumId="1" w15:restartNumberingAfterBreak="0">
    <w:nsid w:val="00476516"/>
    <w:multiLevelType w:val="hybridMultilevel"/>
    <w:tmpl w:val="859AD9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0492E11"/>
    <w:multiLevelType w:val="hybridMultilevel"/>
    <w:tmpl w:val="0B9CB7B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0671A45"/>
    <w:multiLevelType w:val="multilevel"/>
    <w:tmpl w:val="2FAA1A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00" w:hanging="420"/>
      </w:pPr>
      <w:rPr>
        <w:rFonts w:hint="default"/>
      </w:rPr>
    </w:lvl>
    <w:lvl w:ilvl="2">
      <w:numFmt w:val="bullet"/>
      <w:lvlText w:val="•"/>
      <w:lvlJc w:val="left"/>
      <w:pPr>
        <w:ind w:left="2508" w:hanging="708"/>
      </w:pPr>
      <w:rPr>
        <w:rFonts w:ascii="Calibri" w:eastAsiaTheme="minorHAnsi"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9753FC"/>
    <w:multiLevelType w:val="hybridMultilevel"/>
    <w:tmpl w:val="4B60089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1083CD4"/>
    <w:multiLevelType w:val="multilevel"/>
    <w:tmpl w:val="94E0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4A12FA"/>
    <w:multiLevelType w:val="hybridMultilevel"/>
    <w:tmpl w:val="898E7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14D20B3"/>
    <w:multiLevelType w:val="multilevel"/>
    <w:tmpl w:val="53C8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B40590"/>
    <w:multiLevelType w:val="multilevel"/>
    <w:tmpl w:val="3B1E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BF3153"/>
    <w:multiLevelType w:val="hybridMultilevel"/>
    <w:tmpl w:val="D2F0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1F4196C"/>
    <w:multiLevelType w:val="hybridMultilevel"/>
    <w:tmpl w:val="0A861A2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0241273E"/>
    <w:multiLevelType w:val="hybridMultilevel"/>
    <w:tmpl w:val="5B60D8A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02A11C86"/>
    <w:multiLevelType w:val="multilevel"/>
    <w:tmpl w:val="EBEA0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B0523D"/>
    <w:multiLevelType w:val="hybridMultilevel"/>
    <w:tmpl w:val="4B14C7A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02B5167F"/>
    <w:multiLevelType w:val="hybridMultilevel"/>
    <w:tmpl w:val="5AB42CB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03267781"/>
    <w:multiLevelType w:val="hybridMultilevel"/>
    <w:tmpl w:val="D4FE96C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04640DCD"/>
    <w:multiLevelType w:val="hybridMultilevel"/>
    <w:tmpl w:val="5C662CC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04782DEC"/>
    <w:multiLevelType w:val="hybridMultilevel"/>
    <w:tmpl w:val="0A2C8A4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0513547D"/>
    <w:multiLevelType w:val="multilevel"/>
    <w:tmpl w:val="06AA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5292730"/>
    <w:multiLevelType w:val="multilevel"/>
    <w:tmpl w:val="4C3046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5646C92"/>
    <w:multiLevelType w:val="multilevel"/>
    <w:tmpl w:val="B9988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76C7D4C"/>
    <w:multiLevelType w:val="multilevel"/>
    <w:tmpl w:val="272ACD7A"/>
    <w:lvl w:ilvl="0">
      <w:start w:val="1"/>
      <w:numFmt w:val="decimal"/>
      <w:lvlText w:val="%1."/>
      <w:lvlJc w:val="left"/>
      <w:pPr>
        <w:tabs>
          <w:tab w:val="num" w:pos="360"/>
        </w:tabs>
        <w:ind w:left="360" w:hanging="360"/>
      </w:pPr>
      <w:rPr>
        <w:rFonts w:hint="default"/>
        <w:sz w:val="20"/>
      </w:rPr>
    </w:lvl>
    <w:lvl w:ilvl="1">
      <w:start w:val="6"/>
      <w:numFmt w:val="decimal"/>
      <w:lvlText w:val="%2"/>
      <w:lvlJc w:val="left"/>
      <w:pPr>
        <w:ind w:left="1440" w:hanging="360"/>
      </w:pPr>
      <w:rPr>
        <w:rFonts w:hint="default"/>
        <w:b/>
      </w:rPr>
    </w:lvl>
    <w:lvl w:ilvl="2">
      <w:numFmt w:val="bullet"/>
      <w:lvlText w:val="•"/>
      <w:lvlJc w:val="left"/>
      <w:pPr>
        <w:ind w:left="2505" w:hanging="705"/>
      </w:pPr>
      <w:rPr>
        <w:rFonts w:ascii="Calibri" w:eastAsiaTheme="minorHAnsi" w:hAnsi="Calibri" w:cstheme="minorBidi" w:hint="default"/>
      </w:rPr>
    </w:lvl>
    <w:lvl w:ilvl="3">
      <w:start w:val="5"/>
      <w:numFmt w:val="bullet"/>
      <w:lvlText w:val=""/>
      <w:lvlJc w:val="left"/>
      <w:pPr>
        <w:ind w:left="2880" w:hanging="360"/>
      </w:pPr>
      <w:rPr>
        <w:rFonts w:ascii="Symbol" w:eastAsiaTheme="minorHAnsi" w:hAnsi="Symbol" w:cstheme="minorBidi"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8E67E78"/>
    <w:multiLevelType w:val="multilevel"/>
    <w:tmpl w:val="5088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E1A3BDF"/>
    <w:multiLevelType w:val="multilevel"/>
    <w:tmpl w:val="83CCA394"/>
    <w:lvl w:ilvl="0">
      <w:start w:val="1"/>
      <w:numFmt w:val="bullet"/>
      <w:lvlText w:val=""/>
      <w:lvlJc w:val="left"/>
      <w:pPr>
        <w:tabs>
          <w:tab w:val="num" w:pos="360"/>
        </w:tabs>
        <w:ind w:left="360" w:hanging="360"/>
      </w:pPr>
      <w:rPr>
        <w:rFonts w:ascii="Symbol" w:hAnsi="Symbol" w:hint="default"/>
        <w:sz w:val="20"/>
      </w:rPr>
    </w:lvl>
    <w:lvl w:ilvl="1">
      <w:start w:val="6"/>
      <w:numFmt w:val="decimal"/>
      <w:lvlText w:val="%2"/>
      <w:lvlJc w:val="left"/>
      <w:pPr>
        <w:ind w:left="1440" w:hanging="360"/>
      </w:pPr>
      <w:rPr>
        <w:rFonts w:hint="default"/>
        <w:b/>
      </w:rPr>
    </w:lvl>
    <w:lvl w:ilvl="2">
      <w:numFmt w:val="bullet"/>
      <w:lvlText w:val="•"/>
      <w:lvlJc w:val="left"/>
      <w:pPr>
        <w:ind w:left="2505" w:hanging="705"/>
      </w:pPr>
      <w:rPr>
        <w:rFonts w:ascii="Calibri" w:eastAsiaTheme="minorHAnsi" w:hAnsi="Calibri" w:cstheme="minorBidi" w:hint="default"/>
      </w:rPr>
    </w:lvl>
    <w:lvl w:ilvl="3">
      <w:start w:val="5"/>
      <w:numFmt w:val="bullet"/>
      <w:lvlText w:val=""/>
      <w:lvlJc w:val="left"/>
      <w:pPr>
        <w:ind w:left="2880" w:hanging="360"/>
      </w:pPr>
      <w:rPr>
        <w:rFonts w:ascii="Symbol" w:eastAsiaTheme="minorHAnsi" w:hAnsi="Symbol" w:cstheme="minorBidi"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EEB0996"/>
    <w:multiLevelType w:val="hybridMultilevel"/>
    <w:tmpl w:val="9A82DD90"/>
    <w:lvl w:ilvl="0" w:tplc="6B089EB8">
      <w:start w:val="3"/>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0FFA14E6"/>
    <w:multiLevelType w:val="multilevel"/>
    <w:tmpl w:val="C8005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0DE444B"/>
    <w:multiLevelType w:val="multilevel"/>
    <w:tmpl w:val="7FCA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18839E4"/>
    <w:multiLevelType w:val="multilevel"/>
    <w:tmpl w:val="3DCC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4301C3D"/>
    <w:multiLevelType w:val="multilevel"/>
    <w:tmpl w:val="10FC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49A1DFD"/>
    <w:multiLevelType w:val="hybridMultilevel"/>
    <w:tmpl w:val="3E7C79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14BF0702"/>
    <w:multiLevelType w:val="hybridMultilevel"/>
    <w:tmpl w:val="F08A63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15A17BF5"/>
    <w:multiLevelType w:val="hybridMultilevel"/>
    <w:tmpl w:val="597C60B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15A62811"/>
    <w:multiLevelType w:val="hybridMultilevel"/>
    <w:tmpl w:val="E5AC7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5D42B1E"/>
    <w:multiLevelType w:val="multilevel"/>
    <w:tmpl w:val="D0804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5FA398E"/>
    <w:multiLevelType w:val="multilevel"/>
    <w:tmpl w:val="9668B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639459A"/>
    <w:multiLevelType w:val="hybridMultilevel"/>
    <w:tmpl w:val="AB881E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16491C59"/>
    <w:multiLevelType w:val="hybridMultilevel"/>
    <w:tmpl w:val="95DCAB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166836C2"/>
    <w:multiLevelType w:val="hybridMultilevel"/>
    <w:tmpl w:val="EC2ACF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1A600A38"/>
    <w:multiLevelType w:val="hybridMultilevel"/>
    <w:tmpl w:val="788AB42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1A9928A7"/>
    <w:multiLevelType w:val="hybridMultilevel"/>
    <w:tmpl w:val="0826E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B5307ED"/>
    <w:multiLevelType w:val="hybridMultilevel"/>
    <w:tmpl w:val="34DC5094"/>
    <w:lvl w:ilvl="0" w:tplc="C5D06FA2">
      <w:start w:val="4"/>
      <w:numFmt w:val="lowerRoman"/>
      <w:lvlText w:val="%1."/>
      <w:lvlJc w:val="right"/>
      <w:pPr>
        <w:ind w:left="1004" w:hanging="360"/>
      </w:pPr>
      <w:rPr>
        <w:rFonts w:hint="default"/>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41" w15:restartNumberingAfterBreak="0">
    <w:nsid w:val="1B8D37A9"/>
    <w:multiLevelType w:val="hybridMultilevel"/>
    <w:tmpl w:val="BBF8A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B997C3D"/>
    <w:multiLevelType w:val="hybridMultilevel"/>
    <w:tmpl w:val="FCEC9348"/>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3" w15:restartNumberingAfterBreak="0">
    <w:nsid w:val="1DC963F8"/>
    <w:multiLevelType w:val="multilevel"/>
    <w:tmpl w:val="D828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E683346"/>
    <w:multiLevelType w:val="hybridMultilevel"/>
    <w:tmpl w:val="CCAC6EBC"/>
    <w:lvl w:ilvl="0" w:tplc="FFFFFFFF">
      <w:start w:val="1"/>
      <w:numFmt w:val="decimal"/>
      <w:lvlText w:val="%1."/>
      <w:lvlJc w:val="left"/>
      <w:pPr>
        <w:ind w:left="785"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1EEE499D"/>
    <w:multiLevelType w:val="hybridMultilevel"/>
    <w:tmpl w:val="9CD086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1FBB7A2E"/>
    <w:multiLevelType w:val="hybridMultilevel"/>
    <w:tmpl w:val="2846638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20D260E3"/>
    <w:multiLevelType w:val="hybridMultilevel"/>
    <w:tmpl w:val="BC664684"/>
    <w:lvl w:ilvl="0" w:tplc="A39AC9C4">
      <w:start w:val="5"/>
      <w:numFmt w:val="lowerRoman"/>
      <w:lvlText w:val="%1."/>
      <w:lvlJc w:val="right"/>
      <w:pPr>
        <w:ind w:left="1004" w:hanging="360"/>
      </w:pPr>
      <w:rPr>
        <w:rFonts w:hint="default"/>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48" w15:restartNumberingAfterBreak="0">
    <w:nsid w:val="214E55CA"/>
    <w:multiLevelType w:val="hybridMultilevel"/>
    <w:tmpl w:val="DEF88E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21F90685"/>
    <w:multiLevelType w:val="hybridMultilevel"/>
    <w:tmpl w:val="745206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221F25DF"/>
    <w:multiLevelType w:val="multilevel"/>
    <w:tmpl w:val="0B307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3AF23CC"/>
    <w:multiLevelType w:val="multilevel"/>
    <w:tmpl w:val="E0B6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3E07E43"/>
    <w:multiLevelType w:val="hybridMultilevel"/>
    <w:tmpl w:val="6B04137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24034D20"/>
    <w:multiLevelType w:val="hybridMultilevel"/>
    <w:tmpl w:val="26F4AC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24B74094"/>
    <w:multiLevelType w:val="hybridMultilevel"/>
    <w:tmpl w:val="7A58EB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15:restartNumberingAfterBreak="0">
    <w:nsid w:val="24F9232D"/>
    <w:multiLevelType w:val="multilevel"/>
    <w:tmpl w:val="386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65C42BE"/>
    <w:multiLevelType w:val="hybridMultilevel"/>
    <w:tmpl w:val="5CDE2AC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7" w15:restartNumberingAfterBreak="0">
    <w:nsid w:val="26DE4B6F"/>
    <w:multiLevelType w:val="multilevel"/>
    <w:tmpl w:val="5C78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750D8C7"/>
    <w:multiLevelType w:val="hybridMultilevel"/>
    <w:tmpl w:val="2DBAB6B6"/>
    <w:lvl w:ilvl="0" w:tplc="FC40D65E">
      <w:start w:val="1"/>
      <w:numFmt w:val="bullet"/>
      <w:lvlText w:val=""/>
      <w:lvlJc w:val="left"/>
      <w:pPr>
        <w:ind w:left="720" w:hanging="360"/>
      </w:pPr>
      <w:rPr>
        <w:rFonts w:ascii="Symbol" w:hAnsi="Symbol" w:hint="default"/>
      </w:rPr>
    </w:lvl>
    <w:lvl w:ilvl="1" w:tplc="915E2512">
      <w:start w:val="1"/>
      <w:numFmt w:val="bullet"/>
      <w:lvlText w:val="o"/>
      <w:lvlJc w:val="left"/>
      <w:pPr>
        <w:ind w:left="1440" w:hanging="360"/>
      </w:pPr>
      <w:rPr>
        <w:rFonts w:ascii="Courier New" w:hAnsi="Courier New" w:hint="default"/>
      </w:rPr>
    </w:lvl>
    <w:lvl w:ilvl="2" w:tplc="A94C356C">
      <w:start w:val="1"/>
      <w:numFmt w:val="bullet"/>
      <w:lvlText w:val=""/>
      <w:lvlJc w:val="left"/>
      <w:pPr>
        <w:ind w:left="2160" w:hanging="360"/>
      </w:pPr>
      <w:rPr>
        <w:rFonts w:ascii="Wingdings" w:hAnsi="Wingdings" w:hint="default"/>
      </w:rPr>
    </w:lvl>
    <w:lvl w:ilvl="3" w:tplc="E08CD6A0">
      <w:start w:val="1"/>
      <w:numFmt w:val="bullet"/>
      <w:lvlText w:val=""/>
      <w:lvlJc w:val="left"/>
      <w:pPr>
        <w:ind w:left="2880" w:hanging="360"/>
      </w:pPr>
      <w:rPr>
        <w:rFonts w:ascii="Symbol" w:hAnsi="Symbol" w:hint="default"/>
      </w:rPr>
    </w:lvl>
    <w:lvl w:ilvl="4" w:tplc="3D36A784">
      <w:start w:val="1"/>
      <w:numFmt w:val="bullet"/>
      <w:lvlText w:val="o"/>
      <w:lvlJc w:val="left"/>
      <w:pPr>
        <w:ind w:left="3600" w:hanging="360"/>
      </w:pPr>
      <w:rPr>
        <w:rFonts w:ascii="Courier New" w:hAnsi="Courier New" w:hint="default"/>
      </w:rPr>
    </w:lvl>
    <w:lvl w:ilvl="5" w:tplc="DEF61FC2">
      <w:start w:val="1"/>
      <w:numFmt w:val="bullet"/>
      <w:lvlText w:val=""/>
      <w:lvlJc w:val="left"/>
      <w:pPr>
        <w:ind w:left="4320" w:hanging="360"/>
      </w:pPr>
      <w:rPr>
        <w:rFonts w:ascii="Wingdings" w:hAnsi="Wingdings" w:hint="default"/>
      </w:rPr>
    </w:lvl>
    <w:lvl w:ilvl="6" w:tplc="DD967164">
      <w:start w:val="1"/>
      <w:numFmt w:val="bullet"/>
      <w:lvlText w:val=""/>
      <w:lvlJc w:val="left"/>
      <w:pPr>
        <w:ind w:left="5040" w:hanging="360"/>
      </w:pPr>
      <w:rPr>
        <w:rFonts w:ascii="Symbol" w:hAnsi="Symbol" w:hint="default"/>
      </w:rPr>
    </w:lvl>
    <w:lvl w:ilvl="7" w:tplc="841811EA">
      <w:start w:val="1"/>
      <w:numFmt w:val="bullet"/>
      <w:lvlText w:val="o"/>
      <w:lvlJc w:val="left"/>
      <w:pPr>
        <w:ind w:left="5760" w:hanging="360"/>
      </w:pPr>
      <w:rPr>
        <w:rFonts w:ascii="Courier New" w:hAnsi="Courier New" w:hint="default"/>
      </w:rPr>
    </w:lvl>
    <w:lvl w:ilvl="8" w:tplc="9F20019C">
      <w:start w:val="1"/>
      <w:numFmt w:val="bullet"/>
      <w:lvlText w:val=""/>
      <w:lvlJc w:val="left"/>
      <w:pPr>
        <w:ind w:left="6480" w:hanging="360"/>
      </w:pPr>
      <w:rPr>
        <w:rFonts w:ascii="Wingdings" w:hAnsi="Wingdings" w:hint="default"/>
      </w:rPr>
    </w:lvl>
  </w:abstractNum>
  <w:abstractNum w:abstractNumId="59" w15:restartNumberingAfterBreak="0">
    <w:nsid w:val="2772690E"/>
    <w:multiLevelType w:val="hybridMultilevel"/>
    <w:tmpl w:val="2B105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7E36601"/>
    <w:multiLevelType w:val="multilevel"/>
    <w:tmpl w:val="F250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7F47DF0"/>
    <w:multiLevelType w:val="hybridMultilevel"/>
    <w:tmpl w:val="81C0018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2" w15:restartNumberingAfterBreak="0">
    <w:nsid w:val="284774E8"/>
    <w:multiLevelType w:val="hybridMultilevel"/>
    <w:tmpl w:val="6CB015A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3" w15:restartNumberingAfterBreak="0">
    <w:nsid w:val="28E80C6F"/>
    <w:multiLevelType w:val="hybridMultilevel"/>
    <w:tmpl w:val="484AD4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290E3615"/>
    <w:multiLevelType w:val="hybridMultilevel"/>
    <w:tmpl w:val="2954EFA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5" w15:restartNumberingAfterBreak="0">
    <w:nsid w:val="294B5A17"/>
    <w:multiLevelType w:val="hybridMultilevel"/>
    <w:tmpl w:val="13806084"/>
    <w:lvl w:ilvl="0" w:tplc="E1063D72">
      <w:start w:val="3"/>
      <w:numFmt w:val="lowerRoman"/>
      <w:lvlText w:val="%1."/>
      <w:lvlJc w:val="right"/>
      <w:pPr>
        <w:ind w:left="1004" w:hanging="360"/>
      </w:pPr>
      <w:rPr>
        <w:rFonts w:hint="default"/>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66" w15:restartNumberingAfterBreak="0">
    <w:nsid w:val="2A7223F3"/>
    <w:multiLevelType w:val="hybridMultilevel"/>
    <w:tmpl w:val="536A8F38"/>
    <w:lvl w:ilvl="0" w:tplc="0B8EC9C0">
      <w:start w:val="1"/>
      <w:numFmt w:val="lowerRoman"/>
      <w:lvlText w:val="(%1)"/>
      <w:lvlJc w:val="left"/>
      <w:pPr>
        <w:ind w:left="720" w:hanging="72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7" w15:restartNumberingAfterBreak="0">
    <w:nsid w:val="2BF51941"/>
    <w:multiLevelType w:val="hybridMultilevel"/>
    <w:tmpl w:val="6298013C"/>
    <w:lvl w:ilvl="0" w:tplc="1F3EF9B0">
      <w:start w:val="1"/>
      <w:numFmt w:val="upperLetter"/>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8" w15:restartNumberingAfterBreak="0">
    <w:nsid w:val="2C920CF7"/>
    <w:multiLevelType w:val="hybridMultilevel"/>
    <w:tmpl w:val="4646743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9" w15:restartNumberingAfterBreak="0">
    <w:nsid w:val="2CF74B5A"/>
    <w:multiLevelType w:val="multilevel"/>
    <w:tmpl w:val="1E7E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0097964"/>
    <w:multiLevelType w:val="multilevel"/>
    <w:tmpl w:val="A4F4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1BD5425"/>
    <w:multiLevelType w:val="hybridMultilevel"/>
    <w:tmpl w:val="A130533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2" w15:restartNumberingAfterBreak="0">
    <w:nsid w:val="326C09D7"/>
    <w:multiLevelType w:val="hybridMultilevel"/>
    <w:tmpl w:val="81C25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28A1A5E"/>
    <w:multiLevelType w:val="hybridMultilevel"/>
    <w:tmpl w:val="8C90D28E"/>
    <w:lvl w:ilvl="0" w:tplc="041A001B">
      <w:start w:val="1"/>
      <w:numFmt w:val="lowerRoman"/>
      <w:lvlText w:val="%1."/>
      <w:lvlJc w:val="right"/>
      <w:pPr>
        <w:ind w:left="1052" w:hanging="360"/>
      </w:pPr>
    </w:lvl>
    <w:lvl w:ilvl="1" w:tplc="041A0019">
      <w:start w:val="1"/>
      <w:numFmt w:val="lowerLetter"/>
      <w:lvlText w:val="%2."/>
      <w:lvlJc w:val="left"/>
      <w:pPr>
        <w:ind w:left="1772" w:hanging="360"/>
      </w:pPr>
    </w:lvl>
    <w:lvl w:ilvl="2" w:tplc="041A001B">
      <w:start w:val="1"/>
      <w:numFmt w:val="lowerRoman"/>
      <w:lvlText w:val="%3."/>
      <w:lvlJc w:val="right"/>
      <w:pPr>
        <w:ind w:left="2492" w:hanging="180"/>
      </w:pPr>
    </w:lvl>
    <w:lvl w:ilvl="3" w:tplc="041A000F" w:tentative="1">
      <w:start w:val="1"/>
      <w:numFmt w:val="decimal"/>
      <w:lvlText w:val="%4."/>
      <w:lvlJc w:val="left"/>
      <w:pPr>
        <w:ind w:left="3212" w:hanging="360"/>
      </w:pPr>
    </w:lvl>
    <w:lvl w:ilvl="4" w:tplc="041A0019" w:tentative="1">
      <w:start w:val="1"/>
      <w:numFmt w:val="lowerLetter"/>
      <w:lvlText w:val="%5."/>
      <w:lvlJc w:val="left"/>
      <w:pPr>
        <w:ind w:left="3932" w:hanging="360"/>
      </w:pPr>
    </w:lvl>
    <w:lvl w:ilvl="5" w:tplc="041A001B" w:tentative="1">
      <w:start w:val="1"/>
      <w:numFmt w:val="lowerRoman"/>
      <w:lvlText w:val="%6."/>
      <w:lvlJc w:val="right"/>
      <w:pPr>
        <w:ind w:left="4652" w:hanging="180"/>
      </w:pPr>
    </w:lvl>
    <w:lvl w:ilvl="6" w:tplc="041A000F" w:tentative="1">
      <w:start w:val="1"/>
      <w:numFmt w:val="decimal"/>
      <w:lvlText w:val="%7."/>
      <w:lvlJc w:val="left"/>
      <w:pPr>
        <w:ind w:left="5372" w:hanging="360"/>
      </w:pPr>
    </w:lvl>
    <w:lvl w:ilvl="7" w:tplc="041A0019" w:tentative="1">
      <w:start w:val="1"/>
      <w:numFmt w:val="lowerLetter"/>
      <w:lvlText w:val="%8."/>
      <w:lvlJc w:val="left"/>
      <w:pPr>
        <w:ind w:left="6092" w:hanging="360"/>
      </w:pPr>
    </w:lvl>
    <w:lvl w:ilvl="8" w:tplc="041A001B" w:tentative="1">
      <w:start w:val="1"/>
      <w:numFmt w:val="lowerRoman"/>
      <w:lvlText w:val="%9."/>
      <w:lvlJc w:val="right"/>
      <w:pPr>
        <w:ind w:left="6812" w:hanging="180"/>
      </w:pPr>
    </w:lvl>
  </w:abstractNum>
  <w:abstractNum w:abstractNumId="74" w15:restartNumberingAfterBreak="0">
    <w:nsid w:val="3553782F"/>
    <w:multiLevelType w:val="hybridMultilevel"/>
    <w:tmpl w:val="0394B18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5" w15:restartNumberingAfterBreak="0">
    <w:nsid w:val="362A1BF5"/>
    <w:multiLevelType w:val="hybridMultilevel"/>
    <w:tmpl w:val="6ECCF28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3634322C"/>
    <w:multiLevelType w:val="hybridMultilevel"/>
    <w:tmpl w:val="39A4A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6FE7665"/>
    <w:multiLevelType w:val="multilevel"/>
    <w:tmpl w:val="272ACD7A"/>
    <w:lvl w:ilvl="0">
      <w:start w:val="1"/>
      <w:numFmt w:val="decimal"/>
      <w:lvlText w:val="%1."/>
      <w:lvlJc w:val="left"/>
      <w:pPr>
        <w:tabs>
          <w:tab w:val="num" w:pos="360"/>
        </w:tabs>
        <w:ind w:left="360" w:hanging="360"/>
      </w:pPr>
      <w:rPr>
        <w:rFonts w:hint="default"/>
        <w:sz w:val="20"/>
      </w:rPr>
    </w:lvl>
    <w:lvl w:ilvl="1">
      <w:start w:val="6"/>
      <w:numFmt w:val="decimal"/>
      <w:lvlText w:val="%2"/>
      <w:lvlJc w:val="left"/>
      <w:pPr>
        <w:ind w:left="1440" w:hanging="360"/>
      </w:pPr>
      <w:rPr>
        <w:rFonts w:hint="default"/>
        <w:b/>
      </w:rPr>
    </w:lvl>
    <w:lvl w:ilvl="2">
      <w:numFmt w:val="bullet"/>
      <w:lvlText w:val="•"/>
      <w:lvlJc w:val="left"/>
      <w:pPr>
        <w:ind w:left="2505" w:hanging="705"/>
      </w:pPr>
      <w:rPr>
        <w:rFonts w:ascii="Calibri" w:eastAsiaTheme="minorHAnsi" w:hAnsi="Calibri" w:cstheme="minorBidi" w:hint="default"/>
      </w:rPr>
    </w:lvl>
    <w:lvl w:ilvl="3">
      <w:start w:val="5"/>
      <w:numFmt w:val="bullet"/>
      <w:lvlText w:val=""/>
      <w:lvlJc w:val="left"/>
      <w:pPr>
        <w:ind w:left="2880" w:hanging="360"/>
      </w:pPr>
      <w:rPr>
        <w:rFonts w:ascii="Symbol" w:eastAsiaTheme="minorHAnsi" w:hAnsi="Symbol" w:cstheme="minorBidi"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8A00CBF"/>
    <w:multiLevelType w:val="hybridMultilevel"/>
    <w:tmpl w:val="5B52F472"/>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9" w15:restartNumberingAfterBreak="0">
    <w:nsid w:val="38D500FD"/>
    <w:multiLevelType w:val="hybridMultilevel"/>
    <w:tmpl w:val="44ACEC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0" w15:restartNumberingAfterBreak="0">
    <w:nsid w:val="38FF57D6"/>
    <w:multiLevelType w:val="multilevel"/>
    <w:tmpl w:val="E09A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A0107C2"/>
    <w:multiLevelType w:val="multilevel"/>
    <w:tmpl w:val="8AB81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A80078E"/>
    <w:multiLevelType w:val="multilevel"/>
    <w:tmpl w:val="1A2A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A946EA5"/>
    <w:multiLevelType w:val="hybridMultilevel"/>
    <w:tmpl w:val="EB967BC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4" w15:restartNumberingAfterBreak="0">
    <w:nsid w:val="3AF50320"/>
    <w:multiLevelType w:val="hybridMultilevel"/>
    <w:tmpl w:val="18886D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5" w15:restartNumberingAfterBreak="0">
    <w:nsid w:val="3C9A1156"/>
    <w:multiLevelType w:val="multilevel"/>
    <w:tmpl w:val="754E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CE439DE"/>
    <w:multiLevelType w:val="hybridMultilevel"/>
    <w:tmpl w:val="701C3F4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7" w15:restartNumberingAfterBreak="0">
    <w:nsid w:val="3DB63440"/>
    <w:multiLevelType w:val="multilevel"/>
    <w:tmpl w:val="8888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E5B736A"/>
    <w:multiLevelType w:val="hybridMultilevel"/>
    <w:tmpl w:val="E5E8AF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9" w15:restartNumberingAfterBreak="0">
    <w:nsid w:val="3E69066B"/>
    <w:multiLevelType w:val="multilevel"/>
    <w:tmpl w:val="C92A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E975771"/>
    <w:multiLevelType w:val="hybridMultilevel"/>
    <w:tmpl w:val="A51A48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1" w15:restartNumberingAfterBreak="0">
    <w:nsid w:val="3FBC44B5"/>
    <w:multiLevelType w:val="hybridMultilevel"/>
    <w:tmpl w:val="381E419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2" w15:restartNumberingAfterBreak="0">
    <w:nsid w:val="4029221E"/>
    <w:multiLevelType w:val="hybridMultilevel"/>
    <w:tmpl w:val="0B4E105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3" w15:restartNumberingAfterBreak="0">
    <w:nsid w:val="402B6847"/>
    <w:multiLevelType w:val="multilevel"/>
    <w:tmpl w:val="7EDC6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1C90DEC"/>
    <w:multiLevelType w:val="hybridMultilevel"/>
    <w:tmpl w:val="B134BD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5" w15:restartNumberingAfterBreak="0">
    <w:nsid w:val="422E0F23"/>
    <w:multiLevelType w:val="hybridMultilevel"/>
    <w:tmpl w:val="DAAEEE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6" w15:restartNumberingAfterBreak="0">
    <w:nsid w:val="44AC3EF3"/>
    <w:multiLevelType w:val="multilevel"/>
    <w:tmpl w:val="91A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4FD68A1"/>
    <w:multiLevelType w:val="hybridMultilevel"/>
    <w:tmpl w:val="7856F40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8" w15:restartNumberingAfterBreak="0">
    <w:nsid w:val="45034AE4"/>
    <w:multiLevelType w:val="hybridMultilevel"/>
    <w:tmpl w:val="DA0C9F4A"/>
    <w:lvl w:ilvl="0" w:tplc="58EE18D0">
      <w:start w:val="3"/>
      <w:numFmt w:val="decimal"/>
      <w:lvlText w:val="%1."/>
      <w:lvlJc w:val="left"/>
      <w:pPr>
        <w:ind w:left="720" w:hanging="360"/>
      </w:pPr>
      <w:rPr>
        <w:rFonts w:hint="default"/>
        <w:b w:val="0"/>
        <w:bCs/>
        <w:color w:val="0070C0"/>
        <w:sz w:val="28"/>
        <w:szCs w:val="2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9" w15:restartNumberingAfterBreak="0">
    <w:nsid w:val="456328DB"/>
    <w:multiLevelType w:val="multilevel"/>
    <w:tmpl w:val="91A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56B6344"/>
    <w:multiLevelType w:val="hybridMultilevel"/>
    <w:tmpl w:val="CCAC6EBC"/>
    <w:lvl w:ilvl="0" w:tplc="041A000F">
      <w:start w:val="1"/>
      <w:numFmt w:val="decimal"/>
      <w:lvlText w:val="%1."/>
      <w:lvlJc w:val="left"/>
      <w:pPr>
        <w:ind w:left="785"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457E4036"/>
    <w:multiLevelType w:val="hybridMultilevel"/>
    <w:tmpl w:val="18DE4C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2" w15:restartNumberingAfterBreak="0">
    <w:nsid w:val="45A87A4C"/>
    <w:multiLevelType w:val="hybridMultilevel"/>
    <w:tmpl w:val="1F3A78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3" w15:restartNumberingAfterBreak="0">
    <w:nsid w:val="460502A9"/>
    <w:multiLevelType w:val="multilevel"/>
    <w:tmpl w:val="8F8C8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6381C47"/>
    <w:multiLevelType w:val="multilevel"/>
    <w:tmpl w:val="13E0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70C564F"/>
    <w:multiLevelType w:val="multilevel"/>
    <w:tmpl w:val="A3428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7EF59BE"/>
    <w:multiLevelType w:val="hybridMultilevel"/>
    <w:tmpl w:val="3A402EE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7" w15:restartNumberingAfterBreak="0">
    <w:nsid w:val="48593F5B"/>
    <w:multiLevelType w:val="hybridMultilevel"/>
    <w:tmpl w:val="A202913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8" w15:restartNumberingAfterBreak="0">
    <w:nsid w:val="497C70E3"/>
    <w:multiLevelType w:val="hybridMultilevel"/>
    <w:tmpl w:val="E640B598"/>
    <w:lvl w:ilvl="0" w:tplc="20DCEE96">
      <w:start w:val="1"/>
      <w:numFmt w:val="bullet"/>
      <w:lvlText w:val="•"/>
      <w:lvlJc w:val="left"/>
      <w:pPr>
        <w:ind w:left="720" w:hanging="360"/>
      </w:pPr>
    </w:lvl>
    <w:lvl w:ilvl="1" w:tplc="92184200">
      <w:numFmt w:val="decimal"/>
      <w:lvlText w:val=""/>
      <w:lvlJc w:val="left"/>
    </w:lvl>
    <w:lvl w:ilvl="2" w:tplc="6D968F00">
      <w:numFmt w:val="decimal"/>
      <w:lvlText w:val=""/>
      <w:lvlJc w:val="left"/>
    </w:lvl>
    <w:lvl w:ilvl="3" w:tplc="69CC3368">
      <w:numFmt w:val="decimal"/>
      <w:lvlText w:val=""/>
      <w:lvlJc w:val="left"/>
    </w:lvl>
    <w:lvl w:ilvl="4" w:tplc="AE4ABBA6">
      <w:numFmt w:val="decimal"/>
      <w:lvlText w:val=""/>
      <w:lvlJc w:val="left"/>
    </w:lvl>
    <w:lvl w:ilvl="5" w:tplc="5754BDFC">
      <w:numFmt w:val="decimal"/>
      <w:lvlText w:val=""/>
      <w:lvlJc w:val="left"/>
    </w:lvl>
    <w:lvl w:ilvl="6" w:tplc="16565B04">
      <w:numFmt w:val="decimal"/>
      <w:lvlText w:val=""/>
      <w:lvlJc w:val="left"/>
    </w:lvl>
    <w:lvl w:ilvl="7" w:tplc="25A81C64">
      <w:numFmt w:val="decimal"/>
      <w:lvlText w:val=""/>
      <w:lvlJc w:val="left"/>
    </w:lvl>
    <w:lvl w:ilvl="8" w:tplc="9E06B818">
      <w:numFmt w:val="decimal"/>
      <w:lvlText w:val=""/>
      <w:lvlJc w:val="left"/>
    </w:lvl>
  </w:abstractNum>
  <w:abstractNum w:abstractNumId="109" w15:restartNumberingAfterBreak="0">
    <w:nsid w:val="49CB3336"/>
    <w:multiLevelType w:val="hybridMultilevel"/>
    <w:tmpl w:val="3F68D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A6E1F9C"/>
    <w:multiLevelType w:val="hybridMultilevel"/>
    <w:tmpl w:val="991EA49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1" w15:restartNumberingAfterBreak="0">
    <w:nsid w:val="4B0A7463"/>
    <w:multiLevelType w:val="hybridMultilevel"/>
    <w:tmpl w:val="71DC6884"/>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2" w15:restartNumberingAfterBreak="0">
    <w:nsid w:val="4B8D2FAE"/>
    <w:multiLevelType w:val="hybridMultilevel"/>
    <w:tmpl w:val="D708C7C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3" w15:restartNumberingAfterBreak="0">
    <w:nsid w:val="4C995744"/>
    <w:multiLevelType w:val="multilevel"/>
    <w:tmpl w:val="37C4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CE94075"/>
    <w:multiLevelType w:val="hybridMultilevel"/>
    <w:tmpl w:val="234A30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5" w15:restartNumberingAfterBreak="0">
    <w:nsid w:val="4D754D13"/>
    <w:multiLevelType w:val="hybridMultilevel"/>
    <w:tmpl w:val="68F0611A"/>
    <w:lvl w:ilvl="0" w:tplc="8A68356C">
      <w:numFmt w:val="bullet"/>
      <w:lvlText w:val="•"/>
      <w:lvlJc w:val="left"/>
      <w:pPr>
        <w:ind w:left="1068" w:hanging="708"/>
      </w:pPr>
      <w:rPr>
        <w:rFonts w:ascii="Aptos" w:eastAsiaTheme="minorHAnsi" w:hAnsi="Aptos"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6" w15:restartNumberingAfterBreak="0">
    <w:nsid w:val="4D9D41AC"/>
    <w:multiLevelType w:val="hybridMultilevel"/>
    <w:tmpl w:val="587E739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7" w15:restartNumberingAfterBreak="0">
    <w:nsid w:val="4E6C56B8"/>
    <w:multiLevelType w:val="hybridMultilevel"/>
    <w:tmpl w:val="1FD234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8" w15:restartNumberingAfterBreak="0">
    <w:nsid w:val="4F0D6945"/>
    <w:multiLevelType w:val="hybridMultilevel"/>
    <w:tmpl w:val="9DB8421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9" w15:restartNumberingAfterBreak="0">
    <w:nsid w:val="4F5F3249"/>
    <w:multiLevelType w:val="multilevel"/>
    <w:tmpl w:val="C9622F96"/>
    <w:lvl w:ilvl="0">
      <w:start w:val="1"/>
      <w:numFmt w:val="decimal"/>
      <w:lvlText w:val="%1."/>
      <w:lvlJc w:val="left"/>
      <w:pPr>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50981175"/>
    <w:multiLevelType w:val="hybridMultilevel"/>
    <w:tmpl w:val="AE8A80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1" w15:restartNumberingAfterBreak="0">
    <w:nsid w:val="51840A20"/>
    <w:multiLevelType w:val="hybridMultilevel"/>
    <w:tmpl w:val="3326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53A818CC"/>
    <w:multiLevelType w:val="multilevel"/>
    <w:tmpl w:val="0A0A800A"/>
    <w:lvl w:ilvl="0">
      <w:start w:val="9"/>
      <w:numFmt w:val="decimal"/>
      <w:lvlText w:val="%1"/>
      <w:lvlJc w:val="left"/>
      <w:pPr>
        <w:ind w:left="612" w:hanging="612"/>
      </w:pPr>
      <w:rPr>
        <w:rFonts w:hint="default"/>
      </w:rPr>
    </w:lvl>
    <w:lvl w:ilvl="1">
      <w:start w:val="6"/>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3B05B67"/>
    <w:multiLevelType w:val="hybridMultilevel"/>
    <w:tmpl w:val="86666B0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4" w15:restartNumberingAfterBreak="0">
    <w:nsid w:val="541D3549"/>
    <w:multiLevelType w:val="hybridMultilevel"/>
    <w:tmpl w:val="FB685F1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5" w15:restartNumberingAfterBreak="0">
    <w:nsid w:val="5427287C"/>
    <w:multiLevelType w:val="multilevel"/>
    <w:tmpl w:val="AD120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51D7818"/>
    <w:multiLevelType w:val="hybridMultilevel"/>
    <w:tmpl w:val="21D671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7" w15:restartNumberingAfterBreak="0">
    <w:nsid w:val="56EF4C9E"/>
    <w:multiLevelType w:val="hybridMultilevel"/>
    <w:tmpl w:val="AB266EAE"/>
    <w:lvl w:ilvl="0" w:tplc="1996D912">
      <w:start w:val="1"/>
      <w:numFmt w:val="lowerRoman"/>
      <w:lvlText w:val="%1."/>
      <w:lvlJc w:val="right"/>
      <w:pPr>
        <w:ind w:left="1004" w:hanging="360"/>
      </w:p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128" w15:restartNumberingAfterBreak="0">
    <w:nsid w:val="575053C9"/>
    <w:multiLevelType w:val="multilevel"/>
    <w:tmpl w:val="FCEED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85749A4"/>
    <w:multiLevelType w:val="hybridMultilevel"/>
    <w:tmpl w:val="AEC0AA1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0" w15:restartNumberingAfterBreak="0">
    <w:nsid w:val="588B0392"/>
    <w:multiLevelType w:val="multilevel"/>
    <w:tmpl w:val="65D62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8AB6DF5"/>
    <w:multiLevelType w:val="hybridMultilevel"/>
    <w:tmpl w:val="54A6DE8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2" w15:restartNumberingAfterBreak="0">
    <w:nsid w:val="5922302D"/>
    <w:multiLevelType w:val="hybridMultilevel"/>
    <w:tmpl w:val="B8505C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3" w15:restartNumberingAfterBreak="0">
    <w:nsid w:val="59375A8F"/>
    <w:multiLevelType w:val="hybridMultilevel"/>
    <w:tmpl w:val="C6927C6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4" w15:restartNumberingAfterBreak="0">
    <w:nsid w:val="5B6B73E9"/>
    <w:multiLevelType w:val="hybridMultilevel"/>
    <w:tmpl w:val="061E02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5" w15:restartNumberingAfterBreak="0">
    <w:nsid w:val="5C3936DD"/>
    <w:multiLevelType w:val="hybridMultilevel"/>
    <w:tmpl w:val="9BF6B0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DF00C2E"/>
    <w:multiLevelType w:val="hybridMultilevel"/>
    <w:tmpl w:val="FDCC43DC"/>
    <w:lvl w:ilvl="0" w:tplc="041A0001">
      <w:start w:val="1"/>
      <w:numFmt w:val="bullet"/>
      <w:lvlText w:val=""/>
      <w:lvlJc w:val="left"/>
      <w:pPr>
        <w:ind w:left="770" w:hanging="360"/>
      </w:pPr>
      <w:rPr>
        <w:rFonts w:ascii="Symbol" w:hAnsi="Symbol" w:hint="default"/>
      </w:rPr>
    </w:lvl>
    <w:lvl w:ilvl="1" w:tplc="041A0003" w:tentative="1">
      <w:start w:val="1"/>
      <w:numFmt w:val="bullet"/>
      <w:lvlText w:val="o"/>
      <w:lvlJc w:val="left"/>
      <w:pPr>
        <w:ind w:left="1490" w:hanging="360"/>
      </w:pPr>
      <w:rPr>
        <w:rFonts w:ascii="Courier New" w:hAnsi="Courier New" w:cs="Courier New" w:hint="default"/>
      </w:rPr>
    </w:lvl>
    <w:lvl w:ilvl="2" w:tplc="041A0005" w:tentative="1">
      <w:start w:val="1"/>
      <w:numFmt w:val="bullet"/>
      <w:lvlText w:val=""/>
      <w:lvlJc w:val="left"/>
      <w:pPr>
        <w:ind w:left="2210" w:hanging="360"/>
      </w:pPr>
      <w:rPr>
        <w:rFonts w:ascii="Wingdings" w:hAnsi="Wingdings" w:hint="default"/>
      </w:rPr>
    </w:lvl>
    <w:lvl w:ilvl="3" w:tplc="041A0001" w:tentative="1">
      <w:start w:val="1"/>
      <w:numFmt w:val="bullet"/>
      <w:lvlText w:val=""/>
      <w:lvlJc w:val="left"/>
      <w:pPr>
        <w:ind w:left="2930" w:hanging="360"/>
      </w:pPr>
      <w:rPr>
        <w:rFonts w:ascii="Symbol" w:hAnsi="Symbol" w:hint="default"/>
      </w:rPr>
    </w:lvl>
    <w:lvl w:ilvl="4" w:tplc="041A0003" w:tentative="1">
      <w:start w:val="1"/>
      <w:numFmt w:val="bullet"/>
      <w:lvlText w:val="o"/>
      <w:lvlJc w:val="left"/>
      <w:pPr>
        <w:ind w:left="3650" w:hanging="360"/>
      </w:pPr>
      <w:rPr>
        <w:rFonts w:ascii="Courier New" w:hAnsi="Courier New" w:cs="Courier New" w:hint="default"/>
      </w:rPr>
    </w:lvl>
    <w:lvl w:ilvl="5" w:tplc="041A0005" w:tentative="1">
      <w:start w:val="1"/>
      <w:numFmt w:val="bullet"/>
      <w:lvlText w:val=""/>
      <w:lvlJc w:val="left"/>
      <w:pPr>
        <w:ind w:left="4370" w:hanging="360"/>
      </w:pPr>
      <w:rPr>
        <w:rFonts w:ascii="Wingdings" w:hAnsi="Wingdings" w:hint="default"/>
      </w:rPr>
    </w:lvl>
    <w:lvl w:ilvl="6" w:tplc="041A0001" w:tentative="1">
      <w:start w:val="1"/>
      <w:numFmt w:val="bullet"/>
      <w:lvlText w:val=""/>
      <w:lvlJc w:val="left"/>
      <w:pPr>
        <w:ind w:left="5090" w:hanging="360"/>
      </w:pPr>
      <w:rPr>
        <w:rFonts w:ascii="Symbol" w:hAnsi="Symbol" w:hint="default"/>
      </w:rPr>
    </w:lvl>
    <w:lvl w:ilvl="7" w:tplc="041A0003" w:tentative="1">
      <w:start w:val="1"/>
      <w:numFmt w:val="bullet"/>
      <w:lvlText w:val="o"/>
      <w:lvlJc w:val="left"/>
      <w:pPr>
        <w:ind w:left="5810" w:hanging="360"/>
      </w:pPr>
      <w:rPr>
        <w:rFonts w:ascii="Courier New" w:hAnsi="Courier New" w:cs="Courier New" w:hint="default"/>
      </w:rPr>
    </w:lvl>
    <w:lvl w:ilvl="8" w:tplc="041A0005" w:tentative="1">
      <w:start w:val="1"/>
      <w:numFmt w:val="bullet"/>
      <w:lvlText w:val=""/>
      <w:lvlJc w:val="left"/>
      <w:pPr>
        <w:ind w:left="6530" w:hanging="360"/>
      </w:pPr>
      <w:rPr>
        <w:rFonts w:ascii="Wingdings" w:hAnsi="Wingdings" w:hint="default"/>
      </w:rPr>
    </w:lvl>
  </w:abstractNum>
  <w:abstractNum w:abstractNumId="137" w15:restartNumberingAfterBreak="0">
    <w:nsid w:val="5F3A0097"/>
    <w:multiLevelType w:val="hybridMultilevel"/>
    <w:tmpl w:val="7ABE5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5F494799"/>
    <w:multiLevelType w:val="hybridMultilevel"/>
    <w:tmpl w:val="E6F8613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9" w15:restartNumberingAfterBreak="0">
    <w:nsid w:val="60752C33"/>
    <w:multiLevelType w:val="multilevel"/>
    <w:tmpl w:val="C0D4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1C915B9"/>
    <w:multiLevelType w:val="hybridMultilevel"/>
    <w:tmpl w:val="2146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61ED7E19"/>
    <w:multiLevelType w:val="hybridMultilevel"/>
    <w:tmpl w:val="C7A6D0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2" w15:restartNumberingAfterBreak="0">
    <w:nsid w:val="64A850A3"/>
    <w:multiLevelType w:val="hybridMultilevel"/>
    <w:tmpl w:val="A7E0AC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3" w15:restartNumberingAfterBreak="0">
    <w:nsid w:val="66AC21CE"/>
    <w:multiLevelType w:val="hybridMultilevel"/>
    <w:tmpl w:val="3DF44DC0"/>
    <w:lvl w:ilvl="0" w:tplc="041A0001">
      <w:start w:val="1"/>
      <w:numFmt w:val="bullet"/>
      <w:lvlText w:val=""/>
      <w:lvlJc w:val="left"/>
      <w:pPr>
        <w:ind w:left="1800" w:hanging="360"/>
      </w:pPr>
      <w:rPr>
        <w:rFonts w:ascii="Symbol" w:hAnsi="Symbol"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144" w15:restartNumberingAfterBreak="0">
    <w:nsid w:val="66DA17E8"/>
    <w:multiLevelType w:val="multilevel"/>
    <w:tmpl w:val="C47E9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7087BF5"/>
    <w:multiLevelType w:val="hybridMultilevel"/>
    <w:tmpl w:val="84C4EB4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6" w15:restartNumberingAfterBreak="0">
    <w:nsid w:val="67A45CD4"/>
    <w:multiLevelType w:val="hybridMultilevel"/>
    <w:tmpl w:val="E6840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698F66EB"/>
    <w:multiLevelType w:val="multilevel"/>
    <w:tmpl w:val="1DD6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9C4653C"/>
    <w:multiLevelType w:val="hybridMultilevel"/>
    <w:tmpl w:val="08D4F4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9" w15:restartNumberingAfterBreak="0">
    <w:nsid w:val="6A411EE6"/>
    <w:multiLevelType w:val="hybridMultilevel"/>
    <w:tmpl w:val="4AB0DAE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0" w15:restartNumberingAfterBreak="0">
    <w:nsid w:val="6B667F38"/>
    <w:multiLevelType w:val="multilevel"/>
    <w:tmpl w:val="91A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BD34A91"/>
    <w:multiLevelType w:val="hybridMultilevel"/>
    <w:tmpl w:val="B870119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2" w15:restartNumberingAfterBreak="0">
    <w:nsid w:val="6C013F9A"/>
    <w:multiLevelType w:val="multilevel"/>
    <w:tmpl w:val="90B0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C3743FF"/>
    <w:multiLevelType w:val="hybridMultilevel"/>
    <w:tmpl w:val="82C41AE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4" w15:restartNumberingAfterBreak="0">
    <w:nsid w:val="6CB40042"/>
    <w:multiLevelType w:val="multilevel"/>
    <w:tmpl w:val="12EE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CD60DFC"/>
    <w:multiLevelType w:val="hybridMultilevel"/>
    <w:tmpl w:val="6E3EB9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6" w15:restartNumberingAfterBreak="0">
    <w:nsid w:val="6D495178"/>
    <w:multiLevelType w:val="hybridMultilevel"/>
    <w:tmpl w:val="7A4AF0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7" w15:restartNumberingAfterBreak="0">
    <w:nsid w:val="6E4E0582"/>
    <w:multiLevelType w:val="hybridMultilevel"/>
    <w:tmpl w:val="09FA19B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8" w15:restartNumberingAfterBreak="0">
    <w:nsid w:val="6F6C42B4"/>
    <w:multiLevelType w:val="hybridMultilevel"/>
    <w:tmpl w:val="B5AAA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700F3B8C"/>
    <w:multiLevelType w:val="hybridMultilevel"/>
    <w:tmpl w:val="D076FB76"/>
    <w:lvl w:ilvl="0" w:tplc="041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0" w15:restartNumberingAfterBreak="0">
    <w:nsid w:val="714F26C6"/>
    <w:multiLevelType w:val="hybridMultilevel"/>
    <w:tmpl w:val="E3D4B7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1" w15:restartNumberingAfterBreak="0">
    <w:nsid w:val="72045AE1"/>
    <w:multiLevelType w:val="multilevel"/>
    <w:tmpl w:val="5E347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2323880"/>
    <w:multiLevelType w:val="multilevel"/>
    <w:tmpl w:val="91A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2700E01"/>
    <w:multiLevelType w:val="hybridMultilevel"/>
    <w:tmpl w:val="AEA6A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72BA22BB"/>
    <w:multiLevelType w:val="hybridMultilevel"/>
    <w:tmpl w:val="3774B4F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5" w15:restartNumberingAfterBreak="0">
    <w:nsid w:val="743A1DFB"/>
    <w:multiLevelType w:val="hybridMultilevel"/>
    <w:tmpl w:val="D848CE6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6" w15:restartNumberingAfterBreak="0">
    <w:nsid w:val="7462348D"/>
    <w:multiLevelType w:val="hybridMultilevel"/>
    <w:tmpl w:val="99EC5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747C0DEF"/>
    <w:multiLevelType w:val="hybridMultilevel"/>
    <w:tmpl w:val="2F7AE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4AB24C0"/>
    <w:multiLevelType w:val="multilevel"/>
    <w:tmpl w:val="3360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4E719CA"/>
    <w:multiLevelType w:val="multilevel"/>
    <w:tmpl w:val="B3AECF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5CC6513"/>
    <w:multiLevelType w:val="hybridMultilevel"/>
    <w:tmpl w:val="C148579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1" w15:restartNumberingAfterBreak="0">
    <w:nsid w:val="76376C42"/>
    <w:multiLevelType w:val="hybridMultilevel"/>
    <w:tmpl w:val="9C029F6E"/>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2" w15:restartNumberingAfterBreak="0">
    <w:nsid w:val="763F3103"/>
    <w:multiLevelType w:val="multilevel"/>
    <w:tmpl w:val="FD6C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7CA632C"/>
    <w:multiLevelType w:val="multilevel"/>
    <w:tmpl w:val="CDDAB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8D55C11"/>
    <w:multiLevelType w:val="multilevel"/>
    <w:tmpl w:val="A9AE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9614C1F"/>
    <w:multiLevelType w:val="hybridMultilevel"/>
    <w:tmpl w:val="A62C5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799056DA"/>
    <w:multiLevelType w:val="hybridMultilevel"/>
    <w:tmpl w:val="4588C5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7" w15:restartNumberingAfterBreak="0">
    <w:nsid w:val="7AC709A8"/>
    <w:multiLevelType w:val="hybridMultilevel"/>
    <w:tmpl w:val="4ABA22A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8" w15:restartNumberingAfterBreak="0">
    <w:nsid w:val="7BD153CA"/>
    <w:multiLevelType w:val="hybridMultilevel"/>
    <w:tmpl w:val="E24C2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7C5C2597"/>
    <w:multiLevelType w:val="multilevel"/>
    <w:tmpl w:val="BC14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D045FA4"/>
    <w:multiLevelType w:val="hybridMultilevel"/>
    <w:tmpl w:val="9CD0502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1" w15:restartNumberingAfterBreak="0">
    <w:nsid w:val="7D0B6C21"/>
    <w:multiLevelType w:val="multilevel"/>
    <w:tmpl w:val="E6EC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D2377CA"/>
    <w:multiLevelType w:val="hybridMultilevel"/>
    <w:tmpl w:val="62001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7DEB04AA"/>
    <w:multiLevelType w:val="multilevel"/>
    <w:tmpl w:val="211C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ED92425"/>
    <w:multiLevelType w:val="hybridMultilevel"/>
    <w:tmpl w:val="B9209BA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5" w15:restartNumberingAfterBreak="0">
    <w:nsid w:val="7FFB0863"/>
    <w:multiLevelType w:val="hybridMultilevel"/>
    <w:tmpl w:val="D84099A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54039699">
    <w:abstractNumId w:val="118"/>
  </w:num>
  <w:num w:numId="2" w16cid:durableId="2046639105">
    <w:abstractNumId w:val="52"/>
  </w:num>
  <w:num w:numId="3" w16cid:durableId="441727249">
    <w:abstractNumId w:val="14"/>
  </w:num>
  <w:num w:numId="4" w16cid:durableId="1983383746">
    <w:abstractNumId w:val="63"/>
  </w:num>
  <w:num w:numId="5" w16cid:durableId="2032685900">
    <w:abstractNumId w:val="140"/>
  </w:num>
  <w:num w:numId="6" w16cid:durableId="999624146">
    <w:abstractNumId w:val="166"/>
  </w:num>
  <w:num w:numId="7" w16cid:durableId="1458260060">
    <w:abstractNumId w:val="115"/>
  </w:num>
  <w:num w:numId="8" w16cid:durableId="1167089314">
    <w:abstractNumId w:val="43"/>
  </w:num>
  <w:num w:numId="9" w16cid:durableId="320083125">
    <w:abstractNumId w:val="161"/>
  </w:num>
  <w:num w:numId="10" w16cid:durableId="1577932303">
    <w:abstractNumId w:val="55"/>
  </w:num>
  <w:num w:numId="11" w16cid:durableId="57477585">
    <w:abstractNumId w:val="82"/>
  </w:num>
  <w:num w:numId="12" w16cid:durableId="1691954983">
    <w:abstractNumId w:val="85"/>
  </w:num>
  <w:num w:numId="13" w16cid:durableId="1976131786">
    <w:abstractNumId w:val="100"/>
  </w:num>
  <w:num w:numId="14" w16cid:durableId="1328633236">
    <w:abstractNumId w:val="44"/>
  </w:num>
  <w:num w:numId="15" w16cid:durableId="164562185">
    <w:abstractNumId w:val="121"/>
  </w:num>
  <w:num w:numId="16" w16cid:durableId="1634210611">
    <w:abstractNumId w:val="171"/>
  </w:num>
  <w:num w:numId="17" w16cid:durableId="609045533">
    <w:abstractNumId w:val="102"/>
  </w:num>
  <w:num w:numId="18" w16cid:durableId="2015494396">
    <w:abstractNumId w:val="150"/>
  </w:num>
  <w:num w:numId="19" w16cid:durableId="1873837046">
    <w:abstractNumId w:val="144"/>
  </w:num>
  <w:num w:numId="20" w16cid:durableId="201059189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12624370">
    <w:abstractNumId w:val="74"/>
  </w:num>
  <w:num w:numId="22" w16cid:durableId="1236630193">
    <w:abstractNumId w:val="87"/>
  </w:num>
  <w:num w:numId="23" w16cid:durableId="671445202">
    <w:abstractNumId w:val="69"/>
  </w:num>
  <w:num w:numId="24" w16cid:durableId="373387401">
    <w:abstractNumId w:val="154"/>
  </w:num>
  <w:num w:numId="25" w16cid:durableId="68578242">
    <w:abstractNumId w:val="7"/>
  </w:num>
  <w:num w:numId="26" w16cid:durableId="2042777543">
    <w:abstractNumId w:val="80"/>
  </w:num>
  <w:num w:numId="27" w16cid:durableId="1628705662">
    <w:abstractNumId w:val="27"/>
  </w:num>
  <w:num w:numId="28" w16cid:durableId="413670152">
    <w:abstractNumId w:val="5"/>
  </w:num>
  <w:num w:numId="29" w16cid:durableId="1213931568">
    <w:abstractNumId w:val="57"/>
  </w:num>
  <w:num w:numId="30" w16cid:durableId="1211772054">
    <w:abstractNumId w:val="25"/>
  </w:num>
  <w:num w:numId="31" w16cid:durableId="817889502">
    <w:abstractNumId w:val="2"/>
  </w:num>
  <w:num w:numId="32" w16cid:durableId="1220634073">
    <w:abstractNumId w:val="19"/>
  </w:num>
  <w:num w:numId="33" w16cid:durableId="1292517898">
    <w:abstractNumId w:val="174"/>
  </w:num>
  <w:num w:numId="34" w16cid:durableId="1679036382">
    <w:abstractNumId w:val="103"/>
  </w:num>
  <w:num w:numId="35" w16cid:durableId="1194151775">
    <w:abstractNumId w:val="0"/>
  </w:num>
  <w:num w:numId="36" w16cid:durableId="161631983">
    <w:abstractNumId w:val="48"/>
  </w:num>
  <w:num w:numId="37" w16cid:durableId="860894529">
    <w:abstractNumId w:val="83"/>
  </w:num>
  <w:num w:numId="38" w16cid:durableId="80030424">
    <w:abstractNumId w:val="136"/>
  </w:num>
  <w:num w:numId="39" w16cid:durableId="834566216">
    <w:abstractNumId w:val="33"/>
  </w:num>
  <w:num w:numId="40" w16cid:durableId="621151035">
    <w:abstractNumId w:val="183"/>
  </w:num>
  <w:num w:numId="41" w16cid:durableId="1627272642">
    <w:abstractNumId w:val="3"/>
  </w:num>
  <w:num w:numId="42" w16cid:durableId="1450589909">
    <w:abstractNumId w:val="28"/>
  </w:num>
  <w:num w:numId="43" w16cid:durableId="63993408">
    <w:abstractNumId w:val="93"/>
  </w:num>
  <w:num w:numId="44" w16cid:durableId="420301839">
    <w:abstractNumId w:val="158"/>
  </w:num>
  <w:num w:numId="45" w16cid:durableId="86729509">
    <w:abstractNumId w:val="59"/>
  </w:num>
  <w:num w:numId="46" w16cid:durableId="419063841">
    <w:abstractNumId w:val="119"/>
  </w:num>
  <w:num w:numId="47" w16cid:durableId="1954048242">
    <w:abstractNumId w:val="98"/>
  </w:num>
  <w:num w:numId="48" w16cid:durableId="710880604">
    <w:abstractNumId w:val="77"/>
  </w:num>
  <w:num w:numId="49" w16cid:durableId="1306813397">
    <w:abstractNumId w:val="168"/>
  </w:num>
  <w:num w:numId="50" w16cid:durableId="1372530965">
    <w:abstractNumId w:val="145"/>
  </w:num>
  <w:num w:numId="51" w16cid:durableId="726344069">
    <w:abstractNumId w:val="53"/>
  </w:num>
  <w:num w:numId="52" w16cid:durableId="1757509241">
    <w:abstractNumId w:val="123"/>
  </w:num>
  <w:num w:numId="53" w16cid:durableId="42876597">
    <w:abstractNumId w:val="129"/>
  </w:num>
  <w:num w:numId="54" w16cid:durableId="524026760">
    <w:abstractNumId w:val="64"/>
  </w:num>
  <w:num w:numId="55" w16cid:durableId="1916935445">
    <w:abstractNumId w:val="94"/>
  </w:num>
  <w:num w:numId="56" w16cid:durableId="2068450971">
    <w:abstractNumId w:val="165"/>
  </w:num>
  <w:num w:numId="57" w16cid:durableId="790317437">
    <w:abstractNumId w:val="160"/>
  </w:num>
  <w:num w:numId="58" w16cid:durableId="532619953">
    <w:abstractNumId w:val="42"/>
  </w:num>
  <w:num w:numId="59" w16cid:durableId="2012557609">
    <w:abstractNumId w:val="61"/>
  </w:num>
  <w:num w:numId="60" w16cid:durableId="1504200821">
    <w:abstractNumId w:val="185"/>
  </w:num>
  <w:num w:numId="61" w16cid:durableId="1116292167">
    <w:abstractNumId w:val="36"/>
  </w:num>
  <w:num w:numId="62" w16cid:durableId="1611164345">
    <w:abstractNumId w:val="176"/>
  </w:num>
  <w:num w:numId="63" w16cid:durableId="1008872464">
    <w:abstractNumId w:val="31"/>
  </w:num>
  <w:num w:numId="64" w16cid:durableId="835340945">
    <w:abstractNumId w:val="131"/>
  </w:num>
  <w:num w:numId="65" w16cid:durableId="1818953586">
    <w:abstractNumId w:val="111"/>
  </w:num>
  <w:num w:numId="66" w16cid:durableId="1759672247">
    <w:abstractNumId w:val="22"/>
  </w:num>
  <w:num w:numId="67" w16cid:durableId="759982964">
    <w:abstractNumId w:val="13"/>
  </w:num>
  <w:num w:numId="68" w16cid:durableId="691690634">
    <w:abstractNumId w:val="159"/>
  </w:num>
  <w:num w:numId="69" w16cid:durableId="367998637">
    <w:abstractNumId w:val="127"/>
  </w:num>
  <w:num w:numId="70" w16cid:durableId="1158958983">
    <w:abstractNumId w:val="73"/>
  </w:num>
  <w:num w:numId="71" w16cid:durableId="1663656813">
    <w:abstractNumId w:val="65"/>
  </w:num>
  <w:num w:numId="72" w16cid:durableId="883785502">
    <w:abstractNumId w:val="148"/>
  </w:num>
  <w:num w:numId="73" w16cid:durableId="1069964494">
    <w:abstractNumId w:val="11"/>
  </w:num>
  <w:num w:numId="74" w16cid:durableId="1706368283">
    <w:abstractNumId w:val="24"/>
  </w:num>
  <w:num w:numId="75" w16cid:durableId="1839299088">
    <w:abstractNumId w:val="40"/>
  </w:num>
  <w:num w:numId="76" w16cid:durableId="1112090473">
    <w:abstractNumId w:val="47"/>
  </w:num>
  <w:num w:numId="77" w16cid:durableId="1559901488">
    <w:abstractNumId w:val="56"/>
  </w:num>
  <w:num w:numId="78" w16cid:durableId="826483874">
    <w:abstractNumId w:val="30"/>
  </w:num>
  <w:num w:numId="79" w16cid:durableId="789981575">
    <w:abstractNumId w:val="117"/>
  </w:num>
  <w:num w:numId="80" w16cid:durableId="2107845417">
    <w:abstractNumId w:val="10"/>
  </w:num>
  <w:num w:numId="81" w16cid:durableId="685904107">
    <w:abstractNumId w:val="96"/>
  </w:num>
  <w:num w:numId="82" w16cid:durableId="1148327990">
    <w:abstractNumId w:val="162"/>
  </w:num>
  <w:num w:numId="83" w16cid:durableId="2131240319">
    <w:abstractNumId w:val="99"/>
  </w:num>
  <w:num w:numId="84" w16cid:durableId="1772433534">
    <w:abstractNumId w:val="6"/>
  </w:num>
  <w:num w:numId="85" w16cid:durableId="1443454908">
    <w:abstractNumId w:val="175"/>
  </w:num>
  <w:num w:numId="86" w16cid:durableId="1980911890">
    <w:abstractNumId w:val="163"/>
  </w:num>
  <w:num w:numId="87" w16cid:durableId="1627928411">
    <w:abstractNumId w:val="135"/>
  </w:num>
  <w:num w:numId="88" w16cid:durableId="60298661">
    <w:abstractNumId w:val="67"/>
  </w:num>
  <w:num w:numId="89" w16cid:durableId="1888174958">
    <w:abstractNumId w:val="49"/>
  </w:num>
  <w:num w:numId="90" w16cid:durableId="1304846854">
    <w:abstractNumId w:val="88"/>
  </w:num>
  <w:num w:numId="91" w16cid:durableId="52436653">
    <w:abstractNumId w:val="180"/>
  </w:num>
  <w:num w:numId="92" w16cid:durableId="184832681">
    <w:abstractNumId w:val="157"/>
  </w:num>
  <w:num w:numId="93" w16cid:durableId="880021985">
    <w:abstractNumId w:val="29"/>
  </w:num>
  <w:num w:numId="94" w16cid:durableId="1824737610">
    <w:abstractNumId w:val="149"/>
  </w:num>
  <w:num w:numId="95" w16cid:durableId="2111967199">
    <w:abstractNumId w:val="21"/>
  </w:num>
  <w:num w:numId="96" w16cid:durableId="321273801">
    <w:abstractNumId w:val="23"/>
  </w:num>
  <w:num w:numId="97" w16cid:durableId="442842252">
    <w:abstractNumId w:val="184"/>
  </w:num>
  <w:num w:numId="98" w16cid:durableId="229390699">
    <w:abstractNumId w:val="16"/>
  </w:num>
  <w:num w:numId="99" w16cid:durableId="1210413360">
    <w:abstractNumId w:val="37"/>
  </w:num>
  <w:num w:numId="100" w16cid:durableId="568997961">
    <w:abstractNumId w:val="15"/>
  </w:num>
  <w:num w:numId="101" w16cid:durableId="456804265">
    <w:abstractNumId w:val="138"/>
  </w:num>
  <w:num w:numId="102" w16cid:durableId="1998341270">
    <w:abstractNumId w:val="155"/>
  </w:num>
  <w:num w:numId="103" w16cid:durableId="1508908016">
    <w:abstractNumId w:val="18"/>
  </w:num>
  <w:num w:numId="104" w16cid:durableId="456991731">
    <w:abstractNumId w:val="152"/>
  </w:num>
  <w:num w:numId="105" w16cid:durableId="812254957">
    <w:abstractNumId w:val="60"/>
  </w:num>
  <w:num w:numId="106" w16cid:durableId="282270631">
    <w:abstractNumId w:val="169"/>
  </w:num>
  <w:num w:numId="107" w16cid:durableId="1338070270">
    <w:abstractNumId w:val="20"/>
  </w:num>
  <w:num w:numId="108" w16cid:durableId="177738098">
    <w:abstractNumId w:val="125"/>
  </w:num>
  <w:num w:numId="109" w16cid:durableId="1333214270">
    <w:abstractNumId w:val="128"/>
  </w:num>
  <w:num w:numId="110" w16cid:durableId="332223634">
    <w:abstractNumId w:val="147"/>
  </w:num>
  <w:num w:numId="111" w16cid:durableId="1232229661">
    <w:abstractNumId w:val="146"/>
  </w:num>
  <w:num w:numId="112" w16cid:durableId="703674080">
    <w:abstractNumId w:val="9"/>
  </w:num>
  <w:num w:numId="113" w16cid:durableId="1308313987">
    <w:abstractNumId w:val="137"/>
  </w:num>
  <w:num w:numId="114" w16cid:durableId="784616425">
    <w:abstractNumId w:val="72"/>
  </w:num>
  <w:num w:numId="115" w16cid:durableId="635574602">
    <w:abstractNumId w:val="179"/>
  </w:num>
  <w:num w:numId="116" w16cid:durableId="960843146">
    <w:abstractNumId w:val="51"/>
  </w:num>
  <w:num w:numId="117" w16cid:durableId="1758477082">
    <w:abstractNumId w:val="181"/>
  </w:num>
  <w:num w:numId="118" w16cid:durableId="835612153">
    <w:abstractNumId w:val="12"/>
  </w:num>
  <w:num w:numId="119" w16cid:durableId="189759454">
    <w:abstractNumId w:val="104"/>
  </w:num>
  <w:num w:numId="120" w16cid:durableId="605386797">
    <w:abstractNumId w:val="105"/>
  </w:num>
  <w:num w:numId="121" w16cid:durableId="558171709">
    <w:abstractNumId w:val="50"/>
  </w:num>
  <w:num w:numId="122" w16cid:durableId="630985312">
    <w:abstractNumId w:val="8"/>
  </w:num>
  <w:num w:numId="123" w16cid:durableId="793644478">
    <w:abstractNumId w:val="34"/>
  </w:num>
  <w:num w:numId="124" w16cid:durableId="1805997603">
    <w:abstractNumId w:val="130"/>
  </w:num>
  <w:num w:numId="125" w16cid:durableId="1565525961">
    <w:abstractNumId w:val="89"/>
  </w:num>
  <w:num w:numId="126" w16cid:durableId="1347825118">
    <w:abstractNumId w:val="108"/>
    <w:lvlOverride w:ilvl="0">
      <w:startOverride w:val="1"/>
    </w:lvlOverride>
  </w:num>
  <w:num w:numId="127" w16cid:durableId="579870416">
    <w:abstractNumId w:val="91"/>
  </w:num>
  <w:num w:numId="128" w16cid:durableId="352071751">
    <w:abstractNumId w:val="95"/>
  </w:num>
  <w:num w:numId="129" w16cid:durableId="554780265">
    <w:abstractNumId w:val="141"/>
  </w:num>
  <w:num w:numId="130" w16cid:durableId="2008358948">
    <w:abstractNumId w:val="97"/>
  </w:num>
  <w:num w:numId="131" w16cid:durableId="1537035777">
    <w:abstractNumId w:val="116"/>
  </w:num>
  <w:num w:numId="132" w16cid:durableId="103695543">
    <w:abstractNumId w:val="142"/>
  </w:num>
  <w:num w:numId="133" w16cid:durableId="1855679849">
    <w:abstractNumId w:val="71"/>
  </w:num>
  <w:num w:numId="134" w16cid:durableId="1632899543">
    <w:abstractNumId w:val="35"/>
  </w:num>
  <w:num w:numId="135" w16cid:durableId="259291582">
    <w:abstractNumId w:val="84"/>
  </w:num>
  <w:num w:numId="136" w16cid:durableId="1049962586">
    <w:abstractNumId w:val="90"/>
  </w:num>
  <w:num w:numId="137" w16cid:durableId="532769990">
    <w:abstractNumId w:val="75"/>
  </w:num>
  <w:num w:numId="138" w16cid:durableId="2138647276">
    <w:abstractNumId w:val="107"/>
  </w:num>
  <w:num w:numId="139" w16cid:durableId="1967081158">
    <w:abstractNumId w:val="139"/>
  </w:num>
  <w:num w:numId="140" w16cid:durableId="1359115639">
    <w:abstractNumId w:val="143"/>
  </w:num>
  <w:num w:numId="141" w16cid:durableId="2035226523">
    <w:abstractNumId w:val="112"/>
  </w:num>
  <w:num w:numId="142" w16cid:durableId="477187121">
    <w:abstractNumId w:val="92"/>
  </w:num>
  <w:num w:numId="143" w16cid:durableId="2073960352">
    <w:abstractNumId w:val="153"/>
  </w:num>
  <w:num w:numId="144" w16cid:durableId="167452524">
    <w:abstractNumId w:val="68"/>
  </w:num>
  <w:num w:numId="145" w16cid:durableId="2140757550">
    <w:abstractNumId w:val="134"/>
  </w:num>
  <w:num w:numId="146" w16cid:durableId="1464343333">
    <w:abstractNumId w:val="45"/>
  </w:num>
  <w:num w:numId="147" w16cid:durableId="1198785418">
    <w:abstractNumId w:val="1"/>
  </w:num>
  <w:num w:numId="148" w16cid:durableId="1424260136">
    <w:abstractNumId w:val="124"/>
  </w:num>
  <w:num w:numId="149" w16cid:durableId="1328092047">
    <w:abstractNumId w:val="122"/>
  </w:num>
  <w:num w:numId="150" w16cid:durableId="1490051260">
    <w:abstractNumId w:val="120"/>
  </w:num>
  <w:num w:numId="151" w16cid:durableId="383527886">
    <w:abstractNumId w:val="78"/>
  </w:num>
  <w:num w:numId="152" w16cid:durableId="1363165940">
    <w:abstractNumId w:val="58"/>
  </w:num>
  <w:num w:numId="153" w16cid:durableId="581253569">
    <w:abstractNumId w:val="113"/>
  </w:num>
  <w:num w:numId="154" w16cid:durableId="64229589">
    <w:abstractNumId w:val="177"/>
  </w:num>
  <w:num w:numId="155" w16cid:durableId="734355460">
    <w:abstractNumId w:val="126"/>
  </w:num>
  <w:num w:numId="156" w16cid:durableId="1926763052">
    <w:abstractNumId w:val="132"/>
  </w:num>
  <w:num w:numId="157" w16cid:durableId="274605616">
    <w:abstractNumId w:val="110"/>
  </w:num>
  <w:num w:numId="158" w16cid:durableId="1441100916">
    <w:abstractNumId w:val="101"/>
  </w:num>
  <w:num w:numId="159" w16cid:durableId="407190903">
    <w:abstractNumId w:val="106"/>
  </w:num>
  <w:num w:numId="160" w16cid:durableId="1702978112">
    <w:abstractNumId w:val="173"/>
  </w:num>
  <w:num w:numId="161" w16cid:durableId="1647541252">
    <w:abstractNumId w:val="172"/>
  </w:num>
  <w:num w:numId="162" w16cid:durableId="694622212">
    <w:abstractNumId w:val="4"/>
  </w:num>
  <w:num w:numId="163" w16cid:durableId="1366636568">
    <w:abstractNumId w:val="54"/>
  </w:num>
  <w:num w:numId="164" w16cid:durableId="1692415052">
    <w:abstractNumId w:val="81"/>
  </w:num>
  <w:num w:numId="165" w16cid:durableId="1671323256">
    <w:abstractNumId w:val="156"/>
  </w:num>
  <w:num w:numId="166" w16cid:durableId="692922407">
    <w:abstractNumId w:val="70"/>
  </w:num>
  <w:num w:numId="167" w16cid:durableId="618875962">
    <w:abstractNumId w:val="26"/>
  </w:num>
  <w:num w:numId="168" w16cid:durableId="972634215">
    <w:abstractNumId w:val="17"/>
  </w:num>
  <w:num w:numId="169" w16cid:durableId="768159002">
    <w:abstractNumId w:val="170"/>
  </w:num>
  <w:num w:numId="170" w16cid:durableId="1418868364">
    <w:abstractNumId w:val="109"/>
  </w:num>
  <w:num w:numId="171" w16cid:durableId="1118260135">
    <w:abstractNumId w:val="178"/>
  </w:num>
  <w:num w:numId="172" w16cid:durableId="1251432948">
    <w:abstractNumId w:val="76"/>
  </w:num>
  <w:num w:numId="173" w16cid:durableId="1126503305">
    <w:abstractNumId w:val="62"/>
  </w:num>
  <w:num w:numId="174" w16cid:durableId="1253508313">
    <w:abstractNumId w:val="38"/>
  </w:num>
  <w:num w:numId="175" w16cid:durableId="1853568749">
    <w:abstractNumId w:val="151"/>
  </w:num>
  <w:num w:numId="176" w16cid:durableId="99033196">
    <w:abstractNumId w:val="167"/>
  </w:num>
  <w:num w:numId="177" w16cid:durableId="265235776">
    <w:abstractNumId w:val="39"/>
  </w:num>
  <w:num w:numId="178" w16cid:durableId="34087010">
    <w:abstractNumId w:val="182"/>
  </w:num>
  <w:num w:numId="179" w16cid:durableId="687105614">
    <w:abstractNumId w:val="32"/>
  </w:num>
  <w:num w:numId="180" w16cid:durableId="26568186">
    <w:abstractNumId w:val="66"/>
  </w:num>
  <w:num w:numId="181" w16cid:durableId="2138908117">
    <w:abstractNumId w:val="41"/>
  </w:num>
  <w:num w:numId="182" w16cid:durableId="1025129450">
    <w:abstractNumId w:val="114"/>
  </w:num>
  <w:num w:numId="183" w16cid:durableId="508957131">
    <w:abstractNumId w:val="133"/>
  </w:num>
  <w:num w:numId="184" w16cid:durableId="1093163508">
    <w:abstractNumId w:val="46"/>
  </w:num>
  <w:num w:numId="185" w16cid:durableId="1630551915">
    <w:abstractNumId w:val="79"/>
  </w:num>
  <w:num w:numId="186" w16cid:durableId="616260654">
    <w:abstractNumId w:val="164"/>
  </w:num>
  <w:num w:numId="187" w16cid:durableId="781190722">
    <w:abstractNumId w:val="8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3C2"/>
    <w:rsid w:val="00001407"/>
    <w:rsid w:val="000019C3"/>
    <w:rsid w:val="00002233"/>
    <w:rsid w:val="0000243E"/>
    <w:rsid w:val="000048A5"/>
    <w:rsid w:val="000137CB"/>
    <w:rsid w:val="00015CDD"/>
    <w:rsid w:val="0001792F"/>
    <w:rsid w:val="00020D96"/>
    <w:rsid w:val="00023AAB"/>
    <w:rsid w:val="000263D7"/>
    <w:rsid w:val="000348DD"/>
    <w:rsid w:val="00041DA3"/>
    <w:rsid w:val="00053116"/>
    <w:rsid w:val="000623FF"/>
    <w:rsid w:val="00064851"/>
    <w:rsid w:val="000704D0"/>
    <w:rsid w:val="00082578"/>
    <w:rsid w:val="00083305"/>
    <w:rsid w:val="0009350E"/>
    <w:rsid w:val="000950B7"/>
    <w:rsid w:val="000A1394"/>
    <w:rsid w:val="000A2E38"/>
    <w:rsid w:val="000A3F9E"/>
    <w:rsid w:val="000A43D2"/>
    <w:rsid w:val="000B0CA7"/>
    <w:rsid w:val="000B28BE"/>
    <w:rsid w:val="000B6825"/>
    <w:rsid w:val="000B7335"/>
    <w:rsid w:val="000C15B9"/>
    <w:rsid w:val="000C3852"/>
    <w:rsid w:val="000C49F3"/>
    <w:rsid w:val="000D5764"/>
    <w:rsid w:val="000E61B1"/>
    <w:rsid w:val="000F510C"/>
    <w:rsid w:val="000F53FE"/>
    <w:rsid w:val="000F6940"/>
    <w:rsid w:val="00103E72"/>
    <w:rsid w:val="00104A51"/>
    <w:rsid w:val="0011551C"/>
    <w:rsid w:val="00115718"/>
    <w:rsid w:val="00123B55"/>
    <w:rsid w:val="00126199"/>
    <w:rsid w:val="0013313A"/>
    <w:rsid w:val="00136366"/>
    <w:rsid w:val="00162CFE"/>
    <w:rsid w:val="0017209D"/>
    <w:rsid w:val="001807C2"/>
    <w:rsid w:val="00186D34"/>
    <w:rsid w:val="001A244B"/>
    <w:rsid w:val="001A2F69"/>
    <w:rsid w:val="001A4CD6"/>
    <w:rsid w:val="001B4B4F"/>
    <w:rsid w:val="001B4EED"/>
    <w:rsid w:val="001D2F82"/>
    <w:rsid w:val="001D4721"/>
    <w:rsid w:val="001E7B87"/>
    <w:rsid w:val="00203D85"/>
    <w:rsid w:val="0020536F"/>
    <w:rsid w:val="00211C49"/>
    <w:rsid w:val="00222C36"/>
    <w:rsid w:val="00224C0F"/>
    <w:rsid w:val="00240DAF"/>
    <w:rsid w:val="0026455C"/>
    <w:rsid w:val="002669FD"/>
    <w:rsid w:val="00270774"/>
    <w:rsid w:val="00271C55"/>
    <w:rsid w:val="00271E7C"/>
    <w:rsid w:val="00292405"/>
    <w:rsid w:val="00292D3D"/>
    <w:rsid w:val="00293962"/>
    <w:rsid w:val="0029443E"/>
    <w:rsid w:val="0029484B"/>
    <w:rsid w:val="002A05DB"/>
    <w:rsid w:val="002A4744"/>
    <w:rsid w:val="002B08E1"/>
    <w:rsid w:val="002B097D"/>
    <w:rsid w:val="002B5D94"/>
    <w:rsid w:val="002C2A6B"/>
    <w:rsid w:val="002C679E"/>
    <w:rsid w:val="002C7087"/>
    <w:rsid w:val="002D6B02"/>
    <w:rsid w:val="002D727F"/>
    <w:rsid w:val="002E3EE0"/>
    <w:rsid w:val="002E4091"/>
    <w:rsid w:val="002F247F"/>
    <w:rsid w:val="002F4776"/>
    <w:rsid w:val="002F66E5"/>
    <w:rsid w:val="002F7519"/>
    <w:rsid w:val="003026B0"/>
    <w:rsid w:val="00302BD2"/>
    <w:rsid w:val="003108B4"/>
    <w:rsid w:val="00310BCE"/>
    <w:rsid w:val="003119D8"/>
    <w:rsid w:val="00320061"/>
    <w:rsid w:val="00333FB5"/>
    <w:rsid w:val="003349C6"/>
    <w:rsid w:val="00334E78"/>
    <w:rsid w:val="00336EBC"/>
    <w:rsid w:val="00337AAF"/>
    <w:rsid w:val="0034680D"/>
    <w:rsid w:val="00352182"/>
    <w:rsid w:val="00352A34"/>
    <w:rsid w:val="00353092"/>
    <w:rsid w:val="00354ADE"/>
    <w:rsid w:val="00356E7A"/>
    <w:rsid w:val="00356F45"/>
    <w:rsid w:val="00357C1D"/>
    <w:rsid w:val="00360F1F"/>
    <w:rsid w:val="00361067"/>
    <w:rsid w:val="00367EC4"/>
    <w:rsid w:val="00375603"/>
    <w:rsid w:val="00376267"/>
    <w:rsid w:val="0038014D"/>
    <w:rsid w:val="00384A96"/>
    <w:rsid w:val="0039215F"/>
    <w:rsid w:val="00394947"/>
    <w:rsid w:val="003959F5"/>
    <w:rsid w:val="003A7943"/>
    <w:rsid w:val="003B14D5"/>
    <w:rsid w:val="003B58C1"/>
    <w:rsid w:val="003B71DB"/>
    <w:rsid w:val="003C06DA"/>
    <w:rsid w:val="003C09D9"/>
    <w:rsid w:val="003C10C9"/>
    <w:rsid w:val="003C33B3"/>
    <w:rsid w:val="003C6A20"/>
    <w:rsid w:val="003C7A92"/>
    <w:rsid w:val="003D65FD"/>
    <w:rsid w:val="003E57F4"/>
    <w:rsid w:val="003F0363"/>
    <w:rsid w:val="003F1338"/>
    <w:rsid w:val="00401947"/>
    <w:rsid w:val="0040274F"/>
    <w:rsid w:val="004049BF"/>
    <w:rsid w:val="00410B9F"/>
    <w:rsid w:val="004163EB"/>
    <w:rsid w:val="00422016"/>
    <w:rsid w:val="00437EDE"/>
    <w:rsid w:val="004401C9"/>
    <w:rsid w:val="00440C97"/>
    <w:rsid w:val="0044126D"/>
    <w:rsid w:val="004416BA"/>
    <w:rsid w:val="0044247B"/>
    <w:rsid w:val="00444B19"/>
    <w:rsid w:val="00450090"/>
    <w:rsid w:val="004507A1"/>
    <w:rsid w:val="004534C9"/>
    <w:rsid w:val="0046605F"/>
    <w:rsid w:val="00470CA6"/>
    <w:rsid w:val="004739DE"/>
    <w:rsid w:val="00485C6B"/>
    <w:rsid w:val="00486741"/>
    <w:rsid w:val="004936A2"/>
    <w:rsid w:val="0049441E"/>
    <w:rsid w:val="0049792B"/>
    <w:rsid w:val="004A0B4E"/>
    <w:rsid w:val="004B1321"/>
    <w:rsid w:val="004B28C5"/>
    <w:rsid w:val="004C0A5A"/>
    <w:rsid w:val="004C2FD3"/>
    <w:rsid w:val="004C7D1F"/>
    <w:rsid w:val="004D1A18"/>
    <w:rsid w:val="004E13DF"/>
    <w:rsid w:val="004E483D"/>
    <w:rsid w:val="0050632C"/>
    <w:rsid w:val="005141A0"/>
    <w:rsid w:val="00514F9C"/>
    <w:rsid w:val="00517A6E"/>
    <w:rsid w:val="0052594B"/>
    <w:rsid w:val="005263BF"/>
    <w:rsid w:val="00532B48"/>
    <w:rsid w:val="00541778"/>
    <w:rsid w:val="00550961"/>
    <w:rsid w:val="00550A6F"/>
    <w:rsid w:val="0055149C"/>
    <w:rsid w:val="00556914"/>
    <w:rsid w:val="00562C5E"/>
    <w:rsid w:val="00566CC4"/>
    <w:rsid w:val="005701A4"/>
    <w:rsid w:val="005833C2"/>
    <w:rsid w:val="0058620F"/>
    <w:rsid w:val="0059432E"/>
    <w:rsid w:val="005B2074"/>
    <w:rsid w:val="005B2AAB"/>
    <w:rsid w:val="005B57B0"/>
    <w:rsid w:val="005D33C9"/>
    <w:rsid w:val="005D4F32"/>
    <w:rsid w:val="005E57DF"/>
    <w:rsid w:val="005F058B"/>
    <w:rsid w:val="005F05DA"/>
    <w:rsid w:val="005F2466"/>
    <w:rsid w:val="0060079A"/>
    <w:rsid w:val="00603DCA"/>
    <w:rsid w:val="006103CC"/>
    <w:rsid w:val="00617808"/>
    <w:rsid w:val="00617F25"/>
    <w:rsid w:val="006305D8"/>
    <w:rsid w:val="00634499"/>
    <w:rsid w:val="0063588E"/>
    <w:rsid w:val="00645FCD"/>
    <w:rsid w:val="00654BC8"/>
    <w:rsid w:val="006566EA"/>
    <w:rsid w:val="00660A89"/>
    <w:rsid w:val="006616F0"/>
    <w:rsid w:val="006647F3"/>
    <w:rsid w:val="00665BA9"/>
    <w:rsid w:val="00674841"/>
    <w:rsid w:val="00690AF1"/>
    <w:rsid w:val="00697C03"/>
    <w:rsid w:val="006A15BF"/>
    <w:rsid w:val="006A1933"/>
    <w:rsid w:val="006A6D80"/>
    <w:rsid w:val="006B48C7"/>
    <w:rsid w:val="006B5C5B"/>
    <w:rsid w:val="006B74FF"/>
    <w:rsid w:val="006C187C"/>
    <w:rsid w:val="006C3750"/>
    <w:rsid w:val="006C53AB"/>
    <w:rsid w:val="006D01CB"/>
    <w:rsid w:val="006D4AB8"/>
    <w:rsid w:val="006D621C"/>
    <w:rsid w:val="006E39CE"/>
    <w:rsid w:val="006E3C48"/>
    <w:rsid w:val="0070544D"/>
    <w:rsid w:val="007079BA"/>
    <w:rsid w:val="00715684"/>
    <w:rsid w:val="007160A6"/>
    <w:rsid w:val="00720992"/>
    <w:rsid w:val="00723B66"/>
    <w:rsid w:val="0073236C"/>
    <w:rsid w:val="007369FF"/>
    <w:rsid w:val="007429B6"/>
    <w:rsid w:val="00742BFE"/>
    <w:rsid w:val="00751621"/>
    <w:rsid w:val="0075314A"/>
    <w:rsid w:val="007553E5"/>
    <w:rsid w:val="007672B9"/>
    <w:rsid w:val="007743F7"/>
    <w:rsid w:val="00781267"/>
    <w:rsid w:val="00795527"/>
    <w:rsid w:val="007A1174"/>
    <w:rsid w:val="007A5A25"/>
    <w:rsid w:val="007B0E02"/>
    <w:rsid w:val="007B48DF"/>
    <w:rsid w:val="007C03B2"/>
    <w:rsid w:val="007C40DF"/>
    <w:rsid w:val="007C5B3C"/>
    <w:rsid w:val="007C7E58"/>
    <w:rsid w:val="00800561"/>
    <w:rsid w:val="00813760"/>
    <w:rsid w:val="00827C76"/>
    <w:rsid w:val="00836E52"/>
    <w:rsid w:val="00844263"/>
    <w:rsid w:val="008453B3"/>
    <w:rsid w:val="00846E2B"/>
    <w:rsid w:val="00850224"/>
    <w:rsid w:val="00852CC6"/>
    <w:rsid w:val="0085370F"/>
    <w:rsid w:val="00857FC4"/>
    <w:rsid w:val="00866545"/>
    <w:rsid w:val="00874896"/>
    <w:rsid w:val="008760BF"/>
    <w:rsid w:val="00881616"/>
    <w:rsid w:val="00887D5F"/>
    <w:rsid w:val="00897ACE"/>
    <w:rsid w:val="008B1C34"/>
    <w:rsid w:val="008B4164"/>
    <w:rsid w:val="008B47C9"/>
    <w:rsid w:val="008B50B4"/>
    <w:rsid w:val="008B58A4"/>
    <w:rsid w:val="008E074B"/>
    <w:rsid w:val="008E37FB"/>
    <w:rsid w:val="008F1A9E"/>
    <w:rsid w:val="009005B4"/>
    <w:rsid w:val="00906187"/>
    <w:rsid w:val="009114DC"/>
    <w:rsid w:val="00913CF7"/>
    <w:rsid w:val="00914731"/>
    <w:rsid w:val="00914B9D"/>
    <w:rsid w:val="0092178D"/>
    <w:rsid w:val="00922712"/>
    <w:rsid w:val="009326AD"/>
    <w:rsid w:val="0093274F"/>
    <w:rsid w:val="00933E96"/>
    <w:rsid w:val="00942FCC"/>
    <w:rsid w:val="009514CF"/>
    <w:rsid w:val="00956DAB"/>
    <w:rsid w:val="0095733D"/>
    <w:rsid w:val="00957E9F"/>
    <w:rsid w:val="0096023D"/>
    <w:rsid w:val="00965177"/>
    <w:rsid w:val="00967E9B"/>
    <w:rsid w:val="00970389"/>
    <w:rsid w:val="009723BA"/>
    <w:rsid w:val="00985AA5"/>
    <w:rsid w:val="009924C7"/>
    <w:rsid w:val="00992B3C"/>
    <w:rsid w:val="009942A9"/>
    <w:rsid w:val="00994785"/>
    <w:rsid w:val="009A2F41"/>
    <w:rsid w:val="009A65A6"/>
    <w:rsid w:val="009B25D8"/>
    <w:rsid w:val="009B6CE1"/>
    <w:rsid w:val="009C542C"/>
    <w:rsid w:val="009D3C75"/>
    <w:rsid w:val="009E354B"/>
    <w:rsid w:val="009E5B3F"/>
    <w:rsid w:val="009F0861"/>
    <w:rsid w:val="009F0A14"/>
    <w:rsid w:val="00A01A00"/>
    <w:rsid w:val="00A0510D"/>
    <w:rsid w:val="00A12F72"/>
    <w:rsid w:val="00A23A09"/>
    <w:rsid w:val="00A310AC"/>
    <w:rsid w:val="00A33FB3"/>
    <w:rsid w:val="00A37699"/>
    <w:rsid w:val="00A40D62"/>
    <w:rsid w:val="00A4771D"/>
    <w:rsid w:val="00A52FF9"/>
    <w:rsid w:val="00A664CB"/>
    <w:rsid w:val="00A66575"/>
    <w:rsid w:val="00A73A2F"/>
    <w:rsid w:val="00A83CE6"/>
    <w:rsid w:val="00A86121"/>
    <w:rsid w:val="00A86536"/>
    <w:rsid w:val="00A9752E"/>
    <w:rsid w:val="00A97AC9"/>
    <w:rsid w:val="00AA091F"/>
    <w:rsid w:val="00AA4E40"/>
    <w:rsid w:val="00AA5CA3"/>
    <w:rsid w:val="00AB0929"/>
    <w:rsid w:val="00AB60DA"/>
    <w:rsid w:val="00AD54F9"/>
    <w:rsid w:val="00AE1D21"/>
    <w:rsid w:val="00AF3199"/>
    <w:rsid w:val="00AF4C83"/>
    <w:rsid w:val="00B02838"/>
    <w:rsid w:val="00B06C96"/>
    <w:rsid w:val="00B07AB7"/>
    <w:rsid w:val="00B1000B"/>
    <w:rsid w:val="00B12D72"/>
    <w:rsid w:val="00B2409D"/>
    <w:rsid w:val="00B25726"/>
    <w:rsid w:val="00B34D4E"/>
    <w:rsid w:val="00B36C7B"/>
    <w:rsid w:val="00B41728"/>
    <w:rsid w:val="00B447AB"/>
    <w:rsid w:val="00B464D5"/>
    <w:rsid w:val="00B47247"/>
    <w:rsid w:val="00B47AA8"/>
    <w:rsid w:val="00B610D1"/>
    <w:rsid w:val="00B633F9"/>
    <w:rsid w:val="00B65F8B"/>
    <w:rsid w:val="00B66F1F"/>
    <w:rsid w:val="00B765DE"/>
    <w:rsid w:val="00B81641"/>
    <w:rsid w:val="00B90831"/>
    <w:rsid w:val="00B930DF"/>
    <w:rsid w:val="00BA4501"/>
    <w:rsid w:val="00BA52AB"/>
    <w:rsid w:val="00BA6D3B"/>
    <w:rsid w:val="00BB4FEE"/>
    <w:rsid w:val="00BD2575"/>
    <w:rsid w:val="00BD779B"/>
    <w:rsid w:val="00BD7DC1"/>
    <w:rsid w:val="00BE27DB"/>
    <w:rsid w:val="00BF1933"/>
    <w:rsid w:val="00BF24B4"/>
    <w:rsid w:val="00C15144"/>
    <w:rsid w:val="00C24B5F"/>
    <w:rsid w:val="00C25C8E"/>
    <w:rsid w:val="00C44ECF"/>
    <w:rsid w:val="00C46614"/>
    <w:rsid w:val="00C53B35"/>
    <w:rsid w:val="00C62CD8"/>
    <w:rsid w:val="00C64BBB"/>
    <w:rsid w:val="00C65720"/>
    <w:rsid w:val="00C7528C"/>
    <w:rsid w:val="00C82A48"/>
    <w:rsid w:val="00C873DD"/>
    <w:rsid w:val="00C92FC4"/>
    <w:rsid w:val="00C94859"/>
    <w:rsid w:val="00C957AB"/>
    <w:rsid w:val="00CA3967"/>
    <w:rsid w:val="00CA3C64"/>
    <w:rsid w:val="00CB07C1"/>
    <w:rsid w:val="00CD0442"/>
    <w:rsid w:val="00CD2FF7"/>
    <w:rsid w:val="00CD55EE"/>
    <w:rsid w:val="00CD5E1D"/>
    <w:rsid w:val="00CD6E7A"/>
    <w:rsid w:val="00CE1FDD"/>
    <w:rsid w:val="00CF0ED7"/>
    <w:rsid w:val="00CF3B13"/>
    <w:rsid w:val="00D00ED1"/>
    <w:rsid w:val="00D07614"/>
    <w:rsid w:val="00D105D0"/>
    <w:rsid w:val="00D14669"/>
    <w:rsid w:val="00D235B6"/>
    <w:rsid w:val="00D24574"/>
    <w:rsid w:val="00D264C7"/>
    <w:rsid w:val="00D27EAA"/>
    <w:rsid w:val="00D32C0A"/>
    <w:rsid w:val="00D35C1F"/>
    <w:rsid w:val="00D4726A"/>
    <w:rsid w:val="00D53E33"/>
    <w:rsid w:val="00D60A13"/>
    <w:rsid w:val="00D630AF"/>
    <w:rsid w:val="00D67A17"/>
    <w:rsid w:val="00D73F11"/>
    <w:rsid w:val="00D802B3"/>
    <w:rsid w:val="00D80FAD"/>
    <w:rsid w:val="00D827CF"/>
    <w:rsid w:val="00D9216A"/>
    <w:rsid w:val="00D93E3A"/>
    <w:rsid w:val="00DA0185"/>
    <w:rsid w:val="00DA170A"/>
    <w:rsid w:val="00DA3C15"/>
    <w:rsid w:val="00DA3F51"/>
    <w:rsid w:val="00DB1744"/>
    <w:rsid w:val="00DB3070"/>
    <w:rsid w:val="00DC2407"/>
    <w:rsid w:val="00DC2FDC"/>
    <w:rsid w:val="00DC378F"/>
    <w:rsid w:val="00DD1361"/>
    <w:rsid w:val="00DE7B83"/>
    <w:rsid w:val="00DF249B"/>
    <w:rsid w:val="00E01112"/>
    <w:rsid w:val="00E01435"/>
    <w:rsid w:val="00E10042"/>
    <w:rsid w:val="00E176E9"/>
    <w:rsid w:val="00E229CA"/>
    <w:rsid w:val="00E23B7C"/>
    <w:rsid w:val="00E305E3"/>
    <w:rsid w:val="00E3093B"/>
    <w:rsid w:val="00E4089F"/>
    <w:rsid w:val="00E4513D"/>
    <w:rsid w:val="00E459E8"/>
    <w:rsid w:val="00E45BE0"/>
    <w:rsid w:val="00E509CB"/>
    <w:rsid w:val="00E61144"/>
    <w:rsid w:val="00E75501"/>
    <w:rsid w:val="00E773E2"/>
    <w:rsid w:val="00E820D0"/>
    <w:rsid w:val="00E92AC2"/>
    <w:rsid w:val="00EA72F3"/>
    <w:rsid w:val="00EA7D58"/>
    <w:rsid w:val="00EB363E"/>
    <w:rsid w:val="00EB3E04"/>
    <w:rsid w:val="00EB5087"/>
    <w:rsid w:val="00EB6B85"/>
    <w:rsid w:val="00EC0242"/>
    <w:rsid w:val="00EC5B31"/>
    <w:rsid w:val="00ED2B7C"/>
    <w:rsid w:val="00ED3707"/>
    <w:rsid w:val="00ED748D"/>
    <w:rsid w:val="00EE46B7"/>
    <w:rsid w:val="00EE6D9E"/>
    <w:rsid w:val="00EF05F2"/>
    <w:rsid w:val="00EF347A"/>
    <w:rsid w:val="00EF3BDB"/>
    <w:rsid w:val="00F04BE5"/>
    <w:rsid w:val="00F051A0"/>
    <w:rsid w:val="00F07956"/>
    <w:rsid w:val="00F111E2"/>
    <w:rsid w:val="00F115B1"/>
    <w:rsid w:val="00F12C8D"/>
    <w:rsid w:val="00F33BE0"/>
    <w:rsid w:val="00F363BE"/>
    <w:rsid w:val="00F41F7D"/>
    <w:rsid w:val="00F52793"/>
    <w:rsid w:val="00F616D9"/>
    <w:rsid w:val="00F61793"/>
    <w:rsid w:val="00F70282"/>
    <w:rsid w:val="00F749BC"/>
    <w:rsid w:val="00F75A45"/>
    <w:rsid w:val="00F761FA"/>
    <w:rsid w:val="00F80E21"/>
    <w:rsid w:val="00F84F29"/>
    <w:rsid w:val="00F85A91"/>
    <w:rsid w:val="00F970EC"/>
    <w:rsid w:val="00FC0235"/>
    <w:rsid w:val="00FC448E"/>
    <w:rsid w:val="00FD01B3"/>
    <w:rsid w:val="00FD2376"/>
    <w:rsid w:val="00FD444A"/>
    <w:rsid w:val="00FD6CA3"/>
    <w:rsid w:val="00FE1990"/>
    <w:rsid w:val="00FE4038"/>
    <w:rsid w:val="00FE5834"/>
    <w:rsid w:val="00FE6638"/>
    <w:rsid w:val="00FF01CA"/>
    <w:rsid w:val="00FF2D1C"/>
    <w:rsid w:val="00FF2D6D"/>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390D"/>
  <w15:chartTrackingRefBased/>
  <w15:docId w15:val="{1B04131F-A368-448A-B3B7-A716C928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7CB"/>
    <w:rPr>
      <w:lang w:val="en-GB"/>
    </w:rPr>
  </w:style>
  <w:style w:type="paragraph" w:styleId="Heading1">
    <w:name w:val="heading 1"/>
    <w:basedOn w:val="Normal"/>
    <w:next w:val="Normal"/>
    <w:link w:val="Heading1Char"/>
    <w:uiPriority w:val="9"/>
    <w:qFormat/>
    <w:rsid w:val="00A9752E"/>
    <w:pPr>
      <w:keepNext/>
      <w:keepLines/>
      <w:spacing w:before="360" w:after="80"/>
      <w:outlineLvl w:val="0"/>
    </w:pPr>
    <w:rPr>
      <w:rFonts w:asciiTheme="majorHAnsi" w:eastAsiaTheme="majorEastAsia" w:hAnsiTheme="majorHAnsi" w:cstheme="majorBidi"/>
      <w:b/>
      <w:color w:val="0070C0"/>
      <w:kern w:val="2"/>
      <w:sz w:val="28"/>
      <w:szCs w:val="40"/>
      <w:lang w:val="hr-HR"/>
      <w14:ligatures w14:val="standardContextual"/>
    </w:rPr>
  </w:style>
  <w:style w:type="paragraph" w:styleId="Heading2">
    <w:name w:val="heading 2"/>
    <w:basedOn w:val="Normal"/>
    <w:next w:val="Normal"/>
    <w:link w:val="Heading2Char"/>
    <w:uiPriority w:val="9"/>
    <w:unhideWhenUsed/>
    <w:qFormat/>
    <w:rsid w:val="00B07AB7"/>
    <w:pPr>
      <w:keepNext/>
      <w:keepLines/>
      <w:spacing w:before="160" w:after="80"/>
      <w:outlineLvl w:val="1"/>
    </w:pPr>
    <w:rPr>
      <w:rFonts w:asciiTheme="majorHAnsi" w:eastAsiaTheme="majorEastAsia" w:hAnsiTheme="majorHAnsi" w:cstheme="majorBidi"/>
      <w:b/>
      <w:color w:val="0070C0"/>
      <w:kern w:val="2"/>
      <w:sz w:val="24"/>
      <w:szCs w:val="32"/>
      <w:lang w:val="hr-HR"/>
      <w14:ligatures w14:val="standardContextual"/>
    </w:rPr>
  </w:style>
  <w:style w:type="paragraph" w:styleId="Heading3">
    <w:name w:val="heading 3"/>
    <w:basedOn w:val="Normal"/>
    <w:next w:val="Normal"/>
    <w:link w:val="Heading3Char"/>
    <w:uiPriority w:val="9"/>
    <w:unhideWhenUsed/>
    <w:qFormat/>
    <w:rsid w:val="00064851"/>
    <w:pPr>
      <w:keepNext/>
      <w:keepLines/>
      <w:spacing w:before="160" w:after="80"/>
      <w:outlineLvl w:val="2"/>
    </w:pPr>
    <w:rPr>
      <w:rFonts w:eastAsiaTheme="majorEastAsia" w:cstheme="majorBidi"/>
      <w:color w:val="0070C0"/>
      <w:kern w:val="2"/>
      <w:szCs w:val="28"/>
      <w:lang w:val="hr-HR"/>
      <w14:ligatures w14:val="standardContextual"/>
    </w:rPr>
  </w:style>
  <w:style w:type="paragraph" w:styleId="Heading4">
    <w:name w:val="heading 4"/>
    <w:basedOn w:val="Normal"/>
    <w:next w:val="Normal"/>
    <w:link w:val="Heading4Char"/>
    <w:uiPriority w:val="9"/>
    <w:unhideWhenUsed/>
    <w:qFormat/>
    <w:rsid w:val="00FC0235"/>
    <w:pPr>
      <w:keepNext/>
      <w:keepLines/>
      <w:spacing w:before="80" w:after="40"/>
      <w:outlineLvl w:val="3"/>
    </w:pPr>
    <w:rPr>
      <w:rFonts w:eastAsiaTheme="majorEastAsia" w:cstheme="majorBidi"/>
      <w:i/>
      <w:iCs/>
      <w:kern w:val="2"/>
      <w:lang w:val="hr-HR"/>
      <w14:ligatures w14:val="standardContextual"/>
    </w:rPr>
  </w:style>
  <w:style w:type="paragraph" w:styleId="Heading5">
    <w:name w:val="heading 5"/>
    <w:basedOn w:val="Normal"/>
    <w:next w:val="Normal"/>
    <w:link w:val="Heading5Char"/>
    <w:uiPriority w:val="9"/>
    <w:semiHidden/>
    <w:unhideWhenUsed/>
    <w:qFormat/>
    <w:rsid w:val="00115718"/>
    <w:pPr>
      <w:keepNext/>
      <w:keepLines/>
      <w:spacing w:before="80" w:after="40"/>
      <w:outlineLvl w:val="4"/>
    </w:pPr>
    <w:rPr>
      <w:rFonts w:eastAsiaTheme="majorEastAsia" w:cstheme="majorBidi"/>
      <w:color w:val="2F5496" w:themeColor="accent1" w:themeShade="BF"/>
      <w:kern w:val="2"/>
      <w:lang w:val="hr-HR"/>
      <w14:ligatures w14:val="standardContextual"/>
    </w:rPr>
  </w:style>
  <w:style w:type="paragraph" w:styleId="Heading6">
    <w:name w:val="heading 6"/>
    <w:basedOn w:val="Normal"/>
    <w:next w:val="Normal"/>
    <w:link w:val="Heading6Char"/>
    <w:uiPriority w:val="9"/>
    <w:semiHidden/>
    <w:unhideWhenUsed/>
    <w:qFormat/>
    <w:rsid w:val="00115718"/>
    <w:pPr>
      <w:keepNext/>
      <w:keepLines/>
      <w:spacing w:before="40" w:after="0"/>
      <w:outlineLvl w:val="5"/>
    </w:pPr>
    <w:rPr>
      <w:rFonts w:eastAsiaTheme="majorEastAsia" w:cstheme="majorBidi"/>
      <w:i/>
      <w:iCs/>
      <w:color w:val="595959" w:themeColor="text1" w:themeTint="A6"/>
      <w:kern w:val="2"/>
      <w:lang w:val="hr-HR"/>
      <w14:ligatures w14:val="standardContextual"/>
    </w:rPr>
  </w:style>
  <w:style w:type="paragraph" w:styleId="Heading7">
    <w:name w:val="heading 7"/>
    <w:basedOn w:val="Normal"/>
    <w:next w:val="Normal"/>
    <w:link w:val="Heading7Char"/>
    <w:uiPriority w:val="9"/>
    <w:semiHidden/>
    <w:unhideWhenUsed/>
    <w:qFormat/>
    <w:rsid w:val="00115718"/>
    <w:pPr>
      <w:keepNext/>
      <w:keepLines/>
      <w:spacing w:before="40" w:after="0"/>
      <w:outlineLvl w:val="6"/>
    </w:pPr>
    <w:rPr>
      <w:rFonts w:eastAsiaTheme="majorEastAsia" w:cstheme="majorBidi"/>
      <w:color w:val="595959" w:themeColor="text1" w:themeTint="A6"/>
      <w:kern w:val="2"/>
      <w:lang w:val="hr-HR"/>
      <w14:ligatures w14:val="standardContextual"/>
    </w:rPr>
  </w:style>
  <w:style w:type="paragraph" w:styleId="Heading8">
    <w:name w:val="heading 8"/>
    <w:basedOn w:val="Normal"/>
    <w:next w:val="Normal"/>
    <w:link w:val="Heading8Char"/>
    <w:uiPriority w:val="9"/>
    <w:semiHidden/>
    <w:unhideWhenUsed/>
    <w:qFormat/>
    <w:rsid w:val="00115718"/>
    <w:pPr>
      <w:keepNext/>
      <w:keepLines/>
      <w:spacing w:after="0"/>
      <w:outlineLvl w:val="7"/>
    </w:pPr>
    <w:rPr>
      <w:rFonts w:eastAsiaTheme="majorEastAsia" w:cstheme="majorBidi"/>
      <w:i/>
      <w:iCs/>
      <w:color w:val="272727" w:themeColor="text1" w:themeTint="D8"/>
      <w:kern w:val="2"/>
      <w:lang w:val="hr-HR"/>
      <w14:ligatures w14:val="standardContextual"/>
    </w:rPr>
  </w:style>
  <w:style w:type="paragraph" w:styleId="Heading9">
    <w:name w:val="heading 9"/>
    <w:basedOn w:val="Normal"/>
    <w:next w:val="Normal"/>
    <w:link w:val="Heading9Char"/>
    <w:uiPriority w:val="9"/>
    <w:semiHidden/>
    <w:unhideWhenUsed/>
    <w:qFormat/>
    <w:rsid w:val="00115718"/>
    <w:pPr>
      <w:keepNext/>
      <w:keepLines/>
      <w:spacing w:after="0"/>
      <w:outlineLvl w:val="8"/>
    </w:pPr>
    <w:rPr>
      <w:rFonts w:eastAsiaTheme="majorEastAsia" w:cstheme="majorBidi"/>
      <w:color w:val="272727" w:themeColor="text1" w:themeTint="D8"/>
      <w:kern w:val="2"/>
      <w:lang w:val="hr-HR"/>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833C2"/>
    <w:pPr>
      <w:autoSpaceDE w:val="0"/>
      <w:autoSpaceDN w:val="0"/>
      <w:adjustRightInd w:val="0"/>
      <w:spacing w:after="0" w:line="240" w:lineRule="auto"/>
    </w:pPr>
    <w:rPr>
      <w:rFonts w:ascii="Cambria" w:hAnsi="Cambria" w:cs="Cambria"/>
      <w:color w:val="000000"/>
      <w:sz w:val="24"/>
      <w:szCs w:val="24"/>
    </w:rPr>
  </w:style>
  <w:style w:type="paragraph" w:styleId="Header">
    <w:name w:val="header"/>
    <w:basedOn w:val="Normal"/>
    <w:link w:val="HeaderChar"/>
    <w:uiPriority w:val="99"/>
    <w:unhideWhenUsed/>
    <w:rsid w:val="00583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3C2"/>
  </w:style>
  <w:style w:type="paragraph" w:styleId="Footer">
    <w:name w:val="footer"/>
    <w:basedOn w:val="Normal"/>
    <w:link w:val="FooterChar"/>
    <w:uiPriority w:val="99"/>
    <w:unhideWhenUsed/>
    <w:rsid w:val="00583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3C2"/>
  </w:style>
  <w:style w:type="paragraph" w:styleId="ListParagraph">
    <w:name w:val="List Paragraph"/>
    <w:basedOn w:val="Normal"/>
    <w:uiPriority w:val="34"/>
    <w:qFormat/>
    <w:rsid w:val="00CD55EE"/>
    <w:pPr>
      <w:ind w:left="720"/>
      <w:contextualSpacing/>
    </w:pPr>
  </w:style>
  <w:style w:type="paragraph" w:styleId="NoSpacing">
    <w:name w:val="No Spacing"/>
    <w:uiPriority w:val="1"/>
    <w:qFormat/>
    <w:rsid w:val="0017209D"/>
    <w:pPr>
      <w:spacing w:after="0" w:line="240" w:lineRule="auto"/>
    </w:pPr>
    <w:rPr>
      <w:kern w:val="2"/>
      <w:sz w:val="24"/>
      <w:szCs w:val="24"/>
      <w:lang w:val="hr-HR"/>
      <w14:ligatures w14:val="standardContextual"/>
    </w:rPr>
  </w:style>
  <w:style w:type="character" w:customStyle="1" w:styleId="Heading1Char">
    <w:name w:val="Heading 1 Char"/>
    <w:basedOn w:val="DefaultParagraphFont"/>
    <w:link w:val="Heading1"/>
    <w:uiPriority w:val="9"/>
    <w:rsid w:val="00A9752E"/>
    <w:rPr>
      <w:rFonts w:asciiTheme="majorHAnsi" w:eastAsiaTheme="majorEastAsia" w:hAnsiTheme="majorHAnsi" w:cstheme="majorBidi"/>
      <w:b/>
      <w:color w:val="0070C0"/>
      <w:kern w:val="2"/>
      <w:sz w:val="28"/>
      <w:szCs w:val="40"/>
      <w:lang w:val="hr-HR"/>
      <w14:ligatures w14:val="standardContextual"/>
    </w:rPr>
  </w:style>
  <w:style w:type="character" w:customStyle="1" w:styleId="Heading2Char">
    <w:name w:val="Heading 2 Char"/>
    <w:basedOn w:val="DefaultParagraphFont"/>
    <w:link w:val="Heading2"/>
    <w:uiPriority w:val="9"/>
    <w:rsid w:val="00B07AB7"/>
    <w:rPr>
      <w:rFonts w:asciiTheme="majorHAnsi" w:eastAsiaTheme="majorEastAsia" w:hAnsiTheme="majorHAnsi" w:cstheme="majorBidi"/>
      <w:b/>
      <w:color w:val="0070C0"/>
      <w:kern w:val="2"/>
      <w:sz w:val="24"/>
      <w:szCs w:val="32"/>
      <w:lang w:val="hr-HR"/>
      <w14:ligatures w14:val="standardContextual"/>
    </w:rPr>
  </w:style>
  <w:style w:type="character" w:customStyle="1" w:styleId="Heading3Char">
    <w:name w:val="Heading 3 Char"/>
    <w:basedOn w:val="DefaultParagraphFont"/>
    <w:link w:val="Heading3"/>
    <w:uiPriority w:val="9"/>
    <w:rsid w:val="00064851"/>
    <w:rPr>
      <w:rFonts w:eastAsiaTheme="majorEastAsia" w:cstheme="majorBidi"/>
      <w:color w:val="0070C0"/>
      <w:kern w:val="2"/>
      <w:szCs w:val="28"/>
      <w:lang w:val="hr-HR"/>
      <w14:ligatures w14:val="standardContextual"/>
    </w:rPr>
  </w:style>
  <w:style w:type="character" w:customStyle="1" w:styleId="Heading4Char">
    <w:name w:val="Heading 4 Char"/>
    <w:basedOn w:val="DefaultParagraphFont"/>
    <w:link w:val="Heading4"/>
    <w:uiPriority w:val="9"/>
    <w:rsid w:val="00FC0235"/>
    <w:rPr>
      <w:rFonts w:eastAsiaTheme="majorEastAsia" w:cstheme="majorBidi"/>
      <w:i/>
      <w:iCs/>
      <w:kern w:val="2"/>
      <w:lang w:val="hr-HR"/>
      <w14:ligatures w14:val="standardContextual"/>
    </w:rPr>
  </w:style>
  <w:style w:type="character" w:customStyle="1" w:styleId="Heading5Char">
    <w:name w:val="Heading 5 Char"/>
    <w:basedOn w:val="DefaultParagraphFont"/>
    <w:link w:val="Heading5"/>
    <w:uiPriority w:val="9"/>
    <w:semiHidden/>
    <w:rsid w:val="00115718"/>
    <w:rPr>
      <w:rFonts w:eastAsiaTheme="majorEastAsia" w:cstheme="majorBidi"/>
      <w:color w:val="2F5496" w:themeColor="accent1" w:themeShade="BF"/>
      <w:kern w:val="2"/>
      <w:lang w:val="hr-HR"/>
      <w14:ligatures w14:val="standardContextual"/>
    </w:rPr>
  </w:style>
  <w:style w:type="character" w:customStyle="1" w:styleId="Heading6Char">
    <w:name w:val="Heading 6 Char"/>
    <w:basedOn w:val="DefaultParagraphFont"/>
    <w:link w:val="Heading6"/>
    <w:uiPriority w:val="9"/>
    <w:semiHidden/>
    <w:rsid w:val="00115718"/>
    <w:rPr>
      <w:rFonts w:eastAsiaTheme="majorEastAsia" w:cstheme="majorBidi"/>
      <w:i/>
      <w:iCs/>
      <w:color w:val="595959" w:themeColor="text1" w:themeTint="A6"/>
      <w:kern w:val="2"/>
      <w:lang w:val="hr-HR"/>
      <w14:ligatures w14:val="standardContextual"/>
    </w:rPr>
  </w:style>
  <w:style w:type="character" w:customStyle="1" w:styleId="Heading7Char">
    <w:name w:val="Heading 7 Char"/>
    <w:basedOn w:val="DefaultParagraphFont"/>
    <w:link w:val="Heading7"/>
    <w:uiPriority w:val="9"/>
    <w:semiHidden/>
    <w:rsid w:val="00115718"/>
    <w:rPr>
      <w:rFonts w:eastAsiaTheme="majorEastAsia" w:cstheme="majorBidi"/>
      <w:color w:val="595959" w:themeColor="text1" w:themeTint="A6"/>
      <w:kern w:val="2"/>
      <w:lang w:val="hr-HR"/>
      <w14:ligatures w14:val="standardContextual"/>
    </w:rPr>
  </w:style>
  <w:style w:type="character" w:customStyle="1" w:styleId="Heading8Char">
    <w:name w:val="Heading 8 Char"/>
    <w:basedOn w:val="DefaultParagraphFont"/>
    <w:link w:val="Heading8"/>
    <w:uiPriority w:val="9"/>
    <w:semiHidden/>
    <w:rsid w:val="00115718"/>
    <w:rPr>
      <w:rFonts w:eastAsiaTheme="majorEastAsia" w:cstheme="majorBidi"/>
      <w:i/>
      <w:iCs/>
      <w:color w:val="272727" w:themeColor="text1" w:themeTint="D8"/>
      <w:kern w:val="2"/>
      <w:lang w:val="hr-HR"/>
      <w14:ligatures w14:val="standardContextual"/>
    </w:rPr>
  </w:style>
  <w:style w:type="character" w:customStyle="1" w:styleId="Heading9Char">
    <w:name w:val="Heading 9 Char"/>
    <w:basedOn w:val="DefaultParagraphFont"/>
    <w:link w:val="Heading9"/>
    <w:uiPriority w:val="9"/>
    <w:semiHidden/>
    <w:rsid w:val="00115718"/>
    <w:rPr>
      <w:rFonts w:eastAsiaTheme="majorEastAsia" w:cstheme="majorBidi"/>
      <w:color w:val="272727" w:themeColor="text1" w:themeTint="D8"/>
      <w:kern w:val="2"/>
      <w:lang w:val="hr-HR"/>
      <w14:ligatures w14:val="standardContextual"/>
    </w:rPr>
  </w:style>
  <w:style w:type="paragraph" w:styleId="Title">
    <w:name w:val="Title"/>
    <w:basedOn w:val="Normal"/>
    <w:next w:val="Normal"/>
    <w:link w:val="TitleChar"/>
    <w:uiPriority w:val="10"/>
    <w:qFormat/>
    <w:rsid w:val="00115718"/>
    <w:pPr>
      <w:spacing w:after="80" w:line="240" w:lineRule="auto"/>
      <w:contextualSpacing/>
    </w:pPr>
    <w:rPr>
      <w:rFonts w:asciiTheme="majorHAnsi" w:eastAsiaTheme="majorEastAsia" w:hAnsiTheme="majorHAnsi" w:cstheme="majorBidi"/>
      <w:spacing w:val="-10"/>
      <w:kern w:val="28"/>
      <w:sz w:val="56"/>
      <w:szCs w:val="56"/>
      <w:lang w:val="hr-HR"/>
      <w14:ligatures w14:val="standardContextual"/>
    </w:rPr>
  </w:style>
  <w:style w:type="character" w:customStyle="1" w:styleId="TitleChar">
    <w:name w:val="Title Char"/>
    <w:basedOn w:val="DefaultParagraphFont"/>
    <w:link w:val="Title"/>
    <w:uiPriority w:val="10"/>
    <w:rsid w:val="00115718"/>
    <w:rPr>
      <w:rFonts w:asciiTheme="majorHAnsi" w:eastAsiaTheme="majorEastAsia" w:hAnsiTheme="majorHAnsi" w:cstheme="majorBidi"/>
      <w:spacing w:val="-10"/>
      <w:kern w:val="28"/>
      <w:sz w:val="56"/>
      <w:szCs w:val="56"/>
      <w:lang w:val="hr-HR"/>
      <w14:ligatures w14:val="standardContextual"/>
    </w:rPr>
  </w:style>
  <w:style w:type="paragraph" w:styleId="Subtitle">
    <w:name w:val="Subtitle"/>
    <w:basedOn w:val="Normal"/>
    <w:next w:val="Normal"/>
    <w:link w:val="SubtitleChar"/>
    <w:uiPriority w:val="11"/>
    <w:qFormat/>
    <w:rsid w:val="00115718"/>
    <w:pPr>
      <w:numPr>
        <w:ilvl w:val="1"/>
      </w:numPr>
    </w:pPr>
    <w:rPr>
      <w:rFonts w:eastAsiaTheme="majorEastAsia" w:cstheme="majorBidi"/>
      <w:color w:val="595959" w:themeColor="text1" w:themeTint="A6"/>
      <w:spacing w:val="15"/>
      <w:kern w:val="2"/>
      <w:sz w:val="28"/>
      <w:szCs w:val="28"/>
      <w:lang w:val="hr-HR"/>
      <w14:ligatures w14:val="standardContextual"/>
    </w:rPr>
  </w:style>
  <w:style w:type="character" w:customStyle="1" w:styleId="SubtitleChar">
    <w:name w:val="Subtitle Char"/>
    <w:basedOn w:val="DefaultParagraphFont"/>
    <w:link w:val="Subtitle"/>
    <w:uiPriority w:val="11"/>
    <w:rsid w:val="00115718"/>
    <w:rPr>
      <w:rFonts w:eastAsiaTheme="majorEastAsia" w:cstheme="majorBidi"/>
      <w:color w:val="595959" w:themeColor="text1" w:themeTint="A6"/>
      <w:spacing w:val="15"/>
      <w:kern w:val="2"/>
      <w:sz w:val="28"/>
      <w:szCs w:val="28"/>
      <w:lang w:val="hr-HR"/>
      <w14:ligatures w14:val="standardContextual"/>
    </w:rPr>
  </w:style>
  <w:style w:type="paragraph" w:styleId="Quote">
    <w:name w:val="Quote"/>
    <w:basedOn w:val="Normal"/>
    <w:next w:val="Normal"/>
    <w:link w:val="QuoteChar"/>
    <w:uiPriority w:val="29"/>
    <w:qFormat/>
    <w:rsid w:val="00115718"/>
    <w:pPr>
      <w:spacing w:before="160"/>
      <w:jc w:val="center"/>
    </w:pPr>
    <w:rPr>
      <w:i/>
      <w:iCs/>
      <w:color w:val="404040" w:themeColor="text1" w:themeTint="BF"/>
      <w:kern w:val="2"/>
      <w:lang w:val="hr-HR"/>
      <w14:ligatures w14:val="standardContextual"/>
    </w:rPr>
  </w:style>
  <w:style w:type="character" w:customStyle="1" w:styleId="QuoteChar">
    <w:name w:val="Quote Char"/>
    <w:basedOn w:val="DefaultParagraphFont"/>
    <w:link w:val="Quote"/>
    <w:uiPriority w:val="29"/>
    <w:rsid w:val="00115718"/>
    <w:rPr>
      <w:i/>
      <w:iCs/>
      <w:color w:val="404040" w:themeColor="text1" w:themeTint="BF"/>
      <w:kern w:val="2"/>
      <w:lang w:val="hr-HR"/>
      <w14:ligatures w14:val="standardContextual"/>
    </w:rPr>
  </w:style>
  <w:style w:type="character" w:styleId="IntenseEmphasis">
    <w:name w:val="Intense Emphasis"/>
    <w:basedOn w:val="DefaultParagraphFont"/>
    <w:uiPriority w:val="21"/>
    <w:qFormat/>
    <w:rsid w:val="00115718"/>
    <w:rPr>
      <w:i/>
      <w:iCs/>
      <w:color w:val="2F5496" w:themeColor="accent1" w:themeShade="BF"/>
    </w:rPr>
  </w:style>
  <w:style w:type="paragraph" w:styleId="IntenseQuote">
    <w:name w:val="Intense Quote"/>
    <w:basedOn w:val="Normal"/>
    <w:next w:val="Normal"/>
    <w:link w:val="IntenseQuoteChar"/>
    <w:uiPriority w:val="30"/>
    <w:qFormat/>
    <w:rsid w:val="001157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lang w:val="hr-HR"/>
      <w14:ligatures w14:val="standardContextual"/>
    </w:rPr>
  </w:style>
  <w:style w:type="character" w:customStyle="1" w:styleId="IntenseQuoteChar">
    <w:name w:val="Intense Quote Char"/>
    <w:basedOn w:val="DefaultParagraphFont"/>
    <w:link w:val="IntenseQuote"/>
    <w:uiPriority w:val="30"/>
    <w:rsid w:val="00115718"/>
    <w:rPr>
      <w:i/>
      <w:iCs/>
      <w:color w:val="2F5496" w:themeColor="accent1" w:themeShade="BF"/>
      <w:kern w:val="2"/>
      <w:lang w:val="hr-HR"/>
      <w14:ligatures w14:val="standardContextual"/>
    </w:rPr>
  </w:style>
  <w:style w:type="character" w:styleId="IntenseReference">
    <w:name w:val="Intense Reference"/>
    <w:basedOn w:val="DefaultParagraphFont"/>
    <w:uiPriority w:val="32"/>
    <w:qFormat/>
    <w:rsid w:val="00115718"/>
    <w:rPr>
      <w:b/>
      <w:bCs/>
      <w:smallCaps/>
      <w:color w:val="2F5496" w:themeColor="accent1" w:themeShade="BF"/>
      <w:spacing w:val="5"/>
    </w:rPr>
  </w:style>
  <w:style w:type="character" w:styleId="CommentReference">
    <w:name w:val="annotation reference"/>
    <w:basedOn w:val="DefaultParagraphFont"/>
    <w:uiPriority w:val="99"/>
    <w:semiHidden/>
    <w:unhideWhenUsed/>
    <w:rsid w:val="00115718"/>
    <w:rPr>
      <w:sz w:val="16"/>
      <w:szCs w:val="16"/>
    </w:rPr>
  </w:style>
  <w:style w:type="paragraph" w:styleId="CommentText">
    <w:name w:val="annotation text"/>
    <w:basedOn w:val="Normal"/>
    <w:link w:val="CommentTextChar"/>
    <w:uiPriority w:val="99"/>
    <w:unhideWhenUsed/>
    <w:rsid w:val="00115718"/>
    <w:pPr>
      <w:spacing w:line="240" w:lineRule="auto"/>
    </w:pPr>
    <w:rPr>
      <w:kern w:val="2"/>
      <w:sz w:val="20"/>
      <w:szCs w:val="20"/>
      <w:lang w:val="hr-HR"/>
      <w14:ligatures w14:val="standardContextual"/>
    </w:rPr>
  </w:style>
  <w:style w:type="character" w:customStyle="1" w:styleId="CommentTextChar">
    <w:name w:val="Comment Text Char"/>
    <w:basedOn w:val="DefaultParagraphFont"/>
    <w:link w:val="CommentText"/>
    <w:uiPriority w:val="99"/>
    <w:rsid w:val="00115718"/>
    <w:rPr>
      <w:kern w:val="2"/>
      <w:sz w:val="20"/>
      <w:szCs w:val="20"/>
      <w:lang w:val="hr-HR"/>
      <w14:ligatures w14:val="standardContextual"/>
    </w:rPr>
  </w:style>
  <w:style w:type="paragraph" w:styleId="CommentSubject">
    <w:name w:val="annotation subject"/>
    <w:basedOn w:val="CommentText"/>
    <w:next w:val="CommentText"/>
    <w:link w:val="CommentSubjectChar"/>
    <w:uiPriority w:val="99"/>
    <w:semiHidden/>
    <w:unhideWhenUsed/>
    <w:rsid w:val="00115718"/>
    <w:rPr>
      <w:b/>
      <w:bCs/>
    </w:rPr>
  </w:style>
  <w:style w:type="character" w:customStyle="1" w:styleId="CommentSubjectChar">
    <w:name w:val="Comment Subject Char"/>
    <w:basedOn w:val="CommentTextChar"/>
    <w:link w:val="CommentSubject"/>
    <w:uiPriority w:val="99"/>
    <w:semiHidden/>
    <w:rsid w:val="00115718"/>
    <w:rPr>
      <w:b/>
      <w:bCs/>
      <w:kern w:val="2"/>
      <w:sz w:val="20"/>
      <w:szCs w:val="20"/>
      <w:lang w:val="hr-HR"/>
      <w14:ligatures w14:val="standardContextual"/>
    </w:rPr>
  </w:style>
  <w:style w:type="paragraph" w:styleId="Revision">
    <w:name w:val="Revision"/>
    <w:hidden/>
    <w:uiPriority w:val="99"/>
    <w:semiHidden/>
    <w:rsid w:val="00115718"/>
    <w:pPr>
      <w:spacing w:after="0" w:line="240" w:lineRule="auto"/>
    </w:pPr>
    <w:rPr>
      <w:kern w:val="2"/>
      <w:lang w:val="hr-HR"/>
      <w14:ligatures w14:val="standardContextual"/>
    </w:rPr>
  </w:style>
  <w:style w:type="paragraph" w:styleId="NormalWeb">
    <w:name w:val="Normal (Web)"/>
    <w:basedOn w:val="Normal"/>
    <w:uiPriority w:val="99"/>
    <w:unhideWhenUsed/>
    <w:rsid w:val="001157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5718"/>
    <w:rPr>
      <w:b/>
      <w:bCs/>
    </w:rPr>
  </w:style>
  <w:style w:type="table" w:styleId="PlainTable2">
    <w:name w:val="Plain Table 2"/>
    <w:basedOn w:val="TableNormal"/>
    <w:uiPriority w:val="42"/>
    <w:rsid w:val="00115718"/>
    <w:pPr>
      <w:spacing w:after="0" w:line="240" w:lineRule="auto"/>
    </w:pPr>
    <w:rPr>
      <w:kern w:val="2"/>
      <w:lang w:val="hr-HR"/>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115718"/>
    <w:rPr>
      <w:color w:val="0563C1" w:themeColor="hyperlink"/>
      <w:u w:val="single"/>
    </w:rPr>
  </w:style>
  <w:style w:type="character" w:styleId="UnresolvedMention">
    <w:name w:val="Unresolved Mention"/>
    <w:basedOn w:val="DefaultParagraphFont"/>
    <w:uiPriority w:val="99"/>
    <w:semiHidden/>
    <w:unhideWhenUsed/>
    <w:rsid w:val="00115718"/>
    <w:rPr>
      <w:color w:val="605E5C"/>
      <w:shd w:val="clear" w:color="auto" w:fill="E1DFDD"/>
    </w:rPr>
  </w:style>
  <w:style w:type="paragraph" w:styleId="Caption">
    <w:name w:val="caption"/>
    <w:basedOn w:val="Normal"/>
    <w:next w:val="Normal"/>
    <w:uiPriority w:val="35"/>
    <w:unhideWhenUsed/>
    <w:qFormat/>
    <w:rsid w:val="00CE1FDD"/>
    <w:pPr>
      <w:spacing w:after="200" w:line="240" w:lineRule="auto"/>
    </w:pPr>
    <w:rPr>
      <w:i/>
      <w:iCs/>
      <w:color w:val="44546A" w:themeColor="text2"/>
      <w:sz w:val="18"/>
      <w:szCs w:val="18"/>
    </w:rPr>
  </w:style>
  <w:style w:type="table" w:customStyle="1" w:styleId="Reetkatablice1">
    <w:name w:val="Rešetka tablice1"/>
    <w:basedOn w:val="TableNormal"/>
    <w:next w:val="TableGrid"/>
    <w:uiPriority w:val="59"/>
    <w:rsid w:val="004049BF"/>
    <w:pPr>
      <w:spacing w:after="0" w:line="240" w:lineRule="auto"/>
    </w:pPr>
    <w:rPr>
      <w:rFonts w:eastAsia="Times New Roman"/>
      <w:lang w:val="en-US"/>
    </w:rPr>
    <w:tblPr>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Pr>
    <w:tcPr>
      <w:shd w:val="clear" w:color="auto" w:fill="FFFFFF"/>
    </w:tcPr>
  </w:style>
  <w:style w:type="table" w:styleId="TableGrid">
    <w:name w:val="Table Grid"/>
    <w:basedOn w:val="TableNormal"/>
    <w:uiPriority w:val="39"/>
    <w:rsid w:val="00404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
    <w:name w:val="List Number"/>
    <w:basedOn w:val="Normal"/>
    <w:uiPriority w:val="99"/>
    <w:unhideWhenUsed/>
    <w:rsid w:val="008B58A4"/>
    <w:pPr>
      <w:numPr>
        <w:numId w:val="35"/>
      </w:numPr>
      <w:tabs>
        <w:tab w:val="clear" w:pos="360"/>
      </w:tabs>
      <w:spacing w:after="200" w:line="276" w:lineRule="auto"/>
      <w:ind w:left="0" w:firstLine="0"/>
      <w:contextualSpacing/>
      <w:jc w:val="both"/>
    </w:pPr>
    <w:rPr>
      <w:rFonts w:eastAsiaTheme="minorEastAsia"/>
      <w:lang w:val="en-US"/>
    </w:rPr>
  </w:style>
  <w:style w:type="character" w:styleId="FollowedHyperlink">
    <w:name w:val="FollowedHyperlink"/>
    <w:basedOn w:val="DefaultParagraphFont"/>
    <w:uiPriority w:val="99"/>
    <w:semiHidden/>
    <w:unhideWhenUsed/>
    <w:rsid w:val="00B12D72"/>
    <w:rPr>
      <w:color w:val="954F72" w:themeColor="followedHyperlink"/>
      <w:u w:val="single"/>
    </w:rPr>
  </w:style>
  <w:style w:type="paragraph" w:styleId="BodyText">
    <w:name w:val="Body Text"/>
    <w:aliases w:val="DNV-Body,Body Text Char Char Char Char,Char12,Body Text_SENES,Body Text Char1,Body Text Char2 Char,Body Text Char1 Char Char,bt,szaro,b1,block style,Tekst podstawowy Znak Znak Znak Znak Znak Znak Znak Znak,aga,Tekst podstawowyG,bd"/>
    <w:basedOn w:val="Normal"/>
    <w:link w:val="BodyTextChar"/>
    <w:qFormat/>
    <w:rsid w:val="00844263"/>
    <w:pPr>
      <w:spacing w:before="120" w:after="60" w:line="260" w:lineRule="atLeast"/>
      <w:jc w:val="both"/>
    </w:pPr>
    <w:rPr>
      <w:rFonts w:eastAsiaTheme="minorEastAsia"/>
      <w:sz w:val="24"/>
      <w:szCs w:val="20"/>
    </w:rPr>
  </w:style>
  <w:style w:type="character" w:customStyle="1" w:styleId="BodyTextChar">
    <w:name w:val="Body Text Char"/>
    <w:aliases w:val="DNV-Body Char,Body Text Char Char Char Char Char,Char12 Char,Body Text_SENES Char,Body Text Char1 Char,Body Text Char2 Char Char,Body Text Char1 Char Char Char,bt Char,szaro Char,b1 Char,block style Char,aga Char,Tekst podstawowyG Char"/>
    <w:basedOn w:val="DefaultParagraphFont"/>
    <w:link w:val="BodyText"/>
    <w:rsid w:val="00844263"/>
    <w:rPr>
      <w:rFonts w:eastAsiaTheme="minorEastAsia"/>
      <w:sz w:val="24"/>
      <w:szCs w:val="20"/>
      <w:lang w:val="en-GB"/>
    </w:rPr>
  </w:style>
  <w:style w:type="table" w:styleId="PlainTable3">
    <w:name w:val="Plain Table 3"/>
    <w:basedOn w:val="TableNormal"/>
    <w:uiPriority w:val="43"/>
    <w:rsid w:val="009E354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F0795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E176E9"/>
    <w:pPr>
      <w:spacing w:before="240" w:after="0"/>
      <w:outlineLvl w:val="9"/>
    </w:pPr>
    <w:rPr>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E176E9"/>
    <w:pPr>
      <w:spacing w:after="100"/>
    </w:pPr>
  </w:style>
  <w:style w:type="paragraph" w:styleId="TOC2">
    <w:name w:val="toc 2"/>
    <w:basedOn w:val="Normal"/>
    <w:next w:val="Normal"/>
    <w:autoRedefine/>
    <w:uiPriority w:val="39"/>
    <w:unhideWhenUsed/>
    <w:rsid w:val="00E176E9"/>
    <w:pPr>
      <w:spacing w:after="100"/>
      <w:ind w:left="220"/>
    </w:pPr>
  </w:style>
  <w:style w:type="paragraph" w:styleId="TOC3">
    <w:name w:val="toc 3"/>
    <w:basedOn w:val="Normal"/>
    <w:next w:val="Normal"/>
    <w:autoRedefine/>
    <w:uiPriority w:val="39"/>
    <w:unhideWhenUsed/>
    <w:rsid w:val="00E176E9"/>
    <w:pPr>
      <w:spacing w:after="100"/>
      <w:ind w:left="440"/>
    </w:pPr>
  </w:style>
  <w:style w:type="paragraph" w:styleId="TOC4">
    <w:name w:val="toc 4"/>
    <w:basedOn w:val="Normal"/>
    <w:next w:val="Normal"/>
    <w:autoRedefine/>
    <w:uiPriority w:val="39"/>
    <w:unhideWhenUsed/>
    <w:rsid w:val="00E176E9"/>
    <w:pPr>
      <w:spacing w:after="100" w:line="278" w:lineRule="auto"/>
      <w:ind w:left="720"/>
    </w:pPr>
    <w:rPr>
      <w:rFonts w:eastAsiaTheme="minorEastAsia"/>
      <w:kern w:val="2"/>
      <w:sz w:val="24"/>
      <w:szCs w:val="24"/>
      <w:lang w:val="hr-HR" w:eastAsia="hr-HR"/>
      <w14:ligatures w14:val="standardContextual"/>
    </w:rPr>
  </w:style>
  <w:style w:type="paragraph" w:styleId="TOC5">
    <w:name w:val="toc 5"/>
    <w:basedOn w:val="Normal"/>
    <w:next w:val="Normal"/>
    <w:autoRedefine/>
    <w:uiPriority w:val="39"/>
    <w:unhideWhenUsed/>
    <w:rsid w:val="00E176E9"/>
    <w:pPr>
      <w:spacing w:after="100" w:line="278" w:lineRule="auto"/>
      <w:ind w:left="960"/>
    </w:pPr>
    <w:rPr>
      <w:rFonts w:eastAsiaTheme="minorEastAsia"/>
      <w:kern w:val="2"/>
      <w:sz w:val="24"/>
      <w:szCs w:val="24"/>
      <w:lang w:val="hr-HR" w:eastAsia="hr-HR"/>
      <w14:ligatures w14:val="standardContextual"/>
    </w:rPr>
  </w:style>
  <w:style w:type="paragraph" w:styleId="TOC6">
    <w:name w:val="toc 6"/>
    <w:basedOn w:val="Normal"/>
    <w:next w:val="Normal"/>
    <w:autoRedefine/>
    <w:uiPriority w:val="39"/>
    <w:unhideWhenUsed/>
    <w:rsid w:val="00E176E9"/>
    <w:pPr>
      <w:spacing w:after="100" w:line="278" w:lineRule="auto"/>
      <w:ind w:left="1200"/>
    </w:pPr>
    <w:rPr>
      <w:rFonts w:eastAsiaTheme="minorEastAsia"/>
      <w:kern w:val="2"/>
      <w:sz w:val="24"/>
      <w:szCs w:val="24"/>
      <w:lang w:val="hr-HR" w:eastAsia="hr-HR"/>
      <w14:ligatures w14:val="standardContextual"/>
    </w:rPr>
  </w:style>
  <w:style w:type="paragraph" w:styleId="TOC7">
    <w:name w:val="toc 7"/>
    <w:basedOn w:val="Normal"/>
    <w:next w:val="Normal"/>
    <w:autoRedefine/>
    <w:uiPriority w:val="39"/>
    <w:unhideWhenUsed/>
    <w:rsid w:val="00E176E9"/>
    <w:pPr>
      <w:spacing w:after="100" w:line="278" w:lineRule="auto"/>
      <w:ind w:left="1440"/>
    </w:pPr>
    <w:rPr>
      <w:rFonts w:eastAsiaTheme="minorEastAsia"/>
      <w:kern w:val="2"/>
      <w:sz w:val="24"/>
      <w:szCs w:val="24"/>
      <w:lang w:val="hr-HR" w:eastAsia="hr-HR"/>
      <w14:ligatures w14:val="standardContextual"/>
    </w:rPr>
  </w:style>
  <w:style w:type="paragraph" w:styleId="TOC8">
    <w:name w:val="toc 8"/>
    <w:basedOn w:val="Normal"/>
    <w:next w:val="Normal"/>
    <w:autoRedefine/>
    <w:uiPriority w:val="39"/>
    <w:unhideWhenUsed/>
    <w:rsid w:val="00E176E9"/>
    <w:pPr>
      <w:spacing w:after="100" w:line="278" w:lineRule="auto"/>
      <w:ind w:left="1680"/>
    </w:pPr>
    <w:rPr>
      <w:rFonts w:eastAsiaTheme="minorEastAsia"/>
      <w:kern w:val="2"/>
      <w:sz w:val="24"/>
      <w:szCs w:val="24"/>
      <w:lang w:val="hr-HR" w:eastAsia="hr-HR"/>
      <w14:ligatures w14:val="standardContextual"/>
    </w:rPr>
  </w:style>
  <w:style w:type="paragraph" w:styleId="TOC9">
    <w:name w:val="toc 9"/>
    <w:basedOn w:val="Normal"/>
    <w:next w:val="Normal"/>
    <w:autoRedefine/>
    <w:uiPriority w:val="39"/>
    <w:unhideWhenUsed/>
    <w:rsid w:val="00E176E9"/>
    <w:pPr>
      <w:spacing w:after="100" w:line="278" w:lineRule="auto"/>
      <w:ind w:left="1920"/>
    </w:pPr>
    <w:rPr>
      <w:rFonts w:eastAsiaTheme="minorEastAsia"/>
      <w:kern w:val="2"/>
      <w:sz w:val="24"/>
      <w:szCs w:val="24"/>
      <w:lang w:val="hr-HR" w:eastAsia="hr-HR"/>
      <w14:ligatures w14:val="standardContextual"/>
    </w:rPr>
  </w:style>
  <w:style w:type="paragraph" w:styleId="TableofFigures">
    <w:name w:val="table of figures"/>
    <w:basedOn w:val="Normal"/>
    <w:next w:val="Normal"/>
    <w:uiPriority w:val="99"/>
    <w:unhideWhenUsed/>
    <w:rsid w:val="00FE1990"/>
    <w:pPr>
      <w:spacing w:after="0"/>
    </w:pPr>
    <w:rPr>
      <w:rFonts w:cstheme="minorHAnsi"/>
      <w:i/>
      <w:iCs/>
      <w:sz w:val="20"/>
      <w:szCs w:val="20"/>
    </w:rPr>
  </w:style>
  <w:style w:type="paragraph" w:customStyle="1" w:styleId="TableParagraph">
    <w:name w:val="Table Paragraph"/>
    <w:basedOn w:val="Normal"/>
    <w:uiPriority w:val="1"/>
    <w:qFormat/>
    <w:rsid w:val="000348DD"/>
    <w:pPr>
      <w:widowControl w:val="0"/>
      <w:autoSpaceDE w:val="0"/>
      <w:autoSpaceDN w:val="0"/>
      <w:spacing w:after="0" w:line="240" w:lineRule="auto"/>
      <w:ind w:left="11"/>
      <w:jc w:val="center"/>
    </w:pPr>
    <w:rPr>
      <w:rFonts w:ascii="Calibri" w:eastAsia="Calibri" w:hAnsi="Calibri" w:cs="Calibri"/>
      <w:lang w:val="en-US"/>
    </w:rPr>
  </w:style>
  <w:style w:type="table" w:customStyle="1" w:styleId="TableGrid1">
    <w:name w:val="Table Grid1"/>
    <w:basedOn w:val="TableNormal"/>
    <w:next w:val="TableGrid"/>
    <w:uiPriority w:val="59"/>
    <w:unhideWhenUsed/>
    <w:rsid w:val="00EC5B31"/>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B36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jpe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jpe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image" Target="media/image3.jpeg"/><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6B6E5-E2F3-47E7-B57E-F678BCDC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1794</TotalTime>
  <Pages>187</Pages>
  <Words>81717</Words>
  <Characters>465788</Characters>
  <Application>Microsoft Office Word</Application>
  <DocSecurity>0</DocSecurity>
  <Lines>3881</Lines>
  <Paragraphs>1092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Vlada Republike Srpske</Company>
  <LinksUpToDate>false</LinksUpToDate>
  <CharactersWithSpaces>546413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Zoran Nakić</cp:lastModifiedBy>
  <cp:revision>82</cp:revision>
  <cp:lastPrinted>2026-03-04T08:55:00Z</cp:lastPrinted>
  <dcterms:created xsi:type="dcterms:W3CDTF">2026-03-04T09:02:00Z</dcterms:created>
  <dcterms:modified xsi:type="dcterms:W3CDTF">2026-05-07T07:17:00Z</dcterms:modified>
</cp:coreProperties>
</file>