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E66F7" w14:textId="08A3DE72" w:rsidR="001B3EC1" w:rsidRPr="00E33CA0" w:rsidRDefault="00515A97">
      <w:pPr>
        <w:spacing w:after="240"/>
        <w:jc w:val="center"/>
        <w:rPr>
          <w:rFonts w:asciiTheme="minorHAnsi" w:hAnsiTheme="minorHAnsi" w:cstheme="minorHAnsi"/>
          <w:noProof/>
        </w:rPr>
      </w:pPr>
      <w:r w:rsidRPr="00E33CA0">
        <w:rPr>
          <w:rFonts w:asciiTheme="minorHAnsi" w:hAnsiTheme="minorHAnsi" w:cstheme="minorHAnsi"/>
          <w:noProof/>
        </w:rPr>
        <w:drawing>
          <wp:anchor distT="0" distB="0" distL="114300" distR="114300" simplePos="0" relativeHeight="251659776" behindDoc="0" locked="0" layoutInCell="1" allowOverlap="1" wp14:anchorId="1199744A" wp14:editId="59EC8358">
            <wp:simplePos x="0" y="0"/>
            <wp:positionH relativeFrom="column">
              <wp:posOffset>107950</wp:posOffset>
            </wp:positionH>
            <wp:positionV relativeFrom="paragraph">
              <wp:posOffset>228600</wp:posOffset>
            </wp:positionV>
            <wp:extent cx="1009650" cy="714375"/>
            <wp:effectExtent l="0" t="0" r="0" b="0"/>
            <wp:wrapSquare wrapText="bothSides"/>
            <wp:docPr id="902" name="GE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GEF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9650" cy="714375"/>
                    </a:xfrm>
                    <a:prstGeom prst="rect">
                      <a:avLst/>
                    </a:prstGeom>
                  </pic:spPr>
                </pic:pic>
              </a:graphicData>
            </a:graphic>
          </wp:anchor>
        </w:drawing>
      </w:r>
      <w:r w:rsidRPr="00E33CA0">
        <w:rPr>
          <w:rFonts w:asciiTheme="minorHAnsi" w:hAnsiTheme="minorHAnsi" w:cstheme="minorHAnsi"/>
          <w:noProof/>
        </w:rPr>
        <w:drawing>
          <wp:anchor distT="0" distB="0" distL="114300" distR="114300" simplePos="0" relativeHeight="251658752" behindDoc="0" locked="0" layoutInCell="1" allowOverlap="1" wp14:anchorId="4DFE69AB" wp14:editId="3E1F82DF">
            <wp:simplePos x="0" y="0"/>
            <wp:positionH relativeFrom="column">
              <wp:posOffset>4546600</wp:posOffset>
            </wp:positionH>
            <wp:positionV relativeFrom="paragraph">
              <wp:posOffset>381000</wp:posOffset>
            </wp:positionV>
            <wp:extent cx="1019175" cy="619125"/>
            <wp:effectExtent l="0" t="0" r="0" b="0"/>
            <wp:wrapSquare wrapText="bothSides"/>
            <wp:docPr id="904" name="UNESC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 name="UNESCO logo"/>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9175" cy="619125"/>
                    </a:xfrm>
                    <a:prstGeom prst="rect">
                      <a:avLst/>
                    </a:prstGeom>
                  </pic:spPr>
                </pic:pic>
              </a:graphicData>
            </a:graphic>
          </wp:anchor>
        </w:drawing>
      </w:r>
      <w:r w:rsidR="00000000" w:rsidRPr="00E33CA0">
        <w:rPr>
          <w:rFonts w:asciiTheme="minorHAnsi" w:hAnsiTheme="minorHAnsi" w:cstheme="minorHAnsi"/>
          <w:noProof/>
        </w:rPr>
        <w:t xml:space="preserve">      </w:t>
      </w:r>
      <w:r w:rsidR="00000000" w:rsidRPr="00E33CA0">
        <w:rPr>
          <w:rFonts w:asciiTheme="minorHAnsi" w:hAnsiTheme="minorHAnsi" w:cstheme="minorHAnsi"/>
          <w:noProof/>
        </w:rPr>
        <w:drawing>
          <wp:inline distT="0" distB="0" distL="0" distR="0" wp14:anchorId="007FF630" wp14:editId="48144DED">
            <wp:extent cx="438150" cy="1000125"/>
            <wp:effectExtent l="0" t="0" r="0" b="0"/>
            <wp:docPr id="903" name="UND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 name="UNDP logo"/>
                    <pic:cNvPicPr/>
                  </pic:nvPicPr>
                  <pic:blipFill>
                    <a:blip r:embed="rId10"/>
                    <a:stretch>
                      <a:fillRect/>
                    </a:stretch>
                  </pic:blipFill>
                  <pic:spPr>
                    <a:xfrm>
                      <a:off x="0" y="0"/>
                      <a:ext cx="438150" cy="1000125"/>
                    </a:xfrm>
                    <a:prstGeom prst="rect">
                      <a:avLst/>
                    </a:prstGeom>
                  </pic:spPr>
                </pic:pic>
              </a:graphicData>
            </a:graphic>
          </wp:inline>
        </w:drawing>
      </w:r>
      <w:r w:rsidR="00000000" w:rsidRPr="00E33CA0">
        <w:rPr>
          <w:rFonts w:asciiTheme="minorHAnsi" w:hAnsiTheme="minorHAnsi" w:cstheme="minorHAnsi"/>
          <w:noProof/>
        </w:rPr>
        <w:t xml:space="preserve">      </w:t>
      </w:r>
    </w:p>
    <w:p w14:paraId="4E70DA69" w14:textId="77777777" w:rsidR="000E4587" w:rsidRPr="00E33CA0" w:rsidRDefault="000E4587">
      <w:pPr>
        <w:jc w:val="both"/>
        <w:rPr>
          <w:rFonts w:asciiTheme="minorHAnsi" w:hAnsiTheme="minorHAnsi" w:cstheme="minorHAnsi"/>
          <w:sz w:val="22"/>
          <w:szCs w:val="22"/>
        </w:rPr>
      </w:pPr>
    </w:p>
    <w:p w14:paraId="5A77CF53" w14:textId="77777777" w:rsidR="000E4587" w:rsidRPr="00E33CA0" w:rsidRDefault="000E4587">
      <w:pPr>
        <w:jc w:val="both"/>
        <w:rPr>
          <w:rFonts w:asciiTheme="minorHAnsi" w:hAnsiTheme="minorHAnsi" w:cstheme="minorHAnsi"/>
          <w:sz w:val="22"/>
          <w:szCs w:val="22"/>
        </w:rPr>
      </w:pPr>
    </w:p>
    <w:p w14:paraId="4159938C" w14:textId="77777777" w:rsidR="000E4587" w:rsidRPr="00E33CA0" w:rsidRDefault="000E4587">
      <w:pPr>
        <w:jc w:val="both"/>
        <w:rPr>
          <w:rFonts w:asciiTheme="minorHAnsi" w:hAnsiTheme="minorHAnsi" w:cstheme="minorHAnsi"/>
          <w:sz w:val="22"/>
          <w:szCs w:val="22"/>
        </w:rPr>
      </w:pPr>
    </w:p>
    <w:p w14:paraId="247E2705" w14:textId="77777777" w:rsidR="000E4587" w:rsidRPr="00E33CA0" w:rsidRDefault="00000000">
      <w:pPr>
        <w:jc w:val="center"/>
        <w:rPr>
          <w:rFonts w:asciiTheme="minorHAnsi" w:hAnsiTheme="minorHAnsi" w:cstheme="minorHAnsi"/>
          <w:sz w:val="30"/>
          <w:szCs w:val="30"/>
        </w:rPr>
      </w:pPr>
      <w:r w:rsidRPr="00E33CA0">
        <w:rPr>
          <w:rFonts w:asciiTheme="minorHAnsi" w:hAnsiTheme="minorHAnsi" w:cstheme="minorHAnsi"/>
          <w:b/>
          <w:bCs/>
          <w:color w:val="1F4E79"/>
          <w:sz w:val="30"/>
          <w:szCs w:val="30"/>
        </w:rPr>
        <w:t>IMPLEMENTATION OF THE STRATEGIC ACTION PROGRAMME (SAP)</w:t>
      </w:r>
    </w:p>
    <w:p w14:paraId="16ABB765" w14:textId="77777777" w:rsidR="000E4587" w:rsidRPr="00E33CA0" w:rsidRDefault="00000000">
      <w:pPr>
        <w:jc w:val="center"/>
        <w:rPr>
          <w:rFonts w:asciiTheme="minorHAnsi" w:hAnsiTheme="minorHAnsi" w:cstheme="minorHAnsi"/>
          <w:sz w:val="30"/>
          <w:szCs w:val="30"/>
        </w:rPr>
      </w:pPr>
      <w:r w:rsidRPr="00E33CA0">
        <w:rPr>
          <w:rFonts w:asciiTheme="minorHAnsi" w:hAnsiTheme="minorHAnsi" w:cstheme="minorHAnsi"/>
          <w:b/>
          <w:bCs/>
          <w:color w:val="1F4E79"/>
          <w:sz w:val="30"/>
          <w:szCs w:val="30"/>
        </w:rPr>
        <w:t>OF THE DINARIC KARST AQUIFER SYSTEM</w:t>
      </w:r>
    </w:p>
    <w:p w14:paraId="54A76998" w14:textId="77777777" w:rsidR="000E4587" w:rsidRPr="00E33CA0" w:rsidRDefault="00000000">
      <w:pPr>
        <w:jc w:val="center"/>
        <w:rPr>
          <w:rFonts w:asciiTheme="minorHAnsi" w:hAnsiTheme="minorHAnsi" w:cstheme="minorHAnsi"/>
          <w:color w:val="2E75B6"/>
          <w:sz w:val="30"/>
          <w:szCs w:val="30"/>
        </w:rPr>
      </w:pPr>
      <w:r w:rsidRPr="00E33CA0">
        <w:rPr>
          <w:rFonts w:asciiTheme="minorHAnsi" w:hAnsiTheme="minorHAnsi" w:cstheme="minorHAnsi"/>
          <w:color w:val="2E75B6"/>
          <w:sz w:val="30"/>
          <w:szCs w:val="30"/>
        </w:rPr>
        <w:t>Improving Groundwater Governance and Sustainability of Related Ecosystems</w:t>
      </w:r>
    </w:p>
    <w:p w14:paraId="358AC622" w14:textId="77777777" w:rsidR="000E4587" w:rsidRPr="00E33CA0" w:rsidRDefault="000E4587">
      <w:pPr>
        <w:jc w:val="center"/>
        <w:rPr>
          <w:rFonts w:asciiTheme="minorHAnsi" w:hAnsiTheme="minorHAnsi" w:cstheme="minorHAnsi"/>
          <w:sz w:val="30"/>
          <w:szCs w:val="30"/>
        </w:rPr>
      </w:pPr>
    </w:p>
    <w:p w14:paraId="27DFDEFE" w14:textId="77777777" w:rsidR="000E4587" w:rsidRPr="00E33CA0" w:rsidRDefault="00000000">
      <w:pPr>
        <w:jc w:val="center"/>
        <w:rPr>
          <w:rFonts w:asciiTheme="minorHAnsi" w:hAnsiTheme="minorHAnsi" w:cstheme="minorHAnsi"/>
          <w:b/>
          <w:bCs/>
          <w:color w:val="2E75B6"/>
          <w:sz w:val="30"/>
          <w:szCs w:val="30"/>
        </w:rPr>
      </w:pPr>
      <w:r w:rsidRPr="00E33CA0">
        <w:rPr>
          <w:rFonts w:asciiTheme="minorHAnsi" w:hAnsiTheme="minorHAnsi" w:cstheme="minorHAnsi"/>
          <w:b/>
          <w:bCs/>
          <w:color w:val="2E75B6"/>
          <w:sz w:val="30"/>
          <w:szCs w:val="30"/>
        </w:rPr>
        <w:t>OUTPUT 6.2</w:t>
      </w:r>
    </w:p>
    <w:p w14:paraId="527A8B8B" w14:textId="77777777" w:rsidR="000E4587" w:rsidRPr="00E33CA0" w:rsidRDefault="000E4587">
      <w:pPr>
        <w:jc w:val="center"/>
        <w:rPr>
          <w:rFonts w:asciiTheme="minorHAnsi" w:hAnsiTheme="minorHAnsi" w:cstheme="minorHAnsi"/>
          <w:b/>
          <w:bCs/>
          <w:color w:val="2E75B6"/>
          <w:sz w:val="30"/>
          <w:szCs w:val="30"/>
        </w:rPr>
      </w:pPr>
    </w:p>
    <w:p w14:paraId="42482219" w14:textId="77777777" w:rsidR="000E4587" w:rsidRPr="00E33CA0" w:rsidRDefault="000E4587">
      <w:pPr>
        <w:jc w:val="center"/>
        <w:rPr>
          <w:rFonts w:asciiTheme="minorHAnsi" w:hAnsiTheme="minorHAnsi" w:cstheme="minorHAnsi"/>
          <w:b/>
          <w:bCs/>
          <w:color w:val="2E75B6"/>
          <w:sz w:val="30"/>
          <w:szCs w:val="30"/>
        </w:rPr>
      </w:pPr>
    </w:p>
    <w:p w14:paraId="6450E150" w14:textId="77777777" w:rsidR="000E4587" w:rsidRPr="00E33CA0" w:rsidRDefault="000E4587">
      <w:pPr>
        <w:jc w:val="center"/>
        <w:rPr>
          <w:rFonts w:asciiTheme="minorHAnsi" w:hAnsiTheme="minorHAnsi" w:cstheme="minorHAnsi"/>
          <w:b/>
          <w:bCs/>
          <w:color w:val="2E75B6"/>
          <w:sz w:val="30"/>
          <w:szCs w:val="30"/>
        </w:rPr>
      </w:pPr>
    </w:p>
    <w:p w14:paraId="0DE097CD" w14:textId="77777777" w:rsidR="000E4587" w:rsidRPr="00E33CA0" w:rsidRDefault="000E4587">
      <w:pPr>
        <w:jc w:val="center"/>
        <w:rPr>
          <w:rFonts w:asciiTheme="minorHAnsi" w:hAnsiTheme="minorHAnsi" w:cstheme="minorHAnsi"/>
          <w:sz w:val="30"/>
          <w:szCs w:val="30"/>
        </w:rPr>
      </w:pPr>
    </w:p>
    <w:p w14:paraId="7C2C4FDD" w14:textId="77777777" w:rsidR="000E4587" w:rsidRPr="00E33CA0" w:rsidRDefault="00000000">
      <w:pPr>
        <w:jc w:val="center"/>
        <w:rPr>
          <w:rFonts w:asciiTheme="minorHAnsi" w:hAnsiTheme="minorHAnsi" w:cstheme="minorHAnsi"/>
          <w:sz w:val="30"/>
          <w:szCs w:val="30"/>
        </w:rPr>
      </w:pPr>
      <w:r w:rsidRPr="00E33CA0">
        <w:rPr>
          <w:rFonts w:asciiTheme="minorHAnsi" w:hAnsiTheme="minorHAnsi" w:cstheme="minorHAnsi"/>
          <w:b/>
          <w:bCs/>
          <w:color w:val="1F4E79"/>
          <w:sz w:val="30"/>
          <w:szCs w:val="30"/>
        </w:rPr>
        <w:t>REGIONAL WATER SECTOR GENDER ANALYSIS</w:t>
      </w:r>
    </w:p>
    <w:p w14:paraId="4B00BA8F" w14:textId="77777777" w:rsidR="000E4587" w:rsidRPr="00E33CA0" w:rsidRDefault="00000000">
      <w:pPr>
        <w:jc w:val="center"/>
        <w:rPr>
          <w:rFonts w:asciiTheme="minorHAnsi" w:hAnsiTheme="minorHAnsi" w:cstheme="minorHAnsi"/>
          <w:sz w:val="30"/>
          <w:szCs w:val="30"/>
        </w:rPr>
      </w:pPr>
      <w:r w:rsidRPr="00E33CA0">
        <w:rPr>
          <w:rFonts w:asciiTheme="minorHAnsi" w:hAnsiTheme="minorHAnsi" w:cstheme="minorHAnsi"/>
          <w:i/>
          <w:iCs/>
          <w:sz w:val="30"/>
          <w:szCs w:val="30"/>
        </w:rPr>
        <w:t>Comparative Assessment of the Dinaric Karst Region</w:t>
      </w:r>
    </w:p>
    <w:p w14:paraId="7601E1BA" w14:textId="77777777" w:rsidR="000E4587" w:rsidRPr="00E33CA0" w:rsidRDefault="00000000">
      <w:pPr>
        <w:jc w:val="center"/>
        <w:rPr>
          <w:rFonts w:asciiTheme="minorHAnsi" w:hAnsiTheme="minorHAnsi" w:cstheme="minorHAnsi"/>
          <w:color w:val="2E75B6"/>
          <w:sz w:val="30"/>
          <w:szCs w:val="30"/>
        </w:rPr>
      </w:pPr>
      <w:r w:rsidRPr="00E33CA0">
        <w:rPr>
          <w:rFonts w:asciiTheme="minorHAnsi" w:hAnsiTheme="minorHAnsi" w:cstheme="minorHAnsi"/>
          <w:color w:val="2E75B6"/>
          <w:sz w:val="30"/>
          <w:szCs w:val="30"/>
        </w:rPr>
        <w:t>Albania | Bosnia and Herzegovina | Croatia | Montenegro</w:t>
      </w:r>
    </w:p>
    <w:p w14:paraId="413D9E59" w14:textId="77777777" w:rsidR="000E4587" w:rsidRPr="00E33CA0" w:rsidRDefault="000E4587">
      <w:pPr>
        <w:jc w:val="center"/>
        <w:rPr>
          <w:rFonts w:asciiTheme="minorHAnsi" w:hAnsiTheme="minorHAnsi" w:cstheme="minorHAnsi"/>
          <w:sz w:val="30"/>
          <w:szCs w:val="30"/>
        </w:rPr>
      </w:pPr>
    </w:p>
    <w:p w14:paraId="73F086E2" w14:textId="0B7FBA6C" w:rsidR="000E4587" w:rsidRPr="00E33CA0" w:rsidRDefault="00515A97">
      <w:pPr>
        <w:jc w:val="center"/>
        <w:rPr>
          <w:rFonts w:asciiTheme="minorHAnsi" w:hAnsiTheme="minorHAnsi" w:cstheme="minorHAnsi"/>
          <w:b/>
          <w:bCs/>
          <w:sz w:val="30"/>
          <w:szCs w:val="30"/>
        </w:rPr>
      </w:pPr>
      <w:r w:rsidRPr="00E33CA0">
        <w:rPr>
          <w:rFonts w:asciiTheme="minorHAnsi" w:hAnsiTheme="minorHAnsi" w:cstheme="minorHAnsi"/>
          <w:b/>
          <w:bCs/>
          <w:sz w:val="30"/>
          <w:szCs w:val="30"/>
        </w:rPr>
        <w:t>May</w:t>
      </w:r>
      <w:r w:rsidR="00000000" w:rsidRPr="00E33CA0">
        <w:rPr>
          <w:rFonts w:asciiTheme="minorHAnsi" w:hAnsiTheme="minorHAnsi" w:cstheme="minorHAnsi"/>
          <w:b/>
          <w:bCs/>
          <w:sz w:val="30"/>
          <w:szCs w:val="30"/>
        </w:rPr>
        <w:t xml:space="preserve"> 2026</w:t>
      </w:r>
    </w:p>
    <w:p w14:paraId="6D738209" w14:textId="77777777" w:rsidR="000E4587" w:rsidRPr="00E33CA0" w:rsidRDefault="000E4587">
      <w:pPr>
        <w:jc w:val="center"/>
        <w:rPr>
          <w:rFonts w:asciiTheme="minorHAnsi" w:hAnsiTheme="minorHAnsi" w:cstheme="minorHAnsi"/>
          <w:b/>
          <w:bCs/>
          <w:sz w:val="30"/>
          <w:szCs w:val="30"/>
        </w:rPr>
      </w:pPr>
    </w:p>
    <w:p w14:paraId="03508FE1" w14:textId="77777777" w:rsidR="000E4587" w:rsidRPr="00E33CA0" w:rsidRDefault="00000000">
      <w:pPr>
        <w:jc w:val="center"/>
        <w:rPr>
          <w:rFonts w:asciiTheme="minorHAnsi" w:hAnsiTheme="minorHAnsi" w:cstheme="minorHAnsi"/>
          <w:sz w:val="30"/>
          <w:szCs w:val="30"/>
        </w:rPr>
      </w:pPr>
      <w:r w:rsidRPr="00E33CA0">
        <w:rPr>
          <w:rFonts w:asciiTheme="minorHAnsi" w:hAnsiTheme="minorHAnsi" w:cstheme="minorHAnsi"/>
          <w:sz w:val="30"/>
          <w:szCs w:val="30"/>
        </w:rPr>
        <w:t>DIKTAS II Project | UNESCO | GEF | UNDP</w:t>
      </w:r>
    </w:p>
    <w:p w14:paraId="44AC60E9" w14:textId="77777777" w:rsidR="000E4587" w:rsidRPr="00E33CA0" w:rsidRDefault="000E4587">
      <w:pPr>
        <w:jc w:val="center"/>
        <w:rPr>
          <w:rFonts w:asciiTheme="minorHAnsi" w:hAnsiTheme="minorHAnsi" w:cstheme="minorHAnsi"/>
          <w:sz w:val="30"/>
          <w:szCs w:val="30"/>
        </w:rPr>
      </w:pPr>
    </w:p>
    <w:p w14:paraId="240EB100" w14:textId="77777777" w:rsidR="000E4587" w:rsidRPr="00E33CA0" w:rsidRDefault="000E4587">
      <w:pPr>
        <w:jc w:val="center"/>
        <w:rPr>
          <w:rFonts w:asciiTheme="minorHAnsi" w:hAnsiTheme="minorHAnsi" w:cstheme="minorHAnsi"/>
          <w:sz w:val="30"/>
          <w:szCs w:val="30"/>
        </w:rPr>
      </w:pPr>
    </w:p>
    <w:p w14:paraId="62A91C1F" w14:textId="77777777" w:rsidR="000E4587" w:rsidRPr="00E33CA0" w:rsidRDefault="000E4587">
      <w:pPr>
        <w:jc w:val="center"/>
        <w:rPr>
          <w:rFonts w:asciiTheme="minorHAnsi" w:hAnsiTheme="minorHAnsi" w:cstheme="minorHAnsi"/>
          <w:sz w:val="30"/>
          <w:szCs w:val="30"/>
        </w:rPr>
      </w:pPr>
    </w:p>
    <w:p w14:paraId="0CA8CA46" w14:textId="77777777" w:rsidR="000E4587" w:rsidRPr="00E33CA0" w:rsidRDefault="000E4587">
      <w:pPr>
        <w:jc w:val="center"/>
        <w:rPr>
          <w:rFonts w:asciiTheme="minorHAnsi" w:hAnsiTheme="minorHAnsi" w:cstheme="minorHAnsi"/>
          <w:sz w:val="30"/>
          <w:szCs w:val="30"/>
        </w:rPr>
      </w:pPr>
    </w:p>
    <w:p w14:paraId="4264A051" w14:textId="77777777" w:rsidR="000E4587" w:rsidRPr="00E33CA0" w:rsidRDefault="000E4587">
      <w:pPr>
        <w:jc w:val="center"/>
        <w:rPr>
          <w:rFonts w:asciiTheme="minorHAnsi" w:hAnsiTheme="minorHAnsi" w:cstheme="minorHAnsi"/>
          <w:sz w:val="30"/>
          <w:szCs w:val="30"/>
        </w:rPr>
      </w:pPr>
    </w:p>
    <w:p w14:paraId="296728CE" w14:textId="77777777" w:rsidR="000E4587" w:rsidRPr="00E33CA0" w:rsidRDefault="000E4587">
      <w:pPr>
        <w:jc w:val="center"/>
        <w:rPr>
          <w:rFonts w:asciiTheme="minorHAnsi" w:hAnsiTheme="minorHAnsi" w:cstheme="minorHAnsi"/>
          <w:sz w:val="30"/>
          <w:szCs w:val="30"/>
        </w:rPr>
      </w:pPr>
    </w:p>
    <w:p w14:paraId="75953775" w14:textId="77777777" w:rsidR="000E4587" w:rsidRPr="00E33CA0" w:rsidRDefault="000E4587">
      <w:pPr>
        <w:jc w:val="center"/>
        <w:rPr>
          <w:rFonts w:asciiTheme="minorHAnsi" w:hAnsiTheme="minorHAnsi" w:cstheme="minorHAnsi"/>
          <w:sz w:val="30"/>
          <w:szCs w:val="30"/>
        </w:rPr>
      </w:pPr>
    </w:p>
    <w:p w14:paraId="787D6E6C" w14:textId="77777777" w:rsidR="000E4587" w:rsidRPr="00E33CA0" w:rsidRDefault="00000000">
      <w:pPr>
        <w:jc w:val="center"/>
        <w:rPr>
          <w:rFonts w:asciiTheme="minorHAnsi" w:hAnsiTheme="minorHAnsi" w:cstheme="minorHAnsi"/>
          <w:color w:val="4472C4" w:themeColor="accent1"/>
          <w:sz w:val="30"/>
          <w:szCs w:val="30"/>
        </w:rPr>
      </w:pPr>
      <w:r w:rsidRPr="00E33CA0">
        <w:rPr>
          <w:rFonts w:asciiTheme="minorHAnsi" w:hAnsiTheme="minorHAnsi" w:cstheme="minorHAnsi"/>
          <w:color w:val="4472C4" w:themeColor="accent1"/>
          <w:sz w:val="30"/>
          <w:szCs w:val="30"/>
        </w:rPr>
        <w:t>Prepared &amp; submitted by:</w:t>
      </w:r>
    </w:p>
    <w:p w14:paraId="7F022D3A" w14:textId="77777777" w:rsidR="000E4587" w:rsidRPr="00E33CA0" w:rsidRDefault="00000000">
      <w:pPr>
        <w:jc w:val="center"/>
        <w:rPr>
          <w:rFonts w:asciiTheme="minorHAnsi" w:hAnsiTheme="minorHAnsi" w:cstheme="minorHAnsi"/>
          <w:b/>
          <w:bCs/>
          <w:color w:val="2F5496" w:themeColor="accent1" w:themeShade="BF"/>
          <w:sz w:val="30"/>
          <w:szCs w:val="30"/>
        </w:rPr>
      </w:pPr>
      <w:r w:rsidRPr="00E33CA0">
        <w:rPr>
          <w:rFonts w:asciiTheme="minorHAnsi" w:hAnsiTheme="minorHAnsi" w:cstheme="minorHAnsi"/>
          <w:b/>
          <w:bCs/>
          <w:color w:val="2F5496" w:themeColor="accent1" w:themeShade="BF"/>
          <w:sz w:val="30"/>
          <w:szCs w:val="30"/>
        </w:rPr>
        <w:t>Umme Kulsoom; International Expert - Gender</w:t>
      </w:r>
    </w:p>
    <w:p w14:paraId="118DFDFD" w14:textId="77777777" w:rsidR="000E4587" w:rsidRPr="00E33CA0" w:rsidRDefault="000E4587">
      <w:pPr>
        <w:jc w:val="both"/>
        <w:rPr>
          <w:rFonts w:asciiTheme="minorHAnsi" w:hAnsiTheme="minorHAnsi" w:cstheme="minorHAnsi"/>
          <w:sz w:val="22"/>
          <w:szCs w:val="22"/>
        </w:rPr>
      </w:pPr>
    </w:p>
    <w:sdt>
      <w:sdtPr>
        <w:rPr>
          <w:rFonts w:asciiTheme="minorHAnsi" w:eastAsia="Arial" w:hAnsiTheme="minorHAnsi" w:cstheme="minorHAnsi"/>
          <w:color w:val="404040"/>
          <w:sz w:val="20"/>
          <w:szCs w:val="20"/>
        </w:rPr>
        <w:id w:val="1950508059"/>
        <w:docPartObj>
          <w:docPartGallery w:val="Table of Contents"/>
          <w:docPartUnique/>
        </w:docPartObj>
      </w:sdtPr>
      <w:sdtContent>
        <w:p w14:paraId="0F558664" w14:textId="77777777" w:rsidR="000E4587" w:rsidRPr="00E33CA0" w:rsidRDefault="00000000">
          <w:pPr>
            <w:pStyle w:val="TOCHeading"/>
            <w:spacing w:before="0" w:line="240" w:lineRule="auto"/>
            <w:rPr>
              <w:rFonts w:asciiTheme="minorHAnsi" w:hAnsiTheme="minorHAnsi" w:cstheme="minorHAnsi"/>
              <w:b/>
              <w:bCs/>
              <w:sz w:val="22"/>
              <w:szCs w:val="22"/>
            </w:rPr>
          </w:pPr>
          <w:r w:rsidRPr="00E33CA0">
            <w:rPr>
              <w:rFonts w:asciiTheme="minorHAnsi" w:hAnsiTheme="minorHAnsi" w:cstheme="minorHAnsi"/>
            </w:rPr>
            <w:br w:type="page"/>
          </w:r>
          <w:r w:rsidRPr="00E33CA0">
            <w:rPr>
              <w:rFonts w:asciiTheme="minorHAnsi" w:hAnsiTheme="minorHAnsi" w:cstheme="minorHAnsi"/>
              <w:b/>
              <w:bCs/>
              <w:sz w:val="22"/>
              <w:szCs w:val="22"/>
            </w:rPr>
            <w:lastRenderedPageBreak/>
            <w:t>Contents</w:t>
          </w:r>
        </w:p>
        <w:p w14:paraId="48D6BD49" w14:textId="7B584F75" w:rsidR="00E33CA0" w:rsidRPr="00E33CA0" w:rsidRDefault="0000000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r w:rsidRPr="00E33CA0">
            <w:rPr>
              <w:rFonts w:asciiTheme="minorHAnsi" w:hAnsiTheme="minorHAnsi" w:cstheme="minorHAnsi"/>
            </w:rPr>
            <w:fldChar w:fldCharType="begin"/>
          </w:r>
          <w:r w:rsidRPr="00E33CA0">
            <w:rPr>
              <w:rStyle w:val="IndexLink"/>
              <w:rFonts w:asciiTheme="minorHAnsi" w:hAnsiTheme="minorHAnsi" w:cstheme="minorHAnsi"/>
              <w:b/>
              <w:bCs/>
              <w:webHidden/>
              <w:sz w:val="22"/>
              <w:szCs w:val="22"/>
            </w:rPr>
            <w:instrText xml:space="preserve"> TOC \z \o "1-3" \u \h</w:instrText>
          </w:r>
          <w:r w:rsidRPr="00E33CA0">
            <w:rPr>
              <w:rStyle w:val="IndexLink"/>
              <w:rFonts w:asciiTheme="minorHAnsi" w:hAnsiTheme="minorHAnsi" w:cstheme="minorHAnsi"/>
              <w:b/>
              <w:bCs/>
              <w:sz w:val="22"/>
              <w:szCs w:val="22"/>
            </w:rPr>
            <w:fldChar w:fldCharType="separate"/>
          </w:r>
          <w:hyperlink w:anchor="_Toc231038097" w:history="1">
            <w:r w:rsidR="00E33CA0" w:rsidRPr="00E33CA0">
              <w:rPr>
                <w:rStyle w:val="Hyperlink"/>
                <w:rFonts w:asciiTheme="minorHAnsi" w:hAnsiTheme="minorHAnsi" w:cstheme="minorHAnsi"/>
                <w:b/>
                <w:bCs/>
                <w:noProof/>
              </w:rPr>
              <w:t>GLOSSARY OF KEY TERMS</w:t>
            </w:r>
            <w:r w:rsidR="00E33CA0" w:rsidRPr="00E33CA0">
              <w:rPr>
                <w:rFonts w:asciiTheme="minorHAnsi" w:hAnsiTheme="minorHAnsi" w:cstheme="minorHAnsi"/>
                <w:noProof/>
                <w:webHidden/>
              </w:rPr>
              <w:tab/>
            </w:r>
            <w:r w:rsidR="00E33CA0" w:rsidRPr="00E33CA0">
              <w:rPr>
                <w:rFonts w:asciiTheme="minorHAnsi" w:hAnsiTheme="minorHAnsi" w:cstheme="minorHAnsi"/>
                <w:noProof/>
                <w:webHidden/>
              </w:rPr>
              <w:fldChar w:fldCharType="begin"/>
            </w:r>
            <w:r w:rsidR="00E33CA0" w:rsidRPr="00E33CA0">
              <w:rPr>
                <w:rFonts w:asciiTheme="minorHAnsi" w:hAnsiTheme="minorHAnsi" w:cstheme="minorHAnsi"/>
                <w:noProof/>
                <w:webHidden/>
              </w:rPr>
              <w:instrText xml:space="preserve"> PAGEREF _Toc231038097 \h </w:instrText>
            </w:r>
            <w:r w:rsidR="00E33CA0" w:rsidRPr="00E33CA0">
              <w:rPr>
                <w:rFonts w:asciiTheme="minorHAnsi" w:hAnsiTheme="minorHAnsi" w:cstheme="minorHAnsi"/>
                <w:noProof/>
                <w:webHidden/>
              </w:rPr>
            </w:r>
            <w:r w:rsidR="00E33CA0" w:rsidRPr="00E33CA0">
              <w:rPr>
                <w:rFonts w:asciiTheme="minorHAnsi" w:hAnsiTheme="minorHAnsi" w:cstheme="minorHAnsi"/>
                <w:noProof/>
                <w:webHidden/>
              </w:rPr>
              <w:fldChar w:fldCharType="separate"/>
            </w:r>
            <w:r w:rsidR="00E33CA0" w:rsidRPr="00E33CA0">
              <w:rPr>
                <w:rFonts w:asciiTheme="minorHAnsi" w:hAnsiTheme="minorHAnsi" w:cstheme="minorHAnsi"/>
                <w:noProof/>
                <w:webHidden/>
              </w:rPr>
              <w:t>4</w:t>
            </w:r>
            <w:r w:rsidR="00E33CA0" w:rsidRPr="00E33CA0">
              <w:rPr>
                <w:rFonts w:asciiTheme="minorHAnsi" w:hAnsiTheme="minorHAnsi" w:cstheme="minorHAnsi"/>
                <w:noProof/>
                <w:webHidden/>
              </w:rPr>
              <w:fldChar w:fldCharType="end"/>
            </w:r>
          </w:hyperlink>
        </w:p>
        <w:p w14:paraId="71286738" w14:textId="79F00243" w:rsidR="00E33CA0" w:rsidRPr="00E33CA0" w:rsidRDefault="00E33CA0">
          <w:pPr>
            <w:pStyle w:val="TOC3"/>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098" w:history="1">
            <w:r w:rsidRPr="00E33CA0">
              <w:rPr>
                <w:rStyle w:val="Hyperlink"/>
                <w:rFonts w:asciiTheme="minorHAnsi" w:hAnsiTheme="minorHAnsi" w:cstheme="minorHAnsi"/>
                <w:b/>
                <w:bCs/>
                <w:noProof/>
              </w:rPr>
              <w:t>Gender-Based Violence (GBV)</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_Toc231038098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w:t>
            </w:r>
            <w:r w:rsidRPr="00E33CA0">
              <w:rPr>
                <w:rFonts w:asciiTheme="minorHAnsi" w:hAnsiTheme="minorHAnsi" w:cstheme="minorHAnsi"/>
                <w:noProof/>
                <w:webHidden/>
              </w:rPr>
              <w:fldChar w:fldCharType="end"/>
            </w:r>
          </w:hyperlink>
        </w:p>
        <w:p w14:paraId="360CB70C" w14:textId="4A5B00A8" w:rsidR="00E33CA0" w:rsidRPr="00E33CA0" w:rsidRDefault="00E33CA0">
          <w:pPr>
            <w:pStyle w:val="TOC3"/>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099" w:history="1">
            <w:r w:rsidRPr="00E33CA0">
              <w:rPr>
                <w:rStyle w:val="Hyperlink"/>
                <w:rFonts w:asciiTheme="minorHAnsi" w:hAnsiTheme="minorHAnsi" w:cstheme="minorHAnsi"/>
                <w:b/>
                <w:bCs/>
                <w:noProof/>
              </w:rPr>
              <w:t>Gender Pay Gap</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_Toc231038099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w:t>
            </w:r>
            <w:r w:rsidRPr="00E33CA0">
              <w:rPr>
                <w:rFonts w:asciiTheme="minorHAnsi" w:hAnsiTheme="minorHAnsi" w:cstheme="minorHAnsi"/>
                <w:noProof/>
                <w:webHidden/>
              </w:rPr>
              <w:fldChar w:fldCharType="end"/>
            </w:r>
          </w:hyperlink>
        </w:p>
        <w:p w14:paraId="20D709D3" w14:textId="2B1F242A" w:rsidR="00E33CA0" w:rsidRPr="00E33CA0" w:rsidRDefault="00E33CA0">
          <w:pPr>
            <w:pStyle w:val="TOC3"/>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00" w:history="1">
            <w:r w:rsidRPr="00E33CA0">
              <w:rPr>
                <w:rStyle w:val="Hyperlink"/>
                <w:rFonts w:asciiTheme="minorHAnsi" w:hAnsiTheme="minorHAnsi" w:cstheme="minorHAnsi"/>
                <w:b/>
                <w:bCs/>
                <w:noProof/>
              </w:rPr>
              <w:t>Integrated Water Resources Management (IWRM)</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_Toc231038100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5</w:t>
            </w:r>
            <w:r w:rsidRPr="00E33CA0">
              <w:rPr>
                <w:rFonts w:asciiTheme="minorHAnsi" w:hAnsiTheme="minorHAnsi" w:cstheme="minorHAnsi"/>
                <w:noProof/>
                <w:webHidden/>
              </w:rPr>
              <w:fldChar w:fldCharType="end"/>
            </w:r>
          </w:hyperlink>
        </w:p>
        <w:p w14:paraId="74A09B8C" w14:textId="78A7DE02" w:rsidR="00E33CA0" w:rsidRPr="00E33CA0" w:rsidRDefault="00E33CA0">
          <w:pPr>
            <w:pStyle w:val="TOC3"/>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01" w:history="1">
            <w:r w:rsidRPr="00E33CA0">
              <w:rPr>
                <w:rStyle w:val="Hyperlink"/>
                <w:rFonts w:asciiTheme="minorHAnsi" w:hAnsiTheme="minorHAnsi" w:cstheme="minorHAnsi"/>
                <w:b/>
                <w:bCs/>
                <w:noProof/>
              </w:rPr>
              <w:t>Transboundary Aquifer</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_Toc231038101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5</w:t>
            </w:r>
            <w:r w:rsidRPr="00E33CA0">
              <w:rPr>
                <w:rFonts w:asciiTheme="minorHAnsi" w:hAnsiTheme="minorHAnsi" w:cstheme="minorHAnsi"/>
                <w:noProof/>
                <w:webHidden/>
              </w:rPr>
              <w:fldChar w:fldCharType="end"/>
            </w:r>
          </w:hyperlink>
        </w:p>
        <w:p w14:paraId="507C3707" w14:textId="335F9909"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02" w:history="1">
            <w:r w:rsidRPr="00E33CA0">
              <w:rPr>
                <w:rStyle w:val="Hyperlink"/>
                <w:rFonts w:asciiTheme="minorHAnsi" w:hAnsiTheme="minorHAnsi" w:cstheme="minorHAnsi"/>
                <w:b/>
                <w:bCs/>
                <w:noProof/>
              </w:rPr>
              <w:t>ACRONYMS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_Toc231038102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6</w:t>
            </w:r>
            <w:r w:rsidRPr="00E33CA0">
              <w:rPr>
                <w:rFonts w:asciiTheme="minorHAnsi" w:hAnsiTheme="minorHAnsi" w:cstheme="minorHAnsi"/>
                <w:noProof/>
                <w:webHidden/>
              </w:rPr>
              <w:fldChar w:fldCharType="end"/>
            </w:r>
          </w:hyperlink>
        </w:p>
        <w:p w14:paraId="4857FA68" w14:textId="1B6550A2"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03" w:history="1">
            <w:r w:rsidRPr="00E33CA0">
              <w:rPr>
                <w:rStyle w:val="Hyperlink"/>
                <w:rFonts w:asciiTheme="minorHAnsi" w:hAnsiTheme="minorHAnsi" w:cstheme="minorHAnsi"/>
                <w:b/>
                <w:bCs/>
                <w:noProof/>
              </w:rPr>
              <w:t>EXECUTIVE SUMMARY</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_Toc231038103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8</w:t>
            </w:r>
            <w:r w:rsidRPr="00E33CA0">
              <w:rPr>
                <w:rFonts w:asciiTheme="minorHAnsi" w:hAnsiTheme="minorHAnsi" w:cstheme="minorHAnsi"/>
                <w:noProof/>
                <w:webHidden/>
              </w:rPr>
              <w:fldChar w:fldCharType="end"/>
            </w:r>
          </w:hyperlink>
        </w:p>
        <w:p w14:paraId="722E5313" w14:textId="730C4C83"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04" w:history="1">
            <w:r w:rsidRPr="00E33CA0">
              <w:rPr>
                <w:rStyle w:val="Hyperlink"/>
                <w:rFonts w:asciiTheme="minorHAnsi" w:hAnsiTheme="minorHAnsi" w:cstheme="minorHAnsi"/>
                <w:b/>
                <w:bCs/>
                <w:noProof/>
              </w:rPr>
              <w:t>1.  INTRODUCTION</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_Toc231038104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11</w:t>
            </w:r>
            <w:r w:rsidRPr="00E33CA0">
              <w:rPr>
                <w:rFonts w:asciiTheme="minorHAnsi" w:hAnsiTheme="minorHAnsi" w:cstheme="minorHAnsi"/>
                <w:noProof/>
                <w:webHidden/>
              </w:rPr>
              <w:fldChar w:fldCharType="end"/>
            </w:r>
          </w:hyperlink>
        </w:p>
        <w:p w14:paraId="7636044C" w14:textId="6A3C6BAA"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05" w:history="1">
            <w:r w:rsidRPr="00E33CA0">
              <w:rPr>
                <w:rStyle w:val="Hyperlink"/>
                <w:rFonts w:asciiTheme="minorHAnsi" w:hAnsiTheme="minorHAnsi" w:cstheme="minorHAnsi"/>
                <w:b/>
                <w:bCs/>
                <w:noProof/>
              </w:rPr>
              <w:t>1.1 The DIKTAS II Project Context</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_Toc231038105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11</w:t>
            </w:r>
            <w:r w:rsidRPr="00E33CA0">
              <w:rPr>
                <w:rFonts w:asciiTheme="minorHAnsi" w:hAnsiTheme="minorHAnsi" w:cstheme="minorHAnsi"/>
                <w:noProof/>
                <w:webHidden/>
              </w:rPr>
              <w:fldChar w:fldCharType="end"/>
            </w:r>
          </w:hyperlink>
        </w:p>
        <w:p w14:paraId="114FD651" w14:textId="047FEA59"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06" w:history="1">
            <w:r w:rsidRPr="00E33CA0">
              <w:rPr>
                <w:rStyle w:val="Hyperlink"/>
                <w:rFonts w:asciiTheme="minorHAnsi" w:hAnsiTheme="minorHAnsi" w:cstheme="minorHAnsi"/>
                <w:b/>
                <w:bCs/>
                <w:noProof/>
              </w:rPr>
              <w:t>1.2 The Nexus of Water and Gender in Sustainable Development</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_Toc231038106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12</w:t>
            </w:r>
            <w:r w:rsidRPr="00E33CA0">
              <w:rPr>
                <w:rFonts w:asciiTheme="minorHAnsi" w:hAnsiTheme="minorHAnsi" w:cstheme="minorHAnsi"/>
                <w:noProof/>
                <w:webHidden/>
              </w:rPr>
              <w:fldChar w:fldCharType="end"/>
            </w:r>
          </w:hyperlink>
        </w:p>
        <w:p w14:paraId="3EDD9AE5" w14:textId="60F6A10C"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07" w:history="1">
            <w:r w:rsidRPr="00E33CA0">
              <w:rPr>
                <w:rStyle w:val="Hyperlink"/>
                <w:rFonts w:asciiTheme="minorHAnsi" w:hAnsiTheme="minorHAnsi" w:cstheme="minorHAnsi"/>
                <w:b/>
                <w:bCs/>
                <w:noProof/>
              </w:rPr>
              <w:t>1.3 Purpose and Scope of the Regional Analysis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_Toc231038107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13</w:t>
            </w:r>
            <w:r w:rsidRPr="00E33CA0">
              <w:rPr>
                <w:rFonts w:asciiTheme="minorHAnsi" w:hAnsiTheme="minorHAnsi" w:cstheme="minorHAnsi"/>
                <w:noProof/>
                <w:webHidden/>
              </w:rPr>
              <w:fldChar w:fldCharType="end"/>
            </w:r>
          </w:hyperlink>
        </w:p>
        <w:p w14:paraId="568C293E" w14:textId="75889F49"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08" w:history="1">
            <w:r w:rsidRPr="00E33CA0">
              <w:rPr>
                <w:rStyle w:val="Hyperlink"/>
                <w:rFonts w:asciiTheme="minorHAnsi" w:hAnsiTheme="minorHAnsi" w:cstheme="minorHAnsi"/>
                <w:b/>
                <w:bCs/>
                <w:noProof/>
              </w:rPr>
              <w:t xml:space="preserve">1.4 Regional Hypothesis </w:t>
            </w:r>
            <w:r w:rsidRPr="00E33CA0">
              <w:rPr>
                <w:rStyle w:val="Hyperlink"/>
                <w:rFonts w:asciiTheme="minorHAnsi" w:hAnsiTheme="minorHAnsi" w:cstheme="minorHAnsi"/>
                <w:i/>
                <w:iCs/>
                <w:noProof/>
              </w:rPr>
              <w:t>(synthesized from DIKTAS II National Gender Analyses, 2025):</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_Toc231038108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13</w:t>
            </w:r>
            <w:r w:rsidRPr="00E33CA0">
              <w:rPr>
                <w:rFonts w:asciiTheme="minorHAnsi" w:hAnsiTheme="minorHAnsi" w:cstheme="minorHAnsi"/>
                <w:noProof/>
                <w:webHidden/>
              </w:rPr>
              <w:fldChar w:fldCharType="end"/>
            </w:r>
          </w:hyperlink>
        </w:p>
        <w:p w14:paraId="5A17187F" w14:textId="464DDB86"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09" w:history="1">
            <w:r w:rsidRPr="00E33CA0">
              <w:rPr>
                <w:rStyle w:val="Hyperlink"/>
                <w:rFonts w:asciiTheme="minorHAnsi" w:hAnsiTheme="minorHAnsi" w:cstheme="minorHAnsi"/>
                <w:b/>
                <w:bCs/>
                <w:noProof/>
              </w:rPr>
              <w:t>2.  METHODOLOGY</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_Toc231038109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14</w:t>
            </w:r>
            <w:r w:rsidRPr="00E33CA0">
              <w:rPr>
                <w:rFonts w:asciiTheme="minorHAnsi" w:hAnsiTheme="minorHAnsi" w:cstheme="minorHAnsi"/>
                <w:noProof/>
                <w:webHidden/>
              </w:rPr>
              <w:fldChar w:fldCharType="end"/>
            </w:r>
          </w:hyperlink>
        </w:p>
        <w:p w14:paraId="4313AC55" w14:textId="6CEA8119"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10" w:history="1">
            <w:r w:rsidRPr="00E33CA0">
              <w:rPr>
                <w:rStyle w:val="Hyperlink"/>
                <w:rFonts w:asciiTheme="minorHAnsi" w:hAnsiTheme="minorHAnsi" w:cstheme="minorHAnsi"/>
                <w:b/>
                <w:bCs/>
                <w:noProof/>
              </w:rPr>
              <w:t>2.1 Analytical Approach</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_Toc231038110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14</w:t>
            </w:r>
            <w:r w:rsidRPr="00E33CA0">
              <w:rPr>
                <w:rFonts w:asciiTheme="minorHAnsi" w:hAnsiTheme="minorHAnsi" w:cstheme="minorHAnsi"/>
                <w:noProof/>
                <w:webHidden/>
              </w:rPr>
              <w:fldChar w:fldCharType="end"/>
            </w:r>
          </w:hyperlink>
        </w:p>
        <w:p w14:paraId="64C71DCE" w14:textId="4DA4B3B7"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11" w:history="1">
            <w:r w:rsidRPr="00E33CA0">
              <w:rPr>
                <w:rStyle w:val="Hyperlink"/>
                <w:rFonts w:asciiTheme="minorHAnsi" w:hAnsiTheme="minorHAnsi" w:cstheme="minorHAnsi"/>
                <w:b/>
                <w:bCs/>
                <w:noProof/>
              </w:rPr>
              <w:t>2.2 The "Water as an Asset, Service, and Space" Framework</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_Toc231038111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15</w:t>
            </w:r>
            <w:r w:rsidRPr="00E33CA0">
              <w:rPr>
                <w:rFonts w:asciiTheme="minorHAnsi" w:hAnsiTheme="minorHAnsi" w:cstheme="minorHAnsi"/>
                <w:noProof/>
                <w:webHidden/>
              </w:rPr>
              <w:fldChar w:fldCharType="end"/>
            </w:r>
          </w:hyperlink>
        </w:p>
        <w:p w14:paraId="45CF5B60" w14:textId="10E07A15"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12" w:history="1">
            <w:r w:rsidRPr="00E33CA0">
              <w:rPr>
                <w:rStyle w:val="Hyperlink"/>
                <w:rFonts w:asciiTheme="minorHAnsi" w:hAnsiTheme="minorHAnsi" w:cstheme="minorHAnsi"/>
                <w:b/>
                <w:bCs/>
                <w:noProof/>
              </w:rPr>
              <w:t>2.3 Data Sources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_Toc231038112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15</w:t>
            </w:r>
            <w:r w:rsidRPr="00E33CA0">
              <w:rPr>
                <w:rFonts w:asciiTheme="minorHAnsi" w:hAnsiTheme="minorHAnsi" w:cstheme="minorHAnsi"/>
                <w:noProof/>
                <w:webHidden/>
              </w:rPr>
              <w:fldChar w:fldCharType="end"/>
            </w:r>
          </w:hyperlink>
        </w:p>
        <w:p w14:paraId="3EF14F29" w14:textId="4AC7B791"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13" w:history="1">
            <w:r w:rsidRPr="00E33CA0">
              <w:rPr>
                <w:rStyle w:val="Hyperlink"/>
                <w:rFonts w:asciiTheme="minorHAnsi" w:hAnsiTheme="minorHAnsi" w:cstheme="minorHAnsi"/>
                <w:b/>
                <w:bCs/>
                <w:noProof/>
              </w:rPr>
              <w:t>2.4 Limitations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_Toc231038113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15</w:t>
            </w:r>
            <w:r w:rsidRPr="00E33CA0">
              <w:rPr>
                <w:rFonts w:asciiTheme="minorHAnsi" w:hAnsiTheme="minorHAnsi" w:cstheme="minorHAnsi"/>
                <w:noProof/>
                <w:webHidden/>
              </w:rPr>
              <w:fldChar w:fldCharType="end"/>
            </w:r>
          </w:hyperlink>
        </w:p>
        <w:p w14:paraId="4A76B734" w14:textId="4A0812D5"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14" w:history="1">
            <w:r w:rsidRPr="00E33CA0">
              <w:rPr>
                <w:rStyle w:val="Hyperlink"/>
                <w:rFonts w:asciiTheme="minorHAnsi" w:hAnsiTheme="minorHAnsi" w:cstheme="minorHAnsi"/>
                <w:b/>
                <w:bCs/>
                <w:noProof/>
              </w:rPr>
              <w:t>3.  REGIONAL OVERVIEW: GENDER EQUALITY AND WATER GOVERNANCE</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_Toc231038114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17</w:t>
            </w:r>
            <w:r w:rsidRPr="00E33CA0">
              <w:rPr>
                <w:rFonts w:asciiTheme="minorHAnsi" w:hAnsiTheme="minorHAnsi" w:cstheme="minorHAnsi"/>
                <w:noProof/>
                <w:webHidden/>
              </w:rPr>
              <w:fldChar w:fldCharType="end"/>
            </w:r>
          </w:hyperlink>
        </w:p>
        <w:p w14:paraId="475F2187" w14:textId="24115F30"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15" w:history="1">
            <w:r w:rsidRPr="00E33CA0">
              <w:rPr>
                <w:rStyle w:val="Hyperlink"/>
                <w:rFonts w:asciiTheme="minorHAnsi" w:hAnsiTheme="minorHAnsi" w:cstheme="minorHAnsi"/>
                <w:b/>
                <w:bCs/>
                <w:noProof/>
              </w:rPr>
              <w:t>3.1 Demographic and Socio-Economic Landscape</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_Toc231038115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17</w:t>
            </w:r>
            <w:r w:rsidRPr="00E33CA0">
              <w:rPr>
                <w:rFonts w:asciiTheme="minorHAnsi" w:hAnsiTheme="minorHAnsi" w:cstheme="minorHAnsi"/>
                <w:noProof/>
                <w:webHidden/>
              </w:rPr>
              <w:fldChar w:fldCharType="end"/>
            </w:r>
          </w:hyperlink>
        </w:p>
        <w:p w14:paraId="27961781" w14:textId="6FC5571A"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16" w:history="1">
            <w:r w:rsidRPr="00E33CA0">
              <w:rPr>
                <w:rStyle w:val="Hyperlink"/>
                <w:rFonts w:asciiTheme="minorHAnsi" w:hAnsiTheme="minorHAnsi" w:cstheme="minorHAnsi"/>
                <w:b/>
                <w:bCs/>
                <w:noProof/>
              </w:rPr>
              <w:t>3.1.1 Analysis of Demographic Trends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_Toc231038116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19</w:t>
            </w:r>
            <w:r w:rsidRPr="00E33CA0">
              <w:rPr>
                <w:rFonts w:asciiTheme="minorHAnsi" w:hAnsiTheme="minorHAnsi" w:cstheme="minorHAnsi"/>
                <w:noProof/>
                <w:webHidden/>
              </w:rPr>
              <w:fldChar w:fldCharType="end"/>
            </w:r>
          </w:hyperlink>
        </w:p>
        <w:p w14:paraId="44107313" w14:textId="4C7948D0"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17" w:history="1">
            <w:r w:rsidRPr="00E33CA0">
              <w:rPr>
                <w:rStyle w:val="Hyperlink"/>
                <w:rFonts w:asciiTheme="minorHAnsi" w:hAnsiTheme="minorHAnsi" w:cstheme="minorHAnsi"/>
                <w:b/>
                <w:bCs/>
                <w:noProof/>
              </w:rPr>
              <w:t>3.2 National Legal and Policy Frameworks for Gender Equality</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_Toc231038117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20</w:t>
            </w:r>
            <w:r w:rsidRPr="00E33CA0">
              <w:rPr>
                <w:rFonts w:asciiTheme="minorHAnsi" w:hAnsiTheme="minorHAnsi" w:cstheme="minorHAnsi"/>
                <w:noProof/>
                <w:webHidden/>
              </w:rPr>
              <w:fldChar w:fldCharType="end"/>
            </w:r>
          </w:hyperlink>
        </w:p>
        <w:p w14:paraId="461B771E" w14:textId="50A9C082"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18" w:history="1">
            <w:r w:rsidRPr="00E33CA0">
              <w:rPr>
                <w:rStyle w:val="Hyperlink"/>
                <w:rFonts w:asciiTheme="minorHAnsi" w:hAnsiTheme="minorHAnsi" w:cstheme="minorHAnsi"/>
                <w:b/>
                <w:bCs/>
                <w:noProof/>
              </w:rPr>
              <w:t>3.2.1 Analysis of Legal Frameworks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_Toc231038118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21</w:t>
            </w:r>
            <w:r w:rsidRPr="00E33CA0">
              <w:rPr>
                <w:rFonts w:asciiTheme="minorHAnsi" w:hAnsiTheme="minorHAnsi" w:cstheme="minorHAnsi"/>
                <w:noProof/>
                <w:webHidden/>
              </w:rPr>
              <w:fldChar w:fldCharType="end"/>
            </w:r>
          </w:hyperlink>
        </w:p>
        <w:p w14:paraId="26B5A439" w14:textId="2DD817CB"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19" w:history="1">
            <w:r w:rsidRPr="00E33CA0">
              <w:rPr>
                <w:rStyle w:val="Hyperlink"/>
                <w:rFonts w:asciiTheme="minorHAnsi" w:hAnsiTheme="minorHAnsi" w:cstheme="minorHAnsi"/>
                <w:b/>
                <w:bCs/>
                <w:noProof/>
              </w:rPr>
              <w:t>3.3 Water Sector Management Structure</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_Toc231038119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22</w:t>
            </w:r>
            <w:r w:rsidRPr="00E33CA0">
              <w:rPr>
                <w:rFonts w:asciiTheme="minorHAnsi" w:hAnsiTheme="minorHAnsi" w:cstheme="minorHAnsi"/>
                <w:noProof/>
                <w:webHidden/>
              </w:rPr>
              <w:fldChar w:fldCharType="end"/>
            </w:r>
          </w:hyperlink>
        </w:p>
        <w:p w14:paraId="2169EEE2" w14:textId="14238A2C"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20" w:history="1">
            <w:r w:rsidRPr="00E33CA0">
              <w:rPr>
                <w:rStyle w:val="Hyperlink"/>
                <w:rFonts w:asciiTheme="minorHAnsi" w:hAnsiTheme="minorHAnsi" w:cstheme="minorHAnsi"/>
                <w:b/>
                <w:bCs/>
                <w:noProof/>
              </w:rPr>
              <w:t>4.  COMPARATIVE GENDER ANALYSIS: WATER AS AN ASSET</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_Toc231038120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26</w:t>
            </w:r>
            <w:r w:rsidRPr="00E33CA0">
              <w:rPr>
                <w:rFonts w:asciiTheme="minorHAnsi" w:hAnsiTheme="minorHAnsi" w:cstheme="minorHAnsi"/>
                <w:noProof/>
                <w:webHidden/>
              </w:rPr>
              <w:fldChar w:fldCharType="end"/>
            </w:r>
          </w:hyperlink>
        </w:p>
        <w:p w14:paraId="77FE1536" w14:textId="5087DF7D"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21" w:history="1">
            <w:r w:rsidRPr="00E33CA0">
              <w:rPr>
                <w:rStyle w:val="Hyperlink"/>
                <w:rFonts w:asciiTheme="minorHAnsi" w:hAnsiTheme="minorHAnsi" w:cstheme="minorHAnsi"/>
                <w:b/>
                <w:bCs/>
                <w:noProof/>
              </w:rPr>
              <w:t>4.1 Women's Employment in the Water Sector</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_Toc231038121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26</w:t>
            </w:r>
            <w:r w:rsidRPr="00E33CA0">
              <w:rPr>
                <w:rFonts w:asciiTheme="minorHAnsi" w:hAnsiTheme="minorHAnsi" w:cstheme="minorHAnsi"/>
                <w:noProof/>
                <w:webHidden/>
              </w:rPr>
              <w:fldChar w:fldCharType="end"/>
            </w:r>
          </w:hyperlink>
        </w:p>
        <w:p w14:paraId="6980B2E6" w14:textId="10972595"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22" w:history="1">
            <w:r w:rsidRPr="00E33CA0">
              <w:rPr>
                <w:rStyle w:val="Hyperlink"/>
                <w:rFonts w:asciiTheme="minorHAnsi" w:hAnsiTheme="minorHAnsi" w:cstheme="minorHAnsi"/>
                <w:b/>
                <w:bCs/>
                <w:noProof/>
              </w:rPr>
              <w:t>4.1.1 Analysis of Employment Patterns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_Toc231038122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27</w:t>
            </w:r>
            <w:r w:rsidRPr="00E33CA0">
              <w:rPr>
                <w:rFonts w:asciiTheme="minorHAnsi" w:hAnsiTheme="minorHAnsi" w:cstheme="minorHAnsi"/>
                <w:noProof/>
                <w:webHidden/>
              </w:rPr>
              <w:fldChar w:fldCharType="end"/>
            </w:r>
          </w:hyperlink>
        </w:p>
        <w:p w14:paraId="095C0C2E" w14:textId="610FED8D"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23" w:history="1">
            <w:r w:rsidRPr="00E33CA0">
              <w:rPr>
                <w:rStyle w:val="Hyperlink"/>
                <w:rFonts w:asciiTheme="minorHAnsi" w:hAnsiTheme="minorHAnsi" w:cstheme="minorHAnsi"/>
                <w:b/>
                <w:bCs/>
                <w:noProof/>
              </w:rPr>
              <w:t>4.2 Access to Water Resources and Economic Opportunities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_Toc231038123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28</w:t>
            </w:r>
            <w:r w:rsidRPr="00E33CA0">
              <w:rPr>
                <w:rFonts w:asciiTheme="minorHAnsi" w:hAnsiTheme="minorHAnsi" w:cstheme="minorHAnsi"/>
                <w:noProof/>
                <w:webHidden/>
              </w:rPr>
              <w:fldChar w:fldCharType="end"/>
            </w:r>
          </w:hyperlink>
        </w:p>
        <w:p w14:paraId="2B4C0665" w14:textId="4BC77F9F"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24" w:history="1">
            <w:r w:rsidRPr="00E33CA0">
              <w:rPr>
                <w:rStyle w:val="Hyperlink"/>
                <w:rFonts w:asciiTheme="minorHAnsi" w:hAnsiTheme="minorHAnsi" w:cstheme="minorHAnsi"/>
                <w:b/>
                <w:bCs/>
                <w:noProof/>
              </w:rPr>
              <w:t>5.  COMPARATIVE GENDER ANALYSIS: WATER AS A SERVICE</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_Toc231038124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29</w:t>
            </w:r>
            <w:r w:rsidRPr="00E33CA0">
              <w:rPr>
                <w:rFonts w:asciiTheme="minorHAnsi" w:hAnsiTheme="minorHAnsi" w:cstheme="minorHAnsi"/>
                <w:noProof/>
                <w:webHidden/>
              </w:rPr>
              <w:fldChar w:fldCharType="end"/>
            </w:r>
          </w:hyperlink>
        </w:p>
        <w:p w14:paraId="1E9E27AF" w14:textId="74FD196C"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25" w:history="1">
            <w:r w:rsidRPr="00E33CA0">
              <w:rPr>
                <w:rStyle w:val="Hyperlink"/>
                <w:rFonts w:asciiTheme="minorHAnsi" w:hAnsiTheme="minorHAnsi" w:cstheme="minorHAnsi"/>
                <w:b/>
                <w:bCs/>
                <w:noProof/>
              </w:rPr>
              <w:t>5.1 Time Burden and Unpaid Care Work</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_Toc231038125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29</w:t>
            </w:r>
            <w:r w:rsidRPr="00E33CA0">
              <w:rPr>
                <w:rFonts w:asciiTheme="minorHAnsi" w:hAnsiTheme="minorHAnsi" w:cstheme="minorHAnsi"/>
                <w:noProof/>
                <w:webHidden/>
              </w:rPr>
              <w:fldChar w:fldCharType="end"/>
            </w:r>
          </w:hyperlink>
        </w:p>
        <w:p w14:paraId="346539FE" w14:textId="2466EAE3"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26" w:history="1">
            <w:r w:rsidRPr="00E33CA0">
              <w:rPr>
                <w:rStyle w:val="Hyperlink"/>
                <w:rFonts w:asciiTheme="minorHAnsi" w:hAnsiTheme="minorHAnsi" w:cstheme="minorHAnsi"/>
                <w:b/>
                <w:bCs/>
                <w:noProof/>
              </w:rPr>
              <w:t>5.2 Health Impacts and Service Quality</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_Toc231038126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31</w:t>
            </w:r>
            <w:r w:rsidRPr="00E33CA0">
              <w:rPr>
                <w:rFonts w:asciiTheme="minorHAnsi" w:hAnsiTheme="minorHAnsi" w:cstheme="minorHAnsi"/>
                <w:noProof/>
                <w:webHidden/>
              </w:rPr>
              <w:fldChar w:fldCharType="end"/>
            </w:r>
          </w:hyperlink>
        </w:p>
        <w:p w14:paraId="2A6EA1D0" w14:textId="14808F13"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27" w:history="1">
            <w:r w:rsidRPr="00E33CA0">
              <w:rPr>
                <w:rStyle w:val="Hyperlink"/>
                <w:rFonts w:asciiTheme="minorHAnsi" w:hAnsiTheme="minorHAnsi" w:cstheme="minorHAnsi"/>
                <w:b/>
                <w:bCs/>
                <w:noProof/>
              </w:rPr>
              <w:t>6.1 Political Representation and Water Governance</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_Toc231038127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32</w:t>
            </w:r>
            <w:r w:rsidRPr="00E33CA0">
              <w:rPr>
                <w:rFonts w:asciiTheme="minorHAnsi" w:hAnsiTheme="minorHAnsi" w:cstheme="minorHAnsi"/>
                <w:noProof/>
                <w:webHidden/>
              </w:rPr>
              <w:fldChar w:fldCharType="end"/>
            </w:r>
          </w:hyperlink>
        </w:p>
        <w:p w14:paraId="7142688C" w14:textId="711DE8A4"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28" w:history="1">
            <w:r w:rsidRPr="00E33CA0">
              <w:rPr>
                <w:rStyle w:val="Hyperlink"/>
                <w:rFonts w:asciiTheme="minorHAnsi" w:hAnsiTheme="minorHAnsi" w:cstheme="minorHAnsi"/>
                <w:b/>
                <w:bCs/>
                <w:noProof/>
              </w:rPr>
              <w:t>6.1.1 Analysis of Representation Gaps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_Toc231038128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34</w:t>
            </w:r>
            <w:r w:rsidRPr="00E33CA0">
              <w:rPr>
                <w:rFonts w:asciiTheme="minorHAnsi" w:hAnsiTheme="minorHAnsi" w:cstheme="minorHAnsi"/>
                <w:noProof/>
                <w:webHidden/>
              </w:rPr>
              <w:fldChar w:fldCharType="end"/>
            </w:r>
          </w:hyperlink>
        </w:p>
        <w:p w14:paraId="1BB1C7B6" w14:textId="07D97FD2"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29" w:history="1">
            <w:r w:rsidRPr="00E33CA0">
              <w:rPr>
                <w:rStyle w:val="Hyperlink"/>
                <w:rFonts w:asciiTheme="minorHAnsi" w:hAnsiTheme="minorHAnsi" w:cstheme="minorHAnsi"/>
                <w:b/>
                <w:bCs/>
                <w:noProof/>
              </w:rPr>
              <w:t>6.2 Water Governance Body Composition</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_Toc231038129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35</w:t>
            </w:r>
            <w:r w:rsidRPr="00E33CA0">
              <w:rPr>
                <w:rFonts w:asciiTheme="minorHAnsi" w:hAnsiTheme="minorHAnsi" w:cstheme="minorHAnsi"/>
                <w:noProof/>
                <w:webHidden/>
              </w:rPr>
              <w:fldChar w:fldCharType="end"/>
            </w:r>
          </w:hyperlink>
        </w:p>
        <w:p w14:paraId="0E47468B" w14:textId="03E9405B"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30" w:history="1">
            <w:r w:rsidRPr="00E33CA0">
              <w:rPr>
                <w:rStyle w:val="Hyperlink"/>
                <w:rFonts w:asciiTheme="minorHAnsi" w:hAnsiTheme="minorHAnsi" w:cstheme="minorHAnsi"/>
                <w:b/>
                <w:bCs/>
                <w:noProof/>
              </w:rPr>
              <w:t>7.  IDENTIFIED GAPS, CHALLENGES, AND EMERGING THEMES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_Toc231038130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36</w:t>
            </w:r>
            <w:r w:rsidRPr="00E33CA0">
              <w:rPr>
                <w:rFonts w:asciiTheme="minorHAnsi" w:hAnsiTheme="minorHAnsi" w:cstheme="minorHAnsi"/>
                <w:noProof/>
                <w:webHidden/>
              </w:rPr>
              <w:fldChar w:fldCharType="end"/>
            </w:r>
          </w:hyperlink>
        </w:p>
        <w:p w14:paraId="5F6A0987" w14:textId="63B72D7B"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31" w:history="1">
            <w:r w:rsidRPr="00E33CA0">
              <w:rPr>
                <w:rStyle w:val="Hyperlink"/>
                <w:rFonts w:asciiTheme="minorHAnsi" w:hAnsiTheme="minorHAnsi" w:cstheme="minorHAnsi"/>
                <w:b/>
                <w:bCs/>
                <w:noProof/>
              </w:rPr>
              <w:t>7.1 The Policy-to-Practice Gap</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_Toc231038131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36</w:t>
            </w:r>
            <w:r w:rsidRPr="00E33CA0">
              <w:rPr>
                <w:rFonts w:asciiTheme="minorHAnsi" w:hAnsiTheme="minorHAnsi" w:cstheme="minorHAnsi"/>
                <w:noProof/>
                <w:webHidden/>
              </w:rPr>
              <w:fldChar w:fldCharType="end"/>
            </w:r>
          </w:hyperlink>
        </w:p>
        <w:p w14:paraId="01FC6161" w14:textId="385853E4"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32" w:history="1">
            <w:r w:rsidRPr="00E33CA0">
              <w:rPr>
                <w:rStyle w:val="Hyperlink"/>
                <w:rFonts w:asciiTheme="minorHAnsi" w:hAnsiTheme="minorHAnsi" w:cstheme="minorHAnsi"/>
                <w:b/>
                <w:bCs/>
                <w:noProof/>
              </w:rPr>
              <w:t>7.2 Data Deficiencies and Monitoring Challenges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_Toc231038132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37</w:t>
            </w:r>
            <w:r w:rsidRPr="00E33CA0">
              <w:rPr>
                <w:rFonts w:asciiTheme="minorHAnsi" w:hAnsiTheme="minorHAnsi" w:cstheme="minorHAnsi"/>
                <w:noProof/>
                <w:webHidden/>
              </w:rPr>
              <w:fldChar w:fldCharType="end"/>
            </w:r>
          </w:hyperlink>
        </w:p>
        <w:p w14:paraId="4A3077D7" w14:textId="52F20DA2"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33" w:history="1">
            <w:r w:rsidRPr="00E33CA0">
              <w:rPr>
                <w:rStyle w:val="Hyperlink"/>
                <w:rFonts w:asciiTheme="minorHAnsi" w:hAnsiTheme="minorHAnsi" w:cstheme="minorHAnsi"/>
                <w:b/>
                <w:bCs/>
                <w:noProof/>
              </w:rPr>
              <w:t>7.3 Intersectional Vulnerabilities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_Toc231038133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37</w:t>
            </w:r>
            <w:r w:rsidRPr="00E33CA0">
              <w:rPr>
                <w:rFonts w:asciiTheme="minorHAnsi" w:hAnsiTheme="minorHAnsi" w:cstheme="minorHAnsi"/>
                <w:noProof/>
                <w:webHidden/>
              </w:rPr>
              <w:fldChar w:fldCharType="end"/>
            </w:r>
          </w:hyperlink>
        </w:p>
        <w:p w14:paraId="40725663" w14:textId="00B5D0BA"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34" w:history="1">
            <w:r w:rsidRPr="00E33CA0">
              <w:rPr>
                <w:rStyle w:val="Hyperlink"/>
                <w:rFonts w:asciiTheme="minorHAnsi" w:hAnsiTheme="minorHAnsi" w:cstheme="minorHAnsi"/>
                <w:b/>
                <w:bCs/>
                <w:noProof/>
              </w:rPr>
              <w:t>7.4 Socio-Economic and Environmental Linkages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_Toc231038134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38</w:t>
            </w:r>
            <w:r w:rsidRPr="00E33CA0">
              <w:rPr>
                <w:rFonts w:asciiTheme="minorHAnsi" w:hAnsiTheme="minorHAnsi" w:cstheme="minorHAnsi"/>
                <w:noProof/>
                <w:webHidden/>
              </w:rPr>
              <w:fldChar w:fldCharType="end"/>
            </w:r>
          </w:hyperlink>
        </w:p>
        <w:p w14:paraId="7D68F84A" w14:textId="7886AE2D"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35" w:history="1">
            <w:r w:rsidRPr="00E33CA0">
              <w:rPr>
                <w:rStyle w:val="Hyperlink"/>
                <w:rFonts w:asciiTheme="minorHAnsi" w:hAnsiTheme="minorHAnsi" w:cstheme="minorHAnsi"/>
                <w:b/>
                <w:bCs/>
                <w:noProof/>
              </w:rPr>
              <w:t>7.5 Emerging Themes and Opportunities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_Toc231038135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38</w:t>
            </w:r>
            <w:r w:rsidRPr="00E33CA0">
              <w:rPr>
                <w:rFonts w:asciiTheme="minorHAnsi" w:hAnsiTheme="minorHAnsi" w:cstheme="minorHAnsi"/>
                <w:noProof/>
                <w:webHidden/>
              </w:rPr>
              <w:fldChar w:fldCharType="end"/>
            </w:r>
          </w:hyperlink>
        </w:p>
        <w:p w14:paraId="3F0A3767" w14:textId="3F60B1DF"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36" w:history="1">
            <w:r w:rsidRPr="00E33CA0">
              <w:rPr>
                <w:rStyle w:val="Hyperlink"/>
                <w:rFonts w:asciiTheme="minorHAnsi" w:hAnsiTheme="minorHAnsi" w:cstheme="minorHAnsi"/>
                <w:b/>
                <w:bCs/>
                <w:noProof/>
              </w:rPr>
              <w:t>8.  CLIMATE CHANGE, GENDER-BASED VIOLENCE, AND WATER GOVERNANCE</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_Toc231038136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40</w:t>
            </w:r>
            <w:r w:rsidRPr="00E33CA0">
              <w:rPr>
                <w:rFonts w:asciiTheme="minorHAnsi" w:hAnsiTheme="minorHAnsi" w:cstheme="minorHAnsi"/>
                <w:noProof/>
                <w:webHidden/>
              </w:rPr>
              <w:fldChar w:fldCharType="end"/>
            </w:r>
          </w:hyperlink>
        </w:p>
        <w:p w14:paraId="05FC4276" w14:textId="0AE06A13"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37" w:history="1">
            <w:r w:rsidRPr="00E33CA0">
              <w:rPr>
                <w:rStyle w:val="Hyperlink"/>
                <w:rFonts w:asciiTheme="minorHAnsi" w:hAnsiTheme="minorHAnsi" w:cstheme="minorHAnsi"/>
                <w:b/>
                <w:bCs/>
                <w:noProof/>
              </w:rPr>
              <w:t>8.1 Overview: The Water–GBV–Climate Nexus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_Toc231038137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40</w:t>
            </w:r>
            <w:r w:rsidRPr="00E33CA0">
              <w:rPr>
                <w:rFonts w:asciiTheme="minorHAnsi" w:hAnsiTheme="minorHAnsi" w:cstheme="minorHAnsi"/>
                <w:noProof/>
                <w:webHidden/>
              </w:rPr>
              <w:fldChar w:fldCharType="end"/>
            </w:r>
          </w:hyperlink>
        </w:p>
        <w:p w14:paraId="398E6CC1" w14:textId="0B7D423E"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38" w:history="1">
            <w:r w:rsidRPr="00E33CA0">
              <w:rPr>
                <w:rStyle w:val="Hyperlink"/>
                <w:rFonts w:asciiTheme="minorHAnsi" w:hAnsiTheme="minorHAnsi" w:cstheme="minorHAnsi"/>
                <w:b/>
                <w:bCs/>
                <w:noProof/>
              </w:rPr>
              <w:t>8.2 Definitions: Forms of GBV in Water Governance Contexts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_Toc231038138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40</w:t>
            </w:r>
            <w:r w:rsidRPr="00E33CA0">
              <w:rPr>
                <w:rFonts w:asciiTheme="minorHAnsi" w:hAnsiTheme="minorHAnsi" w:cstheme="minorHAnsi"/>
                <w:noProof/>
                <w:webHidden/>
              </w:rPr>
              <w:fldChar w:fldCharType="end"/>
            </w:r>
          </w:hyperlink>
        </w:p>
        <w:p w14:paraId="27EEF152" w14:textId="75045052"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39" w:history="1">
            <w:r w:rsidRPr="00E33CA0">
              <w:rPr>
                <w:rStyle w:val="Hyperlink"/>
                <w:rFonts w:asciiTheme="minorHAnsi" w:hAnsiTheme="minorHAnsi" w:cstheme="minorHAnsi"/>
                <w:b/>
                <w:bCs/>
                <w:noProof/>
              </w:rPr>
              <w:t>8.3 Five Pathways from Water Governance Failures to GBV</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_Toc231038139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40</w:t>
            </w:r>
            <w:r w:rsidRPr="00E33CA0">
              <w:rPr>
                <w:rFonts w:asciiTheme="minorHAnsi" w:hAnsiTheme="minorHAnsi" w:cstheme="minorHAnsi"/>
                <w:noProof/>
                <w:webHidden/>
              </w:rPr>
              <w:fldChar w:fldCharType="end"/>
            </w:r>
          </w:hyperlink>
        </w:p>
        <w:p w14:paraId="14AC9C07" w14:textId="73497B6A"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40" w:history="1">
            <w:r w:rsidRPr="00E33CA0">
              <w:rPr>
                <w:rStyle w:val="Hyperlink"/>
                <w:rFonts w:asciiTheme="minorHAnsi" w:hAnsiTheme="minorHAnsi" w:cstheme="minorHAnsi"/>
                <w:b/>
                <w:bCs/>
                <w:noProof/>
              </w:rPr>
              <w:t>8.4 GBV Prevalence Across the Four Countries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_Toc231038140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41</w:t>
            </w:r>
            <w:r w:rsidRPr="00E33CA0">
              <w:rPr>
                <w:rFonts w:asciiTheme="minorHAnsi" w:hAnsiTheme="minorHAnsi" w:cstheme="minorHAnsi"/>
                <w:noProof/>
                <w:webHidden/>
              </w:rPr>
              <w:fldChar w:fldCharType="end"/>
            </w:r>
          </w:hyperlink>
        </w:p>
        <w:p w14:paraId="3CEA65BA" w14:textId="46AD308F"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41" w:history="1">
            <w:r w:rsidRPr="00E33CA0">
              <w:rPr>
                <w:rStyle w:val="Hyperlink"/>
                <w:rFonts w:asciiTheme="minorHAnsi" w:hAnsiTheme="minorHAnsi" w:cstheme="minorHAnsi"/>
                <w:b/>
                <w:bCs/>
                <w:noProof/>
              </w:rPr>
              <w:t>8.5 GBV–Climate Nexus: Comparative Table</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_Toc231038141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42</w:t>
            </w:r>
            <w:r w:rsidRPr="00E33CA0">
              <w:rPr>
                <w:rFonts w:asciiTheme="minorHAnsi" w:hAnsiTheme="minorHAnsi" w:cstheme="minorHAnsi"/>
                <w:noProof/>
                <w:webHidden/>
              </w:rPr>
              <w:fldChar w:fldCharType="end"/>
            </w:r>
          </w:hyperlink>
        </w:p>
        <w:p w14:paraId="074D585B" w14:textId="3637C1B4"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42" w:history="1">
            <w:r w:rsidRPr="00E33CA0">
              <w:rPr>
                <w:rStyle w:val="Hyperlink"/>
                <w:rFonts w:asciiTheme="minorHAnsi" w:hAnsiTheme="minorHAnsi" w:cstheme="minorHAnsi"/>
                <w:b/>
                <w:bCs/>
                <w:noProof/>
              </w:rPr>
              <w:t>8.6 Climate Change, Water Availability, and Gendered Impacts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_Toc231038142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44</w:t>
            </w:r>
            <w:r w:rsidRPr="00E33CA0">
              <w:rPr>
                <w:rFonts w:asciiTheme="minorHAnsi" w:hAnsiTheme="minorHAnsi" w:cstheme="minorHAnsi"/>
                <w:noProof/>
                <w:webHidden/>
              </w:rPr>
              <w:fldChar w:fldCharType="end"/>
            </w:r>
          </w:hyperlink>
        </w:p>
        <w:p w14:paraId="3D434EFC" w14:textId="1C1199E2"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43" w:history="1">
            <w:r w:rsidRPr="00E33CA0">
              <w:rPr>
                <w:rStyle w:val="Hyperlink"/>
                <w:rFonts w:asciiTheme="minorHAnsi" w:hAnsiTheme="minorHAnsi" w:cstheme="minorHAnsi"/>
                <w:b/>
                <w:bCs/>
                <w:noProof/>
              </w:rPr>
              <w:t>8.7 Recommendations for Addressing the Water–GBV–Climate Nexus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_Toc231038143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45</w:t>
            </w:r>
            <w:r w:rsidRPr="00E33CA0">
              <w:rPr>
                <w:rFonts w:asciiTheme="minorHAnsi" w:hAnsiTheme="minorHAnsi" w:cstheme="minorHAnsi"/>
                <w:noProof/>
                <w:webHidden/>
              </w:rPr>
              <w:fldChar w:fldCharType="end"/>
            </w:r>
          </w:hyperlink>
        </w:p>
        <w:p w14:paraId="5A39EEAA" w14:textId="16FD238A"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44" w:history="1">
            <w:r w:rsidRPr="00E33CA0">
              <w:rPr>
                <w:rStyle w:val="Hyperlink"/>
                <w:rFonts w:asciiTheme="minorHAnsi" w:hAnsiTheme="minorHAnsi" w:cstheme="minorHAnsi"/>
                <w:b/>
                <w:bCs/>
                <w:noProof/>
              </w:rPr>
              <w:t>9.  CONCLUSIONS AND STRATEGIC RECOMMENDATIONS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_Toc231038144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46</w:t>
            </w:r>
            <w:r w:rsidRPr="00E33CA0">
              <w:rPr>
                <w:rFonts w:asciiTheme="minorHAnsi" w:hAnsiTheme="minorHAnsi" w:cstheme="minorHAnsi"/>
                <w:noProof/>
                <w:webHidden/>
              </w:rPr>
              <w:fldChar w:fldCharType="end"/>
            </w:r>
          </w:hyperlink>
        </w:p>
        <w:p w14:paraId="7B85D6C8" w14:textId="78501E2F"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45" w:history="1">
            <w:r w:rsidRPr="00E33CA0">
              <w:rPr>
                <w:rStyle w:val="Hyperlink"/>
                <w:rFonts w:asciiTheme="minorHAnsi" w:hAnsiTheme="minorHAnsi" w:cstheme="minorHAnsi"/>
                <w:b/>
                <w:bCs/>
                <w:noProof/>
              </w:rPr>
              <w:t>9.1 Concluding Assessment</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_Toc231038145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46</w:t>
            </w:r>
            <w:r w:rsidRPr="00E33CA0">
              <w:rPr>
                <w:rFonts w:asciiTheme="minorHAnsi" w:hAnsiTheme="minorHAnsi" w:cstheme="minorHAnsi"/>
                <w:noProof/>
                <w:webHidden/>
              </w:rPr>
              <w:fldChar w:fldCharType="end"/>
            </w:r>
          </w:hyperlink>
        </w:p>
        <w:p w14:paraId="588DAD7E" w14:textId="696E09C8"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46" w:history="1">
            <w:r w:rsidRPr="00E33CA0">
              <w:rPr>
                <w:rStyle w:val="Hyperlink"/>
                <w:rFonts w:asciiTheme="minorHAnsi" w:hAnsiTheme="minorHAnsi" w:cstheme="minorHAnsi"/>
                <w:b/>
                <w:bCs/>
                <w:noProof/>
              </w:rPr>
              <w:t>9.2 Strategic Recommendations for Regional Action</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_Toc231038146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47</w:t>
            </w:r>
            <w:r w:rsidRPr="00E33CA0">
              <w:rPr>
                <w:rFonts w:asciiTheme="minorHAnsi" w:hAnsiTheme="minorHAnsi" w:cstheme="minorHAnsi"/>
                <w:noProof/>
                <w:webHidden/>
              </w:rPr>
              <w:fldChar w:fldCharType="end"/>
            </w:r>
          </w:hyperlink>
        </w:p>
        <w:p w14:paraId="4E4597E9" w14:textId="10F54887" w:rsidR="00E33CA0" w:rsidRPr="00E33CA0" w:rsidRDefault="00E33CA0">
          <w:pPr>
            <w:pStyle w:val="TOC3"/>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47" w:history="1">
            <w:r w:rsidRPr="00E33CA0">
              <w:rPr>
                <w:rStyle w:val="Hyperlink"/>
                <w:rFonts w:asciiTheme="minorHAnsi" w:hAnsiTheme="minorHAnsi" w:cstheme="minorHAnsi"/>
                <w:b/>
                <w:bCs/>
                <w:noProof/>
              </w:rPr>
              <w:t>9.2.1 Cross-Cutting Regional Recommendations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_Toc231038147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47</w:t>
            </w:r>
            <w:r w:rsidRPr="00E33CA0">
              <w:rPr>
                <w:rFonts w:asciiTheme="minorHAnsi" w:hAnsiTheme="minorHAnsi" w:cstheme="minorHAnsi"/>
                <w:noProof/>
                <w:webHidden/>
              </w:rPr>
              <w:fldChar w:fldCharType="end"/>
            </w:r>
          </w:hyperlink>
        </w:p>
        <w:p w14:paraId="5EE19704" w14:textId="76E9AC57" w:rsidR="00E33CA0" w:rsidRPr="00E33CA0" w:rsidRDefault="00E33CA0">
          <w:pPr>
            <w:pStyle w:val="TOC3"/>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48" w:history="1">
            <w:r w:rsidRPr="00E33CA0">
              <w:rPr>
                <w:rStyle w:val="Hyperlink"/>
                <w:rFonts w:asciiTheme="minorHAnsi" w:hAnsiTheme="minorHAnsi" w:cstheme="minorHAnsi"/>
                <w:b/>
                <w:bCs/>
                <w:noProof/>
              </w:rPr>
              <w:t>9.2.2 Country-Specific Recommendations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_Toc231038148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48</w:t>
            </w:r>
            <w:r w:rsidRPr="00E33CA0">
              <w:rPr>
                <w:rFonts w:asciiTheme="minorHAnsi" w:hAnsiTheme="minorHAnsi" w:cstheme="minorHAnsi"/>
                <w:noProof/>
                <w:webHidden/>
              </w:rPr>
              <w:fldChar w:fldCharType="end"/>
            </w:r>
          </w:hyperlink>
        </w:p>
        <w:p w14:paraId="0F6B5856" w14:textId="05E9CDD8"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49" w:history="1">
            <w:r w:rsidRPr="00E33CA0">
              <w:rPr>
                <w:rStyle w:val="Hyperlink"/>
                <w:rFonts w:asciiTheme="minorHAnsi" w:hAnsiTheme="minorHAnsi" w:cstheme="minorHAnsi"/>
                <w:b/>
                <w:bCs/>
                <w:noProof/>
              </w:rPr>
              <w:t>9.3 Roadmap for DIKTAS II Gender Mainstreaming</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_Toc231038149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49</w:t>
            </w:r>
            <w:r w:rsidRPr="00E33CA0">
              <w:rPr>
                <w:rFonts w:asciiTheme="minorHAnsi" w:hAnsiTheme="minorHAnsi" w:cstheme="minorHAnsi"/>
                <w:noProof/>
                <w:webHidden/>
              </w:rPr>
              <w:fldChar w:fldCharType="end"/>
            </w:r>
          </w:hyperlink>
        </w:p>
        <w:p w14:paraId="24289397" w14:textId="60152B2B"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50" w:history="1">
            <w:r w:rsidRPr="00E33CA0">
              <w:rPr>
                <w:rStyle w:val="Hyperlink"/>
                <w:rFonts w:asciiTheme="minorHAnsi" w:hAnsiTheme="minorHAnsi" w:cstheme="minorHAnsi"/>
                <w:b/>
                <w:bCs/>
                <w:noProof/>
              </w:rPr>
              <w:t>ANNEXES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_Toc231038150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50</w:t>
            </w:r>
            <w:r w:rsidRPr="00E33CA0">
              <w:rPr>
                <w:rFonts w:asciiTheme="minorHAnsi" w:hAnsiTheme="minorHAnsi" w:cstheme="minorHAnsi"/>
                <w:noProof/>
                <w:webHidden/>
              </w:rPr>
              <w:fldChar w:fldCharType="end"/>
            </w:r>
          </w:hyperlink>
        </w:p>
        <w:p w14:paraId="43B2D21C" w14:textId="7888D588"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51" w:history="1">
            <w:r w:rsidRPr="00E33CA0">
              <w:rPr>
                <w:rStyle w:val="Hyperlink"/>
                <w:rFonts w:asciiTheme="minorHAnsi" w:hAnsiTheme="minorHAnsi" w:cstheme="minorHAnsi"/>
                <w:b/>
                <w:bCs/>
                <w:noProof/>
              </w:rPr>
              <w:t>Annex A: Country Profile Summaries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_Toc231038151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50</w:t>
            </w:r>
            <w:r w:rsidRPr="00E33CA0">
              <w:rPr>
                <w:rFonts w:asciiTheme="minorHAnsi" w:hAnsiTheme="minorHAnsi" w:cstheme="minorHAnsi"/>
                <w:noProof/>
                <w:webHidden/>
              </w:rPr>
              <w:fldChar w:fldCharType="end"/>
            </w:r>
          </w:hyperlink>
        </w:p>
        <w:p w14:paraId="3E33563C" w14:textId="7C16068A" w:rsidR="00E33CA0" w:rsidRPr="00E33CA0" w:rsidRDefault="00E33CA0">
          <w:pPr>
            <w:pStyle w:val="TOC3"/>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52" w:history="1">
            <w:r w:rsidRPr="00E33CA0">
              <w:rPr>
                <w:rStyle w:val="Hyperlink"/>
                <w:rFonts w:asciiTheme="minorHAnsi" w:hAnsiTheme="minorHAnsi" w:cstheme="minorHAnsi"/>
                <w:b/>
                <w:bCs/>
                <w:noProof/>
              </w:rPr>
              <w:t>A.1 Albania Country Profile</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_Toc231038152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50</w:t>
            </w:r>
            <w:r w:rsidRPr="00E33CA0">
              <w:rPr>
                <w:rFonts w:asciiTheme="minorHAnsi" w:hAnsiTheme="minorHAnsi" w:cstheme="minorHAnsi"/>
                <w:noProof/>
                <w:webHidden/>
              </w:rPr>
              <w:fldChar w:fldCharType="end"/>
            </w:r>
          </w:hyperlink>
        </w:p>
        <w:p w14:paraId="5280225F" w14:textId="1F220995" w:rsidR="00E33CA0" w:rsidRPr="00E33CA0" w:rsidRDefault="00E33CA0">
          <w:pPr>
            <w:pStyle w:val="TOC3"/>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53" w:history="1">
            <w:r w:rsidRPr="00E33CA0">
              <w:rPr>
                <w:rStyle w:val="Hyperlink"/>
                <w:rFonts w:asciiTheme="minorHAnsi" w:hAnsiTheme="minorHAnsi" w:cstheme="minorHAnsi"/>
                <w:b/>
                <w:bCs/>
                <w:noProof/>
              </w:rPr>
              <w:t>A.2 Bosnia and Herzegovina Country Profile</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_Toc231038153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50</w:t>
            </w:r>
            <w:r w:rsidRPr="00E33CA0">
              <w:rPr>
                <w:rFonts w:asciiTheme="minorHAnsi" w:hAnsiTheme="minorHAnsi" w:cstheme="minorHAnsi"/>
                <w:noProof/>
                <w:webHidden/>
              </w:rPr>
              <w:fldChar w:fldCharType="end"/>
            </w:r>
          </w:hyperlink>
        </w:p>
        <w:p w14:paraId="18B389E7" w14:textId="74599B90" w:rsidR="00E33CA0" w:rsidRPr="00E33CA0" w:rsidRDefault="00E33CA0">
          <w:pPr>
            <w:pStyle w:val="TOC3"/>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54" w:history="1">
            <w:r w:rsidRPr="00E33CA0">
              <w:rPr>
                <w:rStyle w:val="Hyperlink"/>
                <w:rFonts w:asciiTheme="minorHAnsi" w:hAnsiTheme="minorHAnsi" w:cstheme="minorHAnsi"/>
                <w:b/>
                <w:bCs/>
                <w:noProof/>
              </w:rPr>
              <w:t>A.3 Croatia Country Profile</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_Toc231038154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50</w:t>
            </w:r>
            <w:r w:rsidRPr="00E33CA0">
              <w:rPr>
                <w:rFonts w:asciiTheme="minorHAnsi" w:hAnsiTheme="minorHAnsi" w:cstheme="minorHAnsi"/>
                <w:noProof/>
                <w:webHidden/>
              </w:rPr>
              <w:fldChar w:fldCharType="end"/>
            </w:r>
          </w:hyperlink>
        </w:p>
        <w:p w14:paraId="3ABE3245" w14:textId="3D9AA5E9" w:rsidR="00E33CA0" w:rsidRPr="00E33CA0" w:rsidRDefault="00E33CA0">
          <w:pPr>
            <w:pStyle w:val="TOC3"/>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55" w:history="1">
            <w:r w:rsidRPr="00E33CA0">
              <w:rPr>
                <w:rStyle w:val="Hyperlink"/>
                <w:rFonts w:asciiTheme="minorHAnsi" w:hAnsiTheme="minorHAnsi" w:cstheme="minorHAnsi"/>
                <w:b/>
                <w:bCs/>
                <w:noProof/>
              </w:rPr>
              <w:t>A.4 Montenegro Country Profile</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_Toc231038155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51</w:t>
            </w:r>
            <w:r w:rsidRPr="00E33CA0">
              <w:rPr>
                <w:rFonts w:asciiTheme="minorHAnsi" w:hAnsiTheme="minorHAnsi" w:cstheme="minorHAnsi"/>
                <w:noProof/>
                <w:webHidden/>
              </w:rPr>
              <w:fldChar w:fldCharType="end"/>
            </w:r>
          </w:hyperlink>
        </w:p>
        <w:p w14:paraId="2D9B4241" w14:textId="3694D5D1" w:rsidR="00E33CA0" w:rsidRPr="00E33CA0" w:rsidRDefault="00E33CA0">
          <w:pPr>
            <w:pStyle w:val="TOC2"/>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56" w:history="1">
            <w:r w:rsidRPr="00E33CA0">
              <w:rPr>
                <w:rStyle w:val="Hyperlink"/>
                <w:rFonts w:asciiTheme="minorHAnsi" w:hAnsiTheme="minorHAnsi" w:cstheme="minorHAnsi"/>
                <w:b/>
                <w:bCs/>
                <w:noProof/>
              </w:rPr>
              <w:t>Annex B: Stakeholder Mapping</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_Toc231038156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51</w:t>
            </w:r>
            <w:r w:rsidRPr="00E33CA0">
              <w:rPr>
                <w:rFonts w:asciiTheme="minorHAnsi" w:hAnsiTheme="minorHAnsi" w:cstheme="minorHAnsi"/>
                <w:noProof/>
                <w:webHidden/>
              </w:rPr>
              <w:fldChar w:fldCharType="end"/>
            </w:r>
          </w:hyperlink>
        </w:p>
        <w:p w14:paraId="38499281" w14:textId="2DF960CB" w:rsidR="00E33CA0" w:rsidRPr="00E33CA0" w:rsidRDefault="00E33CA0">
          <w:pPr>
            <w:pStyle w:val="TOC3"/>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57" w:history="1">
            <w:r w:rsidRPr="00E33CA0">
              <w:rPr>
                <w:rStyle w:val="Hyperlink"/>
                <w:rFonts w:asciiTheme="minorHAnsi" w:hAnsiTheme="minorHAnsi" w:cstheme="minorHAnsi"/>
                <w:b/>
                <w:bCs/>
                <w:noProof/>
              </w:rPr>
              <w:t>B.1 Governmental Institutions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_Toc231038157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51</w:t>
            </w:r>
            <w:r w:rsidRPr="00E33CA0">
              <w:rPr>
                <w:rFonts w:asciiTheme="minorHAnsi" w:hAnsiTheme="minorHAnsi" w:cstheme="minorHAnsi"/>
                <w:noProof/>
                <w:webHidden/>
              </w:rPr>
              <w:fldChar w:fldCharType="end"/>
            </w:r>
          </w:hyperlink>
        </w:p>
        <w:p w14:paraId="79861F00" w14:textId="3813DC34" w:rsidR="00E33CA0" w:rsidRPr="00E33CA0" w:rsidRDefault="00E33CA0">
          <w:pPr>
            <w:pStyle w:val="TOC1"/>
            <w:tabs>
              <w:tab w:val="right" w:leader="dot" w:pos="9350"/>
            </w:tabs>
            <w:rPr>
              <w:rFonts w:asciiTheme="minorHAnsi" w:eastAsiaTheme="minorEastAsia" w:hAnsiTheme="minorHAnsi" w:cstheme="minorHAnsi"/>
              <w:noProof/>
              <w:color w:val="auto"/>
              <w:kern w:val="2"/>
              <w:sz w:val="24"/>
              <w:szCs w:val="24"/>
              <w14:ligatures w14:val="standardContextual"/>
            </w:rPr>
          </w:pPr>
          <w:hyperlink w:anchor="_Toc231038158" w:history="1">
            <w:r w:rsidRPr="00E33CA0">
              <w:rPr>
                <w:rStyle w:val="Hyperlink"/>
                <w:rFonts w:asciiTheme="minorHAnsi" w:hAnsiTheme="minorHAnsi" w:cstheme="minorHAnsi"/>
                <w:b/>
                <w:bCs/>
                <w:noProof/>
              </w:rPr>
              <w:t>REFERENCES</w:t>
            </w:r>
            <w:r w:rsidRPr="00E33CA0">
              <w:rPr>
                <w:rFonts w:asciiTheme="minorHAnsi" w:hAnsiTheme="minorHAnsi" w:cstheme="minorHAnsi"/>
                <w:noProof/>
                <w:webHidden/>
              </w:rPr>
              <w:tab/>
            </w:r>
            <w:r w:rsidRPr="00E33CA0">
              <w:rPr>
                <w:rFonts w:asciiTheme="minorHAnsi" w:hAnsiTheme="minorHAnsi" w:cstheme="minorHAnsi"/>
                <w:noProof/>
                <w:webHidden/>
              </w:rPr>
              <w:fldChar w:fldCharType="begin"/>
            </w:r>
            <w:r w:rsidRPr="00E33CA0">
              <w:rPr>
                <w:rFonts w:asciiTheme="minorHAnsi" w:hAnsiTheme="minorHAnsi" w:cstheme="minorHAnsi"/>
                <w:noProof/>
                <w:webHidden/>
              </w:rPr>
              <w:instrText xml:space="preserve"> PAGEREF _Toc231038158 \h </w:instrText>
            </w:r>
            <w:r w:rsidRPr="00E33CA0">
              <w:rPr>
                <w:rFonts w:asciiTheme="minorHAnsi" w:hAnsiTheme="minorHAnsi" w:cstheme="minorHAnsi"/>
                <w:noProof/>
                <w:webHidden/>
              </w:rPr>
            </w:r>
            <w:r w:rsidRPr="00E33CA0">
              <w:rPr>
                <w:rFonts w:asciiTheme="minorHAnsi" w:hAnsiTheme="minorHAnsi" w:cstheme="minorHAnsi"/>
                <w:noProof/>
                <w:webHidden/>
              </w:rPr>
              <w:fldChar w:fldCharType="separate"/>
            </w:r>
            <w:r w:rsidRPr="00E33CA0">
              <w:rPr>
                <w:rFonts w:asciiTheme="minorHAnsi" w:hAnsiTheme="minorHAnsi" w:cstheme="minorHAnsi"/>
                <w:noProof/>
                <w:webHidden/>
              </w:rPr>
              <w:t>53</w:t>
            </w:r>
            <w:r w:rsidRPr="00E33CA0">
              <w:rPr>
                <w:rFonts w:asciiTheme="minorHAnsi" w:hAnsiTheme="minorHAnsi" w:cstheme="minorHAnsi"/>
                <w:noProof/>
                <w:webHidden/>
              </w:rPr>
              <w:fldChar w:fldCharType="end"/>
            </w:r>
          </w:hyperlink>
        </w:p>
        <w:p w14:paraId="423B7033" w14:textId="29602F6C" w:rsidR="000E4587" w:rsidRPr="00E33CA0" w:rsidRDefault="00000000">
          <w:pPr>
            <w:rPr>
              <w:rFonts w:asciiTheme="minorHAnsi" w:hAnsiTheme="minorHAnsi" w:cstheme="minorHAnsi"/>
            </w:rPr>
          </w:pPr>
          <w:r w:rsidRPr="00E33CA0">
            <w:rPr>
              <w:rFonts w:asciiTheme="minorHAnsi" w:hAnsiTheme="minorHAnsi" w:cstheme="minorHAnsi"/>
            </w:rPr>
            <w:fldChar w:fldCharType="end"/>
          </w:r>
        </w:p>
      </w:sdtContent>
    </w:sdt>
    <w:p w14:paraId="7D4C36C1"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rPr>
        <w:br w:type="page"/>
      </w:r>
    </w:p>
    <w:p w14:paraId="6FDD8F55"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0" w:name="_Toc231038097"/>
      <w:r w:rsidRPr="00E33CA0">
        <w:rPr>
          <w:rFonts w:asciiTheme="minorHAnsi" w:eastAsia="Arial" w:hAnsiTheme="minorHAnsi" w:cstheme="minorHAnsi"/>
          <w:b/>
          <w:bCs/>
          <w:color w:val="1F4E79"/>
          <w:sz w:val="22"/>
          <w:szCs w:val="22"/>
        </w:rPr>
        <w:lastRenderedPageBreak/>
        <w:t>GLOSSARY OF KEY TERMS</w:t>
      </w:r>
      <w:bookmarkEnd w:id="0"/>
    </w:p>
    <w:p w14:paraId="21D0AE96"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Gender Mainstreaming</w:t>
      </w:r>
    </w:p>
    <w:p w14:paraId="5DC669F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"The process of assessing the implications for women and men of any planned action, including legislation, policies or programmes, in all areas and at all levels."</w:t>
      </w:r>
      <w:r w:rsidRPr="00E33CA0">
        <w:rPr>
          <w:rFonts w:asciiTheme="minorHAnsi" w:hAnsiTheme="minorHAnsi" w:cstheme="minorHAnsi"/>
          <w:color w:val="auto"/>
          <w:sz w:val="22"/>
          <w:szCs w:val="22"/>
        </w:rPr>
        <w:t xml:space="preserve"> (UN Economic and Social Council [ECOSOC] Agreed Conclusions, 1997/2)</w:t>
      </w:r>
    </w:p>
    <w:p w14:paraId="1FDBE86C" w14:textId="77777777" w:rsidR="000E4587" w:rsidRPr="00E33CA0" w:rsidRDefault="000E4587">
      <w:pPr>
        <w:jc w:val="center"/>
        <w:rPr>
          <w:rFonts w:asciiTheme="minorHAnsi" w:hAnsiTheme="minorHAnsi" w:cstheme="minorHAnsi"/>
          <w:color w:val="auto"/>
          <w:sz w:val="22"/>
          <w:szCs w:val="22"/>
        </w:rPr>
      </w:pPr>
    </w:p>
    <w:p w14:paraId="527039D8" w14:textId="77777777" w:rsidR="000E4587" w:rsidRPr="00E33CA0" w:rsidRDefault="00000000">
      <w:pPr>
        <w:pStyle w:val="Heading3"/>
        <w:spacing w:before="0" w:after="0"/>
        <w:jc w:val="both"/>
        <w:rPr>
          <w:rFonts w:asciiTheme="minorHAnsi" w:hAnsiTheme="minorHAnsi" w:cstheme="minorHAnsi"/>
          <w:b/>
          <w:bCs/>
          <w:color w:val="auto"/>
          <w:sz w:val="22"/>
          <w:szCs w:val="22"/>
        </w:rPr>
      </w:pPr>
      <w:bookmarkStart w:id="1" w:name="_Toc231038098"/>
      <w:r w:rsidRPr="00E33CA0">
        <w:rPr>
          <w:rFonts w:asciiTheme="minorHAnsi" w:eastAsia="Arial" w:hAnsiTheme="minorHAnsi" w:cstheme="minorHAnsi"/>
          <w:b/>
          <w:bCs/>
          <w:color w:val="auto"/>
          <w:sz w:val="22"/>
          <w:szCs w:val="22"/>
        </w:rPr>
        <w:t>Gender-Based Violence (GBV)</w:t>
      </w:r>
      <w:bookmarkEnd w:id="1"/>
    </w:p>
    <w:p w14:paraId="3667FFAB"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"Violence directed against a person on the basis of gender. It constitutes a breach of the fundamental right to life, liberty, security, dignity, equality between women and men, non-discrimination, and physical and mental integrity."</w:t>
      </w:r>
      <w:r w:rsidRPr="00E33CA0">
        <w:rPr>
          <w:rFonts w:asciiTheme="minorHAnsi" w:hAnsiTheme="minorHAnsi" w:cstheme="minorHAnsi"/>
          <w:color w:val="auto"/>
          <w:sz w:val="22"/>
          <w:szCs w:val="22"/>
        </w:rPr>
        <w:t xml:space="preserve"> (Council of Europe, 2011; Istanbul Convention, Article 3)</w:t>
      </w:r>
    </w:p>
    <w:p w14:paraId="4EC801B0" w14:textId="77777777" w:rsidR="000E4587" w:rsidRPr="00E33CA0" w:rsidRDefault="000E4587">
      <w:pPr>
        <w:jc w:val="both"/>
        <w:rPr>
          <w:rFonts w:asciiTheme="minorHAnsi" w:hAnsiTheme="minorHAnsi" w:cstheme="minorHAnsi"/>
          <w:color w:val="auto"/>
          <w:sz w:val="22"/>
          <w:szCs w:val="22"/>
        </w:rPr>
      </w:pPr>
    </w:p>
    <w:p w14:paraId="69F58A1D"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Gender Parity Index (GPI)</w:t>
      </w:r>
    </w:p>
    <w:p w14:paraId="0BC057D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A ratio of female-to-male values for a given indicator. GPI = 1.0 indicates full parity; GPI &gt; 1.0 indicates advantage for females; GPI &lt; 1.0 indicates advantage for males. Used for education enrolment, labour force participation, and other indicators (UNESCO Institute for Statistics, 2023).</w:t>
      </w:r>
      <w:r w:rsidRPr="00E33CA0">
        <w:rPr>
          <w:rStyle w:val="FootnoteReference"/>
          <w:rFonts w:asciiTheme="minorHAnsi" w:hAnsiTheme="minorHAnsi" w:cstheme="minorHAnsi"/>
          <w:color w:val="auto"/>
          <w:sz w:val="22"/>
          <w:szCs w:val="22"/>
        </w:rPr>
        <w:footnoteReference w:id="1"/>
      </w:r>
    </w:p>
    <w:p w14:paraId="6CF5F298" w14:textId="77777777" w:rsidR="000E4587" w:rsidRPr="00E33CA0" w:rsidRDefault="000E4587">
      <w:pPr>
        <w:jc w:val="both"/>
        <w:rPr>
          <w:rFonts w:asciiTheme="minorHAnsi" w:hAnsiTheme="minorHAnsi" w:cstheme="minorHAnsi"/>
          <w:color w:val="auto"/>
          <w:sz w:val="22"/>
          <w:szCs w:val="22"/>
        </w:rPr>
      </w:pPr>
    </w:p>
    <w:p w14:paraId="3268B338"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Sex-Disaggregated Data</w:t>
      </w:r>
    </w:p>
    <w:p w14:paraId="75B04AE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"Data that are cross-classified by sex, presenting information separately for men and women, boys and girls, to enable identification of gender gaps and inequalities."</w:t>
      </w:r>
      <w:r w:rsidRPr="00E33CA0">
        <w:rPr>
          <w:rFonts w:asciiTheme="minorHAnsi" w:hAnsiTheme="minorHAnsi" w:cstheme="minorHAnsi"/>
          <w:color w:val="auto"/>
          <w:sz w:val="22"/>
          <w:szCs w:val="22"/>
        </w:rPr>
        <w:t xml:space="preserve"> (UN Statistics Division, Gender Statistics Manual)</w:t>
      </w:r>
    </w:p>
    <w:p w14:paraId="073563EC" w14:textId="77777777" w:rsidR="000E4587" w:rsidRPr="00E33CA0" w:rsidRDefault="000E4587">
      <w:pPr>
        <w:jc w:val="both"/>
        <w:rPr>
          <w:rFonts w:asciiTheme="minorHAnsi" w:hAnsiTheme="minorHAnsi" w:cstheme="minorHAnsi"/>
          <w:color w:val="auto"/>
          <w:sz w:val="22"/>
          <w:szCs w:val="22"/>
        </w:rPr>
      </w:pPr>
    </w:p>
    <w:p w14:paraId="2647019E" w14:textId="77777777" w:rsidR="000E4587" w:rsidRPr="00E33CA0" w:rsidRDefault="00000000">
      <w:pPr>
        <w:pStyle w:val="Heading3"/>
        <w:spacing w:before="0" w:after="0"/>
        <w:jc w:val="both"/>
        <w:rPr>
          <w:rFonts w:asciiTheme="minorHAnsi" w:hAnsiTheme="minorHAnsi" w:cstheme="minorHAnsi"/>
          <w:color w:val="auto"/>
          <w:sz w:val="22"/>
          <w:szCs w:val="22"/>
        </w:rPr>
      </w:pPr>
      <w:bookmarkStart w:id="2" w:name="_Toc231038099"/>
      <w:r w:rsidRPr="00E33CA0">
        <w:rPr>
          <w:rFonts w:asciiTheme="minorHAnsi" w:eastAsia="Arial" w:hAnsiTheme="minorHAnsi" w:cstheme="minorHAnsi"/>
          <w:b/>
          <w:bCs/>
          <w:color w:val="auto"/>
          <w:sz w:val="22"/>
          <w:szCs w:val="22"/>
        </w:rPr>
        <w:t>Gender Pay Gap</w:t>
      </w:r>
      <w:bookmarkEnd w:id="2"/>
    </w:p>
    <w:p w14:paraId="0D15DCA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"The difference between average gross hourly earnings of male and female employees as a percentage of average gross hourly earnings of male employees."</w:t>
      </w:r>
      <w:r w:rsidRPr="00E33CA0">
        <w:rPr>
          <w:rFonts w:asciiTheme="minorHAnsi" w:hAnsiTheme="minorHAnsi" w:cstheme="minorHAnsi"/>
          <w:color w:val="auto"/>
          <w:sz w:val="22"/>
          <w:szCs w:val="22"/>
        </w:rPr>
        <w:t xml:space="preserve"> (Eurostat, 2024)</w:t>
      </w:r>
    </w:p>
    <w:p w14:paraId="1ABF76E6" w14:textId="77777777" w:rsidR="000E4587" w:rsidRPr="00E33CA0" w:rsidRDefault="000E4587">
      <w:pPr>
        <w:jc w:val="both"/>
        <w:rPr>
          <w:rFonts w:asciiTheme="minorHAnsi" w:hAnsiTheme="minorHAnsi" w:cstheme="minorHAnsi"/>
          <w:b/>
          <w:bCs/>
          <w:color w:val="auto"/>
          <w:sz w:val="22"/>
          <w:szCs w:val="22"/>
        </w:rPr>
      </w:pPr>
    </w:p>
    <w:p w14:paraId="3E4102D0"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Time Poverty</w:t>
      </w:r>
    </w:p>
    <w:p w14:paraId="5F15B45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"A situation in which an individual, typically women or girls, lacks sufficient time for rest, leisure, and civic participation due to the disproportionate burden of unpaid care and domestic work."</w:t>
      </w:r>
      <w:r w:rsidRPr="00E33CA0">
        <w:rPr>
          <w:rFonts w:asciiTheme="minorHAnsi" w:hAnsiTheme="minorHAnsi" w:cstheme="minorHAnsi"/>
          <w:color w:val="auto"/>
          <w:sz w:val="22"/>
          <w:szCs w:val="22"/>
        </w:rPr>
        <w:t xml:space="preserve"> (UN Women, Progress of the World's Women, 2015)</w:t>
      </w:r>
    </w:p>
    <w:p w14:paraId="5EB3373A" w14:textId="77777777" w:rsidR="000E4587" w:rsidRPr="00E33CA0" w:rsidRDefault="000E4587">
      <w:pPr>
        <w:jc w:val="both"/>
        <w:rPr>
          <w:rFonts w:asciiTheme="minorHAnsi" w:hAnsiTheme="minorHAnsi" w:cstheme="minorHAnsi"/>
          <w:color w:val="auto"/>
          <w:sz w:val="22"/>
          <w:szCs w:val="22"/>
        </w:rPr>
      </w:pPr>
    </w:p>
    <w:p w14:paraId="1C5AA7EE"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Unpaid Care Work</w:t>
      </w:r>
    </w:p>
    <w:p w14:paraId="5CE9129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"Work performed in the home, including childcare, elder care, cooking, cleaning, and household management, that is unremunerated. It is distinct from volunteer work and is predominantly performed by women."</w:t>
      </w:r>
      <w:r w:rsidRPr="00E33CA0">
        <w:rPr>
          <w:rFonts w:asciiTheme="minorHAnsi" w:hAnsiTheme="minorHAnsi" w:cstheme="minorHAnsi"/>
          <w:color w:val="auto"/>
          <w:sz w:val="22"/>
          <w:szCs w:val="22"/>
        </w:rPr>
        <w:t xml:space="preserve"> (ILO, Care Work and Care Jobs for the Future of Decent Work, 2018)</w:t>
      </w:r>
    </w:p>
    <w:p w14:paraId="747B802C" w14:textId="77777777" w:rsidR="000E4587" w:rsidRPr="00E33CA0" w:rsidRDefault="000E4587">
      <w:pPr>
        <w:jc w:val="both"/>
        <w:rPr>
          <w:rFonts w:asciiTheme="minorHAnsi" w:hAnsiTheme="minorHAnsi" w:cstheme="minorHAnsi"/>
          <w:color w:val="auto"/>
          <w:sz w:val="22"/>
          <w:szCs w:val="22"/>
        </w:rPr>
      </w:pPr>
    </w:p>
    <w:p w14:paraId="40F11D35"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Water Security</w:t>
      </w:r>
    </w:p>
    <w:p w14:paraId="7CFA529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"The capacity of a population to safeguard sustainable access to adequate quantities of acceptable quality water for sustaining livelihoods, human well-being, and socio-economic development, for ensuring protection against water-borne pollution and water-related disasters, and for preserving ecosystems in a climate of peace and political stability."</w:t>
      </w:r>
      <w:r w:rsidRPr="00E33CA0">
        <w:rPr>
          <w:rFonts w:asciiTheme="minorHAnsi" w:hAnsiTheme="minorHAnsi" w:cstheme="minorHAnsi"/>
          <w:color w:val="auto"/>
          <w:sz w:val="22"/>
          <w:szCs w:val="22"/>
        </w:rPr>
        <w:t xml:space="preserve"> (UN-Water, 2013)</w:t>
      </w:r>
    </w:p>
    <w:p w14:paraId="2A3F70FB" w14:textId="77777777" w:rsidR="000E4587" w:rsidRPr="00E33CA0" w:rsidRDefault="000E4587">
      <w:pPr>
        <w:jc w:val="both"/>
        <w:rPr>
          <w:rFonts w:asciiTheme="minorHAnsi" w:hAnsiTheme="minorHAnsi" w:cstheme="minorHAnsi"/>
          <w:color w:val="auto"/>
          <w:sz w:val="22"/>
          <w:szCs w:val="22"/>
        </w:rPr>
      </w:pPr>
    </w:p>
    <w:p w14:paraId="5EDE060D" w14:textId="77777777" w:rsidR="000E4587" w:rsidRPr="00E33CA0" w:rsidRDefault="00000000">
      <w:pPr>
        <w:pStyle w:val="Heading3"/>
        <w:spacing w:before="0" w:after="0"/>
        <w:jc w:val="both"/>
        <w:rPr>
          <w:rFonts w:asciiTheme="minorHAnsi" w:hAnsiTheme="minorHAnsi" w:cstheme="minorHAnsi"/>
          <w:color w:val="auto"/>
          <w:sz w:val="22"/>
          <w:szCs w:val="22"/>
        </w:rPr>
      </w:pPr>
      <w:bookmarkStart w:id="3" w:name="_Toc231038100"/>
      <w:r w:rsidRPr="00E33CA0">
        <w:rPr>
          <w:rFonts w:asciiTheme="minorHAnsi" w:eastAsia="Arial" w:hAnsiTheme="minorHAnsi" w:cstheme="minorHAnsi"/>
          <w:b/>
          <w:bCs/>
          <w:color w:val="auto"/>
          <w:sz w:val="22"/>
          <w:szCs w:val="22"/>
        </w:rPr>
        <w:lastRenderedPageBreak/>
        <w:t>Integrated Water Resources Management (IWRM)</w:t>
      </w:r>
      <w:bookmarkEnd w:id="3"/>
    </w:p>
    <w:p w14:paraId="069B1BC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"A process which promotes the coordinated development and management of water, land, and related resources, in order to maximize the resultant economic and social welfare in an equitable manner without compromising the sustainability of vital ecosystems."</w:t>
      </w:r>
      <w:r w:rsidRPr="00E33CA0">
        <w:rPr>
          <w:rFonts w:asciiTheme="minorHAnsi" w:hAnsiTheme="minorHAnsi" w:cstheme="minorHAnsi"/>
          <w:color w:val="auto"/>
          <w:sz w:val="22"/>
          <w:szCs w:val="22"/>
        </w:rPr>
        <w:t xml:space="preserve"> (Global Water Partnership [GWP], 2000)</w:t>
      </w:r>
    </w:p>
    <w:p w14:paraId="07849EB2" w14:textId="77777777" w:rsidR="000E4587" w:rsidRPr="00E33CA0" w:rsidRDefault="000E4587">
      <w:pPr>
        <w:jc w:val="both"/>
        <w:rPr>
          <w:rFonts w:asciiTheme="minorHAnsi" w:hAnsiTheme="minorHAnsi" w:cstheme="minorHAnsi"/>
          <w:color w:val="auto"/>
          <w:sz w:val="22"/>
          <w:szCs w:val="22"/>
        </w:rPr>
      </w:pPr>
    </w:p>
    <w:p w14:paraId="05C8D581"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Gender-Responsive Budgeting (GRB)</w:t>
      </w:r>
    </w:p>
    <w:p w14:paraId="04B36A3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"Application of gender mainstreaming in the budgetary process. It means a gender-based assessment of budgets, incorporating a gender perspective at all levels of the budgetary process and restructuring revenues and expenditures in order to promote gender equality."</w:t>
      </w:r>
      <w:r w:rsidRPr="00E33CA0">
        <w:rPr>
          <w:rFonts w:asciiTheme="minorHAnsi" w:hAnsiTheme="minorHAnsi" w:cstheme="minorHAnsi"/>
          <w:color w:val="auto"/>
          <w:sz w:val="22"/>
          <w:szCs w:val="22"/>
        </w:rPr>
        <w:t xml:space="preserve"> (Council of Europe, 2005)</w:t>
      </w:r>
    </w:p>
    <w:p w14:paraId="71FF7EB9" w14:textId="77777777" w:rsidR="000E4587" w:rsidRPr="00E33CA0" w:rsidRDefault="000E4587">
      <w:pPr>
        <w:jc w:val="both"/>
        <w:rPr>
          <w:rFonts w:asciiTheme="minorHAnsi" w:hAnsiTheme="minorHAnsi" w:cstheme="minorHAnsi"/>
          <w:color w:val="auto"/>
          <w:sz w:val="22"/>
          <w:szCs w:val="22"/>
        </w:rPr>
      </w:pPr>
    </w:p>
    <w:p w14:paraId="71AD73DE"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Intersectionality</w:t>
      </w:r>
    </w:p>
    <w:p w14:paraId="264304C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"A concept describing the ways in which different aspects of a person's identity (race, class, gender, sexuality, disability, etc.) overlap and intersect to create unique modes of discrimination and privilege."</w:t>
      </w:r>
      <w:r w:rsidRPr="00E33CA0">
        <w:rPr>
          <w:rFonts w:asciiTheme="minorHAnsi" w:hAnsiTheme="minorHAnsi" w:cstheme="minorHAnsi"/>
          <w:color w:val="auto"/>
          <w:sz w:val="22"/>
          <w:szCs w:val="22"/>
        </w:rPr>
        <w:t xml:space="preserve"> (As adopted by UN Women; original concept: Crenshaw, 1989)</w:t>
      </w:r>
    </w:p>
    <w:p w14:paraId="741C4819" w14:textId="77777777" w:rsidR="000E4587" w:rsidRPr="00E33CA0" w:rsidRDefault="000E4587">
      <w:pPr>
        <w:jc w:val="both"/>
        <w:rPr>
          <w:rFonts w:asciiTheme="minorHAnsi" w:hAnsiTheme="minorHAnsi" w:cstheme="minorHAnsi"/>
          <w:color w:val="auto"/>
          <w:sz w:val="22"/>
          <w:szCs w:val="22"/>
        </w:rPr>
      </w:pPr>
    </w:p>
    <w:p w14:paraId="7C06CB2F"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CEDAW</w:t>
      </w:r>
    </w:p>
    <w:p w14:paraId="2BADBDB1"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"The Convention on the Elimination of All Forms of Discrimination Against Women (1979) is the primary international human rights treaty affirming the equal rights of women. It defines discrimination against women as any distinction, exclusion or restriction made on the basis of sex."</w:t>
      </w:r>
      <w:r w:rsidRPr="00E33CA0">
        <w:rPr>
          <w:rFonts w:asciiTheme="minorHAnsi" w:hAnsiTheme="minorHAnsi" w:cstheme="minorHAnsi"/>
          <w:color w:val="auto"/>
          <w:sz w:val="22"/>
          <w:szCs w:val="22"/>
        </w:rPr>
        <w:t xml:space="preserve"> (UN Women, CEDAW, 1979)</w:t>
      </w:r>
    </w:p>
    <w:p w14:paraId="4352ED44" w14:textId="77777777" w:rsidR="000E4587" w:rsidRPr="00E33CA0" w:rsidRDefault="000E4587">
      <w:pPr>
        <w:jc w:val="both"/>
        <w:rPr>
          <w:rFonts w:asciiTheme="minorHAnsi" w:hAnsiTheme="minorHAnsi" w:cstheme="minorHAnsi"/>
          <w:color w:val="auto"/>
          <w:sz w:val="22"/>
          <w:szCs w:val="22"/>
        </w:rPr>
      </w:pPr>
    </w:p>
    <w:p w14:paraId="5F652BDC"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Vertical Segregation</w:t>
      </w:r>
    </w:p>
    <w:p w14:paraId="47506ED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"The concentration of women in lower-ranked, lower-paid positions within a particular sector or profession, even when women are numerically present at junior or middle levels. Also known as the 'glass ceiling' effect."</w:t>
      </w:r>
      <w:r w:rsidRPr="00E33CA0">
        <w:rPr>
          <w:rFonts w:asciiTheme="minorHAnsi" w:hAnsiTheme="minorHAnsi" w:cstheme="minorHAnsi"/>
          <w:color w:val="auto"/>
          <w:sz w:val="22"/>
          <w:szCs w:val="22"/>
        </w:rPr>
        <w:t xml:space="preserve"> (EIGE Glossary, 2023)</w:t>
      </w:r>
    </w:p>
    <w:p w14:paraId="73B7FDDF" w14:textId="77777777" w:rsidR="000E4587" w:rsidRPr="00E33CA0" w:rsidRDefault="000E4587">
      <w:pPr>
        <w:jc w:val="both"/>
        <w:rPr>
          <w:rFonts w:asciiTheme="minorHAnsi" w:hAnsiTheme="minorHAnsi" w:cstheme="minorHAnsi"/>
          <w:color w:val="auto"/>
          <w:sz w:val="22"/>
          <w:szCs w:val="22"/>
        </w:rPr>
      </w:pPr>
    </w:p>
    <w:p w14:paraId="74934BD2"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Horizontal Segregation</w:t>
      </w:r>
    </w:p>
    <w:p w14:paraId="51D0A23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"The concentration of women and men in different occupations, sectors, or roles within an industry. In the water sector, horizontal segregation typically confines women to administrative, financial, and support functions while men occupy technical, operational, and engineering positions."</w:t>
      </w:r>
      <w:r w:rsidRPr="00E33CA0">
        <w:rPr>
          <w:rFonts w:asciiTheme="minorHAnsi" w:hAnsiTheme="minorHAnsi" w:cstheme="minorHAnsi"/>
          <w:color w:val="auto"/>
          <w:sz w:val="22"/>
          <w:szCs w:val="22"/>
        </w:rPr>
        <w:t xml:space="preserve"> (EIGE Glossary, 2023; adapted)</w:t>
      </w:r>
    </w:p>
    <w:p w14:paraId="4BEBD340" w14:textId="77777777" w:rsidR="000E4587" w:rsidRPr="00E33CA0" w:rsidRDefault="000E4587">
      <w:pPr>
        <w:jc w:val="both"/>
        <w:rPr>
          <w:rFonts w:asciiTheme="minorHAnsi" w:hAnsiTheme="minorHAnsi" w:cstheme="minorHAnsi"/>
          <w:color w:val="auto"/>
          <w:sz w:val="22"/>
          <w:szCs w:val="22"/>
        </w:rPr>
      </w:pPr>
    </w:p>
    <w:p w14:paraId="31140BBA" w14:textId="77777777" w:rsidR="000E4587" w:rsidRPr="00E33CA0" w:rsidRDefault="000E4587">
      <w:pPr>
        <w:jc w:val="both"/>
        <w:rPr>
          <w:rFonts w:asciiTheme="minorHAnsi" w:hAnsiTheme="minorHAnsi" w:cstheme="minorHAnsi"/>
          <w:color w:val="auto"/>
          <w:sz w:val="22"/>
          <w:szCs w:val="22"/>
        </w:rPr>
      </w:pPr>
    </w:p>
    <w:p w14:paraId="6912B15D" w14:textId="77777777" w:rsidR="000E4587" w:rsidRPr="00E33CA0" w:rsidRDefault="00000000">
      <w:pPr>
        <w:rPr>
          <w:rFonts w:asciiTheme="minorHAnsi" w:hAnsiTheme="minorHAnsi" w:cstheme="minorHAnsi"/>
          <w:b/>
          <w:bCs/>
          <w:color w:val="auto"/>
        </w:rPr>
      </w:pPr>
      <w:r w:rsidRPr="00E33CA0">
        <w:rPr>
          <w:rFonts w:asciiTheme="minorHAnsi" w:hAnsiTheme="minorHAnsi" w:cstheme="minorHAnsi"/>
          <w:b/>
          <w:bCs/>
          <w:color w:val="auto"/>
        </w:rPr>
        <w:t>De Jure / De Facto</w:t>
      </w:r>
    </w:p>
    <w:p w14:paraId="0D2B31F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De jure (Latin: ‘by law’) refers to formal legal rights, obligations, or conditions established through legislation, constitutions, or ratified conventions. De facto (Latin: ‘in fact’) refers to actual conditions and practices in reality. In gender equality governance, the de jure framework refers to enacted laws and policies; the de facto situation refers to their enforcement and measurable outcomes.</w:t>
      </w:r>
    </w:p>
    <w:p w14:paraId="4D28FA98" w14:textId="77777777" w:rsidR="000E4587" w:rsidRPr="00E33CA0" w:rsidRDefault="000E4587">
      <w:pPr>
        <w:jc w:val="both"/>
        <w:rPr>
          <w:rFonts w:asciiTheme="minorHAnsi" w:hAnsiTheme="minorHAnsi" w:cstheme="minorHAnsi"/>
          <w:color w:val="auto"/>
          <w:sz w:val="22"/>
          <w:szCs w:val="22"/>
        </w:rPr>
      </w:pPr>
    </w:p>
    <w:p w14:paraId="38226A97" w14:textId="77777777" w:rsidR="000E4587" w:rsidRPr="00E33CA0" w:rsidRDefault="00000000">
      <w:pPr>
        <w:pStyle w:val="Heading3"/>
        <w:spacing w:before="0" w:after="0"/>
        <w:jc w:val="both"/>
        <w:rPr>
          <w:rFonts w:asciiTheme="minorHAnsi" w:hAnsiTheme="minorHAnsi" w:cstheme="minorHAnsi"/>
          <w:b/>
          <w:bCs/>
          <w:color w:val="auto"/>
          <w:sz w:val="22"/>
          <w:szCs w:val="22"/>
        </w:rPr>
      </w:pPr>
      <w:bookmarkStart w:id="4" w:name="_Toc231038101"/>
      <w:r w:rsidRPr="00E33CA0">
        <w:rPr>
          <w:rFonts w:asciiTheme="minorHAnsi" w:eastAsia="Arial" w:hAnsiTheme="minorHAnsi" w:cstheme="minorHAnsi"/>
          <w:b/>
          <w:bCs/>
          <w:color w:val="auto"/>
          <w:sz w:val="22"/>
          <w:szCs w:val="22"/>
        </w:rPr>
        <w:t>Transboundary Aquifer</w:t>
      </w:r>
      <w:bookmarkEnd w:id="4"/>
    </w:p>
    <w:p w14:paraId="1B6006BD"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i/>
          <w:iCs/>
          <w:color w:val="auto"/>
          <w:sz w:val="22"/>
          <w:szCs w:val="22"/>
        </w:rPr>
        <w:t>"A groundwater body that straddles international borders, necessitating cooperative management arrangements among the sharing states in order to prevent overexploitation, contamination, or unilateral depletion."</w:t>
      </w:r>
      <w:r w:rsidRPr="00E33CA0">
        <w:rPr>
          <w:rFonts w:asciiTheme="minorHAnsi" w:hAnsiTheme="minorHAnsi" w:cstheme="minorHAnsi"/>
          <w:color w:val="auto"/>
          <w:sz w:val="22"/>
          <w:szCs w:val="22"/>
        </w:rPr>
        <w:t xml:space="preserve"> (UNESCO-IHP, 2022)</w:t>
      </w:r>
    </w:p>
    <w:p w14:paraId="4DEF3901"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rPr>
        <w:br w:type="page"/>
      </w:r>
    </w:p>
    <w:p w14:paraId="6D6ACBFA"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5" w:name="_Toc231038102"/>
      <w:r w:rsidRPr="00E33CA0">
        <w:rPr>
          <w:rFonts w:asciiTheme="minorHAnsi" w:eastAsia="Arial" w:hAnsiTheme="minorHAnsi" w:cstheme="minorHAnsi"/>
          <w:b/>
          <w:bCs/>
          <w:color w:val="1F4E79"/>
          <w:sz w:val="22"/>
          <w:szCs w:val="22"/>
        </w:rPr>
        <w:lastRenderedPageBreak/>
        <w:t>ACRONYMS</w:t>
      </w:r>
      <w:bookmarkEnd w:id="5"/>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399"/>
        <w:gridCol w:w="6961"/>
      </w:tblGrid>
      <w:tr w:rsidR="000E4587" w:rsidRPr="00E33CA0" w14:paraId="0B546300" w14:textId="77777777">
        <w:trPr>
          <w:tblHeader/>
        </w:trPr>
        <w:tc>
          <w:tcPr>
            <w:tcW w:w="23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35203640" w14:textId="77777777" w:rsidR="000E4587" w:rsidRPr="00E33CA0" w:rsidRDefault="00000000">
            <w:pPr>
              <w:jc w:val="both"/>
              <w:rPr>
                <w:rFonts w:asciiTheme="minorHAnsi" w:hAnsiTheme="minorHAnsi" w:cstheme="minorHAnsi"/>
                <w:color w:val="FFFFFF" w:themeColor="background1"/>
              </w:rPr>
            </w:pPr>
            <w:r w:rsidRPr="00E33CA0">
              <w:rPr>
                <w:rFonts w:asciiTheme="minorHAnsi" w:hAnsiTheme="minorHAnsi" w:cstheme="minorHAnsi"/>
                <w:b/>
                <w:bCs/>
                <w:color w:val="FFFFFF" w:themeColor="background1"/>
              </w:rPr>
              <w:t>Acronym / Abbreviation</w:t>
            </w:r>
          </w:p>
        </w:tc>
        <w:tc>
          <w:tcPr>
            <w:tcW w:w="696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2FCDF59D" w14:textId="77777777" w:rsidR="000E4587" w:rsidRPr="00E33CA0" w:rsidRDefault="00000000">
            <w:pPr>
              <w:jc w:val="both"/>
              <w:rPr>
                <w:rFonts w:asciiTheme="minorHAnsi" w:hAnsiTheme="minorHAnsi" w:cstheme="minorHAnsi"/>
                <w:color w:val="FFFFFF" w:themeColor="background1"/>
              </w:rPr>
            </w:pPr>
            <w:r w:rsidRPr="00E33CA0">
              <w:rPr>
                <w:rFonts w:asciiTheme="minorHAnsi" w:hAnsiTheme="minorHAnsi" w:cstheme="minorHAnsi"/>
                <w:b/>
                <w:bCs/>
                <w:color w:val="FFFFFF" w:themeColor="background1"/>
              </w:rPr>
              <w:t>Full Form</w:t>
            </w:r>
          </w:p>
        </w:tc>
      </w:tr>
      <w:tr w:rsidR="000E4587" w:rsidRPr="00E33CA0" w14:paraId="5862D804"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F66BE1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BHAS</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397FA1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Agency for Statistics of Bosnia and Herzegovina</w:t>
            </w:r>
          </w:p>
        </w:tc>
      </w:tr>
      <w:tr w:rsidR="000E4587" w:rsidRPr="00E33CA0" w14:paraId="662DD96F"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305F51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CEDAW</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698FCF9"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Convention on the Elimination of All Forms of Discrimination Against Women</w:t>
            </w:r>
          </w:p>
        </w:tc>
      </w:tr>
      <w:tr w:rsidR="000E4587" w:rsidRPr="00E33CA0" w14:paraId="66F01A2E"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7FB76A2"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DIKTAS II</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502C944"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Dinaric Karst Transboundary Aquifer System Phase II Project</w:t>
            </w:r>
          </w:p>
        </w:tc>
      </w:tr>
      <w:tr w:rsidR="000E4587" w:rsidRPr="00E33CA0" w14:paraId="0CE79E1C"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42946CE"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EBRD</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E8E1C7C"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European Bank for Reconstruction and Development</w:t>
            </w:r>
          </w:p>
        </w:tc>
      </w:tr>
      <w:tr w:rsidR="000E4587" w:rsidRPr="00E33CA0" w14:paraId="629F12C0"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CA96294"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EIGE</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9378966"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European Institute for Gender Equality</w:t>
            </w:r>
          </w:p>
        </w:tc>
      </w:tr>
      <w:tr w:rsidR="000E4587" w:rsidRPr="00E33CA0" w14:paraId="12FB48F3"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B9F43F8"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EU</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7FF2A00"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European Union</w:t>
            </w:r>
          </w:p>
        </w:tc>
      </w:tr>
      <w:tr w:rsidR="000E4587" w:rsidRPr="00E33CA0" w14:paraId="18C4C2C2"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D2A4AFF"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FAO</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A8C05B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Food and Agriculture Organization of the United Nations</w:t>
            </w:r>
          </w:p>
        </w:tc>
      </w:tr>
      <w:tr w:rsidR="000E4587" w:rsidRPr="00E33CA0" w14:paraId="0EDC9022"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F704E90"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FBiH</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282CC19"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Federation of Bosnia and Herzegovina</w:t>
            </w:r>
          </w:p>
        </w:tc>
      </w:tr>
      <w:tr w:rsidR="000E4587" w:rsidRPr="00E33CA0" w14:paraId="68FB50A6"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E9232E8"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FIGAP</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9B7BDDC"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Financial Mechanism for the Implementation of the Gender Action Plan (BiH)</w:t>
            </w:r>
          </w:p>
        </w:tc>
      </w:tr>
      <w:tr w:rsidR="000E4587" w:rsidRPr="00E33CA0" w14:paraId="702FE774"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C51E532"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GAP</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CD2706D"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Gender Action Plan (Bosnia and Herzegovina)</w:t>
            </w:r>
          </w:p>
        </w:tc>
      </w:tr>
      <w:tr w:rsidR="000E4587" w:rsidRPr="00E33CA0" w14:paraId="37E47E6E"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8CF2F85"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GBV</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F5EEE30"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Gender-Based Violence</w:t>
            </w:r>
          </w:p>
        </w:tc>
      </w:tr>
      <w:tr w:rsidR="000E4587" w:rsidRPr="00E33CA0" w14:paraId="56D45248"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3D31761"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GEE</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434C0C6"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Gender Equality Employee (Albania)</w:t>
            </w:r>
          </w:p>
        </w:tc>
      </w:tr>
      <w:tr w:rsidR="000E4587" w:rsidRPr="00E33CA0" w14:paraId="42FBD24F"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A6572A4"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GEF</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0EBD94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Global Environment Facility</w:t>
            </w:r>
          </w:p>
        </w:tc>
      </w:tr>
      <w:tr w:rsidR="000E4587" w:rsidRPr="00E33CA0" w14:paraId="25204248"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1C00627"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GPI</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EB8DDC2"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Gender Parity Index</w:t>
            </w:r>
          </w:p>
        </w:tc>
      </w:tr>
      <w:tr w:rsidR="000E4587" w:rsidRPr="00E33CA0" w14:paraId="31CAC143"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19B7FB9"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GRB</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57FC58F"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Gender-Responsive Budgeting</w:t>
            </w:r>
          </w:p>
        </w:tc>
      </w:tr>
      <w:tr w:rsidR="000E4587" w:rsidRPr="00E33CA0" w14:paraId="6364E7E0"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A64F7AA"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GWP</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E7E03CF"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Global Water Partnership</w:t>
            </w:r>
          </w:p>
        </w:tc>
      </w:tr>
      <w:tr w:rsidR="000E4587" w:rsidRPr="00E33CA0" w14:paraId="7A44A378"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12067C0"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INSTAT</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338EF64"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Institute of Statistics of Albania</w:t>
            </w:r>
          </w:p>
        </w:tc>
      </w:tr>
      <w:tr w:rsidR="000E4587" w:rsidRPr="00E33CA0" w14:paraId="557D11C5"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640321F"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IPMG</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7CFAF18"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Integrated Policy Management Group (Albania)</w:t>
            </w:r>
          </w:p>
        </w:tc>
      </w:tr>
      <w:tr w:rsidR="000E4587" w:rsidRPr="00E33CA0" w14:paraId="106A2072"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A1F9B8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IPCC</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99EE954"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Intergovernmental Panel on Climate Change</w:t>
            </w:r>
          </w:p>
        </w:tc>
      </w:tr>
      <w:tr w:rsidR="000E4587" w:rsidRPr="00E33CA0" w14:paraId="4F0E1C63"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26B8297"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IPV</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17DB825"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Intimate Partner Violence</w:t>
            </w:r>
          </w:p>
        </w:tc>
      </w:tr>
      <w:tr w:rsidR="000E4587" w:rsidRPr="00E33CA0" w14:paraId="3D86F148"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B63DD9A"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IWRM</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13947DE"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Integrated Water Resources Management</w:t>
            </w:r>
          </w:p>
        </w:tc>
      </w:tr>
      <w:tr w:rsidR="000E4587" w:rsidRPr="00E33CA0" w14:paraId="0387722C"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CE324B4"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LGBTI</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1040D85"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Lesbian, Gay, Bisexual, Transgender and Intersex</w:t>
            </w:r>
          </w:p>
        </w:tc>
      </w:tr>
      <w:tr w:rsidR="000E4587" w:rsidRPr="00E33CA0" w14:paraId="051358E8"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E33C711"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MARDWA</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368C326"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Ministry of Agriculture, Rural Development and Water Administration (Albania)</w:t>
            </w:r>
          </w:p>
        </w:tc>
      </w:tr>
      <w:tr w:rsidR="000E4587" w:rsidRPr="00E33CA0" w14:paraId="71DD5676"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246766D"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MIE</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43A0BA3"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Ministry of Infrastructure and Energy (Albania)</w:t>
            </w:r>
          </w:p>
        </w:tc>
      </w:tr>
      <w:tr w:rsidR="000E4587" w:rsidRPr="00E33CA0" w14:paraId="029CD9EF"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34ADC96"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MONSTAT</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9FD39BC"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Statistical Office of Montenegro</w:t>
            </w:r>
          </w:p>
        </w:tc>
      </w:tr>
      <w:tr w:rsidR="000E4587" w:rsidRPr="00E33CA0" w14:paraId="5F5AE967"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6616A62"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ND-GAIN</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23B1328"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Notre Dame Global Adaptation Initiative</w:t>
            </w:r>
          </w:p>
        </w:tc>
      </w:tr>
      <w:tr w:rsidR="000E4587" w:rsidRPr="00E33CA0" w14:paraId="01FDF236"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DB908A2"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NSGE</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E8CFE1F"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National Strategy for Gender Equality (Albania)</w:t>
            </w:r>
          </w:p>
        </w:tc>
      </w:tr>
      <w:tr w:rsidR="000E4587" w:rsidRPr="00E33CA0" w14:paraId="7E47800E"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641BA57"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OSCE</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2966258"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Organization for Security and Co-operation in Europe</w:t>
            </w:r>
          </w:p>
        </w:tc>
      </w:tr>
      <w:tr w:rsidR="000E4587" w:rsidRPr="00E33CA0" w14:paraId="15596913"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8088F96"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lastRenderedPageBreak/>
              <w:t>RCC</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B793E58"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Regional Cooperation Council</w:t>
            </w:r>
          </w:p>
        </w:tc>
      </w:tr>
      <w:tr w:rsidR="000E4587" w:rsidRPr="00E33CA0" w14:paraId="4BC5C9D0"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220ACBC"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REGAGEN</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A8F6FED"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Energy and Water Regulatory Agency (Montenegro)</w:t>
            </w:r>
          </w:p>
        </w:tc>
      </w:tr>
      <w:tr w:rsidR="000E4587" w:rsidRPr="00E33CA0" w14:paraId="200D33AF"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DDC0DE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RS</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E0EFD02"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Republika Srpska (Bosnia and Herzegovina)</w:t>
            </w:r>
          </w:p>
        </w:tc>
      </w:tr>
      <w:tr w:rsidR="000E4587" w:rsidRPr="00E33CA0" w14:paraId="6F103D0E"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5848117"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SAP</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75911E5"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Strategic Action Programme</w:t>
            </w:r>
          </w:p>
        </w:tc>
      </w:tr>
      <w:tr w:rsidR="000E4587" w:rsidRPr="00E33CA0" w14:paraId="11922A81"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D032B22"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SDG</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D9AAAAA"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Sustainable Development Goal</w:t>
            </w:r>
          </w:p>
        </w:tc>
      </w:tr>
      <w:tr w:rsidR="000E4587" w:rsidRPr="00E33CA0" w14:paraId="602D9829"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F755C2C"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STEM</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45DDE7F"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Science, Technology, Engineering and Mathematics</w:t>
            </w:r>
          </w:p>
        </w:tc>
      </w:tr>
      <w:tr w:rsidR="000E4587" w:rsidRPr="00E33CA0" w14:paraId="5CBDDF47"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033378F"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TUS</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7E73A8C"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Time Use Survey</w:t>
            </w:r>
          </w:p>
        </w:tc>
      </w:tr>
      <w:tr w:rsidR="000E4587" w:rsidRPr="00E33CA0" w14:paraId="4524912C"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B2B9F80"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UN Women</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392E33E"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United Nations Entity for Gender Equality and the Empowerment of Women</w:t>
            </w:r>
          </w:p>
        </w:tc>
      </w:tr>
      <w:tr w:rsidR="000E4587" w:rsidRPr="00E33CA0" w14:paraId="726150D6"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6E2220C"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UNDP</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C40F0C3"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United Nations Development Programme</w:t>
            </w:r>
          </w:p>
        </w:tc>
      </w:tr>
      <w:tr w:rsidR="000E4587" w:rsidRPr="00E33CA0" w14:paraId="1AEF8F32"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A672671"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UNESCO</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23A8AE8"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United Nations Educational, Scientific and Cultural Organization</w:t>
            </w:r>
          </w:p>
        </w:tc>
      </w:tr>
      <w:tr w:rsidR="000E4587" w:rsidRPr="00E33CA0" w14:paraId="124B182D"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3552B62"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UNECE</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56E449E"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United Nations Economic Commission for Europe</w:t>
            </w:r>
          </w:p>
        </w:tc>
      </w:tr>
      <w:tr w:rsidR="000E4587" w:rsidRPr="00E33CA0" w14:paraId="1FB16CE6"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5EB215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WEF</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86B83F1"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World Economic Forum</w:t>
            </w:r>
          </w:p>
        </w:tc>
      </w:tr>
      <w:tr w:rsidR="000E4587" w:rsidRPr="00E33CA0" w14:paraId="760F1910"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4AB7DCE"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CBS</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2064843"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Croatian Bureau of Statistics</w:t>
            </w:r>
          </w:p>
        </w:tc>
      </w:tr>
      <w:tr w:rsidR="000E4587" w:rsidRPr="00E33CA0" w14:paraId="3D759523"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C417C37"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CRSV</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7471822"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Conflict-Related Sexual Violence</w:t>
            </w:r>
          </w:p>
        </w:tc>
      </w:tr>
      <w:tr w:rsidR="000E4587" w:rsidRPr="00E33CA0" w14:paraId="6A0ECD94"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2E72FD0"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FRA</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A221F12"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Fundamental Rights Agency of the European Union</w:t>
            </w:r>
          </w:p>
        </w:tc>
      </w:tr>
      <w:tr w:rsidR="000E4587" w:rsidRPr="00E33CA0" w14:paraId="24468BA1"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4F19103"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GIZ</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2550FA8"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Deutsche Gesellschaft für Internationale Zusammenarbeit (German Development Agency)</w:t>
            </w:r>
          </w:p>
        </w:tc>
      </w:tr>
      <w:tr w:rsidR="000E4587" w:rsidRPr="00E33CA0" w14:paraId="0F371504"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1677309"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GREVIO</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8B4E80D"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Group of Experts on Action against Violence against Women and Domestic Violence (Council of Europe)</w:t>
            </w:r>
          </w:p>
        </w:tc>
      </w:tr>
      <w:tr w:rsidR="000E4587" w:rsidRPr="00E33CA0" w14:paraId="70CB03A0"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F2DE935"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HRW</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F587D48"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Human Rights Watch</w:t>
            </w:r>
          </w:p>
        </w:tc>
      </w:tr>
      <w:tr w:rsidR="000E4587" w:rsidRPr="00E33CA0" w14:paraId="3A386B1B"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757147A"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ILO</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2B94FD5"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International Labour Organization</w:t>
            </w:r>
          </w:p>
        </w:tc>
      </w:tr>
      <w:tr w:rsidR="000E4587" w:rsidRPr="00E33CA0" w14:paraId="0C308137"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171C4A6"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IPU</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491E5F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Inter-Parliamentary Union</w:t>
            </w:r>
          </w:p>
        </w:tc>
      </w:tr>
      <w:tr w:rsidR="000E4587" w:rsidRPr="00E33CA0" w14:paraId="2EECEAB0"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BD9C2D8"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JMP</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C14A439"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Joint Monitoring Programme (WHO/UNICEF)</w:t>
            </w:r>
          </w:p>
        </w:tc>
      </w:tr>
      <w:tr w:rsidR="000E4587" w:rsidRPr="00E33CA0" w14:paraId="6C3980D2"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1F41C75"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LFPR</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CF48907"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Labour Force Participation Rate</w:t>
            </w:r>
          </w:p>
        </w:tc>
      </w:tr>
      <w:tr w:rsidR="000E4587" w:rsidRPr="00E33CA0" w14:paraId="09ABF12A"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50FE9BA"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MICS</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E868512"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Multiple Indicator Cluster Surveys (UNICEF)</w:t>
            </w:r>
          </w:p>
        </w:tc>
      </w:tr>
      <w:tr w:rsidR="000E4587" w:rsidRPr="00E33CA0" w14:paraId="236875EB"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44F81D8"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TDA</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9350E0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Transboundary Diagnostic Analysis</w:t>
            </w:r>
          </w:p>
        </w:tc>
      </w:tr>
      <w:tr w:rsidR="000E4587" w:rsidRPr="00E33CA0" w14:paraId="46ABE27A"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9807B81"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WFD</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10EFA79"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EU Water Framework Directive</w:t>
            </w:r>
          </w:p>
        </w:tc>
      </w:tr>
      <w:tr w:rsidR="000E4587" w:rsidRPr="00E33CA0" w14:paraId="2DBA188D" w14:textId="77777777">
        <w:tc>
          <w:tcPr>
            <w:tcW w:w="23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B1C3916"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WHO</w:t>
            </w:r>
          </w:p>
        </w:tc>
        <w:tc>
          <w:tcPr>
            <w:tcW w:w="696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4C6E7DF"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World Health Organization</w:t>
            </w:r>
          </w:p>
        </w:tc>
      </w:tr>
      <w:tr w:rsidR="000E4587" w:rsidRPr="00E33CA0" w14:paraId="572B0BCC" w14:textId="77777777">
        <w:tc>
          <w:tcPr>
            <w:tcW w:w="23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74C9816"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WWAP</w:t>
            </w:r>
          </w:p>
        </w:tc>
        <w:tc>
          <w:tcPr>
            <w:tcW w:w="696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0736D0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color w:val="000000" w:themeColor="text1"/>
              </w:rPr>
              <w:t>World Water Assessment Programme</w:t>
            </w:r>
          </w:p>
        </w:tc>
      </w:tr>
    </w:tbl>
    <w:p w14:paraId="297071EB" w14:textId="77777777" w:rsidR="000E4587" w:rsidRPr="00E33CA0" w:rsidRDefault="00000000">
      <w:pPr>
        <w:jc w:val="both"/>
        <w:rPr>
          <w:rFonts w:asciiTheme="minorHAnsi" w:hAnsiTheme="minorHAnsi" w:cstheme="minorHAnsi"/>
          <w:color w:val="000000" w:themeColor="text1"/>
        </w:rPr>
      </w:pPr>
      <w:r w:rsidRPr="00E33CA0">
        <w:rPr>
          <w:rFonts w:asciiTheme="minorHAnsi" w:hAnsiTheme="minorHAnsi" w:cstheme="minorHAnsi"/>
        </w:rPr>
        <w:br w:type="page"/>
      </w:r>
    </w:p>
    <w:p w14:paraId="59CF11EC"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6" w:name="_Toc231038103"/>
      <w:r w:rsidRPr="00E33CA0">
        <w:rPr>
          <w:rFonts w:asciiTheme="minorHAnsi" w:eastAsia="Arial" w:hAnsiTheme="minorHAnsi" w:cstheme="minorHAnsi"/>
          <w:b/>
          <w:bCs/>
          <w:color w:val="1F4E79"/>
          <w:sz w:val="22"/>
          <w:szCs w:val="22"/>
        </w:rPr>
        <w:lastRenderedPageBreak/>
        <w:t>EXECUTIVE SUMMARY</w:t>
      </w:r>
      <w:bookmarkEnd w:id="6"/>
    </w:p>
    <w:p w14:paraId="77EF647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This Regional Water Sector Gender Analysis (DIKTAS II Output 6.2) synthesizes findings from four national gender analyses covering Albania, Bosnia and Herzegovina, Croatia, and Montenegro within the Dinaric Karst Aquifer System. It applies the ‘Water as an Asset, Service, and Space’ framework (World Bank, 2017) to examine how gender shapes participation in water sector employment, access to water services, and influence over water governance. A cross-cutting Section 8 </w:t>
      </w:r>
      <w:r w:rsidRPr="00E33CA0">
        <w:rPr>
          <w:rFonts w:asciiTheme="minorHAnsi" w:hAnsiTheme="minorHAnsi" w:cstheme="minorHAnsi"/>
          <w:b/>
          <w:bCs/>
          <w:color w:val="7030A0"/>
          <w:sz w:val="22"/>
          <w:szCs w:val="22"/>
        </w:rPr>
        <w:t>introduces an exploratory analytical framing</w:t>
      </w:r>
      <w:r w:rsidRPr="00E33CA0">
        <w:rPr>
          <w:rFonts w:asciiTheme="minorHAnsi" w:hAnsiTheme="minorHAnsi" w:cstheme="minorHAnsi"/>
          <w:color w:val="auto"/>
          <w:sz w:val="22"/>
          <w:szCs w:val="22"/>
        </w:rPr>
        <w:t xml:space="preserve"> the nexus between water insecurity, GBV, and climate change. The analysis is intended to inform the DIKTAS II Strategic Action Programme and support EU accession-aligned gender mainstreaming reforms in all four countries.</w:t>
      </w:r>
    </w:p>
    <w:p w14:paraId="7A4C9A23" w14:textId="77777777" w:rsidR="000E4587" w:rsidRPr="00E33CA0" w:rsidRDefault="000E4587">
      <w:pPr>
        <w:jc w:val="both"/>
        <w:rPr>
          <w:rFonts w:asciiTheme="minorHAnsi" w:hAnsiTheme="minorHAnsi" w:cstheme="minorHAnsi"/>
          <w:sz w:val="22"/>
          <w:szCs w:val="22"/>
        </w:rPr>
      </w:pPr>
    </w:p>
    <w:p w14:paraId="67C2223B" w14:textId="77777777" w:rsidR="000E4587" w:rsidRPr="00E33CA0" w:rsidRDefault="00000000">
      <w:pPr>
        <w:pBdr>
          <w:left w:val="single" w:sz="14" w:space="8" w:color="2E75B6"/>
        </w:pBdr>
        <w:shd w:val="clear" w:color="auto" w:fill="EBF3FB"/>
        <w:ind w:left="40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Core Finding — The Policy-to-Practice Gap: </w:t>
      </w:r>
      <w:r w:rsidRPr="00E33CA0">
        <w:rPr>
          <w:rFonts w:asciiTheme="minorHAnsi" w:hAnsiTheme="minorHAnsi" w:cstheme="minorHAnsi"/>
          <w:color w:val="auto"/>
          <w:sz w:val="22"/>
          <w:szCs w:val="22"/>
        </w:rPr>
        <w:t>All four countries have ratified CEDAW, enacted gender equality legislation, and developed national strategies. Yet a consistent and significant gap persists between these formal commitments and their substantive implementation in the water sector. Three structural barriers drive this gap:</w:t>
      </w:r>
    </w:p>
    <w:p w14:paraId="1DA81278" w14:textId="77777777" w:rsidR="000E4587" w:rsidRPr="00E33CA0" w:rsidRDefault="000E4587">
      <w:pPr>
        <w:pStyle w:val="ListParagraph"/>
        <w:ind w:left="540"/>
        <w:contextualSpacing w:val="0"/>
        <w:jc w:val="both"/>
        <w:rPr>
          <w:rFonts w:asciiTheme="minorHAnsi" w:hAnsiTheme="minorHAnsi" w:cstheme="minorHAnsi"/>
          <w:color w:val="auto"/>
          <w:sz w:val="22"/>
          <w:szCs w:val="22"/>
        </w:rPr>
      </w:pPr>
    </w:p>
    <w:p w14:paraId="53D941AF" w14:textId="77777777" w:rsidR="000E4587" w:rsidRPr="00E33CA0" w:rsidRDefault="00000000">
      <w:pPr>
        <w:pStyle w:val="ListParagraph"/>
        <w:numPr>
          <w:ilvl w:val="0"/>
          <w:numId w:val="1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Institutional weakness: </w:t>
      </w:r>
      <w:r w:rsidRPr="00E33CA0">
        <w:rPr>
          <w:rFonts w:asciiTheme="minorHAnsi" w:hAnsiTheme="minorHAnsi" w:cstheme="minorHAnsi"/>
          <w:color w:val="auto"/>
          <w:sz w:val="22"/>
          <w:szCs w:val="22"/>
        </w:rPr>
        <w:t>water governance bodies lack the capacity, resources, and accountability mechanisms to operationalise gender equality obligations.</w:t>
      </w:r>
    </w:p>
    <w:p w14:paraId="50B9CA56"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Traditional gender norms: </w:t>
      </w:r>
      <w:r w:rsidRPr="00E33CA0">
        <w:rPr>
          <w:rFonts w:asciiTheme="minorHAnsi" w:hAnsiTheme="minorHAnsi" w:cstheme="minorHAnsi"/>
          <w:color w:val="auto"/>
          <w:sz w:val="22"/>
          <w:szCs w:val="22"/>
        </w:rPr>
        <w:t>deeply ingrained cultural expectations channel women into administrative roles, restrict land and asset ownership, and impose the majority of unpaid care work on women.</w:t>
      </w:r>
    </w:p>
    <w:p w14:paraId="02943770"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Data deficits: </w:t>
      </w:r>
      <w:r w:rsidRPr="00E33CA0">
        <w:rPr>
          <w:rFonts w:asciiTheme="minorHAnsi" w:hAnsiTheme="minorHAnsi" w:cstheme="minorHAnsi"/>
          <w:color w:val="auto"/>
          <w:sz w:val="22"/>
          <w:szCs w:val="22"/>
        </w:rPr>
        <w:t>critical gaps in gender-disaggregated data especially in the water sector prevent evidence-based policymaking, baseline measurement, and progress monitoring.</w:t>
      </w:r>
    </w:p>
    <w:p w14:paraId="0B1F7046" w14:textId="77777777" w:rsidR="000E4587" w:rsidRPr="00E33CA0" w:rsidRDefault="000E4587">
      <w:pPr>
        <w:jc w:val="both"/>
        <w:rPr>
          <w:rFonts w:asciiTheme="minorHAnsi" w:hAnsiTheme="minorHAnsi" w:cstheme="minorHAnsi"/>
          <w:sz w:val="22"/>
          <w:szCs w:val="22"/>
        </w:rPr>
      </w:pPr>
    </w:p>
    <w:p w14:paraId="5022E3D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Key Findings by Analytical Dimension</w:t>
      </w:r>
    </w:p>
    <w:p w14:paraId="658B27E7" w14:textId="77777777" w:rsidR="000E4587" w:rsidRPr="00E33CA0" w:rsidRDefault="000E4587">
      <w:pPr>
        <w:jc w:val="both"/>
        <w:rPr>
          <w:rFonts w:asciiTheme="minorHAnsi" w:hAnsiTheme="minorHAnsi" w:cstheme="minorHAnsi"/>
          <w:color w:val="auto"/>
          <w:sz w:val="22"/>
          <w:szCs w:val="22"/>
        </w:rPr>
      </w:pPr>
    </w:p>
    <w:p w14:paraId="2686A90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Water as an Asset — Employment and Economic Access:</w:t>
      </w:r>
    </w:p>
    <w:p w14:paraId="1710334A"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Albania: </w:t>
      </w:r>
      <w:r w:rsidRPr="00E33CA0">
        <w:rPr>
          <w:rFonts w:asciiTheme="minorHAnsi" w:hAnsiTheme="minorHAnsi" w:cstheme="minorHAnsi"/>
          <w:color w:val="auto"/>
          <w:sz w:val="22"/>
          <w:szCs w:val="22"/>
        </w:rPr>
        <w:t xml:space="preserve">women represent 10–40% of water utility staff (2021), concentrated in administrative roles; only 8% of women own land (INSTAT, 2023); female agricultural </w:t>
      </w:r>
      <w:r w:rsidRPr="00E33CA0">
        <w:rPr>
          <w:rFonts w:asciiTheme="minorHAnsi" w:hAnsiTheme="minorHAnsi" w:cstheme="minorHAnsi"/>
          <w:color w:val="auto"/>
          <w:sz w:val="22"/>
          <w:szCs w:val="22"/>
          <w:lang w:val="en-GB"/>
        </w:rPr>
        <w:t>labour</w:t>
      </w:r>
      <w:r w:rsidRPr="00E33CA0">
        <w:rPr>
          <w:rFonts w:asciiTheme="minorHAnsi" w:hAnsiTheme="minorHAnsi" w:cstheme="minorHAnsi"/>
          <w:color w:val="auto"/>
          <w:sz w:val="22"/>
          <w:szCs w:val="22"/>
        </w:rPr>
        <w:t xml:space="preserve"> contributes 17.7% of GDP yet only 19% of subsidy applicants in 2019 were women (UN Women Albania, 2024).</w:t>
      </w:r>
    </w:p>
    <w:p w14:paraId="638C5002"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Bosnia and Herzegovina: </w:t>
      </w:r>
      <w:r w:rsidRPr="00E33CA0">
        <w:rPr>
          <w:rFonts w:asciiTheme="minorHAnsi" w:hAnsiTheme="minorHAnsi" w:cstheme="minorHAnsi"/>
          <w:color w:val="auto"/>
          <w:sz w:val="22"/>
          <w:szCs w:val="22"/>
        </w:rPr>
        <w:t>gender pay gap 22–24% (2023; BHAS); women constitute 67% of unpaid household assistants (UN Women, 2022); men own over 70% of land and 74% of dwellings (BHAS, 2022).</w:t>
      </w:r>
    </w:p>
    <w:p w14:paraId="18E64A6D"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Croatia: </w:t>
      </w:r>
      <w:r w:rsidRPr="00E33CA0">
        <w:rPr>
          <w:rFonts w:asciiTheme="minorHAnsi" w:hAnsiTheme="minorHAnsi" w:cstheme="minorHAnsi"/>
          <w:color w:val="auto"/>
          <w:sz w:val="22"/>
          <w:szCs w:val="22"/>
        </w:rPr>
        <w:t>women comprise 46.8% of Croatian Waters staff (2025) but 0% of General Director positions; 11.1% gender wage gap and 24.8% pension gap (Eurostat, 2023); 59.9% of university graduates are women yet the female employment rate is the 5th lowest in the EU.</w:t>
      </w:r>
    </w:p>
    <w:p w14:paraId="55C1E813"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Montenegro: </w:t>
      </w:r>
      <w:r w:rsidRPr="00E33CA0">
        <w:rPr>
          <w:rFonts w:asciiTheme="minorHAnsi" w:hAnsiTheme="minorHAnsi" w:cstheme="minorHAnsi"/>
          <w:color w:val="auto"/>
          <w:sz w:val="22"/>
          <w:szCs w:val="22"/>
        </w:rPr>
        <w:t>less than 20% of water sector workers are women (World Bank, 2019); only 13% of family farm holders are women; women contribute 44% of GDP yet constitute 73% of family workers (UN Montenegro, 2025).</w:t>
      </w:r>
    </w:p>
    <w:p w14:paraId="0AF10EC0" w14:textId="77777777" w:rsidR="000E4587" w:rsidRPr="00E33CA0" w:rsidRDefault="000E4587">
      <w:pPr>
        <w:jc w:val="both"/>
        <w:rPr>
          <w:rFonts w:asciiTheme="minorHAnsi" w:hAnsiTheme="minorHAnsi" w:cstheme="minorHAnsi"/>
          <w:color w:val="auto"/>
          <w:sz w:val="22"/>
          <w:szCs w:val="22"/>
        </w:rPr>
      </w:pPr>
    </w:p>
    <w:p w14:paraId="5CCF9A2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Water as a Service — Time Burden and Infrastructure Access:</w:t>
      </w:r>
    </w:p>
    <w:p w14:paraId="235A22DD"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Albania: </w:t>
      </w:r>
      <w:r w:rsidRPr="00E33CA0">
        <w:rPr>
          <w:rFonts w:asciiTheme="minorHAnsi" w:hAnsiTheme="minorHAnsi" w:cstheme="minorHAnsi"/>
          <w:b/>
          <w:bCs/>
          <w:color w:val="7030A0"/>
          <w:sz w:val="22"/>
          <w:szCs w:val="22"/>
        </w:rPr>
        <w:t>low Time domain score of 48.1, indicating a persistent gender imbalance in care responsibilities and unpaid household work (Gender Equality Index for the Republic of Albania, 2020)</w:t>
      </w:r>
      <w:r w:rsidRPr="00E33CA0">
        <w:rPr>
          <w:rFonts w:asciiTheme="minorHAnsi" w:hAnsiTheme="minorHAnsi" w:cstheme="minorHAnsi"/>
          <w:color w:val="auto"/>
          <w:sz w:val="22"/>
          <w:szCs w:val="22"/>
        </w:rPr>
        <w:t>; approximately 2</w:t>
      </w:r>
      <w:r w:rsidRPr="00E33CA0">
        <w:rPr>
          <w:rFonts w:asciiTheme="minorHAnsi" w:hAnsiTheme="minorHAnsi" w:cstheme="minorHAnsi"/>
          <w:b/>
          <w:bCs/>
          <w:color w:val="7030A0"/>
          <w:sz w:val="22"/>
          <w:szCs w:val="22"/>
        </w:rPr>
        <w:t>4</w:t>
      </w:r>
      <w:r w:rsidRPr="00E33CA0">
        <w:rPr>
          <w:rFonts w:asciiTheme="minorHAnsi" w:hAnsiTheme="minorHAnsi" w:cstheme="minorHAnsi"/>
          <w:color w:val="auto"/>
          <w:sz w:val="22"/>
          <w:szCs w:val="22"/>
        </w:rPr>
        <w:t>% of the rural population lacks piped water access (WHO/UNICEF JMP, 202</w:t>
      </w:r>
      <w:r w:rsidRPr="00E33CA0">
        <w:rPr>
          <w:rFonts w:asciiTheme="minorHAnsi" w:hAnsiTheme="minorHAnsi" w:cstheme="minorHAnsi"/>
          <w:b/>
          <w:bCs/>
          <w:color w:val="7030A0"/>
          <w:sz w:val="22"/>
          <w:szCs w:val="22"/>
        </w:rPr>
        <w:t>4</w:t>
      </w:r>
      <w:r w:rsidRPr="00E33CA0">
        <w:rPr>
          <w:rFonts w:asciiTheme="minorHAnsi" w:hAnsiTheme="minorHAnsi" w:cstheme="minorHAnsi"/>
          <w:color w:val="auto"/>
          <w:sz w:val="22"/>
          <w:szCs w:val="22"/>
        </w:rPr>
        <w:t>), with women primarily responsible for collection.</w:t>
      </w:r>
    </w:p>
    <w:p w14:paraId="53F83773"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lastRenderedPageBreak/>
        <w:t xml:space="preserve">Bosnia and Herzegovina: </w:t>
      </w:r>
      <w:r w:rsidRPr="00E33CA0">
        <w:rPr>
          <w:rFonts w:asciiTheme="minorHAnsi" w:hAnsiTheme="minorHAnsi" w:cstheme="minorHAnsi"/>
          <w:color w:val="auto"/>
          <w:sz w:val="22"/>
          <w:szCs w:val="22"/>
        </w:rPr>
        <w:t>women spend over 6 hours per day on unpaid care compared with approximately 3 hours for men (UN Women, 2023)</w:t>
      </w:r>
      <w:r w:rsidRPr="00E33CA0">
        <w:rPr>
          <w:rFonts w:asciiTheme="minorHAnsi" w:hAnsiTheme="minorHAnsi" w:cstheme="minorHAnsi"/>
          <w:b/>
          <w:bCs/>
          <w:color w:val="7030A0"/>
          <w:sz w:val="22"/>
          <w:szCs w:val="22"/>
        </w:rPr>
        <w:t xml:space="preserve">. </w:t>
      </w:r>
    </w:p>
    <w:p w14:paraId="74741555"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Croatia: </w:t>
      </w:r>
      <w:r w:rsidRPr="00E33CA0">
        <w:rPr>
          <w:rFonts w:asciiTheme="minorHAnsi" w:hAnsiTheme="minorHAnsi" w:cstheme="minorHAnsi"/>
          <w:color w:val="auto"/>
          <w:sz w:val="22"/>
          <w:szCs w:val="22"/>
        </w:rPr>
        <w:t>EU’s largest gender gap in unpaid care (EIGE ‘Time’ score: 48.6/100; 2024) and a 17-hour weekly total working-hours gap between women and men (Eurofound, 2022).</w:t>
      </w:r>
    </w:p>
    <w:p w14:paraId="246366ED"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Montenegro: </w:t>
      </w:r>
      <w:r w:rsidRPr="00E33CA0">
        <w:rPr>
          <w:rFonts w:asciiTheme="minorHAnsi" w:hAnsiTheme="minorHAnsi" w:cstheme="minorHAnsi"/>
          <w:color w:val="auto"/>
          <w:sz w:val="22"/>
          <w:szCs w:val="22"/>
        </w:rPr>
        <w:t>73% of family workers are women yet only 24% of self-employed are women (UN Montenegro, 2025); no national time-use survey has ever been conducted</w:t>
      </w:r>
      <w:r w:rsidRPr="00E33CA0">
        <w:rPr>
          <w:rFonts w:asciiTheme="minorHAnsi" w:hAnsiTheme="minorHAnsi" w:cstheme="minorHAnsi"/>
          <w:b/>
          <w:bCs/>
          <w:color w:val="7030A0"/>
          <w:sz w:val="22"/>
          <w:szCs w:val="22"/>
        </w:rPr>
        <w:t>; however, the Gender Equality Index for Montenegro 2023 reports a Time domain score of 58.9, indicating persistent gender inequalities in the allocation of time for care, housework and social activities (MONSTAT / EIGE methodology, 2023)</w:t>
      </w:r>
      <w:r w:rsidRPr="00E33CA0">
        <w:rPr>
          <w:rFonts w:asciiTheme="minorHAnsi" w:hAnsiTheme="minorHAnsi" w:cstheme="minorHAnsi"/>
          <w:color w:val="auto"/>
          <w:sz w:val="22"/>
          <w:szCs w:val="22"/>
        </w:rPr>
        <w:t>.</w:t>
      </w:r>
      <w:r w:rsidRPr="00E33CA0">
        <w:rPr>
          <w:rStyle w:val="FootnoteReference"/>
          <w:rFonts w:asciiTheme="minorHAnsi" w:hAnsiTheme="minorHAnsi" w:cstheme="minorHAnsi"/>
          <w:color w:val="auto"/>
          <w:sz w:val="22"/>
          <w:szCs w:val="22"/>
        </w:rPr>
        <w:footnoteReference w:id="2"/>
      </w:r>
    </w:p>
    <w:p w14:paraId="14704E1E" w14:textId="77777777" w:rsidR="000E4587" w:rsidRPr="00E33CA0" w:rsidRDefault="000E4587">
      <w:pPr>
        <w:jc w:val="both"/>
        <w:rPr>
          <w:rFonts w:asciiTheme="minorHAnsi" w:hAnsiTheme="minorHAnsi" w:cstheme="minorHAnsi"/>
          <w:color w:val="auto"/>
          <w:sz w:val="22"/>
          <w:szCs w:val="22"/>
        </w:rPr>
      </w:pPr>
    </w:p>
    <w:p w14:paraId="33719B5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Water as a Space — Governance and Decision-Making:</w:t>
      </w:r>
    </w:p>
    <w:p w14:paraId="2860DBD4"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Albania: </w:t>
      </w:r>
      <w:r w:rsidRPr="00E33CA0">
        <w:rPr>
          <w:rFonts w:asciiTheme="minorHAnsi" w:hAnsiTheme="minorHAnsi" w:cstheme="minorHAnsi"/>
          <w:color w:val="auto"/>
          <w:sz w:val="22"/>
          <w:szCs w:val="22"/>
        </w:rPr>
        <w:t>35% of parliamentary seats (IPU, May 2025) and 44.4% of cabinet positions held by women (2025); GEE embedded in the National Water Council’s IPMG, the most advanced gender integration mechanism in regional water governance.</w:t>
      </w:r>
    </w:p>
    <w:p w14:paraId="26DE2697"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Bosnia and Herzegovina: </w:t>
      </w:r>
      <w:r w:rsidRPr="00E33CA0">
        <w:rPr>
          <w:rFonts w:asciiTheme="minorHAnsi" w:hAnsiTheme="minorHAnsi" w:cstheme="minorHAnsi"/>
          <w:color w:val="auto"/>
          <w:sz w:val="22"/>
          <w:szCs w:val="22"/>
        </w:rPr>
        <w:t>despite a 40% electoral quota, only 19.1% of parliamentary seats held by women (Equal Future Eurasia, 2024)</w:t>
      </w:r>
      <w:r w:rsidRPr="00E33CA0">
        <w:rPr>
          <w:rFonts w:asciiTheme="minorHAnsi" w:hAnsiTheme="minorHAnsi" w:cstheme="minorHAnsi"/>
          <w:color w:val="E0218A"/>
          <w:sz w:val="22"/>
          <w:szCs w:val="22"/>
        </w:rPr>
        <w:t xml:space="preserve"> (recently increased from 30%)</w:t>
      </w:r>
      <w:r w:rsidRPr="00E33CA0">
        <w:rPr>
          <w:rFonts w:asciiTheme="minorHAnsi" w:hAnsiTheme="minorHAnsi" w:cstheme="minorHAnsi"/>
          <w:b/>
          <w:bCs/>
          <w:color w:val="7030A0"/>
          <w:sz w:val="22"/>
          <w:szCs w:val="22"/>
        </w:rPr>
        <w:t>,</w:t>
      </w:r>
      <w:r w:rsidRPr="00E33CA0">
        <w:rPr>
          <w:rFonts w:asciiTheme="minorHAnsi" w:hAnsiTheme="minorHAnsi" w:cstheme="minorHAnsi"/>
          <w:color w:val="auto"/>
          <w:sz w:val="22"/>
          <w:szCs w:val="22"/>
        </w:rPr>
        <w:t xml:space="preserve"> the lowest since 2010; women hold only 8 of 142 mayoral positions.</w:t>
      </w:r>
    </w:p>
    <w:p w14:paraId="337B28C7"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Croatia: </w:t>
      </w:r>
      <w:r w:rsidRPr="00E33CA0">
        <w:rPr>
          <w:rFonts w:asciiTheme="minorHAnsi" w:hAnsiTheme="minorHAnsi" w:cstheme="minorHAnsi"/>
          <w:color w:val="auto"/>
          <w:sz w:val="22"/>
          <w:szCs w:val="22"/>
        </w:rPr>
        <w:t xml:space="preserve">EIGE Power score 49.5/100 (2024); women lead both the Ministry of Environmental Protection and </w:t>
      </w:r>
      <w:r w:rsidRPr="00E33CA0">
        <w:rPr>
          <w:rFonts w:asciiTheme="minorHAnsi" w:hAnsiTheme="minorHAnsi" w:cstheme="minorHAnsi"/>
          <w:b/>
          <w:bCs/>
          <w:color w:val="7030A0"/>
          <w:sz w:val="22"/>
          <w:szCs w:val="22"/>
        </w:rPr>
        <w:t xml:space="preserve">Management Board of </w:t>
      </w:r>
      <w:r w:rsidRPr="00E33CA0">
        <w:rPr>
          <w:rFonts w:asciiTheme="minorHAnsi" w:hAnsiTheme="minorHAnsi" w:cstheme="minorHAnsi"/>
          <w:color w:val="auto"/>
          <w:sz w:val="22"/>
          <w:szCs w:val="22"/>
        </w:rPr>
        <w:t>Croatian Waters (2025) but 0% at General Director level within Croatian Waters.</w:t>
      </w:r>
    </w:p>
    <w:p w14:paraId="16D81D6E"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Montenegro: </w:t>
      </w:r>
      <w:r w:rsidRPr="00E33CA0">
        <w:rPr>
          <w:rFonts w:asciiTheme="minorHAnsi" w:hAnsiTheme="minorHAnsi" w:cstheme="minorHAnsi"/>
          <w:color w:val="auto"/>
          <w:sz w:val="22"/>
          <w:szCs w:val="22"/>
        </w:rPr>
        <w:t>27.2% of parliamentary seats (IPU, 2023); research confirms women ‘still have little influence on major water governance decisions’ (OSCE Mission to Montenegro, 2022).</w:t>
      </w:r>
    </w:p>
    <w:p w14:paraId="7BEDD535" w14:textId="77777777" w:rsidR="000E4587" w:rsidRPr="00E33CA0" w:rsidRDefault="000E4587">
      <w:pPr>
        <w:jc w:val="both"/>
        <w:rPr>
          <w:rFonts w:asciiTheme="minorHAnsi" w:hAnsiTheme="minorHAnsi" w:cstheme="minorHAnsi"/>
          <w:sz w:val="22"/>
          <w:szCs w:val="22"/>
        </w:rPr>
      </w:pPr>
    </w:p>
    <w:p w14:paraId="6E1940B2" w14:textId="77777777" w:rsidR="000E4587" w:rsidRPr="00E33CA0" w:rsidRDefault="00000000">
      <w:pPr>
        <w:pBdr>
          <w:left w:val="single" w:sz="14" w:space="8" w:color="E65100"/>
        </w:pBdr>
        <w:shd w:val="clear" w:color="auto" w:fill="FFF3E0"/>
        <w:ind w:left="400"/>
        <w:jc w:val="both"/>
        <w:rPr>
          <w:rFonts w:asciiTheme="minorHAnsi" w:hAnsiTheme="minorHAnsi" w:cstheme="minorHAnsi"/>
          <w:sz w:val="22"/>
          <w:szCs w:val="22"/>
        </w:rPr>
      </w:pPr>
      <w:r w:rsidRPr="00E33CA0">
        <w:rPr>
          <w:rFonts w:asciiTheme="minorHAnsi" w:hAnsiTheme="minorHAnsi" w:cstheme="minorHAnsi"/>
          <w:b/>
          <w:bCs/>
          <w:color w:val="E65100"/>
          <w:sz w:val="22"/>
          <w:szCs w:val="22"/>
        </w:rPr>
        <w:t xml:space="preserve">Cross-Cutting Finding: The Water–GBV–Climate Nexus (Section 8): </w:t>
      </w:r>
      <w:r w:rsidRPr="00E33CA0">
        <w:rPr>
          <w:rFonts w:asciiTheme="minorHAnsi" w:hAnsiTheme="minorHAnsi" w:cstheme="minorHAnsi"/>
          <w:color w:val="auto"/>
          <w:sz w:val="22"/>
          <w:szCs w:val="22"/>
        </w:rPr>
        <w:t>All four countries record high GBV prevalence alongside intensifying climate-induced water stress. Five structural pathways connect water insecurity to violence against women. Bosnia and Herzegovina faces the highest compound risk: highest climate vulnerability (ND-GAIN Rank 82), approximately 48% GBV prevalence (OSCE, 2019), and the region’s lowest female parliamentary representation. The 2022 drought affected 47% of BiH’s land area and 25% of Montenegro’s territory (EEA, 2023), intensifying all five water–GBV pathways simultaneously.</w:t>
      </w:r>
    </w:p>
    <w:p w14:paraId="59D3E2F9" w14:textId="77777777" w:rsidR="000E4587" w:rsidRPr="00E33CA0" w:rsidRDefault="000E4587">
      <w:pPr>
        <w:jc w:val="both"/>
        <w:rPr>
          <w:rFonts w:asciiTheme="minorHAnsi" w:hAnsiTheme="minorHAnsi" w:cstheme="minorHAnsi"/>
          <w:color w:val="auto"/>
          <w:sz w:val="22"/>
          <w:szCs w:val="22"/>
        </w:rPr>
      </w:pPr>
    </w:p>
    <w:p w14:paraId="30B7637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Five Strategic Priorities for Regional Action:</w:t>
      </w:r>
    </w:p>
    <w:p w14:paraId="066FB37C" w14:textId="77777777" w:rsidR="000E4587" w:rsidRPr="00E33CA0" w:rsidRDefault="00000000">
      <w:pPr>
        <w:pStyle w:val="ListParagraph"/>
        <w:numPr>
          <w:ilvl w:val="0"/>
          <w:numId w:val="9"/>
        </w:num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lang w:val="en-GB"/>
        </w:rPr>
        <w:t>Harmonised</w:t>
      </w:r>
      <w:r w:rsidRPr="00E33CA0">
        <w:rPr>
          <w:rFonts w:asciiTheme="minorHAnsi" w:hAnsiTheme="minorHAnsi" w:cstheme="minorHAnsi"/>
          <w:b/>
          <w:bCs/>
          <w:color w:val="auto"/>
          <w:sz w:val="22"/>
          <w:szCs w:val="22"/>
        </w:rPr>
        <w:t xml:space="preserve"> sex-disaggregated data standards: </w:t>
      </w:r>
      <w:r w:rsidRPr="00E33CA0">
        <w:rPr>
          <w:rFonts w:asciiTheme="minorHAnsi" w:hAnsiTheme="minorHAnsi" w:cstheme="minorHAnsi"/>
          <w:color w:val="auto"/>
          <w:sz w:val="22"/>
          <w:szCs w:val="22"/>
        </w:rPr>
        <w:t>covering water sector employment, time-use burdens, asset ownership, and governance participation (UNESCO-WWAP toolkit as reference framework).</w:t>
      </w:r>
    </w:p>
    <w:p w14:paraId="06455B11" w14:textId="77777777" w:rsidR="000E4587" w:rsidRPr="00E33CA0" w:rsidRDefault="00000000">
      <w:pPr>
        <w:pStyle w:val="ListParagraph"/>
        <w:numPr>
          <w:ilvl w:val="0"/>
          <w:numId w:val="9"/>
        </w:num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Commission missing time-use surveys: </w:t>
      </w:r>
      <w:r w:rsidRPr="00E33CA0">
        <w:rPr>
          <w:rFonts w:asciiTheme="minorHAnsi" w:hAnsiTheme="minorHAnsi" w:cstheme="minorHAnsi"/>
          <w:color w:val="auto"/>
          <w:sz w:val="22"/>
          <w:szCs w:val="22"/>
        </w:rPr>
        <w:t>Montenegro has never conducted a national TUS; Albania’s data is 15 years old. Both are critical for SDG 5.4.1 reporting.</w:t>
      </w:r>
    </w:p>
    <w:p w14:paraId="2DC34570" w14:textId="77777777" w:rsidR="000E4587" w:rsidRPr="00E33CA0" w:rsidRDefault="00000000">
      <w:pPr>
        <w:pStyle w:val="ListParagraph"/>
        <w:numPr>
          <w:ilvl w:val="0"/>
          <w:numId w:val="9"/>
        </w:num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Integrate GBV and climate risk into water planning: </w:t>
      </w:r>
      <w:r w:rsidRPr="00E33CA0">
        <w:rPr>
          <w:rFonts w:asciiTheme="minorHAnsi" w:hAnsiTheme="minorHAnsi" w:cstheme="minorHAnsi"/>
          <w:color w:val="auto"/>
          <w:sz w:val="22"/>
          <w:szCs w:val="22"/>
        </w:rPr>
        <w:t>safety audits; GBV data disaggregated by water access status; commission primary research on the water–GBV nexus in the Western Balkans.</w:t>
      </w:r>
    </w:p>
    <w:p w14:paraId="374B9E3F" w14:textId="77777777" w:rsidR="000E4587" w:rsidRPr="00E33CA0" w:rsidRDefault="00000000">
      <w:pPr>
        <w:pStyle w:val="ListParagraph"/>
        <w:numPr>
          <w:ilvl w:val="0"/>
          <w:numId w:val="9"/>
        </w:num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Extend gender quotas to appointed water governance bodies: </w:t>
      </w:r>
      <w:r w:rsidRPr="00E33CA0">
        <w:rPr>
          <w:rFonts w:asciiTheme="minorHAnsi" w:hAnsiTheme="minorHAnsi" w:cstheme="minorHAnsi"/>
          <w:color w:val="auto"/>
          <w:sz w:val="22"/>
          <w:szCs w:val="22"/>
        </w:rPr>
        <w:t>current electoral quotas do not apply to technical bodies, leaving water governance structures outside mandatory representation requirements in all four countries.</w:t>
      </w:r>
    </w:p>
    <w:p w14:paraId="6B02B871" w14:textId="77777777" w:rsidR="000E4587" w:rsidRPr="00E33CA0" w:rsidRDefault="00000000">
      <w:pPr>
        <w:pStyle w:val="ListParagraph"/>
        <w:numPr>
          <w:ilvl w:val="0"/>
          <w:numId w:val="9"/>
        </w:num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lastRenderedPageBreak/>
        <w:t xml:space="preserve">Mandate gender-responsive budgeting (GRB): </w:t>
      </w:r>
      <w:r w:rsidRPr="00E33CA0">
        <w:rPr>
          <w:rFonts w:asciiTheme="minorHAnsi" w:hAnsiTheme="minorHAnsi" w:cstheme="minorHAnsi"/>
          <w:color w:val="auto"/>
          <w:sz w:val="22"/>
          <w:szCs w:val="22"/>
        </w:rPr>
        <w:t>across water management institutions in all four countries. GRB requires no new legislation only political commitment and technical capacity. Country-specific recommendations are in Section 9.</w:t>
      </w:r>
    </w:p>
    <w:p w14:paraId="626AB3EB"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rPr>
        <w:br w:type="page"/>
      </w:r>
    </w:p>
    <w:p w14:paraId="32853BBA"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7" w:name="_Toc231038104"/>
      <w:r w:rsidRPr="00E33CA0">
        <w:rPr>
          <w:rFonts w:asciiTheme="minorHAnsi" w:eastAsia="Arial" w:hAnsiTheme="minorHAnsi" w:cstheme="minorHAnsi"/>
          <w:b/>
          <w:bCs/>
          <w:color w:val="1F4E79"/>
          <w:sz w:val="22"/>
          <w:szCs w:val="22"/>
        </w:rPr>
        <w:lastRenderedPageBreak/>
        <w:t>1.  INTRODUCTION</w:t>
      </w:r>
      <w:bookmarkEnd w:id="7"/>
    </w:p>
    <w:p w14:paraId="3C5123FD" w14:textId="77777777" w:rsidR="000E4587" w:rsidRPr="00E33CA0" w:rsidRDefault="00000000">
      <w:pPr>
        <w:pStyle w:val="Heading2"/>
        <w:spacing w:before="0" w:after="0"/>
        <w:jc w:val="both"/>
        <w:rPr>
          <w:rFonts w:asciiTheme="minorHAnsi" w:hAnsiTheme="minorHAnsi" w:cstheme="minorHAnsi"/>
          <w:sz w:val="22"/>
          <w:szCs w:val="22"/>
        </w:rPr>
      </w:pPr>
      <w:bookmarkStart w:id="8" w:name="_Toc231038105"/>
      <w:r w:rsidRPr="00E33CA0">
        <w:rPr>
          <w:rFonts w:asciiTheme="minorHAnsi" w:eastAsia="Arial" w:hAnsiTheme="minorHAnsi" w:cstheme="minorHAnsi"/>
          <w:b/>
          <w:bCs/>
          <w:color w:val="2E75B6"/>
          <w:sz w:val="22"/>
          <w:szCs w:val="22"/>
        </w:rPr>
        <w:t>1.1 The DIKTAS II Project Context</w:t>
      </w:r>
      <w:bookmarkEnd w:id="8"/>
    </w:p>
    <w:p w14:paraId="0FDE7D7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The Dinaric Karst Aquifer System (DIKTAS) represents one of the largest transboundary karst aquifer systems in Europe, extending across the Western Balkans and serving as a critical water resource for Albania, Bosnia and Herzegovina, Croatia, and Montenegro. Karst aquifer systems are </w:t>
      </w:r>
      <w:r w:rsidRPr="00E33CA0">
        <w:rPr>
          <w:rFonts w:asciiTheme="minorHAnsi" w:hAnsiTheme="minorHAnsi" w:cstheme="minorHAnsi"/>
          <w:color w:val="auto"/>
          <w:sz w:val="22"/>
          <w:szCs w:val="22"/>
          <w:lang w:val="en-GB"/>
        </w:rPr>
        <w:t xml:space="preserve">characterised </w:t>
      </w:r>
      <w:r w:rsidRPr="00E33CA0">
        <w:rPr>
          <w:rFonts w:asciiTheme="minorHAnsi" w:hAnsiTheme="minorHAnsi" w:cstheme="minorHAnsi"/>
          <w:color w:val="auto"/>
          <w:sz w:val="22"/>
          <w:szCs w:val="22"/>
        </w:rPr>
        <w:t xml:space="preserve">by highly permeable limestone and dolomite rock formations that store and transmit groundwater through a network of fractures, sinkholes, and underground channels. The Dinaric Karst, named after the Dinaric Alps mountain range, spans approximately 65,000 km² across the Western Balkans and provides drinking water, agricultural irrigation, and hydropower to millions of people in the region (UNESCO-IHP, 2022). Because groundwater does not respect national borders, sustainable management of the DIKTAS system requires coordinated, multilateral governance among all four riparian states. The DIKTAS II project, implemented under the Strategic </w:t>
      </w:r>
      <w:r w:rsidRPr="00E33CA0">
        <w:rPr>
          <w:rFonts w:asciiTheme="minorHAnsi" w:hAnsiTheme="minorHAnsi" w:cstheme="minorHAnsi"/>
          <w:color w:val="auto"/>
          <w:sz w:val="22"/>
          <w:szCs w:val="22"/>
          <w:lang w:val="en-GB"/>
        </w:rPr>
        <w:t>Action Programme</w:t>
      </w:r>
      <w:r w:rsidRPr="00E33CA0">
        <w:rPr>
          <w:rFonts w:asciiTheme="minorHAnsi" w:hAnsiTheme="minorHAnsi" w:cstheme="minorHAnsi"/>
          <w:color w:val="auto"/>
          <w:sz w:val="22"/>
          <w:szCs w:val="22"/>
        </w:rPr>
        <w:t>, aims to improve groundwater governance and the sustainability of related ecosystems across this shared resource (UNESCO/GEF, 2025).</w:t>
      </w:r>
    </w:p>
    <w:p w14:paraId="657F64C4" w14:textId="77777777" w:rsidR="000E4587" w:rsidRPr="00E33CA0" w:rsidRDefault="000E4587">
      <w:pPr>
        <w:jc w:val="both"/>
        <w:rPr>
          <w:rFonts w:asciiTheme="minorHAnsi" w:hAnsiTheme="minorHAnsi" w:cstheme="minorHAnsi"/>
          <w:color w:val="auto"/>
          <w:sz w:val="22"/>
          <w:szCs w:val="22"/>
        </w:rPr>
      </w:pPr>
    </w:p>
    <w:p w14:paraId="634991B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DIKTAS II is the second phase of an ongoing regional initiative. The first phase (DIKTAS I, 2009–2015) established the foundational scientific and institutional framework for transboundary groundwater governance, including a shared hydrogeological database, a Transboundary Diagnostic Analysis (TDA), and the Strategic Action </w:t>
      </w:r>
      <w:r w:rsidRPr="00E33CA0">
        <w:rPr>
          <w:rFonts w:asciiTheme="minorHAnsi" w:hAnsiTheme="minorHAnsi" w:cstheme="minorHAnsi"/>
          <w:color w:val="auto"/>
          <w:sz w:val="22"/>
          <w:szCs w:val="22"/>
          <w:lang w:val="en-GB"/>
        </w:rPr>
        <w:t>Programme</w:t>
      </w:r>
      <w:r w:rsidRPr="00E33CA0">
        <w:rPr>
          <w:rFonts w:asciiTheme="minorHAnsi" w:hAnsiTheme="minorHAnsi" w:cstheme="minorHAnsi"/>
          <w:color w:val="auto"/>
          <w:sz w:val="22"/>
          <w:szCs w:val="22"/>
        </w:rPr>
        <w:t xml:space="preserve"> (SAP) itself. DIKTAS II (202</w:t>
      </w:r>
      <w:r w:rsidRPr="00E33CA0">
        <w:rPr>
          <w:rFonts w:asciiTheme="minorHAnsi" w:hAnsiTheme="minorHAnsi" w:cstheme="minorHAnsi"/>
          <w:b/>
          <w:bCs/>
          <w:color w:val="7030A0"/>
          <w:sz w:val="22"/>
          <w:szCs w:val="22"/>
        </w:rPr>
        <w:t>2</w:t>
      </w:r>
      <w:r w:rsidRPr="00E33CA0">
        <w:rPr>
          <w:rFonts w:asciiTheme="minorHAnsi" w:hAnsiTheme="minorHAnsi" w:cstheme="minorHAnsi"/>
          <w:color w:val="auto"/>
          <w:sz w:val="22"/>
          <w:szCs w:val="22"/>
        </w:rPr>
        <w:t>–202</w:t>
      </w:r>
      <w:r w:rsidRPr="00E33CA0">
        <w:rPr>
          <w:rFonts w:asciiTheme="minorHAnsi" w:hAnsiTheme="minorHAnsi" w:cstheme="minorHAnsi"/>
          <w:b/>
          <w:bCs/>
          <w:color w:val="7030A0"/>
          <w:sz w:val="22"/>
          <w:szCs w:val="22"/>
        </w:rPr>
        <w:t>7</w:t>
      </w:r>
      <w:r w:rsidRPr="00E33CA0">
        <w:rPr>
          <w:rFonts w:asciiTheme="minorHAnsi" w:hAnsiTheme="minorHAnsi" w:cstheme="minorHAnsi"/>
          <w:color w:val="auto"/>
          <w:sz w:val="22"/>
          <w:szCs w:val="22"/>
        </w:rPr>
        <w:t>) builds on this foundation with a stronger emphasis on implementation, ecosystem sustainability, and social inclusion of which gender mainstreaming is a central pillar. The project is funded by the Global Environment Facility (GEF), with UNESCO serving as the Implementing Agency and UNDP providing additional implementation support across all four participating countries (UNESCO/GEF, 2025).</w:t>
      </w:r>
    </w:p>
    <w:p w14:paraId="1866E8A7" w14:textId="77777777" w:rsidR="000E4587" w:rsidRPr="00E33CA0" w:rsidRDefault="000E4587">
      <w:pPr>
        <w:jc w:val="both"/>
        <w:rPr>
          <w:rFonts w:asciiTheme="minorHAnsi" w:hAnsiTheme="minorHAnsi" w:cstheme="minorHAnsi"/>
          <w:color w:val="auto"/>
          <w:sz w:val="22"/>
          <w:szCs w:val="22"/>
        </w:rPr>
      </w:pPr>
    </w:p>
    <w:p w14:paraId="3EF80EBB"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The Strategic Action </w:t>
      </w:r>
      <w:r w:rsidRPr="00E33CA0">
        <w:rPr>
          <w:rFonts w:asciiTheme="minorHAnsi" w:hAnsiTheme="minorHAnsi" w:cstheme="minorHAnsi"/>
          <w:color w:val="auto"/>
          <w:sz w:val="22"/>
          <w:szCs w:val="22"/>
          <w:lang w:val="en-GB"/>
        </w:rPr>
        <w:t>Programme</w:t>
      </w:r>
      <w:r w:rsidRPr="00E33CA0">
        <w:rPr>
          <w:rFonts w:asciiTheme="minorHAnsi" w:hAnsiTheme="minorHAnsi" w:cstheme="minorHAnsi"/>
          <w:color w:val="auto"/>
          <w:sz w:val="22"/>
          <w:szCs w:val="22"/>
        </w:rPr>
        <w:t xml:space="preserve"> (SAP) is the jointly agreed, multi-country framework that sets out priority actions to protect and sustainably manage the Dinaric Karst Aquifer System over the long term. It addresses groundwater quantity, water quality, ecosystem health, and crucially for this report the social dimensions of water governance, including gender equity. The </w:t>
      </w:r>
      <w:r w:rsidRPr="00E33CA0">
        <w:rPr>
          <w:rFonts w:asciiTheme="minorHAnsi" w:hAnsiTheme="minorHAnsi" w:cstheme="minorHAnsi"/>
          <w:color w:val="auto"/>
          <w:sz w:val="22"/>
          <w:szCs w:val="22"/>
          <w:lang w:val="en-GB"/>
        </w:rPr>
        <w:t>SAP recognises</w:t>
      </w:r>
      <w:r w:rsidRPr="00E33CA0">
        <w:rPr>
          <w:rFonts w:asciiTheme="minorHAnsi" w:hAnsiTheme="minorHAnsi" w:cstheme="minorHAnsi"/>
          <w:color w:val="auto"/>
          <w:sz w:val="22"/>
          <w:szCs w:val="22"/>
        </w:rPr>
        <w:t xml:space="preserve"> that sustainable water management cannot be achieved without the full and meaningful participation of both women and men at all levels of decision-making (UNESCO/GEF, 2025).</w:t>
      </w:r>
    </w:p>
    <w:p w14:paraId="4D5A0163" w14:textId="77777777" w:rsidR="000E4587" w:rsidRPr="00E33CA0" w:rsidRDefault="000E4587">
      <w:pPr>
        <w:jc w:val="both"/>
        <w:rPr>
          <w:rFonts w:asciiTheme="minorHAnsi" w:hAnsiTheme="minorHAnsi" w:cstheme="minorHAnsi"/>
          <w:color w:val="auto"/>
          <w:sz w:val="22"/>
          <w:szCs w:val="22"/>
        </w:rPr>
      </w:pPr>
    </w:p>
    <w:p w14:paraId="10F40A8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Gender mainstreaming constitutes an essential component of the project’s approach to sustainable water management. </w:t>
      </w:r>
      <w:r w:rsidRPr="00E33CA0">
        <w:rPr>
          <w:rFonts w:asciiTheme="minorHAnsi" w:hAnsiTheme="minorHAnsi" w:cstheme="minorHAnsi"/>
          <w:color w:val="auto"/>
          <w:sz w:val="22"/>
          <w:szCs w:val="22"/>
          <w:lang w:val="en-GB"/>
        </w:rPr>
        <w:t>Recognising</w:t>
      </w:r>
      <w:r w:rsidRPr="00E33CA0">
        <w:rPr>
          <w:rFonts w:asciiTheme="minorHAnsi" w:hAnsiTheme="minorHAnsi" w:cstheme="minorHAnsi"/>
          <w:color w:val="auto"/>
          <w:sz w:val="22"/>
          <w:szCs w:val="22"/>
        </w:rPr>
        <w:t xml:space="preserve"> that water governance decisions affect women and men differently, the project has commissioned comprehensive gender analyses for each participating country. These four National Water Sector Gender Analyses (Output 6.2) were conducted concurrently in Albania, Bosnia and Herzegovina, Croatia, and Montenegro during 2025, each applying a consistent analytical framework to enable regional comparison. The analyses examine gender dynamics across three dimensions — water as an economic asset, water as a service, and water as a governance space drawing on national statistical data, EU and international institutional sources, and (in the case of Croatia) primary interviews with water sector managers (UNESCO/WWAP, 2024). This regional synthesis builds upon those national assessments to provide a comparative perspective and identify opportunities for coordinated regional action.</w:t>
      </w:r>
    </w:p>
    <w:p w14:paraId="7D45D062" w14:textId="77777777" w:rsidR="000E4587" w:rsidRPr="00E33CA0" w:rsidRDefault="000E4587">
      <w:pPr>
        <w:jc w:val="both"/>
        <w:rPr>
          <w:rFonts w:asciiTheme="minorHAnsi" w:hAnsiTheme="minorHAnsi" w:cstheme="minorHAnsi"/>
          <w:color w:val="auto"/>
          <w:sz w:val="22"/>
          <w:szCs w:val="22"/>
        </w:rPr>
      </w:pPr>
    </w:p>
    <w:p w14:paraId="7A5847E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The four DIKTAS II countries share a geographical and hydrological space but differ significantly in their political, institutional, and developmental trajectories. Croatia joined the European Union in 2013 and is the most advanced in terms of water governance alignment with EU standards, including the EU Water Framework Directive (WFD). Albania, Bosnia and Herzegovina, and Montenegro are EU candidate or </w:t>
      </w:r>
      <w:r w:rsidRPr="00E33CA0">
        <w:rPr>
          <w:rFonts w:asciiTheme="minorHAnsi" w:hAnsiTheme="minorHAnsi" w:cstheme="minorHAnsi"/>
          <w:color w:val="auto"/>
          <w:sz w:val="22"/>
          <w:szCs w:val="22"/>
        </w:rPr>
        <w:lastRenderedPageBreak/>
        <w:t>potential candidate countries at varying stages of the accession process, which creates both obligations and incentives for gender mainstreaming in line with the EU Gender Equality Strategy 2020–2025 (European Commission, 2020). These differences in EU integration status are reflected throughout this report in the varying availability of data, the strength of enforcement mechanisms, and the pace of institutional reform across the region.</w:t>
      </w:r>
    </w:p>
    <w:p w14:paraId="27CB059E" w14:textId="77777777" w:rsidR="000E4587" w:rsidRPr="00E33CA0" w:rsidRDefault="000E4587">
      <w:pPr>
        <w:jc w:val="both"/>
        <w:rPr>
          <w:rFonts w:asciiTheme="minorHAnsi" w:hAnsiTheme="minorHAnsi" w:cstheme="minorHAnsi"/>
          <w:color w:val="auto"/>
          <w:sz w:val="22"/>
          <w:szCs w:val="22"/>
        </w:rPr>
      </w:pPr>
    </w:p>
    <w:p w14:paraId="32A347C1" w14:textId="77777777" w:rsidR="000E4587" w:rsidRPr="00E33CA0" w:rsidRDefault="00000000">
      <w:pPr>
        <w:pStyle w:val="Heading2"/>
        <w:spacing w:before="0" w:after="0"/>
        <w:jc w:val="both"/>
        <w:rPr>
          <w:rFonts w:asciiTheme="minorHAnsi" w:hAnsiTheme="minorHAnsi" w:cstheme="minorHAnsi"/>
          <w:sz w:val="22"/>
          <w:szCs w:val="22"/>
        </w:rPr>
      </w:pPr>
      <w:bookmarkStart w:id="9" w:name="_Toc231038106"/>
      <w:r w:rsidRPr="00E33CA0">
        <w:rPr>
          <w:rFonts w:asciiTheme="minorHAnsi" w:eastAsia="Arial" w:hAnsiTheme="minorHAnsi" w:cstheme="minorHAnsi"/>
          <w:b/>
          <w:bCs/>
          <w:color w:val="2E75B6"/>
          <w:sz w:val="22"/>
          <w:szCs w:val="22"/>
        </w:rPr>
        <w:t>1.2 The Nexus of Water and Gender in Sustainable Development</w:t>
      </w:r>
      <w:bookmarkEnd w:id="9"/>
    </w:p>
    <w:p w14:paraId="3D048A4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The pursuit of gender equality and sustainable water management are inseparably linked pillars of the global development agenda. Progress toward SDG 5 (Achieve gender equality and empower all women and girls) is a prerequisite for realizing SDG 6 (Ensure availability and sustainable management of water and sanitation for all) (UNESCO, 2024). Gender determines a person’s relationship with water, shaping needs, access, use, and the benefits derived from this vital resource. This interdependence is not merely conceptual: empirical evidence demonstrates that investments in women’s access to clean water and sanitation directly improve maternal and child health outcomes, reduce school dropout rates among girls, increase women’s economic participation, and reduce the time burden of water collection that constrains women’s opportunities across the developing world (UN Women &amp; UNEP-DHI, 2025; WHO/UNICEF JMP, 2024).</w:t>
      </w:r>
    </w:p>
    <w:p w14:paraId="7239DDD2" w14:textId="77777777" w:rsidR="000E4587" w:rsidRPr="00E33CA0" w:rsidRDefault="000E4587">
      <w:pPr>
        <w:jc w:val="both"/>
        <w:rPr>
          <w:rFonts w:asciiTheme="minorHAnsi" w:hAnsiTheme="minorHAnsi" w:cstheme="minorHAnsi"/>
          <w:color w:val="auto"/>
          <w:sz w:val="22"/>
          <w:szCs w:val="22"/>
        </w:rPr>
      </w:pPr>
    </w:p>
    <w:p w14:paraId="30FFB02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This relationship is analyzed through the 'Water as an Asset, Service, and Space' framework, articulated in the World Bank's report </w:t>
      </w:r>
      <w:r w:rsidRPr="00E33CA0">
        <w:rPr>
          <w:rFonts w:asciiTheme="minorHAnsi" w:hAnsiTheme="minorHAnsi" w:cstheme="minorHAnsi"/>
          <w:i/>
          <w:iCs/>
          <w:color w:val="auto"/>
          <w:sz w:val="22"/>
          <w:szCs w:val="22"/>
        </w:rPr>
        <w:t>The Rising Tide: A New Look at Water and Gender</w:t>
      </w:r>
      <w:r w:rsidRPr="00E33CA0">
        <w:rPr>
          <w:rFonts w:asciiTheme="minorHAnsi" w:hAnsiTheme="minorHAnsi" w:cstheme="minorHAnsi"/>
          <w:color w:val="auto"/>
          <w:sz w:val="22"/>
          <w:szCs w:val="22"/>
        </w:rPr>
        <w:t xml:space="preserve"> (World Bank, 2017), and which posits three dimensions:</w:t>
      </w:r>
    </w:p>
    <w:p w14:paraId="5C16CE51" w14:textId="77777777" w:rsidR="000E4587" w:rsidRPr="00E33CA0" w:rsidRDefault="000E4587">
      <w:pPr>
        <w:jc w:val="both"/>
        <w:rPr>
          <w:rFonts w:asciiTheme="minorHAnsi" w:hAnsiTheme="minorHAnsi" w:cstheme="minorHAnsi"/>
          <w:color w:val="auto"/>
          <w:sz w:val="22"/>
          <w:szCs w:val="22"/>
        </w:rPr>
      </w:pPr>
    </w:p>
    <w:p w14:paraId="71F5F20F"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Water as an Asset: </w:t>
      </w:r>
      <w:r w:rsidRPr="00E33CA0">
        <w:rPr>
          <w:rFonts w:asciiTheme="minorHAnsi" w:hAnsiTheme="minorHAnsi" w:cstheme="minorHAnsi"/>
          <w:color w:val="auto"/>
          <w:sz w:val="22"/>
          <w:szCs w:val="22"/>
        </w:rPr>
        <w:t>Water holds distinct economic value, influencing livelihoods and economic participation. Access to and control over water resources affects women’s ability to engage in productive activities and accumulate wealth. In the DIKTAS II region, this dimension encompasses women’s representation in the paid water sector workforce, their access to land and water rights, and their ability to benefit economically from water-dependent industries such as agriculture and hydropower (World Bank, 2017).</w:t>
      </w:r>
    </w:p>
    <w:p w14:paraId="0354143A"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Water as a Service: </w:t>
      </w:r>
      <w:r w:rsidRPr="00E33CA0">
        <w:rPr>
          <w:rFonts w:asciiTheme="minorHAnsi" w:hAnsiTheme="minorHAnsi" w:cstheme="minorHAnsi"/>
          <w:color w:val="auto"/>
          <w:sz w:val="22"/>
          <w:szCs w:val="22"/>
        </w:rPr>
        <w:t xml:space="preserve">The provision, management, and collection of water and sanitation involve substantial time and </w:t>
      </w:r>
      <w:r w:rsidRPr="00E33CA0">
        <w:rPr>
          <w:rFonts w:asciiTheme="minorHAnsi" w:hAnsiTheme="minorHAnsi" w:cstheme="minorHAnsi"/>
          <w:color w:val="auto"/>
          <w:sz w:val="22"/>
          <w:szCs w:val="22"/>
          <w:lang w:val="en-GB"/>
        </w:rPr>
        <w:t>labour</w:t>
      </w:r>
      <w:r w:rsidRPr="00E33CA0">
        <w:rPr>
          <w:rFonts w:asciiTheme="minorHAnsi" w:hAnsiTheme="minorHAnsi" w:cstheme="minorHAnsi"/>
          <w:color w:val="auto"/>
          <w:sz w:val="22"/>
          <w:szCs w:val="22"/>
        </w:rPr>
        <w:t xml:space="preserve"> burdens disproportionately shouldered by women and girls, creating 'time poverty' that limits other opportunities (World Bank, 2017). Globally, women and girls spend an estimated 200 million hours per day collecting water (UN Women, 2020). In the Western Balkans, this dynamic is compounded by under-investment in rural water infrastructure, particularly in Albania and Bosnia and Herzegovina, where significant proportions of the rural population lack reliable piped water access (WHO/UNICEF JMP, 2024).</w:t>
      </w:r>
    </w:p>
    <w:p w14:paraId="4B98A267"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Water as a Space: </w:t>
      </w:r>
      <w:r w:rsidRPr="00E33CA0">
        <w:rPr>
          <w:rFonts w:asciiTheme="minorHAnsi" w:hAnsiTheme="minorHAnsi" w:cstheme="minorHAnsi"/>
          <w:color w:val="auto"/>
          <w:sz w:val="22"/>
          <w:szCs w:val="22"/>
        </w:rPr>
        <w:t xml:space="preserve">Water governance is an arena where social relations and ingrained hierarchies play out, influencing women’s voice and decision-making power in policy formulation and resource management at all levels. Research consistently shows that water governance bodies with meaningful female representation make more equitable and effective decisions, are more likely to </w:t>
      </w:r>
      <w:r w:rsidRPr="00E33CA0">
        <w:rPr>
          <w:rFonts w:asciiTheme="minorHAnsi" w:hAnsiTheme="minorHAnsi" w:cstheme="minorHAnsi"/>
          <w:color w:val="auto"/>
          <w:sz w:val="22"/>
          <w:szCs w:val="22"/>
          <w:lang w:val="en-GB"/>
        </w:rPr>
        <w:t xml:space="preserve">prioritise </w:t>
      </w:r>
      <w:r w:rsidRPr="00E33CA0">
        <w:rPr>
          <w:rFonts w:asciiTheme="minorHAnsi" w:hAnsiTheme="minorHAnsi" w:cstheme="minorHAnsi"/>
          <w:color w:val="auto"/>
          <w:sz w:val="22"/>
          <w:szCs w:val="22"/>
        </w:rPr>
        <w:t>community-level service improvements and are better positioned to identify and respond to gender-differentiated water needs (UN Women &amp; UNEP-DHI, 2025).</w:t>
      </w:r>
    </w:p>
    <w:p w14:paraId="399B1F24" w14:textId="77777777" w:rsidR="000E4587" w:rsidRPr="00E33CA0" w:rsidRDefault="000E4587">
      <w:pPr>
        <w:pStyle w:val="ListParagraph"/>
        <w:ind w:left="540"/>
        <w:contextualSpacing w:val="0"/>
        <w:jc w:val="both"/>
        <w:rPr>
          <w:rFonts w:asciiTheme="minorHAnsi" w:hAnsiTheme="minorHAnsi" w:cstheme="minorHAnsi"/>
          <w:color w:val="auto"/>
          <w:sz w:val="22"/>
          <w:szCs w:val="22"/>
        </w:rPr>
      </w:pPr>
    </w:p>
    <w:p w14:paraId="0F066AC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Policies and programs in this domain have significant potential to either reinforce existing inequalities or drive broader social change. The analytical framework applied throughout this regional assessment enables systematic examination of how gender dynamics manifest across all three dimensions within each country's water sector revealing not only where gaps exist, but also where targeted interventions </w:t>
      </w:r>
      <w:r w:rsidRPr="00E33CA0">
        <w:rPr>
          <w:rFonts w:asciiTheme="minorHAnsi" w:hAnsiTheme="minorHAnsi" w:cstheme="minorHAnsi"/>
          <w:color w:val="auto"/>
          <w:sz w:val="22"/>
          <w:szCs w:val="22"/>
        </w:rPr>
        <w:lastRenderedPageBreak/>
        <w:t>can generate the greatest impact for women, households, and communities across the Dinaric Karst region.</w:t>
      </w:r>
    </w:p>
    <w:p w14:paraId="043AAE02" w14:textId="77777777" w:rsidR="000E4587" w:rsidRPr="00E33CA0" w:rsidRDefault="000E4587">
      <w:pPr>
        <w:jc w:val="both"/>
        <w:rPr>
          <w:rFonts w:asciiTheme="minorHAnsi" w:hAnsiTheme="minorHAnsi" w:cstheme="minorHAnsi"/>
          <w:color w:val="auto"/>
          <w:sz w:val="22"/>
          <w:szCs w:val="22"/>
        </w:rPr>
      </w:pPr>
    </w:p>
    <w:p w14:paraId="5A323D2B" w14:textId="77777777" w:rsidR="000E4587" w:rsidRPr="00E33CA0" w:rsidRDefault="00000000">
      <w:pPr>
        <w:pStyle w:val="Heading2"/>
        <w:spacing w:before="0" w:after="0"/>
        <w:jc w:val="both"/>
        <w:rPr>
          <w:rFonts w:asciiTheme="minorHAnsi" w:hAnsiTheme="minorHAnsi" w:cstheme="minorHAnsi"/>
          <w:color w:val="4472C4" w:themeColor="accent1"/>
          <w:sz w:val="22"/>
          <w:szCs w:val="22"/>
        </w:rPr>
      </w:pPr>
      <w:bookmarkStart w:id="10" w:name="_Toc231038107"/>
      <w:r w:rsidRPr="00E33CA0">
        <w:rPr>
          <w:rFonts w:asciiTheme="minorHAnsi" w:eastAsia="Arial" w:hAnsiTheme="minorHAnsi" w:cstheme="minorHAnsi"/>
          <w:b/>
          <w:bCs/>
          <w:color w:val="4472C4" w:themeColor="accent1"/>
          <w:sz w:val="22"/>
          <w:szCs w:val="22"/>
        </w:rPr>
        <w:t>1.3 Purpose and Scope of the Regional Analysis</w:t>
      </w:r>
      <w:bookmarkEnd w:id="10"/>
    </w:p>
    <w:p w14:paraId="54618E8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This report provides a comprehensive comparative gender analysis of water sector management across the four DIKTAS II project countries, serving as Output 6.2 of the project. The primary aim is to synthesize findings from the four national gender analyses and identify common patterns, divergent experiences, and opportunities for regional cooperation in advancing gender equality within water governance (DIKTAS II National Gender Analyses, 2025).</w:t>
      </w:r>
    </w:p>
    <w:p w14:paraId="3DA5F789" w14:textId="77777777" w:rsidR="000E4587" w:rsidRPr="00E33CA0" w:rsidRDefault="000E4587">
      <w:pPr>
        <w:jc w:val="both"/>
        <w:rPr>
          <w:rFonts w:asciiTheme="minorHAnsi" w:hAnsiTheme="minorHAnsi" w:cstheme="minorHAnsi"/>
          <w:sz w:val="22"/>
          <w:szCs w:val="22"/>
        </w:rPr>
      </w:pPr>
    </w:p>
    <w:p w14:paraId="23160D7A" w14:textId="77777777" w:rsidR="000E4587" w:rsidRPr="00E33CA0" w:rsidRDefault="00000000">
      <w:pPr>
        <w:pStyle w:val="Heading2"/>
        <w:spacing w:before="0" w:after="0"/>
        <w:jc w:val="both"/>
        <w:rPr>
          <w:rFonts w:asciiTheme="minorHAnsi" w:hAnsiTheme="minorHAnsi" w:cstheme="minorHAnsi"/>
          <w:sz w:val="22"/>
          <w:szCs w:val="22"/>
        </w:rPr>
      </w:pPr>
      <w:bookmarkStart w:id="11" w:name="_Toc231038108"/>
      <w:r w:rsidRPr="00E33CA0">
        <w:rPr>
          <w:rFonts w:asciiTheme="minorHAnsi" w:eastAsia="Arial" w:hAnsiTheme="minorHAnsi" w:cstheme="minorHAnsi"/>
          <w:b/>
          <w:bCs/>
          <w:color w:val="2E75B6"/>
          <w:sz w:val="22"/>
          <w:szCs w:val="22"/>
        </w:rPr>
        <w:t xml:space="preserve">1.4 Regional Hypothesis </w:t>
      </w:r>
      <w:r w:rsidRPr="00E33CA0">
        <w:rPr>
          <w:rFonts w:asciiTheme="minorHAnsi" w:eastAsia="Arial" w:hAnsiTheme="minorHAnsi" w:cstheme="minorHAnsi"/>
          <w:i/>
          <w:iCs/>
          <w:color w:val="000000" w:themeColor="text1"/>
          <w:sz w:val="22"/>
          <w:szCs w:val="22"/>
        </w:rPr>
        <w:t>(synthesized from DIKTAS II National Gender Analyses, 2025):</w:t>
      </w:r>
      <w:bookmarkEnd w:id="11"/>
    </w:p>
    <w:p w14:paraId="200FB878" w14:textId="77777777" w:rsidR="000E4587" w:rsidRPr="00E33CA0" w:rsidRDefault="00000000">
      <w:pPr>
        <w:pBdr>
          <w:left w:val="single" w:sz="14" w:space="8" w:color="2E75B6"/>
        </w:pBdr>
        <w:shd w:val="clear" w:color="auto" w:fill="EBF3FB"/>
        <w:ind w:left="40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"Despite the existence of progressive legal frameworks for gender equality across all four Dinaric Karst region countries and their shared commitment to EU integration standards, systemic gaps in policy implementation, fragmented water governance structures, deeply entrenched patriarchal social norms, and pervasive deficiencies in gender-disaggregated data collectively perpetuate significant gender disparities. These disparities manifest in women bearing disproportionate burdens of unpaid care work, experiencing limited access to economic opportunities in the water sector, and exercising constrained influence in water governance decision-making, particularly affecting rural and vulnerable communities."</w:t>
      </w:r>
    </w:p>
    <w:p w14:paraId="1624A172"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rPr>
        <w:br w:type="page"/>
      </w:r>
    </w:p>
    <w:p w14:paraId="165261B1"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12" w:name="_Toc231038109"/>
      <w:r w:rsidRPr="00E33CA0">
        <w:rPr>
          <w:rFonts w:asciiTheme="minorHAnsi" w:eastAsia="Arial" w:hAnsiTheme="minorHAnsi" w:cstheme="minorHAnsi"/>
          <w:b/>
          <w:bCs/>
          <w:color w:val="1F4E79"/>
          <w:sz w:val="22"/>
          <w:szCs w:val="22"/>
        </w:rPr>
        <w:lastRenderedPageBreak/>
        <w:t>2.  METHODOLOGY</w:t>
      </w:r>
      <w:bookmarkEnd w:id="12"/>
    </w:p>
    <w:p w14:paraId="717A7D84" w14:textId="77777777" w:rsidR="000E4587" w:rsidRPr="00E33CA0" w:rsidRDefault="00000000">
      <w:pPr>
        <w:pStyle w:val="Heading2"/>
        <w:spacing w:before="0" w:after="0"/>
        <w:jc w:val="both"/>
        <w:rPr>
          <w:rFonts w:asciiTheme="minorHAnsi" w:hAnsiTheme="minorHAnsi" w:cstheme="minorHAnsi"/>
          <w:sz w:val="22"/>
          <w:szCs w:val="22"/>
        </w:rPr>
      </w:pPr>
      <w:bookmarkStart w:id="13" w:name="_Toc231038110"/>
      <w:r w:rsidRPr="00E33CA0">
        <w:rPr>
          <w:rFonts w:asciiTheme="minorHAnsi" w:eastAsia="Arial" w:hAnsiTheme="minorHAnsi" w:cstheme="minorHAnsi"/>
          <w:b/>
          <w:bCs/>
          <w:color w:val="2E75B6"/>
          <w:sz w:val="22"/>
          <w:szCs w:val="22"/>
        </w:rPr>
        <w:t>2.1 Analytical Approach</w:t>
      </w:r>
      <w:bookmarkEnd w:id="13"/>
    </w:p>
    <w:p w14:paraId="032E3654"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This regional synthesis employs a desk review methodology, systematically examining and integrating findings from the four national water sector gender analyses produced under the DIKTAS II project. A desk review involves the systematic collection, reading, and analysis of existing documents and secondary data sources, rather than the generation of new primary data through fieldwork or surveys. This approach is appropriate for a regional synthesis report, where the primary task is to compare, consolidate, and draw cross-cutting conclusions from country-level analyses already completed. Each national analysis was conducted using a consistent methodological framework, enabling meaningful cross-country comparison while acknowledging country-specific contextual factors.</w:t>
      </w:r>
    </w:p>
    <w:p w14:paraId="1EE6F448" w14:textId="77777777" w:rsidR="000E4587" w:rsidRPr="00E33CA0" w:rsidRDefault="000E4587">
      <w:pPr>
        <w:jc w:val="both"/>
        <w:rPr>
          <w:rFonts w:asciiTheme="minorHAnsi" w:hAnsiTheme="minorHAnsi" w:cstheme="minorHAnsi"/>
          <w:color w:val="000000" w:themeColor="text1"/>
          <w:sz w:val="22"/>
          <w:szCs w:val="22"/>
        </w:rPr>
      </w:pPr>
    </w:p>
    <w:p w14:paraId="1D3637B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The comparative analysis followed four sequential steps: </w:t>
      </w:r>
    </w:p>
    <w:p w14:paraId="44052660" w14:textId="77777777" w:rsidR="000E4587" w:rsidRPr="00E33CA0" w:rsidRDefault="00000000">
      <w:pPr>
        <w:pStyle w:val="ListParagraph"/>
        <w:numPr>
          <w:ilvl w:val="0"/>
          <w:numId w:val="2"/>
        </w:num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Extraction:</w:t>
      </w:r>
      <w:r w:rsidRPr="00E33CA0">
        <w:rPr>
          <w:rFonts w:asciiTheme="minorHAnsi" w:hAnsiTheme="minorHAnsi" w:cstheme="minorHAnsi"/>
          <w:color w:val="000000" w:themeColor="text1"/>
          <w:sz w:val="22"/>
          <w:szCs w:val="22"/>
        </w:rPr>
        <w:t xml:space="preserve"> key findings from each national report were extracted and </w:t>
      </w:r>
      <w:r w:rsidRPr="00E33CA0">
        <w:rPr>
          <w:rFonts w:asciiTheme="minorHAnsi" w:hAnsiTheme="minorHAnsi" w:cstheme="minorHAnsi"/>
          <w:color w:val="000000" w:themeColor="text1"/>
          <w:sz w:val="22"/>
          <w:szCs w:val="22"/>
          <w:lang w:val="en-GB"/>
        </w:rPr>
        <w:t xml:space="preserve">organised </w:t>
      </w:r>
      <w:r w:rsidRPr="00E33CA0">
        <w:rPr>
          <w:rFonts w:asciiTheme="minorHAnsi" w:hAnsiTheme="minorHAnsi" w:cstheme="minorHAnsi"/>
          <w:color w:val="000000" w:themeColor="text1"/>
          <w:sz w:val="22"/>
          <w:szCs w:val="22"/>
        </w:rPr>
        <w:t xml:space="preserve">according to the common 'Water as an Asset, Service, and Space' analytical framework. </w:t>
      </w:r>
    </w:p>
    <w:p w14:paraId="149E0D1D" w14:textId="77777777" w:rsidR="000E4587" w:rsidRPr="00E33CA0" w:rsidRDefault="00000000">
      <w:pPr>
        <w:pStyle w:val="ListParagraph"/>
        <w:numPr>
          <w:ilvl w:val="0"/>
          <w:numId w:val="2"/>
        </w:num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Systematic</w:t>
      </w:r>
      <w:r w:rsidRPr="00E33CA0">
        <w:rPr>
          <w:rFonts w:asciiTheme="minorHAnsi" w:hAnsiTheme="minorHAnsi" w:cstheme="minorHAnsi"/>
          <w:color w:val="000000" w:themeColor="text1"/>
          <w:sz w:val="22"/>
          <w:szCs w:val="22"/>
        </w:rPr>
        <w:t xml:space="preserve"> </w:t>
      </w:r>
      <w:r w:rsidRPr="00E33CA0">
        <w:rPr>
          <w:rFonts w:asciiTheme="minorHAnsi" w:hAnsiTheme="minorHAnsi" w:cstheme="minorHAnsi"/>
          <w:b/>
          <w:bCs/>
          <w:color w:val="000000" w:themeColor="text1"/>
          <w:sz w:val="22"/>
          <w:szCs w:val="22"/>
        </w:rPr>
        <w:t>comparison:</w:t>
      </w:r>
      <w:r w:rsidRPr="00E33CA0">
        <w:rPr>
          <w:rFonts w:asciiTheme="minorHAnsi" w:hAnsiTheme="minorHAnsi" w:cstheme="minorHAnsi"/>
          <w:color w:val="000000" w:themeColor="text1"/>
          <w:sz w:val="22"/>
          <w:szCs w:val="22"/>
        </w:rPr>
        <w:t xml:space="preserve"> findings across all four countries were compared to identify patterns of convergence where challenges or outcomes were consistent across the region and patterns of divergence, where country-specific factors produced meaningfully different results. </w:t>
      </w:r>
    </w:p>
    <w:p w14:paraId="0E69DC04" w14:textId="77777777" w:rsidR="000E4587" w:rsidRPr="00E33CA0" w:rsidRDefault="00000000">
      <w:pPr>
        <w:pStyle w:val="ListParagraph"/>
        <w:numPr>
          <w:ilvl w:val="0"/>
          <w:numId w:val="2"/>
        </w:num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Structural analysis:</w:t>
      </w:r>
      <w:r w:rsidRPr="00E33CA0">
        <w:rPr>
          <w:rFonts w:asciiTheme="minorHAnsi" w:hAnsiTheme="minorHAnsi" w:cstheme="minorHAnsi"/>
          <w:color w:val="000000" w:themeColor="text1"/>
          <w:sz w:val="22"/>
          <w:szCs w:val="22"/>
        </w:rPr>
        <w:t xml:space="preserve"> underlying structural factors and causal relationships were examined to explain why patterns of convergence or divergence exist, including institutional, cultural, legal, and economic drivers. </w:t>
      </w:r>
    </w:p>
    <w:p w14:paraId="0E2A4E10" w14:textId="77777777" w:rsidR="000E4587" w:rsidRPr="00E33CA0" w:rsidRDefault="00000000">
      <w:pPr>
        <w:pStyle w:val="ListParagraph"/>
        <w:numPr>
          <w:ilvl w:val="0"/>
          <w:numId w:val="2"/>
        </w:num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Strategic derivation:</w:t>
      </w:r>
      <w:r w:rsidRPr="00E33CA0">
        <w:rPr>
          <w:rFonts w:asciiTheme="minorHAnsi" w:hAnsiTheme="minorHAnsi" w:cstheme="minorHAnsi"/>
          <w:color w:val="000000" w:themeColor="text1"/>
          <w:sz w:val="22"/>
          <w:szCs w:val="22"/>
        </w:rPr>
        <w:t xml:space="preserve"> findings were translated into strategic implications for regional cooperation and country-specific interventions, with recommendations calibrated to each country’s institutional context and capacity.</w:t>
      </w:r>
    </w:p>
    <w:p w14:paraId="08016FAB" w14:textId="77777777" w:rsidR="000E4587" w:rsidRPr="00E33CA0" w:rsidRDefault="000E4587">
      <w:pPr>
        <w:jc w:val="both"/>
        <w:rPr>
          <w:rFonts w:asciiTheme="minorHAnsi" w:hAnsiTheme="minorHAnsi" w:cstheme="minorHAnsi"/>
          <w:color w:val="000000" w:themeColor="text1"/>
          <w:sz w:val="22"/>
          <w:szCs w:val="22"/>
        </w:rPr>
      </w:pPr>
    </w:p>
    <w:p w14:paraId="3A259AE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The national analyses that form the primary evidence base for this synthesis are: </w:t>
      </w:r>
    </w:p>
    <w:p w14:paraId="4FB4A16E" w14:textId="77777777" w:rsidR="000E4587" w:rsidRPr="00E33CA0" w:rsidRDefault="00000000">
      <w:pPr>
        <w:pStyle w:val="ListParagraph"/>
        <w:numPr>
          <w:ilvl w:val="0"/>
          <w:numId w:val="3"/>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National Water Sector Gender Analysis: Albania (DIKTAS II Output 6.2, 2025); </w:t>
      </w:r>
    </w:p>
    <w:p w14:paraId="5FA1C90F" w14:textId="77777777" w:rsidR="000E4587" w:rsidRPr="00E33CA0" w:rsidRDefault="00000000">
      <w:pPr>
        <w:pStyle w:val="ListParagraph"/>
        <w:numPr>
          <w:ilvl w:val="0"/>
          <w:numId w:val="3"/>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National Water Sector Gender Analysis: Bosnia and Herzegovina (DIKTAS II Output 6.2, 2025); </w:t>
      </w:r>
    </w:p>
    <w:p w14:paraId="5CAB24F5" w14:textId="77777777" w:rsidR="000E4587" w:rsidRPr="00E33CA0" w:rsidRDefault="00000000">
      <w:pPr>
        <w:pStyle w:val="ListParagraph"/>
        <w:numPr>
          <w:ilvl w:val="0"/>
          <w:numId w:val="3"/>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National Water Sector Gender Analysis: Croatia (DIKTAS II Output 6.2, 2025); and </w:t>
      </w:r>
    </w:p>
    <w:p w14:paraId="2CB5A30C" w14:textId="77777777" w:rsidR="000E4587" w:rsidRPr="00E33CA0" w:rsidRDefault="00000000">
      <w:pPr>
        <w:pStyle w:val="ListParagraph"/>
        <w:numPr>
          <w:ilvl w:val="0"/>
          <w:numId w:val="3"/>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National Water Sector Gender Analysis: Montenegro (DIKTAS II Output 6.2, 2025). </w:t>
      </w:r>
    </w:p>
    <w:p w14:paraId="4F3CC73E" w14:textId="77777777" w:rsidR="000E4587" w:rsidRPr="00E33CA0" w:rsidRDefault="000E4587">
      <w:pPr>
        <w:jc w:val="both"/>
        <w:rPr>
          <w:rFonts w:asciiTheme="minorHAnsi" w:hAnsiTheme="minorHAnsi" w:cstheme="minorHAnsi"/>
          <w:color w:val="000000" w:themeColor="text1"/>
          <w:sz w:val="22"/>
          <w:szCs w:val="22"/>
        </w:rPr>
      </w:pPr>
    </w:p>
    <w:p w14:paraId="69B48517"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Each national report was reviewed in its entirety, with findings cross-referenced against primary institutional data sources to verify accuracy and currency. The Croatia analysis additionally incorporated a structured interview with a managerial representative of Croatian Waters, using the UNESCO WWAP Toolkit on Sex-Disaggregated Water Data (UNESCO/WWAP, 2024). Croatia is one of the countries for which primary qualitative data were collected specifically for the DIKTAS II gender assessment, and it is the first time sex-disaggregated data has been formally </w:t>
      </w:r>
      <w:r w:rsidRPr="00E33CA0">
        <w:rPr>
          <w:rFonts w:asciiTheme="minorHAnsi" w:hAnsiTheme="minorHAnsi" w:cstheme="minorHAnsi"/>
          <w:color w:val="000000" w:themeColor="text1"/>
          <w:sz w:val="22"/>
          <w:szCs w:val="22"/>
          <w:lang w:val="en-GB"/>
        </w:rPr>
        <w:t>analysed</w:t>
      </w:r>
      <w:r w:rsidRPr="00E33CA0">
        <w:rPr>
          <w:rFonts w:asciiTheme="minorHAnsi" w:hAnsiTheme="minorHAnsi" w:cstheme="minorHAnsi"/>
          <w:color w:val="000000" w:themeColor="text1"/>
          <w:sz w:val="22"/>
          <w:szCs w:val="22"/>
        </w:rPr>
        <w:t xml:space="preserve"> in Croatia’s water sector.</w:t>
      </w:r>
    </w:p>
    <w:p w14:paraId="0E7D86C4" w14:textId="77777777" w:rsidR="005004E3" w:rsidRPr="00E33CA0" w:rsidRDefault="005004E3">
      <w:pPr>
        <w:jc w:val="both"/>
        <w:rPr>
          <w:rFonts w:asciiTheme="minorHAnsi" w:hAnsiTheme="minorHAnsi" w:cstheme="minorHAnsi"/>
          <w:color w:val="008080"/>
          <w:sz w:val="22"/>
          <w:szCs w:val="22"/>
        </w:rPr>
      </w:pPr>
    </w:p>
    <w:p w14:paraId="4D62AEF4" w14:textId="30A5FA66" w:rsidR="001B3EC1" w:rsidRPr="00E33CA0" w:rsidRDefault="00000000">
      <w:pPr>
        <w:jc w:val="both"/>
        <w:rPr>
          <w:rFonts w:asciiTheme="minorHAnsi" w:hAnsiTheme="minorHAnsi" w:cstheme="minorHAnsi"/>
          <w:color w:val="008080"/>
          <w:sz w:val="22"/>
          <w:szCs w:val="22"/>
        </w:rPr>
      </w:pPr>
      <w:r w:rsidRPr="00E33CA0">
        <w:rPr>
          <w:rFonts w:asciiTheme="minorHAnsi" w:hAnsiTheme="minorHAnsi" w:cstheme="minorHAnsi"/>
          <w:color w:val="008080"/>
          <w:sz w:val="22"/>
          <w:szCs w:val="22"/>
        </w:rPr>
        <w:t xml:space="preserve">The Albania national analysis also collected primary qualitative data for the DIKTAS II assessment. It combined the desk review with a structured stakeholder questionnaire completed by eighteen respondents, six key informant interviews, two further interviews with civil society actors, and a focus group discussion held in April 2026 in the Malësi e Madhe and Shkodra region. These methods validated the </w:t>
      </w:r>
      <w:proofErr w:type="gramStart"/>
      <w:r w:rsidRPr="00E33CA0">
        <w:rPr>
          <w:rFonts w:asciiTheme="minorHAnsi" w:hAnsiTheme="minorHAnsi" w:cstheme="minorHAnsi"/>
          <w:color w:val="008080"/>
          <w:sz w:val="22"/>
          <w:szCs w:val="22"/>
        </w:rPr>
        <w:t>desk based</w:t>
      </w:r>
      <w:proofErr w:type="gramEnd"/>
      <w:r w:rsidRPr="00E33CA0">
        <w:rPr>
          <w:rFonts w:asciiTheme="minorHAnsi" w:hAnsiTheme="minorHAnsi" w:cstheme="minorHAnsi"/>
          <w:color w:val="008080"/>
          <w:sz w:val="22"/>
          <w:szCs w:val="22"/>
        </w:rPr>
        <w:t xml:space="preserve"> findings and added community level insights. </w:t>
      </w:r>
    </w:p>
    <w:p w14:paraId="03553A6F" w14:textId="77777777" w:rsidR="005004E3" w:rsidRPr="00E33CA0" w:rsidRDefault="005004E3">
      <w:pPr>
        <w:jc w:val="both"/>
        <w:rPr>
          <w:rFonts w:asciiTheme="minorHAnsi" w:hAnsiTheme="minorHAnsi" w:cstheme="minorHAnsi"/>
          <w:b/>
          <w:bCs/>
          <w:color w:val="E36C09"/>
          <w:sz w:val="22"/>
          <w:szCs w:val="22"/>
        </w:rPr>
      </w:pPr>
    </w:p>
    <w:p w14:paraId="5DDE9A2F" w14:textId="5F34F674" w:rsidR="001B3EC1" w:rsidRPr="00E33CA0" w:rsidRDefault="001B3EC1">
      <w:pPr>
        <w:jc w:val="both"/>
        <w:rPr>
          <w:rFonts w:asciiTheme="minorHAnsi" w:hAnsiTheme="minorHAnsi" w:cstheme="minorHAnsi"/>
          <w:b/>
          <w:bCs/>
          <w:color w:val="E36C09"/>
          <w:sz w:val="22"/>
          <w:szCs w:val="22"/>
        </w:rPr>
      </w:pPr>
    </w:p>
    <w:p w14:paraId="3FCDEB38" w14:textId="77777777" w:rsidR="000E4587" w:rsidRPr="00E33CA0" w:rsidRDefault="000E4587">
      <w:pPr>
        <w:jc w:val="both"/>
        <w:rPr>
          <w:rFonts w:asciiTheme="minorHAnsi" w:hAnsiTheme="minorHAnsi" w:cstheme="minorHAnsi"/>
          <w:sz w:val="22"/>
          <w:szCs w:val="22"/>
        </w:rPr>
      </w:pPr>
    </w:p>
    <w:p w14:paraId="59C59DA2" w14:textId="77777777" w:rsidR="000E4587" w:rsidRPr="00E33CA0" w:rsidRDefault="00000000">
      <w:pPr>
        <w:pStyle w:val="Heading2"/>
        <w:spacing w:before="0" w:after="0"/>
        <w:jc w:val="both"/>
        <w:rPr>
          <w:rFonts w:asciiTheme="minorHAnsi" w:hAnsiTheme="minorHAnsi" w:cstheme="minorHAnsi"/>
          <w:sz w:val="22"/>
          <w:szCs w:val="22"/>
        </w:rPr>
      </w:pPr>
      <w:bookmarkStart w:id="14" w:name="_Toc231038111"/>
      <w:r w:rsidRPr="00E33CA0">
        <w:rPr>
          <w:rFonts w:asciiTheme="minorHAnsi" w:eastAsia="Arial" w:hAnsiTheme="minorHAnsi" w:cstheme="minorHAnsi"/>
          <w:b/>
          <w:bCs/>
          <w:color w:val="2E75B6"/>
          <w:sz w:val="22"/>
          <w:szCs w:val="22"/>
        </w:rPr>
        <w:lastRenderedPageBreak/>
        <w:t>2.2 The "Water as an Asset, Service, and Space" Framework</w:t>
      </w:r>
      <w:bookmarkEnd w:id="14"/>
    </w:p>
    <w:p w14:paraId="0D3D24F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All four national analyses were structured around the 'Water as an Asset, Service, and Space' framework (World Bank, 2017), ensuring analytical consistency across the region. Key indicators by dimension are:</w:t>
      </w:r>
    </w:p>
    <w:p w14:paraId="7DC0251E" w14:textId="77777777" w:rsidR="000E4587" w:rsidRPr="00E33CA0" w:rsidRDefault="000E4587">
      <w:pPr>
        <w:jc w:val="both"/>
        <w:rPr>
          <w:rFonts w:asciiTheme="minorHAnsi" w:hAnsiTheme="minorHAnsi" w:cstheme="minorHAnsi"/>
          <w:color w:val="000000" w:themeColor="text1"/>
          <w:sz w:val="22"/>
          <w:szCs w:val="22"/>
        </w:rPr>
      </w:pPr>
    </w:p>
    <w:p w14:paraId="4F5CE6BC"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Asset: </w:t>
      </w:r>
      <w:r w:rsidRPr="00E33CA0">
        <w:rPr>
          <w:rFonts w:asciiTheme="minorHAnsi" w:hAnsiTheme="minorHAnsi" w:cstheme="minorHAnsi"/>
          <w:color w:val="000000" w:themeColor="text1"/>
          <w:sz w:val="22"/>
          <w:szCs w:val="22"/>
        </w:rPr>
        <w:t>Women's representation in water sector employment, concentration in technical versus administrative roles, access to land and water resources, and the gender wage gap within the sector.</w:t>
      </w:r>
    </w:p>
    <w:p w14:paraId="3A0C976F"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Service: </w:t>
      </w:r>
      <w:r w:rsidRPr="00E33CA0">
        <w:rPr>
          <w:rFonts w:asciiTheme="minorHAnsi" w:hAnsiTheme="minorHAnsi" w:cstheme="minorHAnsi"/>
          <w:color w:val="000000" w:themeColor="text1"/>
          <w:sz w:val="22"/>
          <w:szCs w:val="22"/>
        </w:rPr>
        <w:t xml:space="preserve">Time and </w:t>
      </w:r>
      <w:r w:rsidRPr="00E33CA0">
        <w:rPr>
          <w:rFonts w:asciiTheme="minorHAnsi" w:hAnsiTheme="minorHAnsi" w:cstheme="minorHAnsi"/>
          <w:color w:val="000000" w:themeColor="text1"/>
          <w:sz w:val="22"/>
          <w:szCs w:val="22"/>
          <w:lang w:val="en-GB"/>
        </w:rPr>
        <w:t>labour</w:t>
      </w:r>
      <w:r w:rsidRPr="00E33CA0">
        <w:rPr>
          <w:rFonts w:asciiTheme="minorHAnsi" w:hAnsiTheme="minorHAnsi" w:cstheme="minorHAnsi"/>
          <w:color w:val="000000" w:themeColor="text1"/>
          <w:sz w:val="22"/>
          <w:szCs w:val="22"/>
        </w:rPr>
        <w:t xml:space="preserve"> burdens associated with water collection, household water management, and unpaid care work; infrastructure access disparities between urban and rural areas; and implications for women's economic participation and wellbeing.</w:t>
      </w:r>
    </w:p>
    <w:p w14:paraId="101A4EB3"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Space: </w:t>
      </w:r>
      <w:r w:rsidRPr="00E33CA0">
        <w:rPr>
          <w:rFonts w:asciiTheme="minorHAnsi" w:hAnsiTheme="minorHAnsi" w:cstheme="minorHAnsi"/>
          <w:color w:val="000000" w:themeColor="text1"/>
          <w:sz w:val="22"/>
          <w:szCs w:val="22"/>
        </w:rPr>
        <w:t>Women's voice, influence, and decision-making power within water governance structures, encompassing political representation, participation in utility management, and the extent to which women's perspectives inform water policy.</w:t>
      </w:r>
    </w:p>
    <w:p w14:paraId="5C49E68B" w14:textId="77777777" w:rsidR="000E4587" w:rsidRPr="00E33CA0" w:rsidRDefault="000E4587">
      <w:pPr>
        <w:pStyle w:val="ListParagraph"/>
        <w:ind w:left="540"/>
        <w:contextualSpacing w:val="0"/>
        <w:jc w:val="both"/>
        <w:rPr>
          <w:rFonts w:asciiTheme="minorHAnsi" w:hAnsiTheme="minorHAnsi" w:cstheme="minorHAnsi"/>
          <w:color w:val="000000" w:themeColor="text1"/>
          <w:sz w:val="22"/>
          <w:szCs w:val="22"/>
        </w:rPr>
      </w:pPr>
    </w:p>
    <w:p w14:paraId="1A1E4135" w14:textId="77777777" w:rsidR="000E4587" w:rsidRPr="00E33CA0" w:rsidRDefault="00000000">
      <w:pPr>
        <w:pStyle w:val="Heading2"/>
        <w:spacing w:before="0" w:after="0"/>
        <w:jc w:val="both"/>
        <w:rPr>
          <w:rFonts w:asciiTheme="minorHAnsi" w:hAnsiTheme="minorHAnsi" w:cstheme="minorHAnsi"/>
          <w:sz w:val="22"/>
          <w:szCs w:val="22"/>
        </w:rPr>
      </w:pPr>
      <w:bookmarkStart w:id="15" w:name="_Toc231038112"/>
      <w:r w:rsidRPr="00E33CA0">
        <w:rPr>
          <w:rFonts w:asciiTheme="minorHAnsi" w:eastAsia="Arial" w:hAnsiTheme="minorHAnsi" w:cstheme="minorHAnsi"/>
          <w:b/>
          <w:bCs/>
          <w:color w:val="2E75B6"/>
          <w:sz w:val="22"/>
          <w:szCs w:val="22"/>
        </w:rPr>
        <w:t>2.3 Data Sources</w:t>
      </w:r>
      <w:bookmarkEnd w:id="15"/>
    </w:p>
    <w:p w14:paraId="15B85883"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The regional analysis relies exclusively on official and authenticated sources as cited in the four national reports. Primary sources include national statistical offices (INSTAT Albania, BHAS Bosnia and Herzegovina, Croatian Bureau of Statistics, MONSTAT Montenegro), census data, and </w:t>
      </w:r>
      <w:r w:rsidRPr="00E33CA0">
        <w:rPr>
          <w:rFonts w:asciiTheme="minorHAnsi" w:hAnsiTheme="minorHAnsi" w:cstheme="minorHAnsi"/>
          <w:color w:val="000000" w:themeColor="text1"/>
          <w:sz w:val="22"/>
          <w:szCs w:val="22"/>
          <w:lang w:val="en-GB"/>
        </w:rPr>
        <w:t>labour</w:t>
      </w:r>
      <w:r w:rsidRPr="00E33CA0">
        <w:rPr>
          <w:rFonts w:asciiTheme="minorHAnsi" w:hAnsiTheme="minorHAnsi" w:cstheme="minorHAnsi"/>
          <w:color w:val="000000" w:themeColor="text1"/>
          <w:sz w:val="22"/>
          <w:szCs w:val="22"/>
        </w:rPr>
        <w:t xml:space="preserve"> force surveys. International sources include reports from UN Women, UNDP, UNESCO, FAO, and the World Bank. EU sources encompass EIGE, Eurostat, and European Commission enlargement reports. Additional sources include OSCE, Council of Europe, and relevant academic publications (DIKTAS II National Gender Analyses, 2025). Phase 2 revisions additionally draw on the Gender Analysis Data Compendium (DIKTAS II, 2026) and the WEF Global Gender Gap Report 2024.</w:t>
      </w:r>
    </w:p>
    <w:p w14:paraId="5C284D4A" w14:textId="77777777" w:rsidR="000E4587" w:rsidRPr="00E33CA0" w:rsidRDefault="000E4587">
      <w:pPr>
        <w:jc w:val="both"/>
        <w:rPr>
          <w:rFonts w:asciiTheme="minorHAnsi" w:hAnsiTheme="minorHAnsi" w:cstheme="minorHAnsi"/>
          <w:sz w:val="22"/>
          <w:szCs w:val="22"/>
        </w:rPr>
      </w:pPr>
    </w:p>
    <w:p w14:paraId="1129F676" w14:textId="77777777" w:rsidR="000E4587" w:rsidRPr="00E33CA0" w:rsidRDefault="00000000">
      <w:pPr>
        <w:pStyle w:val="Heading2"/>
        <w:spacing w:before="0" w:after="0"/>
        <w:jc w:val="both"/>
        <w:rPr>
          <w:rFonts w:asciiTheme="minorHAnsi" w:hAnsiTheme="minorHAnsi" w:cstheme="minorHAnsi"/>
          <w:sz w:val="22"/>
          <w:szCs w:val="22"/>
        </w:rPr>
      </w:pPr>
      <w:bookmarkStart w:id="16" w:name="_Toc231038113"/>
      <w:r w:rsidRPr="00E33CA0">
        <w:rPr>
          <w:rFonts w:asciiTheme="minorHAnsi" w:eastAsia="Arial" w:hAnsiTheme="minorHAnsi" w:cstheme="minorHAnsi"/>
          <w:b/>
          <w:bCs/>
          <w:color w:val="2E75B6"/>
          <w:sz w:val="22"/>
          <w:szCs w:val="22"/>
        </w:rPr>
        <w:t>2.4 Limitations</w:t>
      </w:r>
      <w:bookmarkEnd w:id="16"/>
    </w:p>
    <w:p w14:paraId="11E0D9E6"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The most significant constraint is the </w:t>
      </w:r>
      <w:r w:rsidRPr="00E33CA0">
        <w:rPr>
          <w:rFonts w:asciiTheme="minorHAnsi" w:hAnsiTheme="minorHAnsi" w:cstheme="minorHAnsi"/>
          <w:b/>
          <w:bCs/>
          <w:color w:val="000000" w:themeColor="text1"/>
          <w:sz w:val="22"/>
          <w:szCs w:val="22"/>
        </w:rPr>
        <w:t>critical lack of comprehensive gender-disaggregated data, particularly within the water sector</w:t>
      </w:r>
      <w:r w:rsidRPr="00E33CA0">
        <w:rPr>
          <w:rFonts w:asciiTheme="minorHAnsi" w:hAnsiTheme="minorHAnsi" w:cstheme="minorHAnsi"/>
          <w:color w:val="000000" w:themeColor="text1"/>
          <w:sz w:val="22"/>
          <w:szCs w:val="22"/>
        </w:rPr>
        <w:t xml:space="preserve">. Without such data, it is not possible to establish baselines, measure progress, or design targeted interventions with confidence. Across the four DIKTAS II countries, this gap is most acute in the water sector itself: while national statistical offices collect some sex-disaggregated </w:t>
      </w:r>
      <w:r w:rsidRPr="00E33CA0">
        <w:rPr>
          <w:rFonts w:asciiTheme="minorHAnsi" w:hAnsiTheme="minorHAnsi" w:cstheme="minorHAnsi"/>
          <w:color w:val="000000" w:themeColor="text1"/>
          <w:sz w:val="22"/>
          <w:szCs w:val="22"/>
          <w:lang w:val="en-GB"/>
        </w:rPr>
        <w:t xml:space="preserve">labour </w:t>
      </w:r>
      <w:r w:rsidRPr="00E33CA0">
        <w:rPr>
          <w:rFonts w:asciiTheme="minorHAnsi" w:hAnsiTheme="minorHAnsi" w:cstheme="minorHAnsi"/>
          <w:color w:val="000000" w:themeColor="text1"/>
          <w:sz w:val="22"/>
          <w:szCs w:val="22"/>
        </w:rPr>
        <w:t>market and demographic data, the systematic application of this practice to water utility staffing, water governance body membership, water collection time burdens, and water-related asset ownership remains inconsistent or entirely absent.</w:t>
      </w:r>
    </w:p>
    <w:p w14:paraId="7A13F58A" w14:textId="77777777" w:rsidR="000E4587" w:rsidRPr="00E33CA0" w:rsidRDefault="000E4587">
      <w:pPr>
        <w:jc w:val="both"/>
        <w:rPr>
          <w:rFonts w:asciiTheme="minorHAnsi" w:hAnsiTheme="minorHAnsi" w:cstheme="minorHAnsi"/>
          <w:color w:val="000000" w:themeColor="text1"/>
          <w:sz w:val="22"/>
          <w:szCs w:val="22"/>
        </w:rPr>
      </w:pPr>
    </w:p>
    <w:p w14:paraId="6ABF96A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Methodological inconsistencies between countries present additional challenges</w:t>
      </w:r>
      <w:r w:rsidRPr="00E33CA0">
        <w:rPr>
          <w:rFonts w:asciiTheme="minorHAnsi" w:hAnsiTheme="minorHAnsi" w:cstheme="minorHAnsi"/>
          <w:color w:val="000000" w:themeColor="text1"/>
          <w:sz w:val="22"/>
          <w:szCs w:val="22"/>
        </w:rPr>
        <w:t xml:space="preserve">. Data collection approaches, definitions, and reporting periods vary across national statistical systems, complicating direct comparisons. For example, GBV prevalence figures across the four countries are drawn from surveys conducted in different years (Albania: 2018; Bosnia and Herzegovina: 2018–2019; Croatia: 2021; Montenegro: 2021), using different survey instruments (INSTAT/UN Women national survey; OSCE Well-being and Safety survey; EU Gender-Based Violence Survey), covering different age ranges and reference periods. Readers should therefore treat cross-country GBV comparisons as indicative rather than directly equivalent. Similarly, unpaid care work data for Albania is drawn from a time-use survey conducted in 2010–2011 (INSTAT), which may not reflect current realities given significant demographic and </w:t>
      </w:r>
      <w:r w:rsidRPr="00E33CA0">
        <w:rPr>
          <w:rFonts w:asciiTheme="minorHAnsi" w:hAnsiTheme="minorHAnsi" w:cstheme="minorHAnsi"/>
          <w:color w:val="000000" w:themeColor="text1"/>
          <w:sz w:val="22"/>
          <w:szCs w:val="22"/>
          <w:lang w:val="en-GB"/>
        </w:rPr>
        <w:t>labour</w:t>
      </w:r>
      <w:r w:rsidRPr="00E33CA0">
        <w:rPr>
          <w:rFonts w:asciiTheme="minorHAnsi" w:hAnsiTheme="minorHAnsi" w:cstheme="minorHAnsi"/>
          <w:color w:val="000000" w:themeColor="text1"/>
          <w:sz w:val="22"/>
          <w:szCs w:val="22"/>
        </w:rPr>
        <w:t xml:space="preserve"> market changes over the intervening 13 years.</w:t>
      </w:r>
    </w:p>
    <w:p w14:paraId="5304929C" w14:textId="77777777" w:rsidR="000E4587" w:rsidRPr="00E33CA0" w:rsidRDefault="000E4587">
      <w:pPr>
        <w:jc w:val="both"/>
        <w:rPr>
          <w:rFonts w:asciiTheme="minorHAnsi" w:hAnsiTheme="minorHAnsi" w:cstheme="minorHAnsi"/>
          <w:color w:val="000000" w:themeColor="text1"/>
          <w:sz w:val="22"/>
          <w:szCs w:val="22"/>
        </w:rPr>
      </w:pPr>
    </w:p>
    <w:p w14:paraId="71795F1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Croatia is the only country where primary data collection through structured interview was conducted (UNESCO/WWAP, 2024), and it is the first time gender-disaggregated data has been </w:t>
      </w:r>
      <w:r w:rsidRPr="00E33CA0">
        <w:rPr>
          <w:rFonts w:asciiTheme="minorHAnsi" w:hAnsiTheme="minorHAnsi" w:cstheme="minorHAnsi"/>
          <w:color w:val="000000" w:themeColor="text1"/>
          <w:sz w:val="22"/>
          <w:szCs w:val="22"/>
          <w:lang w:val="en-GB"/>
        </w:rPr>
        <w:t xml:space="preserve">analysed </w:t>
      </w:r>
      <w:r w:rsidRPr="00E33CA0">
        <w:rPr>
          <w:rFonts w:asciiTheme="minorHAnsi" w:hAnsiTheme="minorHAnsi" w:cstheme="minorHAnsi"/>
          <w:color w:val="000000" w:themeColor="text1"/>
          <w:sz w:val="22"/>
          <w:szCs w:val="22"/>
        </w:rPr>
        <w:t xml:space="preserve">in </w:t>
      </w:r>
      <w:r w:rsidRPr="00E33CA0">
        <w:rPr>
          <w:rFonts w:asciiTheme="minorHAnsi" w:hAnsiTheme="minorHAnsi" w:cstheme="minorHAnsi"/>
          <w:color w:val="000000" w:themeColor="text1"/>
          <w:sz w:val="22"/>
          <w:szCs w:val="22"/>
        </w:rPr>
        <w:lastRenderedPageBreak/>
        <w:t xml:space="preserve">Croatia’s water sector. This means that Croatia’s data, particularly on water utility staffing and management composition, reflects a specific point in time (2024–2025) and a single institution (Croatian Waters / Hrvatske vode). It cannot be assumed to represent the full picture of gender dynamics across Croatia’s broader water sector, which includes over 150 local utility companies currently being consolidated into approximately 20 regional providers. </w:t>
      </w:r>
      <w:r w:rsidRPr="00E33CA0">
        <w:rPr>
          <w:rFonts w:asciiTheme="minorHAnsi" w:hAnsiTheme="minorHAnsi" w:cstheme="minorHAnsi"/>
          <w:b/>
          <w:bCs/>
          <w:color w:val="000000" w:themeColor="text1"/>
          <w:sz w:val="22"/>
          <w:szCs w:val="22"/>
        </w:rPr>
        <w:t>The absence of comparable institutional-level data for Albania, Bosnia and Herzegovina, and Montenegro means that staffing and governance figures for those countries are drawn from earlier assessments and may underestimate more recent changes.</w:t>
      </w:r>
    </w:p>
    <w:p w14:paraId="5842995A" w14:textId="77777777" w:rsidR="000E4587" w:rsidRPr="00E33CA0" w:rsidRDefault="000E4587">
      <w:pPr>
        <w:jc w:val="both"/>
        <w:rPr>
          <w:rFonts w:asciiTheme="minorHAnsi" w:hAnsiTheme="minorHAnsi" w:cstheme="minorHAnsi"/>
          <w:color w:val="000000" w:themeColor="text1"/>
          <w:sz w:val="22"/>
          <w:szCs w:val="22"/>
        </w:rPr>
      </w:pPr>
    </w:p>
    <w:p w14:paraId="0E01E5F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Montenegro has no national time-use survey data, creating </w:t>
      </w:r>
      <w:r w:rsidRPr="00E33CA0">
        <w:rPr>
          <w:rFonts w:asciiTheme="minorHAnsi" w:hAnsiTheme="minorHAnsi" w:cstheme="minorHAnsi"/>
          <w:b/>
          <w:bCs/>
          <w:color w:val="000000" w:themeColor="text1"/>
          <w:sz w:val="22"/>
          <w:szCs w:val="22"/>
        </w:rPr>
        <w:t>a</w:t>
      </w:r>
      <w:r w:rsidRPr="00E33CA0">
        <w:rPr>
          <w:rFonts w:asciiTheme="minorHAnsi" w:hAnsiTheme="minorHAnsi" w:cstheme="minorHAnsi"/>
          <w:color w:val="000000" w:themeColor="text1"/>
          <w:sz w:val="22"/>
          <w:szCs w:val="22"/>
        </w:rPr>
        <w:t xml:space="preserve"> significant data gap in the region. This means that quantitative estimates of women’s unpaid care work burden a central indicator in the Water as a Service dimension cannot be directly calculated for Montenegro, and findings for this country in Section 5 rely on indirect indicators and qualitative evidence. </w:t>
      </w:r>
      <w:r w:rsidRPr="00E33CA0">
        <w:rPr>
          <w:rFonts w:asciiTheme="minorHAnsi" w:hAnsiTheme="minorHAnsi" w:cstheme="minorHAnsi"/>
          <w:b/>
          <w:bCs/>
          <w:color w:val="000000" w:themeColor="text1"/>
          <w:sz w:val="22"/>
          <w:szCs w:val="22"/>
        </w:rPr>
        <w:t xml:space="preserve">The absence of a time-use survey in Montenegro also means that SDG Indicator 5.4.1 </w:t>
      </w:r>
      <w:r w:rsidRPr="00E33CA0">
        <w:rPr>
          <w:rFonts w:asciiTheme="minorHAnsi" w:hAnsiTheme="minorHAnsi" w:cstheme="minorHAnsi"/>
          <w:color w:val="000000" w:themeColor="text1"/>
          <w:sz w:val="22"/>
          <w:szCs w:val="22"/>
        </w:rPr>
        <w:t>(proportion of time spent on unpaid domestic and care work) cannot be reported, making it impossible to benchmark Montenegro against regional or global averages on this key measure of gender equality.</w:t>
      </w:r>
      <w:r w:rsidRPr="00E33CA0">
        <w:rPr>
          <w:rFonts w:asciiTheme="minorHAnsi" w:hAnsiTheme="minorHAnsi" w:cstheme="minorHAnsi"/>
          <w:b/>
          <w:bCs/>
          <w:color w:val="7030A0"/>
        </w:rPr>
        <w:t xml:space="preserve"> </w:t>
      </w:r>
      <w:r w:rsidRPr="00E33CA0">
        <w:rPr>
          <w:rFonts w:asciiTheme="minorHAnsi" w:hAnsiTheme="minorHAnsi" w:cstheme="minorHAnsi"/>
          <w:b/>
          <w:bCs/>
          <w:color w:val="000000" w:themeColor="text1"/>
          <w:sz w:val="22"/>
          <w:szCs w:val="22"/>
        </w:rPr>
        <w:t>However, the Gender Equality Index for Montenegro 2023, calculated by MONSTAT in line with EIGE methodology, provides relevant index-based evidence through its Time domain score on gender inequalities in the allocation of time for care, household responsibilities and social activities.</w:t>
      </w:r>
    </w:p>
    <w:p w14:paraId="79E10202" w14:textId="77777777" w:rsidR="000E4587" w:rsidRPr="00E33CA0" w:rsidRDefault="000E4587">
      <w:pPr>
        <w:jc w:val="both"/>
        <w:rPr>
          <w:rFonts w:asciiTheme="minorHAnsi" w:hAnsiTheme="minorHAnsi" w:cstheme="minorHAnsi"/>
          <w:color w:val="000000" w:themeColor="text1"/>
          <w:sz w:val="22"/>
          <w:szCs w:val="22"/>
        </w:rPr>
      </w:pPr>
    </w:p>
    <w:p w14:paraId="4817048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A further limitation applies to the Water–GBV–Climate Nexus analysis in Section 8: as noted there, no peer-reviewed studies directly examining this nexus in the Western Balkans context currently exist.</w:t>
      </w:r>
      <w:r w:rsidRPr="00E33CA0">
        <w:rPr>
          <w:rFonts w:asciiTheme="minorHAnsi" w:hAnsiTheme="minorHAnsi" w:cstheme="minorHAnsi"/>
          <w:color w:val="000000" w:themeColor="text1"/>
          <w:sz w:val="22"/>
          <w:szCs w:val="22"/>
        </w:rPr>
        <w:t xml:space="preserve"> The causal pathways described in Section 8 are therefore extrapolated from global evidence, primarily from sub-Saharan Africa and South Asia, and applied to the Western Balkans context on the basis of structural analogies. This represents the current frontier of knowledge in this domain; primary research in the DIKTAS II context is strongly recommended as a follow-on action.</w:t>
      </w:r>
    </w:p>
    <w:p w14:paraId="3615AE59"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rPr>
        <w:br w:type="page"/>
      </w:r>
    </w:p>
    <w:p w14:paraId="78CE571B"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17" w:name="_Toc231038114"/>
      <w:r w:rsidRPr="00E33CA0">
        <w:rPr>
          <w:rFonts w:asciiTheme="minorHAnsi" w:eastAsia="Arial" w:hAnsiTheme="minorHAnsi" w:cstheme="minorHAnsi"/>
          <w:b/>
          <w:bCs/>
          <w:color w:val="1F4E79"/>
          <w:sz w:val="22"/>
          <w:szCs w:val="22"/>
        </w:rPr>
        <w:lastRenderedPageBreak/>
        <w:t>3.  REGIONAL OVERVIEW: GENDER EQUALITY AND WATER GOVERNANCE</w:t>
      </w:r>
      <w:bookmarkEnd w:id="17"/>
    </w:p>
    <w:p w14:paraId="1EF0B1A7" w14:textId="77777777" w:rsidR="000E4587" w:rsidRPr="00E33CA0" w:rsidRDefault="00000000">
      <w:pPr>
        <w:pStyle w:val="Heading2"/>
        <w:spacing w:before="0" w:after="0"/>
        <w:jc w:val="both"/>
        <w:rPr>
          <w:rFonts w:asciiTheme="minorHAnsi" w:hAnsiTheme="minorHAnsi" w:cstheme="minorHAnsi"/>
          <w:sz w:val="22"/>
          <w:szCs w:val="22"/>
        </w:rPr>
      </w:pPr>
      <w:bookmarkStart w:id="18" w:name="_Toc231038115"/>
      <w:r w:rsidRPr="00E33CA0">
        <w:rPr>
          <w:rFonts w:asciiTheme="minorHAnsi" w:eastAsia="Arial" w:hAnsiTheme="minorHAnsi" w:cstheme="minorHAnsi"/>
          <w:b/>
          <w:bCs/>
          <w:color w:val="2E75B6"/>
          <w:sz w:val="22"/>
          <w:szCs w:val="22"/>
        </w:rPr>
        <w:t>3.1 Demographic and Socio-Economic Landscape</w:t>
      </w:r>
      <w:bookmarkEnd w:id="18"/>
    </w:p>
    <w:p w14:paraId="12DC1D7A"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The four countries share certain demographic characteristics while exhibiting notable variations in population size and socio-economic conditions. All have experienced population decline, aging populations, and female majorities in older age cohorts due to higher female life expectancy.</w:t>
      </w:r>
    </w:p>
    <w:p w14:paraId="21638194" w14:textId="77777777" w:rsidR="000E4587" w:rsidRPr="00E33CA0" w:rsidRDefault="000E4587">
      <w:pPr>
        <w:jc w:val="both"/>
        <w:rPr>
          <w:rFonts w:asciiTheme="minorHAnsi" w:hAnsiTheme="minorHAnsi" w:cstheme="minorHAnsi"/>
          <w:sz w:val="22"/>
          <w:szCs w:val="22"/>
        </w:rPr>
      </w:pPr>
    </w:p>
    <w:p w14:paraId="016EBD59"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b/>
          <w:bCs/>
          <w:sz w:val="22"/>
          <w:szCs w:val="22"/>
        </w:rPr>
        <w:t>Table 1: Key Demographic Indicators by Country and Gender</w:t>
      </w:r>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199"/>
        <w:gridCol w:w="1791"/>
        <w:gridCol w:w="1789"/>
        <w:gridCol w:w="1791"/>
        <w:gridCol w:w="1790"/>
      </w:tblGrid>
      <w:tr w:rsidR="000E4587" w:rsidRPr="00E33CA0" w14:paraId="7DB96160" w14:textId="77777777">
        <w:trPr>
          <w:tblHeader/>
        </w:trPr>
        <w:tc>
          <w:tcPr>
            <w:tcW w:w="21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1062A3C0"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Indicator</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3330BADE"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Albania</w:t>
            </w:r>
          </w:p>
        </w:tc>
        <w:tc>
          <w:tcPr>
            <w:tcW w:w="178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6F7DABE0"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Bosnia &amp; Herz.</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337B509"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Croatia</w:t>
            </w:r>
          </w:p>
        </w:tc>
        <w:tc>
          <w:tcPr>
            <w:tcW w:w="179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B28F7DB"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Montenegro</w:t>
            </w:r>
          </w:p>
        </w:tc>
      </w:tr>
      <w:tr w:rsidR="000E4587" w:rsidRPr="00E33CA0" w14:paraId="3DE128E1"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BD99164"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Total Population</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4AB8A5B"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2.4 million (INSTAT, 2023)</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3E7CDE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3.27 million (BHAS, 2025)</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ED1FE4B"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3.87 million (CBS, 2021)</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91536B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623,633 (MONSTAT, 2023)</w:t>
            </w:r>
          </w:p>
        </w:tc>
      </w:tr>
      <w:tr w:rsidR="000E4587" w:rsidRPr="00E33CA0" w14:paraId="13874284"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1EA1948"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Female Population %</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CD894F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&gt;50.4% (INSTAT, 2023)</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BD73E84"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&gt;50% (BHAS, 2022)</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B8631A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51.8% (CBS, 2021)</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62C7B6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&gt;50% (MONSTAT, 2023)</w:t>
            </w:r>
          </w:p>
        </w:tc>
      </w:tr>
      <w:tr w:rsidR="000E4587" w:rsidRPr="00E33CA0" w14:paraId="4554BFC2"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70F6D7D"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Life Expectancy (F)</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5E81C5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82 years (WHO, 2024)</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4941DD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81.15 years (WHO, 2024)</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149414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81.8 years (Eurostat, 2023)</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2594263"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80.27 years (WHO, 2024)</w:t>
            </w:r>
          </w:p>
        </w:tc>
      </w:tr>
      <w:tr w:rsidR="000E4587" w:rsidRPr="00E33CA0" w14:paraId="79D4EA9E"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F4D4F9D"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Life Expectancy (M)</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3F4279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78 years (WHO, 2024)</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89F480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75.02 years (WHO, 2024)</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19B50F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75.4 years (Eurostat, 2023)</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E7F044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75.32 years (WHO, 2024)</w:t>
            </w:r>
          </w:p>
        </w:tc>
      </w:tr>
      <w:tr w:rsidR="000E4587" w:rsidRPr="00E33CA0" w14:paraId="174AA9E7"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83997C5"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Total Fertility Rate</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48061D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1.32 (INSTAT, 2023)</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C35758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approximately 1.40 (BHAS, 2022)</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9E9A2E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approximately 1.46 (Eurostat, 2022)</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31AD42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1.81 (MONSTAT, 2023)</w:t>
            </w:r>
          </w:p>
        </w:tc>
      </w:tr>
      <w:tr w:rsidR="000E4587" w:rsidRPr="00E33CA0" w14:paraId="73835148"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664B772"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Sex Ratio (65+)</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0DE508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0.66 M/F (INSTAT, 2023)</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BC51DA4"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0.42 M/F (BHAS, 2022)</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40F166B"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0.64 M/F (CBS, 2021)</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1DBACD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0.69 M/F (MONSTAT, 2023)</w:t>
            </w:r>
          </w:p>
        </w:tc>
      </w:tr>
    </w:tbl>
    <w:p w14:paraId="0FD21D70" w14:textId="77777777" w:rsidR="000E4587" w:rsidRPr="00E33CA0" w:rsidRDefault="00000000">
      <w:pPr>
        <w:jc w:val="both"/>
        <w:rPr>
          <w:rFonts w:asciiTheme="minorHAnsi" w:hAnsiTheme="minorHAnsi" w:cstheme="minorHAnsi"/>
          <w:sz w:val="18"/>
          <w:szCs w:val="18"/>
        </w:rPr>
      </w:pPr>
      <w:r w:rsidRPr="00E33CA0">
        <w:rPr>
          <w:rFonts w:asciiTheme="minorHAnsi" w:hAnsiTheme="minorHAnsi" w:cstheme="minorHAnsi"/>
          <w:b/>
          <w:bCs/>
          <w:i/>
          <w:iCs/>
          <w:color w:val="666666"/>
          <w:sz w:val="18"/>
          <w:szCs w:val="18"/>
        </w:rPr>
        <w:t>Sources:</w:t>
      </w:r>
      <w:r w:rsidRPr="00E33CA0">
        <w:rPr>
          <w:rFonts w:asciiTheme="minorHAnsi" w:hAnsiTheme="minorHAnsi" w:cstheme="minorHAnsi"/>
          <w:i/>
          <w:iCs/>
          <w:color w:val="666666"/>
          <w:sz w:val="18"/>
          <w:szCs w:val="18"/>
        </w:rPr>
        <w:t xml:space="preserve"> National statistical offices and census data: INSTAT (2023), BHAS (2022, 2025), Croatian Bureau of Statistics/CBS (2021), MONSTAT (2023). Life expectancy: WHO Global Health Observatory (2024); Eurostat (2023).</w:t>
      </w:r>
    </w:p>
    <w:p w14:paraId="0AC002EB" w14:textId="77777777" w:rsidR="000E4587" w:rsidRPr="00E33CA0" w:rsidRDefault="000E4587">
      <w:pPr>
        <w:jc w:val="both"/>
        <w:rPr>
          <w:rFonts w:asciiTheme="minorHAnsi" w:hAnsiTheme="minorHAnsi" w:cstheme="minorHAnsi"/>
          <w:sz w:val="22"/>
          <w:szCs w:val="22"/>
        </w:rPr>
      </w:pPr>
    </w:p>
    <w:p w14:paraId="033CB1D0"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b/>
          <w:bCs/>
          <w:sz w:val="22"/>
          <w:szCs w:val="22"/>
        </w:rPr>
        <w:t>Gender Parity Index: Education</w:t>
      </w:r>
    </w:p>
    <w:p w14:paraId="4A7E342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Education GPI values confirm near-parity or female advantage in all four countries. Albania's primary school enrolment GPI is 1.018 and secondary GPI is 1.031 (2021; UNESCO UIS via World Bank, 2023). Montenegro's primary and lower-secondary GPI is 1.007, with upper-secondary at 1.022 (2019; UNESCO UIS via World Bank, 2023). Bosnia and Herzegovina records an education sub-index score of 0.992 and Croatia 0.998 on the WEF Global Gender Gap Report 2024 (WEF, 2024). </w:t>
      </w:r>
      <w:r w:rsidRPr="00E33CA0">
        <w:rPr>
          <w:rFonts w:asciiTheme="minorHAnsi" w:hAnsiTheme="minorHAnsi" w:cstheme="minorHAnsi"/>
          <w:color w:val="E0218A"/>
          <w:sz w:val="22"/>
          <w:szCs w:val="22"/>
        </w:rPr>
        <w:t xml:space="preserve">Where WEF Educational Attainment sub-index values appear, they should be read with care: the WEF figure is a composite index capped around parity and is not directly comparable with the UNESCO secondary-enrolment GPI. </w:t>
      </w:r>
      <w:r w:rsidRPr="00E33CA0">
        <w:rPr>
          <w:rFonts w:asciiTheme="minorHAnsi" w:hAnsiTheme="minorHAnsi" w:cstheme="minorHAnsi"/>
          <w:color w:val="000000" w:themeColor="text1"/>
          <w:sz w:val="22"/>
          <w:szCs w:val="22"/>
        </w:rPr>
        <w:t xml:space="preserve">Despite near-universal educational parity, the female </w:t>
      </w:r>
      <w:r w:rsidRPr="00E33CA0">
        <w:rPr>
          <w:rFonts w:asciiTheme="minorHAnsi" w:hAnsiTheme="minorHAnsi" w:cstheme="minorHAnsi"/>
          <w:color w:val="000000" w:themeColor="text1"/>
          <w:sz w:val="22"/>
          <w:szCs w:val="22"/>
          <w:lang w:val="en-GB"/>
        </w:rPr>
        <w:t>labour</w:t>
      </w:r>
      <w:r w:rsidRPr="00E33CA0">
        <w:rPr>
          <w:rFonts w:asciiTheme="minorHAnsi" w:hAnsiTheme="minorHAnsi" w:cstheme="minorHAnsi"/>
          <w:color w:val="000000" w:themeColor="text1"/>
          <w:sz w:val="22"/>
          <w:szCs w:val="22"/>
        </w:rPr>
        <w:t xml:space="preserve"> force participation rate lags significantly: Albania 57.95% (2023; World Bank/INSTAT), Bosnia and Herzegovina below 55% (2023; BHAS), Croatia approximately 60 to 63% (2023; Eurostat), and Montenegro below 55% (2023; MONSTAT). This 18-percentage-point regional average gender gap in </w:t>
      </w:r>
      <w:r w:rsidRPr="00E33CA0">
        <w:rPr>
          <w:rFonts w:asciiTheme="minorHAnsi" w:hAnsiTheme="minorHAnsi" w:cstheme="minorHAnsi"/>
          <w:color w:val="000000" w:themeColor="text1"/>
          <w:sz w:val="22"/>
          <w:szCs w:val="22"/>
          <w:lang w:val="en-GB"/>
        </w:rPr>
        <w:t>labour</w:t>
      </w:r>
      <w:r w:rsidRPr="00E33CA0">
        <w:rPr>
          <w:rFonts w:asciiTheme="minorHAnsi" w:hAnsiTheme="minorHAnsi" w:cstheme="minorHAnsi"/>
          <w:color w:val="000000" w:themeColor="text1"/>
          <w:sz w:val="22"/>
          <w:szCs w:val="22"/>
        </w:rPr>
        <w:t xml:space="preserve"> force participation (World Bank, 2023) represents the central paradox of gender equality in the region: educational attainment has not translated into economic empowerment.</w:t>
      </w:r>
    </w:p>
    <w:p w14:paraId="66A2BF56" w14:textId="77777777" w:rsidR="000E4587" w:rsidRPr="00E33CA0" w:rsidRDefault="000E4587">
      <w:pPr>
        <w:jc w:val="both"/>
        <w:rPr>
          <w:rFonts w:asciiTheme="minorHAnsi" w:hAnsiTheme="minorHAnsi" w:cstheme="minorHAnsi"/>
          <w:sz w:val="22"/>
          <w:szCs w:val="22"/>
        </w:rPr>
      </w:pPr>
    </w:p>
    <w:p w14:paraId="0C9345EC" w14:textId="77777777" w:rsidR="000E4587" w:rsidRPr="00E33CA0" w:rsidRDefault="000E4587">
      <w:pPr>
        <w:jc w:val="both"/>
        <w:rPr>
          <w:rFonts w:asciiTheme="minorHAnsi" w:hAnsiTheme="minorHAnsi" w:cstheme="minorHAnsi"/>
          <w:sz w:val="22"/>
          <w:szCs w:val="22"/>
        </w:rPr>
      </w:pPr>
    </w:p>
    <w:p w14:paraId="08EE35FF" w14:textId="77777777" w:rsidR="000E4587" w:rsidRPr="00E33CA0" w:rsidRDefault="000E4587">
      <w:pPr>
        <w:jc w:val="both"/>
        <w:rPr>
          <w:rFonts w:asciiTheme="minorHAnsi" w:hAnsiTheme="minorHAnsi" w:cstheme="minorHAnsi"/>
          <w:sz w:val="22"/>
          <w:szCs w:val="22"/>
        </w:rPr>
      </w:pPr>
    </w:p>
    <w:p w14:paraId="359A2126" w14:textId="77777777" w:rsidR="000E4587" w:rsidRPr="00E33CA0" w:rsidRDefault="000E4587">
      <w:pPr>
        <w:jc w:val="both"/>
        <w:rPr>
          <w:rFonts w:asciiTheme="minorHAnsi" w:hAnsiTheme="minorHAnsi" w:cstheme="minorHAnsi"/>
          <w:sz w:val="22"/>
          <w:szCs w:val="22"/>
        </w:rPr>
      </w:pPr>
    </w:p>
    <w:p w14:paraId="74F67A68" w14:textId="77777777" w:rsidR="000E4587" w:rsidRPr="00E33CA0" w:rsidRDefault="000E4587">
      <w:pPr>
        <w:jc w:val="both"/>
        <w:rPr>
          <w:rFonts w:asciiTheme="minorHAnsi" w:hAnsiTheme="minorHAnsi" w:cstheme="minorHAnsi"/>
          <w:sz w:val="22"/>
          <w:szCs w:val="22"/>
        </w:rPr>
      </w:pPr>
    </w:p>
    <w:p w14:paraId="2EC2CC30" w14:textId="77777777" w:rsidR="000E4587" w:rsidRPr="00E33CA0" w:rsidRDefault="000E4587">
      <w:pPr>
        <w:jc w:val="both"/>
        <w:rPr>
          <w:rFonts w:asciiTheme="minorHAnsi" w:hAnsiTheme="minorHAnsi" w:cstheme="minorHAnsi"/>
          <w:sz w:val="22"/>
          <w:szCs w:val="22"/>
        </w:rPr>
      </w:pPr>
    </w:p>
    <w:p w14:paraId="02201034"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b/>
          <w:bCs/>
          <w:sz w:val="22"/>
          <w:szCs w:val="22"/>
        </w:rPr>
        <w:t>Table 1A: Gender Parity Index and Gender Equality Index Scores</w:t>
      </w:r>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199"/>
        <w:gridCol w:w="1791"/>
        <w:gridCol w:w="1789"/>
        <w:gridCol w:w="1791"/>
        <w:gridCol w:w="1790"/>
      </w:tblGrid>
      <w:tr w:rsidR="000E4587" w:rsidRPr="00E33CA0" w14:paraId="5C508CDB" w14:textId="77777777">
        <w:trPr>
          <w:tblHeader/>
        </w:trPr>
        <w:tc>
          <w:tcPr>
            <w:tcW w:w="21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231A484D" w14:textId="77777777" w:rsidR="000E4587" w:rsidRPr="00E33CA0" w:rsidRDefault="00000000">
            <w:pPr>
              <w:jc w:val="both"/>
              <w:rPr>
                <w:rFonts w:asciiTheme="minorHAnsi" w:hAnsiTheme="minorHAnsi" w:cstheme="minorHAnsi"/>
                <w:b/>
                <w:bCs/>
                <w:color w:val="FFFFFF" w:themeColor="background1"/>
                <w:sz w:val="22"/>
                <w:szCs w:val="22"/>
              </w:rPr>
            </w:pPr>
            <w:r w:rsidRPr="00E33CA0">
              <w:rPr>
                <w:rFonts w:asciiTheme="minorHAnsi" w:hAnsiTheme="minorHAnsi" w:cstheme="minorHAnsi"/>
                <w:b/>
                <w:bCs/>
                <w:color w:val="FFFFFF" w:themeColor="background1"/>
                <w:sz w:val="22"/>
                <w:szCs w:val="22"/>
              </w:rPr>
              <w:t>Indicator</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254684C" w14:textId="77777777" w:rsidR="000E4587" w:rsidRPr="00E33CA0" w:rsidRDefault="00000000">
            <w:pPr>
              <w:jc w:val="both"/>
              <w:rPr>
                <w:rFonts w:asciiTheme="minorHAnsi" w:hAnsiTheme="minorHAnsi" w:cstheme="minorHAnsi"/>
                <w:b/>
                <w:bCs/>
                <w:color w:val="FFFFFF" w:themeColor="background1"/>
                <w:sz w:val="22"/>
                <w:szCs w:val="22"/>
              </w:rPr>
            </w:pPr>
            <w:r w:rsidRPr="00E33CA0">
              <w:rPr>
                <w:rFonts w:asciiTheme="minorHAnsi" w:hAnsiTheme="minorHAnsi" w:cstheme="minorHAnsi"/>
                <w:b/>
                <w:bCs/>
                <w:color w:val="FFFFFF" w:themeColor="background1"/>
                <w:sz w:val="22"/>
                <w:szCs w:val="22"/>
              </w:rPr>
              <w:t>Albania</w:t>
            </w:r>
          </w:p>
        </w:tc>
        <w:tc>
          <w:tcPr>
            <w:tcW w:w="178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3B32108A" w14:textId="77777777" w:rsidR="000E4587" w:rsidRPr="00E33CA0" w:rsidRDefault="00000000">
            <w:pPr>
              <w:jc w:val="both"/>
              <w:rPr>
                <w:rFonts w:asciiTheme="minorHAnsi" w:hAnsiTheme="minorHAnsi" w:cstheme="minorHAnsi"/>
                <w:b/>
                <w:bCs/>
                <w:color w:val="FFFFFF" w:themeColor="background1"/>
                <w:sz w:val="22"/>
                <w:szCs w:val="22"/>
              </w:rPr>
            </w:pPr>
            <w:r w:rsidRPr="00E33CA0">
              <w:rPr>
                <w:rFonts w:asciiTheme="minorHAnsi" w:hAnsiTheme="minorHAnsi" w:cstheme="minorHAnsi"/>
                <w:b/>
                <w:bCs/>
                <w:color w:val="FFFFFF" w:themeColor="background1"/>
                <w:sz w:val="22"/>
                <w:szCs w:val="22"/>
              </w:rPr>
              <w:t>Bosnia &amp; Herz.</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AB14B50" w14:textId="77777777" w:rsidR="000E4587" w:rsidRPr="00E33CA0" w:rsidRDefault="00000000">
            <w:pPr>
              <w:jc w:val="both"/>
              <w:rPr>
                <w:rFonts w:asciiTheme="minorHAnsi" w:hAnsiTheme="minorHAnsi" w:cstheme="minorHAnsi"/>
                <w:b/>
                <w:bCs/>
                <w:color w:val="FFFFFF" w:themeColor="background1"/>
                <w:sz w:val="22"/>
                <w:szCs w:val="22"/>
              </w:rPr>
            </w:pPr>
            <w:r w:rsidRPr="00E33CA0">
              <w:rPr>
                <w:rFonts w:asciiTheme="minorHAnsi" w:hAnsiTheme="minorHAnsi" w:cstheme="minorHAnsi"/>
                <w:b/>
                <w:bCs/>
                <w:color w:val="FFFFFF" w:themeColor="background1"/>
                <w:sz w:val="22"/>
                <w:szCs w:val="22"/>
              </w:rPr>
              <w:t>Croatia</w:t>
            </w:r>
          </w:p>
        </w:tc>
        <w:tc>
          <w:tcPr>
            <w:tcW w:w="179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EA2F2FC" w14:textId="77777777" w:rsidR="000E4587" w:rsidRPr="00E33CA0" w:rsidRDefault="00000000">
            <w:pPr>
              <w:jc w:val="both"/>
              <w:rPr>
                <w:rFonts w:asciiTheme="minorHAnsi" w:hAnsiTheme="minorHAnsi" w:cstheme="minorHAnsi"/>
                <w:b/>
                <w:bCs/>
                <w:color w:val="FFFFFF" w:themeColor="background1"/>
                <w:sz w:val="22"/>
                <w:szCs w:val="22"/>
              </w:rPr>
            </w:pPr>
            <w:r w:rsidRPr="00E33CA0">
              <w:rPr>
                <w:rFonts w:asciiTheme="minorHAnsi" w:hAnsiTheme="minorHAnsi" w:cstheme="minorHAnsi"/>
                <w:b/>
                <w:bCs/>
                <w:color w:val="FFFFFF" w:themeColor="background1"/>
                <w:sz w:val="22"/>
                <w:szCs w:val="22"/>
              </w:rPr>
              <w:t>Montenegro</w:t>
            </w:r>
          </w:p>
        </w:tc>
      </w:tr>
      <w:tr w:rsidR="000E4587" w:rsidRPr="00E33CA0" w14:paraId="710A7C30"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9388933"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Education GPI – Primary (yr)</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8F422A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1.018 (2021, UNESCO UIS)</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8E11756"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approximately 1.00 (2021, UNESCO UIS)</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E491576"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approximately 1.00 (2021, UNESCO UIS)</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4C913D4"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1.007 (2019, UNESCO UIS)</w:t>
            </w:r>
          </w:p>
        </w:tc>
      </w:tr>
      <w:tr w:rsidR="000E4587" w:rsidRPr="00E33CA0" w14:paraId="32D9D55D"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A4B24EA"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Education GPI – Secondary (yr)</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FD3F90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1.031 (2021, UNESCO UIS)</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204669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1.11 (2021,</w:t>
            </w:r>
          </w:p>
          <w:p w14:paraId="6DE096C7"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UNESCO UIS)</w:t>
            </w:r>
          </w:p>
          <w:p w14:paraId="5C054E05" w14:textId="77777777" w:rsidR="000E4587" w:rsidRPr="00E33CA0" w:rsidRDefault="000E4587">
            <w:pPr>
              <w:jc w:val="both"/>
              <w:rPr>
                <w:rFonts w:asciiTheme="minorHAnsi" w:hAnsiTheme="minorHAnsi" w:cstheme="minorHAnsi"/>
                <w:color w:val="000000" w:themeColor="text1"/>
                <w:sz w:val="22"/>
                <w:szCs w:val="22"/>
              </w:rPr>
            </w:pPr>
          </w:p>
          <w:p w14:paraId="528F0E3A" w14:textId="77777777" w:rsidR="000E4587" w:rsidRPr="00E33CA0" w:rsidRDefault="000E4587">
            <w:pPr>
              <w:jc w:val="both"/>
              <w:rPr>
                <w:rFonts w:asciiTheme="minorHAnsi" w:hAnsiTheme="minorHAnsi" w:cstheme="minorHAnsi"/>
                <w:color w:val="000000" w:themeColor="text1"/>
                <w:sz w:val="22"/>
                <w:szCs w:val="22"/>
              </w:rPr>
            </w:pP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5219CF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1.057 (2020, UIS)</w:t>
            </w:r>
          </w:p>
          <w:p w14:paraId="058E832D" w14:textId="77777777" w:rsidR="000E4587" w:rsidRPr="00E33CA0" w:rsidRDefault="000E4587">
            <w:pPr>
              <w:jc w:val="both"/>
              <w:rPr>
                <w:rFonts w:asciiTheme="minorHAnsi" w:hAnsiTheme="minorHAnsi" w:cstheme="minorHAnsi"/>
                <w:color w:val="000000" w:themeColor="text1"/>
                <w:sz w:val="22"/>
                <w:szCs w:val="22"/>
              </w:rPr>
            </w:pPr>
          </w:p>
          <w:p w14:paraId="474AFC9C" w14:textId="77777777" w:rsidR="000E4587" w:rsidRPr="00E33CA0" w:rsidRDefault="000E4587">
            <w:pPr>
              <w:jc w:val="both"/>
              <w:rPr>
                <w:rFonts w:asciiTheme="minorHAnsi" w:hAnsiTheme="minorHAnsi" w:cstheme="minorHAnsi"/>
                <w:color w:val="000000" w:themeColor="text1"/>
                <w:sz w:val="22"/>
                <w:szCs w:val="22"/>
              </w:rPr>
            </w:pP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2C9CD6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1.022 (2019, UNESCO UIS)</w:t>
            </w:r>
          </w:p>
        </w:tc>
      </w:tr>
      <w:tr w:rsidR="000E4587" w:rsidRPr="00E33CA0" w14:paraId="0CEC6DDE"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9DB2EAB"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Educational Attainment Gender Gap Closure</w:t>
            </w:r>
          </w:p>
          <w:p w14:paraId="189A46D1"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(WEF Educational Attainment Sub-index, 2024)</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19B7A9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0.998 (2024, WEF)</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4BAFBA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0.992 sub-index (WEF, 2024)</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455E966"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0.998 sub-index (WEF, 2024)</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EE7C7E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0.995 (2024, WEF)</w:t>
            </w:r>
          </w:p>
        </w:tc>
      </w:tr>
      <w:tr w:rsidR="000E4587" w:rsidRPr="00E33CA0" w14:paraId="59233E31"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53F90AC"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Female LFPR 15+ (yr)</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29E0B1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57.95% (2023, World Bank/INSTAT)</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41BA3A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below 55% (2023, BHAS)</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3623003"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approximately 60 to 63% (2023, Eurostat)</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8D89D9B"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below 55% (2023, MONSTAT)</w:t>
            </w:r>
          </w:p>
        </w:tc>
      </w:tr>
      <w:tr w:rsidR="000E4587" w:rsidRPr="00E33CA0" w14:paraId="5B6CC512"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815B372"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WEF Overall Score/Rank (2024)</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391E77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0.780 / Rank 24</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F6AA6C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0.710 / Rank 80</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98C6673"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0.723 / Rank 62</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A431AE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0.718 / Rank 67</w:t>
            </w:r>
          </w:p>
        </w:tc>
      </w:tr>
      <w:tr w:rsidR="000E4587" w:rsidRPr="00E33CA0" w14:paraId="1355804A"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6D12E9C"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EIGE Gender Equality Index (2024)/</w:t>
            </w:r>
            <w:r w:rsidRPr="00E33CA0">
              <w:rPr>
                <w:rFonts w:asciiTheme="minorHAnsi" w:hAnsiTheme="minorHAnsi" w:cstheme="minorHAnsi"/>
                <w:b/>
                <w:bCs/>
                <w:color w:val="7030A0"/>
              </w:rPr>
              <w:t xml:space="preserve"> </w:t>
            </w:r>
            <w:r w:rsidRPr="00E33CA0">
              <w:rPr>
                <w:rFonts w:asciiTheme="minorHAnsi" w:hAnsiTheme="minorHAnsi" w:cstheme="minorHAnsi"/>
                <w:b/>
                <w:bCs/>
                <w:color w:val="000000" w:themeColor="text1"/>
                <w:sz w:val="22"/>
                <w:szCs w:val="22"/>
              </w:rPr>
              <w:t>EIGE-methodology index</w:t>
            </w:r>
            <w:r w:rsidRPr="00E33CA0">
              <w:rPr>
                <w:rStyle w:val="FootnoteReference"/>
                <w:rFonts w:asciiTheme="minorHAnsi" w:hAnsiTheme="minorHAnsi" w:cstheme="minorHAnsi"/>
                <w:b/>
                <w:bCs/>
                <w:color w:val="000000" w:themeColor="text1"/>
                <w:sz w:val="22"/>
                <w:szCs w:val="22"/>
              </w:rPr>
              <w:footnoteReference w:id="3"/>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1F6062A"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N/A (non-EU)</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6575DE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N/A (non-EU)</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0B9A52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60.7/100 (EIGE, 2024)</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D00D0C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59.3/100 (EIGE, 2023, pilot)</w:t>
            </w:r>
          </w:p>
        </w:tc>
      </w:tr>
      <w:tr w:rsidR="000E4587" w:rsidRPr="00E33CA0" w14:paraId="218EC46B"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2275A3E"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Women in Parliament % (yr)</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ABDE1A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35% (2025, IPU)</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1878BE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19.1% (2024, </w:t>
            </w:r>
            <w:r w:rsidRPr="00E33CA0">
              <w:rPr>
                <w:rFonts w:asciiTheme="minorHAnsi" w:hAnsiTheme="minorHAnsi" w:cstheme="minorHAnsi"/>
                <w:b/>
                <w:bCs/>
                <w:color w:val="000000" w:themeColor="text1"/>
                <w:sz w:val="22"/>
                <w:szCs w:val="22"/>
              </w:rPr>
              <w:t>IPU Parline</w:t>
            </w:r>
            <w:r w:rsidRPr="00E33CA0">
              <w:rPr>
                <w:rFonts w:asciiTheme="minorHAnsi" w:hAnsiTheme="minorHAnsi" w:cstheme="minorHAnsi"/>
                <w:color w:val="000000" w:themeColor="text1"/>
                <w:sz w:val="22"/>
                <w:szCs w:val="22"/>
              </w:rPr>
              <w:t>)</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80FFA6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33.1% (2024, IPU)</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805620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27.2% (202</w:t>
            </w:r>
            <w:r w:rsidRPr="00E33CA0">
              <w:rPr>
                <w:rFonts w:asciiTheme="minorHAnsi" w:hAnsiTheme="minorHAnsi" w:cstheme="minorHAnsi"/>
                <w:b/>
                <w:bCs/>
                <w:color w:val="000000" w:themeColor="text1"/>
                <w:sz w:val="22"/>
                <w:szCs w:val="22"/>
              </w:rPr>
              <w:t>4</w:t>
            </w:r>
            <w:r w:rsidRPr="00E33CA0">
              <w:rPr>
                <w:rFonts w:asciiTheme="minorHAnsi" w:hAnsiTheme="minorHAnsi" w:cstheme="minorHAnsi"/>
                <w:color w:val="000000" w:themeColor="text1"/>
                <w:sz w:val="22"/>
                <w:szCs w:val="22"/>
              </w:rPr>
              <w:t>, IPU)</w:t>
            </w:r>
          </w:p>
        </w:tc>
      </w:tr>
    </w:tbl>
    <w:p w14:paraId="7D120BD8" w14:textId="77777777" w:rsidR="000E4587" w:rsidRPr="00E33CA0" w:rsidRDefault="00000000">
      <w:pPr>
        <w:jc w:val="both"/>
        <w:rPr>
          <w:rFonts w:asciiTheme="minorHAnsi" w:hAnsiTheme="minorHAnsi" w:cstheme="minorHAnsi"/>
          <w:sz w:val="14"/>
          <w:szCs w:val="14"/>
        </w:rPr>
      </w:pPr>
      <w:r w:rsidRPr="00E33CA0">
        <w:rPr>
          <w:rFonts w:asciiTheme="minorHAnsi" w:hAnsiTheme="minorHAnsi" w:cstheme="minorHAnsi"/>
          <w:b/>
          <w:bCs/>
          <w:i/>
          <w:iCs/>
          <w:color w:val="666666"/>
          <w:sz w:val="14"/>
          <w:szCs w:val="14"/>
        </w:rPr>
        <w:t>Sources:</w:t>
      </w:r>
      <w:r w:rsidRPr="00E33CA0">
        <w:rPr>
          <w:rFonts w:asciiTheme="minorHAnsi" w:hAnsiTheme="minorHAnsi" w:cstheme="minorHAnsi"/>
          <w:i/>
          <w:iCs/>
          <w:color w:val="666666"/>
          <w:sz w:val="14"/>
          <w:szCs w:val="14"/>
        </w:rPr>
        <w:t xml:space="preserve"> WEF Global Gender Gap Report 2024 (WEF, 2024). UNESCO UIS via World Bank Development Indicators (2023). EIGE Gender Equality Index (2024). EIGE pilot index for Montenegro (EIGE, 2023). IPU Parline database (2024–2025). Equal Future Eurasia (2024). World Bank Western Balkans Labour Market Brief (2023).</w:t>
      </w:r>
    </w:p>
    <w:p w14:paraId="385D488B" w14:textId="77777777" w:rsidR="000E4587" w:rsidRPr="00E33CA0" w:rsidRDefault="000E4587">
      <w:pPr>
        <w:jc w:val="both"/>
        <w:rPr>
          <w:rFonts w:asciiTheme="minorHAnsi" w:hAnsiTheme="minorHAnsi" w:cstheme="minorHAnsi"/>
          <w:sz w:val="22"/>
          <w:szCs w:val="22"/>
        </w:rPr>
      </w:pPr>
    </w:p>
    <w:p w14:paraId="6DB4C5B3"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b/>
          <w:bCs/>
          <w:sz w:val="22"/>
          <w:szCs w:val="22"/>
        </w:rPr>
        <w:t>Table 2: Socio-Economic Indicators Comparison</w:t>
      </w:r>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145"/>
        <w:gridCol w:w="1719"/>
        <w:gridCol w:w="1765"/>
        <w:gridCol w:w="1951"/>
        <w:gridCol w:w="1780"/>
      </w:tblGrid>
      <w:tr w:rsidR="000E4587" w:rsidRPr="00E33CA0" w14:paraId="53DE0823" w14:textId="77777777">
        <w:trPr>
          <w:tblHeader/>
        </w:trPr>
        <w:tc>
          <w:tcPr>
            <w:tcW w:w="2145"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B114FA0"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Indicator</w:t>
            </w:r>
          </w:p>
        </w:tc>
        <w:tc>
          <w:tcPr>
            <w:tcW w:w="171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722880AB"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Albania</w:t>
            </w:r>
          </w:p>
        </w:tc>
        <w:tc>
          <w:tcPr>
            <w:tcW w:w="1765"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16DD0E45"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Bosnia &amp; Herz.</w:t>
            </w:r>
          </w:p>
        </w:tc>
        <w:tc>
          <w:tcPr>
            <w:tcW w:w="195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39792124"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Croatia</w:t>
            </w:r>
          </w:p>
        </w:tc>
        <w:tc>
          <w:tcPr>
            <w:tcW w:w="178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76F94521"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Montenegro</w:t>
            </w:r>
          </w:p>
        </w:tc>
      </w:tr>
      <w:tr w:rsidR="000E4587" w:rsidRPr="00E33CA0" w14:paraId="774DF521" w14:textId="77777777">
        <w:tc>
          <w:tcPr>
            <w:tcW w:w="2145"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7EAF804"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Gender Pay Gap</w:t>
            </w:r>
          </w:p>
        </w:tc>
        <w:tc>
          <w:tcPr>
            <w:tcW w:w="171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C39680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6.6% (2021; UNDP Albania)</w:t>
            </w:r>
          </w:p>
        </w:tc>
        <w:tc>
          <w:tcPr>
            <w:tcW w:w="1765"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157AAD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22–24% (2023; BHAS)</w:t>
            </w:r>
          </w:p>
        </w:tc>
        <w:tc>
          <w:tcPr>
            <w:tcW w:w="195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B41774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11.1% (2023; Eurostat)</w:t>
            </w:r>
          </w:p>
        </w:tc>
        <w:tc>
          <w:tcPr>
            <w:tcW w:w="178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988FC9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7030A0"/>
                <w:sz w:val="22"/>
                <w:szCs w:val="22"/>
              </w:rPr>
              <w:t>21.6% (2021;  (ILO/MONSTAT)</w:t>
            </w:r>
            <w:r w:rsidRPr="00E33CA0">
              <w:rPr>
                <w:rFonts w:asciiTheme="minorHAnsi" w:hAnsiTheme="minorHAnsi" w:cstheme="minorHAnsi"/>
                <w:color w:val="E0218A"/>
                <w:sz w:val="22"/>
                <w:szCs w:val="22"/>
              </w:rPr>
              <w:lastRenderedPageBreak/>
              <w:t>, based on mean hourly wages (EU-SILC); the raw gap rises to 25.9% when adjusted for compositional differences by age and education</w:t>
            </w:r>
          </w:p>
        </w:tc>
      </w:tr>
      <w:tr w:rsidR="000E4587" w:rsidRPr="00E33CA0" w14:paraId="302ECACA" w14:textId="77777777">
        <w:tc>
          <w:tcPr>
            <w:tcW w:w="2145"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4C1E482"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Female Unemployment</w:t>
            </w:r>
          </w:p>
        </w:tc>
        <w:tc>
          <w:tcPr>
            <w:tcW w:w="171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D6809E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10.9% (2023; INSTAT)</w:t>
            </w:r>
          </w:p>
        </w:tc>
        <w:tc>
          <w:tcPr>
            <w:tcW w:w="1765"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B5078A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7030A0"/>
                <w:sz w:val="22"/>
                <w:szCs w:val="22"/>
              </w:rPr>
              <w:t>16.8% (2023, BHAS/LFS)</w:t>
            </w:r>
          </w:p>
          <w:p w14:paraId="193145B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Higher than men (BHAS, 2023)</w:t>
            </w:r>
          </w:p>
        </w:tc>
        <w:tc>
          <w:tcPr>
            <w:tcW w:w="195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24BFC9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7030A0"/>
                <w:sz w:val="22"/>
                <w:szCs w:val="22"/>
              </w:rPr>
              <w:t>6.6% (2023, Eurostat)</w:t>
            </w:r>
          </w:p>
          <w:p w14:paraId="0825B31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5th lowest EU (EIGE, 2023)</w:t>
            </w:r>
          </w:p>
        </w:tc>
        <w:tc>
          <w:tcPr>
            <w:tcW w:w="178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953BCA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7030A0"/>
                <w:sz w:val="22"/>
                <w:szCs w:val="22"/>
              </w:rPr>
              <w:t>12,8%</w:t>
            </w:r>
          </w:p>
          <w:p w14:paraId="0C799AA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Regional disparities (MONSTAT</w:t>
            </w:r>
            <w:r w:rsidRPr="00E33CA0">
              <w:rPr>
                <w:rFonts w:asciiTheme="minorHAnsi" w:hAnsiTheme="minorHAnsi" w:cstheme="minorHAnsi"/>
                <w:b/>
                <w:bCs/>
                <w:color w:val="7030A0"/>
                <w:sz w:val="22"/>
                <w:szCs w:val="22"/>
              </w:rPr>
              <w:t>/LFS</w:t>
            </w:r>
            <w:r w:rsidRPr="00E33CA0">
              <w:rPr>
                <w:rFonts w:asciiTheme="minorHAnsi" w:hAnsiTheme="minorHAnsi" w:cstheme="minorHAnsi"/>
                <w:color w:val="auto"/>
                <w:sz w:val="22"/>
                <w:szCs w:val="22"/>
              </w:rPr>
              <w:t>, 2023)</w:t>
            </w:r>
          </w:p>
        </w:tc>
      </w:tr>
      <w:tr w:rsidR="000E4587" w:rsidRPr="00E33CA0" w14:paraId="638D3A5F" w14:textId="77777777">
        <w:tc>
          <w:tcPr>
            <w:tcW w:w="2145"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E268439"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Women in Agriculture</w:t>
            </w:r>
          </w:p>
        </w:tc>
        <w:tc>
          <w:tcPr>
            <w:tcW w:w="171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6AB343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54% employed (INSTAT, 2023)</w:t>
            </w:r>
          </w:p>
        </w:tc>
        <w:tc>
          <w:tcPr>
            <w:tcW w:w="1765"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0FEA34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Majority unpaid (UN Women, 2022)</w:t>
            </w:r>
          </w:p>
        </w:tc>
        <w:tc>
          <w:tcPr>
            <w:tcW w:w="195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3C9D1E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7030A0"/>
                <w:sz w:val="22"/>
                <w:szCs w:val="22"/>
              </w:rPr>
              <w:t>26% farm managers/holders; 54% family farm labour (CBS Agricultural Census 2020 / OECD, 2025)</w:t>
            </w:r>
          </w:p>
          <w:p w14:paraId="508643DD" w14:textId="77777777" w:rsidR="000E4587" w:rsidRPr="00E33CA0" w:rsidRDefault="000E4587">
            <w:pPr>
              <w:jc w:val="both"/>
              <w:rPr>
                <w:rFonts w:asciiTheme="minorHAnsi" w:hAnsiTheme="minorHAnsi" w:cstheme="minorHAnsi"/>
                <w:color w:val="auto"/>
                <w:sz w:val="22"/>
                <w:szCs w:val="22"/>
              </w:rPr>
            </w:pPr>
          </w:p>
        </w:tc>
        <w:tc>
          <w:tcPr>
            <w:tcW w:w="178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9E650E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13% farm holders</w:t>
            </w:r>
            <w:r w:rsidRPr="00E33CA0">
              <w:rPr>
                <w:rFonts w:asciiTheme="minorHAnsi" w:hAnsiTheme="minorHAnsi" w:cstheme="minorHAnsi"/>
                <w:b/>
                <w:bCs/>
                <w:color w:val="7030A0"/>
                <w:sz w:val="22"/>
                <w:szCs w:val="22"/>
              </w:rPr>
              <w:t xml:space="preserve"> and 35.5% of the labour force on family agricultural holdings</w:t>
            </w:r>
            <w:r w:rsidRPr="00E33CA0">
              <w:rPr>
                <w:rFonts w:asciiTheme="minorHAnsi" w:hAnsiTheme="minorHAnsi" w:cstheme="minorHAnsi"/>
                <w:color w:val="auto"/>
                <w:sz w:val="22"/>
                <w:szCs w:val="22"/>
              </w:rPr>
              <w:t xml:space="preserve"> (</w:t>
            </w:r>
            <w:r w:rsidRPr="00E33CA0">
              <w:rPr>
                <w:rFonts w:asciiTheme="minorHAnsi" w:hAnsiTheme="minorHAnsi" w:cstheme="minorHAnsi"/>
                <w:b/>
                <w:bCs/>
                <w:color w:val="7030A0"/>
                <w:sz w:val="22"/>
                <w:szCs w:val="22"/>
              </w:rPr>
              <w:t xml:space="preserve">MONSTAT Agricultural Census, 2024) </w:t>
            </w:r>
          </w:p>
          <w:p w14:paraId="23BB4D32" w14:textId="77777777" w:rsidR="000E4587" w:rsidRPr="00E33CA0" w:rsidRDefault="000E4587">
            <w:pPr>
              <w:jc w:val="both"/>
              <w:rPr>
                <w:rFonts w:asciiTheme="minorHAnsi" w:hAnsiTheme="minorHAnsi" w:cstheme="minorHAnsi"/>
                <w:color w:val="auto"/>
                <w:sz w:val="22"/>
                <w:szCs w:val="22"/>
              </w:rPr>
            </w:pPr>
          </w:p>
        </w:tc>
      </w:tr>
      <w:tr w:rsidR="000E4587" w:rsidRPr="00E33CA0" w14:paraId="657B12B2" w14:textId="77777777">
        <w:tc>
          <w:tcPr>
            <w:tcW w:w="2145"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C054C18"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Unpaid Care (Women)</w:t>
            </w:r>
          </w:p>
        </w:tc>
        <w:tc>
          <w:tcPr>
            <w:tcW w:w="171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244F8A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24.7% of time (INSTAT TUS, 2011)</w:t>
            </w:r>
          </w:p>
        </w:tc>
        <w:tc>
          <w:tcPr>
            <w:tcW w:w="1765"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B04FB6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more than six hours per day; 67% </w:t>
            </w:r>
            <w:r w:rsidRPr="00E33CA0">
              <w:rPr>
                <w:rFonts w:asciiTheme="minorHAnsi" w:hAnsiTheme="minorHAnsi" w:cstheme="minorHAnsi"/>
                <w:b/>
                <w:bCs/>
                <w:color w:val="7030A0"/>
                <w:sz w:val="22"/>
                <w:szCs w:val="22"/>
              </w:rPr>
              <w:t>household</w:t>
            </w:r>
            <w:r w:rsidRPr="00E33CA0">
              <w:rPr>
                <w:rFonts w:asciiTheme="minorHAnsi" w:hAnsiTheme="minorHAnsi" w:cstheme="minorHAnsi"/>
                <w:color w:val="auto"/>
                <w:sz w:val="22"/>
                <w:szCs w:val="22"/>
              </w:rPr>
              <w:t xml:space="preserve"> assistants (UN Women, 2023)</w:t>
            </w:r>
          </w:p>
        </w:tc>
        <w:tc>
          <w:tcPr>
            <w:tcW w:w="195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92CC61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Largest EU gap; EIGE 48.6/100 (EIGE, 2024)</w:t>
            </w:r>
          </w:p>
        </w:tc>
        <w:tc>
          <w:tcPr>
            <w:tcW w:w="178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5B7C13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73% family workers (MONSTAT, 2023)</w:t>
            </w:r>
          </w:p>
        </w:tc>
      </w:tr>
      <w:tr w:rsidR="000E4587" w:rsidRPr="00E33CA0" w14:paraId="2F1E7AB2" w14:textId="77777777">
        <w:tc>
          <w:tcPr>
            <w:tcW w:w="2145"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D8922B6"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Unpaid Care (Men)</w:t>
            </w:r>
          </w:p>
        </w:tc>
        <w:tc>
          <w:tcPr>
            <w:tcW w:w="171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105771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3.5% of time (INSTAT TUS, 2011)</w:t>
            </w:r>
          </w:p>
        </w:tc>
        <w:tc>
          <w:tcPr>
            <w:tcW w:w="1765"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9B7429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approximately 3 hours per day (UN Women, 2023)</w:t>
            </w:r>
          </w:p>
        </w:tc>
        <w:tc>
          <w:tcPr>
            <w:tcW w:w="195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682776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Significantly less (EIGE, 2024)</w:t>
            </w:r>
          </w:p>
        </w:tc>
        <w:tc>
          <w:tcPr>
            <w:tcW w:w="178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62B1DA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24% self-employed (MONSTAT, 2023)</w:t>
            </w:r>
          </w:p>
        </w:tc>
      </w:tr>
    </w:tbl>
    <w:p w14:paraId="3F55DA60" w14:textId="77777777" w:rsidR="000E4587" w:rsidRPr="00E33CA0" w:rsidRDefault="00000000">
      <w:pPr>
        <w:jc w:val="both"/>
        <w:rPr>
          <w:rFonts w:asciiTheme="minorHAnsi" w:hAnsiTheme="minorHAnsi" w:cstheme="minorHAnsi"/>
          <w:i/>
          <w:iCs/>
          <w:color w:val="666666"/>
          <w:sz w:val="16"/>
          <w:szCs w:val="16"/>
        </w:rPr>
      </w:pPr>
      <w:r w:rsidRPr="00E33CA0">
        <w:rPr>
          <w:rFonts w:asciiTheme="minorHAnsi" w:hAnsiTheme="minorHAnsi" w:cstheme="minorHAnsi"/>
          <w:b/>
          <w:bCs/>
          <w:i/>
          <w:iCs/>
          <w:color w:val="666666"/>
          <w:sz w:val="16"/>
          <w:szCs w:val="16"/>
        </w:rPr>
        <w:t>Sources:</w:t>
      </w:r>
      <w:r w:rsidRPr="00E33CA0">
        <w:rPr>
          <w:rFonts w:asciiTheme="minorHAnsi" w:hAnsiTheme="minorHAnsi" w:cstheme="minorHAnsi"/>
          <w:i/>
          <w:iCs/>
          <w:color w:val="666666"/>
          <w:sz w:val="16"/>
          <w:szCs w:val="16"/>
        </w:rPr>
        <w:t xml:space="preserve"> National reports citing INSTAT Time Use Survey (2011), UN Women (2022, 2023), BHAS (2023), Eurostat (2023), EIGE (2024), MONSTAT (2023), UN Montenegro (2025).</w:t>
      </w:r>
    </w:p>
    <w:p w14:paraId="5BA77B4D" w14:textId="77777777" w:rsidR="000E4587" w:rsidRPr="00E33CA0" w:rsidRDefault="000E4587">
      <w:pPr>
        <w:jc w:val="both"/>
        <w:rPr>
          <w:rFonts w:asciiTheme="minorHAnsi" w:hAnsiTheme="minorHAnsi" w:cstheme="minorHAnsi"/>
        </w:rPr>
      </w:pPr>
    </w:p>
    <w:p w14:paraId="43321E6D" w14:textId="77777777" w:rsidR="000E4587" w:rsidRPr="00E33CA0" w:rsidRDefault="00000000">
      <w:pPr>
        <w:pStyle w:val="Heading2"/>
        <w:spacing w:before="0" w:after="0"/>
        <w:jc w:val="both"/>
        <w:rPr>
          <w:rFonts w:asciiTheme="minorHAnsi" w:hAnsiTheme="minorHAnsi" w:cstheme="minorHAnsi"/>
          <w:sz w:val="22"/>
          <w:szCs w:val="22"/>
        </w:rPr>
      </w:pPr>
      <w:bookmarkStart w:id="19" w:name="_Toc231038116"/>
      <w:r w:rsidRPr="00E33CA0">
        <w:rPr>
          <w:rFonts w:asciiTheme="minorHAnsi" w:eastAsia="Arial" w:hAnsiTheme="minorHAnsi" w:cstheme="minorHAnsi"/>
          <w:b/>
          <w:bCs/>
          <w:color w:val="2E75B6"/>
          <w:sz w:val="22"/>
          <w:szCs w:val="22"/>
        </w:rPr>
        <w:t>3.1.1 Analysis of Demographic Trends</w:t>
      </w:r>
      <w:bookmarkEnd w:id="19"/>
    </w:p>
    <w:p w14:paraId="74C6133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The socio-economic indicators reveal persistent gender disparities across all four countries, though their magnitude varies. Bosnia and Herzegovina exhibits the largest documented gender pay gap at 22–24% (2023; BHAS), while Albania reports the smallest at 6.6% (2021; UNDP Albania). All countries show </w:t>
      </w:r>
      <w:r w:rsidRPr="00E33CA0">
        <w:rPr>
          <w:rFonts w:asciiTheme="minorHAnsi" w:hAnsiTheme="minorHAnsi" w:cstheme="minorHAnsi"/>
          <w:color w:val="auto"/>
          <w:sz w:val="22"/>
          <w:szCs w:val="22"/>
        </w:rPr>
        <w:lastRenderedPageBreak/>
        <w:t xml:space="preserve">patterns of occupational segregation, with women concentrated in lower-paid sectors and overrepresented in unpaid family </w:t>
      </w:r>
      <w:r w:rsidRPr="00E33CA0">
        <w:rPr>
          <w:rFonts w:asciiTheme="minorHAnsi" w:hAnsiTheme="minorHAnsi" w:cstheme="minorHAnsi"/>
          <w:color w:val="auto"/>
          <w:sz w:val="22"/>
          <w:szCs w:val="22"/>
          <w:lang w:val="en-GB"/>
        </w:rPr>
        <w:t>labour</w:t>
      </w:r>
      <w:r w:rsidRPr="00E33CA0">
        <w:rPr>
          <w:rFonts w:asciiTheme="minorHAnsi" w:hAnsiTheme="minorHAnsi" w:cstheme="minorHAnsi"/>
          <w:color w:val="auto"/>
          <w:sz w:val="22"/>
          <w:szCs w:val="22"/>
        </w:rPr>
        <w:t>, particularly in agriculture.</w:t>
      </w:r>
    </w:p>
    <w:p w14:paraId="6DDAFF3D" w14:textId="77777777" w:rsidR="000E4587" w:rsidRPr="00E33CA0" w:rsidRDefault="000E4587">
      <w:pPr>
        <w:jc w:val="both"/>
        <w:rPr>
          <w:rFonts w:asciiTheme="minorHAnsi" w:hAnsiTheme="minorHAnsi" w:cstheme="minorHAnsi"/>
          <w:color w:val="auto"/>
          <w:sz w:val="22"/>
          <w:szCs w:val="22"/>
        </w:rPr>
      </w:pPr>
    </w:p>
    <w:p w14:paraId="057EA91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The burden of unpaid care work emerges as a cross-cutting regional concern. Croatia records the largest gender gap in the EU for time spent on unpaid care and domestic work, with an EIGE 'Time' domain score of just 48.6 out of 100 (2024; EIGE). Albania documents that women spend 24.7% of their time on such tasks compared to 3.5% for men (2010–2011; INSTAT Time Use Survey). In Bosnia and Herzegovina, women spend more than six hours daily on unpaid care work, constitute 67% of total unpaid household assistants, and their gross national income per capita amounts to only 53.7% of men's (2022–2023; UN Women/BHAS).</w:t>
      </w:r>
    </w:p>
    <w:p w14:paraId="72334E4E" w14:textId="77777777" w:rsidR="007C6DCE" w:rsidRPr="00E33CA0" w:rsidRDefault="007C6DCE">
      <w:pPr>
        <w:jc w:val="both"/>
        <w:rPr>
          <w:rFonts w:asciiTheme="minorHAnsi" w:hAnsiTheme="minorHAnsi" w:cstheme="minorHAnsi"/>
          <w:color w:val="auto"/>
          <w:sz w:val="22"/>
          <w:szCs w:val="22"/>
        </w:rPr>
      </w:pPr>
    </w:p>
    <w:p w14:paraId="6729C0C7" w14:textId="591FA174" w:rsidR="001B3EC1" w:rsidRPr="00E33CA0" w:rsidRDefault="00000000">
      <w:pPr>
        <w:jc w:val="both"/>
        <w:rPr>
          <w:rFonts w:asciiTheme="minorHAnsi" w:hAnsiTheme="minorHAnsi" w:cstheme="minorHAnsi"/>
          <w:color w:val="008080"/>
          <w:sz w:val="22"/>
          <w:szCs w:val="22"/>
        </w:rPr>
      </w:pPr>
      <w:r w:rsidRPr="00E33CA0">
        <w:rPr>
          <w:rFonts w:asciiTheme="minorHAnsi" w:hAnsiTheme="minorHAnsi" w:cstheme="minorHAnsi"/>
          <w:color w:val="008080"/>
          <w:sz w:val="22"/>
          <w:szCs w:val="22"/>
        </w:rPr>
        <w:t xml:space="preserve">In Albania, the gap between economic contribution and formal recognition is clearest in agriculture. The 2025 FAO and UN Women assessment found that rural women own only about 11 </w:t>
      </w:r>
      <w:r w:rsidR="0091082B" w:rsidRPr="00E33CA0">
        <w:rPr>
          <w:rFonts w:asciiTheme="minorHAnsi" w:hAnsiTheme="minorHAnsi" w:cstheme="minorHAnsi"/>
          <w:color w:val="008080"/>
          <w:sz w:val="22"/>
          <w:szCs w:val="22"/>
        </w:rPr>
        <w:t>%</w:t>
      </w:r>
      <w:r w:rsidR="007C6DCE" w:rsidRPr="00E33CA0">
        <w:rPr>
          <w:rFonts w:asciiTheme="minorHAnsi" w:hAnsiTheme="minorHAnsi" w:cstheme="minorHAnsi"/>
          <w:color w:val="008080"/>
          <w:sz w:val="22"/>
          <w:szCs w:val="22"/>
        </w:rPr>
        <w:t>%</w:t>
      </w:r>
      <w:r w:rsidRPr="00E33CA0">
        <w:rPr>
          <w:rFonts w:asciiTheme="minorHAnsi" w:hAnsiTheme="minorHAnsi" w:cstheme="minorHAnsi"/>
          <w:color w:val="008080"/>
          <w:sz w:val="22"/>
          <w:szCs w:val="22"/>
        </w:rPr>
        <w:t xml:space="preserve"> of agricultural land. This disparity is rooted in the 1991 land reform, which registered land to the male head of household. More than half of Albanian women work in agriculture, and about 87 </w:t>
      </w:r>
      <w:r w:rsidR="0091082B" w:rsidRPr="00E33CA0">
        <w:rPr>
          <w:rFonts w:asciiTheme="minorHAnsi" w:hAnsiTheme="minorHAnsi" w:cstheme="minorHAnsi"/>
          <w:color w:val="008080"/>
          <w:sz w:val="22"/>
          <w:szCs w:val="22"/>
        </w:rPr>
        <w:t>%</w:t>
      </w:r>
      <w:r w:rsidR="00741FAF" w:rsidRPr="00E33CA0">
        <w:rPr>
          <w:rFonts w:asciiTheme="minorHAnsi" w:hAnsiTheme="minorHAnsi" w:cstheme="minorHAnsi"/>
          <w:color w:val="008080"/>
          <w:sz w:val="22"/>
          <w:szCs w:val="22"/>
        </w:rPr>
        <w:t>%</w:t>
      </w:r>
      <w:r w:rsidRPr="00E33CA0">
        <w:rPr>
          <w:rFonts w:asciiTheme="minorHAnsi" w:hAnsiTheme="minorHAnsi" w:cstheme="minorHAnsi"/>
          <w:color w:val="008080"/>
          <w:sz w:val="22"/>
          <w:szCs w:val="22"/>
        </w:rPr>
        <w:t xml:space="preserve"> of them work in unpaid family roles. Key informant interviews confirmed that this unpaid water and farm labour stays invisible in planning and statistics (Albania National Gender Analysis, 2025).</w:t>
      </w:r>
    </w:p>
    <w:p w14:paraId="7CC14893" w14:textId="77777777" w:rsidR="007C6DCE" w:rsidRPr="00E33CA0" w:rsidRDefault="007C6DCE">
      <w:pPr>
        <w:jc w:val="both"/>
        <w:rPr>
          <w:rFonts w:asciiTheme="minorHAnsi" w:hAnsiTheme="minorHAnsi" w:cstheme="minorHAnsi"/>
          <w:color w:val="008080"/>
          <w:sz w:val="22"/>
          <w:szCs w:val="22"/>
        </w:rPr>
      </w:pPr>
    </w:p>
    <w:p w14:paraId="47D581F0" w14:textId="2C95F18B" w:rsidR="001B3EC1" w:rsidRPr="00E33CA0" w:rsidRDefault="00000000">
      <w:pPr>
        <w:jc w:val="both"/>
        <w:rPr>
          <w:rFonts w:asciiTheme="minorHAnsi" w:hAnsiTheme="minorHAnsi" w:cstheme="minorHAnsi"/>
          <w:color w:val="E36C09"/>
          <w:sz w:val="22"/>
          <w:szCs w:val="22"/>
        </w:rPr>
      </w:pPr>
      <w:r w:rsidRPr="00E33CA0">
        <w:rPr>
          <w:rFonts w:asciiTheme="minorHAnsi" w:hAnsiTheme="minorHAnsi" w:cstheme="minorHAnsi"/>
          <w:color w:val="E36C09"/>
          <w:sz w:val="22"/>
          <w:szCs w:val="22"/>
        </w:rPr>
        <w:t xml:space="preserve">In Bosnia and Herzegovina, attitudinal data show how firmly traditional roles are held. About 78.8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married men consider themselves the head of the household, compared with only 5.6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married women (BHAS, 2023). Men also hold more than 70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land titles and 74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dwellings. Women make up only 38.8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the active labour force, and the share of young women not in employment, education or training reaches 23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(Bosnia and Herzegovina National Gender Analysis, 2025).</w:t>
      </w:r>
    </w:p>
    <w:p w14:paraId="64E6A063" w14:textId="77777777" w:rsidR="000E4587" w:rsidRPr="00E33CA0" w:rsidRDefault="000E4587">
      <w:pPr>
        <w:jc w:val="both"/>
        <w:rPr>
          <w:rFonts w:asciiTheme="minorHAnsi" w:hAnsiTheme="minorHAnsi" w:cstheme="minorHAnsi"/>
          <w:color w:val="auto"/>
          <w:sz w:val="22"/>
          <w:szCs w:val="22"/>
        </w:rPr>
      </w:pPr>
    </w:p>
    <w:p w14:paraId="7EA3EBC0" w14:textId="77777777" w:rsidR="000E4587" w:rsidRPr="00E33CA0" w:rsidRDefault="00000000">
      <w:pPr>
        <w:pStyle w:val="Heading2"/>
        <w:spacing w:before="0" w:after="0"/>
        <w:jc w:val="both"/>
        <w:rPr>
          <w:rFonts w:asciiTheme="minorHAnsi" w:hAnsiTheme="minorHAnsi" w:cstheme="minorHAnsi"/>
          <w:sz w:val="22"/>
          <w:szCs w:val="22"/>
        </w:rPr>
      </w:pPr>
      <w:bookmarkStart w:id="20" w:name="_Toc231038117"/>
      <w:r w:rsidRPr="00E33CA0">
        <w:rPr>
          <w:rFonts w:asciiTheme="minorHAnsi" w:eastAsia="Arial" w:hAnsiTheme="minorHAnsi" w:cstheme="minorHAnsi"/>
          <w:b/>
          <w:bCs/>
          <w:color w:val="2E75B6"/>
          <w:sz w:val="22"/>
          <w:szCs w:val="22"/>
        </w:rPr>
        <w:t>3.2 National Legal and Policy Frameworks for Gender Equality</w:t>
      </w:r>
      <w:bookmarkEnd w:id="20"/>
    </w:p>
    <w:p w14:paraId="7198134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All four countries have established comprehensive legal frameworks for gender equality, reflecting their shared aspiration toward EU integration and adherence to international human rights standards (DIKTAS II National Gender Analyses, 2025). Each country has ratified CEDAW and enacted foundational gender equality legislation, though specific mechanisms and enforcement provisions vary.</w:t>
      </w:r>
    </w:p>
    <w:p w14:paraId="722814E8" w14:textId="77777777" w:rsidR="000E4587" w:rsidRPr="00E33CA0" w:rsidRDefault="000E4587">
      <w:pPr>
        <w:jc w:val="both"/>
        <w:rPr>
          <w:rFonts w:asciiTheme="minorHAnsi" w:hAnsiTheme="minorHAnsi" w:cstheme="minorHAnsi"/>
          <w:sz w:val="22"/>
          <w:szCs w:val="22"/>
        </w:rPr>
      </w:pPr>
    </w:p>
    <w:p w14:paraId="06B6F634"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b/>
          <w:bCs/>
          <w:sz w:val="22"/>
          <w:szCs w:val="22"/>
        </w:rPr>
        <w:t>Table 3: Legal and Policy Framework Comparison</w:t>
      </w:r>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199"/>
        <w:gridCol w:w="1791"/>
        <w:gridCol w:w="1789"/>
        <w:gridCol w:w="1791"/>
        <w:gridCol w:w="1790"/>
      </w:tblGrid>
      <w:tr w:rsidR="000E4587" w:rsidRPr="00E33CA0" w14:paraId="3BA2B993" w14:textId="77777777">
        <w:trPr>
          <w:tblHeader/>
        </w:trPr>
        <w:tc>
          <w:tcPr>
            <w:tcW w:w="21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340FEE5A"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Framework Element</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6237B4C8"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Albania</w:t>
            </w:r>
          </w:p>
        </w:tc>
        <w:tc>
          <w:tcPr>
            <w:tcW w:w="178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E1F3E71"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Bosnia &amp; Herz.</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5FAB2A19"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Croatia</w:t>
            </w:r>
          </w:p>
        </w:tc>
        <w:tc>
          <w:tcPr>
            <w:tcW w:w="179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47AF200"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Montenegro</w:t>
            </w:r>
          </w:p>
        </w:tc>
      </w:tr>
      <w:tr w:rsidR="000E4587" w:rsidRPr="00E33CA0" w14:paraId="726F0314"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CB6127E"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CEDAW Ratification</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FF060A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7030A0"/>
                <w:sz w:val="22"/>
                <w:szCs w:val="22"/>
              </w:rPr>
              <w:t>Yes  (</w:t>
            </w:r>
            <w:r w:rsidRPr="00E33CA0">
              <w:rPr>
                <w:rFonts w:asciiTheme="minorHAnsi" w:hAnsiTheme="minorHAnsi" w:cstheme="minorHAnsi"/>
                <w:color w:val="auto"/>
                <w:sz w:val="22"/>
                <w:szCs w:val="22"/>
              </w:rPr>
              <w:t>1994</w:t>
            </w:r>
            <w:r w:rsidRPr="00E33CA0">
              <w:rPr>
                <w:rFonts w:asciiTheme="minorHAnsi" w:hAnsiTheme="minorHAnsi" w:cstheme="minorHAnsi"/>
                <w:b/>
                <w:bCs/>
                <w:color w:val="7030A0"/>
                <w:sz w:val="22"/>
                <w:szCs w:val="22"/>
              </w:rPr>
              <w:t>)</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3B91B0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Yes (2001)</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F4E70A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Yes (1992)</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F4558D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Yes (2006)</w:t>
            </w:r>
          </w:p>
        </w:tc>
      </w:tr>
      <w:tr w:rsidR="000E4587" w:rsidRPr="00E33CA0" w14:paraId="668539D1"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7D60C94"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7030A0"/>
                <w:sz w:val="22"/>
                <w:szCs w:val="22"/>
              </w:rPr>
              <w:t>Council of Europe Convention on preventing and combating violence against women and domestic violence — Istanbul Convention</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9AD5C6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7030A0"/>
                <w:sz w:val="22"/>
                <w:szCs w:val="22"/>
              </w:rPr>
              <w:t>Ratified 2013</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ABF0F6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7030A0"/>
                <w:sz w:val="22"/>
                <w:szCs w:val="22"/>
              </w:rPr>
              <w:t>Ratified 2013</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EBE7B1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7030A0"/>
                <w:sz w:val="22"/>
                <w:szCs w:val="22"/>
              </w:rPr>
              <w:t>Ratified 2018</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C84322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7030A0"/>
                <w:sz w:val="22"/>
                <w:szCs w:val="22"/>
              </w:rPr>
              <w:t>Ratified 2013</w:t>
            </w:r>
          </w:p>
        </w:tc>
      </w:tr>
      <w:tr w:rsidR="000E4587" w:rsidRPr="00E33CA0" w14:paraId="7813E5D1"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007E87C"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Primary Gender Law</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A6EA38D"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Law on Gender Equality (2008)</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1855581"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Law on Gender Equality (2003)</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32E045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Gender Equality Act (2008/2017)</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76851B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Law on Gender Equality (2007)</w:t>
            </w:r>
          </w:p>
        </w:tc>
      </w:tr>
      <w:tr w:rsidR="000E4587" w:rsidRPr="00E33CA0" w14:paraId="44B52DA2"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E648B5F"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Gender Quota</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2438C8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30% mandate</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4723EA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40% quota (not </w:t>
            </w:r>
            <w:r w:rsidRPr="00E33CA0">
              <w:rPr>
                <w:rFonts w:asciiTheme="minorHAnsi" w:hAnsiTheme="minorHAnsi" w:cstheme="minorHAnsi"/>
                <w:color w:val="auto"/>
                <w:sz w:val="22"/>
                <w:szCs w:val="22"/>
              </w:rPr>
              <w:lastRenderedPageBreak/>
              <w:t>achieved)</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DD97371"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7030A0"/>
                <w:sz w:val="22"/>
                <w:szCs w:val="22"/>
              </w:rPr>
              <w:lastRenderedPageBreak/>
              <w:t xml:space="preserve">40% electoral </w:t>
            </w:r>
            <w:r w:rsidRPr="00E33CA0">
              <w:rPr>
                <w:rFonts w:asciiTheme="minorHAnsi" w:hAnsiTheme="minorHAnsi" w:cstheme="minorHAnsi"/>
                <w:b/>
                <w:bCs/>
                <w:color w:val="7030A0"/>
                <w:sz w:val="22"/>
                <w:szCs w:val="22"/>
              </w:rPr>
              <w:lastRenderedPageBreak/>
              <w:t>quota</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A2E7E6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7030A0"/>
                <w:sz w:val="22"/>
                <w:szCs w:val="22"/>
              </w:rPr>
              <w:lastRenderedPageBreak/>
              <w:t>4</w:t>
            </w:r>
            <w:r w:rsidRPr="00E33CA0">
              <w:rPr>
                <w:rFonts w:asciiTheme="minorHAnsi" w:hAnsiTheme="minorHAnsi" w:cstheme="minorHAnsi"/>
                <w:color w:val="auto"/>
                <w:sz w:val="22"/>
                <w:szCs w:val="22"/>
              </w:rPr>
              <w:t xml:space="preserve">0% electoral </w:t>
            </w:r>
            <w:r w:rsidRPr="00E33CA0">
              <w:rPr>
                <w:rFonts w:asciiTheme="minorHAnsi" w:hAnsiTheme="minorHAnsi" w:cstheme="minorHAnsi"/>
                <w:color w:val="auto"/>
                <w:sz w:val="22"/>
                <w:szCs w:val="22"/>
              </w:rPr>
              <w:lastRenderedPageBreak/>
              <w:t>quota</w:t>
            </w:r>
          </w:p>
        </w:tc>
      </w:tr>
      <w:tr w:rsidR="000E4587" w:rsidRPr="00E33CA0" w14:paraId="4631443B"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5A47A5D"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National Strategy</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1F72BC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NSGE 2021–2030</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2587EF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Gender Action Plan</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80A95C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National Policy on Gender Equality</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91FDB6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Strategy 2025–2029</w:t>
            </w:r>
          </w:p>
        </w:tc>
      </w:tr>
      <w:tr w:rsidR="000E4587" w:rsidRPr="00E33CA0" w14:paraId="7EFE05AA"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B13534A"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Gender Budgeting</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F6F1F2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Limited (INSTAT/MoF)</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50A793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FIGAP (partial)</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DD9750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Not mandated (EIGE, 2024)</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A6C1211"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Limited</w:t>
            </w:r>
          </w:p>
        </w:tc>
      </w:tr>
      <w:tr w:rsidR="000E4587" w:rsidRPr="00E33CA0" w14:paraId="44168C96"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22C55BF"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Enforcement Mechanism</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9E27E7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Weak (EC, 2025)</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11B763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Weak (OHCHR, 2024)</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593495D"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No sanctions (US Dept. of State, 2023)</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E725AE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Weak (CEDAW, 2024)</w:t>
            </w:r>
          </w:p>
        </w:tc>
      </w:tr>
    </w:tbl>
    <w:p w14:paraId="301C3E92" w14:textId="77777777" w:rsidR="000E4587" w:rsidRPr="00E33CA0" w:rsidRDefault="000E4587">
      <w:pPr>
        <w:rPr>
          <w:rFonts w:asciiTheme="minorHAnsi" w:hAnsiTheme="minorHAnsi" w:cstheme="minorHAnsi"/>
        </w:rPr>
      </w:pPr>
    </w:p>
    <w:p w14:paraId="469925FB" w14:textId="77777777" w:rsidR="000E4587" w:rsidRPr="00E33CA0" w:rsidRDefault="00000000">
      <w:pPr>
        <w:pStyle w:val="Heading2"/>
        <w:spacing w:before="0" w:after="0"/>
        <w:jc w:val="both"/>
        <w:rPr>
          <w:rFonts w:asciiTheme="minorHAnsi" w:hAnsiTheme="minorHAnsi" w:cstheme="minorHAnsi"/>
          <w:sz w:val="22"/>
          <w:szCs w:val="22"/>
        </w:rPr>
      </w:pPr>
      <w:bookmarkStart w:id="21" w:name="_Toc231038118"/>
      <w:r w:rsidRPr="00E33CA0">
        <w:rPr>
          <w:rFonts w:asciiTheme="minorHAnsi" w:eastAsia="Arial" w:hAnsiTheme="minorHAnsi" w:cstheme="minorHAnsi"/>
          <w:b/>
          <w:bCs/>
          <w:color w:val="2E75B6"/>
          <w:sz w:val="22"/>
          <w:szCs w:val="22"/>
        </w:rPr>
        <w:t>3.2.1 Analysis of Legal Frameworks</w:t>
      </w:r>
      <w:bookmarkEnd w:id="21"/>
    </w:p>
    <w:p w14:paraId="7C52D7D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The comparative analysis reveals a consistent regional pattern, strong de jure frameworks coexist with weak de facto implementation. De jure refers to what exists in law the formal legislative commitments, constitutional provisions, and ratified international conventions. De facto refers to what happens in practice whether those legal commitments are enforced, resourced, and translated into measurable outcomes for women and men. Across all four DIKTAS II countries, the gap between these two dimensions is the defining structural characteristic of gender equality governance. All four countries have enacted comprehensive gender equality legislation and developed national strategies, yet enforcement mechanisms remain inadequate across the region. Croatia explicitly lacks sanctions for non-compliance with gender mainstreaming requirements (U.S. Department of State, 2023), while Montenegro reports that only 26.8% of public policies address gender equality despite legal mandates requiring such consideration (Law on Gender Equality Montenegro, 2007; CEDAW Concluding Observations Montenegro, 2024).</w:t>
      </w:r>
    </w:p>
    <w:p w14:paraId="112F1BCA" w14:textId="77777777" w:rsidR="000E4587" w:rsidRPr="00E33CA0" w:rsidRDefault="000E4587">
      <w:pPr>
        <w:jc w:val="both"/>
        <w:rPr>
          <w:rFonts w:asciiTheme="minorHAnsi" w:hAnsiTheme="minorHAnsi" w:cstheme="minorHAnsi"/>
          <w:color w:val="auto"/>
          <w:sz w:val="22"/>
          <w:szCs w:val="22"/>
        </w:rPr>
      </w:pPr>
    </w:p>
    <w:p w14:paraId="5749CF5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The de jure–de facto gap manifests differently in each country but follows a common pattern. In Albania, the Law on Gender Equality (2008) establishes a 30% minimum gender representation principle for public bodies, but the absence of independent monitoring and sanction mechanisms means that non-compliant institutions face no meaningful accountability (European Commission, 2025). The National Strategy for Gender Equality 2021–2030 sets out ambitious targets, but budget allocations for implementation remain insufficient relative to the scale of change required. In Croatia, the Gender Equality Act (2008, amended 2017) mandates gender mainstreaming across all public bodies, including water management institutions, but the Act explicitly contains no sanctions for non-compliance  (U.S. Department of State, 2023). This renders the Act essentially aspirational in the absence of dedicated enforcement capacity and political will.</w:t>
      </w:r>
    </w:p>
    <w:p w14:paraId="45A487A9" w14:textId="77777777" w:rsidR="000E4587" w:rsidRPr="00E33CA0" w:rsidRDefault="000E4587">
      <w:pPr>
        <w:jc w:val="both"/>
        <w:rPr>
          <w:rFonts w:asciiTheme="minorHAnsi" w:hAnsiTheme="minorHAnsi" w:cstheme="minorHAnsi"/>
          <w:color w:val="auto"/>
          <w:sz w:val="22"/>
          <w:szCs w:val="22"/>
        </w:rPr>
      </w:pPr>
    </w:p>
    <w:p w14:paraId="53F541A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Bosnia and Herzegovina has established a 40% electoral gender quota, </w:t>
      </w:r>
      <w:r w:rsidRPr="00E33CA0">
        <w:rPr>
          <w:rFonts w:asciiTheme="minorHAnsi" w:hAnsiTheme="minorHAnsi" w:cstheme="minorHAnsi"/>
          <w:b/>
          <w:bCs/>
          <w:color w:val="7030A0"/>
          <w:sz w:val="22"/>
          <w:szCs w:val="22"/>
        </w:rPr>
        <w:t xml:space="preserve">along with Croatia, </w:t>
      </w:r>
      <w:r w:rsidRPr="00E33CA0">
        <w:rPr>
          <w:rFonts w:asciiTheme="minorHAnsi" w:hAnsiTheme="minorHAnsi" w:cstheme="minorHAnsi"/>
          <w:color w:val="auto"/>
          <w:sz w:val="22"/>
          <w:szCs w:val="22"/>
        </w:rPr>
        <w:t xml:space="preserve">the highest in the region, yet actual parliamentary representation fell to just 19.1% (2024; Equal Future Eurasia) the lowest since 2010. Data indicate that male candidates enjoy approximately twice as much voter trust, regardless of the voter’s gender (Equal Future Eurasia, 2024). This pattern is partly explained by electoral system design: BiH’s complex proportional representation system allows political parties to control candidate list ordering, effectively enabling parties to satisfy the quota requirement on paper while placing female candidates in list positions that are unlikely to win seats. The CEDAW Committee </w:t>
      </w:r>
      <w:r w:rsidRPr="00E33CA0">
        <w:rPr>
          <w:rFonts w:asciiTheme="minorHAnsi" w:hAnsiTheme="minorHAnsi" w:cstheme="minorHAnsi"/>
          <w:color w:val="auto"/>
          <w:sz w:val="22"/>
          <w:szCs w:val="22"/>
        </w:rPr>
        <w:lastRenderedPageBreak/>
        <w:t>has explicitly cited this structural loophole, alongside a general lack of political will, as key drivers of BiH’s persistently low female representation (OHCHR, 2024). This gap between quota requirements and actual outcomes exemplifies the broader implementation challenge.</w:t>
      </w:r>
    </w:p>
    <w:p w14:paraId="02E5572D" w14:textId="77777777" w:rsidR="000E4587" w:rsidRPr="00E33CA0" w:rsidRDefault="000E4587">
      <w:pPr>
        <w:jc w:val="both"/>
        <w:rPr>
          <w:rFonts w:asciiTheme="minorHAnsi" w:hAnsiTheme="minorHAnsi" w:cstheme="minorHAnsi"/>
          <w:color w:val="auto"/>
          <w:sz w:val="22"/>
          <w:szCs w:val="22"/>
        </w:rPr>
      </w:pPr>
    </w:p>
    <w:p w14:paraId="334E1E3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Gender-responsive budgeting (GRB) remains underdeveloped across the region. GRB is the practice of designing public budgets so that revenues and expenditures explicitly promote gender equality for example, by tracking how much is spent on </w:t>
      </w:r>
      <w:r w:rsidRPr="00E33CA0">
        <w:rPr>
          <w:rFonts w:asciiTheme="minorHAnsi" w:hAnsiTheme="minorHAnsi" w:cstheme="minorHAnsi"/>
          <w:color w:val="auto"/>
          <w:sz w:val="22"/>
          <w:szCs w:val="22"/>
          <w:lang w:val="en-GB"/>
        </w:rPr>
        <w:t>programmes</w:t>
      </w:r>
      <w:r w:rsidRPr="00E33CA0">
        <w:rPr>
          <w:rFonts w:asciiTheme="minorHAnsi" w:hAnsiTheme="minorHAnsi" w:cstheme="minorHAnsi"/>
          <w:color w:val="auto"/>
          <w:sz w:val="22"/>
          <w:szCs w:val="22"/>
        </w:rPr>
        <w:t xml:space="preserve"> that specifically benefit women, or by assessing whether water infrastructure investments reduce women’s unpaid care burden. Without GRB, gender equality commitments in national strategies and legal frameworks lack the financial grounding needed for implementation. Bosnia and Herzegovina has made the most progress through its FIGAP </w:t>
      </w:r>
      <w:r w:rsidRPr="00E33CA0">
        <w:rPr>
          <w:rFonts w:asciiTheme="minorHAnsi" w:hAnsiTheme="minorHAnsi" w:cstheme="minorHAnsi"/>
          <w:color w:val="auto"/>
          <w:sz w:val="22"/>
          <w:szCs w:val="22"/>
          <w:lang w:val="en-GB"/>
        </w:rPr>
        <w:t>programme</w:t>
      </w:r>
      <w:r w:rsidRPr="00E33CA0">
        <w:rPr>
          <w:rFonts w:asciiTheme="minorHAnsi" w:hAnsiTheme="minorHAnsi" w:cstheme="minorHAnsi"/>
          <w:color w:val="auto"/>
          <w:sz w:val="22"/>
          <w:szCs w:val="22"/>
        </w:rPr>
        <w:t xml:space="preserve"> a dedicated financial mechanism that channels funds toward implementation of the Gender Action Plan across government institutions, including water sector bodies though implementation remains inconsistent across entities. The absence of mandated gender budgeting in Croatia and limited application in Albania and Montenegro means that gender equality measures often function as unfunded mandates: legal obligations that institutions are expected to fulfil but for which no dedicated budget line exists. This is a critical structural barrier to progress and one of the most actionable areas for reform, since introducing GRB does not require new legislation only political commitment and technical capacity in budget ministries and line agencies.</w:t>
      </w:r>
    </w:p>
    <w:p w14:paraId="683B7834" w14:textId="77777777" w:rsidR="0091082B" w:rsidRPr="00E33CA0" w:rsidRDefault="0091082B">
      <w:pPr>
        <w:jc w:val="both"/>
        <w:rPr>
          <w:rFonts w:asciiTheme="minorHAnsi" w:hAnsiTheme="minorHAnsi" w:cstheme="minorHAnsi"/>
          <w:color w:val="auto"/>
          <w:sz w:val="22"/>
          <w:szCs w:val="22"/>
        </w:rPr>
      </w:pPr>
    </w:p>
    <w:p w14:paraId="56E9AE52" w14:textId="0F602981" w:rsidR="001B3EC1" w:rsidRPr="00E33CA0" w:rsidRDefault="00000000">
      <w:pPr>
        <w:jc w:val="both"/>
        <w:rPr>
          <w:rFonts w:asciiTheme="minorHAnsi" w:hAnsiTheme="minorHAnsi" w:cstheme="minorHAnsi"/>
          <w:color w:val="008080"/>
          <w:sz w:val="22"/>
          <w:szCs w:val="22"/>
        </w:rPr>
      </w:pPr>
      <w:r w:rsidRPr="00E33CA0">
        <w:rPr>
          <w:rFonts w:asciiTheme="minorHAnsi" w:hAnsiTheme="minorHAnsi" w:cstheme="minorHAnsi"/>
          <w:color w:val="008080"/>
          <w:sz w:val="22"/>
          <w:szCs w:val="22"/>
        </w:rPr>
        <w:t xml:space="preserve">Albania shows both progress and remaining gaps in gender budgeting. Its National Strategy for Gender Equality 2021 to 2030 was the first national gender strategy to name the water, energy and agriculture sectors. Gender responsive budgeting has grown from nine to seventy seven budget programmes between 2015 and 2025, and related public investment rose from about 90 million to over 803 million US dollars. In September 2025 Albania committed to apply gender responsive budgeting in at least 90 </w:t>
      </w:r>
      <w:r w:rsidR="0091082B" w:rsidRPr="00E33CA0">
        <w:rPr>
          <w:rFonts w:asciiTheme="minorHAnsi" w:hAnsiTheme="minorHAnsi" w:cstheme="minorHAnsi"/>
          <w:color w:val="008080"/>
          <w:sz w:val="22"/>
          <w:szCs w:val="22"/>
        </w:rPr>
        <w:t>%</w:t>
      </w:r>
      <w:r w:rsidRPr="00E33CA0">
        <w:rPr>
          <w:rFonts w:asciiTheme="minorHAnsi" w:hAnsiTheme="minorHAnsi" w:cstheme="minorHAnsi"/>
          <w:color w:val="008080"/>
          <w:sz w:val="22"/>
          <w:szCs w:val="22"/>
        </w:rPr>
        <w:t xml:space="preserve"> of ministries and municipalities by 2030. Application within the water sector specifically remains limited (Albania National Gender Analysis, 2025; UN Women Albania, 2025).</w:t>
      </w:r>
    </w:p>
    <w:p w14:paraId="2AC994B7" w14:textId="77777777" w:rsidR="0091082B" w:rsidRPr="00E33CA0" w:rsidRDefault="0091082B">
      <w:pPr>
        <w:jc w:val="both"/>
        <w:rPr>
          <w:rFonts w:asciiTheme="minorHAnsi" w:hAnsiTheme="minorHAnsi" w:cstheme="minorHAnsi"/>
          <w:color w:val="008080"/>
          <w:sz w:val="22"/>
          <w:szCs w:val="22"/>
        </w:rPr>
      </w:pPr>
    </w:p>
    <w:p w14:paraId="5DD1732D" w14:textId="77777777" w:rsidR="001B3EC1" w:rsidRPr="00E33CA0" w:rsidRDefault="00000000">
      <w:pPr>
        <w:jc w:val="both"/>
        <w:rPr>
          <w:rFonts w:asciiTheme="minorHAnsi" w:hAnsiTheme="minorHAnsi" w:cstheme="minorHAnsi"/>
          <w:color w:val="E36C09"/>
          <w:sz w:val="22"/>
          <w:szCs w:val="22"/>
        </w:rPr>
      </w:pPr>
      <w:r w:rsidRPr="00E33CA0">
        <w:rPr>
          <w:rFonts w:asciiTheme="minorHAnsi" w:hAnsiTheme="minorHAnsi" w:cstheme="minorHAnsi"/>
          <w:color w:val="E36C09"/>
          <w:sz w:val="22"/>
          <w:szCs w:val="22"/>
        </w:rPr>
        <w:t>In Bosnia and Herzegovina, the Law on Gender Equality of 2003 requires all state bodies to collect gender disaggregated data, and this duty applies directly to the water sector. In practice it is applied inconsistently, which leaves much water planning and budgeting gender blind (Bosnia and Herzegovina National Gender Analysis, 2025).</w:t>
      </w:r>
    </w:p>
    <w:p w14:paraId="473C7B0F" w14:textId="77777777" w:rsidR="000E4587" w:rsidRPr="00E33CA0" w:rsidRDefault="000E4587">
      <w:pPr>
        <w:pStyle w:val="Heading2"/>
        <w:spacing w:before="0" w:after="0"/>
        <w:jc w:val="both"/>
        <w:rPr>
          <w:rFonts w:asciiTheme="minorHAnsi" w:eastAsia="Arial" w:hAnsiTheme="minorHAnsi" w:cstheme="minorHAnsi"/>
          <w:b/>
          <w:bCs/>
          <w:color w:val="2E75B6"/>
          <w:sz w:val="22"/>
          <w:szCs w:val="22"/>
        </w:rPr>
      </w:pPr>
    </w:p>
    <w:p w14:paraId="7649D5FF" w14:textId="77777777" w:rsidR="000E4587" w:rsidRPr="00E33CA0" w:rsidRDefault="00000000">
      <w:pPr>
        <w:pStyle w:val="Heading2"/>
        <w:spacing w:before="0" w:after="0"/>
        <w:jc w:val="both"/>
        <w:rPr>
          <w:rFonts w:asciiTheme="minorHAnsi" w:hAnsiTheme="minorHAnsi" w:cstheme="minorHAnsi"/>
          <w:sz w:val="22"/>
          <w:szCs w:val="22"/>
        </w:rPr>
      </w:pPr>
      <w:bookmarkStart w:id="22" w:name="_Toc231038119"/>
      <w:r w:rsidRPr="00E33CA0">
        <w:rPr>
          <w:rFonts w:asciiTheme="minorHAnsi" w:eastAsia="Arial" w:hAnsiTheme="minorHAnsi" w:cstheme="minorHAnsi"/>
          <w:b/>
          <w:bCs/>
          <w:color w:val="2E75B6"/>
          <w:sz w:val="22"/>
          <w:szCs w:val="22"/>
        </w:rPr>
        <w:t>3.3 Water Sector Management Structure</w:t>
      </w:r>
      <w:bookmarkEnd w:id="22"/>
    </w:p>
    <w:p w14:paraId="09A398E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Water sector governance structures vary significantly across the four countries, ranging from Croatia’s relatively centralized model to the highly fragmented arrangements in Bosnia and Herzegovina. These structural differences have direct implications for the feasibility and effectiveness of gender mainstreaming within water governance. Understanding how each country’s water sector is </w:t>
      </w:r>
      <w:r w:rsidRPr="00E33CA0">
        <w:rPr>
          <w:rFonts w:asciiTheme="minorHAnsi" w:hAnsiTheme="minorHAnsi" w:cstheme="minorHAnsi"/>
          <w:color w:val="auto"/>
          <w:sz w:val="22"/>
          <w:szCs w:val="22"/>
          <w:lang w:val="en-GB"/>
        </w:rPr>
        <w:t>organised</w:t>
      </w:r>
      <w:r w:rsidRPr="00E33CA0">
        <w:rPr>
          <w:rFonts w:asciiTheme="minorHAnsi" w:hAnsiTheme="minorHAnsi" w:cstheme="minorHAnsi"/>
          <w:color w:val="auto"/>
          <w:sz w:val="22"/>
          <w:szCs w:val="22"/>
        </w:rPr>
        <w:t xml:space="preserve"> is essential context for interpreting why gender mainstreaming progress differs so markedly across the region, in highly fragmented systems, a policy adopted at the national level may never reach the local utilities and river basin authorities where most day-to-day water decisions are actually made.</w:t>
      </w:r>
    </w:p>
    <w:p w14:paraId="642D230A" w14:textId="77777777" w:rsidR="000E4587" w:rsidRPr="00E33CA0" w:rsidRDefault="000E4587">
      <w:pPr>
        <w:jc w:val="both"/>
        <w:rPr>
          <w:rFonts w:asciiTheme="minorHAnsi" w:hAnsiTheme="minorHAnsi" w:cstheme="minorHAnsi"/>
          <w:sz w:val="22"/>
          <w:szCs w:val="22"/>
        </w:rPr>
      </w:pPr>
    </w:p>
    <w:p w14:paraId="6DAB0B3C" w14:textId="772502B1" w:rsidR="0091082B" w:rsidRPr="00E33CA0" w:rsidRDefault="00000000">
      <w:pPr>
        <w:pBdr>
          <w:left w:val="single" w:sz="14" w:space="8" w:color="1B5E20"/>
        </w:pBdr>
        <w:shd w:val="clear" w:color="auto" w:fill="E8F5E9"/>
        <w:ind w:left="400"/>
        <w:jc w:val="both"/>
        <w:rPr>
          <w:rFonts w:asciiTheme="minorHAnsi" w:hAnsiTheme="minorHAnsi" w:cstheme="minorHAnsi"/>
          <w:sz w:val="22"/>
          <w:szCs w:val="22"/>
        </w:rPr>
      </w:pPr>
      <w:r w:rsidRPr="00E33CA0">
        <w:rPr>
          <w:rFonts w:asciiTheme="minorHAnsi" w:hAnsiTheme="minorHAnsi" w:cstheme="minorHAnsi"/>
          <w:b/>
          <w:bCs/>
          <w:color w:val="1B5E20"/>
          <w:sz w:val="22"/>
          <w:szCs w:val="22"/>
        </w:rPr>
        <w:t xml:space="preserve">Albania: </w:t>
      </w:r>
      <w:r w:rsidRPr="00E33CA0">
        <w:rPr>
          <w:rFonts w:asciiTheme="minorHAnsi" w:hAnsiTheme="minorHAnsi" w:cstheme="minorHAnsi"/>
          <w:color w:val="auto"/>
          <w:sz w:val="22"/>
          <w:szCs w:val="22"/>
        </w:rPr>
        <w:t xml:space="preserve">Water governance in Albania is overseen at the national level by the National Water Council, chaired by the Prime Minister and supported by two technical ministries: the Ministry of Agriculture, Rural Development and Water Administration (MARDWA), which is responsible for irrigation and rural water supply, and the Ministry of Infrastructure and Energy (MIE), which oversees urban water supply and sanitation. A Gender Equality Employee (GEE) from MARDWA sits </w:t>
      </w:r>
      <w:r w:rsidRPr="00E33CA0">
        <w:rPr>
          <w:rFonts w:asciiTheme="minorHAnsi" w:hAnsiTheme="minorHAnsi" w:cstheme="minorHAnsi"/>
          <w:color w:val="auto"/>
          <w:sz w:val="22"/>
          <w:szCs w:val="22"/>
        </w:rPr>
        <w:lastRenderedPageBreak/>
        <w:t>on the Integrated Policy Management Group (IPMG) of the National Water Council, providing a formal entry point for gender considerations at the highest policy level a relatively advanced arrangement compared to the other three countries. In practice, however, Albania’s water sector remains fragmented at the service delivery level, with a large number of water and sewerage utilities operating at municipal level with varying technical and financial capacity. The 2025 European Commission Progress Report notes that alignment with the EU Water Framework Directive (WFD) remains incomplete, with delayed administrative reforms and weak inter-institutional coordination presenting ongoing challenges (European Commission, 2025). These operational gaps limit the reach of national-level gender policies into the utilities where most women water sector workers are employed.</w:t>
      </w:r>
    </w:p>
    <w:p w14:paraId="2BA6F788" w14:textId="30590419" w:rsidR="001B3EC1" w:rsidRPr="00E33CA0" w:rsidRDefault="00000000" w:rsidP="00515A97">
      <w:pPr>
        <w:pBdr>
          <w:left w:val="single" w:sz="14" w:space="8" w:color="1B5E20"/>
        </w:pBdr>
        <w:shd w:val="clear" w:color="auto" w:fill="E8F5E9"/>
        <w:ind w:left="400"/>
        <w:jc w:val="both"/>
        <w:rPr>
          <w:rFonts w:asciiTheme="minorHAnsi" w:hAnsiTheme="minorHAnsi" w:cstheme="minorHAnsi"/>
          <w:color w:val="008080"/>
          <w:sz w:val="22"/>
          <w:szCs w:val="22"/>
        </w:rPr>
      </w:pPr>
      <w:r w:rsidRPr="00E33CA0">
        <w:rPr>
          <w:rFonts w:asciiTheme="minorHAnsi" w:hAnsiTheme="minorHAnsi" w:cstheme="minorHAnsi"/>
          <w:color w:val="008080"/>
          <w:sz w:val="22"/>
          <w:szCs w:val="22"/>
        </w:rPr>
        <w:t xml:space="preserve">The Albania national analysis adds detail on this reform. About sixty municipal utilities are being consolidated into fifteen regional Water Supply and Sewerage Companies, coordinated by the National Agency for Water Supply, Wastewater and Waste Infrastructure under Decision No. 302 of 2022. Sewerage coverage stands at about 57 </w:t>
      </w:r>
      <w:r w:rsidR="0091082B" w:rsidRPr="00E33CA0">
        <w:rPr>
          <w:rFonts w:asciiTheme="minorHAnsi" w:hAnsiTheme="minorHAnsi" w:cstheme="minorHAnsi"/>
          <w:color w:val="008080"/>
          <w:sz w:val="22"/>
          <w:szCs w:val="22"/>
        </w:rPr>
        <w:t>%</w:t>
      </w:r>
      <w:r w:rsidRPr="00E33CA0">
        <w:rPr>
          <w:rFonts w:asciiTheme="minorHAnsi" w:hAnsiTheme="minorHAnsi" w:cstheme="minorHAnsi"/>
          <w:color w:val="008080"/>
          <w:sz w:val="22"/>
          <w:szCs w:val="22"/>
        </w:rPr>
        <w:t xml:space="preserve"> nationally, below the 75 </w:t>
      </w:r>
      <w:r w:rsidR="0091082B" w:rsidRPr="00E33CA0">
        <w:rPr>
          <w:rFonts w:asciiTheme="minorHAnsi" w:hAnsiTheme="minorHAnsi" w:cstheme="minorHAnsi"/>
          <w:color w:val="008080"/>
          <w:sz w:val="22"/>
          <w:szCs w:val="22"/>
        </w:rPr>
        <w:t>%</w:t>
      </w:r>
      <w:r w:rsidRPr="00E33CA0">
        <w:rPr>
          <w:rFonts w:asciiTheme="minorHAnsi" w:hAnsiTheme="minorHAnsi" w:cstheme="minorHAnsi"/>
          <w:color w:val="008080"/>
          <w:sz w:val="22"/>
          <w:szCs w:val="22"/>
        </w:rPr>
        <w:t xml:space="preserve"> regulatory target, with rural areas furthest behind (ERRU, 2024). The reform is a clear opportunity to build gender requirements into the new companies from the start (Albania National Gender Analysis, 2025).</w:t>
      </w:r>
    </w:p>
    <w:p w14:paraId="3F72DD98" w14:textId="77777777" w:rsidR="000E4587" w:rsidRPr="00E33CA0" w:rsidRDefault="000E4587">
      <w:pPr>
        <w:jc w:val="both"/>
        <w:rPr>
          <w:rFonts w:asciiTheme="minorHAnsi" w:hAnsiTheme="minorHAnsi" w:cstheme="minorHAnsi"/>
          <w:sz w:val="22"/>
          <w:szCs w:val="22"/>
        </w:rPr>
      </w:pPr>
    </w:p>
    <w:p w14:paraId="35838597" w14:textId="61FEFFF5" w:rsidR="007566F0" w:rsidRPr="00E33CA0" w:rsidRDefault="00000000">
      <w:pPr>
        <w:pBdr>
          <w:left w:val="single" w:sz="14" w:space="8" w:color="B71C1C"/>
        </w:pBdr>
        <w:shd w:val="clear" w:color="auto" w:fill="FFEBEE"/>
        <w:ind w:left="400"/>
        <w:jc w:val="both"/>
        <w:rPr>
          <w:rFonts w:asciiTheme="minorHAnsi" w:hAnsiTheme="minorHAnsi" w:cstheme="minorHAnsi"/>
          <w:sz w:val="22"/>
          <w:szCs w:val="22"/>
        </w:rPr>
      </w:pPr>
      <w:r w:rsidRPr="00E33CA0">
        <w:rPr>
          <w:rFonts w:asciiTheme="minorHAnsi" w:hAnsiTheme="minorHAnsi" w:cstheme="minorHAnsi"/>
          <w:b/>
          <w:bCs/>
          <w:color w:val="B71C1C"/>
          <w:sz w:val="22"/>
          <w:szCs w:val="22"/>
        </w:rPr>
        <w:t xml:space="preserve">Bosnia and Herzegovina: </w:t>
      </w:r>
      <w:r w:rsidRPr="00E33CA0">
        <w:rPr>
          <w:rFonts w:asciiTheme="minorHAnsi" w:hAnsiTheme="minorHAnsi" w:cstheme="minorHAnsi"/>
          <w:color w:val="auto"/>
          <w:sz w:val="22"/>
          <w:szCs w:val="22"/>
        </w:rPr>
        <w:t>Bosnia and Herzegovina has the most complex water governance structure among the four countries, directly reflecting its post-war constitutional architecture. Water management responsibilities are divided between the two entities the Federation of Bosnia and Herzegovina (FBiH) and Republika Srpska (RS) as well as the Brčko District, each with their own legislative frameworks, institutional arrangements, and budget lines. At the state level, the Ministry of Foreign Trade and Economic Relations is responsible for international water affairs, while the two entity-level water management agencies (for the Sava River basin and the Adriatic Sea basin) oversee resource management within their jurisdictions. Below this sit 142 local water utility companies of widely varying size and capacity. This extreme fragmentation  which the World Bank (2022) describes as among the most complex water sector governance arrangements in the Western Balkans creates major obstacles for any cross-cutting policy including gender mainstreaming; a gender action plan adopted at the state level must be interpreted and implemented separately by two entity governments, a district, two river basin agencies, and 142 utilities, each with different institutional cultures, different data systems, and different levels of awareness of gender equality obligations.</w:t>
      </w:r>
    </w:p>
    <w:p w14:paraId="42675150" w14:textId="2B4504D4" w:rsidR="001B3EC1" w:rsidRPr="00E33CA0" w:rsidRDefault="00000000" w:rsidP="00515A97">
      <w:pPr>
        <w:pBdr>
          <w:left w:val="single" w:sz="14" w:space="8" w:color="B71C1C"/>
        </w:pBdr>
        <w:shd w:val="clear" w:color="auto" w:fill="FFEBEE"/>
        <w:ind w:left="400"/>
        <w:jc w:val="both"/>
        <w:rPr>
          <w:rFonts w:asciiTheme="minorHAnsi" w:hAnsiTheme="minorHAnsi" w:cstheme="minorHAnsi"/>
          <w:color w:val="E36C09"/>
          <w:sz w:val="22"/>
          <w:szCs w:val="22"/>
        </w:rPr>
      </w:pPr>
      <w:r w:rsidRPr="00E33CA0">
        <w:rPr>
          <w:rFonts w:asciiTheme="minorHAnsi" w:hAnsiTheme="minorHAnsi" w:cstheme="minorHAnsi"/>
          <w:color w:val="E36C09"/>
          <w:sz w:val="22"/>
          <w:szCs w:val="22"/>
        </w:rPr>
        <w:t xml:space="preserve">The Bosnia and Herzegovina national analysis quantifies this fragmentation. About 58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the population is served by formal utilities, around 30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rely on </w:t>
      </w:r>
      <w:proofErr w:type="spellStart"/>
      <w:r w:rsidRPr="00E33CA0">
        <w:rPr>
          <w:rFonts w:asciiTheme="minorHAnsi" w:hAnsiTheme="minorHAnsi" w:cstheme="minorHAnsi"/>
          <w:color w:val="E36C09"/>
          <w:sz w:val="22"/>
          <w:szCs w:val="22"/>
        </w:rPr>
        <w:t>self provision</w:t>
      </w:r>
      <w:proofErr w:type="spellEnd"/>
      <w:r w:rsidRPr="00E33CA0">
        <w:rPr>
          <w:rFonts w:asciiTheme="minorHAnsi" w:hAnsiTheme="minorHAnsi" w:cstheme="minorHAnsi"/>
          <w:color w:val="E36C09"/>
          <w:sz w:val="22"/>
          <w:szCs w:val="22"/>
        </w:rPr>
        <w:t xml:space="preserve"> through local community systems, and about 12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have no access to drinking water. Only about 3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the population is connected to wastewater treatment, and non revenue water reaches around 55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These service gaps fall hardest on women in rural and underserved communities (Bosnia and Herzegovina National Gender Analysis, 2025).</w:t>
      </w:r>
    </w:p>
    <w:p w14:paraId="180A7E60" w14:textId="77777777" w:rsidR="007566F0" w:rsidRPr="00E33CA0" w:rsidRDefault="007566F0">
      <w:pPr>
        <w:jc w:val="both"/>
        <w:rPr>
          <w:rFonts w:asciiTheme="minorHAnsi" w:hAnsiTheme="minorHAnsi" w:cstheme="minorHAnsi"/>
          <w:b/>
          <w:bCs/>
          <w:color w:val="E36C09"/>
          <w:sz w:val="22"/>
          <w:szCs w:val="22"/>
        </w:rPr>
      </w:pPr>
    </w:p>
    <w:p w14:paraId="144B0FCB" w14:textId="77777777" w:rsidR="007566F0" w:rsidRPr="00E33CA0" w:rsidRDefault="007566F0">
      <w:pPr>
        <w:jc w:val="both"/>
        <w:rPr>
          <w:rFonts w:asciiTheme="minorHAnsi" w:hAnsiTheme="minorHAnsi" w:cstheme="minorHAnsi"/>
          <w:b/>
          <w:bCs/>
          <w:color w:val="E36C09"/>
          <w:sz w:val="22"/>
          <w:szCs w:val="22"/>
        </w:rPr>
      </w:pPr>
    </w:p>
    <w:p w14:paraId="10A73020" w14:textId="77777777" w:rsidR="000E4587" w:rsidRPr="00E33CA0" w:rsidRDefault="00000000">
      <w:pPr>
        <w:pBdr>
          <w:left w:val="single" w:sz="14" w:space="8" w:color="4A148C"/>
        </w:pBdr>
        <w:shd w:val="clear" w:color="auto" w:fill="F3E5F5"/>
        <w:ind w:left="400"/>
        <w:jc w:val="both"/>
        <w:rPr>
          <w:rFonts w:asciiTheme="minorHAnsi" w:hAnsiTheme="minorHAnsi" w:cstheme="minorHAnsi"/>
          <w:color w:val="auto"/>
          <w:sz w:val="22"/>
          <w:szCs w:val="22"/>
        </w:rPr>
      </w:pPr>
      <w:r w:rsidRPr="00E33CA0">
        <w:rPr>
          <w:rFonts w:asciiTheme="minorHAnsi" w:hAnsiTheme="minorHAnsi" w:cstheme="minorHAnsi"/>
          <w:b/>
          <w:bCs/>
          <w:color w:val="4A148C"/>
          <w:sz w:val="22"/>
          <w:szCs w:val="22"/>
        </w:rPr>
        <w:t xml:space="preserve">Croatia: </w:t>
      </w:r>
      <w:r w:rsidRPr="00E33CA0">
        <w:rPr>
          <w:rFonts w:asciiTheme="minorHAnsi" w:hAnsiTheme="minorHAnsi" w:cstheme="minorHAnsi"/>
          <w:color w:val="auto"/>
          <w:sz w:val="22"/>
          <w:szCs w:val="22"/>
        </w:rPr>
        <w:t xml:space="preserve">Croatia offers the most centralized and institutionally developed water governance model among the four countries. Croatian Waters (Hrvatske vode), established as a legal entity under the Water Act (Official Gazette 66/19, 84/21, 47/23), </w:t>
      </w:r>
      <w:r w:rsidRPr="00E33CA0">
        <w:rPr>
          <w:rFonts w:asciiTheme="minorHAnsi" w:hAnsiTheme="minorHAnsi" w:cstheme="minorHAnsi"/>
          <w:b/>
          <w:bCs/>
          <w:color w:val="7030A0"/>
          <w:sz w:val="22"/>
          <w:szCs w:val="22"/>
        </w:rPr>
        <w:t xml:space="preserve">along with the Ministry of Environmental Protection and Green Transition, </w:t>
      </w:r>
      <w:r w:rsidRPr="00E33CA0">
        <w:rPr>
          <w:rFonts w:asciiTheme="minorHAnsi" w:hAnsiTheme="minorHAnsi" w:cstheme="minorHAnsi"/>
          <w:color w:val="auto"/>
          <w:sz w:val="22"/>
          <w:szCs w:val="22"/>
        </w:rPr>
        <w:t>is the single national authority responsible for water management, flood protection, and water infrastructure. With approximately 1,202 staff, it functions as both a regulatory and operational body, enabling consistent application of national-</w:t>
      </w:r>
      <w:r w:rsidRPr="00E33CA0">
        <w:rPr>
          <w:rFonts w:asciiTheme="minorHAnsi" w:hAnsiTheme="minorHAnsi" w:cstheme="minorHAnsi"/>
          <w:color w:val="auto"/>
          <w:sz w:val="22"/>
          <w:szCs w:val="22"/>
        </w:rPr>
        <w:lastRenderedPageBreak/>
        <w:t xml:space="preserve">level policies including gender equality provisions across the entire water sector. Croatia’s full membership in the EU since 2013 requires compliance with the EU Water Framework Directive (WFD), which mandates integrated river basin management and public participation, including gender-inclusive consultation processes. The Croatian Waters Gender Equality Action Plan 2023–2026 is the most comprehensive sector-specific gender instrument among the four countries. The recent appointment of women to leadership positions at both the Ministry of Environmental Protection and Green Transition and </w:t>
      </w:r>
      <w:r w:rsidRPr="00E33CA0">
        <w:rPr>
          <w:rFonts w:asciiTheme="minorHAnsi" w:hAnsiTheme="minorHAnsi" w:cstheme="minorHAnsi"/>
          <w:b/>
          <w:bCs/>
          <w:color w:val="7030A0"/>
          <w:sz w:val="22"/>
          <w:szCs w:val="22"/>
        </w:rPr>
        <w:t xml:space="preserve">Management Board </w:t>
      </w:r>
      <w:r w:rsidRPr="00E33CA0">
        <w:rPr>
          <w:rFonts w:asciiTheme="minorHAnsi" w:hAnsiTheme="minorHAnsi" w:cstheme="minorHAnsi"/>
          <w:color w:val="auto"/>
          <w:sz w:val="22"/>
          <w:szCs w:val="22"/>
        </w:rPr>
        <w:t>Croatian Waters (2025) demonstrates how centralized governance structures can facilitate gender-responsive change when political will exists.</w:t>
      </w:r>
    </w:p>
    <w:p w14:paraId="78EDE8BB" w14:textId="77777777" w:rsidR="000E4587" w:rsidRPr="00E33CA0" w:rsidRDefault="000E4587">
      <w:pPr>
        <w:jc w:val="both"/>
        <w:rPr>
          <w:rFonts w:asciiTheme="minorHAnsi" w:hAnsiTheme="minorHAnsi" w:cstheme="minorHAnsi"/>
          <w:sz w:val="22"/>
          <w:szCs w:val="22"/>
        </w:rPr>
      </w:pPr>
    </w:p>
    <w:p w14:paraId="5A06351C" w14:textId="77777777" w:rsidR="000E4587" w:rsidRPr="00E33CA0" w:rsidRDefault="00000000">
      <w:pPr>
        <w:pBdr>
          <w:left w:val="single" w:sz="14" w:space="8" w:color="3E2723"/>
        </w:pBdr>
        <w:shd w:val="clear" w:color="auto" w:fill="EFEBE9"/>
        <w:ind w:left="400"/>
        <w:jc w:val="both"/>
        <w:rPr>
          <w:rFonts w:asciiTheme="minorHAnsi" w:hAnsiTheme="minorHAnsi" w:cstheme="minorHAnsi"/>
          <w:sz w:val="22"/>
          <w:szCs w:val="22"/>
        </w:rPr>
      </w:pPr>
      <w:r w:rsidRPr="00E33CA0">
        <w:rPr>
          <w:rFonts w:asciiTheme="minorHAnsi" w:hAnsiTheme="minorHAnsi" w:cstheme="minorHAnsi"/>
          <w:b/>
          <w:bCs/>
          <w:color w:val="3E2723"/>
          <w:sz w:val="22"/>
          <w:szCs w:val="22"/>
        </w:rPr>
        <w:t xml:space="preserve">Montenegro: </w:t>
      </w:r>
      <w:r w:rsidRPr="00E33CA0">
        <w:rPr>
          <w:rFonts w:asciiTheme="minorHAnsi" w:hAnsiTheme="minorHAnsi" w:cstheme="minorHAnsi"/>
          <w:color w:val="auto"/>
          <w:sz w:val="22"/>
          <w:szCs w:val="22"/>
        </w:rPr>
        <w:t>Montenegro’s water management responsibilities are distributed across three ministries; the Ministry of Agriculture, Forestry and Water Management (rural water and irrigation); the Ministry of Ecology, Sustainable Development and Development of the North (environmental protection and water quality); and the Ministry of Health (drinking water standards). The Energy and Water Regulatory Agency (REGAGEN) regulate water services at the national level, while local governments manage utility services within their jurisdictions. This tri-ministerial fragmentation creates substantial coordination challenges for any cross-cutting policy including gender mainstreaming. In practice, it means there is no single institutional ‘home’ for gender equality in Montenegro’s water sector: the Ministry of Agriculture deals with irrigation (relevant to rural women’s economic participation), the Ministry of Ecology deals with water quality (relevant to women’s domestic water management), and the Ministry of Health deals with drinking water (relevant to women’s caregiving burdens) but no mechanism currently exists to coordinate gender mainstreaming across all three. Montenegro’s ongoing EU accession process is expected to drive consolidation and reform of this structure in the coming years (European Commission, 2025).</w:t>
      </w:r>
    </w:p>
    <w:p w14:paraId="3B3051A8" w14:textId="77777777" w:rsidR="000E4587" w:rsidRPr="00E33CA0" w:rsidRDefault="000E4587">
      <w:pPr>
        <w:jc w:val="both"/>
        <w:rPr>
          <w:rFonts w:asciiTheme="minorHAnsi" w:hAnsiTheme="minorHAnsi" w:cstheme="minorHAnsi"/>
          <w:sz w:val="22"/>
          <w:szCs w:val="22"/>
        </w:rPr>
      </w:pPr>
    </w:p>
    <w:p w14:paraId="47B975BE"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b/>
          <w:bCs/>
          <w:sz w:val="22"/>
          <w:szCs w:val="22"/>
        </w:rPr>
        <w:t>Table 4: Water Sector Governance Structure Comparison</w:t>
      </w:r>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199"/>
        <w:gridCol w:w="1791"/>
        <w:gridCol w:w="1789"/>
        <w:gridCol w:w="1791"/>
        <w:gridCol w:w="1790"/>
      </w:tblGrid>
      <w:tr w:rsidR="000E4587" w:rsidRPr="00E33CA0" w14:paraId="46F64CE2" w14:textId="77777777">
        <w:trPr>
          <w:tblHeader/>
        </w:trPr>
        <w:tc>
          <w:tcPr>
            <w:tcW w:w="21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30E6E074"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Aspect</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243D813B"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Albania</w:t>
            </w:r>
          </w:p>
        </w:tc>
        <w:tc>
          <w:tcPr>
            <w:tcW w:w="178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66938C06"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Bosnia &amp; Herz.</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56FA8FB"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Croatia</w:t>
            </w:r>
          </w:p>
        </w:tc>
        <w:tc>
          <w:tcPr>
            <w:tcW w:w="179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67B2871D"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Montenegro</w:t>
            </w:r>
          </w:p>
        </w:tc>
      </w:tr>
      <w:tr w:rsidR="000E4587" w:rsidRPr="00E33CA0" w14:paraId="14646699"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1F062C6"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Primary Authority</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E0A3C9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National Water Council; MARDWA; MIE</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9C4487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Entity-level management (FBiH/RS)</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A1C2F7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Hrvatske vode (Croatian Waters)</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655608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Multiple ministries + REGAGEN</w:t>
            </w:r>
          </w:p>
        </w:tc>
      </w:tr>
      <w:tr w:rsidR="000E4587" w:rsidRPr="00E33CA0" w14:paraId="6D6996E4"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AC0A95C"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No. of Key Institutions</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C2E2DF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2 ministries + National Water Council</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2A5A2F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2 entities + Brčko + 2 basin agencies + 142 utilities</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7698F8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1</w:t>
            </w:r>
            <w:r w:rsidRPr="00E33CA0">
              <w:rPr>
                <w:rFonts w:asciiTheme="minorHAnsi" w:hAnsiTheme="minorHAnsi" w:cstheme="minorHAnsi"/>
                <w:b/>
                <w:bCs/>
                <w:color w:val="7030A0"/>
                <w:sz w:val="22"/>
                <w:szCs w:val="22"/>
              </w:rPr>
              <w:t xml:space="preserve"> Ministry + 1</w:t>
            </w:r>
            <w:r w:rsidRPr="00E33CA0">
              <w:rPr>
                <w:rFonts w:asciiTheme="minorHAnsi" w:hAnsiTheme="minorHAnsi" w:cstheme="minorHAnsi"/>
                <w:color w:val="auto"/>
                <w:sz w:val="22"/>
                <w:szCs w:val="22"/>
              </w:rPr>
              <w:t xml:space="preserve"> central authority (Croatian Waters)</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7B532C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3 ministries + REGAGEN + local govts</w:t>
            </w:r>
          </w:p>
        </w:tc>
      </w:tr>
      <w:tr w:rsidR="000E4587" w:rsidRPr="00E33CA0" w14:paraId="75A6BDF0"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6CE952E"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Gender Mechanism</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E3DAC00" w14:textId="77777777" w:rsidR="000E4587" w:rsidRPr="00E33CA0" w:rsidRDefault="00000000">
            <w:pPr>
              <w:jc w:val="both"/>
              <w:rPr>
                <w:rFonts w:asciiTheme="minorHAnsi" w:hAnsiTheme="minorHAnsi" w:cstheme="minorHAnsi"/>
                <w:color w:val="auto"/>
                <w:sz w:val="22"/>
                <w:szCs w:val="22"/>
                <w:lang w:val="it-IT"/>
              </w:rPr>
            </w:pPr>
            <w:r w:rsidRPr="00E33CA0">
              <w:rPr>
                <w:rFonts w:asciiTheme="minorHAnsi" w:hAnsiTheme="minorHAnsi" w:cstheme="minorHAnsi"/>
                <w:color w:val="auto"/>
                <w:sz w:val="22"/>
                <w:szCs w:val="22"/>
                <w:lang w:val="it-IT"/>
              </w:rPr>
              <w:t>GEE in IPMG (DIKTAS II Albania, 2025)</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EFC4ED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Limited (Agency for Gender Equality)</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06A96C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Gender Action Plan 2023–2026 (Croatian Waters, 2023)</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42835D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Limited; no cross-ministerial mechanism</w:t>
            </w:r>
          </w:p>
        </w:tc>
      </w:tr>
      <w:tr w:rsidR="000E4587" w:rsidRPr="00E33CA0" w14:paraId="59314D2E"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8D1A6E9"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EU WFD Alignment</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DFD02E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Ongoing (EC, 2025)</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E650B9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Partial</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57B92F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Full (EU member since 2013)</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0C24DD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In progress (candidate country)</w:t>
            </w:r>
          </w:p>
        </w:tc>
      </w:tr>
      <w:tr w:rsidR="000E4587" w:rsidRPr="00E33CA0" w14:paraId="45E3426B"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36AC543"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Fragmentation Level</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21E763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High</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5AA759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Very high (most </w:t>
            </w:r>
            <w:r w:rsidRPr="00E33CA0">
              <w:rPr>
                <w:rFonts w:asciiTheme="minorHAnsi" w:hAnsiTheme="minorHAnsi" w:cstheme="minorHAnsi"/>
                <w:color w:val="auto"/>
                <w:sz w:val="22"/>
                <w:szCs w:val="22"/>
              </w:rPr>
              <w:lastRenderedPageBreak/>
              <w:t>complex in region)</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76D4E7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lastRenderedPageBreak/>
              <w:t xml:space="preserve">Centralized </w:t>
            </w:r>
            <w:r w:rsidRPr="00E33CA0">
              <w:rPr>
                <w:rFonts w:asciiTheme="minorHAnsi" w:hAnsiTheme="minorHAnsi" w:cstheme="minorHAnsi"/>
                <w:color w:val="auto"/>
                <w:sz w:val="22"/>
                <w:szCs w:val="22"/>
              </w:rPr>
              <w:lastRenderedPageBreak/>
              <w:t>(lowest fragmentation)</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767D85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lastRenderedPageBreak/>
              <w:t xml:space="preserve">High (3 </w:t>
            </w:r>
            <w:r w:rsidRPr="00E33CA0">
              <w:rPr>
                <w:rFonts w:asciiTheme="minorHAnsi" w:hAnsiTheme="minorHAnsi" w:cstheme="minorHAnsi"/>
                <w:color w:val="auto"/>
                <w:sz w:val="22"/>
                <w:szCs w:val="22"/>
              </w:rPr>
              <w:lastRenderedPageBreak/>
              <w:t>ministries; no single authority)</w:t>
            </w:r>
          </w:p>
        </w:tc>
      </w:tr>
      <w:tr w:rsidR="000E4587" w:rsidRPr="00E33CA0" w14:paraId="7E7AE2C9"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A77E148"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Reform Status</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40A5BE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Since 2015 (EC, 2025)</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C74711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Ongoing; complex political constraints</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A23D78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Established; consolidation underway</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C100ACB"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Ongoing; EU accession driving reform</w:t>
            </w:r>
          </w:p>
        </w:tc>
      </w:tr>
      <w:tr w:rsidR="000E4587" w:rsidRPr="00E33CA0" w14:paraId="02FD2AC0"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B5B3F71"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Gender Mainstreaming Risk from Fragmentation</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69DA6C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Medium</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914A44B"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Very High</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7EFB65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Low</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232694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High</w:t>
            </w:r>
          </w:p>
        </w:tc>
      </w:tr>
    </w:tbl>
    <w:p w14:paraId="455DC172" w14:textId="77777777" w:rsidR="000E4587" w:rsidRPr="00E33CA0" w:rsidRDefault="00000000">
      <w:pPr>
        <w:jc w:val="both"/>
        <w:rPr>
          <w:rFonts w:asciiTheme="minorHAnsi" w:hAnsiTheme="minorHAnsi" w:cstheme="minorHAnsi"/>
          <w:sz w:val="18"/>
          <w:szCs w:val="18"/>
        </w:rPr>
      </w:pPr>
      <w:r w:rsidRPr="00E33CA0">
        <w:rPr>
          <w:rFonts w:asciiTheme="minorHAnsi" w:hAnsiTheme="minorHAnsi" w:cstheme="minorHAnsi"/>
          <w:b/>
          <w:bCs/>
          <w:i/>
          <w:iCs/>
          <w:color w:val="666666"/>
          <w:sz w:val="18"/>
          <w:szCs w:val="18"/>
        </w:rPr>
        <w:t>Sources:</w:t>
      </w:r>
      <w:r w:rsidRPr="00E33CA0">
        <w:rPr>
          <w:rFonts w:asciiTheme="minorHAnsi" w:hAnsiTheme="minorHAnsi" w:cstheme="minorHAnsi"/>
          <w:i/>
          <w:iCs/>
          <w:color w:val="666666"/>
          <w:sz w:val="18"/>
          <w:szCs w:val="18"/>
        </w:rPr>
        <w:t xml:space="preserve"> DIKTAS II National Gender Analyses (2025); World Bank (2022); Croatian Waters (2025); European Commission (2025); REGAGEN Montenegro (2022).</w:t>
      </w:r>
    </w:p>
    <w:p w14:paraId="38D30703"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rPr>
        <w:br w:type="page"/>
      </w:r>
    </w:p>
    <w:p w14:paraId="12C0CB58"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23" w:name="_Toc231038120"/>
      <w:r w:rsidRPr="00E33CA0">
        <w:rPr>
          <w:rFonts w:asciiTheme="minorHAnsi" w:eastAsia="Arial" w:hAnsiTheme="minorHAnsi" w:cstheme="minorHAnsi"/>
          <w:b/>
          <w:bCs/>
          <w:color w:val="1F4E79"/>
          <w:sz w:val="22"/>
          <w:szCs w:val="22"/>
        </w:rPr>
        <w:lastRenderedPageBreak/>
        <w:t>4.  COMPARATIVE GENDER ANALYSIS: WATER AS AN ASSET</w:t>
      </w:r>
      <w:bookmarkEnd w:id="23"/>
    </w:p>
    <w:p w14:paraId="0945ACDD"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This section compares findings regarding women's access to, control over, and economic opportunities derived from water resources and water sector employment across all four countries.</w:t>
      </w:r>
    </w:p>
    <w:p w14:paraId="51054F1C" w14:textId="77777777" w:rsidR="000E4587" w:rsidRPr="00E33CA0" w:rsidRDefault="000E4587">
      <w:pPr>
        <w:jc w:val="both"/>
        <w:rPr>
          <w:rFonts w:asciiTheme="minorHAnsi" w:hAnsiTheme="minorHAnsi" w:cstheme="minorHAnsi"/>
          <w:sz w:val="22"/>
          <w:szCs w:val="22"/>
        </w:rPr>
      </w:pPr>
    </w:p>
    <w:p w14:paraId="53B8C12F" w14:textId="77777777" w:rsidR="000E4587" w:rsidRPr="00E33CA0" w:rsidRDefault="00000000">
      <w:pPr>
        <w:pStyle w:val="Heading2"/>
        <w:spacing w:before="0" w:after="0"/>
        <w:jc w:val="both"/>
        <w:rPr>
          <w:rFonts w:asciiTheme="minorHAnsi" w:hAnsiTheme="minorHAnsi" w:cstheme="minorHAnsi"/>
          <w:sz w:val="22"/>
          <w:szCs w:val="22"/>
        </w:rPr>
      </w:pPr>
      <w:bookmarkStart w:id="24" w:name="_Toc231038121"/>
      <w:r w:rsidRPr="00E33CA0">
        <w:rPr>
          <w:rFonts w:asciiTheme="minorHAnsi" w:eastAsia="Arial" w:hAnsiTheme="minorHAnsi" w:cstheme="minorHAnsi"/>
          <w:b/>
          <w:bCs/>
          <w:color w:val="2E75B6"/>
          <w:sz w:val="22"/>
          <w:szCs w:val="22"/>
        </w:rPr>
        <w:t>4.1 Women's Employment in the Water Sector</w:t>
      </w:r>
      <w:bookmarkEnd w:id="24"/>
    </w:p>
    <w:p w14:paraId="71D8040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Across the Dinaric Karst region, women remain significantly underrepresented in water sector employment, particularly in technical and leadership positions. This pattern reflects broader societal norms that channel women into administrative and support roles while reserving engineering and management positions for men.</w:t>
      </w:r>
    </w:p>
    <w:p w14:paraId="071EBC10" w14:textId="77777777" w:rsidR="000E4587" w:rsidRPr="00E33CA0" w:rsidRDefault="000E4587">
      <w:pPr>
        <w:jc w:val="both"/>
        <w:rPr>
          <w:rFonts w:asciiTheme="minorHAnsi" w:hAnsiTheme="minorHAnsi" w:cstheme="minorHAnsi"/>
          <w:sz w:val="22"/>
          <w:szCs w:val="22"/>
        </w:rPr>
      </w:pPr>
    </w:p>
    <w:p w14:paraId="72F755F9" w14:textId="11D6F064" w:rsidR="00BB5701" w:rsidRPr="00E33CA0" w:rsidRDefault="00000000">
      <w:pPr>
        <w:pBdr>
          <w:left w:val="single" w:sz="14" w:space="8" w:color="1B5E20"/>
        </w:pBdr>
        <w:shd w:val="clear" w:color="auto" w:fill="E8F5E9"/>
        <w:ind w:left="400"/>
        <w:jc w:val="both"/>
        <w:rPr>
          <w:rFonts w:asciiTheme="minorHAnsi" w:hAnsiTheme="minorHAnsi" w:cstheme="minorHAnsi"/>
          <w:sz w:val="22"/>
          <w:szCs w:val="22"/>
        </w:rPr>
      </w:pPr>
      <w:r w:rsidRPr="00E33CA0">
        <w:rPr>
          <w:rFonts w:asciiTheme="minorHAnsi" w:hAnsiTheme="minorHAnsi" w:cstheme="minorHAnsi"/>
          <w:b/>
          <w:bCs/>
          <w:color w:val="1B5E20"/>
          <w:sz w:val="22"/>
          <w:szCs w:val="22"/>
        </w:rPr>
        <w:t>Albania:</w:t>
      </w:r>
      <w:r w:rsidRPr="00E33CA0">
        <w:rPr>
          <w:rFonts w:asciiTheme="minorHAnsi" w:hAnsiTheme="minorHAnsi" w:cstheme="minorHAnsi"/>
          <w:b/>
          <w:bCs/>
          <w:color w:val="auto"/>
          <w:sz w:val="22"/>
          <w:szCs w:val="22"/>
        </w:rPr>
        <w:t xml:space="preserve"> </w:t>
      </w:r>
      <w:r w:rsidRPr="00E33CA0">
        <w:rPr>
          <w:rFonts w:asciiTheme="minorHAnsi" w:hAnsiTheme="minorHAnsi" w:cstheme="minorHAnsi"/>
          <w:color w:val="auto"/>
          <w:sz w:val="22"/>
          <w:szCs w:val="22"/>
        </w:rPr>
        <w:t>Women represent 10–40% (2021; Water Sector Gender Assessment/MARDWA) of water utility staff, predominantly in administrative and finance positions. Women manage an estimated 66% of household water use (2021; Water Sector Gender Assessment) yet remain marginalized from formal water-related employment.</w:t>
      </w:r>
    </w:p>
    <w:p w14:paraId="39209A97" w14:textId="77777777" w:rsidR="001B3EC1" w:rsidRPr="00E33CA0" w:rsidRDefault="00000000" w:rsidP="00515A97">
      <w:pPr>
        <w:pBdr>
          <w:left w:val="single" w:sz="14" w:space="8" w:color="1B5E20"/>
        </w:pBdr>
        <w:shd w:val="clear" w:color="auto" w:fill="E8F5E9"/>
        <w:ind w:left="400"/>
        <w:jc w:val="both"/>
        <w:rPr>
          <w:rFonts w:asciiTheme="minorHAnsi" w:hAnsiTheme="minorHAnsi" w:cstheme="minorHAnsi"/>
          <w:color w:val="008080"/>
          <w:sz w:val="22"/>
          <w:szCs w:val="22"/>
        </w:rPr>
      </w:pPr>
      <w:r w:rsidRPr="00E33CA0">
        <w:rPr>
          <w:rFonts w:asciiTheme="minorHAnsi" w:hAnsiTheme="minorHAnsi" w:cstheme="minorHAnsi"/>
          <w:color w:val="008080"/>
          <w:sz w:val="22"/>
          <w:szCs w:val="22"/>
        </w:rPr>
        <w:t>The Albania national analysis adds that the Gender Agenda and Action Plan for Water Utilities 2019 to 2030, prepared with GIZ and SHUKALB, is the main sector instrument for gender mainstreaming. Key informant interviews indicated that it is not applied consistently across utilities. Respondents assessed women representation in water institutions as low, and pointed to limited advancement, few role models, inflexible working arrangements, and the absence of internal gender policies. Interviews also noted a growing group of young women in environmental studies and water diplomacy who face barriers to entry (Albania National Gender Analysis, 2025).</w:t>
      </w:r>
    </w:p>
    <w:p w14:paraId="32D766DA" w14:textId="77777777" w:rsidR="000E4587" w:rsidRPr="00E33CA0" w:rsidRDefault="000E4587">
      <w:pPr>
        <w:jc w:val="both"/>
        <w:rPr>
          <w:rFonts w:asciiTheme="minorHAnsi" w:hAnsiTheme="minorHAnsi" w:cstheme="minorHAnsi"/>
          <w:sz w:val="22"/>
          <w:szCs w:val="22"/>
        </w:rPr>
      </w:pPr>
    </w:p>
    <w:p w14:paraId="07CAD06C" w14:textId="7DD0E8B8" w:rsidR="00BB5701" w:rsidRPr="00E33CA0" w:rsidRDefault="00000000">
      <w:pPr>
        <w:pBdr>
          <w:left w:val="single" w:sz="14" w:space="8" w:color="B71C1C"/>
        </w:pBdr>
        <w:shd w:val="clear" w:color="auto" w:fill="FFEBEE"/>
        <w:ind w:left="400"/>
        <w:jc w:val="both"/>
        <w:rPr>
          <w:rFonts w:asciiTheme="minorHAnsi" w:hAnsiTheme="minorHAnsi" w:cstheme="minorHAnsi"/>
          <w:sz w:val="22"/>
          <w:szCs w:val="22"/>
        </w:rPr>
      </w:pPr>
      <w:r w:rsidRPr="00E33CA0">
        <w:rPr>
          <w:rFonts w:asciiTheme="minorHAnsi" w:hAnsiTheme="minorHAnsi" w:cstheme="minorHAnsi"/>
          <w:b/>
          <w:bCs/>
          <w:color w:val="B71C1C"/>
          <w:sz w:val="22"/>
          <w:szCs w:val="22"/>
        </w:rPr>
        <w:t xml:space="preserve">Bosnia and Herzegovina: </w:t>
      </w:r>
      <w:r w:rsidRPr="00E33CA0">
        <w:rPr>
          <w:rFonts w:asciiTheme="minorHAnsi" w:hAnsiTheme="minorHAnsi" w:cstheme="minorHAnsi"/>
          <w:color w:val="auto"/>
          <w:sz w:val="22"/>
          <w:szCs w:val="22"/>
        </w:rPr>
        <w:t>Women constitute the majority of unpaid family workers (11.3% of the female labour force in Republika Srpska and 14.4% in Brčko District; 2021, BHAS) while remaining severely underrepresented in formal water sector employment. The 22–24% gender pay gap (2023; BHAS) further compounds these disparities.</w:t>
      </w:r>
    </w:p>
    <w:p w14:paraId="45920B29" w14:textId="2160B2A0" w:rsidR="001B3EC1" w:rsidRPr="00E33CA0" w:rsidRDefault="00000000" w:rsidP="00515A97">
      <w:pPr>
        <w:pBdr>
          <w:left w:val="single" w:sz="14" w:space="8" w:color="B71C1C"/>
        </w:pBdr>
        <w:shd w:val="clear" w:color="auto" w:fill="FFEBEE"/>
        <w:ind w:left="400"/>
        <w:jc w:val="both"/>
        <w:rPr>
          <w:rFonts w:asciiTheme="minorHAnsi" w:hAnsiTheme="minorHAnsi" w:cstheme="minorHAnsi"/>
          <w:color w:val="E36C09"/>
          <w:sz w:val="22"/>
          <w:szCs w:val="22"/>
        </w:rPr>
      </w:pPr>
      <w:r w:rsidRPr="00E33CA0">
        <w:rPr>
          <w:rFonts w:asciiTheme="minorHAnsi" w:hAnsiTheme="minorHAnsi" w:cstheme="minorHAnsi"/>
          <w:color w:val="E36C09"/>
          <w:sz w:val="22"/>
          <w:szCs w:val="22"/>
        </w:rPr>
        <w:t xml:space="preserve">The Bosnia and Herzegovina national analysis provides the most concrete sector figures, drawn from a World Bank utility gender assessment. Women make up about 22.6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total employees in sampled water utilities, 38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licensed engineers, and 37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managers, but hold none of the executive director posts (World Bank, 2021; Bosnia and Herzegovina National Gender Analysis, 2025).</w:t>
      </w:r>
    </w:p>
    <w:p w14:paraId="0EC2FB44" w14:textId="77777777" w:rsidR="000E4587" w:rsidRPr="00E33CA0" w:rsidRDefault="000E4587">
      <w:pPr>
        <w:jc w:val="both"/>
        <w:rPr>
          <w:rFonts w:asciiTheme="minorHAnsi" w:hAnsiTheme="minorHAnsi" w:cstheme="minorHAnsi"/>
          <w:sz w:val="22"/>
          <w:szCs w:val="22"/>
        </w:rPr>
      </w:pPr>
    </w:p>
    <w:p w14:paraId="692E0B3C" w14:textId="77777777" w:rsidR="000E4587" w:rsidRPr="00E33CA0" w:rsidRDefault="00000000">
      <w:pPr>
        <w:pBdr>
          <w:left w:val="single" w:sz="14" w:space="8" w:color="4A148C"/>
        </w:pBdr>
        <w:shd w:val="clear" w:color="auto" w:fill="F3E5F5"/>
        <w:ind w:left="400"/>
        <w:jc w:val="both"/>
        <w:rPr>
          <w:rFonts w:asciiTheme="minorHAnsi" w:hAnsiTheme="minorHAnsi" w:cstheme="minorHAnsi"/>
          <w:sz w:val="22"/>
          <w:szCs w:val="22"/>
        </w:rPr>
      </w:pPr>
      <w:r w:rsidRPr="00E33CA0">
        <w:rPr>
          <w:rFonts w:asciiTheme="minorHAnsi" w:hAnsiTheme="minorHAnsi" w:cstheme="minorHAnsi"/>
          <w:b/>
          <w:bCs/>
          <w:color w:val="4A148C"/>
          <w:sz w:val="22"/>
          <w:szCs w:val="22"/>
        </w:rPr>
        <w:t xml:space="preserve">Croatia: </w:t>
      </w:r>
      <w:r w:rsidRPr="00E33CA0">
        <w:rPr>
          <w:rFonts w:asciiTheme="minorHAnsi" w:hAnsiTheme="minorHAnsi" w:cstheme="minorHAnsi"/>
          <w:color w:val="auto"/>
          <w:sz w:val="22"/>
          <w:szCs w:val="22"/>
        </w:rPr>
        <w:t>Women comprise 46.8% of total staff at Croatian Waters (2025; Croatian Waters). However, vertical segregation persists: women hold 0% of General Director and Deputy Director positions while comprising 53.3% of Sector Head roles (2025; Croatian Waters). The 11.1% gender wage gap (2023; Eurostat) and 24.8% pension gap (2023; Eurostat) reflect the cumulative impact of occupational segregation throughout women's careers.</w:t>
      </w:r>
    </w:p>
    <w:p w14:paraId="2671EB18" w14:textId="77777777" w:rsidR="000E4587" w:rsidRPr="00E33CA0" w:rsidRDefault="000E4587">
      <w:pPr>
        <w:jc w:val="both"/>
        <w:rPr>
          <w:rFonts w:asciiTheme="minorHAnsi" w:hAnsiTheme="minorHAnsi" w:cstheme="minorHAnsi"/>
          <w:sz w:val="22"/>
          <w:szCs w:val="22"/>
        </w:rPr>
      </w:pPr>
    </w:p>
    <w:p w14:paraId="7B54B994" w14:textId="77777777" w:rsidR="000E4587" w:rsidRPr="00E33CA0" w:rsidRDefault="00000000">
      <w:pPr>
        <w:pBdr>
          <w:left w:val="single" w:sz="14" w:space="8" w:color="3E2723"/>
        </w:pBdr>
        <w:shd w:val="clear" w:color="auto" w:fill="EFEBE9"/>
        <w:ind w:left="400"/>
        <w:jc w:val="both"/>
        <w:rPr>
          <w:rFonts w:asciiTheme="minorHAnsi" w:hAnsiTheme="minorHAnsi" w:cstheme="minorHAnsi"/>
          <w:sz w:val="22"/>
          <w:szCs w:val="22"/>
        </w:rPr>
      </w:pPr>
      <w:r w:rsidRPr="00E33CA0">
        <w:rPr>
          <w:rFonts w:asciiTheme="minorHAnsi" w:hAnsiTheme="minorHAnsi" w:cstheme="minorHAnsi"/>
          <w:b/>
          <w:bCs/>
          <w:color w:val="3E2723"/>
          <w:sz w:val="22"/>
          <w:szCs w:val="22"/>
        </w:rPr>
        <w:t xml:space="preserve">Montenegro: </w:t>
      </w:r>
      <w:r w:rsidRPr="00E33CA0">
        <w:rPr>
          <w:rFonts w:asciiTheme="minorHAnsi" w:hAnsiTheme="minorHAnsi" w:cstheme="minorHAnsi"/>
          <w:color w:val="auto"/>
          <w:sz w:val="22"/>
          <w:szCs w:val="22"/>
        </w:rPr>
        <w:t>Women comprise less than 20% of water sector workers overall and only 23% of licensed engineers and managers in sampled utilities (2019; World Bank). Women are clustered in administrative rather than technical or managerial roles.</w:t>
      </w:r>
    </w:p>
    <w:p w14:paraId="7C605601" w14:textId="77777777" w:rsidR="000E4587" w:rsidRDefault="000E4587">
      <w:pPr>
        <w:jc w:val="both"/>
        <w:rPr>
          <w:rFonts w:asciiTheme="minorHAnsi" w:hAnsiTheme="minorHAnsi" w:cstheme="minorHAnsi"/>
          <w:sz w:val="22"/>
          <w:szCs w:val="22"/>
        </w:rPr>
      </w:pPr>
    </w:p>
    <w:p w14:paraId="399A7230" w14:textId="77777777" w:rsidR="00A03739" w:rsidRDefault="00A03739">
      <w:pPr>
        <w:jc w:val="both"/>
        <w:rPr>
          <w:rFonts w:asciiTheme="minorHAnsi" w:hAnsiTheme="minorHAnsi" w:cstheme="minorHAnsi"/>
          <w:sz w:val="22"/>
          <w:szCs w:val="22"/>
        </w:rPr>
      </w:pPr>
    </w:p>
    <w:p w14:paraId="388900D0" w14:textId="77777777" w:rsidR="00A03739" w:rsidRDefault="00A03739">
      <w:pPr>
        <w:jc w:val="both"/>
        <w:rPr>
          <w:rFonts w:asciiTheme="minorHAnsi" w:hAnsiTheme="minorHAnsi" w:cstheme="minorHAnsi"/>
          <w:sz w:val="22"/>
          <w:szCs w:val="22"/>
        </w:rPr>
      </w:pPr>
    </w:p>
    <w:p w14:paraId="0907AD83" w14:textId="77777777" w:rsidR="00A03739" w:rsidRDefault="00A03739">
      <w:pPr>
        <w:jc w:val="both"/>
        <w:rPr>
          <w:rFonts w:asciiTheme="minorHAnsi" w:hAnsiTheme="minorHAnsi" w:cstheme="minorHAnsi"/>
          <w:sz w:val="22"/>
          <w:szCs w:val="22"/>
        </w:rPr>
      </w:pPr>
    </w:p>
    <w:p w14:paraId="15D3235F" w14:textId="77777777" w:rsidR="00A03739" w:rsidRPr="00E33CA0" w:rsidRDefault="00A03739">
      <w:pPr>
        <w:jc w:val="both"/>
        <w:rPr>
          <w:rFonts w:asciiTheme="minorHAnsi" w:hAnsiTheme="minorHAnsi" w:cstheme="minorHAnsi"/>
          <w:sz w:val="22"/>
          <w:szCs w:val="22"/>
        </w:rPr>
      </w:pPr>
    </w:p>
    <w:p w14:paraId="16D04C4B"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b/>
          <w:bCs/>
          <w:sz w:val="22"/>
          <w:szCs w:val="22"/>
        </w:rPr>
        <w:lastRenderedPageBreak/>
        <w:t>Table 5: Gender Disparities in Water Sector – Water as an Asset</w:t>
      </w:r>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199"/>
        <w:gridCol w:w="1791"/>
        <w:gridCol w:w="1789"/>
        <w:gridCol w:w="1791"/>
        <w:gridCol w:w="1790"/>
      </w:tblGrid>
      <w:tr w:rsidR="000E4587" w:rsidRPr="00E33CA0" w14:paraId="055ABB46" w14:textId="77777777">
        <w:trPr>
          <w:tblHeader/>
        </w:trPr>
        <w:tc>
          <w:tcPr>
            <w:tcW w:w="21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500B8A53"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Indicator</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65C66B04"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Albania</w:t>
            </w:r>
          </w:p>
        </w:tc>
        <w:tc>
          <w:tcPr>
            <w:tcW w:w="178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80462A1"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Bosnia &amp; Herz.</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2B487CBA"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Croatia</w:t>
            </w:r>
          </w:p>
        </w:tc>
        <w:tc>
          <w:tcPr>
            <w:tcW w:w="179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16E5B4EE"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Montenegro</w:t>
            </w:r>
          </w:p>
        </w:tc>
      </w:tr>
      <w:tr w:rsidR="000E4587" w:rsidRPr="00E33CA0" w14:paraId="26BC2B03"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4CF1160"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Women in Water Utilities</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6DA320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10–40% (Water Sector Assessment, 2021)</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BBEA33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Low; data gaps (BHAS, 2022)</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B8953CB"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46.8% total staff (Croatian Waters, 2025)</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E607D8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under 20% (World Bank, 2019)</w:t>
            </w:r>
          </w:p>
        </w:tc>
      </w:tr>
      <w:tr w:rsidR="000E4587" w:rsidRPr="00E33CA0" w14:paraId="5949A85B"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BCAE7CF"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Technical Positions</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22BC23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Severely under-represented (MARDWA, 2021)</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3C7C0C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Minority (BHAS, 2022)</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13A8C1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Under-represented in senior roles (Croatian Waters, 2025)</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E1D68C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Minority (approximately 23% engineers; World Bank, 2019)</w:t>
            </w:r>
          </w:p>
        </w:tc>
      </w:tr>
      <w:tr w:rsidR="000E4587" w:rsidRPr="00E33CA0" w14:paraId="221CCBA1"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9CC93E1"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Leadership/Director Roles</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852235D"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Limited (MARDWA, 2021)</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2236DB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Limited (Agency for Gender Eq., 2022)</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435EC6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0% at Director level (Croatian Waters, 2025)</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3BA6E0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Limited (under 20%; World Bank, 2019)</w:t>
            </w:r>
          </w:p>
        </w:tc>
      </w:tr>
      <w:tr w:rsidR="000E4587" w:rsidRPr="00E33CA0" w14:paraId="4E9C44E3"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5BCB056"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Land Ownership (Women)</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2C5ACB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8% (INSTAT, 2023)</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47F70F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Men &gt;70% (BHAS, 2022)</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81CE1F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Data limited (CBS, 2021)</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71653D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13% farm holders (UN Montenegro, 2025)</w:t>
            </w:r>
          </w:p>
        </w:tc>
      </w:tr>
      <w:tr w:rsidR="000E4587" w:rsidRPr="00E33CA0" w14:paraId="2ED94017"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C0B9F1D"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Gender Wage Gap</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4E415E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6.6% (UNDP Albania, 2021)</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D28BD6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22–24% (BHAS, 2023)</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EF799CD"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11.1% (Eurostat, 2023)</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BD3FE8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Present; not fully quantified (MONSTAT, 2023)</w:t>
            </w:r>
          </w:p>
        </w:tc>
      </w:tr>
    </w:tbl>
    <w:p w14:paraId="5F7C762A" w14:textId="77777777" w:rsidR="000E4587" w:rsidRPr="00E33CA0" w:rsidRDefault="000E4587">
      <w:pPr>
        <w:pStyle w:val="Heading2"/>
        <w:spacing w:before="0" w:after="0"/>
        <w:jc w:val="both"/>
        <w:rPr>
          <w:rFonts w:asciiTheme="minorHAnsi" w:eastAsia="Arial" w:hAnsiTheme="minorHAnsi" w:cstheme="minorHAnsi"/>
          <w:b/>
          <w:bCs/>
          <w:color w:val="2E75B6"/>
          <w:sz w:val="22"/>
          <w:szCs w:val="22"/>
        </w:rPr>
      </w:pPr>
    </w:p>
    <w:p w14:paraId="44CE11DC" w14:textId="77777777" w:rsidR="000E4587" w:rsidRPr="00E33CA0" w:rsidRDefault="00000000">
      <w:pPr>
        <w:pStyle w:val="Heading2"/>
        <w:spacing w:before="0" w:after="0"/>
        <w:jc w:val="both"/>
        <w:rPr>
          <w:rFonts w:asciiTheme="minorHAnsi" w:hAnsiTheme="minorHAnsi" w:cstheme="minorHAnsi"/>
          <w:sz w:val="22"/>
          <w:szCs w:val="22"/>
        </w:rPr>
      </w:pPr>
      <w:bookmarkStart w:id="25" w:name="_Toc231038122"/>
      <w:r w:rsidRPr="00E33CA0">
        <w:rPr>
          <w:rFonts w:asciiTheme="minorHAnsi" w:eastAsia="Arial" w:hAnsiTheme="minorHAnsi" w:cstheme="minorHAnsi"/>
          <w:b/>
          <w:bCs/>
          <w:color w:val="2E75B6"/>
          <w:sz w:val="22"/>
          <w:szCs w:val="22"/>
        </w:rPr>
        <w:t>4.1.1 Analysis of Employment Patterns</w:t>
      </w:r>
      <w:bookmarkEnd w:id="25"/>
    </w:p>
    <w:p w14:paraId="308FEE4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The comparative analysis reveals two common patterns of occupational segregation across all four countries: horizontal segregation and vertical segregation.</w:t>
      </w:r>
    </w:p>
    <w:p w14:paraId="1CB4ECF7" w14:textId="77777777" w:rsidR="000E4587" w:rsidRPr="00E33CA0" w:rsidRDefault="000E4587">
      <w:pPr>
        <w:jc w:val="both"/>
        <w:rPr>
          <w:rFonts w:asciiTheme="minorHAnsi" w:hAnsiTheme="minorHAnsi" w:cstheme="minorHAnsi"/>
          <w:color w:val="auto"/>
          <w:sz w:val="22"/>
          <w:szCs w:val="22"/>
        </w:rPr>
      </w:pPr>
    </w:p>
    <w:p w14:paraId="63F38B0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Horizontal segregation</w:t>
      </w:r>
      <w:r w:rsidRPr="00E33CA0">
        <w:rPr>
          <w:rFonts w:asciiTheme="minorHAnsi" w:hAnsiTheme="minorHAnsi" w:cstheme="minorHAnsi"/>
          <w:color w:val="auto"/>
          <w:sz w:val="22"/>
          <w:szCs w:val="22"/>
        </w:rPr>
        <w:t xml:space="preserve"> refers to the concentration of women and men in different types of roles. In all four DIKTAS II countries, women are clustered in administrative, financial, human resources, and EU project management functions, while technical operations, field work, infrastructure construction, and engineering remain male-dominated. This pattern is directly linked to gendered educational pathways: men are disproportionately enrolled in civil engineering, geodesy, hydrology, and mechanical engineering </w:t>
      </w:r>
      <w:r w:rsidRPr="00E33CA0">
        <w:rPr>
          <w:rFonts w:asciiTheme="minorHAnsi" w:hAnsiTheme="minorHAnsi" w:cstheme="minorHAnsi"/>
          <w:color w:val="auto"/>
          <w:sz w:val="22"/>
          <w:szCs w:val="22"/>
          <w:lang w:val="en-GB"/>
        </w:rPr>
        <w:t>programmes</w:t>
      </w:r>
      <w:r w:rsidRPr="00E33CA0">
        <w:rPr>
          <w:rFonts w:asciiTheme="minorHAnsi" w:hAnsiTheme="minorHAnsi" w:cstheme="minorHAnsi"/>
          <w:color w:val="auto"/>
          <w:sz w:val="22"/>
          <w:szCs w:val="22"/>
        </w:rPr>
        <w:t xml:space="preserve"> that provide the technical qualifications required for water sector careers.</w:t>
      </w:r>
    </w:p>
    <w:p w14:paraId="1129A0CE" w14:textId="77777777" w:rsidR="000E4587" w:rsidRPr="00E33CA0" w:rsidRDefault="000E4587">
      <w:pPr>
        <w:jc w:val="both"/>
        <w:rPr>
          <w:rFonts w:asciiTheme="minorHAnsi" w:hAnsiTheme="minorHAnsi" w:cstheme="minorHAnsi"/>
          <w:color w:val="auto"/>
          <w:sz w:val="22"/>
          <w:szCs w:val="22"/>
        </w:rPr>
      </w:pPr>
    </w:p>
    <w:p w14:paraId="050AABB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Vertical segregation</w:t>
      </w:r>
      <w:r w:rsidRPr="00E33CA0">
        <w:rPr>
          <w:rFonts w:asciiTheme="minorHAnsi" w:hAnsiTheme="minorHAnsi" w:cstheme="minorHAnsi"/>
          <w:color w:val="auto"/>
          <w:sz w:val="22"/>
          <w:szCs w:val="22"/>
        </w:rPr>
        <w:t xml:space="preserve"> refers to the concentration of women at lower levels of the organizational hierarchy, the ‘glass ceiling’ effect. Even in countries like Croatia where women approach parity in overall staffing (46.8% of Croatian Waters staff), they hold 0% of General Director and Deputy Director positions (Croatian Waters, 2025). The root causes identified across the region include:</w:t>
      </w:r>
    </w:p>
    <w:p w14:paraId="056A841E" w14:textId="77777777" w:rsidR="000E4587" w:rsidRPr="00E33CA0" w:rsidRDefault="000E4587">
      <w:pPr>
        <w:jc w:val="both"/>
        <w:rPr>
          <w:rFonts w:asciiTheme="minorHAnsi" w:hAnsiTheme="minorHAnsi" w:cstheme="minorHAnsi"/>
          <w:color w:val="auto"/>
          <w:sz w:val="22"/>
          <w:szCs w:val="22"/>
        </w:rPr>
      </w:pPr>
    </w:p>
    <w:p w14:paraId="625B374E"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Cultural norms: </w:t>
      </w:r>
      <w:r w:rsidRPr="00E33CA0">
        <w:rPr>
          <w:rFonts w:asciiTheme="minorHAnsi" w:hAnsiTheme="minorHAnsi" w:cstheme="minorHAnsi"/>
          <w:color w:val="auto"/>
          <w:sz w:val="22"/>
          <w:szCs w:val="22"/>
        </w:rPr>
        <w:t>deeply ingrained beliefs about ‘appropriate’ roles for women and men lead to informal barriers against women’s advancement into leadership.</w:t>
      </w:r>
    </w:p>
    <w:p w14:paraId="6065A551"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lastRenderedPageBreak/>
        <w:t xml:space="preserve">Hiring and promotion practices: </w:t>
      </w:r>
      <w:r w:rsidRPr="00E33CA0">
        <w:rPr>
          <w:rFonts w:asciiTheme="minorHAnsi" w:hAnsiTheme="minorHAnsi" w:cstheme="minorHAnsi"/>
          <w:color w:val="auto"/>
          <w:sz w:val="22"/>
          <w:szCs w:val="22"/>
        </w:rPr>
        <w:t>traditional career trajectory expectations disadvantage women who have taken career breaks for caregiving.</w:t>
      </w:r>
    </w:p>
    <w:p w14:paraId="3684098A"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Workplace culture: </w:t>
      </w:r>
      <w:r w:rsidRPr="00E33CA0">
        <w:rPr>
          <w:rFonts w:asciiTheme="minorHAnsi" w:hAnsiTheme="minorHAnsi" w:cstheme="minorHAnsi"/>
          <w:color w:val="auto"/>
          <w:sz w:val="22"/>
          <w:szCs w:val="22"/>
        </w:rPr>
        <w:t>rigid working hours, field assignment expectations, and limited family-friendly policies create barriers for primary caregivers, the majority of whom are women.</w:t>
      </w:r>
    </w:p>
    <w:p w14:paraId="026EC94E"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Lack of mentorship: </w:t>
      </w:r>
      <w:r w:rsidRPr="00E33CA0">
        <w:rPr>
          <w:rFonts w:asciiTheme="minorHAnsi" w:hAnsiTheme="minorHAnsi" w:cstheme="minorHAnsi"/>
          <w:color w:val="auto"/>
          <w:sz w:val="22"/>
          <w:szCs w:val="22"/>
        </w:rPr>
        <w:t>women in technical fields across the region consistently report fewer formal mentorship and sponsorship opportunities compared to male colleagues.</w:t>
      </w:r>
    </w:p>
    <w:p w14:paraId="6F2D6477"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Pay and pension gaps: </w:t>
      </w:r>
      <w:r w:rsidRPr="00E33CA0">
        <w:rPr>
          <w:rFonts w:asciiTheme="minorHAnsi" w:hAnsiTheme="minorHAnsi" w:cstheme="minorHAnsi"/>
          <w:color w:val="auto"/>
          <w:sz w:val="22"/>
          <w:szCs w:val="22"/>
        </w:rPr>
        <w:t>cumulative effects of occupational segregation are reflected in Croatia’s 11.1% gender wage gap and 24.8% gender pension gap (Eurostat, 2023), representing the long-term financial cost of a career in lower-graded roles.</w:t>
      </w:r>
    </w:p>
    <w:p w14:paraId="3B740CBD" w14:textId="77777777" w:rsidR="000E4587" w:rsidRPr="00E33CA0" w:rsidRDefault="000E4587">
      <w:pPr>
        <w:pStyle w:val="ListParagraph"/>
        <w:ind w:left="540"/>
        <w:contextualSpacing w:val="0"/>
        <w:jc w:val="both"/>
        <w:rPr>
          <w:rFonts w:asciiTheme="minorHAnsi" w:hAnsiTheme="minorHAnsi" w:cstheme="minorHAnsi"/>
          <w:sz w:val="22"/>
          <w:szCs w:val="22"/>
        </w:rPr>
      </w:pPr>
    </w:p>
    <w:p w14:paraId="6E19819A" w14:textId="77777777" w:rsidR="000E4587" w:rsidRPr="00E33CA0" w:rsidRDefault="00000000">
      <w:pPr>
        <w:pStyle w:val="Heading2"/>
        <w:spacing w:before="0" w:after="0"/>
        <w:jc w:val="both"/>
        <w:rPr>
          <w:rFonts w:asciiTheme="minorHAnsi" w:hAnsiTheme="minorHAnsi" w:cstheme="minorHAnsi"/>
          <w:sz w:val="22"/>
          <w:szCs w:val="22"/>
        </w:rPr>
      </w:pPr>
      <w:bookmarkStart w:id="26" w:name="_Toc231038123"/>
      <w:r w:rsidRPr="00E33CA0">
        <w:rPr>
          <w:rFonts w:asciiTheme="minorHAnsi" w:eastAsia="Arial" w:hAnsiTheme="minorHAnsi" w:cstheme="minorHAnsi"/>
          <w:b/>
          <w:bCs/>
          <w:color w:val="2E75B6"/>
          <w:sz w:val="22"/>
          <w:szCs w:val="22"/>
        </w:rPr>
        <w:t>4.2 Access to Water Resources and Economic Opportunities</w:t>
      </w:r>
      <w:bookmarkEnd w:id="26"/>
    </w:p>
    <w:p w14:paraId="638DF411"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Women’s access to water as an economic resource is constrained by broader patterns of asset ownership and control across the region. Asset ownership, particularly land, is the gateway to formal credit, agricultural subsidies, water infrastructure investment, and legal standing in resource management decisions. Its concentration in men’s hands directly excludes women from the economic dimension of water governance.</w:t>
      </w:r>
    </w:p>
    <w:p w14:paraId="57D92B95" w14:textId="77777777" w:rsidR="000E4587" w:rsidRPr="00E33CA0" w:rsidRDefault="000E4587">
      <w:pPr>
        <w:jc w:val="both"/>
        <w:rPr>
          <w:rFonts w:asciiTheme="minorHAnsi" w:hAnsiTheme="minorHAnsi" w:cstheme="minorHAnsi"/>
          <w:color w:val="auto"/>
          <w:sz w:val="22"/>
          <w:szCs w:val="22"/>
        </w:rPr>
      </w:pPr>
    </w:p>
    <w:p w14:paraId="4169D330" w14:textId="77777777" w:rsidR="000E4587" w:rsidRPr="00E33CA0" w:rsidRDefault="00000000">
      <w:pPr>
        <w:pBdr>
          <w:left w:val="single" w:sz="14" w:space="8" w:color="1B5E20"/>
        </w:pBdr>
        <w:shd w:val="clear" w:color="auto" w:fill="E8F5E9"/>
        <w:ind w:left="400"/>
        <w:jc w:val="both"/>
        <w:rPr>
          <w:rFonts w:asciiTheme="minorHAnsi" w:hAnsiTheme="minorHAnsi" w:cstheme="minorHAnsi"/>
          <w:sz w:val="22"/>
          <w:szCs w:val="22"/>
          <w:lang w:val="en-GB"/>
        </w:rPr>
      </w:pPr>
      <w:r w:rsidRPr="00E33CA0">
        <w:rPr>
          <w:rFonts w:asciiTheme="minorHAnsi" w:hAnsiTheme="minorHAnsi" w:cstheme="minorHAnsi"/>
          <w:b/>
          <w:bCs/>
          <w:color w:val="1B5E20"/>
          <w:sz w:val="22"/>
          <w:szCs w:val="22"/>
        </w:rPr>
        <w:t xml:space="preserve">Albania: </w:t>
      </w:r>
      <w:r w:rsidRPr="00E33CA0">
        <w:rPr>
          <w:rFonts w:asciiTheme="minorHAnsi" w:hAnsiTheme="minorHAnsi" w:cstheme="minorHAnsi"/>
          <w:color w:val="auto"/>
          <w:sz w:val="22"/>
          <w:szCs w:val="22"/>
        </w:rPr>
        <w:t xml:space="preserve">Only 8% of women own land (2023; INSTAT), severely limiting their ability to access credit, invest in water-related technologies, and make autonomous agricultural water decisions. Women manage an estimated 66% of household water use (2021; Water Sector Gender Assessment) yet remain </w:t>
      </w:r>
      <w:r w:rsidRPr="00E33CA0">
        <w:rPr>
          <w:rFonts w:asciiTheme="minorHAnsi" w:hAnsiTheme="minorHAnsi" w:cstheme="minorHAnsi"/>
          <w:color w:val="auto"/>
          <w:sz w:val="22"/>
          <w:szCs w:val="22"/>
          <w:lang w:val="en-GB"/>
        </w:rPr>
        <w:t>marginalised</w:t>
      </w:r>
      <w:r w:rsidRPr="00E33CA0">
        <w:rPr>
          <w:rFonts w:asciiTheme="minorHAnsi" w:hAnsiTheme="minorHAnsi" w:cstheme="minorHAnsi"/>
          <w:color w:val="auto"/>
          <w:sz w:val="22"/>
          <w:szCs w:val="22"/>
        </w:rPr>
        <w:t xml:space="preserve"> from formal water-related employment. Albania’s female agricultural </w:t>
      </w:r>
      <w:r w:rsidRPr="00E33CA0">
        <w:rPr>
          <w:rFonts w:asciiTheme="minorHAnsi" w:hAnsiTheme="minorHAnsi" w:cstheme="minorHAnsi"/>
          <w:color w:val="auto"/>
          <w:sz w:val="22"/>
          <w:szCs w:val="22"/>
          <w:lang w:val="en-GB"/>
        </w:rPr>
        <w:t>labour force constitutes 40.1% of the total agricultural workforce, contributing 17.7% of GDP (2024; UN Women Albania). Yet only 19% of agricultural subsidy applicants in 2019 were women (UN Women Albania, 2024), a structural exclusion that directly limits rural women’s capacity to invest in water-saving technologies and irrigation improvements.</w:t>
      </w:r>
    </w:p>
    <w:p w14:paraId="13D7AD09" w14:textId="77777777" w:rsidR="000E4587" w:rsidRPr="00E33CA0" w:rsidRDefault="000E4587">
      <w:pPr>
        <w:jc w:val="both"/>
        <w:rPr>
          <w:rFonts w:asciiTheme="minorHAnsi" w:hAnsiTheme="minorHAnsi" w:cstheme="minorHAnsi"/>
          <w:sz w:val="22"/>
          <w:szCs w:val="22"/>
          <w:lang w:val="en-GB"/>
        </w:rPr>
      </w:pPr>
    </w:p>
    <w:p w14:paraId="5415E884" w14:textId="77777777" w:rsidR="000E4587" w:rsidRPr="00E33CA0" w:rsidRDefault="00000000">
      <w:pPr>
        <w:pBdr>
          <w:left w:val="single" w:sz="14" w:space="8" w:color="B71C1C"/>
        </w:pBdr>
        <w:shd w:val="clear" w:color="auto" w:fill="FFEBEE"/>
        <w:ind w:left="400"/>
        <w:jc w:val="both"/>
        <w:rPr>
          <w:rFonts w:asciiTheme="minorHAnsi" w:hAnsiTheme="minorHAnsi" w:cstheme="minorHAnsi"/>
          <w:sz w:val="22"/>
          <w:szCs w:val="22"/>
          <w:lang w:val="en-GB"/>
        </w:rPr>
      </w:pPr>
      <w:r w:rsidRPr="00E33CA0">
        <w:rPr>
          <w:rFonts w:asciiTheme="minorHAnsi" w:hAnsiTheme="minorHAnsi" w:cstheme="minorHAnsi"/>
          <w:b/>
          <w:bCs/>
          <w:color w:val="B71C1C"/>
          <w:sz w:val="22"/>
          <w:szCs w:val="22"/>
          <w:lang w:val="en-GB"/>
        </w:rPr>
        <w:t xml:space="preserve">Bosnia and Herzegovina: </w:t>
      </w:r>
      <w:r w:rsidRPr="00E33CA0">
        <w:rPr>
          <w:rFonts w:asciiTheme="minorHAnsi" w:hAnsiTheme="minorHAnsi" w:cstheme="minorHAnsi"/>
          <w:color w:val="auto"/>
          <w:sz w:val="22"/>
          <w:szCs w:val="22"/>
          <w:lang w:val="en-GB"/>
        </w:rPr>
        <w:t>Men represent over 70% of land owners and 74% of dwelling owners (2022; BHAS). Women’s economic contributions in the water sector are often confined to the informal economy or performed as unpaid family work, making their labour invisible in official statistics (UN Women, 2022). This invisibility has a direct policy consequence: when women’s water-related labour is uncounted, it is also undervalued and excluded from public investment decisions.</w:t>
      </w:r>
    </w:p>
    <w:p w14:paraId="6785FD45" w14:textId="77777777" w:rsidR="000E4587" w:rsidRPr="00E33CA0" w:rsidRDefault="000E4587">
      <w:pPr>
        <w:jc w:val="both"/>
        <w:rPr>
          <w:rFonts w:asciiTheme="minorHAnsi" w:hAnsiTheme="minorHAnsi" w:cstheme="minorHAnsi"/>
          <w:sz w:val="22"/>
          <w:szCs w:val="22"/>
          <w:lang w:val="en-GB"/>
        </w:rPr>
      </w:pPr>
    </w:p>
    <w:p w14:paraId="1A5240CC" w14:textId="77777777" w:rsidR="000E4587" w:rsidRPr="00E33CA0" w:rsidRDefault="00000000">
      <w:pPr>
        <w:pBdr>
          <w:left w:val="single" w:sz="14" w:space="8" w:color="3E2723"/>
        </w:pBdr>
        <w:shd w:val="clear" w:color="auto" w:fill="EFEBE9"/>
        <w:ind w:left="400"/>
        <w:jc w:val="both"/>
        <w:rPr>
          <w:rFonts w:asciiTheme="minorHAnsi" w:hAnsiTheme="minorHAnsi" w:cstheme="minorHAnsi"/>
          <w:sz w:val="22"/>
          <w:szCs w:val="22"/>
          <w:lang w:val="en-GB"/>
        </w:rPr>
      </w:pPr>
      <w:r w:rsidRPr="00E33CA0">
        <w:rPr>
          <w:rFonts w:asciiTheme="minorHAnsi" w:hAnsiTheme="minorHAnsi" w:cstheme="minorHAnsi"/>
          <w:b/>
          <w:bCs/>
          <w:color w:val="3E2723"/>
          <w:sz w:val="22"/>
          <w:szCs w:val="22"/>
          <w:lang w:val="en-GB"/>
        </w:rPr>
        <w:t xml:space="preserve">Montenegro: </w:t>
      </w:r>
      <w:r w:rsidRPr="00E33CA0">
        <w:rPr>
          <w:rFonts w:asciiTheme="minorHAnsi" w:hAnsiTheme="minorHAnsi" w:cstheme="minorHAnsi"/>
          <w:color w:val="auto"/>
          <w:sz w:val="22"/>
          <w:szCs w:val="22"/>
          <w:lang w:val="en-GB"/>
        </w:rPr>
        <w:t>Only 13% of family farm holders are women and less than 20% of agricultural land is registered in women’s names (2025; UN Montenegro). This lack of formal land title prevents women from accessing credit and investing in water infrastructure. Women’s total contribution to GDP is 44% vs. 56% for men (2020; UNDP Montenegro), yet women constitute 73% of family workers while only 24% of the self-employed (2025; UN Montenegro/MONSTAT), illustrating of unremunerated labour being excluded from formal economic recognition.</w:t>
      </w:r>
    </w:p>
    <w:p w14:paraId="608C87D5" w14:textId="77777777" w:rsidR="000E4587" w:rsidRPr="00E33CA0" w:rsidRDefault="000E4587">
      <w:pPr>
        <w:jc w:val="both"/>
        <w:rPr>
          <w:rFonts w:asciiTheme="minorHAnsi" w:hAnsiTheme="minorHAnsi" w:cstheme="minorHAnsi"/>
          <w:sz w:val="22"/>
          <w:szCs w:val="22"/>
        </w:rPr>
      </w:pPr>
    </w:p>
    <w:p w14:paraId="0A43D94A" w14:textId="77777777" w:rsidR="000E4587" w:rsidRPr="00E33CA0" w:rsidRDefault="00000000">
      <w:pPr>
        <w:pBdr>
          <w:left w:val="single" w:sz="14" w:space="8" w:color="4A148C"/>
        </w:pBdr>
        <w:shd w:val="clear" w:color="auto" w:fill="F3E5F5"/>
        <w:ind w:left="400"/>
        <w:jc w:val="both"/>
        <w:rPr>
          <w:rFonts w:asciiTheme="minorHAnsi" w:hAnsiTheme="minorHAnsi" w:cstheme="minorHAnsi"/>
          <w:sz w:val="22"/>
          <w:szCs w:val="22"/>
        </w:rPr>
      </w:pPr>
      <w:r w:rsidRPr="00E33CA0">
        <w:rPr>
          <w:rFonts w:asciiTheme="minorHAnsi" w:hAnsiTheme="minorHAnsi" w:cstheme="minorHAnsi"/>
          <w:b/>
          <w:bCs/>
          <w:color w:val="4A148C"/>
          <w:sz w:val="22"/>
          <w:szCs w:val="22"/>
        </w:rPr>
        <w:t xml:space="preserve">Croatia: </w:t>
      </w:r>
      <w:r w:rsidRPr="00E33CA0">
        <w:rPr>
          <w:rFonts w:asciiTheme="minorHAnsi" w:hAnsiTheme="minorHAnsi" w:cstheme="minorHAnsi"/>
          <w:color w:val="auto"/>
          <w:sz w:val="22"/>
          <w:szCs w:val="22"/>
        </w:rPr>
        <w:t>Despite higher overall development, Croatia exhibits a striking structural paradox: women account for 59.9% of university graduates (2021; Croatian Bureau of Statistics) and 55.4% of PhD holders yet face the fifth-lowest female employment rate in the EU at 65.0% (2023; Eurostat). This ‘qualification-to-employment gap’ is not a skills shortage but a structural failure: women are being educated but not absorbed into the economy at rates commensurate with their qualifications. In the water sector specifically, this manifests as near-parity in overall Croatian Waters staffing (46.8%) but a complete absence of women from Director-level positions.</w:t>
      </w:r>
    </w:p>
    <w:p w14:paraId="67F3965D"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rPr>
        <w:lastRenderedPageBreak/>
        <w:br w:type="page"/>
      </w:r>
    </w:p>
    <w:p w14:paraId="06DC6D9E"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27" w:name="_Toc231038124"/>
      <w:r w:rsidRPr="00E33CA0">
        <w:rPr>
          <w:rFonts w:asciiTheme="minorHAnsi" w:eastAsia="Arial" w:hAnsiTheme="minorHAnsi" w:cstheme="minorHAnsi"/>
          <w:b/>
          <w:bCs/>
          <w:color w:val="1F4E79"/>
          <w:sz w:val="22"/>
          <w:szCs w:val="22"/>
        </w:rPr>
        <w:lastRenderedPageBreak/>
        <w:t>5.  COMPARATIVE GENDER ANALYSIS: WATER AS A SERVICE</w:t>
      </w:r>
      <w:bookmarkEnd w:id="27"/>
    </w:p>
    <w:p w14:paraId="5165F53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This section compares gendered burdens associated with water collection, household management, and unpaid care work. Women across the region bear disproportionate time burdens that restrict their participation in education, employment, and public life. The ‘Water as a Service’ dimension captures a fundamental dimension of gender inequality: because women are overwhelmingly assigned responsibility for household water management, the quality, reliability, and distance of water supply directly determine how much of women’s time is consumed by domestic </w:t>
      </w:r>
      <w:r w:rsidRPr="00E33CA0">
        <w:rPr>
          <w:rFonts w:asciiTheme="minorHAnsi" w:hAnsiTheme="minorHAnsi" w:cstheme="minorHAnsi"/>
          <w:color w:val="auto"/>
          <w:sz w:val="22"/>
          <w:szCs w:val="22"/>
          <w:lang w:val="en-GB"/>
        </w:rPr>
        <w:t>labour.</w:t>
      </w:r>
      <w:r w:rsidRPr="00E33CA0">
        <w:rPr>
          <w:rFonts w:asciiTheme="minorHAnsi" w:hAnsiTheme="minorHAnsi" w:cstheme="minorHAnsi"/>
          <w:color w:val="auto"/>
          <w:sz w:val="22"/>
          <w:szCs w:val="22"/>
        </w:rPr>
        <w:t xml:space="preserve"> When water is unreliable, scarce, or distant, it is women who bear the additional burden. This section examines both the direct burden of water collection and the broader pattern of unpaid care work in which water management is embedded.</w:t>
      </w:r>
    </w:p>
    <w:p w14:paraId="4F7DA010" w14:textId="77777777" w:rsidR="000E4587" w:rsidRPr="00E33CA0" w:rsidRDefault="000E4587">
      <w:pPr>
        <w:jc w:val="both"/>
        <w:rPr>
          <w:rFonts w:asciiTheme="minorHAnsi" w:hAnsiTheme="minorHAnsi" w:cstheme="minorHAnsi"/>
          <w:sz w:val="22"/>
          <w:szCs w:val="22"/>
        </w:rPr>
      </w:pPr>
    </w:p>
    <w:p w14:paraId="21727888" w14:textId="77777777" w:rsidR="000E4587" w:rsidRPr="00E33CA0" w:rsidRDefault="00000000">
      <w:pPr>
        <w:pStyle w:val="Heading2"/>
        <w:spacing w:before="0" w:after="0"/>
        <w:jc w:val="both"/>
        <w:rPr>
          <w:rFonts w:asciiTheme="minorHAnsi" w:hAnsiTheme="minorHAnsi" w:cstheme="minorHAnsi"/>
          <w:sz w:val="22"/>
          <w:szCs w:val="22"/>
        </w:rPr>
      </w:pPr>
      <w:bookmarkStart w:id="28" w:name="_Toc231038125"/>
      <w:r w:rsidRPr="00E33CA0">
        <w:rPr>
          <w:rFonts w:asciiTheme="minorHAnsi" w:eastAsia="Arial" w:hAnsiTheme="minorHAnsi" w:cstheme="minorHAnsi"/>
          <w:b/>
          <w:bCs/>
          <w:color w:val="2E75B6"/>
          <w:sz w:val="22"/>
          <w:szCs w:val="22"/>
        </w:rPr>
        <w:t>5.1 Time Burden and Unpaid Care Work</w:t>
      </w:r>
      <w:bookmarkEnd w:id="28"/>
    </w:p>
    <w:p w14:paraId="3F86B067" w14:textId="77777777" w:rsidR="000E4587" w:rsidRPr="00E33CA0" w:rsidRDefault="000E4587">
      <w:pPr>
        <w:jc w:val="both"/>
        <w:rPr>
          <w:rFonts w:asciiTheme="minorHAnsi" w:hAnsiTheme="minorHAnsi" w:cstheme="minorHAnsi"/>
          <w:sz w:val="22"/>
          <w:szCs w:val="22"/>
        </w:rPr>
      </w:pPr>
    </w:p>
    <w:p w14:paraId="34BD75A6" w14:textId="15B16EAE" w:rsidR="00850773" w:rsidRDefault="00000000">
      <w:pPr>
        <w:pBdr>
          <w:left w:val="single" w:sz="14" w:space="8" w:color="1B5E20"/>
        </w:pBdr>
        <w:shd w:val="clear" w:color="auto" w:fill="E8F5E9"/>
        <w:ind w:left="400"/>
        <w:jc w:val="both"/>
        <w:rPr>
          <w:rFonts w:asciiTheme="minorHAnsi" w:hAnsiTheme="minorHAnsi" w:cstheme="minorHAnsi"/>
          <w:color w:val="auto"/>
          <w:sz w:val="22"/>
          <w:szCs w:val="22"/>
        </w:rPr>
      </w:pPr>
      <w:r w:rsidRPr="00E33CA0">
        <w:rPr>
          <w:rFonts w:asciiTheme="minorHAnsi" w:hAnsiTheme="minorHAnsi" w:cstheme="minorHAnsi"/>
          <w:b/>
          <w:bCs/>
          <w:color w:val="1B5E20"/>
          <w:sz w:val="22"/>
          <w:szCs w:val="22"/>
        </w:rPr>
        <w:t xml:space="preserve">Albania: </w:t>
      </w:r>
      <w:r w:rsidRPr="00E33CA0">
        <w:rPr>
          <w:rFonts w:asciiTheme="minorHAnsi" w:hAnsiTheme="minorHAnsi" w:cstheme="minorHAnsi"/>
          <w:color w:val="auto"/>
          <w:sz w:val="22"/>
          <w:szCs w:val="22"/>
        </w:rPr>
        <w:t xml:space="preserve">Women spend 24.7% of their time on unpaid care and domestic work compared to only 3.5% for men (2010–2011; INSTAT Time Use Survey). This equates to approximately 5.5 hours per day for women versus 0.5–1 hour per day for men, a ratio of approximately 6:1 (INSTAT, 2011). Women's share of all unpaid work reaches 86% (INSTAT, 2011). In rural areas without piped water access (approximately </w:t>
      </w:r>
      <w:r w:rsidRPr="00E33CA0">
        <w:rPr>
          <w:rFonts w:asciiTheme="minorHAnsi" w:hAnsiTheme="minorHAnsi" w:cstheme="minorHAnsi"/>
          <w:color w:val="E0218A"/>
          <w:sz w:val="22"/>
          <w:szCs w:val="22"/>
        </w:rPr>
        <w:t>24% of the rural population; 2024</w:t>
      </w:r>
      <w:r w:rsidRPr="00E33CA0">
        <w:rPr>
          <w:rFonts w:asciiTheme="minorHAnsi" w:hAnsiTheme="minorHAnsi" w:cstheme="minorHAnsi"/>
          <w:color w:val="auto"/>
          <w:sz w:val="22"/>
          <w:szCs w:val="22"/>
        </w:rPr>
        <w:t>, WHO/UNICEF JMP), women are primarily responsible for water collection, a time-consuming task that directly limits educational and employment opportunities.</w:t>
      </w:r>
    </w:p>
    <w:p w14:paraId="05C0CD62" w14:textId="77777777" w:rsidR="005C3A5B" w:rsidRPr="00E33CA0" w:rsidRDefault="005C3A5B">
      <w:pPr>
        <w:pBdr>
          <w:left w:val="single" w:sz="14" w:space="8" w:color="1B5E20"/>
        </w:pBdr>
        <w:shd w:val="clear" w:color="auto" w:fill="E8F5E9"/>
        <w:ind w:left="400"/>
        <w:jc w:val="both"/>
        <w:rPr>
          <w:rFonts w:asciiTheme="minorHAnsi" w:hAnsiTheme="minorHAnsi" w:cstheme="minorHAnsi"/>
          <w:sz w:val="22"/>
          <w:szCs w:val="22"/>
        </w:rPr>
      </w:pPr>
    </w:p>
    <w:p w14:paraId="49C0952E" w14:textId="77777777" w:rsidR="001B3EC1" w:rsidRPr="00E33CA0" w:rsidRDefault="00000000" w:rsidP="00515A97">
      <w:pPr>
        <w:pBdr>
          <w:left w:val="single" w:sz="14" w:space="8" w:color="1B5E20"/>
        </w:pBdr>
        <w:shd w:val="clear" w:color="auto" w:fill="E8F5E9"/>
        <w:ind w:left="400"/>
        <w:jc w:val="both"/>
        <w:rPr>
          <w:rFonts w:asciiTheme="minorHAnsi" w:hAnsiTheme="minorHAnsi" w:cstheme="minorHAnsi"/>
          <w:color w:val="008080"/>
          <w:sz w:val="22"/>
          <w:szCs w:val="22"/>
        </w:rPr>
      </w:pPr>
      <w:r w:rsidRPr="00E33CA0">
        <w:rPr>
          <w:rFonts w:asciiTheme="minorHAnsi" w:hAnsiTheme="minorHAnsi" w:cstheme="minorHAnsi"/>
          <w:color w:val="008080"/>
          <w:sz w:val="22"/>
          <w:szCs w:val="22"/>
        </w:rPr>
        <w:t>Key informant interviews and the focus group in Albania confirmed this pattern and described it in plain terms. Participants spoke of an invisible burden, in which women store water, manage hygiene, care for sick family members, and find solutions when services fail. This work increases when supply is unreliable, and it is rarely recognised in planning or in tariffs (Albania National Gender Analysis, 2025).</w:t>
      </w:r>
    </w:p>
    <w:p w14:paraId="7C27E58A" w14:textId="77777777" w:rsidR="000E4587" w:rsidRPr="00E33CA0" w:rsidRDefault="000E4587">
      <w:pPr>
        <w:jc w:val="both"/>
        <w:rPr>
          <w:rFonts w:asciiTheme="minorHAnsi" w:hAnsiTheme="minorHAnsi" w:cstheme="minorHAnsi"/>
          <w:sz w:val="22"/>
          <w:szCs w:val="22"/>
        </w:rPr>
      </w:pPr>
    </w:p>
    <w:p w14:paraId="1832FE54" w14:textId="52EFD8C9" w:rsidR="00850773" w:rsidRDefault="00000000">
      <w:pPr>
        <w:pBdr>
          <w:left w:val="single" w:sz="14" w:space="8" w:color="B71C1C"/>
        </w:pBdr>
        <w:shd w:val="clear" w:color="auto" w:fill="FFEBEE"/>
        <w:ind w:left="400"/>
        <w:jc w:val="both"/>
        <w:rPr>
          <w:rFonts w:asciiTheme="minorHAnsi" w:hAnsiTheme="minorHAnsi" w:cstheme="minorHAnsi"/>
          <w:color w:val="auto"/>
          <w:sz w:val="22"/>
          <w:szCs w:val="22"/>
        </w:rPr>
      </w:pPr>
      <w:r w:rsidRPr="00E33CA0">
        <w:rPr>
          <w:rFonts w:asciiTheme="minorHAnsi" w:hAnsiTheme="minorHAnsi" w:cstheme="minorHAnsi"/>
          <w:b/>
          <w:bCs/>
          <w:color w:val="B71C1C"/>
          <w:sz w:val="22"/>
          <w:szCs w:val="22"/>
        </w:rPr>
        <w:t xml:space="preserve">Bosnia and Herzegovina: </w:t>
      </w:r>
      <w:r w:rsidRPr="00E33CA0">
        <w:rPr>
          <w:rFonts w:asciiTheme="minorHAnsi" w:hAnsiTheme="minorHAnsi" w:cstheme="minorHAnsi"/>
          <w:color w:val="auto"/>
          <w:sz w:val="22"/>
          <w:szCs w:val="22"/>
        </w:rPr>
        <w:t xml:space="preserve">Women spend more than six hours daily on unpaid care work compared to just over three hours for men (2023; UN Women/Economic Institute Sarajevo). Women constitute 67% of total unpaid household assistants (2022; UN Women). </w:t>
      </w:r>
      <w:r w:rsidRPr="00E33CA0">
        <w:rPr>
          <w:rFonts w:asciiTheme="minorHAnsi" w:hAnsiTheme="minorHAnsi" w:cstheme="minorHAnsi"/>
          <w:color w:val="E0218A"/>
          <w:sz w:val="22"/>
          <w:szCs w:val="22"/>
        </w:rPr>
        <w:t>87%</w:t>
      </w:r>
      <w:r w:rsidRPr="00E33CA0">
        <w:rPr>
          <w:rFonts w:asciiTheme="minorHAnsi" w:hAnsiTheme="minorHAnsi" w:cstheme="minorHAnsi"/>
          <w:color w:val="auto"/>
          <w:sz w:val="22"/>
          <w:szCs w:val="22"/>
        </w:rPr>
        <w:t xml:space="preserve"> of the population (2022; WHO/UNICEF JMP) has access to safely managed drinking water, placing additional time burdens on women in underserved areas. The UN Women Baseline Study on the Care Economy (2023) found that 85% of women cook at least once daily versus 27% of men, and only 1% of households outsource care work.</w:t>
      </w:r>
    </w:p>
    <w:p w14:paraId="19273D43" w14:textId="77777777" w:rsidR="00085E3D" w:rsidRPr="00E33CA0" w:rsidRDefault="00085E3D">
      <w:pPr>
        <w:pBdr>
          <w:left w:val="single" w:sz="14" w:space="8" w:color="B71C1C"/>
        </w:pBdr>
        <w:shd w:val="clear" w:color="auto" w:fill="FFEBEE"/>
        <w:ind w:left="400"/>
        <w:jc w:val="both"/>
        <w:rPr>
          <w:rFonts w:asciiTheme="minorHAnsi" w:hAnsiTheme="minorHAnsi" w:cstheme="minorHAnsi"/>
          <w:color w:val="auto"/>
          <w:sz w:val="22"/>
          <w:szCs w:val="22"/>
        </w:rPr>
      </w:pPr>
    </w:p>
    <w:p w14:paraId="426242FC" w14:textId="565C6D1C" w:rsidR="001B3EC1" w:rsidRPr="00E33CA0" w:rsidRDefault="00000000" w:rsidP="00515A97">
      <w:pPr>
        <w:pBdr>
          <w:left w:val="single" w:sz="14" w:space="8" w:color="B71C1C"/>
        </w:pBdr>
        <w:shd w:val="clear" w:color="auto" w:fill="FFEBEE"/>
        <w:ind w:left="400"/>
        <w:jc w:val="both"/>
        <w:rPr>
          <w:rFonts w:asciiTheme="minorHAnsi" w:hAnsiTheme="minorHAnsi" w:cstheme="minorHAnsi"/>
          <w:color w:val="E36C09"/>
          <w:sz w:val="22"/>
          <w:szCs w:val="22"/>
        </w:rPr>
      </w:pPr>
      <w:r w:rsidRPr="00E33CA0">
        <w:rPr>
          <w:rFonts w:asciiTheme="minorHAnsi" w:hAnsiTheme="minorHAnsi" w:cstheme="minorHAnsi"/>
          <w:color w:val="E36C09"/>
          <w:sz w:val="22"/>
          <w:szCs w:val="22"/>
        </w:rPr>
        <w:t xml:space="preserve">The Bosnia and Herzegovina national analysis adds further evidence of this imbalance. In nine of ten households run by members aged 45 and over, women perform the unpaid household work. As a rule, only women use parental leave, and only about 42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women with young children are employed full time (BHAS, 2023; Bosnia and Herzegovina National Gender Analysis, 2025).</w:t>
      </w:r>
    </w:p>
    <w:p w14:paraId="4EB09151" w14:textId="77777777" w:rsidR="000E4587" w:rsidRPr="00E33CA0" w:rsidRDefault="000E4587">
      <w:pPr>
        <w:jc w:val="both"/>
        <w:rPr>
          <w:rFonts w:asciiTheme="minorHAnsi" w:hAnsiTheme="minorHAnsi" w:cstheme="minorHAnsi"/>
          <w:sz w:val="22"/>
          <w:szCs w:val="22"/>
        </w:rPr>
      </w:pPr>
    </w:p>
    <w:p w14:paraId="66C3AD1C" w14:textId="77777777" w:rsidR="000E4587" w:rsidRPr="00E33CA0" w:rsidRDefault="00000000">
      <w:pPr>
        <w:pBdr>
          <w:left w:val="single" w:sz="14" w:space="8" w:color="4A148C"/>
        </w:pBdr>
        <w:shd w:val="clear" w:color="auto" w:fill="F3E5F5"/>
        <w:ind w:left="400"/>
        <w:jc w:val="both"/>
        <w:rPr>
          <w:rFonts w:asciiTheme="minorHAnsi" w:hAnsiTheme="minorHAnsi" w:cstheme="minorHAnsi"/>
          <w:sz w:val="22"/>
          <w:szCs w:val="22"/>
        </w:rPr>
      </w:pPr>
      <w:r w:rsidRPr="00E33CA0">
        <w:rPr>
          <w:rFonts w:asciiTheme="minorHAnsi" w:hAnsiTheme="minorHAnsi" w:cstheme="minorHAnsi"/>
          <w:b/>
          <w:bCs/>
          <w:color w:val="4A148C"/>
          <w:sz w:val="22"/>
          <w:szCs w:val="22"/>
        </w:rPr>
        <w:t xml:space="preserve">Croatia: </w:t>
      </w:r>
      <w:r w:rsidRPr="00E33CA0">
        <w:rPr>
          <w:rFonts w:asciiTheme="minorHAnsi" w:hAnsiTheme="minorHAnsi" w:cstheme="minorHAnsi"/>
          <w:color w:val="auto"/>
          <w:sz w:val="22"/>
          <w:szCs w:val="22"/>
        </w:rPr>
        <w:t xml:space="preserve">Records the largest gender gap in the EU in time spent on unpaid care and domestic work, reflected in a low EIGE 'Time' domain score of 48.6 out of 100 (2024; EIGE). The Eurofound European Working Conditions Telephone Survey (2021) revealed that Croatia has a 17-hour weekly gender gap in total working hours (paid and unpaid), the largest gap among all EU Member States (Eurofound, 2022). Nearly 80% of Croatian women perform cooking or housework daily, more than double the rate for men (EIGE, 2024). Although Croatia's developed water infrastructure reduces </w:t>
      </w:r>
      <w:r w:rsidRPr="00E33CA0">
        <w:rPr>
          <w:rFonts w:asciiTheme="minorHAnsi" w:hAnsiTheme="minorHAnsi" w:cstheme="minorHAnsi"/>
          <w:color w:val="auto"/>
          <w:sz w:val="22"/>
          <w:szCs w:val="22"/>
        </w:rPr>
        <w:lastRenderedPageBreak/>
        <w:t xml:space="preserve">the physical burden of water collection, the cognitive and managerial </w:t>
      </w:r>
      <w:r w:rsidRPr="00E33CA0">
        <w:rPr>
          <w:rFonts w:asciiTheme="minorHAnsi" w:hAnsiTheme="minorHAnsi" w:cstheme="minorHAnsi"/>
          <w:color w:val="auto"/>
          <w:sz w:val="22"/>
          <w:szCs w:val="22"/>
          <w:lang w:val="en-GB"/>
        </w:rPr>
        <w:t xml:space="preserve">labour </w:t>
      </w:r>
      <w:r w:rsidRPr="00E33CA0">
        <w:rPr>
          <w:rFonts w:asciiTheme="minorHAnsi" w:hAnsiTheme="minorHAnsi" w:cstheme="minorHAnsi"/>
          <w:color w:val="auto"/>
          <w:sz w:val="22"/>
          <w:szCs w:val="22"/>
        </w:rPr>
        <w:t>of household water management remains disproportionately allocated to women.</w:t>
      </w:r>
    </w:p>
    <w:p w14:paraId="7BD4FF75" w14:textId="77777777" w:rsidR="000E4587" w:rsidRPr="00E33CA0" w:rsidRDefault="000E4587">
      <w:pPr>
        <w:jc w:val="both"/>
        <w:rPr>
          <w:rFonts w:asciiTheme="minorHAnsi" w:hAnsiTheme="minorHAnsi" w:cstheme="minorHAnsi"/>
          <w:sz w:val="22"/>
          <w:szCs w:val="22"/>
        </w:rPr>
      </w:pPr>
    </w:p>
    <w:p w14:paraId="3559281C" w14:textId="77777777" w:rsidR="000E4587" w:rsidRPr="00E33CA0" w:rsidRDefault="00000000">
      <w:pPr>
        <w:pBdr>
          <w:left w:val="single" w:sz="14" w:space="8" w:color="3E2723"/>
        </w:pBdr>
        <w:shd w:val="clear" w:color="auto" w:fill="EFEBE9"/>
        <w:ind w:left="400"/>
        <w:jc w:val="both"/>
        <w:rPr>
          <w:rFonts w:asciiTheme="minorHAnsi" w:hAnsiTheme="minorHAnsi" w:cstheme="minorHAnsi"/>
          <w:sz w:val="22"/>
          <w:szCs w:val="22"/>
        </w:rPr>
      </w:pPr>
      <w:r w:rsidRPr="00E33CA0">
        <w:rPr>
          <w:rFonts w:asciiTheme="minorHAnsi" w:hAnsiTheme="minorHAnsi" w:cstheme="minorHAnsi"/>
          <w:b/>
          <w:bCs/>
          <w:color w:val="3E2723"/>
          <w:sz w:val="22"/>
          <w:szCs w:val="22"/>
        </w:rPr>
        <w:t xml:space="preserve">Montenegro: </w:t>
      </w:r>
      <w:r w:rsidRPr="00E33CA0">
        <w:rPr>
          <w:rFonts w:asciiTheme="minorHAnsi" w:hAnsiTheme="minorHAnsi" w:cstheme="minorHAnsi"/>
          <w:color w:val="auto"/>
          <w:sz w:val="22"/>
          <w:szCs w:val="22"/>
        </w:rPr>
        <w:t>In households without water on premises, 61% of men aged 15 or older are primarily responsible for collecting drinking water (2018; MONSTAT/UNICEF MICS). However, this does not exempt women from time poverty, as they bear the majority of other domestic care burdens, constituting 73% of all family workers compared to only 24% of the self-employed (2025; UN Montenegro/MONSTAT). Montenegro has never conducted a national time-use survey, representing the most critical data gap in the region (MONSTAT, 2023).</w:t>
      </w:r>
      <w:r w:rsidRPr="00E33CA0">
        <w:rPr>
          <w:rFonts w:asciiTheme="minorHAnsi" w:hAnsiTheme="minorHAnsi" w:cstheme="minorHAnsi"/>
          <w:color w:val="E0218A"/>
          <w:sz w:val="22"/>
          <w:szCs w:val="22"/>
        </w:rPr>
        <w:t xml:space="preserve"> The 73% family-workers figure is a labour-market status indicator showing women’s concentration in unpaid or underpaid family work, not a direct measure of unpaid domestic and care work.</w:t>
      </w:r>
    </w:p>
    <w:p w14:paraId="386496B6" w14:textId="77777777" w:rsidR="000E4587" w:rsidRPr="00E33CA0" w:rsidRDefault="000E4587">
      <w:pPr>
        <w:jc w:val="both"/>
        <w:rPr>
          <w:rFonts w:asciiTheme="minorHAnsi" w:hAnsiTheme="minorHAnsi" w:cstheme="minorHAnsi"/>
          <w:sz w:val="22"/>
          <w:szCs w:val="22"/>
        </w:rPr>
      </w:pPr>
    </w:p>
    <w:p w14:paraId="5D36DE4B" w14:textId="77777777" w:rsidR="000E4587" w:rsidRPr="00E33CA0" w:rsidRDefault="000E4587">
      <w:pPr>
        <w:jc w:val="both"/>
        <w:rPr>
          <w:rFonts w:asciiTheme="minorHAnsi" w:hAnsiTheme="minorHAnsi" w:cstheme="minorHAnsi"/>
          <w:sz w:val="22"/>
          <w:szCs w:val="22"/>
        </w:rPr>
      </w:pPr>
    </w:p>
    <w:p w14:paraId="1CFABEF6" w14:textId="77777777" w:rsidR="000E4587" w:rsidRPr="00E33CA0" w:rsidRDefault="000E4587">
      <w:pPr>
        <w:jc w:val="both"/>
        <w:rPr>
          <w:rFonts w:asciiTheme="minorHAnsi" w:hAnsiTheme="minorHAnsi" w:cstheme="minorHAnsi"/>
          <w:sz w:val="22"/>
          <w:szCs w:val="22"/>
        </w:rPr>
      </w:pPr>
    </w:p>
    <w:p w14:paraId="5A7CA36E"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b/>
          <w:bCs/>
          <w:sz w:val="22"/>
          <w:szCs w:val="22"/>
        </w:rPr>
        <w:t>Table 6: Gender Disparities in Water Sector – Water as a Service</w:t>
      </w:r>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199"/>
        <w:gridCol w:w="1791"/>
        <w:gridCol w:w="1789"/>
        <w:gridCol w:w="1791"/>
        <w:gridCol w:w="1790"/>
      </w:tblGrid>
      <w:tr w:rsidR="000E4587" w:rsidRPr="00E33CA0" w14:paraId="71F61761" w14:textId="77777777">
        <w:trPr>
          <w:tblHeader/>
        </w:trPr>
        <w:tc>
          <w:tcPr>
            <w:tcW w:w="21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7A969869"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Indicator</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7E61F218"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Albania</w:t>
            </w:r>
          </w:p>
        </w:tc>
        <w:tc>
          <w:tcPr>
            <w:tcW w:w="178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E918FF6"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Bosnia &amp; Herz.</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14C92FC"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Croatia</w:t>
            </w:r>
          </w:p>
        </w:tc>
        <w:tc>
          <w:tcPr>
            <w:tcW w:w="179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71AF6D04"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Montenegro</w:t>
            </w:r>
          </w:p>
        </w:tc>
      </w:tr>
      <w:tr w:rsidR="000E4587" w:rsidRPr="00E33CA0" w14:paraId="62589C4C"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8EBE365"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Unpaid Care (Women)</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C7F569B"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24.7% of time; approximately 5.5 hrs/day (INSTAT TUS, 2011)</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C2A6C0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more than six hours per day (UN Women, 2023)</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27E00D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Largest EU gap; EIGE 48.6/100 (EIGE, 2024)</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6F3CEFD"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7030A0"/>
                <w:sz w:val="22"/>
                <w:szCs w:val="22"/>
              </w:rPr>
              <w:t>No national TUS / no SDG 5.4.1 headline value; Gender Equality Index Time domain score: 58.9 (MONSTAT/EIGE methodology, 2023).</w:t>
            </w:r>
          </w:p>
        </w:tc>
      </w:tr>
      <w:tr w:rsidR="000E4587" w:rsidRPr="00E33CA0" w14:paraId="0033E174"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C70E805"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Unpaid Care (Men)</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28214E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3.5% of time; approximately 0.5–1 hour per day (INSTAT TUS, 2011)</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368E35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approximately 3 hours per day (UN Women, 2023)</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9E58ED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Significantly less (EIGE, 2024)</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6A69877" w14:textId="77777777" w:rsidR="000E4587" w:rsidRPr="00E33CA0" w:rsidRDefault="000E4587">
            <w:pPr>
              <w:jc w:val="both"/>
              <w:rPr>
                <w:rFonts w:asciiTheme="minorHAnsi" w:hAnsiTheme="minorHAnsi" w:cstheme="minorHAnsi"/>
                <w:color w:val="auto"/>
                <w:sz w:val="22"/>
                <w:szCs w:val="22"/>
              </w:rPr>
            </w:pPr>
          </w:p>
        </w:tc>
      </w:tr>
      <w:tr w:rsidR="000E4587" w:rsidRPr="00E33CA0" w14:paraId="2B25145A"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15CD8E9"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Unpaid Care Ratio (F:M)</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1FA3E3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6:1 (INSTAT, 2011)</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8315E2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2:1 (UN Women, 2023)</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8F500E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approximately 3:1 (Eurofound, 2022)</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A2FE9B1"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No TUS data (MONSTAT)</w:t>
            </w:r>
          </w:p>
        </w:tc>
      </w:tr>
      <w:tr w:rsidR="000E4587" w:rsidRPr="00E33CA0" w14:paraId="6BC6281D"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88A8D7F"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Water Collection Responsibility</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66321F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Women (rural, </w:t>
            </w:r>
            <w:r w:rsidRPr="00E33CA0">
              <w:rPr>
                <w:rFonts w:asciiTheme="minorHAnsi" w:hAnsiTheme="minorHAnsi" w:cstheme="minorHAnsi"/>
                <w:color w:val="E0218A"/>
                <w:sz w:val="22"/>
                <w:szCs w:val="22"/>
              </w:rPr>
              <w:t>24% no piped access; JMP, 2024</w:t>
            </w:r>
            <w:r w:rsidRPr="00E33CA0">
              <w:rPr>
                <w:rFonts w:asciiTheme="minorHAnsi" w:hAnsiTheme="minorHAnsi" w:cstheme="minorHAnsi"/>
                <w:color w:val="auto"/>
                <w:sz w:val="22"/>
                <w:szCs w:val="22"/>
              </w:rPr>
              <w:t>)</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41A0E7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Women (rural; JMP, 2022)</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6A9C4F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Less relevant (high infrastructure)</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9F7355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61% men in no-access households (MICS, 2018)</w:t>
            </w:r>
          </w:p>
        </w:tc>
      </w:tr>
      <w:tr w:rsidR="000E4587" w:rsidRPr="00E33CA0" w14:paraId="0C9CD652"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BFDD4C0"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Safe Water Access</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3D7991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71% (2024; WHO/UNICEF JMP)</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1193BA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E0218A"/>
                <w:sz w:val="22"/>
                <w:szCs w:val="22"/>
              </w:rPr>
              <w:t>87%</w:t>
            </w:r>
            <w:r w:rsidRPr="00E33CA0">
              <w:rPr>
                <w:rFonts w:asciiTheme="minorHAnsi" w:hAnsiTheme="minorHAnsi" w:cstheme="minorHAnsi"/>
                <w:color w:val="auto"/>
                <w:sz w:val="22"/>
                <w:szCs w:val="22"/>
              </w:rPr>
              <w:t xml:space="preserve"> (2022; WHO/UNICEF JMP)</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01190B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approximately 94% nationally (EC, 2024)</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CEA892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86% (2024; WHO/UNICEF JMP)</w:t>
            </w:r>
          </w:p>
        </w:tc>
      </w:tr>
    </w:tbl>
    <w:p w14:paraId="77D6C288" w14:textId="77777777" w:rsidR="000E4587" w:rsidRPr="00E33CA0" w:rsidRDefault="00000000">
      <w:pPr>
        <w:jc w:val="both"/>
        <w:rPr>
          <w:rFonts w:asciiTheme="minorHAnsi" w:hAnsiTheme="minorHAnsi" w:cstheme="minorHAnsi"/>
          <w:i/>
          <w:iCs/>
          <w:color w:val="666666"/>
          <w:sz w:val="18"/>
          <w:szCs w:val="18"/>
        </w:rPr>
      </w:pPr>
      <w:r w:rsidRPr="00E33CA0">
        <w:rPr>
          <w:rFonts w:asciiTheme="minorHAnsi" w:hAnsiTheme="minorHAnsi" w:cstheme="minorHAnsi"/>
          <w:i/>
          <w:iCs/>
          <w:color w:val="666666"/>
          <w:sz w:val="18"/>
          <w:szCs w:val="18"/>
        </w:rPr>
        <w:t>Sources: INSTAT Time Use Survey (2011); UN Women/Economic Institute Sarajevo (2023); EIGE Gender Equality Index (2024); Eurofound EWCTS (2022); MONSTAT/UNICEF MICS (2018); UN Montenegro/MONSTAT (2023, 2025); WHO/UNICEF JMP (2024).</w:t>
      </w:r>
    </w:p>
    <w:p w14:paraId="04F1C4D6" w14:textId="77777777" w:rsidR="000E4587" w:rsidRPr="00E33CA0" w:rsidRDefault="000E4587">
      <w:pPr>
        <w:jc w:val="both"/>
        <w:rPr>
          <w:rFonts w:asciiTheme="minorHAnsi" w:hAnsiTheme="minorHAnsi" w:cstheme="minorHAnsi"/>
          <w:sz w:val="22"/>
          <w:szCs w:val="22"/>
        </w:rPr>
      </w:pPr>
    </w:p>
    <w:p w14:paraId="4A18E8BC" w14:textId="77777777" w:rsidR="000E4587" w:rsidRPr="00E33CA0" w:rsidRDefault="00000000">
      <w:pPr>
        <w:pStyle w:val="Heading2"/>
        <w:spacing w:before="0" w:after="0"/>
        <w:jc w:val="both"/>
        <w:rPr>
          <w:rFonts w:asciiTheme="minorHAnsi" w:hAnsiTheme="minorHAnsi" w:cstheme="minorHAnsi"/>
          <w:sz w:val="22"/>
          <w:szCs w:val="22"/>
        </w:rPr>
      </w:pPr>
      <w:bookmarkStart w:id="29" w:name="_Toc231038126"/>
      <w:r w:rsidRPr="00E33CA0">
        <w:rPr>
          <w:rFonts w:asciiTheme="minorHAnsi" w:eastAsia="Arial" w:hAnsiTheme="minorHAnsi" w:cstheme="minorHAnsi"/>
          <w:b/>
          <w:bCs/>
          <w:color w:val="2E75B6"/>
          <w:sz w:val="22"/>
          <w:szCs w:val="22"/>
        </w:rPr>
        <w:t>5.2 Health Impacts and Service Quality</w:t>
      </w:r>
      <w:bookmarkEnd w:id="29"/>
    </w:p>
    <w:p w14:paraId="38A5477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Water service quality directly affects women’s health and caregiving burdens. Inadequate water supply increases the frequency and severity of waterborne disease, which falls disproportionately on women as primary caregivers. Poor sanitation at schools causes girls to miss education. Contaminated water requires time-intensive treatment or storage management, which becomes women’s unpaid responsibility. The following country-level findings illustrate these dynamics:</w:t>
      </w:r>
    </w:p>
    <w:p w14:paraId="37B391E6" w14:textId="77777777" w:rsidR="000E4587" w:rsidRPr="00E33CA0" w:rsidRDefault="000E4587">
      <w:pPr>
        <w:jc w:val="both"/>
        <w:rPr>
          <w:rFonts w:asciiTheme="minorHAnsi" w:hAnsiTheme="minorHAnsi" w:cstheme="minorHAnsi"/>
          <w:color w:val="auto"/>
          <w:sz w:val="22"/>
          <w:szCs w:val="22"/>
        </w:rPr>
      </w:pPr>
    </w:p>
    <w:p w14:paraId="7BC4383C" w14:textId="32D2C010" w:rsidR="001B3EC1" w:rsidRPr="00E33CA0" w:rsidRDefault="00000000" w:rsidP="00DD614C">
      <w:pPr>
        <w:pStyle w:val="ListParagraph"/>
        <w:numPr>
          <w:ilvl w:val="0"/>
          <w:numId w:val="1"/>
        </w:numPr>
        <w:contextualSpacing w:val="0"/>
        <w:jc w:val="both"/>
        <w:rPr>
          <w:rFonts w:asciiTheme="minorHAnsi" w:hAnsiTheme="minorHAnsi" w:cstheme="minorHAnsi"/>
          <w:color w:val="008080"/>
          <w:sz w:val="22"/>
          <w:szCs w:val="22"/>
        </w:rPr>
      </w:pPr>
      <w:r w:rsidRPr="00E33CA0">
        <w:rPr>
          <w:rFonts w:asciiTheme="minorHAnsi" w:hAnsiTheme="minorHAnsi" w:cstheme="minorHAnsi"/>
          <w:b/>
          <w:bCs/>
          <w:color w:val="auto"/>
          <w:sz w:val="22"/>
          <w:szCs w:val="22"/>
        </w:rPr>
        <w:t xml:space="preserve">Albania: </w:t>
      </w:r>
      <w:r w:rsidRPr="00E33CA0">
        <w:rPr>
          <w:rFonts w:asciiTheme="minorHAnsi" w:hAnsiTheme="minorHAnsi" w:cstheme="minorHAnsi"/>
          <w:color w:val="auto"/>
          <w:sz w:val="22"/>
          <w:szCs w:val="22"/>
        </w:rPr>
        <w:t xml:space="preserve">Less than half of the urban population has 24-hour water access (2022; World Bank), disproportionately affecting low-income families and increasing women’s caregiving responsibilities when family members fall ill. A GIZ programme specifically identified inadequate school sanitation as a driver of girls’ school absenteeism (GIZ Albania, 2022), representing a direct pathway from water service failure to reduced educational attainment for </w:t>
      </w:r>
      <w:proofErr w:type="spellStart"/>
      <w:proofErr w:type="gramStart"/>
      <w:r w:rsidRPr="00E33CA0">
        <w:rPr>
          <w:rFonts w:asciiTheme="minorHAnsi" w:hAnsiTheme="minorHAnsi" w:cstheme="minorHAnsi"/>
          <w:color w:val="auto"/>
          <w:sz w:val="22"/>
          <w:szCs w:val="22"/>
        </w:rPr>
        <w:t>girls.</w:t>
      </w:r>
      <w:r w:rsidRPr="00E33CA0">
        <w:rPr>
          <w:rFonts w:asciiTheme="minorHAnsi" w:hAnsiTheme="minorHAnsi" w:cstheme="minorHAnsi"/>
          <w:color w:val="008080"/>
          <w:sz w:val="22"/>
          <w:szCs w:val="22"/>
        </w:rPr>
        <w:t>The</w:t>
      </w:r>
      <w:proofErr w:type="spellEnd"/>
      <w:proofErr w:type="gramEnd"/>
      <w:r w:rsidRPr="00E33CA0">
        <w:rPr>
          <w:rFonts w:asciiTheme="minorHAnsi" w:hAnsiTheme="minorHAnsi" w:cstheme="minorHAnsi"/>
          <w:color w:val="008080"/>
          <w:sz w:val="22"/>
          <w:szCs w:val="22"/>
        </w:rPr>
        <w:t xml:space="preserve"> Albania national analysis adds that the UNECE Equitable Access Scorecard for 2025 found access to water and sanitation below European Union standards, with the largest gaps for rural, Roma and minority communities. It also found that the lack of data on vulnerable groups is the main equity gap. The specific sanitation and hygiene needs of women and girls, including menstrual hygiene management, are absent from current utility planning and regulatory frameworks (UNECE, 2025; Albania National Gender Analysis, 2025).</w:t>
      </w:r>
    </w:p>
    <w:p w14:paraId="01C2CB03" w14:textId="77777777" w:rsidR="00225095" w:rsidRPr="00E33CA0" w:rsidRDefault="00225095" w:rsidP="00515A97">
      <w:pPr>
        <w:pStyle w:val="ListParagraph"/>
        <w:ind w:left="540"/>
        <w:contextualSpacing w:val="0"/>
        <w:jc w:val="both"/>
        <w:rPr>
          <w:rFonts w:asciiTheme="minorHAnsi" w:hAnsiTheme="minorHAnsi" w:cstheme="minorHAnsi"/>
          <w:color w:val="008080"/>
          <w:sz w:val="22"/>
          <w:szCs w:val="22"/>
        </w:rPr>
      </w:pPr>
    </w:p>
    <w:p w14:paraId="07069CAF" w14:textId="6E93A5C2" w:rsidR="001B3EC1" w:rsidRPr="00E33CA0" w:rsidRDefault="00000000" w:rsidP="00E143D4">
      <w:pPr>
        <w:pStyle w:val="ListParagraph"/>
        <w:numPr>
          <w:ilvl w:val="0"/>
          <w:numId w:val="1"/>
        </w:numPr>
        <w:contextualSpacing w:val="0"/>
        <w:jc w:val="both"/>
        <w:rPr>
          <w:rFonts w:asciiTheme="minorHAnsi" w:hAnsiTheme="minorHAnsi" w:cstheme="minorHAnsi"/>
          <w:color w:val="E36C09"/>
          <w:sz w:val="22"/>
          <w:szCs w:val="22"/>
        </w:rPr>
      </w:pPr>
      <w:r w:rsidRPr="00E33CA0">
        <w:rPr>
          <w:rFonts w:asciiTheme="minorHAnsi" w:hAnsiTheme="minorHAnsi" w:cstheme="minorHAnsi"/>
          <w:b/>
          <w:bCs/>
          <w:color w:val="auto"/>
          <w:sz w:val="22"/>
          <w:szCs w:val="22"/>
        </w:rPr>
        <w:t xml:space="preserve">Bosnia and Herzegovina: </w:t>
      </w:r>
      <w:r w:rsidRPr="00E33CA0">
        <w:rPr>
          <w:rFonts w:asciiTheme="minorHAnsi" w:hAnsiTheme="minorHAnsi" w:cstheme="minorHAnsi"/>
          <w:color w:val="auto"/>
          <w:sz w:val="22"/>
          <w:szCs w:val="22"/>
        </w:rPr>
        <w:t xml:space="preserve">The </w:t>
      </w:r>
      <w:r w:rsidRPr="00E33CA0">
        <w:rPr>
          <w:rFonts w:asciiTheme="minorHAnsi" w:hAnsiTheme="minorHAnsi" w:cstheme="minorHAnsi"/>
          <w:color w:val="E0218A"/>
          <w:sz w:val="22"/>
          <w:szCs w:val="22"/>
        </w:rPr>
        <w:t>87%</w:t>
      </w:r>
      <w:r w:rsidRPr="00E33CA0">
        <w:rPr>
          <w:rFonts w:asciiTheme="minorHAnsi" w:hAnsiTheme="minorHAnsi" w:cstheme="minorHAnsi"/>
          <w:color w:val="auto"/>
          <w:sz w:val="22"/>
          <w:szCs w:val="22"/>
        </w:rPr>
        <w:t xml:space="preserve"> safe water access rate (2022; WHO/UNICEF JMP) creates significant health vulnerabilities in rural areas where monitoring is insufficient for heavy metals, pesticides, and other contaminants (BHAS/World Bank, 2022). The 2022 drought impacted 47% of the country’s land area (European Environment Agency, 2023), amplifying water-related health burdens disproportionately borne by women. Rural women in these areas face compounded burdens: longer collection distances, more frequent illness among family members, and reduced crop yields that increase economic </w:t>
      </w:r>
      <w:proofErr w:type="spellStart"/>
      <w:proofErr w:type="gramStart"/>
      <w:r w:rsidRPr="00E33CA0">
        <w:rPr>
          <w:rFonts w:asciiTheme="minorHAnsi" w:hAnsiTheme="minorHAnsi" w:cstheme="minorHAnsi"/>
          <w:color w:val="auto"/>
          <w:sz w:val="22"/>
          <w:szCs w:val="22"/>
        </w:rPr>
        <w:t>stress.</w:t>
      </w:r>
      <w:r w:rsidRPr="00E33CA0">
        <w:rPr>
          <w:rFonts w:asciiTheme="minorHAnsi" w:hAnsiTheme="minorHAnsi" w:cstheme="minorHAnsi"/>
          <w:color w:val="E36C09"/>
          <w:sz w:val="22"/>
          <w:szCs w:val="22"/>
        </w:rPr>
        <w:t>The</w:t>
      </w:r>
      <w:proofErr w:type="spellEnd"/>
      <w:proofErr w:type="gramEnd"/>
      <w:r w:rsidRPr="00E33CA0">
        <w:rPr>
          <w:rFonts w:asciiTheme="minorHAnsi" w:hAnsiTheme="minorHAnsi" w:cstheme="minorHAnsi"/>
          <w:color w:val="E36C09"/>
          <w:sz w:val="22"/>
          <w:szCs w:val="22"/>
        </w:rPr>
        <w:t xml:space="preserve"> Bosnia and Herzegovina national analysis adds that a significant share of Roma settlements lack connection to the basic water network or to sewage systems (World Bank, 2020). Only about 3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the population is connected to wastewater treatment, which raises health risks that fall most heavily on women as primary caregivers (Bosnia and Herzegovina National Gender Analysis, 2025).</w:t>
      </w:r>
    </w:p>
    <w:p w14:paraId="74D38B7B" w14:textId="77777777" w:rsidR="00E143D4" w:rsidRPr="00E33CA0" w:rsidRDefault="00E143D4" w:rsidP="00515A97">
      <w:pPr>
        <w:pStyle w:val="ListParagraph"/>
        <w:ind w:left="540"/>
        <w:contextualSpacing w:val="0"/>
        <w:jc w:val="both"/>
        <w:rPr>
          <w:rFonts w:asciiTheme="minorHAnsi" w:hAnsiTheme="minorHAnsi" w:cstheme="minorHAnsi"/>
          <w:color w:val="E36C09"/>
          <w:sz w:val="22"/>
          <w:szCs w:val="22"/>
        </w:rPr>
      </w:pPr>
    </w:p>
    <w:p w14:paraId="23B595AE"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Croatia: </w:t>
      </w:r>
      <w:r w:rsidRPr="00E33CA0">
        <w:rPr>
          <w:rFonts w:asciiTheme="minorHAnsi" w:hAnsiTheme="minorHAnsi" w:cstheme="minorHAnsi"/>
          <w:color w:val="auto"/>
          <w:sz w:val="22"/>
          <w:szCs w:val="22"/>
        </w:rPr>
        <w:t xml:space="preserve">High water infrastructure connectivity (approximately 94% national coverage; European Commission, 2024) means health impacts are more diffuse, manifesting primarily as the </w:t>
      </w:r>
      <w:r w:rsidRPr="00E33CA0">
        <w:rPr>
          <w:rFonts w:asciiTheme="minorHAnsi" w:hAnsiTheme="minorHAnsi" w:cstheme="minorHAnsi"/>
          <w:b/>
          <w:bCs/>
          <w:color w:val="auto"/>
          <w:sz w:val="22"/>
          <w:szCs w:val="22"/>
        </w:rPr>
        <w:t>invisible mental load</w:t>
      </w:r>
      <w:r w:rsidRPr="00E33CA0">
        <w:rPr>
          <w:rFonts w:asciiTheme="minorHAnsi" w:hAnsiTheme="minorHAnsi" w:cstheme="minorHAnsi"/>
          <w:color w:val="auto"/>
          <w:sz w:val="22"/>
          <w:szCs w:val="22"/>
        </w:rPr>
        <w:t xml:space="preserve"> of managing household water quality, bill payments, and consumption monitoring: tasks that fall disproportionately on women even in well-served households (Croatian Waters, 2025). The EIGE identifies this ‘</w:t>
      </w:r>
      <w:r w:rsidRPr="00E33CA0">
        <w:rPr>
          <w:rFonts w:asciiTheme="minorHAnsi" w:hAnsiTheme="minorHAnsi" w:cstheme="minorHAnsi"/>
          <w:color w:val="auto"/>
          <w:sz w:val="22"/>
          <w:szCs w:val="22"/>
          <w:lang w:val="en-GB"/>
        </w:rPr>
        <w:t>cognitive labour’ as</w:t>
      </w:r>
      <w:r w:rsidRPr="00E33CA0">
        <w:rPr>
          <w:rFonts w:asciiTheme="minorHAnsi" w:hAnsiTheme="minorHAnsi" w:cstheme="minorHAnsi"/>
          <w:color w:val="auto"/>
          <w:sz w:val="22"/>
          <w:szCs w:val="22"/>
        </w:rPr>
        <w:t xml:space="preserve"> a component of the time burden gap measured in its ‘Time’ domain score of 48.6/100 (EIGE, 2024).</w:t>
      </w:r>
    </w:p>
    <w:p w14:paraId="2117946E" w14:textId="77777777" w:rsidR="000E1740" w:rsidRPr="00E33CA0" w:rsidRDefault="000E1740" w:rsidP="00515A97">
      <w:pPr>
        <w:jc w:val="both"/>
        <w:rPr>
          <w:rFonts w:asciiTheme="minorHAnsi" w:hAnsiTheme="minorHAnsi" w:cstheme="minorHAnsi"/>
          <w:color w:val="auto"/>
          <w:sz w:val="22"/>
          <w:szCs w:val="22"/>
        </w:rPr>
      </w:pPr>
    </w:p>
    <w:p w14:paraId="083BFF38"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Montenegro: </w:t>
      </w:r>
      <w:r w:rsidRPr="00E33CA0">
        <w:rPr>
          <w:rFonts w:asciiTheme="minorHAnsi" w:hAnsiTheme="minorHAnsi" w:cstheme="minorHAnsi"/>
          <w:color w:val="auto"/>
          <w:sz w:val="22"/>
          <w:szCs w:val="22"/>
        </w:rPr>
        <w:t>Fragmented governance across three ministries creates inconsistent service quality across municipalities, with significant disparities between urban and rural areas and across ethnic lines. In Roma settlements, approximately 16% of households had defective water quality (MONSTAT/UNICEF MICS, 2018). Women in these communities face compounded burdens: informal water management alongside other domestic responsibilities, with no formal recourse when service fails.</w:t>
      </w:r>
    </w:p>
    <w:p w14:paraId="00BAB401" w14:textId="77777777" w:rsidR="000E4587" w:rsidRPr="00E33CA0" w:rsidRDefault="000E4587">
      <w:pPr>
        <w:jc w:val="both"/>
        <w:rPr>
          <w:rFonts w:asciiTheme="minorHAnsi" w:hAnsiTheme="minorHAnsi" w:cstheme="minorHAnsi"/>
          <w:color w:val="auto"/>
          <w:sz w:val="22"/>
          <w:szCs w:val="22"/>
        </w:rPr>
      </w:pPr>
    </w:p>
    <w:p w14:paraId="159847B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lastRenderedPageBreak/>
        <w:t xml:space="preserve">Cross-cutting health finding: </w:t>
      </w:r>
      <w:r w:rsidRPr="00E33CA0">
        <w:rPr>
          <w:rFonts w:asciiTheme="minorHAnsi" w:hAnsiTheme="minorHAnsi" w:cstheme="minorHAnsi"/>
          <w:color w:val="auto"/>
          <w:sz w:val="22"/>
          <w:szCs w:val="22"/>
        </w:rPr>
        <w:t>Climate change is already amplifying health risks linked to water quality. Rising temperatures increase algal blooms and bacterial contamination in surface water sources. Increased flood frequency spreads waterborne pathogens. Both effects fall disproportionately on women, who manage household water treatment, care for sick family members, and are least likely to hold formal health insurance in rural areas (WHO, 2024; World Bank, 2024).</w:t>
      </w:r>
    </w:p>
    <w:p w14:paraId="4EB2400F" w14:textId="314AE5DC" w:rsidR="002A5CDB" w:rsidRPr="00E33CA0" w:rsidRDefault="002A5CDB">
      <w:pPr>
        <w:jc w:val="both"/>
        <w:rPr>
          <w:rFonts w:asciiTheme="minorHAnsi" w:hAnsiTheme="minorHAnsi" w:cstheme="minorHAnsi"/>
          <w:b/>
          <w:bCs/>
          <w:color w:val="1F4E79"/>
          <w:sz w:val="22"/>
          <w:szCs w:val="22"/>
        </w:rPr>
      </w:pPr>
    </w:p>
    <w:p w14:paraId="4F3FBD17" w14:textId="77777777" w:rsidR="002A5CDB" w:rsidRPr="00E33CA0" w:rsidRDefault="002A5CDB">
      <w:pPr>
        <w:jc w:val="both"/>
        <w:rPr>
          <w:rFonts w:asciiTheme="minorHAnsi" w:hAnsiTheme="minorHAnsi" w:cstheme="minorHAnsi"/>
          <w:b/>
          <w:bCs/>
          <w:color w:val="1F4E79"/>
          <w:sz w:val="22"/>
          <w:szCs w:val="22"/>
        </w:rPr>
      </w:pPr>
    </w:p>
    <w:p w14:paraId="0E04A1B6" w14:textId="2E500795"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b/>
          <w:bCs/>
          <w:color w:val="1F4E79"/>
          <w:sz w:val="22"/>
          <w:szCs w:val="22"/>
        </w:rPr>
        <w:t>6.  COMPARATIVE GENDER ANALYSIS: WATER AS A SPACE</w:t>
      </w:r>
    </w:p>
    <w:p w14:paraId="62BC7AC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This section compares women’s representation, voice, and influence in water governance and decision-making across all four countries. The ‘Water as a Space’ dimension is the most institutionally complex of the three analytical lenses, because it captures not just whether women are present in governance structures but whether they have meaningful influence over decisions. Research consistently shows that presence does not automatically translate to power: women can hold seats on governance bodies yet remain marginalised from core decision-making if institutional cultures, technical language, and informal networks continue to privilege male-dominated norms (UN Women &amp; UNEP-DHI, 2025). This section therefore examines both quantitative representation data and qualitative evidence of substantive influence.</w:t>
      </w:r>
    </w:p>
    <w:p w14:paraId="73BDFFB6" w14:textId="77777777" w:rsidR="000E4587" w:rsidRPr="00E33CA0" w:rsidRDefault="000E4587">
      <w:pPr>
        <w:jc w:val="both"/>
        <w:rPr>
          <w:rFonts w:asciiTheme="minorHAnsi" w:hAnsiTheme="minorHAnsi" w:cstheme="minorHAnsi"/>
          <w:sz w:val="22"/>
          <w:szCs w:val="22"/>
        </w:rPr>
      </w:pPr>
    </w:p>
    <w:p w14:paraId="5B07D71C" w14:textId="77777777" w:rsidR="000E4587" w:rsidRPr="00E33CA0" w:rsidRDefault="00000000">
      <w:pPr>
        <w:pStyle w:val="Heading2"/>
        <w:spacing w:before="0" w:after="0"/>
        <w:jc w:val="both"/>
        <w:rPr>
          <w:rFonts w:asciiTheme="minorHAnsi" w:hAnsiTheme="minorHAnsi" w:cstheme="minorHAnsi"/>
          <w:sz w:val="22"/>
          <w:szCs w:val="22"/>
        </w:rPr>
      </w:pPr>
      <w:bookmarkStart w:id="30" w:name="_Toc231038127"/>
      <w:r w:rsidRPr="00E33CA0">
        <w:rPr>
          <w:rFonts w:asciiTheme="minorHAnsi" w:eastAsia="Arial" w:hAnsiTheme="minorHAnsi" w:cstheme="minorHAnsi"/>
          <w:b/>
          <w:bCs/>
          <w:color w:val="2E75B6"/>
          <w:sz w:val="22"/>
          <w:szCs w:val="22"/>
        </w:rPr>
        <w:t>6.1 Political Representation and Water Governance</w:t>
      </w:r>
      <w:bookmarkEnd w:id="30"/>
    </w:p>
    <w:p w14:paraId="2109D0E5" w14:textId="2160EF6E" w:rsidR="00E33FFB" w:rsidRPr="00E33CA0" w:rsidRDefault="00000000">
      <w:pPr>
        <w:pBdr>
          <w:left w:val="single" w:sz="14" w:space="8" w:color="1B5E20"/>
        </w:pBdr>
        <w:shd w:val="clear" w:color="auto" w:fill="E8F5E9"/>
        <w:ind w:left="400"/>
        <w:jc w:val="both"/>
        <w:rPr>
          <w:rFonts w:asciiTheme="minorHAnsi" w:hAnsiTheme="minorHAnsi" w:cstheme="minorHAnsi"/>
          <w:sz w:val="22"/>
          <w:szCs w:val="22"/>
        </w:rPr>
      </w:pPr>
      <w:r w:rsidRPr="00E33CA0">
        <w:rPr>
          <w:rFonts w:asciiTheme="minorHAnsi" w:hAnsiTheme="minorHAnsi" w:cstheme="minorHAnsi"/>
          <w:b/>
          <w:bCs/>
          <w:color w:val="1B5E20"/>
          <w:sz w:val="22"/>
          <w:szCs w:val="22"/>
        </w:rPr>
        <w:t xml:space="preserve">Albania: </w:t>
      </w:r>
      <w:r w:rsidRPr="00E33CA0">
        <w:rPr>
          <w:rFonts w:asciiTheme="minorHAnsi" w:hAnsiTheme="minorHAnsi" w:cstheme="minorHAnsi"/>
          <w:color w:val="auto"/>
          <w:sz w:val="22"/>
          <w:szCs w:val="22"/>
        </w:rPr>
        <w:t>Women hold 35% of parliamentary seats (May 2025; IPU) and 44.4% of cabinet positions (September 2025; Government of Albania), reflecting the 30% gender quota mandate and sustained institutional advocacy. Albania’s most notable gender-mainstreaming mechanism in the water sector is the inclusion of a Gender Equality Employee (GEE) from MARDWA in the National Water Council’s Integrated Policy Management Group (IPMG). This formal seat at the highest water policy body means that gender considerations are structurally embedded into national water governance deliberations rather than to ad hoc advocacy. This arrangement is the most advanced formal integration of gender expertise into water governance among the four DIKTAS II countries. However, the GEE role’s effectiveness depends on the individual’s technical authority and support from senior leadership, neither of which is institutionally guaranteed (DIKTAS II Albania, 2025).</w:t>
      </w:r>
    </w:p>
    <w:p w14:paraId="27A3C4D4" w14:textId="77777777" w:rsidR="001B3EC1" w:rsidRPr="00E33CA0" w:rsidRDefault="00000000" w:rsidP="00515A97">
      <w:pPr>
        <w:pBdr>
          <w:left w:val="single" w:sz="14" w:space="8" w:color="1B5E20"/>
        </w:pBdr>
        <w:shd w:val="clear" w:color="auto" w:fill="E8F5E9"/>
        <w:ind w:left="400"/>
        <w:jc w:val="both"/>
        <w:rPr>
          <w:rFonts w:asciiTheme="minorHAnsi" w:hAnsiTheme="minorHAnsi" w:cstheme="minorHAnsi"/>
          <w:color w:val="008080"/>
          <w:sz w:val="22"/>
          <w:szCs w:val="22"/>
        </w:rPr>
      </w:pPr>
      <w:r w:rsidRPr="00E33CA0">
        <w:rPr>
          <w:rFonts w:asciiTheme="minorHAnsi" w:hAnsiTheme="minorHAnsi" w:cstheme="minorHAnsi"/>
          <w:color w:val="008080"/>
          <w:sz w:val="22"/>
          <w:szCs w:val="22"/>
        </w:rPr>
        <w:t>Key informant interviews and the focus group in Albania found that women participation in water decisions is limited and often symbolic. No respondent assessed women as fully included. Participants noted that women are sometimes invited to consultations but are not always heard. Barriers include limited information, technical language, unsuitable meeting times, transport constraints, and low trust that views will shape outcomes. Communities in the Cemi and Cijevna transboundary area, and women in particular, currently have little voice in that governance process (Albania National Gender Analysis, 2025).</w:t>
      </w:r>
    </w:p>
    <w:p w14:paraId="50C2B8EE" w14:textId="77777777" w:rsidR="000E4587" w:rsidRPr="00E33CA0" w:rsidRDefault="000E4587">
      <w:pPr>
        <w:jc w:val="both"/>
        <w:rPr>
          <w:rFonts w:asciiTheme="minorHAnsi" w:hAnsiTheme="minorHAnsi" w:cstheme="minorHAnsi"/>
          <w:sz w:val="22"/>
          <w:szCs w:val="22"/>
        </w:rPr>
      </w:pPr>
    </w:p>
    <w:p w14:paraId="6B8D5CD6" w14:textId="1ECE25E1" w:rsidR="00E33FFB" w:rsidRPr="00E33CA0" w:rsidRDefault="00000000">
      <w:pPr>
        <w:pBdr>
          <w:left w:val="single" w:sz="14" w:space="8" w:color="B71C1C"/>
        </w:pBdr>
        <w:shd w:val="clear" w:color="auto" w:fill="FFEBEE"/>
        <w:ind w:left="400"/>
        <w:jc w:val="both"/>
        <w:rPr>
          <w:rFonts w:asciiTheme="minorHAnsi" w:hAnsiTheme="minorHAnsi" w:cstheme="minorHAnsi"/>
          <w:sz w:val="22"/>
          <w:szCs w:val="22"/>
        </w:rPr>
      </w:pPr>
      <w:r w:rsidRPr="00E33CA0">
        <w:rPr>
          <w:rFonts w:asciiTheme="minorHAnsi" w:hAnsiTheme="minorHAnsi" w:cstheme="minorHAnsi"/>
          <w:b/>
          <w:bCs/>
          <w:color w:val="B71C1C"/>
          <w:sz w:val="22"/>
          <w:szCs w:val="22"/>
        </w:rPr>
        <w:t xml:space="preserve">Bosnia and Herzegovina: </w:t>
      </w:r>
      <w:r w:rsidRPr="00E33CA0">
        <w:rPr>
          <w:rFonts w:asciiTheme="minorHAnsi" w:hAnsiTheme="minorHAnsi" w:cstheme="minorHAnsi"/>
          <w:color w:val="auto"/>
          <w:sz w:val="22"/>
          <w:szCs w:val="22"/>
        </w:rPr>
        <w:t xml:space="preserve">Despite a 40% electoral gender quota introduced in 2013 (the highest in the region), yet women held only 19.1% of parliamentary seats as of February 2024 (Equal Future Eurasia, 2024), the lowest point since 2010. At local government level, women held 22.02% of municipal and city council positions in 2024, with women serving as mayor in only 8 of 142 local administrations (Equal Future Eurasia, 2024). Since local governments are responsible for water utility service provision, this near-total absence of women in local executive roles has direct implications for water sector gender mainstreaming: investment priorities, tariff structures, and service standards are set by bodies in which women’s voice is systematically marginalised. The </w:t>
      </w:r>
      <w:r w:rsidRPr="00E33CA0">
        <w:rPr>
          <w:rFonts w:asciiTheme="minorHAnsi" w:hAnsiTheme="minorHAnsi" w:cstheme="minorHAnsi"/>
          <w:color w:val="auto"/>
          <w:sz w:val="22"/>
          <w:szCs w:val="22"/>
        </w:rPr>
        <w:lastRenderedPageBreak/>
        <w:t>absence of any formal gender mechanism in the two river basin agencies compounds this structural gap.</w:t>
      </w:r>
    </w:p>
    <w:p w14:paraId="21B1ABA8" w14:textId="3C6AF7B2" w:rsidR="001B3EC1" w:rsidRPr="00E33CA0" w:rsidRDefault="00000000" w:rsidP="00515A97">
      <w:pPr>
        <w:pBdr>
          <w:left w:val="single" w:sz="14" w:space="8" w:color="B71C1C"/>
        </w:pBdr>
        <w:shd w:val="clear" w:color="auto" w:fill="FFEBEE"/>
        <w:ind w:left="400"/>
        <w:jc w:val="both"/>
        <w:rPr>
          <w:rFonts w:asciiTheme="minorHAnsi" w:hAnsiTheme="minorHAnsi" w:cstheme="minorHAnsi"/>
          <w:color w:val="E36C09"/>
          <w:sz w:val="22"/>
          <w:szCs w:val="22"/>
        </w:rPr>
      </w:pPr>
      <w:r w:rsidRPr="00E33CA0">
        <w:rPr>
          <w:rFonts w:asciiTheme="minorHAnsi" w:hAnsiTheme="minorHAnsi" w:cstheme="minorHAnsi"/>
          <w:color w:val="E36C09"/>
          <w:sz w:val="22"/>
          <w:szCs w:val="22"/>
        </w:rPr>
        <w:t xml:space="preserve">The Bosnia and Herzegovina national analysis adds local detail. Women held about 22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municipal and city council seats in 2024, up from 16.2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in 2012, and served as mayor in only 8 of 142 local administrations. Although women made up about 42 </w:t>
      </w:r>
      <w:r w:rsidR="0091082B" w:rsidRPr="00E33CA0">
        <w:rPr>
          <w:rFonts w:asciiTheme="minorHAnsi" w:hAnsiTheme="minorHAnsi" w:cstheme="minorHAnsi"/>
          <w:color w:val="E36C09"/>
          <w:sz w:val="22"/>
          <w:szCs w:val="22"/>
        </w:rPr>
        <w:t>%</w:t>
      </w:r>
      <w:r w:rsidRPr="00E33CA0">
        <w:rPr>
          <w:rFonts w:asciiTheme="minorHAnsi" w:hAnsiTheme="minorHAnsi" w:cstheme="minorHAnsi"/>
          <w:color w:val="E36C09"/>
          <w:sz w:val="22"/>
          <w:szCs w:val="22"/>
        </w:rPr>
        <w:t xml:space="preserve"> of candidates, male candidates received roughly twice the voter support, regardless of voter gender (Bosnia and Herzegovina National Gender Analysis, 2025).</w:t>
      </w:r>
    </w:p>
    <w:p w14:paraId="38130BB9" w14:textId="77777777" w:rsidR="000E4587" w:rsidRPr="00E33CA0" w:rsidRDefault="000E4587">
      <w:pPr>
        <w:jc w:val="both"/>
        <w:rPr>
          <w:rFonts w:asciiTheme="minorHAnsi" w:hAnsiTheme="minorHAnsi" w:cstheme="minorHAnsi"/>
          <w:sz w:val="22"/>
          <w:szCs w:val="22"/>
        </w:rPr>
      </w:pPr>
    </w:p>
    <w:p w14:paraId="4DB57AD1" w14:textId="77777777" w:rsidR="000E4587" w:rsidRPr="00E33CA0" w:rsidRDefault="00000000">
      <w:pPr>
        <w:pBdr>
          <w:left w:val="single" w:sz="14" w:space="8" w:color="4A148C"/>
        </w:pBdr>
        <w:shd w:val="clear" w:color="auto" w:fill="F3E5F5"/>
        <w:ind w:left="400"/>
        <w:jc w:val="both"/>
        <w:rPr>
          <w:rFonts w:asciiTheme="minorHAnsi" w:hAnsiTheme="minorHAnsi" w:cstheme="minorHAnsi"/>
          <w:color w:val="auto"/>
          <w:sz w:val="22"/>
          <w:szCs w:val="22"/>
        </w:rPr>
      </w:pPr>
      <w:r w:rsidRPr="00E33CA0">
        <w:rPr>
          <w:rFonts w:asciiTheme="minorHAnsi" w:hAnsiTheme="minorHAnsi" w:cstheme="minorHAnsi"/>
          <w:b/>
          <w:bCs/>
          <w:color w:val="4A148C"/>
          <w:sz w:val="22"/>
          <w:szCs w:val="22"/>
        </w:rPr>
        <w:t xml:space="preserve">Croatia: </w:t>
      </w:r>
      <w:r w:rsidRPr="00E33CA0">
        <w:rPr>
          <w:rFonts w:asciiTheme="minorHAnsi" w:hAnsiTheme="minorHAnsi" w:cstheme="minorHAnsi"/>
          <w:color w:val="auto"/>
          <w:sz w:val="22"/>
          <w:szCs w:val="22"/>
        </w:rPr>
        <w:t xml:space="preserve">Notable progress in 2025: both the Ministry of Environmental Protection and Green Transition and </w:t>
      </w:r>
      <w:r w:rsidRPr="00E33CA0">
        <w:rPr>
          <w:rFonts w:asciiTheme="minorHAnsi" w:hAnsiTheme="minorHAnsi" w:cstheme="minorHAnsi"/>
          <w:b/>
          <w:bCs/>
          <w:color w:val="7030A0"/>
          <w:sz w:val="22"/>
          <w:szCs w:val="22"/>
        </w:rPr>
        <w:t xml:space="preserve">Management Board of </w:t>
      </w:r>
      <w:r w:rsidRPr="00E33CA0">
        <w:rPr>
          <w:rFonts w:asciiTheme="minorHAnsi" w:hAnsiTheme="minorHAnsi" w:cstheme="minorHAnsi"/>
          <w:color w:val="auto"/>
          <w:sz w:val="22"/>
          <w:szCs w:val="22"/>
        </w:rPr>
        <w:t>Croatian Waters are led by women (Minister Marija Vučković and Board Chairwoman). Women comprise 28.57% of the Croatian Waters Management Board (2 of 7 members; 2025, Croatian Waters). However, the EIGE Power domain score of 49.5 out of 100 (2024; EIGE) indicates that this leadership configuration reflects individual appointments rather than systemic change. Within Croatian Waters itself, women hold 0% of General Director and Deputy Director positions, the operational leadership layer immediately below the Management Board. This contradiction, where women lead the institution externally while remaining absent from its internal executive core, illustrates the gap between formal representation and operational power that the entire region must address.</w:t>
      </w:r>
    </w:p>
    <w:p w14:paraId="4635901F" w14:textId="77777777" w:rsidR="000E4587" w:rsidRPr="00E33CA0" w:rsidRDefault="000E4587">
      <w:pPr>
        <w:jc w:val="both"/>
        <w:rPr>
          <w:rFonts w:asciiTheme="minorHAnsi" w:hAnsiTheme="minorHAnsi" w:cstheme="minorHAnsi"/>
          <w:sz w:val="22"/>
          <w:szCs w:val="22"/>
        </w:rPr>
      </w:pPr>
    </w:p>
    <w:p w14:paraId="0FE6DA32" w14:textId="77777777" w:rsidR="000E4587" w:rsidRPr="00E33CA0" w:rsidRDefault="00000000">
      <w:pPr>
        <w:pBdr>
          <w:left w:val="single" w:sz="14" w:space="8" w:color="3E2723"/>
        </w:pBdr>
        <w:shd w:val="clear" w:color="auto" w:fill="EFEBE9"/>
        <w:ind w:left="400"/>
        <w:jc w:val="both"/>
        <w:rPr>
          <w:rFonts w:asciiTheme="minorHAnsi" w:hAnsiTheme="minorHAnsi" w:cstheme="minorHAnsi"/>
          <w:color w:val="auto"/>
          <w:sz w:val="22"/>
          <w:szCs w:val="22"/>
        </w:rPr>
      </w:pPr>
      <w:r w:rsidRPr="00E33CA0">
        <w:rPr>
          <w:rFonts w:asciiTheme="minorHAnsi" w:hAnsiTheme="minorHAnsi" w:cstheme="minorHAnsi"/>
          <w:b/>
          <w:bCs/>
          <w:color w:val="3E2723"/>
          <w:sz w:val="22"/>
          <w:szCs w:val="22"/>
        </w:rPr>
        <w:t xml:space="preserve">Montenegro: </w:t>
      </w:r>
      <w:r w:rsidRPr="00E33CA0">
        <w:rPr>
          <w:rFonts w:asciiTheme="minorHAnsi" w:hAnsiTheme="minorHAnsi" w:cstheme="minorHAnsi"/>
          <w:color w:val="auto"/>
          <w:sz w:val="22"/>
          <w:szCs w:val="22"/>
        </w:rPr>
        <w:t>Women hold 27.2% of parliamentary seats (late 2023; IPU), above the formal 30% quota threshold but still leaving women in a structural minority. The qualitative evidence is more revealing than the headline figure: research by the OSCE Mission to Montenegro (2022) and REGAGEN (2022) explicitly confirms that women ‘still have little influence on the major decisions’ relating to water governance at local, national, or transboundary levels. This points to the presence-power gap described above. The distribution of water governance responsibilities across three separate ministries, each with its own institutional culture and gender equality track record, means there is no single accountability point for improving women’s substantive influence in the sector.</w:t>
      </w:r>
    </w:p>
    <w:p w14:paraId="264D56FB" w14:textId="77777777" w:rsidR="000E4587" w:rsidRPr="00E33CA0" w:rsidRDefault="000E4587">
      <w:pPr>
        <w:jc w:val="both"/>
        <w:rPr>
          <w:rFonts w:asciiTheme="minorHAnsi" w:hAnsiTheme="minorHAnsi" w:cstheme="minorHAnsi"/>
          <w:sz w:val="22"/>
          <w:szCs w:val="22"/>
        </w:rPr>
      </w:pPr>
    </w:p>
    <w:p w14:paraId="000E921C"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b/>
          <w:bCs/>
          <w:sz w:val="22"/>
          <w:szCs w:val="22"/>
        </w:rPr>
        <w:t>Table 7: Gender Disparities in Water Sector – Water as a Space</w:t>
      </w:r>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199"/>
        <w:gridCol w:w="1791"/>
        <w:gridCol w:w="1789"/>
        <w:gridCol w:w="1791"/>
        <w:gridCol w:w="1790"/>
      </w:tblGrid>
      <w:tr w:rsidR="000E4587" w:rsidRPr="00E33CA0" w14:paraId="40F0D2C2" w14:textId="77777777">
        <w:trPr>
          <w:tblHeader/>
        </w:trPr>
        <w:tc>
          <w:tcPr>
            <w:tcW w:w="21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A07F51E"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Indicator</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2E535B8A"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Albania</w:t>
            </w:r>
          </w:p>
        </w:tc>
        <w:tc>
          <w:tcPr>
            <w:tcW w:w="178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EEB83DD"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Bosnia &amp; Herz.</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3C2EA11C"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Croatia</w:t>
            </w:r>
          </w:p>
        </w:tc>
        <w:tc>
          <w:tcPr>
            <w:tcW w:w="179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63E77142"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Montenegro</w:t>
            </w:r>
          </w:p>
        </w:tc>
      </w:tr>
      <w:tr w:rsidR="000E4587" w:rsidRPr="00E33CA0" w14:paraId="0C99873C"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1D237E3"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Women in Parliament</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8B6F06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35% (May 2025, IPU)</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D30AF41"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19.1% (Feb 2024, Equal Future Eurasia)</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FC0075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33.1% (2024, IPU)</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4E5527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27.2% (2023, IPU)</w:t>
            </w:r>
          </w:p>
        </w:tc>
      </w:tr>
      <w:tr w:rsidR="000E4587" w:rsidRPr="00E33CA0" w14:paraId="3C72F89A"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8E5C0C4"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Cabinet Positions (Women)</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121135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44.4% (Sept 2025, Govt of Albania)</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CEFDF6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Limited (OHCHR, 2024)</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95B24D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Variable (CBS, 2021)</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8A27BC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Limited (MONSTAT, 2023)</w:t>
            </w:r>
          </w:p>
        </w:tc>
      </w:tr>
      <w:tr w:rsidR="000E4587" w:rsidRPr="00E33CA0" w14:paraId="02358389"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1B80317"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Women as Local Mayors</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B5B465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Data limited (IPU, 2025)</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7A698A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8 of 142 (5.6%) (Equal Future Eurasia, 2024)</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D3A193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Variable (CBS, 2021)</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8E69D8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Limited data (MONSTAT, 2023)</w:t>
            </w:r>
          </w:p>
        </w:tc>
      </w:tr>
      <w:tr w:rsidR="000E4587" w:rsidRPr="00E33CA0" w14:paraId="03578363"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A03C32F"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Water Governance Bodies</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D63C68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GEE in IPMG; mostly male (MARDWA, 2025)</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7C51651"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 xml:space="preserve">No formal gender mechanism in basin agencies </w:t>
            </w:r>
            <w:r w:rsidRPr="00E33CA0">
              <w:rPr>
                <w:rFonts w:asciiTheme="minorHAnsi" w:hAnsiTheme="minorHAnsi" w:cstheme="minorHAnsi"/>
                <w:color w:val="auto"/>
                <w:sz w:val="22"/>
                <w:szCs w:val="22"/>
              </w:rPr>
              <w:lastRenderedPageBreak/>
              <w:t>(Agency GE, 2022)</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EF60E5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lastRenderedPageBreak/>
              <w:t xml:space="preserve">0% directors; women lead Ministry &amp; </w:t>
            </w:r>
            <w:r w:rsidRPr="00E33CA0">
              <w:rPr>
                <w:rFonts w:asciiTheme="minorHAnsi" w:hAnsiTheme="minorHAnsi" w:cstheme="minorHAnsi"/>
                <w:b/>
                <w:bCs/>
                <w:color w:val="7030A0"/>
                <w:sz w:val="22"/>
                <w:szCs w:val="22"/>
              </w:rPr>
              <w:t xml:space="preserve">Management </w:t>
            </w:r>
            <w:r w:rsidRPr="00E33CA0">
              <w:rPr>
                <w:rFonts w:asciiTheme="minorHAnsi" w:hAnsiTheme="minorHAnsi" w:cstheme="minorHAnsi"/>
                <w:b/>
                <w:bCs/>
                <w:color w:val="7030A0"/>
                <w:sz w:val="22"/>
                <w:szCs w:val="22"/>
              </w:rPr>
              <w:lastRenderedPageBreak/>
              <w:t xml:space="preserve">Board of </w:t>
            </w:r>
            <w:r w:rsidRPr="00E33CA0">
              <w:rPr>
                <w:rFonts w:asciiTheme="minorHAnsi" w:hAnsiTheme="minorHAnsi" w:cstheme="minorHAnsi"/>
                <w:color w:val="auto"/>
                <w:sz w:val="22"/>
                <w:szCs w:val="22"/>
              </w:rPr>
              <w:t>HV (2025)</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092306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lastRenderedPageBreak/>
              <w:t xml:space="preserve">under 20%; no cross-ministry mechanism (REGAGEN, </w:t>
            </w:r>
            <w:r w:rsidRPr="00E33CA0">
              <w:rPr>
                <w:rFonts w:asciiTheme="minorHAnsi" w:hAnsiTheme="minorHAnsi" w:cstheme="minorHAnsi"/>
                <w:color w:val="auto"/>
                <w:sz w:val="22"/>
                <w:szCs w:val="22"/>
              </w:rPr>
              <w:lastRenderedPageBreak/>
              <w:t>2022)</w:t>
            </w:r>
          </w:p>
        </w:tc>
      </w:tr>
      <w:tr w:rsidR="000E4587" w:rsidRPr="00E33CA0" w14:paraId="4000BF1F"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F5827A2"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lastRenderedPageBreak/>
              <w:t>Electoral Gender Quota</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3F55FC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30% (applied)</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769364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40% (unachieved – 19.1% actual)</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A5436D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Not mandated</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BC858BB"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30% (applied)</w:t>
            </w:r>
          </w:p>
        </w:tc>
      </w:tr>
      <w:tr w:rsidR="000E4587" w:rsidRPr="00E33CA0" w14:paraId="4F6C07C4"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7B0E326"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Quota Scope</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8070F4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Electoral only</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1E30FC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Electoral only</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EE058F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N/A</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FC1231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Electoral only</w:t>
            </w:r>
          </w:p>
        </w:tc>
      </w:tr>
      <w:tr w:rsidR="000E4587" w:rsidRPr="00E33CA0" w14:paraId="0B7C61F6"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E72BEF2"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Local Government (Women)</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314347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34.6% councilors (IPU, 2025)</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92D781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22.02% councilors (Equal Future Eurasia, 2024)</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06519C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Variable (CBS, 2021)</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19A675E"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Limited data (MONSTAT, 2023)</w:t>
            </w:r>
          </w:p>
        </w:tc>
      </w:tr>
      <w:tr w:rsidR="000E4587" w:rsidRPr="00E33CA0" w14:paraId="6CE04951"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DC6C18E"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Gender Power Score (EIGE domain, 2024)</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CFC3E5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N/A (non-EU)</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3F0CD6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N/A (non-EU)</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8049F9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49.5/100 (EIGE, 2024)</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46A4B8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Pilot score (EIGE, 2023)</w:t>
            </w:r>
          </w:p>
        </w:tc>
      </w:tr>
    </w:tbl>
    <w:p w14:paraId="73698901" w14:textId="77777777" w:rsidR="000E4587" w:rsidRPr="00E33CA0" w:rsidRDefault="00000000">
      <w:pPr>
        <w:jc w:val="both"/>
        <w:rPr>
          <w:rFonts w:asciiTheme="minorHAnsi" w:hAnsiTheme="minorHAnsi" w:cstheme="minorHAnsi"/>
          <w:i/>
          <w:iCs/>
          <w:color w:val="666666"/>
          <w:sz w:val="18"/>
          <w:szCs w:val="18"/>
        </w:rPr>
      </w:pPr>
      <w:r w:rsidRPr="00E33CA0">
        <w:rPr>
          <w:rFonts w:asciiTheme="minorHAnsi" w:hAnsiTheme="minorHAnsi" w:cstheme="minorHAnsi"/>
          <w:i/>
          <w:iCs/>
          <w:color w:val="666666"/>
          <w:sz w:val="18"/>
          <w:szCs w:val="18"/>
        </w:rPr>
        <w:t>Sources: IPU Parline database (2024–2025); Equal Future Eurasia (2024); Croatian Waters (2025); MARDWA (2025); REGAGEN (2022); EIGE Gender Equality Index (2024); OHCHR (2024); MONSTAT (2023); Agency for Gender Equality of BiH (2022).</w:t>
      </w:r>
    </w:p>
    <w:p w14:paraId="32B9F0D0" w14:textId="77777777" w:rsidR="000E4587" w:rsidRPr="00E33CA0" w:rsidRDefault="000E4587">
      <w:pPr>
        <w:jc w:val="both"/>
        <w:rPr>
          <w:rFonts w:asciiTheme="minorHAnsi" w:hAnsiTheme="minorHAnsi" w:cstheme="minorHAnsi"/>
          <w:sz w:val="22"/>
          <w:szCs w:val="22"/>
        </w:rPr>
      </w:pPr>
    </w:p>
    <w:p w14:paraId="2258225F" w14:textId="77777777" w:rsidR="000E4587" w:rsidRPr="00E33CA0" w:rsidRDefault="00000000">
      <w:pPr>
        <w:pStyle w:val="Heading2"/>
        <w:spacing w:before="0" w:after="0"/>
        <w:jc w:val="both"/>
        <w:rPr>
          <w:rFonts w:asciiTheme="minorHAnsi" w:hAnsiTheme="minorHAnsi" w:cstheme="minorHAnsi"/>
          <w:sz w:val="22"/>
          <w:szCs w:val="22"/>
        </w:rPr>
      </w:pPr>
      <w:bookmarkStart w:id="31" w:name="_Toc231038128"/>
      <w:r w:rsidRPr="00E33CA0">
        <w:rPr>
          <w:rFonts w:asciiTheme="minorHAnsi" w:eastAsia="Arial" w:hAnsiTheme="minorHAnsi" w:cstheme="minorHAnsi"/>
          <w:b/>
          <w:bCs/>
          <w:color w:val="2E75B6"/>
          <w:sz w:val="22"/>
          <w:szCs w:val="22"/>
        </w:rPr>
        <w:t>6.1.1 Analysis of Representation Gaps</w:t>
      </w:r>
      <w:bookmarkEnd w:id="31"/>
    </w:p>
    <w:p w14:paraId="2A2B62F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The comparative analysis reveals a consistent disconnect between political representation achievements and substantive participation in water sector governance. The central structural gap is that gender quotas universally apply to electoral positions but not to appointed technical bodies. River basin authorities, water utility boards, regulatory agencies, and technical advisory committees, the institutions that make most operational water governance decisions, fall entirely outside mandatory representation requirements in all four countries. This means the sector where gender mainstreaming matters most for practical water outcomes is the sector least subject to legal accountability for gender balance.</w:t>
      </w:r>
    </w:p>
    <w:p w14:paraId="6DE41FF7" w14:textId="77777777" w:rsidR="00496721" w:rsidRPr="00E33CA0" w:rsidRDefault="00496721">
      <w:pPr>
        <w:jc w:val="both"/>
        <w:rPr>
          <w:rFonts w:asciiTheme="minorHAnsi" w:hAnsiTheme="minorHAnsi" w:cstheme="minorHAnsi"/>
          <w:color w:val="000000" w:themeColor="text1"/>
          <w:sz w:val="22"/>
          <w:szCs w:val="22"/>
        </w:rPr>
      </w:pPr>
    </w:p>
    <w:p w14:paraId="5D7F7584"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Three distinct representation gap patterns are evident across the region:</w:t>
      </w:r>
    </w:p>
    <w:p w14:paraId="7DCC2B1B"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Formal quota failure (Bosnia and Herzegovina): </w:t>
      </w:r>
      <w:r w:rsidRPr="00E33CA0">
        <w:rPr>
          <w:rFonts w:asciiTheme="minorHAnsi" w:hAnsiTheme="minorHAnsi" w:cstheme="minorHAnsi"/>
          <w:color w:val="000000" w:themeColor="text1"/>
          <w:sz w:val="22"/>
          <w:szCs w:val="22"/>
        </w:rPr>
        <w:t>a 40% quota produces 19.1% actual representation (Equal Future Eurasia, 2024) because electoral system design allows parties to satisfy quotas formally while placing women in unwinnable list positions. Male candidates enjoy approximately twice as much voter trust regardless of the voter’s gender (Equal Future Eurasia, 2024), demonstrating that legal mandates cannot substitute for the cultural shift needed to achieve substantive equality.</w:t>
      </w:r>
    </w:p>
    <w:p w14:paraId="1C9EA911"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Leadership-without-power paradox (Croatia): </w:t>
      </w:r>
      <w:r w:rsidRPr="00E33CA0">
        <w:rPr>
          <w:rFonts w:asciiTheme="minorHAnsi" w:hAnsiTheme="minorHAnsi" w:cstheme="minorHAnsi"/>
          <w:color w:val="000000" w:themeColor="text1"/>
          <w:sz w:val="22"/>
          <w:szCs w:val="22"/>
        </w:rPr>
        <w:t xml:space="preserve">women lead the Ministry and Croatian Waters at </w:t>
      </w:r>
      <w:r w:rsidRPr="00E33CA0">
        <w:rPr>
          <w:rFonts w:asciiTheme="minorHAnsi" w:hAnsiTheme="minorHAnsi" w:cstheme="minorHAnsi"/>
          <w:b/>
          <w:bCs/>
          <w:color w:val="000000" w:themeColor="text1"/>
          <w:sz w:val="22"/>
          <w:szCs w:val="22"/>
        </w:rPr>
        <w:t xml:space="preserve">Management </w:t>
      </w:r>
      <w:r w:rsidRPr="00E33CA0">
        <w:rPr>
          <w:rFonts w:asciiTheme="minorHAnsi" w:hAnsiTheme="minorHAnsi" w:cstheme="minorHAnsi"/>
          <w:color w:val="000000" w:themeColor="text1"/>
          <w:sz w:val="22"/>
          <w:szCs w:val="22"/>
        </w:rPr>
        <w:t>board level yet hold 0% of operational director positions (Croatian Waters, 2025), illustrating that high-profile appointments do not automatically shift institutional culture or resource allocation.</w:t>
      </w:r>
    </w:p>
    <w:p w14:paraId="0DC8A734"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Presence-without-influence (Montenegro): </w:t>
      </w:r>
      <w:r w:rsidRPr="00E33CA0">
        <w:rPr>
          <w:rFonts w:asciiTheme="minorHAnsi" w:hAnsiTheme="minorHAnsi" w:cstheme="minorHAnsi"/>
          <w:color w:val="000000" w:themeColor="text1"/>
          <w:sz w:val="22"/>
          <w:szCs w:val="22"/>
        </w:rPr>
        <w:t>27.2% parliamentary representation exists alongside documented evidence that women ‘still have little influence on major water governance decisions’ (OSCE Mission to Montenegro, 2022), confirming that numerical presence without structural voice does not constitute genuine participation.</w:t>
      </w:r>
    </w:p>
    <w:p w14:paraId="65C327F1" w14:textId="77777777" w:rsidR="000E4587" w:rsidRPr="00E33CA0" w:rsidRDefault="000E4587">
      <w:pPr>
        <w:pStyle w:val="ListParagraph"/>
        <w:ind w:left="540"/>
        <w:contextualSpacing w:val="0"/>
        <w:jc w:val="both"/>
        <w:rPr>
          <w:rFonts w:asciiTheme="minorHAnsi" w:hAnsiTheme="minorHAnsi" w:cstheme="minorHAnsi"/>
          <w:color w:val="000000" w:themeColor="text1"/>
          <w:sz w:val="22"/>
          <w:szCs w:val="22"/>
        </w:rPr>
      </w:pPr>
    </w:p>
    <w:p w14:paraId="0AE02F4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Common implication across all four countries: </w:t>
      </w:r>
      <w:r w:rsidRPr="00E33CA0">
        <w:rPr>
          <w:rFonts w:asciiTheme="minorHAnsi" w:hAnsiTheme="minorHAnsi" w:cstheme="minorHAnsi"/>
          <w:color w:val="000000" w:themeColor="text1"/>
          <w:sz w:val="22"/>
          <w:szCs w:val="22"/>
        </w:rPr>
        <w:t xml:space="preserve">achieving substantive gender equality in water governance requires not only increasing women’s presence in elected bodies but also: </w:t>
      </w:r>
    </w:p>
    <w:p w14:paraId="558291C1" w14:textId="77777777" w:rsidR="000E4587" w:rsidRPr="00E33CA0" w:rsidRDefault="00000000">
      <w:pPr>
        <w:pStyle w:val="ListParagraph"/>
        <w:numPr>
          <w:ilvl w:val="0"/>
          <w:numId w:val="4"/>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Extending quota or target requirements to appointed technical water bodies; </w:t>
      </w:r>
    </w:p>
    <w:p w14:paraId="0D1E8696" w14:textId="77777777" w:rsidR="000E4587" w:rsidRPr="00E33CA0" w:rsidRDefault="00000000">
      <w:pPr>
        <w:pStyle w:val="ListParagraph"/>
        <w:numPr>
          <w:ilvl w:val="0"/>
          <w:numId w:val="4"/>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lastRenderedPageBreak/>
        <w:t xml:space="preserve">Building women’s technical authority through training and mentorship; and </w:t>
      </w:r>
    </w:p>
    <w:p w14:paraId="671DEA6D" w14:textId="77777777" w:rsidR="000E4587" w:rsidRPr="00E33CA0" w:rsidRDefault="00000000">
      <w:pPr>
        <w:pStyle w:val="ListParagraph"/>
        <w:numPr>
          <w:ilvl w:val="0"/>
          <w:numId w:val="4"/>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Creating institutional accountability mechanisms that reward substantive influence, not just numerical representation.</w:t>
      </w:r>
    </w:p>
    <w:p w14:paraId="01B751CF" w14:textId="77777777" w:rsidR="000E4587" w:rsidRPr="00E33CA0" w:rsidRDefault="000E4587">
      <w:pPr>
        <w:jc w:val="both"/>
        <w:rPr>
          <w:rFonts w:asciiTheme="minorHAnsi" w:hAnsiTheme="minorHAnsi" w:cstheme="minorHAnsi"/>
          <w:color w:val="000000" w:themeColor="text1"/>
          <w:sz w:val="22"/>
          <w:szCs w:val="22"/>
        </w:rPr>
      </w:pPr>
    </w:p>
    <w:p w14:paraId="70CA2F7D" w14:textId="77777777" w:rsidR="000E4587" w:rsidRPr="00E33CA0" w:rsidRDefault="00000000">
      <w:pPr>
        <w:pStyle w:val="Heading2"/>
        <w:spacing w:before="0" w:after="0"/>
        <w:jc w:val="both"/>
        <w:rPr>
          <w:rFonts w:asciiTheme="minorHAnsi" w:hAnsiTheme="minorHAnsi" w:cstheme="minorHAnsi"/>
          <w:sz w:val="22"/>
          <w:szCs w:val="22"/>
        </w:rPr>
      </w:pPr>
      <w:bookmarkStart w:id="32" w:name="_Toc231038129"/>
      <w:r w:rsidRPr="00E33CA0">
        <w:rPr>
          <w:rFonts w:asciiTheme="minorHAnsi" w:eastAsia="Arial" w:hAnsiTheme="minorHAnsi" w:cstheme="minorHAnsi"/>
          <w:b/>
          <w:bCs/>
          <w:color w:val="2E75B6"/>
          <w:sz w:val="22"/>
          <w:szCs w:val="22"/>
        </w:rPr>
        <w:t>6.2 Water Governance Body Composition</w:t>
      </w:r>
      <w:bookmarkEnd w:id="32"/>
    </w:p>
    <w:p w14:paraId="178CBE9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Gender quotas do not extend to appointed technical water governance bodies in any of the four countries. River basin authorities, water utility boards, regulatory agencies, and technical advisory committees, the bodies that make most operational water decisions, fall entirely outside mandatory representation requirements. The following data, where available, illustrate the gender composition of these bodies.</w:t>
      </w:r>
    </w:p>
    <w:p w14:paraId="0D782164" w14:textId="77777777" w:rsidR="000E4587" w:rsidRPr="00E33CA0" w:rsidRDefault="000E4587">
      <w:pPr>
        <w:jc w:val="both"/>
        <w:rPr>
          <w:rFonts w:asciiTheme="minorHAnsi" w:hAnsiTheme="minorHAnsi" w:cstheme="minorHAnsi"/>
          <w:color w:val="000000" w:themeColor="text1"/>
          <w:sz w:val="22"/>
          <w:szCs w:val="22"/>
        </w:rPr>
      </w:pPr>
    </w:p>
    <w:p w14:paraId="54A5A2D6"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Albania: </w:t>
      </w:r>
      <w:r w:rsidRPr="00E33CA0">
        <w:rPr>
          <w:rFonts w:asciiTheme="minorHAnsi" w:hAnsiTheme="minorHAnsi" w:cstheme="minorHAnsi"/>
          <w:color w:val="000000" w:themeColor="text1"/>
          <w:sz w:val="22"/>
          <w:szCs w:val="22"/>
        </w:rPr>
        <w:t>The National Water Council is chaired by the Prime Minister and comprises mainly ministry officials. The Integrated Policy Management Group (IPMG) includes a Gender Equality Employee (GEE) from MARDWA, providing the only formal gender mechanism in any water governance body across the four countries. No sex-disaggregated data on water utility boards is available (MARDWA, 2025).</w:t>
      </w:r>
    </w:p>
    <w:p w14:paraId="7164DDB5"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Bosnia and Herzegovina: </w:t>
      </w:r>
      <w:r w:rsidRPr="00E33CA0">
        <w:rPr>
          <w:rFonts w:asciiTheme="minorHAnsi" w:hAnsiTheme="minorHAnsi" w:cstheme="minorHAnsi"/>
          <w:color w:val="000000" w:themeColor="text1"/>
          <w:sz w:val="22"/>
          <w:szCs w:val="22"/>
        </w:rPr>
        <w:t>The two river basin agencies (Sava and Adriatic) have no formal gender mainstreaming mechanism. No sex-disaggregated data on board composition is published. The 142 local water utility companies are governed by municipal authorities, where women hold mayoral roles in only 8 of 142 administrations (Equal Future Eurasia, 2024), directly limiting gender-responsive oversight of utility governance.</w:t>
      </w:r>
    </w:p>
    <w:p w14:paraId="459A4D28"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Croatia: </w:t>
      </w:r>
      <w:r w:rsidRPr="00E33CA0">
        <w:rPr>
          <w:rFonts w:asciiTheme="minorHAnsi" w:hAnsiTheme="minorHAnsi" w:cstheme="minorHAnsi"/>
          <w:color w:val="000000" w:themeColor="text1"/>
          <w:sz w:val="22"/>
          <w:szCs w:val="22"/>
        </w:rPr>
        <w:t xml:space="preserve">The Croatian Waters (Hrvatske vode) Management Board comprises </w:t>
      </w:r>
      <w:r w:rsidRPr="00E33CA0">
        <w:rPr>
          <w:rFonts w:asciiTheme="minorHAnsi" w:hAnsiTheme="minorHAnsi" w:cstheme="minorHAnsi"/>
          <w:b/>
          <w:bCs/>
          <w:color w:val="000000" w:themeColor="text1"/>
          <w:sz w:val="22"/>
          <w:szCs w:val="22"/>
        </w:rPr>
        <w:t xml:space="preserve">of </w:t>
      </w:r>
      <w:r w:rsidRPr="00E33CA0">
        <w:rPr>
          <w:rFonts w:asciiTheme="minorHAnsi" w:hAnsiTheme="minorHAnsi" w:cstheme="minorHAnsi"/>
          <w:color w:val="000000" w:themeColor="text1"/>
          <w:sz w:val="22"/>
          <w:szCs w:val="22"/>
        </w:rPr>
        <w:t>7 members, of whom 2 (28.57%) are women (2025; Croatian Waters). Women hold 0% of General Director and Deputy Director positions and 53.3% of Sector Head positions (2025; Croatian Waters). The Gender Equality Action Plan 2023–2026 is the most comprehensive sector-specific instrument in the region but does not set binding targets for board-level representation.</w:t>
      </w:r>
    </w:p>
    <w:p w14:paraId="4B8EE0A8"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Montenegro: </w:t>
      </w:r>
      <w:r w:rsidRPr="00E33CA0">
        <w:rPr>
          <w:rFonts w:asciiTheme="minorHAnsi" w:hAnsiTheme="minorHAnsi" w:cstheme="minorHAnsi"/>
          <w:color w:val="000000" w:themeColor="text1"/>
          <w:sz w:val="22"/>
          <w:szCs w:val="22"/>
        </w:rPr>
        <w:t>Water governance is distributed across three ministries and REGAGEN. No sex-disaggregated data on ministerial water management staff or REGAGEN board composition is published. Research confirms that women have little influence on water governance decisions at any level (OSCE Mission to Montenegro, 2022).</w:t>
      </w:r>
    </w:p>
    <w:p w14:paraId="434D60CD" w14:textId="77777777" w:rsidR="000E4587" w:rsidRPr="00E33CA0" w:rsidRDefault="000E4587">
      <w:pPr>
        <w:jc w:val="both"/>
        <w:rPr>
          <w:rFonts w:asciiTheme="minorHAnsi" w:hAnsiTheme="minorHAnsi" w:cstheme="minorHAnsi"/>
          <w:color w:val="000000" w:themeColor="text1"/>
          <w:sz w:val="22"/>
          <w:szCs w:val="22"/>
        </w:rPr>
      </w:pPr>
    </w:p>
    <w:p w14:paraId="0A87752A"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b/>
          <w:bCs/>
          <w:color w:val="000000" w:themeColor="text1"/>
          <w:sz w:val="22"/>
          <w:szCs w:val="22"/>
        </w:rPr>
        <w:t xml:space="preserve">Regional finding: </w:t>
      </w:r>
      <w:r w:rsidRPr="00E33CA0">
        <w:rPr>
          <w:rFonts w:asciiTheme="minorHAnsi" w:hAnsiTheme="minorHAnsi" w:cstheme="minorHAnsi"/>
          <w:color w:val="000000" w:themeColor="text1"/>
          <w:sz w:val="22"/>
          <w:szCs w:val="22"/>
        </w:rPr>
        <w:t>The absence of gender-disaggregated data on the composition of water governance bodies, other than Croatian Waters, is itself a governance failure. It means that the institutions responsible for water management cannot be held accountable for gender balance, and that the scale of the representation gap in operational water governance is larger than available data can currently quantify. Extending sex-disaggregated reporting requirements to all water governance bodies is a prerequisite for evidence-based accountability.</w:t>
      </w:r>
    </w:p>
    <w:p w14:paraId="09A673D3"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rPr>
        <w:br w:type="page"/>
      </w:r>
    </w:p>
    <w:p w14:paraId="51B61588"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33" w:name="_Toc231038130"/>
      <w:r w:rsidRPr="00E33CA0">
        <w:rPr>
          <w:rFonts w:asciiTheme="minorHAnsi" w:eastAsia="Arial" w:hAnsiTheme="minorHAnsi" w:cstheme="minorHAnsi"/>
          <w:b/>
          <w:bCs/>
          <w:color w:val="1F4E79"/>
          <w:sz w:val="22"/>
          <w:szCs w:val="22"/>
        </w:rPr>
        <w:lastRenderedPageBreak/>
        <w:t>7.  IDENTIFIED GAPS, CHALLENGES, AND EMERGING THEMES</w:t>
      </w:r>
      <w:bookmarkEnd w:id="33"/>
    </w:p>
    <w:p w14:paraId="5164DEDE" w14:textId="77777777" w:rsidR="000E4587" w:rsidRPr="00E33CA0" w:rsidRDefault="00000000">
      <w:pPr>
        <w:pStyle w:val="Heading2"/>
        <w:spacing w:before="0" w:after="0"/>
        <w:jc w:val="both"/>
        <w:rPr>
          <w:rFonts w:asciiTheme="minorHAnsi" w:hAnsiTheme="minorHAnsi" w:cstheme="minorHAnsi"/>
          <w:sz w:val="22"/>
          <w:szCs w:val="22"/>
        </w:rPr>
      </w:pPr>
      <w:bookmarkStart w:id="34" w:name="_Toc231038131"/>
      <w:r w:rsidRPr="00E33CA0">
        <w:rPr>
          <w:rFonts w:asciiTheme="minorHAnsi" w:eastAsia="Arial" w:hAnsiTheme="minorHAnsi" w:cstheme="minorHAnsi"/>
          <w:b/>
          <w:bCs/>
          <w:color w:val="2E75B6"/>
          <w:sz w:val="22"/>
          <w:szCs w:val="22"/>
        </w:rPr>
        <w:t>7.1 The Policy-to-Practice Gap</w:t>
      </w:r>
      <w:bookmarkEnd w:id="34"/>
    </w:p>
    <w:p w14:paraId="25C6CA0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The most significant finding across all four countries is the persistent disconnect between robust legal and policy frameworks for gender equality and their effective implementation in the water sector.</w:t>
      </w:r>
    </w:p>
    <w:p w14:paraId="56417783" w14:textId="77777777" w:rsidR="000E4587" w:rsidRPr="00E33CA0" w:rsidRDefault="000E4587">
      <w:pPr>
        <w:jc w:val="both"/>
        <w:rPr>
          <w:rFonts w:asciiTheme="minorHAnsi" w:hAnsiTheme="minorHAnsi" w:cstheme="minorHAnsi"/>
          <w:sz w:val="22"/>
          <w:szCs w:val="22"/>
        </w:rPr>
      </w:pPr>
    </w:p>
    <w:p w14:paraId="2892B7EE" w14:textId="77777777" w:rsidR="000E4587" w:rsidRPr="00E33CA0" w:rsidRDefault="00000000">
      <w:pPr>
        <w:pBdr>
          <w:left w:val="single" w:sz="14" w:space="8" w:color="1B5E20"/>
        </w:pBdr>
        <w:shd w:val="clear" w:color="auto" w:fill="E8F5E9"/>
        <w:ind w:left="400"/>
        <w:jc w:val="both"/>
        <w:rPr>
          <w:rFonts w:asciiTheme="minorHAnsi" w:hAnsiTheme="minorHAnsi" w:cstheme="minorHAnsi"/>
          <w:color w:val="000000" w:themeColor="text1"/>
          <w:sz w:val="22"/>
          <w:szCs w:val="22"/>
        </w:rPr>
      </w:pPr>
      <w:r w:rsidRPr="00E33CA0">
        <w:rPr>
          <w:rFonts w:asciiTheme="minorHAnsi" w:hAnsiTheme="minorHAnsi" w:cstheme="minorHAnsi"/>
          <w:b/>
          <w:bCs/>
          <w:color w:val="1B5E20"/>
          <w:sz w:val="22"/>
          <w:szCs w:val="22"/>
        </w:rPr>
        <w:t xml:space="preserve">Albania: </w:t>
      </w:r>
      <w:r w:rsidRPr="00E33CA0">
        <w:rPr>
          <w:rFonts w:asciiTheme="minorHAnsi" w:hAnsiTheme="minorHAnsi" w:cstheme="minorHAnsi"/>
          <w:color w:val="000000" w:themeColor="text1"/>
          <w:sz w:val="22"/>
          <w:szCs w:val="22"/>
        </w:rPr>
        <w:t>Despite progressive legislation and high female political representation (35% of parliament, 44.4% of cabinet), traditional gender roles persist in the water sector workforce, where women remain concentrated in administrative rather than technical positions. The Law on Gender Equality (2008) sets a 30% representation principle, but implementation mechanisms and accountability measures remain insufficient (European Commission, 2025).</w:t>
      </w:r>
    </w:p>
    <w:p w14:paraId="1FA6E90C" w14:textId="77777777" w:rsidR="000E4587" w:rsidRPr="00E33CA0" w:rsidRDefault="000E4587">
      <w:pPr>
        <w:jc w:val="both"/>
        <w:rPr>
          <w:rFonts w:asciiTheme="minorHAnsi" w:hAnsiTheme="minorHAnsi" w:cstheme="minorHAnsi"/>
          <w:sz w:val="22"/>
          <w:szCs w:val="22"/>
        </w:rPr>
      </w:pPr>
    </w:p>
    <w:p w14:paraId="6147450D" w14:textId="77777777" w:rsidR="000E4587" w:rsidRPr="00E33CA0" w:rsidRDefault="00000000">
      <w:pPr>
        <w:pBdr>
          <w:left w:val="single" w:sz="14" w:space="8" w:color="B71C1C"/>
        </w:pBdr>
        <w:shd w:val="clear" w:color="auto" w:fill="FFEBEE"/>
        <w:ind w:left="400"/>
        <w:jc w:val="both"/>
        <w:rPr>
          <w:rFonts w:asciiTheme="minorHAnsi" w:hAnsiTheme="minorHAnsi" w:cstheme="minorHAnsi"/>
          <w:color w:val="000000" w:themeColor="text1"/>
          <w:sz w:val="22"/>
          <w:szCs w:val="22"/>
        </w:rPr>
      </w:pPr>
      <w:r w:rsidRPr="00E33CA0">
        <w:rPr>
          <w:rFonts w:asciiTheme="minorHAnsi" w:hAnsiTheme="minorHAnsi" w:cstheme="minorHAnsi"/>
          <w:b/>
          <w:bCs/>
          <w:color w:val="B71C1C"/>
          <w:sz w:val="22"/>
          <w:szCs w:val="22"/>
        </w:rPr>
        <w:t xml:space="preserve">Bosnia and Herzegovina: </w:t>
      </w:r>
      <w:r w:rsidRPr="00E33CA0">
        <w:rPr>
          <w:rFonts w:asciiTheme="minorHAnsi" w:hAnsiTheme="minorHAnsi" w:cstheme="minorHAnsi"/>
          <w:color w:val="000000" w:themeColor="text1"/>
          <w:sz w:val="22"/>
          <w:szCs w:val="22"/>
        </w:rPr>
        <w:t>Demonstrates the most severe implementation failure, with women's parliamentary representation at 19.1% (2024; Equal Future Eurasia) despite a 40% quota requirement. The CEDAW Committee has explicitly cited lack of political will as a factor allowing discriminatory practices to persist (OHCHR, 2024). Within the water sector, gender issues have been characterised as 'irrelevant or marginal' due to the institutional focus on engineering (WEDC Knowledge, 2014; this characterisation is noted as an older reference and may have evolved, but no more recent sector-specific assessment for BiH is available).</w:t>
      </w:r>
    </w:p>
    <w:p w14:paraId="0630FFCF" w14:textId="77777777" w:rsidR="000E4587" w:rsidRPr="00E33CA0" w:rsidRDefault="000E4587">
      <w:pPr>
        <w:jc w:val="both"/>
        <w:rPr>
          <w:rFonts w:asciiTheme="minorHAnsi" w:hAnsiTheme="minorHAnsi" w:cstheme="minorHAnsi"/>
          <w:sz w:val="22"/>
          <w:szCs w:val="22"/>
        </w:rPr>
      </w:pPr>
    </w:p>
    <w:p w14:paraId="20D253E2" w14:textId="77777777" w:rsidR="000E4587" w:rsidRPr="00E33CA0" w:rsidRDefault="00000000">
      <w:pPr>
        <w:pBdr>
          <w:left w:val="single" w:sz="14" w:space="8" w:color="4A148C"/>
        </w:pBdr>
        <w:shd w:val="clear" w:color="auto" w:fill="F3E5F5"/>
        <w:ind w:left="400"/>
        <w:jc w:val="both"/>
        <w:rPr>
          <w:rFonts w:asciiTheme="minorHAnsi" w:hAnsiTheme="minorHAnsi" w:cstheme="minorHAnsi"/>
          <w:color w:val="000000" w:themeColor="text1"/>
          <w:sz w:val="22"/>
          <w:szCs w:val="22"/>
        </w:rPr>
      </w:pPr>
      <w:r w:rsidRPr="00E33CA0">
        <w:rPr>
          <w:rFonts w:asciiTheme="minorHAnsi" w:hAnsiTheme="minorHAnsi" w:cstheme="minorHAnsi"/>
          <w:b/>
          <w:bCs/>
          <w:color w:val="4A148C"/>
          <w:sz w:val="22"/>
          <w:szCs w:val="22"/>
        </w:rPr>
        <w:t xml:space="preserve">Croatia: </w:t>
      </w:r>
      <w:r w:rsidRPr="00E33CA0">
        <w:rPr>
          <w:rFonts w:asciiTheme="minorHAnsi" w:hAnsiTheme="minorHAnsi" w:cstheme="minorHAnsi"/>
          <w:color w:val="000000" w:themeColor="text1"/>
          <w:sz w:val="22"/>
          <w:szCs w:val="22"/>
        </w:rPr>
        <w:t>Has achieved formal compliance through the Gender Equality Act and Action Plans at institutions including Croatian Waters, but lacks the enforcement mechanisms and gender budgeting required for substantive implementation. The absence of sanctions for non-compliance renders gender equality an 'unfunded mandate' (U.S. Department of State, 2023; EIGE, 2024).</w:t>
      </w:r>
    </w:p>
    <w:p w14:paraId="3FE8DAF8" w14:textId="77777777" w:rsidR="000E4587" w:rsidRPr="00E33CA0" w:rsidRDefault="000E4587">
      <w:pPr>
        <w:jc w:val="both"/>
        <w:rPr>
          <w:rFonts w:asciiTheme="minorHAnsi" w:hAnsiTheme="minorHAnsi" w:cstheme="minorHAnsi"/>
          <w:sz w:val="22"/>
          <w:szCs w:val="22"/>
        </w:rPr>
      </w:pPr>
    </w:p>
    <w:p w14:paraId="63253C13" w14:textId="77777777" w:rsidR="000E4587" w:rsidRPr="00E33CA0" w:rsidRDefault="00000000">
      <w:pPr>
        <w:pBdr>
          <w:left w:val="single" w:sz="14" w:space="8" w:color="3E2723"/>
        </w:pBdr>
        <w:shd w:val="clear" w:color="auto" w:fill="EFEBE9"/>
        <w:ind w:left="400"/>
        <w:jc w:val="both"/>
        <w:rPr>
          <w:rFonts w:asciiTheme="minorHAnsi" w:hAnsiTheme="minorHAnsi" w:cstheme="minorHAnsi"/>
          <w:color w:val="000000" w:themeColor="text1"/>
          <w:sz w:val="22"/>
          <w:szCs w:val="22"/>
        </w:rPr>
      </w:pPr>
      <w:r w:rsidRPr="00E33CA0">
        <w:rPr>
          <w:rFonts w:asciiTheme="minorHAnsi" w:hAnsiTheme="minorHAnsi" w:cstheme="minorHAnsi"/>
          <w:b/>
          <w:bCs/>
          <w:color w:val="3E2723"/>
          <w:sz w:val="22"/>
          <w:szCs w:val="22"/>
        </w:rPr>
        <w:t xml:space="preserve">Montenegro: </w:t>
      </w:r>
      <w:r w:rsidRPr="00E33CA0">
        <w:rPr>
          <w:rFonts w:asciiTheme="minorHAnsi" w:hAnsiTheme="minorHAnsi" w:cstheme="minorHAnsi"/>
          <w:color w:val="000000" w:themeColor="text1"/>
          <w:sz w:val="22"/>
          <w:szCs w:val="22"/>
        </w:rPr>
        <w:t>Only 26.8% of public policies address gender equality despite a legal mandate requiring such consideration (Law on Gender Equality Montenegro, 2007). The CEDAW Committee has expressed concern about persistent discriminatory practices despite a comprehensive legal framework (OHCHR CEDAW Montenegro, 2024).</w:t>
      </w:r>
    </w:p>
    <w:p w14:paraId="267E98E5" w14:textId="77777777" w:rsidR="000E4587" w:rsidRPr="00E33CA0" w:rsidRDefault="000E4587">
      <w:pPr>
        <w:jc w:val="both"/>
        <w:rPr>
          <w:rFonts w:asciiTheme="minorHAnsi" w:hAnsiTheme="minorHAnsi" w:cstheme="minorHAnsi"/>
          <w:sz w:val="22"/>
          <w:szCs w:val="22"/>
        </w:rPr>
      </w:pPr>
    </w:p>
    <w:p w14:paraId="61BC438F"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b/>
          <w:bCs/>
          <w:sz w:val="22"/>
          <w:szCs w:val="22"/>
        </w:rPr>
        <w:t>Table 8: Key Gender Gaps and Challenges by Country</w:t>
      </w:r>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199"/>
        <w:gridCol w:w="1791"/>
        <w:gridCol w:w="1789"/>
        <w:gridCol w:w="1791"/>
        <w:gridCol w:w="1790"/>
      </w:tblGrid>
      <w:tr w:rsidR="000E4587" w:rsidRPr="00E33CA0" w14:paraId="2CCC0A3C" w14:textId="77777777">
        <w:trPr>
          <w:tblHeader/>
        </w:trPr>
        <w:tc>
          <w:tcPr>
            <w:tcW w:w="21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E78B1E6"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Challenge</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74D7C14"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Albania</w:t>
            </w:r>
          </w:p>
        </w:tc>
        <w:tc>
          <w:tcPr>
            <w:tcW w:w="178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29DD599"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Bosnia &amp; Herz.</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7C18093F"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Croatia</w:t>
            </w:r>
          </w:p>
        </w:tc>
        <w:tc>
          <w:tcPr>
            <w:tcW w:w="179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127BEB5"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Montenegro</w:t>
            </w:r>
          </w:p>
        </w:tc>
      </w:tr>
      <w:tr w:rsidR="000E4587" w:rsidRPr="00E33CA0" w14:paraId="5771E7F4"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AB16987"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Primary Barrier</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32A2FB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Institutional capacity (EC, 2025)</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474765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Fragmentation &amp; norms (OHCHR, 2024)</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2ED9856"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Enforcement gaps (US Dept. of State, 2023)</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FFA112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Political will (OHCHR, 2024)</w:t>
            </w:r>
          </w:p>
        </w:tc>
      </w:tr>
      <w:tr w:rsidR="000E4587" w:rsidRPr="00E33CA0" w14:paraId="6DB29199"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7DC581A"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Data Availability</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B2CBCD4"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Critical deficit (INSTAT, 2023)</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E54F39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Critical deficit (BHAS, 2022)</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C12F61A"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Improving; operational gaps (EIGE, 2024)</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E78070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Limited; no TUS (MONSTAT, 2023)</w:t>
            </w:r>
          </w:p>
        </w:tc>
      </w:tr>
      <w:tr w:rsidR="000E4587" w:rsidRPr="00E33CA0" w14:paraId="0CBA1733"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68896A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Traditional Norms</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108C9C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Persistent; Kanun customary law (see footnote)</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932B9C7"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Deeply ingrained; patriarchal norms (CEDAW, 2024)</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A0DEE5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Persistent (EIGE, 2024)</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37C9056"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60% prefer traditional roles (UNDP MNE, 2024)</w:t>
            </w:r>
          </w:p>
        </w:tc>
      </w:tr>
      <w:tr w:rsidR="000E4587" w:rsidRPr="00E33CA0" w14:paraId="18B8B243"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A18BEF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Implementation Rate</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263EA5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Low (EC, 2025)</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E22042A"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Low (Equal </w:t>
            </w:r>
            <w:r w:rsidRPr="00E33CA0">
              <w:rPr>
                <w:rFonts w:asciiTheme="minorHAnsi" w:hAnsiTheme="minorHAnsi" w:cstheme="minorHAnsi"/>
                <w:color w:val="000000" w:themeColor="text1"/>
                <w:sz w:val="22"/>
                <w:szCs w:val="22"/>
              </w:rPr>
              <w:lastRenderedPageBreak/>
              <w:t>Future Eurasia, 2024)</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A06A31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lastRenderedPageBreak/>
              <w:t xml:space="preserve">Formal </w:t>
            </w:r>
            <w:r w:rsidRPr="00E33CA0">
              <w:rPr>
                <w:rFonts w:asciiTheme="minorHAnsi" w:hAnsiTheme="minorHAnsi" w:cstheme="minorHAnsi"/>
                <w:color w:val="000000" w:themeColor="text1"/>
                <w:sz w:val="22"/>
                <w:szCs w:val="22"/>
              </w:rPr>
              <w:lastRenderedPageBreak/>
              <w:t>compliance only (EIGE, 2024)</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BAA8B8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lastRenderedPageBreak/>
              <w:t xml:space="preserve">26.8% of policies </w:t>
            </w:r>
            <w:r w:rsidRPr="00E33CA0">
              <w:rPr>
                <w:rFonts w:asciiTheme="minorHAnsi" w:hAnsiTheme="minorHAnsi" w:cstheme="minorHAnsi"/>
                <w:color w:val="000000" w:themeColor="text1"/>
                <w:sz w:val="22"/>
                <w:szCs w:val="22"/>
              </w:rPr>
              <w:lastRenderedPageBreak/>
              <w:t>(OHCHR, 2024)</w:t>
            </w:r>
          </w:p>
        </w:tc>
      </w:tr>
      <w:tr w:rsidR="000E4587" w:rsidRPr="00E33CA0" w14:paraId="2239F0AA"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09B687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lastRenderedPageBreak/>
              <w:t>Resource Allocation</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5046D6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Insufficient</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5E715F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Insufficient</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D4367F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Not mandated</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DF8860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Insufficient</w:t>
            </w:r>
          </w:p>
        </w:tc>
      </w:tr>
    </w:tbl>
    <w:p w14:paraId="23D27FDA" w14:textId="77777777" w:rsidR="000E4587" w:rsidRPr="00E33CA0" w:rsidRDefault="000E4587">
      <w:pPr>
        <w:rPr>
          <w:rFonts w:asciiTheme="minorHAnsi" w:hAnsiTheme="minorHAnsi" w:cstheme="minorHAnsi"/>
        </w:rPr>
      </w:pPr>
    </w:p>
    <w:p w14:paraId="5D7F9CB8" w14:textId="77777777" w:rsidR="000E4587" w:rsidRPr="00E33CA0" w:rsidRDefault="00000000">
      <w:pPr>
        <w:pStyle w:val="Heading2"/>
        <w:spacing w:before="0" w:after="0"/>
        <w:jc w:val="both"/>
        <w:rPr>
          <w:rFonts w:asciiTheme="minorHAnsi" w:hAnsiTheme="minorHAnsi" w:cstheme="minorHAnsi"/>
          <w:sz w:val="22"/>
          <w:szCs w:val="22"/>
        </w:rPr>
      </w:pPr>
      <w:bookmarkStart w:id="35" w:name="_Toc231038132"/>
      <w:r w:rsidRPr="00E33CA0">
        <w:rPr>
          <w:rFonts w:asciiTheme="minorHAnsi" w:eastAsia="Arial" w:hAnsiTheme="minorHAnsi" w:cstheme="minorHAnsi"/>
          <w:b/>
          <w:bCs/>
          <w:color w:val="2E75B6"/>
          <w:sz w:val="22"/>
          <w:szCs w:val="22"/>
        </w:rPr>
        <w:t>7.2 Data Deficiencies and Monitoring Challenges</w:t>
      </w:r>
      <w:bookmarkEnd w:id="35"/>
    </w:p>
    <w:p w14:paraId="03AC267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A pervasive lack of comprehensive gender-disaggregated data represents a fundamental barrier to evidence-based policymaking and accountability across the region (DIKTAS II National Gender Analyses, 2025). While all four countries have legal mandates to collect sex-disaggregated statistics, systematic application of these requirements in the water sector remains incomplete.</w:t>
      </w:r>
    </w:p>
    <w:p w14:paraId="7E4CAB72" w14:textId="77777777" w:rsidR="000E4587" w:rsidRPr="00E33CA0" w:rsidRDefault="000E4587">
      <w:pPr>
        <w:jc w:val="both"/>
        <w:rPr>
          <w:rFonts w:asciiTheme="minorHAnsi" w:hAnsiTheme="minorHAnsi" w:cstheme="minorHAnsi"/>
          <w:color w:val="auto"/>
          <w:sz w:val="22"/>
          <w:szCs w:val="22"/>
        </w:rPr>
      </w:pPr>
    </w:p>
    <w:p w14:paraId="5E5A3D28"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Albania: </w:t>
      </w:r>
      <w:r w:rsidRPr="00E33CA0">
        <w:rPr>
          <w:rFonts w:asciiTheme="minorHAnsi" w:hAnsiTheme="minorHAnsi" w:cstheme="minorHAnsi"/>
          <w:color w:val="auto"/>
          <w:sz w:val="22"/>
          <w:szCs w:val="22"/>
        </w:rPr>
        <w:t>Lacks reliable data on women's water collection time, participation in water governance, and access to water-related assets. The national time-use survey dates to 2010–2011 (INSTAT) and requires updating.</w:t>
      </w:r>
    </w:p>
    <w:p w14:paraId="46E91467"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Bosnia and Herzegovina: </w:t>
      </w:r>
      <w:r w:rsidRPr="00E33CA0">
        <w:rPr>
          <w:rFonts w:asciiTheme="minorHAnsi" w:hAnsiTheme="minorHAnsi" w:cstheme="minorHAnsi"/>
          <w:color w:val="auto"/>
          <w:sz w:val="22"/>
          <w:szCs w:val="22"/>
        </w:rPr>
        <w:t>The Law on Gender Equality (2003) legally mandates gender-disaggregated data collection, but implementation remains inconsistent. Lack of comparable methodologies across entities (FBiH, RS, Brčko District) undermines data utility (BHAS, 2022).</w:t>
      </w:r>
    </w:p>
    <w:p w14:paraId="76C08A55"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Croatia: </w:t>
      </w:r>
      <w:r w:rsidRPr="00E33CA0">
        <w:rPr>
          <w:rFonts w:asciiTheme="minorHAnsi" w:hAnsiTheme="minorHAnsi" w:cstheme="minorHAnsi"/>
          <w:color w:val="auto"/>
          <w:sz w:val="22"/>
          <w:szCs w:val="22"/>
        </w:rPr>
        <w:t>Demonstrates partial progress through sex-disaggregated staffing data at Croatian Waters (2025). However, this practice does not extend to operational domains such as field assignments, project participation, training, or emergency response activities (Croatian Waters, 2025; EIGE, 2024).</w:t>
      </w:r>
    </w:p>
    <w:p w14:paraId="5387D3B1"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Montenegro: </w:t>
      </w:r>
      <w:r w:rsidRPr="00E33CA0">
        <w:rPr>
          <w:rFonts w:asciiTheme="minorHAnsi" w:hAnsiTheme="minorHAnsi" w:cstheme="minorHAnsi"/>
          <w:color w:val="auto"/>
          <w:sz w:val="22"/>
          <w:szCs w:val="22"/>
        </w:rPr>
        <w:t>Has never conducted a national time-use survey and has no published SDG Indicator 5.4.1 headline figure. The OSCE Mission supports gender-disaggregated data collection, but systematic implementation remains limited (OSCE Mission to Montenegro, 2022; MONSTAT, 2023).</w:t>
      </w:r>
    </w:p>
    <w:p w14:paraId="1CD10E09" w14:textId="77777777" w:rsidR="000E4587" w:rsidRPr="00E33CA0" w:rsidRDefault="000E4587">
      <w:pPr>
        <w:pStyle w:val="ListParagraph"/>
        <w:ind w:left="540"/>
        <w:contextualSpacing w:val="0"/>
        <w:jc w:val="both"/>
        <w:rPr>
          <w:rFonts w:asciiTheme="minorHAnsi" w:hAnsiTheme="minorHAnsi" w:cstheme="minorHAnsi"/>
          <w:color w:val="auto"/>
          <w:sz w:val="22"/>
          <w:szCs w:val="22"/>
        </w:rPr>
      </w:pPr>
    </w:p>
    <w:p w14:paraId="1B1435DB" w14:textId="77777777" w:rsidR="000E4587" w:rsidRPr="00E33CA0" w:rsidRDefault="00000000">
      <w:pPr>
        <w:pStyle w:val="Heading2"/>
        <w:spacing w:before="0" w:after="0"/>
        <w:jc w:val="both"/>
        <w:rPr>
          <w:rFonts w:asciiTheme="minorHAnsi" w:hAnsiTheme="minorHAnsi" w:cstheme="minorHAnsi"/>
          <w:sz w:val="22"/>
          <w:szCs w:val="22"/>
        </w:rPr>
      </w:pPr>
      <w:bookmarkStart w:id="36" w:name="_Toc231038133"/>
      <w:r w:rsidRPr="00E33CA0">
        <w:rPr>
          <w:rFonts w:asciiTheme="minorHAnsi" w:eastAsia="Arial" w:hAnsiTheme="minorHAnsi" w:cstheme="minorHAnsi"/>
          <w:b/>
          <w:bCs/>
          <w:color w:val="2E75B6"/>
          <w:sz w:val="22"/>
          <w:szCs w:val="22"/>
        </w:rPr>
        <w:t>7.3 Intersectional Vulnerabilities</w:t>
      </w:r>
      <w:bookmarkEnd w:id="36"/>
    </w:p>
    <w:p w14:paraId="7162CA1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The impacts of water sector inequalities are not uniformly distributed but are most severe for women facing multiple, intersecting forms of disadvantage. Rural location, ethnicity, age, disability, and economic status compound gender-based barriers to water access, economic participation, and governance influence.</w:t>
      </w:r>
    </w:p>
    <w:p w14:paraId="75EF51F4"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Albania: </w:t>
      </w:r>
      <w:r w:rsidRPr="00E33CA0">
        <w:rPr>
          <w:rFonts w:asciiTheme="minorHAnsi" w:hAnsiTheme="minorHAnsi" w:cstheme="minorHAnsi"/>
          <w:color w:val="auto"/>
          <w:sz w:val="22"/>
          <w:szCs w:val="22"/>
        </w:rPr>
        <w:t>Women in rural and mountainous areas face heightened climate-induced water scarcity risk. Women from Roma and Egyptian communities face additional barriers in accessing basic services (INSTAT, 2023; UNDP Albania, 2024).</w:t>
      </w:r>
    </w:p>
    <w:p w14:paraId="79280508"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Bosnia and Herzegovina: </w:t>
      </w:r>
      <w:r w:rsidRPr="00E33CA0">
        <w:rPr>
          <w:rFonts w:asciiTheme="minorHAnsi" w:hAnsiTheme="minorHAnsi" w:cstheme="minorHAnsi"/>
          <w:color w:val="auto"/>
          <w:sz w:val="22"/>
          <w:szCs w:val="22"/>
        </w:rPr>
        <w:t>Roma women face compounded discrimination. A significant proportion of Roma settlements lack connection to the basic water network or sewage systems (World Bank, 2022). The legacy of conflict-related sexual violence affecting an estimated 20,000 to 50,000 individuals (Global Survivors Fund, 2022) creates additional layers of vulnerability for survivors.</w:t>
      </w:r>
      <w:r w:rsidRPr="00E33CA0">
        <w:rPr>
          <w:rStyle w:val="FootnoteReference"/>
          <w:rFonts w:asciiTheme="minorHAnsi" w:hAnsiTheme="minorHAnsi" w:cstheme="minorHAnsi"/>
          <w:color w:val="auto"/>
          <w:sz w:val="22"/>
          <w:szCs w:val="22"/>
        </w:rPr>
        <w:footnoteReference w:id="4"/>
      </w:r>
    </w:p>
    <w:p w14:paraId="0F560CCE"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Croatia: </w:t>
      </w:r>
      <w:r w:rsidRPr="00E33CA0">
        <w:rPr>
          <w:rFonts w:asciiTheme="minorHAnsi" w:hAnsiTheme="minorHAnsi" w:cstheme="minorHAnsi"/>
          <w:color w:val="auto"/>
          <w:sz w:val="22"/>
          <w:szCs w:val="22"/>
        </w:rPr>
        <w:t xml:space="preserve">Ethnic minority women (including Roma and Serbs), rural women, and women with disabilities face multiple forms of discrimination. War-affected populations from the 1991–1995 </w:t>
      </w:r>
      <w:r w:rsidRPr="00E33CA0">
        <w:rPr>
          <w:rFonts w:asciiTheme="minorHAnsi" w:hAnsiTheme="minorHAnsi" w:cstheme="minorHAnsi"/>
          <w:b/>
          <w:bCs/>
          <w:color w:val="7030A0"/>
          <w:sz w:val="22"/>
          <w:szCs w:val="22"/>
        </w:rPr>
        <w:t>war</w:t>
      </w:r>
      <w:r w:rsidRPr="00E33CA0">
        <w:rPr>
          <w:rFonts w:asciiTheme="minorHAnsi" w:hAnsiTheme="minorHAnsi" w:cstheme="minorHAnsi"/>
          <w:color w:val="auto"/>
          <w:sz w:val="22"/>
          <w:szCs w:val="22"/>
        </w:rPr>
        <w:t xml:space="preserve"> retain specific vulnerabilities (UN Women, 2020).</w:t>
      </w:r>
    </w:p>
    <w:p w14:paraId="7335E8EA"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lastRenderedPageBreak/>
        <w:t xml:space="preserve">Montenegro: </w:t>
      </w:r>
      <w:r w:rsidRPr="00E33CA0">
        <w:rPr>
          <w:rFonts w:asciiTheme="minorHAnsi" w:hAnsiTheme="minorHAnsi" w:cstheme="minorHAnsi"/>
          <w:color w:val="auto"/>
          <w:sz w:val="22"/>
          <w:szCs w:val="22"/>
        </w:rPr>
        <w:t>Women in the northern region are significantly less likely to find employment than women in the south (UNDP Montenegro, 2022). Asset ownership data are presented in Section 4.2.</w:t>
      </w:r>
    </w:p>
    <w:p w14:paraId="76354E0B" w14:textId="77777777" w:rsidR="000E4587" w:rsidRPr="00E33CA0" w:rsidRDefault="00000000">
      <w:pPr>
        <w:pStyle w:val="Heading2"/>
        <w:spacing w:before="0" w:after="0"/>
        <w:jc w:val="both"/>
        <w:rPr>
          <w:rFonts w:asciiTheme="minorHAnsi" w:hAnsiTheme="minorHAnsi" w:cstheme="minorHAnsi"/>
          <w:sz w:val="22"/>
          <w:szCs w:val="22"/>
        </w:rPr>
      </w:pPr>
      <w:bookmarkStart w:id="37" w:name="_Toc231038134"/>
      <w:r w:rsidRPr="00E33CA0">
        <w:rPr>
          <w:rFonts w:asciiTheme="minorHAnsi" w:eastAsia="Arial" w:hAnsiTheme="minorHAnsi" w:cstheme="minorHAnsi"/>
          <w:b/>
          <w:bCs/>
          <w:color w:val="2E75B6"/>
          <w:sz w:val="22"/>
          <w:szCs w:val="22"/>
        </w:rPr>
        <w:t>7.4 Socio-Economic and Environmental Linkages</w:t>
      </w:r>
      <w:bookmarkEnd w:id="37"/>
    </w:p>
    <w:p w14:paraId="75FFF1B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Environmental linkages are significant across all four countries and are compounded by gender-differentiated vulnerabilities. Albania's water resources are projected to decline by 14% by mid-century (IMF, 2022), directly affecting women's agricultural and domestic water roles. A full analysis of country-level climate impacts and the water-GBV-climate nexus is presented in Section 8.</w:t>
      </w:r>
    </w:p>
    <w:p w14:paraId="76E89460" w14:textId="77777777" w:rsidR="000E4587" w:rsidRPr="00E33CA0" w:rsidRDefault="000E4587">
      <w:pPr>
        <w:jc w:val="both"/>
        <w:rPr>
          <w:rFonts w:asciiTheme="minorHAnsi" w:hAnsiTheme="minorHAnsi" w:cstheme="minorHAnsi"/>
          <w:color w:val="auto"/>
          <w:sz w:val="22"/>
          <w:szCs w:val="22"/>
        </w:rPr>
      </w:pPr>
    </w:p>
    <w:p w14:paraId="53912F2B"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Migration dynamics also interact with water governance capacity: Albania's population declined by approximately 420,000 since 2011 (INSTAT, 2023), affecting labour availability for water infrastructure maintenance. School sanitation and girls' education impacts are addressed in Section 5.2.</w:t>
      </w:r>
    </w:p>
    <w:p w14:paraId="03CB6E0D" w14:textId="77777777" w:rsidR="000E4587" w:rsidRPr="00E33CA0" w:rsidRDefault="000E4587">
      <w:pPr>
        <w:jc w:val="both"/>
        <w:rPr>
          <w:rFonts w:asciiTheme="minorHAnsi" w:hAnsiTheme="minorHAnsi" w:cstheme="minorHAnsi"/>
          <w:color w:val="auto"/>
          <w:sz w:val="22"/>
          <w:szCs w:val="22"/>
        </w:rPr>
      </w:pPr>
    </w:p>
    <w:p w14:paraId="2E498BA4" w14:textId="77777777" w:rsidR="000E4587" w:rsidRPr="00E33CA0" w:rsidRDefault="00000000">
      <w:pPr>
        <w:pStyle w:val="Heading2"/>
        <w:spacing w:before="0" w:after="0"/>
        <w:jc w:val="both"/>
        <w:rPr>
          <w:rFonts w:asciiTheme="minorHAnsi" w:hAnsiTheme="minorHAnsi" w:cstheme="minorHAnsi"/>
          <w:sz w:val="22"/>
          <w:szCs w:val="22"/>
        </w:rPr>
      </w:pPr>
      <w:bookmarkStart w:id="38" w:name="_Toc231038135"/>
      <w:r w:rsidRPr="00E33CA0">
        <w:rPr>
          <w:rFonts w:asciiTheme="minorHAnsi" w:eastAsia="Arial" w:hAnsiTheme="minorHAnsi" w:cstheme="minorHAnsi"/>
          <w:b/>
          <w:bCs/>
          <w:color w:val="2E75B6"/>
          <w:sz w:val="22"/>
          <w:szCs w:val="22"/>
        </w:rPr>
        <w:t>7.5 Emerging Themes and Opportunities</w:t>
      </w:r>
      <w:bookmarkEnd w:id="38"/>
    </w:p>
    <w:p w14:paraId="567EDEC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Despite persistent challenges, positive trends and strategic opportunities for advancing gender equality in the regional water sector are evident:</w:t>
      </w:r>
    </w:p>
    <w:p w14:paraId="5C356E14" w14:textId="77777777" w:rsidR="000E4587" w:rsidRPr="00E33CA0" w:rsidRDefault="000E4587">
      <w:pPr>
        <w:jc w:val="both"/>
        <w:rPr>
          <w:rFonts w:asciiTheme="minorHAnsi" w:hAnsiTheme="minorHAnsi" w:cstheme="minorHAnsi"/>
          <w:color w:val="auto"/>
          <w:sz w:val="22"/>
          <w:szCs w:val="22"/>
        </w:rPr>
      </w:pPr>
    </w:p>
    <w:p w14:paraId="08CCE3CA"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EU accession momentum: </w:t>
      </w:r>
      <w:r w:rsidRPr="00E33CA0">
        <w:rPr>
          <w:rFonts w:asciiTheme="minorHAnsi" w:hAnsiTheme="minorHAnsi" w:cstheme="minorHAnsi"/>
          <w:color w:val="auto"/>
          <w:sz w:val="22"/>
          <w:szCs w:val="22"/>
        </w:rPr>
        <w:t>EU accession processes create pressure and support for governance reforms, including enhanced data collection, institutional capacity building, and alignment with EU standards for gender mainstreaming. Albania, Bosnia and Herzegovina, and Montenegro are all EU candidate countries (European Commission, 2025).</w:t>
      </w:r>
    </w:p>
    <w:p w14:paraId="374B6CCA"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Female leadership as a catalyst in Croatia: </w:t>
      </w:r>
      <w:r w:rsidRPr="00E33CA0">
        <w:rPr>
          <w:rFonts w:asciiTheme="minorHAnsi" w:hAnsiTheme="minorHAnsi" w:cstheme="minorHAnsi"/>
          <w:color w:val="auto"/>
          <w:sz w:val="22"/>
          <w:szCs w:val="22"/>
        </w:rPr>
        <w:t xml:space="preserve">Croatia's current configuration, with women leading both the Ministry of Environmental Protection and Green Transition and </w:t>
      </w:r>
      <w:r w:rsidRPr="00E33CA0">
        <w:rPr>
          <w:rFonts w:asciiTheme="minorHAnsi" w:hAnsiTheme="minorHAnsi" w:cstheme="minorHAnsi"/>
          <w:b/>
          <w:bCs/>
          <w:color w:val="7030A0"/>
          <w:sz w:val="22"/>
          <w:szCs w:val="22"/>
        </w:rPr>
        <w:t xml:space="preserve">Management Board of </w:t>
      </w:r>
      <w:r w:rsidRPr="00E33CA0">
        <w:rPr>
          <w:rFonts w:asciiTheme="minorHAnsi" w:hAnsiTheme="minorHAnsi" w:cstheme="minorHAnsi"/>
          <w:color w:val="auto"/>
          <w:sz w:val="22"/>
          <w:szCs w:val="22"/>
        </w:rPr>
        <w:t>Croatian Waters (2025), represents an unprecedented concentration of influence in a traditionally male-dominated sector (Croatian Waters, 2025).</w:t>
      </w:r>
    </w:p>
    <w:p w14:paraId="639941E5"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Women's environmental consciousness: </w:t>
      </w:r>
      <w:r w:rsidRPr="00E33CA0">
        <w:rPr>
          <w:rFonts w:asciiTheme="minorHAnsi" w:hAnsiTheme="minorHAnsi" w:cstheme="minorHAnsi"/>
          <w:color w:val="auto"/>
          <w:sz w:val="22"/>
          <w:szCs w:val="22"/>
        </w:rPr>
        <w:t>Research indicates that women exhibit significantly higher environmental consciousness and support for sustainability policies than men (Mandarić &amp; Hunjet, 2024), suggesting a strategic leverage point for water conservation and climate adaptation campaigns across the region.</w:t>
      </w:r>
    </w:p>
    <w:p w14:paraId="0981D718"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Regional cooperation frameworks: </w:t>
      </w:r>
      <w:r w:rsidRPr="00E33CA0">
        <w:rPr>
          <w:rFonts w:asciiTheme="minorHAnsi" w:hAnsiTheme="minorHAnsi" w:cstheme="minorHAnsi"/>
          <w:color w:val="auto"/>
          <w:sz w:val="22"/>
          <w:szCs w:val="22"/>
        </w:rPr>
        <w:t>The DIKTAS II project itself, along with the OSCE's 'Women, Water Management and Conflict Prevention' project (Phase III, launched February 2023), provides opportunities for knowledge sharing, harmonized approaches, and collective advocacy (OSCE, 2023; UN Women &amp; UNEP-DHI, 2025).</w:t>
      </w:r>
    </w:p>
    <w:p w14:paraId="38E965B4" w14:textId="6EAD49AB" w:rsidR="009C3C18" w:rsidRPr="00E33CA0" w:rsidRDefault="00000000" w:rsidP="00515A97">
      <w:pPr>
        <w:pStyle w:val="ListParagraph"/>
        <w:ind w:left="540"/>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Digital transformation opportunities: </w:t>
      </w:r>
      <w:r w:rsidRPr="00E33CA0">
        <w:rPr>
          <w:rFonts w:asciiTheme="minorHAnsi" w:hAnsiTheme="minorHAnsi" w:cstheme="minorHAnsi"/>
          <w:color w:val="auto"/>
          <w:sz w:val="22"/>
          <w:szCs w:val="22"/>
        </w:rPr>
        <w:t>Digitalization of water sector management creates new entry points for women in data management, remote monitoring, and technical roles that may be less constrained by traditional gender norms in fieldwork environments.</w:t>
      </w:r>
    </w:p>
    <w:p w14:paraId="006FD213" w14:textId="08F01571" w:rsidR="009C3C18" w:rsidRPr="00E33CA0" w:rsidRDefault="00000000" w:rsidP="00515A97">
      <w:pPr>
        <w:pStyle w:val="ListParagraph"/>
        <w:rPr>
          <w:rFonts w:asciiTheme="minorHAnsi" w:hAnsiTheme="minorHAnsi" w:cstheme="minorHAnsi"/>
          <w:color w:val="008080"/>
          <w:sz w:val="22"/>
          <w:szCs w:val="22"/>
        </w:rPr>
      </w:pPr>
      <w:r w:rsidRPr="00E33CA0">
        <w:rPr>
          <w:rFonts w:asciiTheme="minorHAnsi" w:hAnsiTheme="minorHAnsi" w:cstheme="minorHAnsi"/>
          <w:b/>
          <w:bCs/>
          <w:color w:val="008080"/>
          <w:sz w:val="22"/>
          <w:szCs w:val="22"/>
        </w:rPr>
        <w:t>Young women in water diplomacy in Albania</w:t>
      </w:r>
      <w:r w:rsidRPr="00E33CA0">
        <w:rPr>
          <w:rFonts w:asciiTheme="minorHAnsi" w:hAnsiTheme="minorHAnsi" w:cstheme="minorHAnsi"/>
          <w:color w:val="008080"/>
          <w:sz w:val="22"/>
          <w:szCs w:val="22"/>
        </w:rPr>
        <w:t>: the national analysis identifies a growing group of young women in environmental studies, water research and water diplomacy. With mentoring and access to professional networks, this group can strengthen sector expertise and challenge the view of water as a male technical domain (Albania National Gender Analysis, 2025).</w:t>
      </w:r>
    </w:p>
    <w:p w14:paraId="3F7F5C83" w14:textId="77777777" w:rsidR="001B3EC1" w:rsidRPr="00E33CA0" w:rsidRDefault="00000000" w:rsidP="009C3C18">
      <w:pPr>
        <w:pStyle w:val="ListParagraph"/>
        <w:numPr>
          <w:ilvl w:val="0"/>
          <w:numId w:val="1"/>
        </w:numPr>
        <w:contextualSpacing w:val="0"/>
        <w:jc w:val="both"/>
        <w:rPr>
          <w:rFonts w:asciiTheme="minorHAnsi" w:hAnsiTheme="minorHAnsi" w:cstheme="minorHAnsi"/>
          <w:color w:val="E36C09"/>
          <w:sz w:val="22"/>
          <w:szCs w:val="22"/>
        </w:rPr>
      </w:pPr>
      <w:r w:rsidRPr="00E33CA0">
        <w:rPr>
          <w:rFonts w:asciiTheme="minorHAnsi" w:hAnsiTheme="minorHAnsi" w:cstheme="minorHAnsi"/>
          <w:b/>
          <w:bCs/>
          <w:color w:val="E36C09"/>
          <w:sz w:val="22"/>
          <w:szCs w:val="22"/>
        </w:rPr>
        <w:t xml:space="preserve">Linking gender, environment and budgets in Bosnia and Herzegovina: </w:t>
      </w:r>
      <w:r w:rsidRPr="00E33CA0">
        <w:rPr>
          <w:rFonts w:asciiTheme="minorHAnsi" w:hAnsiTheme="minorHAnsi" w:cstheme="minorHAnsi"/>
          <w:color w:val="E36C09"/>
          <w:sz w:val="22"/>
          <w:szCs w:val="22"/>
        </w:rPr>
        <w:t>the national analysis points to the GESEP review, which connects environmental policy with gender equality, social equity and poverty. It also notes the FIGAP financing mechanism for the Gender Action Plan and the value of linking SDG 6 monitoring with gender indicators (Bosnia and Herzegovina National Gender Analysis, 2025).</w:t>
      </w:r>
    </w:p>
    <w:p w14:paraId="21390A72" w14:textId="77777777" w:rsidR="009C3C18" w:rsidRPr="00E33CA0" w:rsidRDefault="009C3C18" w:rsidP="00515A97">
      <w:pPr>
        <w:pStyle w:val="ListParagraph"/>
        <w:rPr>
          <w:rFonts w:asciiTheme="minorHAnsi" w:hAnsiTheme="minorHAnsi" w:cstheme="minorHAnsi"/>
          <w:color w:val="E36C09"/>
          <w:sz w:val="22"/>
          <w:szCs w:val="22"/>
        </w:rPr>
      </w:pPr>
    </w:p>
    <w:p w14:paraId="01F7F9DB" w14:textId="77777777" w:rsidR="009C3C18" w:rsidRPr="00E33CA0" w:rsidRDefault="009C3C18" w:rsidP="00515A97">
      <w:pPr>
        <w:pStyle w:val="ListParagraph"/>
        <w:ind w:left="540"/>
        <w:contextualSpacing w:val="0"/>
        <w:jc w:val="both"/>
        <w:rPr>
          <w:rFonts w:asciiTheme="minorHAnsi" w:hAnsiTheme="minorHAnsi" w:cstheme="minorHAnsi"/>
          <w:color w:val="E36C09"/>
          <w:sz w:val="22"/>
          <w:szCs w:val="22"/>
        </w:rPr>
      </w:pPr>
    </w:p>
    <w:p w14:paraId="140CEE66"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Growing evidence base on water–GBV nexus: </w:t>
      </w:r>
      <w:r w:rsidRPr="00E33CA0">
        <w:rPr>
          <w:rFonts w:asciiTheme="minorHAnsi" w:hAnsiTheme="minorHAnsi" w:cstheme="minorHAnsi"/>
          <w:color w:val="auto"/>
          <w:sz w:val="22"/>
          <w:szCs w:val="22"/>
        </w:rPr>
        <w:t>The systematic review by Tallman et al. (2023) and the DIKTAS II Research Document (2026) establish five clear causal pathways from water governance failures to GBV, providing an evidence-based rationale for integrated programming.</w:t>
      </w:r>
      <w:r w:rsidRPr="00E33CA0">
        <w:rPr>
          <w:rFonts w:asciiTheme="minorHAnsi" w:hAnsiTheme="minorHAnsi" w:cstheme="minorHAnsi"/>
          <w:color w:val="E0218A"/>
          <w:sz w:val="22"/>
          <w:szCs w:val="22"/>
        </w:rPr>
        <w:t xml:space="preserve"> Their review is global in scope and identified no European case study; DIKTAS II adapts this evidence to the Western Balkans context.</w:t>
      </w:r>
    </w:p>
    <w:p w14:paraId="4F228C9B"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rPr>
        <w:br w:type="page"/>
      </w:r>
    </w:p>
    <w:p w14:paraId="7B78F012" w14:textId="77777777" w:rsidR="000E4587" w:rsidRPr="00E33CA0" w:rsidRDefault="00000000">
      <w:pPr>
        <w:pStyle w:val="Heading1"/>
        <w:pBdr>
          <w:bottom w:val="single" w:sz="8" w:space="4" w:color="2E75B6"/>
        </w:pBdr>
        <w:spacing w:before="0" w:after="0"/>
        <w:jc w:val="both"/>
        <w:rPr>
          <w:rFonts w:asciiTheme="minorHAnsi" w:hAnsiTheme="minorHAnsi" w:cstheme="minorHAnsi"/>
          <w:color w:val="4472C4" w:themeColor="accent1"/>
          <w:sz w:val="22"/>
          <w:szCs w:val="22"/>
        </w:rPr>
      </w:pPr>
      <w:bookmarkStart w:id="39" w:name="_Toc231038136"/>
      <w:r w:rsidRPr="00E33CA0">
        <w:rPr>
          <w:rFonts w:asciiTheme="minorHAnsi" w:eastAsia="Arial" w:hAnsiTheme="minorHAnsi" w:cstheme="minorHAnsi"/>
          <w:b/>
          <w:bCs/>
          <w:color w:val="4472C4" w:themeColor="accent1"/>
          <w:sz w:val="22"/>
          <w:szCs w:val="22"/>
        </w:rPr>
        <w:lastRenderedPageBreak/>
        <w:t>8.  CLIMATE CHANGE, GENDER-BASED VIOLENCE, AND WATER GOVERNANCE</w:t>
      </w:r>
      <w:bookmarkEnd w:id="39"/>
    </w:p>
    <w:p w14:paraId="699ED39B" w14:textId="77777777" w:rsidR="000E4587" w:rsidRPr="00E33CA0" w:rsidRDefault="00000000">
      <w:pPr>
        <w:pBdr>
          <w:left w:val="single" w:sz="14" w:space="8" w:color="E65100"/>
        </w:pBdr>
        <w:shd w:val="clear" w:color="auto" w:fill="FFF3E0"/>
        <w:ind w:left="400"/>
        <w:jc w:val="both"/>
        <w:rPr>
          <w:rFonts w:asciiTheme="minorHAnsi" w:hAnsiTheme="minorHAnsi" w:cstheme="minorHAnsi"/>
          <w:sz w:val="22"/>
          <w:szCs w:val="22"/>
        </w:rPr>
      </w:pPr>
      <w:r w:rsidRPr="00E33CA0">
        <w:rPr>
          <w:rFonts w:asciiTheme="minorHAnsi" w:hAnsiTheme="minorHAnsi" w:cstheme="minorHAnsi"/>
          <w:i/>
          <w:iCs/>
          <w:sz w:val="22"/>
          <w:szCs w:val="22"/>
        </w:rPr>
        <w:t xml:space="preserve">This section presents a cross-cutting analysis drawing from Water Sector Governance and Management, Gender-Based Violence, and Climate Change Impacts on Women and Girls: Evidence from Albania, Bosnia and Herzegovina, Croatia, and Montenegro </w:t>
      </w:r>
    </w:p>
    <w:p w14:paraId="0D28BEE6" w14:textId="77777777" w:rsidR="000E4587" w:rsidRPr="00E33CA0" w:rsidRDefault="000E4587">
      <w:pPr>
        <w:pStyle w:val="Heading2"/>
        <w:spacing w:before="0" w:after="0"/>
        <w:jc w:val="both"/>
        <w:rPr>
          <w:rFonts w:asciiTheme="minorHAnsi" w:eastAsia="Arial" w:hAnsiTheme="minorHAnsi" w:cstheme="minorHAnsi"/>
          <w:b/>
          <w:bCs/>
          <w:color w:val="E65100"/>
          <w:sz w:val="22"/>
          <w:szCs w:val="22"/>
        </w:rPr>
      </w:pPr>
    </w:p>
    <w:p w14:paraId="6F302C02" w14:textId="77777777" w:rsidR="000E4587" w:rsidRPr="00E33CA0" w:rsidRDefault="00000000">
      <w:pPr>
        <w:pStyle w:val="Heading2"/>
        <w:spacing w:before="0" w:after="0"/>
        <w:jc w:val="both"/>
        <w:rPr>
          <w:rFonts w:asciiTheme="minorHAnsi" w:hAnsiTheme="minorHAnsi" w:cstheme="minorHAnsi"/>
          <w:color w:val="4472C4" w:themeColor="accent1"/>
          <w:sz w:val="22"/>
          <w:szCs w:val="22"/>
        </w:rPr>
      </w:pPr>
      <w:bookmarkStart w:id="40" w:name="_Toc231038137"/>
      <w:r w:rsidRPr="00E33CA0">
        <w:rPr>
          <w:rFonts w:asciiTheme="minorHAnsi" w:eastAsia="Arial" w:hAnsiTheme="minorHAnsi" w:cstheme="minorHAnsi"/>
          <w:b/>
          <w:bCs/>
          <w:color w:val="4472C4" w:themeColor="accent1"/>
          <w:sz w:val="22"/>
          <w:szCs w:val="22"/>
        </w:rPr>
        <w:t>8.1 Overview: The Water–GBV–Climate Nexus</w:t>
      </w:r>
      <w:bookmarkEnd w:id="40"/>
    </w:p>
    <w:p w14:paraId="26153A3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The Western Balkans sits at a critical intersection where water governance failures, GBV, and climate change converge to disproportionately harm women and girls. Across the four countries, GBV prevalence remains high: approximately one in two women has experienced some form of violence over her lifetime. The IPCC classifies the Western Balkans as one of Europe's most climate-exposed regions (IPCC, 2021), and over the past 20 years 118 natural hazards affected more than 4 million people, causing over US$6.6 billion in damages (World Bank, 2024). Country-level climate impact data are presented in Section 8.6.</w:t>
      </w:r>
    </w:p>
    <w:p w14:paraId="17683D8F" w14:textId="77777777" w:rsidR="000E4587" w:rsidRPr="00E33CA0" w:rsidRDefault="000E4587">
      <w:pPr>
        <w:jc w:val="both"/>
        <w:rPr>
          <w:rFonts w:asciiTheme="minorHAnsi" w:hAnsiTheme="minorHAnsi" w:cstheme="minorHAnsi"/>
          <w:color w:val="000000" w:themeColor="text1"/>
          <w:sz w:val="22"/>
          <w:szCs w:val="22"/>
        </w:rPr>
      </w:pPr>
    </w:p>
    <w:p w14:paraId="150E530B"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 central finding of this section is the complete absence of peer-reviewed studies directly examining the water–GBV nexus in the Western Balkans or Southeast Europe, a significant literature gap given that global evidence already establishes clear causal pathways between water insecurity and violence against women (Tallman et al., 2023).</w:t>
      </w:r>
    </w:p>
    <w:p w14:paraId="61949A65" w14:textId="77777777" w:rsidR="000E4587" w:rsidRPr="00E33CA0" w:rsidRDefault="000E4587">
      <w:pPr>
        <w:jc w:val="both"/>
        <w:rPr>
          <w:rFonts w:asciiTheme="minorHAnsi" w:hAnsiTheme="minorHAnsi" w:cstheme="minorHAnsi"/>
          <w:sz w:val="22"/>
          <w:szCs w:val="22"/>
        </w:rPr>
      </w:pPr>
    </w:p>
    <w:p w14:paraId="1CF406E2" w14:textId="77777777" w:rsidR="000E4587" w:rsidRPr="00E33CA0" w:rsidRDefault="00000000">
      <w:pPr>
        <w:pStyle w:val="Heading2"/>
        <w:spacing w:before="0" w:after="0"/>
        <w:jc w:val="both"/>
        <w:rPr>
          <w:rFonts w:asciiTheme="minorHAnsi" w:hAnsiTheme="minorHAnsi" w:cstheme="minorHAnsi"/>
          <w:color w:val="4472C4" w:themeColor="accent1"/>
          <w:sz w:val="22"/>
          <w:szCs w:val="22"/>
        </w:rPr>
      </w:pPr>
      <w:bookmarkStart w:id="41" w:name="_Toc231038138"/>
      <w:r w:rsidRPr="00E33CA0">
        <w:rPr>
          <w:rFonts w:asciiTheme="minorHAnsi" w:eastAsia="Arial" w:hAnsiTheme="minorHAnsi" w:cstheme="minorHAnsi"/>
          <w:b/>
          <w:bCs/>
          <w:color w:val="4472C4" w:themeColor="accent1"/>
          <w:sz w:val="22"/>
          <w:szCs w:val="22"/>
        </w:rPr>
        <w:t>8.2 Definitions: Forms of GBV in Water Governance Contexts</w:t>
      </w:r>
      <w:bookmarkEnd w:id="41"/>
    </w:p>
    <w:p w14:paraId="58B8DF0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GBV in water governance contexts encompasses:</w:t>
      </w:r>
    </w:p>
    <w:p w14:paraId="4751AC1F"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Physical and sexual violence during water collection journeys (including night-time collection due to intermittent supply)</w:t>
      </w:r>
    </w:p>
    <w:p w14:paraId="2344F628"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Psychological violence through intimidation when women fail to meet water-dependent domestic expectations</w:t>
      </w:r>
    </w:p>
    <w:p w14:paraId="27A42EA8"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Economic violence through time poverty imposed by water collection duties</w:t>
      </w:r>
    </w:p>
    <w:p w14:paraId="609E9981"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Structural violence through exclusion from water management institutions</w:t>
      </w:r>
    </w:p>
    <w:p w14:paraId="3F73C5BA"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Harmful traditional practices assigning women sole responsibility for household water management while denying them decision-making voice (UN Women, 2020; OECD, 2023; Istanbul Convention, 2011)</w:t>
      </w:r>
    </w:p>
    <w:p w14:paraId="57753E92" w14:textId="77777777" w:rsidR="000E4587" w:rsidRPr="00E33CA0" w:rsidRDefault="000E4587">
      <w:pPr>
        <w:pStyle w:val="ListParagraph"/>
        <w:ind w:left="540"/>
        <w:contextualSpacing w:val="0"/>
        <w:jc w:val="both"/>
        <w:rPr>
          <w:rFonts w:asciiTheme="minorHAnsi" w:hAnsiTheme="minorHAnsi" w:cstheme="minorHAnsi"/>
          <w:color w:val="000000" w:themeColor="text1"/>
          <w:sz w:val="22"/>
          <w:szCs w:val="22"/>
        </w:rPr>
      </w:pPr>
    </w:p>
    <w:p w14:paraId="47EE444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The concept of 'gender-based water violence', proposed by Tallman et al. (2025), refers to the spectrum of water-related stressors so extreme as to threaten the health and well-being of women and girls, constituting a distinct category of gendered harm requiring dedicated policy attention.</w:t>
      </w:r>
    </w:p>
    <w:p w14:paraId="1ABD2398" w14:textId="77777777" w:rsidR="000E4587" w:rsidRPr="00E33CA0" w:rsidRDefault="000E4587">
      <w:pPr>
        <w:jc w:val="both"/>
        <w:rPr>
          <w:rFonts w:asciiTheme="minorHAnsi" w:hAnsiTheme="minorHAnsi" w:cstheme="minorHAnsi"/>
          <w:color w:val="000000" w:themeColor="text1"/>
          <w:sz w:val="22"/>
          <w:szCs w:val="22"/>
        </w:rPr>
      </w:pPr>
    </w:p>
    <w:p w14:paraId="650B379D" w14:textId="77777777" w:rsidR="000E4587" w:rsidRPr="00E33CA0" w:rsidRDefault="00000000">
      <w:pPr>
        <w:pStyle w:val="Heading2"/>
        <w:spacing w:before="0" w:after="0"/>
        <w:jc w:val="both"/>
        <w:rPr>
          <w:rFonts w:asciiTheme="minorHAnsi" w:hAnsiTheme="minorHAnsi" w:cstheme="minorHAnsi"/>
          <w:color w:val="4472C4" w:themeColor="accent1"/>
          <w:sz w:val="22"/>
          <w:szCs w:val="22"/>
        </w:rPr>
      </w:pPr>
      <w:bookmarkStart w:id="42" w:name="_Toc231038139"/>
      <w:r w:rsidRPr="00E33CA0">
        <w:rPr>
          <w:rFonts w:asciiTheme="minorHAnsi" w:eastAsia="Arial" w:hAnsiTheme="minorHAnsi" w:cstheme="minorHAnsi"/>
          <w:b/>
          <w:bCs/>
          <w:color w:val="4472C4" w:themeColor="accent1"/>
          <w:sz w:val="22"/>
          <w:szCs w:val="22"/>
        </w:rPr>
        <w:t>8.3 Five Pathways from Water Governance Failures to GBV</w:t>
      </w:r>
      <w:bookmarkEnd w:id="42"/>
    </w:p>
    <w:p w14:paraId="7A61611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Drawing on Tallman et al.'s (2023) systematic review of 18 peer-reviewed studies, five pathways through which water governance weaknesses contribute to GBV are identified. While established through research in sub-Saharan Africa and South Asia, the structural logic of each pathway applies to the patriarchal, rural, and climate-vulnerable contexts of the Western Balkans.</w:t>
      </w:r>
    </w:p>
    <w:p w14:paraId="04D7A8FF"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Pathway 1 – Exposure during water collection: </w:t>
      </w:r>
      <w:r w:rsidRPr="00E33CA0">
        <w:rPr>
          <w:rFonts w:asciiTheme="minorHAnsi" w:hAnsiTheme="minorHAnsi" w:cstheme="minorHAnsi"/>
          <w:color w:val="000000" w:themeColor="text1"/>
          <w:sz w:val="22"/>
          <w:szCs w:val="22"/>
        </w:rPr>
        <w:t>Women and girls travelling to collect water face physical and sexual violence, harassment, and assault. Documented in 94% of studies reviewed by Tallman et al. (2023). Albania's non-revenue water losses of 55–67% (2022; World Bank) result in unreliable supply that can force women to seek alternative sources at unsafe hours or locations.</w:t>
      </w:r>
    </w:p>
    <w:p w14:paraId="607B0418"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lastRenderedPageBreak/>
        <w:t xml:space="preserve">Pathway 2 – Domestic obligation failure triggering IPV: </w:t>
      </w:r>
      <w:r w:rsidRPr="00E33CA0">
        <w:rPr>
          <w:rFonts w:asciiTheme="minorHAnsi" w:hAnsiTheme="minorHAnsi" w:cstheme="minorHAnsi"/>
          <w:color w:val="000000" w:themeColor="text1"/>
          <w:sz w:val="22"/>
          <w:szCs w:val="22"/>
        </w:rPr>
        <w:t>Water inadequacy prevents women from completing expected household tasks, triggering intimate partner violence as 'punishment'. Stevenson et al. (2012) documented this pathway in Ethiopia; Cole et al. (2024) found women in water-insecure households more than twice as likely to report GBV (OR = 2.2).</w:t>
      </w:r>
    </w:p>
    <w:p w14:paraId="6A58F52B"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Pathway 3 – Economic disempowerment through time poverty: </w:t>
      </w:r>
      <w:r w:rsidRPr="00E33CA0">
        <w:rPr>
          <w:rFonts w:asciiTheme="minorHAnsi" w:hAnsiTheme="minorHAnsi" w:cstheme="minorHAnsi"/>
          <w:color w:val="000000" w:themeColor="text1"/>
          <w:sz w:val="22"/>
          <w:szCs w:val="22"/>
        </w:rPr>
        <w:t>Time devoted to water collection reduces economic participation, educational access, and financial independence. Across the Western Balkans, the Female Empowerment Index scores just 52.4 out of 100, far below the EU average of 80 (Regional Cooperation Council, 2021).</w:t>
      </w:r>
    </w:p>
    <w:p w14:paraId="71C25466"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Pathway 4 – Governance exclusion as structural violence: </w:t>
      </w:r>
      <w:r w:rsidRPr="00E33CA0">
        <w:rPr>
          <w:rFonts w:asciiTheme="minorHAnsi" w:hAnsiTheme="minorHAnsi" w:cstheme="minorHAnsi"/>
          <w:color w:val="000000" w:themeColor="text1"/>
          <w:sz w:val="22"/>
          <w:szCs w:val="22"/>
        </w:rPr>
        <w:t>Women's systematic exclusion from water management perpetuates gender-insensitive infrastructure planning, creating self-reinforcing cycles of water insecurity. Globally, a World Bank study of water utilities in 28 countries found only 20% of new hires were female (World Bank, 2019).</w:t>
      </w:r>
    </w:p>
    <w:p w14:paraId="472CCED5"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Pathway 5 – Climate amplification of water–GBV dynamics: </w:t>
      </w:r>
      <w:r w:rsidRPr="00E33CA0">
        <w:rPr>
          <w:rFonts w:asciiTheme="minorHAnsi" w:hAnsiTheme="minorHAnsi" w:cstheme="minorHAnsi"/>
          <w:color w:val="000000" w:themeColor="text1"/>
          <w:sz w:val="22"/>
          <w:szCs w:val="22"/>
        </w:rPr>
        <w:t>Drought and water scarcity intensify all preceding pathways through economic stress, food insecurity, and resource competition. Wang et al. (2025), studying 494,471 women across 42 countries, found drought at all timescales increased IPV risk (RR = 1.07 at 12-month scale). The 2022 drought impacted 47% of Bosnia and Herzegovina's area and 25% of Montenegro's territory (European Environment Agency, 2023).</w:t>
      </w:r>
    </w:p>
    <w:p w14:paraId="1D078BEF" w14:textId="77777777" w:rsidR="000E4587" w:rsidRPr="00E33CA0" w:rsidRDefault="000E4587">
      <w:pPr>
        <w:pStyle w:val="ListParagraph"/>
        <w:ind w:left="540"/>
        <w:contextualSpacing w:val="0"/>
        <w:jc w:val="both"/>
        <w:rPr>
          <w:rFonts w:asciiTheme="minorHAnsi" w:hAnsiTheme="minorHAnsi" w:cstheme="minorHAnsi"/>
          <w:color w:val="000000" w:themeColor="text1"/>
          <w:sz w:val="22"/>
          <w:szCs w:val="22"/>
        </w:rPr>
      </w:pPr>
    </w:p>
    <w:p w14:paraId="45901F66" w14:textId="77777777" w:rsidR="000E4587" w:rsidRPr="00E33CA0" w:rsidRDefault="00000000">
      <w:pPr>
        <w:pStyle w:val="Heading2"/>
        <w:spacing w:before="0" w:after="0"/>
        <w:jc w:val="both"/>
        <w:rPr>
          <w:rFonts w:asciiTheme="minorHAnsi" w:eastAsia="Arial" w:hAnsiTheme="minorHAnsi" w:cstheme="minorHAnsi"/>
          <w:b/>
          <w:bCs/>
          <w:color w:val="4472C4" w:themeColor="accent1"/>
          <w:sz w:val="22"/>
          <w:szCs w:val="22"/>
        </w:rPr>
      </w:pPr>
      <w:bookmarkStart w:id="43" w:name="_Toc231038140"/>
      <w:r w:rsidRPr="00E33CA0">
        <w:rPr>
          <w:rFonts w:asciiTheme="minorHAnsi" w:eastAsia="Arial" w:hAnsiTheme="minorHAnsi" w:cstheme="minorHAnsi"/>
          <w:b/>
          <w:bCs/>
          <w:color w:val="4472C4" w:themeColor="accent1"/>
          <w:sz w:val="22"/>
          <w:szCs w:val="22"/>
        </w:rPr>
        <w:t>8.4 GBV Prevalence Across the Four Countries</w:t>
      </w:r>
      <w:bookmarkEnd w:id="43"/>
    </w:p>
    <w:p w14:paraId="45116226" w14:textId="77777777" w:rsidR="000E4587" w:rsidRPr="00E33CA0" w:rsidRDefault="000E4587">
      <w:pPr>
        <w:rPr>
          <w:rFonts w:asciiTheme="minorHAnsi" w:hAnsiTheme="minorHAnsi" w:cstheme="minorHAnsi"/>
        </w:rPr>
      </w:pPr>
    </w:p>
    <w:p w14:paraId="46EF1A54" w14:textId="77777777" w:rsidR="000E4587" w:rsidRPr="00E33CA0" w:rsidRDefault="000E4587">
      <w:pPr>
        <w:jc w:val="both"/>
        <w:rPr>
          <w:rFonts w:asciiTheme="minorHAnsi" w:hAnsiTheme="minorHAnsi" w:cstheme="minorHAnsi"/>
          <w:sz w:val="22"/>
          <w:szCs w:val="22"/>
        </w:rPr>
      </w:pPr>
    </w:p>
    <w:p w14:paraId="5DD1F024" w14:textId="77777777" w:rsidR="000E4587" w:rsidRPr="00E33CA0" w:rsidRDefault="00000000">
      <w:pPr>
        <w:pBdr>
          <w:left w:val="single" w:sz="14" w:space="8" w:color="1B5E20"/>
        </w:pBdr>
        <w:shd w:val="clear" w:color="auto" w:fill="E8F5E9"/>
        <w:ind w:left="400"/>
        <w:jc w:val="both"/>
        <w:rPr>
          <w:rFonts w:asciiTheme="minorHAnsi" w:hAnsiTheme="minorHAnsi" w:cstheme="minorHAnsi"/>
          <w:color w:val="000000" w:themeColor="text1"/>
          <w:sz w:val="22"/>
          <w:szCs w:val="22"/>
        </w:rPr>
      </w:pPr>
      <w:r w:rsidRPr="00E33CA0">
        <w:rPr>
          <w:rFonts w:asciiTheme="minorHAnsi" w:hAnsiTheme="minorHAnsi" w:cstheme="minorHAnsi"/>
          <w:b/>
          <w:bCs/>
          <w:color w:val="1B5E20"/>
          <w:sz w:val="22"/>
          <w:szCs w:val="22"/>
        </w:rPr>
        <w:t xml:space="preserve">Albania: </w:t>
      </w:r>
      <w:r w:rsidRPr="00E33CA0">
        <w:rPr>
          <w:rFonts w:asciiTheme="minorHAnsi" w:hAnsiTheme="minorHAnsi" w:cstheme="minorHAnsi"/>
          <w:color w:val="000000" w:themeColor="text1"/>
          <w:sz w:val="22"/>
          <w:szCs w:val="22"/>
        </w:rPr>
        <w:t>The INSTAT/UN Women/UNDP National Population Survey on Violence Against Women and Girls (2018, published 2019) found that 52.9% of women aged 18–74 experienced at least one form of violence in their lifetime. Intimate partner violence (IPV) affected 47% of ever-partnered women over their lifetimes, with 33.7% experiencing IPV in the preceding 12 months (INSTAT/UN Women/UNDP, 2019). Critically, only 3% of women who experienced partner violence reported to police (INSTAT/UN Women/UNDP, 2019). The OSCE Survey on Well-being and Safety of Women (2019) found 62% of Albanian women experienced psychological partner violence and 34% experienced sexual harassment since age 15 (OSCE, 2019). The Albanian Femicide Observatory documented 32 women and girls killed between 2021 and 2023, of whom 24 were classified as femicides (People's Advocate of Albania/UN Women, 2024).</w:t>
      </w:r>
      <w:r w:rsidRPr="00E33CA0">
        <w:rPr>
          <w:rStyle w:val="FootnoteReference"/>
          <w:rFonts w:asciiTheme="minorHAnsi" w:hAnsiTheme="minorHAnsi" w:cstheme="minorHAnsi"/>
          <w:color w:val="000000" w:themeColor="text1"/>
          <w:sz w:val="22"/>
          <w:szCs w:val="22"/>
        </w:rPr>
        <w:footnoteReference w:id="5"/>
      </w:r>
    </w:p>
    <w:p w14:paraId="59F676EF" w14:textId="77777777" w:rsidR="000E4587" w:rsidRPr="00E33CA0" w:rsidRDefault="000E4587">
      <w:pPr>
        <w:jc w:val="both"/>
        <w:rPr>
          <w:rFonts w:asciiTheme="minorHAnsi" w:hAnsiTheme="minorHAnsi" w:cstheme="minorHAnsi"/>
          <w:sz w:val="22"/>
          <w:szCs w:val="22"/>
        </w:rPr>
      </w:pPr>
    </w:p>
    <w:p w14:paraId="5F3D9134" w14:textId="77777777" w:rsidR="000E4587" w:rsidRPr="00E33CA0" w:rsidRDefault="00000000">
      <w:pPr>
        <w:pBdr>
          <w:left w:val="single" w:sz="14" w:space="8" w:color="B71C1C"/>
        </w:pBdr>
        <w:shd w:val="clear" w:color="auto" w:fill="FFEBEE"/>
        <w:ind w:left="400"/>
        <w:jc w:val="both"/>
        <w:rPr>
          <w:rFonts w:asciiTheme="minorHAnsi" w:hAnsiTheme="minorHAnsi" w:cstheme="minorHAnsi"/>
          <w:color w:val="000000" w:themeColor="text1"/>
          <w:sz w:val="22"/>
          <w:szCs w:val="22"/>
        </w:rPr>
      </w:pPr>
      <w:r w:rsidRPr="00E33CA0">
        <w:rPr>
          <w:rFonts w:asciiTheme="minorHAnsi" w:hAnsiTheme="minorHAnsi" w:cstheme="minorHAnsi"/>
          <w:b/>
          <w:bCs/>
          <w:color w:val="B71C1C"/>
          <w:sz w:val="22"/>
          <w:szCs w:val="22"/>
        </w:rPr>
        <w:t xml:space="preserve">Bosnia and Herzegovina: </w:t>
      </w:r>
      <w:r w:rsidRPr="00E33CA0">
        <w:rPr>
          <w:rFonts w:asciiTheme="minorHAnsi" w:hAnsiTheme="minorHAnsi" w:cstheme="minorHAnsi"/>
          <w:color w:val="000000" w:themeColor="text1"/>
          <w:sz w:val="22"/>
          <w:szCs w:val="22"/>
        </w:rPr>
        <w:t>BiH exhibits high GBV prevalence compounded by the legacy of conflict-related sexual violence (CRSV). The OSCE Survey on Well-being and Safety of Women (2019) found approximately 48% of women experienced physical, psychological, or sexual abuse, with 84% of cases going unreported (OSCE, 2019). An estimated 20,000 to 50,000 individuals were subjected to sexual violence during the 1992–1995 war (Global Survivors Fund, 2022). UN Women research (2017) found 62% of CRSV survivors unemployed and more than half living below the poverty line (Global Survivors Fund, 2022).</w:t>
      </w:r>
    </w:p>
    <w:p w14:paraId="57F864AF" w14:textId="77777777" w:rsidR="000E4587" w:rsidRPr="00E33CA0" w:rsidRDefault="000E4587">
      <w:pPr>
        <w:jc w:val="both"/>
        <w:rPr>
          <w:rFonts w:asciiTheme="minorHAnsi" w:hAnsiTheme="minorHAnsi" w:cstheme="minorHAnsi"/>
          <w:color w:val="000000" w:themeColor="text1"/>
          <w:sz w:val="22"/>
          <w:szCs w:val="22"/>
        </w:rPr>
      </w:pPr>
    </w:p>
    <w:p w14:paraId="6F3B83E2" w14:textId="77777777" w:rsidR="000E4587" w:rsidRPr="00E33CA0" w:rsidRDefault="00000000">
      <w:pPr>
        <w:pBdr>
          <w:left w:val="single" w:sz="14" w:space="8" w:color="4A148C"/>
        </w:pBdr>
        <w:shd w:val="clear" w:color="auto" w:fill="F3E5F5"/>
        <w:ind w:left="400"/>
        <w:jc w:val="both"/>
        <w:rPr>
          <w:rFonts w:asciiTheme="minorHAnsi" w:hAnsiTheme="minorHAnsi" w:cstheme="minorHAnsi"/>
          <w:color w:val="000000" w:themeColor="text1"/>
          <w:sz w:val="22"/>
          <w:szCs w:val="22"/>
        </w:rPr>
      </w:pPr>
      <w:r w:rsidRPr="00E33CA0">
        <w:rPr>
          <w:rFonts w:asciiTheme="minorHAnsi" w:hAnsiTheme="minorHAnsi" w:cstheme="minorHAnsi"/>
          <w:b/>
          <w:bCs/>
          <w:color w:val="4A148C"/>
          <w:sz w:val="22"/>
          <w:szCs w:val="22"/>
        </w:rPr>
        <w:t xml:space="preserve">Croatia: </w:t>
      </w:r>
      <w:r w:rsidRPr="00E33CA0">
        <w:rPr>
          <w:rFonts w:asciiTheme="minorHAnsi" w:hAnsiTheme="minorHAnsi" w:cstheme="minorHAnsi"/>
          <w:color w:val="000000" w:themeColor="text1"/>
          <w:sz w:val="22"/>
          <w:szCs w:val="22"/>
        </w:rPr>
        <w:t xml:space="preserve">The EU-GBV Survey (2021, published 2024) found 25.3% of ever-partnered Croatian women experienced physical or sexual IPV in their lifetimes, rising to 32% when including psychological violence (FRA/Eurostat, 2024). Between 2013 and 2020, 131 women were murdered </w:t>
      </w:r>
      <w:r w:rsidRPr="00E33CA0">
        <w:rPr>
          <w:rFonts w:asciiTheme="minorHAnsi" w:hAnsiTheme="minorHAnsi" w:cstheme="minorHAnsi"/>
          <w:color w:val="000000" w:themeColor="text1"/>
          <w:sz w:val="22"/>
          <w:szCs w:val="22"/>
        </w:rPr>
        <w:lastRenderedPageBreak/>
        <w:t>in Croatia, with 66 killed by intimate partners (Ombudsperson for Gender Equality of Croatia, 2021). During the COVID-19 pandemic, domestic violence criminal offences increased 43.4% compared to 2019 (Ministry of Interior Croatia, 2021). GREVIO's 2023 evaluation noted Croatia's gender-neutral approach to combating violence as a structural concern (Council of Europe, 2023).</w:t>
      </w:r>
    </w:p>
    <w:p w14:paraId="593F6E09" w14:textId="77777777" w:rsidR="000E4587" w:rsidRPr="00E33CA0" w:rsidRDefault="000E4587">
      <w:pPr>
        <w:jc w:val="both"/>
        <w:rPr>
          <w:rFonts w:asciiTheme="minorHAnsi" w:hAnsiTheme="minorHAnsi" w:cstheme="minorHAnsi"/>
          <w:sz w:val="22"/>
          <w:szCs w:val="22"/>
        </w:rPr>
      </w:pPr>
    </w:p>
    <w:p w14:paraId="716D2FB3" w14:textId="77777777" w:rsidR="000E4587" w:rsidRPr="00E33CA0" w:rsidRDefault="00000000">
      <w:pPr>
        <w:pBdr>
          <w:left w:val="single" w:sz="14" w:space="8" w:color="3E2723"/>
        </w:pBdr>
        <w:shd w:val="clear" w:color="auto" w:fill="EFEBE9"/>
        <w:ind w:left="400"/>
        <w:jc w:val="both"/>
        <w:rPr>
          <w:rFonts w:asciiTheme="minorHAnsi" w:hAnsiTheme="minorHAnsi" w:cstheme="minorHAnsi"/>
          <w:sz w:val="22"/>
          <w:szCs w:val="22"/>
        </w:rPr>
      </w:pPr>
      <w:r w:rsidRPr="00E33CA0">
        <w:rPr>
          <w:rFonts w:asciiTheme="minorHAnsi" w:hAnsiTheme="minorHAnsi" w:cstheme="minorHAnsi"/>
          <w:b/>
          <w:bCs/>
          <w:color w:val="3E2723"/>
          <w:sz w:val="22"/>
          <w:szCs w:val="22"/>
        </w:rPr>
        <w:t xml:space="preserve">Montenegro: </w:t>
      </w:r>
      <w:r w:rsidRPr="00E33CA0">
        <w:rPr>
          <w:rFonts w:asciiTheme="minorHAnsi" w:hAnsiTheme="minorHAnsi" w:cstheme="minorHAnsi"/>
          <w:color w:val="000000" w:themeColor="text1"/>
          <w:sz w:val="22"/>
          <w:szCs w:val="22"/>
        </w:rPr>
        <w:t>Montenegro's first EU-methodology GBV survey (MONSTAT, 2021) found 20.2% of women reported lifetime IPV. The OSCE psychological violence survey (2022) revealed that one-third of women personally experienced psychological violence, irrespective of age, education, employment status, or urban/rural location, suggesting structural rather than circumstantial drivers (OSCE Mission to Montenegro, 2022). The 2024 CEDAW Committee review expressed concern that 60% of citizens believe it is preferable for men to work while women dedicate themselves to family (OHCHR, 2024).</w:t>
      </w:r>
    </w:p>
    <w:p w14:paraId="04CBDD78" w14:textId="77777777" w:rsidR="000E4587" w:rsidRPr="00E33CA0" w:rsidRDefault="000E4587">
      <w:pPr>
        <w:pStyle w:val="Heading2"/>
        <w:spacing w:before="0" w:after="0"/>
        <w:jc w:val="both"/>
        <w:rPr>
          <w:rFonts w:asciiTheme="minorHAnsi" w:eastAsia="Arial" w:hAnsiTheme="minorHAnsi" w:cstheme="minorHAnsi"/>
          <w:b/>
          <w:bCs/>
          <w:color w:val="E65100"/>
          <w:sz w:val="22"/>
          <w:szCs w:val="22"/>
        </w:rPr>
      </w:pPr>
    </w:p>
    <w:p w14:paraId="1BFBE664" w14:textId="77777777" w:rsidR="000E4587" w:rsidRPr="00E33CA0" w:rsidRDefault="00000000">
      <w:pPr>
        <w:pStyle w:val="Heading2"/>
        <w:spacing w:before="0" w:after="0"/>
        <w:jc w:val="both"/>
        <w:rPr>
          <w:rFonts w:asciiTheme="minorHAnsi" w:hAnsiTheme="minorHAnsi" w:cstheme="minorHAnsi"/>
          <w:color w:val="4472C4" w:themeColor="accent1"/>
          <w:sz w:val="22"/>
          <w:szCs w:val="22"/>
        </w:rPr>
      </w:pPr>
      <w:bookmarkStart w:id="44" w:name="_Toc231038141"/>
      <w:r w:rsidRPr="00E33CA0">
        <w:rPr>
          <w:rFonts w:asciiTheme="minorHAnsi" w:eastAsia="Arial" w:hAnsiTheme="minorHAnsi" w:cstheme="minorHAnsi"/>
          <w:b/>
          <w:bCs/>
          <w:color w:val="4472C4" w:themeColor="accent1"/>
          <w:sz w:val="22"/>
          <w:szCs w:val="22"/>
        </w:rPr>
        <w:t>8.5 GBV–Climate Nexus: Comparative Table</w:t>
      </w:r>
      <w:bookmarkEnd w:id="44"/>
    </w:p>
    <w:p w14:paraId="29C23AB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Table 8A: GBV Indicators and Climate Vulnerability Indicators: Comparative Cross-Reference</w:t>
      </w:r>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199"/>
        <w:gridCol w:w="1791"/>
        <w:gridCol w:w="1789"/>
        <w:gridCol w:w="1791"/>
        <w:gridCol w:w="1790"/>
      </w:tblGrid>
      <w:tr w:rsidR="000E4587" w:rsidRPr="00E33CA0" w14:paraId="21DD9234" w14:textId="77777777">
        <w:trPr>
          <w:tblHeader/>
        </w:trPr>
        <w:tc>
          <w:tcPr>
            <w:tcW w:w="21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1B53FED0" w14:textId="77777777" w:rsidR="000E4587" w:rsidRPr="00E33CA0" w:rsidRDefault="00000000">
            <w:pPr>
              <w:jc w:val="both"/>
              <w:rPr>
                <w:rFonts w:asciiTheme="minorHAnsi" w:hAnsiTheme="minorHAnsi" w:cstheme="minorHAnsi"/>
                <w:b/>
                <w:bCs/>
                <w:color w:val="FFFFFF" w:themeColor="background1"/>
                <w:sz w:val="22"/>
                <w:szCs w:val="22"/>
              </w:rPr>
            </w:pPr>
            <w:r w:rsidRPr="00E33CA0">
              <w:rPr>
                <w:rFonts w:asciiTheme="minorHAnsi" w:hAnsiTheme="minorHAnsi" w:cstheme="minorHAnsi"/>
                <w:b/>
                <w:bCs/>
                <w:color w:val="FFFFFF" w:themeColor="background1"/>
                <w:sz w:val="22"/>
                <w:szCs w:val="22"/>
              </w:rPr>
              <w:t>Indicator</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063341A" w14:textId="77777777" w:rsidR="000E4587" w:rsidRPr="00E33CA0" w:rsidRDefault="00000000">
            <w:pPr>
              <w:jc w:val="both"/>
              <w:rPr>
                <w:rFonts w:asciiTheme="minorHAnsi" w:hAnsiTheme="minorHAnsi" w:cstheme="minorHAnsi"/>
                <w:b/>
                <w:bCs/>
                <w:color w:val="FFFFFF" w:themeColor="background1"/>
                <w:sz w:val="22"/>
                <w:szCs w:val="22"/>
              </w:rPr>
            </w:pPr>
            <w:r w:rsidRPr="00E33CA0">
              <w:rPr>
                <w:rFonts w:asciiTheme="minorHAnsi" w:hAnsiTheme="minorHAnsi" w:cstheme="minorHAnsi"/>
                <w:b/>
                <w:bCs/>
                <w:color w:val="FFFFFF" w:themeColor="background1"/>
                <w:sz w:val="22"/>
                <w:szCs w:val="22"/>
              </w:rPr>
              <w:t>Albania</w:t>
            </w:r>
          </w:p>
        </w:tc>
        <w:tc>
          <w:tcPr>
            <w:tcW w:w="178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78D2884F" w14:textId="77777777" w:rsidR="000E4587" w:rsidRPr="00E33CA0" w:rsidRDefault="00000000">
            <w:pPr>
              <w:jc w:val="both"/>
              <w:rPr>
                <w:rFonts w:asciiTheme="minorHAnsi" w:hAnsiTheme="minorHAnsi" w:cstheme="minorHAnsi"/>
                <w:b/>
                <w:bCs/>
                <w:color w:val="FFFFFF" w:themeColor="background1"/>
                <w:sz w:val="22"/>
                <w:szCs w:val="22"/>
              </w:rPr>
            </w:pPr>
            <w:r w:rsidRPr="00E33CA0">
              <w:rPr>
                <w:rFonts w:asciiTheme="minorHAnsi" w:hAnsiTheme="minorHAnsi" w:cstheme="minorHAnsi"/>
                <w:b/>
                <w:bCs/>
                <w:color w:val="FFFFFF" w:themeColor="background1"/>
                <w:sz w:val="22"/>
                <w:szCs w:val="22"/>
              </w:rPr>
              <w:t>Bosnia &amp; Herz.</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3FC427C0" w14:textId="77777777" w:rsidR="000E4587" w:rsidRPr="00E33CA0" w:rsidRDefault="00000000">
            <w:pPr>
              <w:jc w:val="both"/>
              <w:rPr>
                <w:rFonts w:asciiTheme="minorHAnsi" w:hAnsiTheme="minorHAnsi" w:cstheme="minorHAnsi"/>
                <w:b/>
                <w:bCs/>
                <w:color w:val="FFFFFF" w:themeColor="background1"/>
                <w:sz w:val="22"/>
                <w:szCs w:val="22"/>
              </w:rPr>
            </w:pPr>
            <w:r w:rsidRPr="00E33CA0">
              <w:rPr>
                <w:rFonts w:asciiTheme="minorHAnsi" w:hAnsiTheme="minorHAnsi" w:cstheme="minorHAnsi"/>
                <w:b/>
                <w:bCs/>
                <w:color w:val="FFFFFF" w:themeColor="background1"/>
                <w:sz w:val="22"/>
                <w:szCs w:val="22"/>
              </w:rPr>
              <w:t>Croatia</w:t>
            </w:r>
          </w:p>
        </w:tc>
        <w:tc>
          <w:tcPr>
            <w:tcW w:w="179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6335CBF0" w14:textId="77777777" w:rsidR="000E4587" w:rsidRPr="00E33CA0" w:rsidRDefault="00000000">
            <w:pPr>
              <w:jc w:val="both"/>
              <w:rPr>
                <w:rFonts w:asciiTheme="minorHAnsi" w:hAnsiTheme="minorHAnsi" w:cstheme="minorHAnsi"/>
                <w:b/>
                <w:bCs/>
                <w:color w:val="FFFFFF" w:themeColor="background1"/>
                <w:sz w:val="22"/>
                <w:szCs w:val="22"/>
              </w:rPr>
            </w:pPr>
            <w:r w:rsidRPr="00E33CA0">
              <w:rPr>
                <w:rFonts w:asciiTheme="minorHAnsi" w:hAnsiTheme="minorHAnsi" w:cstheme="minorHAnsi"/>
                <w:b/>
                <w:bCs/>
                <w:color w:val="FFFFFF" w:themeColor="background1"/>
                <w:sz w:val="22"/>
                <w:szCs w:val="22"/>
              </w:rPr>
              <w:t>Montenegro</w:t>
            </w:r>
          </w:p>
        </w:tc>
      </w:tr>
      <w:tr w:rsidR="000E4587" w:rsidRPr="00E33CA0" w14:paraId="1652CC34" w14:textId="77777777">
        <w:tc>
          <w:tcPr>
            <w:tcW w:w="9360" w:type="dxa"/>
            <w:gridSpan w:val="5"/>
            <w:tcBorders>
              <w:top w:val="single" w:sz="2" w:space="0" w:color="BDD7EE"/>
              <w:left w:val="single" w:sz="2" w:space="0" w:color="BDD7EE"/>
              <w:bottom w:val="single" w:sz="2" w:space="0" w:color="BDD7EE"/>
              <w:right w:val="single" w:sz="2" w:space="0" w:color="BDD7EE"/>
            </w:tcBorders>
            <w:shd w:val="clear" w:color="auto" w:fill="FFFFFF" w:themeFill="background1"/>
          </w:tcPr>
          <w:p w14:paraId="4C3E8A77"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GBV Indicators</w:t>
            </w:r>
          </w:p>
        </w:tc>
      </w:tr>
      <w:tr w:rsidR="000E4587" w:rsidRPr="00E33CA0" w14:paraId="41F2923C"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0170999F"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Lifetime GBV prevalence (any form)</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57C21B1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52.9%; 47% IPV (INSTAT/UN Women, 2019)</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4C9703C6"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approximately 48% (OSCE, 2019)</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587898D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25.3% (FRA/Eurostat, 2024)</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258D89F7"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20.2% IPV (MONSTAT, 2021)</w:t>
            </w:r>
          </w:p>
        </w:tc>
      </w:tr>
      <w:tr w:rsidR="000E4587" w:rsidRPr="00E33CA0" w14:paraId="1B56BA9E"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11E0E8E8"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IPV past-12-month prevalence</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7C53CF57"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33.7% (INSTAT/UN Women, 2019)</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36462C4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3.4% physical/sexual (OSCE, 2019)</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3D1C5F9A"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Not separately published</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048C744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7.5% domestic (MONSTAT, 2021)</w:t>
            </w:r>
          </w:p>
        </w:tc>
      </w:tr>
      <w:tr w:rsidR="000E4587" w:rsidRPr="00E33CA0" w14:paraId="6DA43447"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6941F08D"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Reporting rate to police</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21B6310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approximately 3% (OSCE, 2019)</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6584CC23"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approximately 3%; 84% unreported (OSCE, 2019)</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329843B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79% of DV victims female (EIGE, 2024)</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1669A323"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62% fear reporting (UNDP MNE, 2024)</w:t>
            </w:r>
            <w:r w:rsidRPr="00E33CA0">
              <w:rPr>
                <w:rFonts w:asciiTheme="minorHAnsi" w:hAnsiTheme="minorHAnsi" w:cstheme="minorHAnsi"/>
                <w:color w:val="E0218A"/>
                <w:sz w:val="22"/>
                <w:szCs w:val="22"/>
              </w:rPr>
              <w:t xml:space="preserve"> [barrier to reporting: fear of retaliation by the perpetrator; not a reporting rate]</w:t>
            </w:r>
          </w:p>
        </w:tc>
      </w:tr>
      <w:tr w:rsidR="000E4587" w:rsidRPr="00E33CA0" w14:paraId="6A08A3A0"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4F767B55"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Femicide / partner killings</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0F66495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32 killed 2021–23; 24 femicides (People's Advocate, 2024)</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62176F4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E0218A"/>
                <w:sz w:val="22"/>
                <w:szCs w:val="22"/>
              </w:rPr>
              <w:t>35 women killed in 2023–2024; 17 by intimate partners (Agency for Gender Equality BiH, 2025)</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3815FD1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66 partner killings 2013–20 (Ombudsperson, 2021)</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3E9B61E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17 killings since 2017 (UNDP MNE, 2024)</w:t>
            </w:r>
          </w:p>
        </w:tc>
      </w:tr>
      <w:tr w:rsidR="000E4587" w:rsidRPr="00E33CA0" w14:paraId="08A43BC1"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687A2BDB"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Primary GBV data source/year</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31F15EA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INSTAT/UN Women/UNDP (2019); OSCE </w:t>
            </w:r>
            <w:r w:rsidRPr="00E33CA0">
              <w:rPr>
                <w:rFonts w:asciiTheme="minorHAnsi" w:hAnsiTheme="minorHAnsi" w:cstheme="minorHAnsi"/>
                <w:color w:val="000000" w:themeColor="text1"/>
                <w:sz w:val="22"/>
                <w:szCs w:val="22"/>
              </w:rPr>
              <w:lastRenderedPageBreak/>
              <w:t>(2019)</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13C819D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lastRenderedPageBreak/>
              <w:t>OSCE (2019)</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7E92F36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FRA/EU-GBV Survey (2024)</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6691F656"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MONSTAT (2021); OSCE (2022)</w:t>
            </w:r>
          </w:p>
        </w:tc>
      </w:tr>
      <w:tr w:rsidR="000E4587" w:rsidRPr="00E33CA0" w14:paraId="3443A9B1" w14:textId="77777777">
        <w:tc>
          <w:tcPr>
            <w:tcW w:w="9360" w:type="dxa"/>
            <w:gridSpan w:val="5"/>
            <w:tcBorders>
              <w:top w:val="single" w:sz="2" w:space="0" w:color="BDD7EE"/>
              <w:left w:val="single" w:sz="2" w:space="0" w:color="BDD7EE"/>
              <w:bottom w:val="single" w:sz="2" w:space="0" w:color="BDD7EE"/>
              <w:right w:val="single" w:sz="2" w:space="0" w:color="BDD7EE"/>
            </w:tcBorders>
            <w:shd w:val="clear" w:color="auto" w:fill="FFFFFF" w:themeFill="background1"/>
          </w:tcPr>
          <w:p w14:paraId="1F950DEB"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Climate Vulnerability Indicators</w:t>
            </w:r>
          </w:p>
        </w:tc>
      </w:tr>
      <w:tr w:rsidR="000E4587" w:rsidRPr="00E33CA0" w14:paraId="47A0C45B"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22D1C36B"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ND-GAIN Rank / Score (2023)</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6442AAB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76th / 52.1</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6C9C66A7"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82nd / 51.2 (most vulnerable)</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471B00A4"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53rd / 55.6 (most resilient)</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71F463A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57th / 55.1</w:t>
            </w:r>
          </w:p>
        </w:tc>
      </w:tr>
      <w:tr w:rsidR="000E4587" w:rsidRPr="00E33CA0" w14:paraId="61E3FC95"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7D99AF19"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Climate Readiness Score (ND-GAIN, 2023)</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0BDF3C5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0.423</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0E1A523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0.370 (lowest)</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22D19AF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0.493 (highest)</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5E32E76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0.466</w:t>
            </w:r>
          </w:p>
        </w:tc>
      </w:tr>
      <w:tr w:rsidR="000E4587" w:rsidRPr="00E33CA0" w14:paraId="69130C83"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025DD9BE"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Projected temp. increase</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6576F9E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1.3–2.2°C by 2050 (IMF, 2022)</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205F0A3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1.5–2.5°C by 2041–70 (WB, 2024)</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79188A6B"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2–3°C by mid-century (WB, 2023)</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3D8316EB"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1.5–2°C by 2050 (WB, 2024)</w:t>
            </w:r>
          </w:p>
        </w:tc>
      </w:tr>
      <w:tr w:rsidR="000E4587" w:rsidRPr="00E33CA0" w14:paraId="0B2E5EF6"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1AD3E0F3"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Water resource risk</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4D69783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−14% projected by 2070 (IMF, 2022)</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6235705A"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47% land area drought 2022 (EEA, 2023)</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37242A8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Warming 20% faster than global avg (WB, 2023)</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017F495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25% territory drought 2022 (EEA, 2023)</w:t>
            </w:r>
          </w:p>
        </w:tc>
      </w:tr>
      <w:tr w:rsidR="000E4587" w:rsidRPr="00E33CA0" w14:paraId="3C9AAFA1"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0CFDC59C"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Climate insurance gap</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7E92A02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nearly 100% (EEA, 2025)</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5A174D13"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nearly 100% (EEA, 2025)</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4AF4C40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&gt;90% (EEA, 2025)</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2B10BFC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nearly 100% (EEA, 2025)</w:t>
            </w:r>
          </w:p>
        </w:tc>
      </w:tr>
      <w:tr w:rsidR="000E4587" w:rsidRPr="00E33CA0" w14:paraId="0F73ED6B"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15508803"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Women in agriculture</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4D7E8A5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40.1% agric. workforce (UN Women, 2024)</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0A8F299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Majority unpaid family farm workers (UN Women, 2022)</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313B5FD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Data limited (CBS, 2021)</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4DD8C114"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13% farm holders (UN Montenegro, 2025)</w:t>
            </w:r>
          </w:p>
        </w:tc>
      </w:tr>
      <w:tr w:rsidR="000E4587" w:rsidRPr="00E33CA0" w14:paraId="04083F2C"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6D67CA7B"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Gendered climate data availability</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41CFBBC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Partial (UN Women, 2024)</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5962CAA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Limited (UNDP BiH, 2023)</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3E0660C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Partial (EIGE, 2024)</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15BCB8B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Very limited (no TUS; EIGE, 2023)</w:t>
            </w:r>
          </w:p>
        </w:tc>
      </w:tr>
      <w:tr w:rsidR="000E4587" w:rsidRPr="00E33CA0" w14:paraId="105075C4" w14:textId="77777777">
        <w:tc>
          <w:tcPr>
            <w:tcW w:w="9360" w:type="dxa"/>
            <w:gridSpan w:val="5"/>
            <w:tcBorders>
              <w:top w:val="single" w:sz="2" w:space="0" w:color="BDD7EE"/>
              <w:left w:val="single" w:sz="2" w:space="0" w:color="BDD7EE"/>
              <w:bottom w:val="single" w:sz="2" w:space="0" w:color="BDD7EE"/>
              <w:right w:val="single" w:sz="2" w:space="0" w:color="BDD7EE"/>
            </w:tcBorders>
            <w:shd w:val="clear" w:color="auto" w:fill="FFFFFF" w:themeFill="background1"/>
          </w:tcPr>
          <w:p w14:paraId="4B6C2EE9"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Combined GBV + Climate Risk Assessment</w:t>
            </w:r>
          </w:p>
        </w:tc>
      </w:tr>
      <w:tr w:rsidR="000E4587" w:rsidRPr="00E33CA0" w14:paraId="5622D4C5"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79C2A0DD"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Overall risk profile</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3AA2351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HIGH GBV + MODERATE climate risk</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7BDCC36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HIGH GBV + HIGH climate risk (most vulnerable)</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5F40F16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MODERATE GBV + LOW climate risk (most resilient)</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597AC6A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MODERATE GBV + MODERATE climate risk</w:t>
            </w:r>
          </w:p>
        </w:tc>
      </w:tr>
      <w:tr w:rsidR="000E4587" w:rsidRPr="00E33CA0" w14:paraId="197C1023"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114971F2"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Water–GBV pathway most relevant</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49A5055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Pathway 1 (collection exposure) </w:t>
            </w:r>
            <w:r w:rsidRPr="00E33CA0">
              <w:rPr>
                <w:rFonts w:asciiTheme="minorHAnsi" w:hAnsiTheme="minorHAnsi" w:cstheme="minorHAnsi"/>
                <w:color w:val="E0218A"/>
                <w:sz w:val="22"/>
                <w:szCs w:val="22"/>
              </w:rPr>
              <w:t xml:space="preserve"> [Evidence of gendered water collection in the region is limited to marginalised settings, e.g. </w:t>
            </w:r>
            <w:r w:rsidRPr="00E33CA0">
              <w:rPr>
                <w:rFonts w:asciiTheme="minorHAnsi" w:hAnsiTheme="minorHAnsi" w:cstheme="minorHAnsi"/>
                <w:color w:val="E0218A"/>
                <w:sz w:val="22"/>
                <w:szCs w:val="22"/>
              </w:rPr>
              <w:lastRenderedPageBreak/>
              <w:t>Roma settlements in Montenegro where women collect water in about 50% of households without water on premises; it is not a generalised pattern across DIKTAS II countries.]</w:t>
            </w:r>
            <w:r w:rsidRPr="00E33CA0">
              <w:rPr>
                <w:rFonts w:asciiTheme="minorHAnsi" w:hAnsiTheme="minorHAnsi" w:cstheme="minorHAnsi"/>
                <w:color w:val="000000" w:themeColor="text1"/>
                <w:sz w:val="22"/>
                <w:szCs w:val="22"/>
              </w:rPr>
              <w:t>+ Pathway 3 (time poverty)</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5ACBA05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lastRenderedPageBreak/>
              <w:t>Pathway 2 (IPV trigger) + Pathway 5 (climate amplification)</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50D233F8"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Pathway 4 (governance exclusion)</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2B20843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Pathway 5 (climate amplification)</w:t>
            </w:r>
          </w:p>
        </w:tc>
      </w:tr>
      <w:tr w:rsidR="000E4587" w:rsidRPr="00E33CA0" w14:paraId="497888EF"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4783DB5E"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Priority recommendation</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2883780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Safety audits; update TUS 2010–11</w:t>
            </w:r>
          </w:p>
        </w:tc>
        <w:tc>
          <w:tcPr>
            <w:tcW w:w="1789"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56A02D9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Post-conflict integration; GBV data by water access</w:t>
            </w:r>
          </w:p>
        </w:tc>
        <w:tc>
          <w:tcPr>
            <w:tcW w:w="1791"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5A0292A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Gender-responsive climate planning; enforcement</w:t>
            </w:r>
          </w:p>
        </w:tc>
        <w:tc>
          <w:tcPr>
            <w:tcW w:w="1790" w:type="dxa"/>
            <w:tcBorders>
              <w:top w:val="single" w:sz="2" w:space="0" w:color="BDD7EE"/>
              <w:left w:val="single" w:sz="2" w:space="0" w:color="BDD7EE"/>
              <w:bottom w:val="single" w:sz="2" w:space="0" w:color="BDD7EE"/>
              <w:right w:val="single" w:sz="2" w:space="0" w:color="BDD7EE"/>
            </w:tcBorders>
            <w:shd w:val="clear" w:color="auto" w:fill="FFFFFF" w:themeFill="background1"/>
          </w:tcPr>
          <w:p w14:paraId="2FC23BB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Commission national TUS; integrate GBV into water planning</w:t>
            </w:r>
          </w:p>
        </w:tc>
      </w:tr>
    </w:tbl>
    <w:p w14:paraId="302A02EE" w14:textId="77777777" w:rsidR="000E4587" w:rsidRPr="00E33CA0" w:rsidRDefault="00000000">
      <w:pPr>
        <w:jc w:val="both"/>
        <w:rPr>
          <w:rFonts w:asciiTheme="minorHAnsi" w:hAnsiTheme="minorHAnsi" w:cstheme="minorHAnsi"/>
          <w:i/>
          <w:iCs/>
          <w:color w:val="666666"/>
          <w:sz w:val="16"/>
          <w:szCs w:val="16"/>
        </w:rPr>
      </w:pPr>
      <w:r w:rsidRPr="00E33CA0">
        <w:rPr>
          <w:rFonts w:asciiTheme="minorHAnsi" w:hAnsiTheme="minorHAnsi" w:cstheme="minorHAnsi"/>
          <w:b/>
          <w:bCs/>
          <w:i/>
          <w:iCs/>
          <w:color w:val="666666"/>
          <w:sz w:val="16"/>
          <w:szCs w:val="16"/>
        </w:rPr>
        <w:t>Sources:</w:t>
      </w:r>
      <w:r w:rsidRPr="00E33CA0">
        <w:rPr>
          <w:rFonts w:asciiTheme="minorHAnsi" w:hAnsiTheme="minorHAnsi" w:cstheme="minorHAnsi"/>
          <w:i/>
          <w:iCs/>
          <w:color w:val="666666"/>
          <w:sz w:val="16"/>
          <w:szCs w:val="16"/>
        </w:rPr>
        <w:t xml:space="preserve"> GBV sources: INSTAT/UN Women/UNDP (2019); OSCE (2019); FRA/Eurostat EU-GBV Survey (2024); MONSTAT EU-GBV Survey (2021); OSCE Mission to Montenegro (2022); People's Advocate of Albania/UN Women (2024); UNDP Montenegro (2024); Human Rights Watch (2024); Ombudsperson for Gender Equality of Croatia (2021). Climate sources: ND-GAIN Country Index (Notre Dame Global Adaptation Initiative, 2023); IMF Country Report No. 22/363 (2022); World Bank (2023, 2024); European Environment Agency (2023, 2025). Note: Cross-country GBV comparisons should be made with caution due to methodological differences between survey instruments.</w:t>
      </w:r>
    </w:p>
    <w:p w14:paraId="56BF3096" w14:textId="77777777" w:rsidR="000E4587" w:rsidRPr="00E33CA0" w:rsidRDefault="000E4587">
      <w:pPr>
        <w:jc w:val="both"/>
        <w:rPr>
          <w:rFonts w:asciiTheme="minorHAnsi" w:hAnsiTheme="minorHAnsi" w:cstheme="minorHAnsi"/>
          <w:sz w:val="22"/>
          <w:szCs w:val="22"/>
        </w:rPr>
      </w:pPr>
    </w:p>
    <w:p w14:paraId="7FB7D94F" w14:textId="77777777" w:rsidR="000E4587" w:rsidRPr="00E33CA0" w:rsidRDefault="00000000">
      <w:pPr>
        <w:pStyle w:val="Heading2"/>
        <w:spacing w:before="0" w:after="0"/>
        <w:jc w:val="both"/>
        <w:rPr>
          <w:rFonts w:asciiTheme="minorHAnsi" w:hAnsiTheme="minorHAnsi" w:cstheme="minorHAnsi"/>
          <w:color w:val="4472C4" w:themeColor="accent1"/>
          <w:sz w:val="22"/>
          <w:szCs w:val="22"/>
        </w:rPr>
      </w:pPr>
      <w:bookmarkStart w:id="45" w:name="_Toc231038142"/>
      <w:r w:rsidRPr="00E33CA0">
        <w:rPr>
          <w:rFonts w:asciiTheme="minorHAnsi" w:eastAsia="Arial" w:hAnsiTheme="minorHAnsi" w:cstheme="minorHAnsi"/>
          <w:b/>
          <w:bCs/>
          <w:color w:val="4472C4" w:themeColor="accent1"/>
          <w:sz w:val="22"/>
          <w:szCs w:val="22"/>
        </w:rPr>
        <w:t>8.6 Climate Change, Water Availability, and Gendered Impacts</w:t>
      </w:r>
      <w:bookmarkEnd w:id="45"/>
    </w:p>
    <w:p w14:paraId="4B189E57" w14:textId="77777777" w:rsidR="000E4587" w:rsidRPr="00E33CA0" w:rsidRDefault="00000000">
      <w:pPr>
        <w:jc w:val="both"/>
        <w:rPr>
          <w:rFonts w:asciiTheme="minorHAnsi" w:hAnsiTheme="minorHAnsi" w:cstheme="minorHAnsi"/>
          <w:color w:val="auto"/>
          <w:sz w:val="22"/>
          <w:szCs w:val="22"/>
          <w:lang w:val="en-GB"/>
        </w:rPr>
      </w:pPr>
      <w:r w:rsidRPr="00E33CA0">
        <w:rPr>
          <w:rFonts w:asciiTheme="minorHAnsi" w:hAnsiTheme="minorHAnsi" w:cstheme="minorHAnsi"/>
          <w:color w:val="auto"/>
          <w:sz w:val="22"/>
          <w:szCs w:val="22"/>
        </w:rPr>
        <w:t xml:space="preserve">Three interconnected processes are transforming water availability: intensifying extreme precipitation events and flooding; increasing drought frequency and severity; and degrading water quality through contamination and </w:t>
      </w:r>
      <w:r w:rsidRPr="00E33CA0">
        <w:rPr>
          <w:rFonts w:asciiTheme="minorHAnsi" w:hAnsiTheme="minorHAnsi" w:cstheme="minorHAnsi"/>
          <w:color w:val="auto"/>
          <w:sz w:val="22"/>
          <w:szCs w:val="22"/>
          <w:lang w:val="en-GB"/>
        </w:rPr>
        <w:t>salinisation.</w:t>
      </w:r>
    </w:p>
    <w:p w14:paraId="0A7F4627" w14:textId="77777777" w:rsidR="000E4587" w:rsidRPr="00E33CA0" w:rsidRDefault="000E4587">
      <w:pPr>
        <w:jc w:val="both"/>
        <w:rPr>
          <w:rFonts w:asciiTheme="minorHAnsi" w:hAnsiTheme="minorHAnsi" w:cstheme="minorHAnsi"/>
          <w:color w:val="auto"/>
          <w:sz w:val="22"/>
          <w:szCs w:val="22"/>
        </w:rPr>
      </w:pPr>
    </w:p>
    <w:p w14:paraId="4FB2F1C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Croatia is warming 20% faster than the global average, with projections indicating mean annual temperature increases of 1.3–1.5°C by 2040 and up to 2.5°C by 2070 (World Bank, 2023). Albania’s climate models project water resources will decline by 14% under mid-century climate scenarios (IMF, 2022). A projected 20% reduction in regional runoff could cause a 60% reduction in hydropower production, critically affecting Albania and Montenegro, which depend heavily on hydropower (Knez et al., 2022).</w:t>
      </w:r>
    </w:p>
    <w:p w14:paraId="1EF22E3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These climate trends intensify women’s water-related burdens: longer water collection times during drought periods; increased caregiving burdens as water-borne diseases become more prevalent; heightened IPV risk as economic stress from agricultural water losses triggers domestic violence; and compounded exclusion from climate adaptation planning, which remains male-dominated across all four countries.</w:t>
      </w:r>
    </w:p>
    <w:p w14:paraId="4BE2F1E8" w14:textId="77777777" w:rsidR="000E4587" w:rsidRPr="00E33CA0" w:rsidRDefault="000E4587">
      <w:pPr>
        <w:jc w:val="both"/>
        <w:rPr>
          <w:rFonts w:asciiTheme="minorHAnsi" w:hAnsiTheme="minorHAnsi" w:cstheme="minorHAnsi"/>
          <w:color w:val="4472C4" w:themeColor="accent1"/>
          <w:sz w:val="22"/>
          <w:szCs w:val="22"/>
        </w:rPr>
      </w:pPr>
    </w:p>
    <w:p w14:paraId="5C671E88" w14:textId="77777777" w:rsidR="000E4587" w:rsidRPr="00E33CA0" w:rsidRDefault="00000000">
      <w:pPr>
        <w:pStyle w:val="Heading2"/>
        <w:spacing w:before="0" w:after="0"/>
        <w:jc w:val="both"/>
        <w:rPr>
          <w:rFonts w:asciiTheme="minorHAnsi" w:hAnsiTheme="minorHAnsi" w:cstheme="minorHAnsi"/>
          <w:color w:val="4472C4" w:themeColor="accent1"/>
          <w:sz w:val="22"/>
          <w:szCs w:val="22"/>
        </w:rPr>
      </w:pPr>
      <w:bookmarkStart w:id="46" w:name="_Toc231038143"/>
      <w:r w:rsidRPr="00E33CA0">
        <w:rPr>
          <w:rFonts w:asciiTheme="minorHAnsi" w:eastAsia="Arial" w:hAnsiTheme="minorHAnsi" w:cstheme="minorHAnsi"/>
          <w:b/>
          <w:bCs/>
          <w:color w:val="4472C4" w:themeColor="accent1"/>
          <w:sz w:val="22"/>
          <w:szCs w:val="22"/>
        </w:rPr>
        <w:lastRenderedPageBreak/>
        <w:t>8.7 Recommendations for Addressing the Water–GBV–Climate Nexus</w:t>
      </w:r>
      <w:bookmarkEnd w:id="46"/>
    </w:p>
    <w:p w14:paraId="7B0B2BA8"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Commission primary research: </w:t>
      </w:r>
      <w:r w:rsidRPr="00E33CA0">
        <w:rPr>
          <w:rFonts w:asciiTheme="minorHAnsi" w:hAnsiTheme="minorHAnsi" w:cstheme="minorHAnsi"/>
          <w:color w:val="auto"/>
          <w:sz w:val="22"/>
          <w:szCs w:val="22"/>
        </w:rPr>
        <w:t>Baseline studies examining the water–GBV nexus in the Western Balkans context, partnering with national statistical offices and GBV service providers.</w:t>
      </w:r>
    </w:p>
    <w:p w14:paraId="7696CD94"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Integrate GBV screening into water sector planning: </w:t>
      </w:r>
      <w:r w:rsidRPr="00E33CA0">
        <w:rPr>
          <w:rFonts w:asciiTheme="minorHAnsi" w:hAnsiTheme="minorHAnsi" w:cstheme="minorHAnsi"/>
          <w:color w:val="auto"/>
          <w:sz w:val="22"/>
          <w:szCs w:val="22"/>
        </w:rPr>
        <w:t>Safety audits of water collection points, communal facilities, and school sanitation should treat women’s safety as an explicit design criterion.</w:t>
      </w:r>
    </w:p>
    <w:p w14:paraId="1259A938"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Climate-responsive infrastructure: </w:t>
      </w:r>
      <w:r w:rsidRPr="00E33CA0">
        <w:rPr>
          <w:rFonts w:asciiTheme="minorHAnsi" w:hAnsiTheme="minorHAnsi" w:cstheme="minorHAnsi"/>
          <w:color w:val="auto"/>
          <w:sz w:val="22"/>
          <w:szCs w:val="22"/>
        </w:rPr>
        <w:t>Water infrastructure investments should incorporate climate resilience components that specifically reduce women’s vulnerability to water insecurity during drought and flood events.</w:t>
      </w:r>
    </w:p>
    <w:p w14:paraId="14BD85F7"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Data integration: </w:t>
      </w:r>
      <w:r w:rsidRPr="00E33CA0">
        <w:rPr>
          <w:rFonts w:asciiTheme="minorHAnsi" w:hAnsiTheme="minorHAnsi" w:cstheme="minorHAnsi"/>
          <w:color w:val="auto"/>
          <w:sz w:val="22"/>
          <w:szCs w:val="22"/>
        </w:rPr>
        <w:t>GBV data collection systems should include disaggregation by water access status to establish the empirical link between water insecurity and violence.</w:t>
      </w:r>
    </w:p>
    <w:p w14:paraId="45C9062F"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Cross-sector coordination: </w:t>
      </w:r>
      <w:r w:rsidRPr="00E33CA0">
        <w:rPr>
          <w:rFonts w:asciiTheme="minorHAnsi" w:hAnsiTheme="minorHAnsi" w:cstheme="minorHAnsi"/>
          <w:color w:val="auto"/>
          <w:sz w:val="22"/>
          <w:szCs w:val="22"/>
        </w:rPr>
        <w:t xml:space="preserve">Establish formal coordination mechanisms between water governance bodies and GBV response services in each country, </w:t>
      </w:r>
      <w:r w:rsidRPr="00E33CA0">
        <w:rPr>
          <w:rFonts w:asciiTheme="minorHAnsi" w:hAnsiTheme="minorHAnsi" w:cstheme="minorHAnsi"/>
          <w:color w:val="auto"/>
          <w:sz w:val="22"/>
          <w:szCs w:val="22"/>
          <w:lang w:val="en-GB"/>
        </w:rPr>
        <w:t>recognising t</w:t>
      </w:r>
      <w:r w:rsidRPr="00E33CA0">
        <w:rPr>
          <w:rFonts w:asciiTheme="minorHAnsi" w:hAnsiTheme="minorHAnsi" w:cstheme="minorHAnsi"/>
          <w:color w:val="auto"/>
          <w:sz w:val="22"/>
          <w:szCs w:val="22"/>
        </w:rPr>
        <w:t>he structural links between the two domains.</w:t>
      </w:r>
    </w:p>
    <w:p w14:paraId="4BFF0E6B"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rPr>
        <w:br w:type="page"/>
      </w:r>
    </w:p>
    <w:p w14:paraId="12D8F471"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47" w:name="_Toc231038144"/>
      <w:r w:rsidRPr="00E33CA0">
        <w:rPr>
          <w:rFonts w:asciiTheme="minorHAnsi" w:eastAsia="Arial" w:hAnsiTheme="minorHAnsi" w:cstheme="minorHAnsi"/>
          <w:b/>
          <w:bCs/>
          <w:color w:val="1F4E79"/>
          <w:sz w:val="22"/>
          <w:szCs w:val="22"/>
        </w:rPr>
        <w:lastRenderedPageBreak/>
        <w:t>9.  CONCLUSIONS AND STRATEGIC RECOMMENDATIONS</w:t>
      </w:r>
      <w:bookmarkEnd w:id="47"/>
    </w:p>
    <w:p w14:paraId="2826572A" w14:textId="77777777" w:rsidR="000E4587" w:rsidRPr="00E33CA0" w:rsidRDefault="00000000">
      <w:pPr>
        <w:pStyle w:val="Heading2"/>
        <w:spacing w:before="0" w:after="0"/>
        <w:jc w:val="both"/>
        <w:rPr>
          <w:rFonts w:asciiTheme="minorHAnsi" w:hAnsiTheme="minorHAnsi" w:cstheme="minorHAnsi"/>
          <w:sz w:val="22"/>
          <w:szCs w:val="22"/>
        </w:rPr>
      </w:pPr>
      <w:bookmarkStart w:id="48" w:name="_Toc231038145"/>
      <w:r w:rsidRPr="00E33CA0">
        <w:rPr>
          <w:rFonts w:asciiTheme="minorHAnsi" w:eastAsia="Arial" w:hAnsiTheme="minorHAnsi" w:cstheme="minorHAnsi"/>
          <w:b/>
          <w:bCs/>
          <w:color w:val="2E75B6"/>
          <w:sz w:val="22"/>
          <w:szCs w:val="22"/>
        </w:rPr>
        <w:t>9.1 Concluding Assessment</w:t>
      </w:r>
      <w:bookmarkEnd w:id="48"/>
    </w:p>
    <w:p w14:paraId="61EA9E01"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This regional comparative analysis confirms the central hypothesis stated in Section 1.4. That hypothesis proposed that despite progressive legal frameworks and shared EU integration commitments, systemic implementation gaps, fragmented governance structures, entrenched patriarchal norms, and data deficits collectively perpetuate gender disparities in the water sector. Each element is substantiated:</w:t>
      </w:r>
    </w:p>
    <w:p w14:paraId="00BC6B9A" w14:textId="77777777" w:rsidR="000E4587" w:rsidRPr="00E33CA0" w:rsidRDefault="000E4587">
      <w:pPr>
        <w:jc w:val="both"/>
        <w:rPr>
          <w:rFonts w:asciiTheme="minorHAnsi" w:hAnsiTheme="minorHAnsi" w:cstheme="minorHAnsi"/>
          <w:color w:val="auto"/>
          <w:sz w:val="22"/>
          <w:szCs w:val="22"/>
        </w:rPr>
      </w:pPr>
    </w:p>
    <w:p w14:paraId="5778A140"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Legal frameworks, weak implementation: </w:t>
      </w:r>
      <w:r w:rsidRPr="00E33CA0">
        <w:rPr>
          <w:rFonts w:asciiTheme="minorHAnsi" w:hAnsiTheme="minorHAnsi" w:cstheme="minorHAnsi"/>
          <w:color w:val="auto"/>
          <w:sz w:val="22"/>
          <w:szCs w:val="22"/>
        </w:rPr>
        <w:t>All four countries have enacted gender equality legislation (Section 3.2). Yet enforcement is absent or inadequate across the region: Croatia has no legal sanctions for non-compliance; Albania lacks independent monitoring; BiH achieves 19.1% parliamentary representation despite a 40% quota; Montenegro implements only 26.8% of gender equality policy mandates. The de jure–de facto gap is the defining structural characteristic.</w:t>
      </w:r>
    </w:p>
    <w:p w14:paraId="49CEF7D5"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lang w:val="en-GB"/>
        </w:rPr>
      </w:pPr>
      <w:r w:rsidRPr="00E33CA0">
        <w:rPr>
          <w:rFonts w:asciiTheme="minorHAnsi" w:hAnsiTheme="minorHAnsi" w:cstheme="minorHAnsi"/>
          <w:b/>
          <w:bCs/>
          <w:color w:val="auto"/>
          <w:sz w:val="22"/>
          <w:szCs w:val="22"/>
        </w:rPr>
        <w:t xml:space="preserve">Fragmented governance impeding mainstreaming: </w:t>
      </w:r>
      <w:r w:rsidRPr="00E33CA0">
        <w:rPr>
          <w:rFonts w:asciiTheme="minorHAnsi" w:hAnsiTheme="minorHAnsi" w:cstheme="minorHAnsi"/>
          <w:color w:val="auto"/>
          <w:sz w:val="22"/>
          <w:szCs w:val="22"/>
        </w:rPr>
        <w:t xml:space="preserve">BiH’s 142 utilities and dual-entity structure, Albania’s split-ministry model, and Montenegro’s tri-ministerial arrangement all prevent national gender policies from reaching the operational level (Section 3.3). </w:t>
      </w:r>
      <w:r w:rsidRPr="00E33CA0">
        <w:rPr>
          <w:rFonts w:asciiTheme="minorHAnsi" w:hAnsiTheme="minorHAnsi" w:cstheme="minorHAnsi"/>
          <w:color w:val="auto"/>
          <w:sz w:val="22"/>
          <w:szCs w:val="22"/>
          <w:lang w:val="en-GB"/>
        </w:rPr>
        <w:t>Only Croatia’s centralised structure enables consistent sector-wide application.</w:t>
      </w:r>
    </w:p>
    <w:p w14:paraId="240674AE"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Patriarchal norms driving segregation and time poverty: </w:t>
      </w:r>
      <w:r w:rsidRPr="00E33CA0">
        <w:rPr>
          <w:rFonts w:asciiTheme="minorHAnsi" w:hAnsiTheme="minorHAnsi" w:cstheme="minorHAnsi"/>
          <w:color w:val="auto"/>
          <w:sz w:val="22"/>
          <w:szCs w:val="22"/>
        </w:rPr>
        <w:t>Horizontal and vertical occupational segregation are documented in all four countries (Section 4.1.1). Unpaid care ratios of 6:1 in Albania, 2:1 in BiH, and approximately 3:1 in Croatia confirm disproportionate domestic burdens on women (Section 5.1). Montenegro’s finding that 60% of citizens prefer men to work while women manage the household (OHCHR, 2024) illustrates the cultural dimension of this barrier.</w:t>
      </w:r>
    </w:p>
    <w:p w14:paraId="26B709EF"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Data deficits preventing accountability: </w:t>
      </w:r>
      <w:r w:rsidRPr="00E33CA0">
        <w:rPr>
          <w:rFonts w:asciiTheme="minorHAnsi" w:hAnsiTheme="minorHAnsi" w:cstheme="minorHAnsi"/>
          <w:color w:val="auto"/>
          <w:sz w:val="22"/>
          <w:szCs w:val="22"/>
        </w:rPr>
        <w:t>Montenegro cannot report SDG Indicator 5.4.1; Albania’s time-use data is from 2010–2011; gender-disaggregated staffing, governance membership, and asset ownership data are inconsistently collected across all four countries (Section 7.2). These gaps make progress unverifiable.</w:t>
      </w:r>
    </w:p>
    <w:p w14:paraId="5704DDAE" w14:textId="77777777" w:rsidR="000E4587" w:rsidRPr="00E33CA0" w:rsidRDefault="00000000">
      <w:pPr>
        <w:pStyle w:val="ListParagraph"/>
        <w:numPr>
          <w:ilvl w:val="0"/>
          <w:numId w:val="1"/>
        </w:numPr>
        <w:contextualSpacing w:val="0"/>
        <w:jc w:val="both"/>
        <w:rPr>
          <w:rFonts w:asciiTheme="minorHAnsi" w:hAnsiTheme="minorHAnsi" w:cstheme="minorHAnsi"/>
          <w:color w:val="auto"/>
          <w:sz w:val="22"/>
          <w:szCs w:val="22"/>
        </w:rPr>
      </w:pPr>
      <w:r w:rsidRPr="00E33CA0">
        <w:rPr>
          <w:rFonts w:asciiTheme="minorHAnsi" w:hAnsiTheme="minorHAnsi" w:cstheme="minorHAnsi"/>
          <w:b/>
          <w:bCs/>
          <w:color w:val="auto"/>
          <w:sz w:val="22"/>
          <w:szCs w:val="22"/>
        </w:rPr>
        <w:t xml:space="preserve">Disproportionate rural and vulnerable community impacts: </w:t>
      </w:r>
      <w:r w:rsidRPr="00E33CA0">
        <w:rPr>
          <w:rFonts w:asciiTheme="minorHAnsi" w:hAnsiTheme="minorHAnsi" w:cstheme="minorHAnsi"/>
          <w:color w:val="auto"/>
          <w:sz w:val="22"/>
          <w:szCs w:val="22"/>
        </w:rPr>
        <w:t>Women in rural Albania and BiH face the most acute water collection burdens; Roma women experience compounded exclusion in BiH and Montenegro; women in northern Montenegro face significantly greater employment barriers than those in the south (Section 7.3). These findings confirm the hypothesis’ emphasis on rural and vulnerable populations.</w:t>
      </w:r>
    </w:p>
    <w:p w14:paraId="70B93D77" w14:textId="77777777" w:rsidR="000E4587" w:rsidRPr="00E33CA0" w:rsidRDefault="000E4587">
      <w:pPr>
        <w:jc w:val="both"/>
        <w:rPr>
          <w:rFonts w:asciiTheme="minorHAnsi" w:hAnsiTheme="minorHAnsi" w:cstheme="minorHAnsi"/>
          <w:color w:val="auto"/>
          <w:sz w:val="22"/>
          <w:szCs w:val="22"/>
        </w:rPr>
      </w:pPr>
    </w:p>
    <w:p w14:paraId="0D77F59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Three core structural barriers underlie all five observations: institutional fragmentation and insufficient governance capacity; deeply ingrained traditional gender norms; and pervasive data deficits. Section 8 adds a further dimension: the water–GBV–climate nexus is a structurally significant risk multiplier that the existing literature and policy frameworks have not yet adequately addressed in this region. Bosnia and Herzegovina faces the most acute compound risk, combining the highest climate vulnerability (ND-GAIN Rank 82), the highest documented GBV prevalence (approximately 48%; OSCE, 2019), and the lowest female parliamentary representation (19.1%; Equal Future Eurasia, 2024).</w:t>
      </w:r>
    </w:p>
    <w:p w14:paraId="4E158955" w14:textId="77777777" w:rsidR="001B3EC1" w:rsidRPr="00E33CA0" w:rsidRDefault="00000000">
      <w:pPr>
        <w:jc w:val="both"/>
        <w:rPr>
          <w:rFonts w:asciiTheme="minorHAnsi" w:hAnsiTheme="minorHAnsi" w:cstheme="minorHAnsi"/>
          <w:color w:val="008080"/>
          <w:sz w:val="22"/>
          <w:szCs w:val="22"/>
        </w:rPr>
      </w:pPr>
      <w:r w:rsidRPr="00E33CA0">
        <w:rPr>
          <w:rFonts w:asciiTheme="minorHAnsi" w:hAnsiTheme="minorHAnsi" w:cstheme="minorHAnsi"/>
          <w:color w:val="008080"/>
          <w:sz w:val="22"/>
          <w:szCs w:val="22"/>
        </w:rPr>
        <w:t>For Albania, the use of key informant interviews and a community focus group strengthened the evidence base. It confirmed the desk findings on women unpaid water burden and on their limited voice in governance (Albania National Gender Analysis, 2025).</w:t>
      </w:r>
    </w:p>
    <w:p w14:paraId="03FAD146" w14:textId="77777777" w:rsidR="007D7EB7" w:rsidRPr="00E33CA0" w:rsidRDefault="007D7EB7">
      <w:pPr>
        <w:jc w:val="both"/>
        <w:rPr>
          <w:rFonts w:asciiTheme="minorHAnsi" w:hAnsiTheme="minorHAnsi" w:cstheme="minorHAnsi"/>
          <w:color w:val="E36C09"/>
          <w:sz w:val="22"/>
          <w:szCs w:val="22"/>
        </w:rPr>
      </w:pPr>
    </w:p>
    <w:p w14:paraId="2B4255CD" w14:textId="28C40B86" w:rsidR="001B3EC1" w:rsidRPr="00E33CA0" w:rsidRDefault="00000000">
      <w:pPr>
        <w:jc w:val="both"/>
        <w:rPr>
          <w:rFonts w:asciiTheme="minorHAnsi" w:hAnsiTheme="minorHAnsi" w:cstheme="minorHAnsi"/>
          <w:color w:val="E36C09"/>
          <w:sz w:val="22"/>
          <w:szCs w:val="22"/>
        </w:rPr>
      </w:pPr>
      <w:r w:rsidRPr="00E33CA0">
        <w:rPr>
          <w:rFonts w:asciiTheme="minorHAnsi" w:hAnsiTheme="minorHAnsi" w:cstheme="minorHAnsi"/>
          <w:color w:val="E36C09"/>
          <w:sz w:val="22"/>
          <w:szCs w:val="22"/>
        </w:rPr>
        <w:t>For Bosnia and Herzegovina, the desk review confirmed a strong legal framework alongside weak implementation, deep traditional norms, and persistent data gaps in the water sector (Bosnia and Herzegovina National Gender Analysis, 2025).</w:t>
      </w:r>
    </w:p>
    <w:p w14:paraId="2AE25DBC" w14:textId="77777777" w:rsidR="000E4587" w:rsidRPr="00E33CA0" w:rsidRDefault="000E4587">
      <w:pPr>
        <w:jc w:val="both"/>
        <w:rPr>
          <w:rFonts w:asciiTheme="minorHAnsi" w:hAnsiTheme="minorHAnsi" w:cstheme="minorHAnsi"/>
          <w:color w:val="auto"/>
          <w:sz w:val="22"/>
          <w:szCs w:val="22"/>
        </w:rPr>
      </w:pPr>
    </w:p>
    <w:p w14:paraId="4932BAFB" w14:textId="77777777" w:rsidR="000E4587" w:rsidRPr="00E33CA0" w:rsidRDefault="00000000">
      <w:pPr>
        <w:pStyle w:val="Heading2"/>
        <w:spacing w:before="0" w:after="0"/>
        <w:jc w:val="both"/>
        <w:rPr>
          <w:rFonts w:asciiTheme="minorHAnsi" w:hAnsiTheme="minorHAnsi" w:cstheme="minorHAnsi"/>
          <w:sz w:val="22"/>
          <w:szCs w:val="22"/>
        </w:rPr>
      </w:pPr>
      <w:bookmarkStart w:id="49" w:name="_Toc231038146"/>
      <w:r w:rsidRPr="00E33CA0">
        <w:rPr>
          <w:rFonts w:asciiTheme="minorHAnsi" w:eastAsia="Arial" w:hAnsiTheme="minorHAnsi" w:cstheme="minorHAnsi"/>
          <w:b/>
          <w:bCs/>
          <w:color w:val="2E75B6"/>
          <w:sz w:val="22"/>
          <w:szCs w:val="22"/>
        </w:rPr>
        <w:t>9.2 Strategic Recommendations for Regional Action</w:t>
      </w:r>
      <w:bookmarkEnd w:id="49"/>
    </w:p>
    <w:p w14:paraId="3A3C062D"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Table 9: Regional Strategic Recommendations Matrix</w:t>
      </w:r>
    </w:p>
    <w:tbl>
      <w:tblPr>
        <w:tblW w:w="9360" w:type="dxa"/>
        <w:tblLayout w:type="fixed"/>
        <w:tblCellMar>
          <w:top w:w="80" w:type="dxa"/>
          <w:left w:w="130" w:type="dxa"/>
          <w:bottom w:w="80" w:type="dxa"/>
          <w:right w:w="130" w:type="dxa"/>
        </w:tblCellMar>
        <w:tblLook w:val="04A0" w:firstRow="1" w:lastRow="0" w:firstColumn="1" w:lastColumn="0" w:noHBand="0" w:noVBand="1"/>
      </w:tblPr>
      <w:tblGrid>
        <w:gridCol w:w="2199"/>
        <w:gridCol w:w="1791"/>
        <w:gridCol w:w="1789"/>
        <w:gridCol w:w="1791"/>
        <w:gridCol w:w="1790"/>
      </w:tblGrid>
      <w:tr w:rsidR="000E4587" w:rsidRPr="00E33CA0" w14:paraId="560E43F6" w14:textId="77777777">
        <w:trPr>
          <w:tblHeader/>
        </w:trPr>
        <w:tc>
          <w:tcPr>
            <w:tcW w:w="21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2BC5C1C4"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Priority Area</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5CA758BD"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Albania</w:t>
            </w:r>
          </w:p>
        </w:tc>
        <w:tc>
          <w:tcPr>
            <w:tcW w:w="178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1B043104"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Bosnia &amp; Herz.</w:t>
            </w:r>
          </w:p>
        </w:tc>
        <w:tc>
          <w:tcPr>
            <w:tcW w:w="1791"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AD91E94"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Croatia</w:t>
            </w:r>
          </w:p>
        </w:tc>
        <w:tc>
          <w:tcPr>
            <w:tcW w:w="179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4676C91D"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Montenegro</w:t>
            </w:r>
          </w:p>
        </w:tc>
      </w:tr>
      <w:tr w:rsidR="000E4587" w:rsidRPr="00E33CA0" w14:paraId="1C482489"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C5219D1"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Data Systems</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4B564E1"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Update TUS (last: 2011; INSTAT); establish water sector collection</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DEBF29D"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Mandate &amp; enforce; harmonize across entities (BHAS)</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FC75A03"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Expand operational data beyond staffing (EIGE rec.)</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DD4EAF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Commission first national TUS; strengthen MONSTAT capacity</w:t>
            </w:r>
          </w:p>
        </w:tc>
      </w:tr>
      <w:tr w:rsidR="000E4587" w:rsidRPr="00E33CA0" w14:paraId="2DCADB76"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6AE64D4"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Capacity Building</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B5ED050"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Train GEE officials and utility staff (EC, 2025 rec.)</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3F6A68D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Address fragmentation; build inter-entity coordination</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0453A3A"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Continue leadership progress; institutionalize gender roles</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AD7A46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Build institutional capacity across 3 ministries</w:t>
            </w:r>
          </w:p>
        </w:tc>
      </w:tr>
      <w:tr w:rsidR="000E4587" w:rsidRPr="00E33CA0" w14:paraId="79C04021"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A5201C0"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Infrastructure</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71A1252"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Expand rural water access (</w:t>
            </w:r>
            <w:r w:rsidRPr="00E33CA0">
              <w:rPr>
                <w:rFonts w:asciiTheme="minorHAnsi" w:hAnsiTheme="minorHAnsi" w:cstheme="minorHAnsi"/>
                <w:color w:val="E0218A"/>
                <w:sz w:val="22"/>
                <w:szCs w:val="22"/>
              </w:rPr>
              <w:t>24% gap; JMP, 2024</w:t>
            </w:r>
            <w:r w:rsidRPr="00E33CA0">
              <w:rPr>
                <w:rFonts w:asciiTheme="minorHAnsi" w:hAnsiTheme="minorHAnsi" w:cstheme="minorHAnsi"/>
                <w:color w:val="auto"/>
                <w:sz w:val="22"/>
                <w:szCs w:val="22"/>
              </w:rPr>
              <w:t>)</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E3D9905"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Expand safe water access (</w:t>
            </w:r>
            <w:r w:rsidRPr="00E33CA0">
              <w:rPr>
                <w:rFonts w:asciiTheme="minorHAnsi" w:hAnsiTheme="minorHAnsi" w:cstheme="minorHAnsi"/>
                <w:color w:val="E0218A"/>
                <w:sz w:val="22"/>
                <w:szCs w:val="22"/>
              </w:rPr>
              <w:t>87%</w:t>
            </w:r>
            <w:r w:rsidRPr="00E33CA0">
              <w:rPr>
                <w:rFonts w:asciiTheme="minorHAnsi" w:hAnsiTheme="minorHAnsi" w:cstheme="minorHAnsi"/>
                <w:color w:val="auto"/>
                <w:sz w:val="22"/>
                <w:szCs w:val="22"/>
              </w:rPr>
              <w:t>; JMP, 2022)</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C244EB9"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Maintain EU standards; address climate exposure</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7ECFD5B"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Expand rural and Roma community coverage</w:t>
            </w:r>
          </w:p>
        </w:tc>
      </w:tr>
      <w:tr w:rsidR="000E4587" w:rsidRPr="00E33CA0" w14:paraId="574D3C99" w14:textId="77777777">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5F693B68"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Employment</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318E3B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Promote women in technical utility roles (Water Sector Assessment, 2021)</w:t>
            </w:r>
          </w:p>
        </w:tc>
        <w:tc>
          <w:tcPr>
            <w:tcW w:w="178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CE4C2A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Challenge engineering-sector norms</w:t>
            </w:r>
          </w:p>
        </w:tc>
        <w:tc>
          <w:tcPr>
            <w:tcW w:w="1791"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F0BDB46"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Address 0% director gap (Croatian Waters, 2025)</w:t>
            </w:r>
          </w:p>
        </w:tc>
        <w:tc>
          <w:tcPr>
            <w:tcW w:w="179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4E81A7F"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Increase from under 20% to 30%+ (World Bank, 2019 rec.)</w:t>
            </w:r>
          </w:p>
        </w:tc>
      </w:tr>
      <w:tr w:rsidR="000E4587" w:rsidRPr="00E33CA0" w14:paraId="5E332B78" w14:textId="77777777">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91A97D7" w14:textId="77777777" w:rsidR="000E4587" w:rsidRPr="00E33CA0" w:rsidRDefault="00000000">
            <w:pPr>
              <w:jc w:val="both"/>
              <w:rPr>
                <w:rFonts w:asciiTheme="minorHAnsi" w:hAnsiTheme="minorHAnsi" w:cstheme="minorHAnsi"/>
                <w:b/>
                <w:bCs/>
                <w:color w:val="auto"/>
                <w:sz w:val="22"/>
                <w:szCs w:val="22"/>
              </w:rPr>
            </w:pPr>
            <w:r w:rsidRPr="00E33CA0">
              <w:rPr>
                <w:rFonts w:asciiTheme="minorHAnsi" w:hAnsiTheme="minorHAnsi" w:cstheme="minorHAnsi"/>
                <w:b/>
                <w:bCs/>
                <w:color w:val="auto"/>
                <w:sz w:val="22"/>
                <w:szCs w:val="22"/>
              </w:rPr>
              <w:t>GBV / Climate</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1C400047"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Safety audits; primary research on water–GBV nexus</w:t>
            </w:r>
          </w:p>
        </w:tc>
        <w:tc>
          <w:tcPr>
            <w:tcW w:w="178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E577038"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Post-conflict integration; GBV disaggregated by water access</w:t>
            </w:r>
          </w:p>
        </w:tc>
        <w:tc>
          <w:tcPr>
            <w:tcW w:w="1791"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B78F8AC"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Climate-responsive planning; femicide law enforcement</w:t>
            </w:r>
          </w:p>
        </w:tc>
        <w:tc>
          <w:tcPr>
            <w:tcW w:w="179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AE8C0A4" w14:textId="77777777" w:rsidR="000E4587" w:rsidRPr="00E33CA0" w:rsidRDefault="00000000">
            <w:pPr>
              <w:jc w:val="both"/>
              <w:rPr>
                <w:rFonts w:asciiTheme="minorHAnsi" w:hAnsiTheme="minorHAnsi" w:cstheme="minorHAnsi"/>
                <w:color w:val="auto"/>
                <w:sz w:val="22"/>
                <w:szCs w:val="22"/>
              </w:rPr>
            </w:pPr>
            <w:r w:rsidRPr="00E33CA0">
              <w:rPr>
                <w:rFonts w:asciiTheme="minorHAnsi" w:hAnsiTheme="minorHAnsi" w:cstheme="minorHAnsi"/>
                <w:color w:val="auto"/>
                <w:sz w:val="22"/>
                <w:szCs w:val="22"/>
              </w:rPr>
              <w:t>Regional baselines; commission national GBV survey</w:t>
            </w:r>
          </w:p>
        </w:tc>
      </w:tr>
    </w:tbl>
    <w:p w14:paraId="6C1776E7" w14:textId="77777777" w:rsidR="000E4587" w:rsidRPr="00E33CA0" w:rsidRDefault="000E4587">
      <w:pPr>
        <w:rPr>
          <w:rFonts w:asciiTheme="minorHAnsi" w:hAnsiTheme="minorHAnsi" w:cstheme="minorHAnsi"/>
        </w:rPr>
      </w:pPr>
    </w:p>
    <w:p w14:paraId="5B3973BA" w14:textId="77777777" w:rsidR="000E4587" w:rsidRPr="00E33CA0" w:rsidRDefault="00000000">
      <w:pPr>
        <w:pStyle w:val="Heading3"/>
        <w:spacing w:before="0" w:after="0"/>
        <w:jc w:val="both"/>
        <w:rPr>
          <w:rFonts w:asciiTheme="minorHAnsi" w:hAnsiTheme="minorHAnsi" w:cstheme="minorHAnsi"/>
          <w:color w:val="4472C4" w:themeColor="accent1"/>
          <w:sz w:val="22"/>
          <w:szCs w:val="22"/>
        </w:rPr>
      </w:pPr>
      <w:bookmarkStart w:id="50" w:name="_Toc231038147"/>
      <w:r w:rsidRPr="00E33CA0">
        <w:rPr>
          <w:rFonts w:asciiTheme="minorHAnsi" w:eastAsia="Arial" w:hAnsiTheme="minorHAnsi" w:cstheme="minorHAnsi"/>
          <w:b/>
          <w:bCs/>
          <w:color w:val="4472C4" w:themeColor="accent1"/>
          <w:sz w:val="22"/>
          <w:szCs w:val="22"/>
        </w:rPr>
        <w:t>9.2.1 Cross-Cutting Regional Recommendations</w:t>
      </w:r>
      <w:bookmarkEnd w:id="50"/>
    </w:p>
    <w:p w14:paraId="4619917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The following five recommendations apply across all four countries and warrant coordinated regional implementation:</w:t>
      </w:r>
    </w:p>
    <w:p w14:paraId="5DEF7054" w14:textId="77777777" w:rsidR="000E4587" w:rsidRPr="00E33CA0" w:rsidRDefault="000E4587">
      <w:pPr>
        <w:jc w:val="both"/>
        <w:rPr>
          <w:rFonts w:asciiTheme="minorHAnsi" w:hAnsiTheme="minorHAnsi" w:cstheme="minorHAnsi"/>
          <w:color w:val="000000" w:themeColor="text1"/>
          <w:sz w:val="22"/>
          <w:szCs w:val="22"/>
        </w:rPr>
      </w:pPr>
    </w:p>
    <w:p w14:paraId="45B53363"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lang w:val="en-GB"/>
        </w:rPr>
      </w:pPr>
      <w:r w:rsidRPr="00E33CA0">
        <w:rPr>
          <w:rFonts w:asciiTheme="minorHAnsi" w:hAnsiTheme="minorHAnsi" w:cstheme="minorHAnsi"/>
          <w:b/>
          <w:bCs/>
          <w:color w:val="000000" w:themeColor="text1"/>
          <w:sz w:val="22"/>
          <w:szCs w:val="22"/>
        </w:rPr>
        <w:t xml:space="preserve">1. </w:t>
      </w:r>
      <w:r w:rsidRPr="00E33CA0">
        <w:rPr>
          <w:rFonts w:asciiTheme="minorHAnsi" w:hAnsiTheme="minorHAnsi" w:cstheme="minorHAnsi"/>
          <w:b/>
          <w:bCs/>
          <w:color w:val="000000" w:themeColor="text1"/>
          <w:sz w:val="22"/>
          <w:szCs w:val="22"/>
          <w:lang w:val="en-GB"/>
        </w:rPr>
        <w:t xml:space="preserve">Harmonised data collection standards: </w:t>
      </w:r>
      <w:r w:rsidRPr="00E33CA0">
        <w:rPr>
          <w:rFonts w:asciiTheme="minorHAnsi" w:hAnsiTheme="minorHAnsi" w:cstheme="minorHAnsi"/>
          <w:color w:val="000000" w:themeColor="text1"/>
          <w:sz w:val="22"/>
          <w:szCs w:val="22"/>
          <w:lang w:val="en-GB"/>
        </w:rPr>
        <w:t>Develop and implement sex-disaggregated data standards across the region to enable meaningful cross-country comparison and regional monitoring. Standards should encompass water sector employment, time-use burdens, service access, asset ownership, and governance participation. The UNESCO-WWAP toolkit on sex-disaggregated water data provides a reference framework (UNESCO/WWAP, 2024).</w:t>
      </w:r>
    </w:p>
    <w:p w14:paraId="538133E1"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lang w:val="en-GB"/>
        </w:rPr>
      </w:pPr>
      <w:r w:rsidRPr="00E33CA0">
        <w:rPr>
          <w:rFonts w:asciiTheme="minorHAnsi" w:hAnsiTheme="minorHAnsi" w:cstheme="minorHAnsi"/>
          <w:b/>
          <w:bCs/>
          <w:color w:val="000000" w:themeColor="text1"/>
          <w:sz w:val="22"/>
          <w:szCs w:val="22"/>
          <w:lang w:val="en-GB"/>
        </w:rPr>
        <w:t xml:space="preserve">2. Regional knowledge sharing mechanisms: </w:t>
      </w:r>
      <w:r w:rsidRPr="00E33CA0">
        <w:rPr>
          <w:rFonts w:asciiTheme="minorHAnsi" w:hAnsiTheme="minorHAnsi" w:cstheme="minorHAnsi"/>
          <w:color w:val="000000" w:themeColor="text1"/>
          <w:sz w:val="22"/>
          <w:szCs w:val="22"/>
          <w:lang w:val="en-GB"/>
        </w:rPr>
        <w:t>Establish regular regional forums, a shared online platform, and cross-country learning visits focused on women’s employment in water utilities, community-level governance participation, and GBV-water integration.</w:t>
      </w:r>
    </w:p>
    <w:p w14:paraId="1EB0338E"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lang w:val="en-GB"/>
        </w:rPr>
      </w:pPr>
      <w:r w:rsidRPr="00E33CA0">
        <w:rPr>
          <w:rFonts w:asciiTheme="minorHAnsi" w:hAnsiTheme="minorHAnsi" w:cstheme="minorHAnsi"/>
          <w:b/>
          <w:bCs/>
          <w:color w:val="000000" w:themeColor="text1"/>
          <w:sz w:val="22"/>
          <w:szCs w:val="22"/>
          <w:lang w:val="en-GB"/>
        </w:rPr>
        <w:lastRenderedPageBreak/>
        <w:t xml:space="preserve">3. Coordinated capacity building: </w:t>
      </w:r>
      <w:r w:rsidRPr="00E33CA0">
        <w:rPr>
          <w:rFonts w:asciiTheme="minorHAnsi" w:hAnsiTheme="minorHAnsi" w:cstheme="minorHAnsi"/>
          <w:color w:val="000000" w:themeColor="text1"/>
          <w:sz w:val="22"/>
          <w:szCs w:val="22"/>
          <w:lang w:val="en-GB"/>
        </w:rPr>
        <w:t>Develop programmes to address common skills gaps including gender analysis and mainstreaming, gender-responsive budgeting, sex-disaggregated data collection and analysis, and inclusive consultation methodologies. Programmes should target both national institutions and local water governance bodies.</w:t>
      </w:r>
    </w:p>
    <w:p w14:paraId="68B688E1"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lang w:val="en-GB"/>
        </w:rPr>
      </w:pPr>
      <w:r w:rsidRPr="00E33CA0">
        <w:rPr>
          <w:rFonts w:asciiTheme="minorHAnsi" w:hAnsiTheme="minorHAnsi" w:cstheme="minorHAnsi"/>
          <w:b/>
          <w:bCs/>
          <w:color w:val="000000" w:themeColor="text1"/>
          <w:sz w:val="22"/>
          <w:szCs w:val="22"/>
          <w:lang w:val="en-GB"/>
        </w:rPr>
        <w:t xml:space="preserve">4. Joint monitoring and evaluation: </w:t>
      </w:r>
      <w:r w:rsidRPr="00E33CA0">
        <w:rPr>
          <w:rFonts w:asciiTheme="minorHAnsi" w:hAnsiTheme="minorHAnsi" w:cstheme="minorHAnsi"/>
          <w:color w:val="000000" w:themeColor="text1"/>
          <w:sz w:val="22"/>
          <w:szCs w:val="22"/>
          <w:lang w:val="en-GB"/>
        </w:rPr>
        <w:t>Establish frameworks to track regional progress toward gender equality in water governance, including harmonised indicators aligned with SDG 5 and SDG 6, regular reporting mechanisms, and accountability structures enabling mutual learning and peer support.</w:t>
      </w:r>
    </w:p>
    <w:p w14:paraId="3DAE05B7"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lang w:val="en-GB"/>
        </w:rPr>
      </w:pPr>
      <w:r w:rsidRPr="00E33CA0">
        <w:rPr>
          <w:rFonts w:asciiTheme="minorHAnsi" w:hAnsiTheme="minorHAnsi" w:cstheme="minorHAnsi"/>
          <w:b/>
          <w:bCs/>
          <w:color w:val="000000" w:themeColor="text1"/>
          <w:sz w:val="22"/>
          <w:szCs w:val="22"/>
        </w:rPr>
        <w:t>5. Water–GBV–climate integration</w:t>
      </w:r>
      <w:r w:rsidRPr="00E33CA0">
        <w:rPr>
          <w:rFonts w:asciiTheme="minorHAnsi" w:hAnsiTheme="minorHAnsi" w:cstheme="minorHAnsi"/>
          <w:b/>
          <w:bCs/>
          <w:color w:val="000000" w:themeColor="text1"/>
          <w:sz w:val="22"/>
          <w:szCs w:val="22"/>
          <w:lang w:val="en-GB"/>
        </w:rPr>
        <w:t xml:space="preserve">: </w:t>
      </w:r>
      <w:r w:rsidRPr="00E33CA0">
        <w:rPr>
          <w:rFonts w:asciiTheme="minorHAnsi" w:hAnsiTheme="minorHAnsi" w:cstheme="minorHAnsi"/>
          <w:color w:val="000000" w:themeColor="text1"/>
          <w:sz w:val="22"/>
          <w:szCs w:val="22"/>
          <w:lang w:val="en-GB"/>
        </w:rPr>
        <w:t>Incorporate GBV risk assessment and climate vulnerability analysis into regional water governance frameworks, prioritising countries with the highest compound risk (particularly Bosnia and Herzegovina and Albania), as detailed in Section 8.</w:t>
      </w:r>
    </w:p>
    <w:p w14:paraId="581E1F7C" w14:textId="77777777" w:rsidR="000E4587" w:rsidRPr="00E33CA0" w:rsidRDefault="000E4587">
      <w:pPr>
        <w:pStyle w:val="ListParagraph"/>
        <w:ind w:left="540"/>
        <w:contextualSpacing w:val="0"/>
        <w:jc w:val="both"/>
        <w:rPr>
          <w:rFonts w:asciiTheme="minorHAnsi" w:hAnsiTheme="minorHAnsi" w:cstheme="minorHAnsi"/>
          <w:color w:val="000000" w:themeColor="text1"/>
          <w:sz w:val="22"/>
          <w:szCs w:val="22"/>
          <w:lang w:val="en-GB"/>
        </w:rPr>
      </w:pPr>
    </w:p>
    <w:p w14:paraId="16AAC85E" w14:textId="77777777" w:rsidR="000E4587" w:rsidRPr="00E33CA0" w:rsidRDefault="00000000">
      <w:pPr>
        <w:pStyle w:val="Heading3"/>
        <w:spacing w:before="0" w:after="0"/>
        <w:jc w:val="both"/>
        <w:rPr>
          <w:rFonts w:asciiTheme="minorHAnsi" w:hAnsiTheme="minorHAnsi" w:cstheme="minorHAnsi"/>
          <w:color w:val="4472C4" w:themeColor="accent1"/>
          <w:sz w:val="22"/>
          <w:szCs w:val="22"/>
        </w:rPr>
      </w:pPr>
      <w:bookmarkStart w:id="51" w:name="_Toc231038148"/>
      <w:r w:rsidRPr="00E33CA0">
        <w:rPr>
          <w:rFonts w:asciiTheme="minorHAnsi" w:eastAsia="Arial" w:hAnsiTheme="minorHAnsi" w:cstheme="minorHAnsi"/>
          <w:b/>
          <w:bCs/>
          <w:color w:val="4472C4" w:themeColor="accent1"/>
          <w:sz w:val="22"/>
          <w:szCs w:val="22"/>
        </w:rPr>
        <w:t>9.2.2 Country-Specific Recommendations</w:t>
      </w:r>
      <w:bookmarkEnd w:id="51"/>
    </w:p>
    <w:p w14:paraId="30D57C57"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 xml:space="preserve">Albania: </w:t>
      </w:r>
    </w:p>
    <w:p w14:paraId="090FE64F" w14:textId="77777777" w:rsidR="000E4587" w:rsidRPr="00E33CA0" w:rsidRDefault="00000000">
      <w:pPr>
        <w:pStyle w:val="ListParagraph"/>
        <w:numPr>
          <w:ilvl w:val="0"/>
          <w:numId w:val="5"/>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 xml:space="preserve">Strengthen the capacity and authority of Gender Equality Employees within water governance institutions; </w:t>
      </w:r>
    </w:p>
    <w:p w14:paraId="420309DD" w14:textId="77777777" w:rsidR="000E4587" w:rsidRPr="00E33CA0" w:rsidRDefault="00000000">
      <w:pPr>
        <w:pStyle w:val="ListParagraph"/>
        <w:numPr>
          <w:ilvl w:val="0"/>
          <w:numId w:val="5"/>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 xml:space="preserve">update the national time-use survey (last: INSTAT, 2011); </w:t>
      </w:r>
    </w:p>
    <w:p w14:paraId="60766B8D" w14:textId="77777777" w:rsidR="00EF58C1" w:rsidRPr="00E33CA0" w:rsidRDefault="00000000">
      <w:pPr>
        <w:pStyle w:val="ListParagraph"/>
        <w:numPr>
          <w:ilvl w:val="0"/>
          <w:numId w:val="5"/>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implement targeted programmes to increase women’s participation in technical water sector careers;</w:t>
      </w:r>
    </w:p>
    <w:p w14:paraId="099E40B9" w14:textId="7D734E50" w:rsidR="000E4587" w:rsidRPr="00E33CA0" w:rsidRDefault="00000000">
      <w:pPr>
        <w:pStyle w:val="ListParagraph"/>
        <w:numPr>
          <w:ilvl w:val="0"/>
          <w:numId w:val="5"/>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 xml:space="preserve"> address rural water supply gaps (approximately </w:t>
      </w:r>
      <w:r w:rsidRPr="00E33CA0">
        <w:rPr>
          <w:rFonts w:asciiTheme="minorHAnsi" w:hAnsiTheme="minorHAnsi" w:cstheme="minorHAnsi"/>
          <w:color w:val="E0218A"/>
          <w:sz w:val="22"/>
          <w:szCs w:val="22"/>
        </w:rPr>
        <w:t>24% without piped access</w:t>
      </w:r>
      <w:r w:rsidRPr="00E33CA0">
        <w:rPr>
          <w:rFonts w:asciiTheme="minorHAnsi" w:hAnsiTheme="minorHAnsi" w:cstheme="minorHAnsi"/>
          <w:color w:val="000000" w:themeColor="text1"/>
          <w:sz w:val="22"/>
          <w:szCs w:val="22"/>
          <w:lang w:val="en-GB"/>
        </w:rPr>
        <w:t xml:space="preserve">); and </w:t>
      </w:r>
    </w:p>
    <w:p w14:paraId="1725C018" w14:textId="77777777" w:rsidR="000E4587" w:rsidRPr="00E33CA0" w:rsidRDefault="00000000">
      <w:pPr>
        <w:pStyle w:val="ListParagraph"/>
        <w:numPr>
          <w:ilvl w:val="0"/>
          <w:numId w:val="5"/>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commission primary research on the water–GBV nexus, given Albania’s highest documented GBV prevalence in the region.</w:t>
      </w:r>
    </w:p>
    <w:p w14:paraId="1737F61E" w14:textId="77777777" w:rsidR="00EF58C1" w:rsidRPr="00E33CA0" w:rsidRDefault="00EF58C1">
      <w:pPr>
        <w:jc w:val="both"/>
        <w:rPr>
          <w:rFonts w:asciiTheme="minorHAnsi" w:hAnsiTheme="minorHAnsi" w:cstheme="minorHAnsi"/>
          <w:color w:val="008080"/>
          <w:sz w:val="22"/>
          <w:szCs w:val="22"/>
        </w:rPr>
      </w:pPr>
    </w:p>
    <w:p w14:paraId="1E4705C1" w14:textId="31514E5C" w:rsidR="001B3EC1" w:rsidRPr="00E33CA0" w:rsidRDefault="00000000">
      <w:pPr>
        <w:jc w:val="both"/>
        <w:rPr>
          <w:rFonts w:asciiTheme="minorHAnsi" w:hAnsiTheme="minorHAnsi" w:cstheme="minorHAnsi"/>
          <w:color w:val="008080"/>
          <w:sz w:val="22"/>
          <w:szCs w:val="22"/>
        </w:rPr>
      </w:pPr>
      <w:r w:rsidRPr="00E33CA0">
        <w:rPr>
          <w:rFonts w:asciiTheme="minorHAnsi" w:hAnsiTheme="minorHAnsi" w:cstheme="minorHAnsi"/>
          <w:color w:val="008080"/>
          <w:sz w:val="22"/>
          <w:szCs w:val="22"/>
        </w:rPr>
        <w:t>The Albania national analysis sets out further priorities for the country. These include publishing sex disaggregated data on water sector employment and leadership, operationalising the Gender Agenda and Action Plan for Water Utilities 2019 to 2030, and promoting young women in technical, environmental and water diplomacy roles. They also include prioritising rural and vulnerable groups in service planning, applying gender responsive budgeting to water investments, and addressing the sanitation and hygiene needs of women and girls, including menstrual hygiene management. The analysis further recommends gender sensitive and citizen friendly consultation, the meaningful inclusion of women and communities in Cemi and Cijevna governance, and stronger gender mainstreaming capacity across AMBU, AKUM, ERRU, municipalities and utilities (Albania National Gender Analysis, 2025).</w:t>
      </w:r>
    </w:p>
    <w:p w14:paraId="25B476F6" w14:textId="77777777" w:rsidR="000E4587" w:rsidRPr="00E33CA0" w:rsidRDefault="000E4587">
      <w:pPr>
        <w:jc w:val="both"/>
        <w:rPr>
          <w:rFonts w:asciiTheme="minorHAnsi" w:hAnsiTheme="minorHAnsi" w:cstheme="minorHAnsi"/>
          <w:b/>
          <w:bCs/>
          <w:color w:val="000000" w:themeColor="text1"/>
          <w:sz w:val="22"/>
          <w:szCs w:val="22"/>
          <w:lang w:val="en-GB"/>
        </w:rPr>
      </w:pPr>
    </w:p>
    <w:p w14:paraId="1744778A" w14:textId="77777777" w:rsidR="000E4587" w:rsidRPr="00E33CA0" w:rsidRDefault="00000000">
      <w:pPr>
        <w:jc w:val="both"/>
        <w:rPr>
          <w:rFonts w:asciiTheme="minorHAnsi" w:hAnsiTheme="minorHAnsi" w:cstheme="minorHAnsi"/>
          <w:b/>
          <w:bCs/>
          <w:color w:val="000000" w:themeColor="text1"/>
          <w:sz w:val="22"/>
          <w:szCs w:val="22"/>
          <w:lang w:val="en-GB"/>
        </w:rPr>
      </w:pPr>
      <w:r w:rsidRPr="00E33CA0">
        <w:rPr>
          <w:rFonts w:asciiTheme="minorHAnsi" w:hAnsiTheme="minorHAnsi" w:cstheme="minorHAnsi"/>
          <w:b/>
          <w:bCs/>
          <w:color w:val="000000" w:themeColor="text1"/>
          <w:sz w:val="22"/>
          <w:szCs w:val="22"/>
          <w:lang w:val="en-GB"/>
        </w:rPr>
        <w:t xml:space="preserve">Bosnia and Herzegovina: </w:t>
      </w:r>
    </w:p>
    <w:p w14:paraId="38AA9724" w14:textId="77777777" w:rsidR="000E4587" w:rsidRPr="00E33CA0" w:rsidRDefault="00000000">
      <w:pPr>
        <w:pStyle w:val="ListParagraph"/>
        <w:numPr>
          <w:ilvl w:val="0"/>
          <w:numId w:val="6"/>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 xml:space="preserve">Strengthen enforcement mechanisms and accountability for gender quota compliance; </w:t>
      </w:r>
    </w:p>
    <w:p w14:paraId="037507CA" w14:textId="77777777" w:rsidR="000E4587" w:rsidRPr="00E33CA0" w:rsidRDefault="00000000">
      <w:pPr>
        <w:pStyle w:val="ListParagraph"/>
        <w:numPr>
          <w:ilvl w:val="0"/>
          <w:numId w:val="6"/>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 xml:space="preserve">mandate systematic gender-disaggregated data collection across entities; </w:t>
      </w:r>
    </w:p>
    <w:p w14:paraId="3BB87D57" w14:textId="77777777" w:rsidR="000E4587" w:rsidRPr="00E33CA0" w:rsidRDefault="00000000">
      <w:pPr>
        <w:pStyle w:val="ListParagraph"/>
        <w:numPr>
          <w:ilvl w:val="0"/>
          <w:numId w:val="6"/>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 xml:space="preserve">implement gender-responsive budgeting across all water management bodies; </w:t>
      </w:r>
    </w:p>
    <w:p w14:paraId="2FAD4BD9" w14:textId="77777777" w:rsidR="000E4587" w:rsidRPr="00E33CA0" w:rsidRDefault="00000000">
      <w:pPr>
        <w:pStyle w:val="ListParagraph"/>
        <w:numPr>
          <w:ilvl w:val="0"/>
          <w:numId w:val="6"/>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 xml:space="preserve">increase women’s representation in local water governance structures; and </w:t>
      </w:r>
    </w:p>
    <w:p w14:paraId="57DC8632" w14:textId="4B905117" w:rsidR="003F1826" w:rsidRPr="00E33CA0" w:rsidRDefault="003F1826" w:rsidP="003F1826">
      <w:pPr>
        <w:pStyle w:val="ListParagraph"/>
        <w:numPr>
          <w:ilvl w:val="0"/>
          <w:numId w:val="6"/>
        </w:numPr>
        <w:jc w:val="both"/>
        <w:rPr>
          <w:rFonts w:asciiTheme="minorHAnsi" w:hAnsiTheme="minorHAnsi" w:cstheme="minorHAnsi"/>
          <w:b/>
          <w:bCs/>
          <w:color w:val="E36C09"/>
          <w:sz w:val="22"/>
          <w:szCs w:val="22"/>
        </w:rPr>
      </w:pPr>
      <w:r w:rsidRPr="00E33CA0">
        <w:rPr>
          <w:rFonts w:asciiTheme="minorHAnsi" w:hAnsiTheme="minorHAnsi" w:cstheme="minorHAnsi"/>
          <w:b/>
          <w:bCs/>
          <w:color w:val="E36C09"/>
          <w:sz w:val="22"/>
          <w:szCs w:val="22"/>
        </w:rPr>
        <w:t xml:space="preserve">Strengthen institutional capacity, accountability and resources for implementation, and challenge traditional gender stereotypes in the water sector. </w:t>
      </w:r>
    </w:p>
    <w:p w14:paraId="34EC4827" w14:textId="77777777" w:rsidR="003F1826" w:rsidRPr="00E33CA0" w:rsidRDefault="003F1826" w:rsidP="003F1826">
      <w:pPr>
        <w:jc w:val="both"/>
        <w:rPr>
          <w:rFonts w:asciiTheme="minorHAnsi" w:hAnsiTheme="minorHAnsi" w:cstheme="minorHAnsi"/>
          <w:b/>
          <w:bCs/>
          <w:color w:val="E36C09"/>
          <w:sz w:val="22"/>
          <w:szCs w:val="22"/>
        </w:rPr>
      </w:pPr>
    </w:p>
    <w:p w14:paraId="2643841F" w14:textId="716B1AB3" w:rsidR="001B3EC1" w:rsidRPr="00E33CA0" w:rsidRDefault="00000000" w:rsidP="003F1826">
      <w:pPr>
        <w:jc w:val="both"/>
        <w:rPr>
          <w:rFonts w:asciiTheme="minorHAnsi" w:hAnsiTheme="minorHAnsi" w:cstheme="minorHAnsi"/>
          <w:color w:val="E36C09"/>
          <w:sz w:val="22"/>
          <w:szCs w:val="22"/>
        </w:rPr>
      </w:pPr>
      <w:r w:rsidRPr="00E33CA0">
        <w:rPr>
          <w:rFonts w:asciiTheme="minorHAnsi" w:hAnsiTheme="minorHAnsi" w:cstheme="minorHAnsi"/>
          <w:color w:val="E36C09"/>
          <w:sz w:val="22"/>
          <w:szCs w:val="22"/>
        </w:rPr>
        <w:t>The Bosnia and Herzegovina national analysis further recommends mandating systematic gender disaggregated data collection across the entities, applying gender responsive budgeting through the FIGAP mechanism, and using intersectional vulnerability screening before infrastructure investment, tariff reform or climate measures (Bosnia and Herzegovina National Gender Analysis, 2025).</w:t>
      </w:r>
    </w:p>
    <w:p w14:paraId="67DC4834" w14:textId="77777777" w:rsidR="000E4587" w:rsidRPr="00E33CA0" w:rsidRDefault="000E4587">
      <w:pPr>
        <w:jc w:val="both"/>
        <w:rPr>
          <w:rFonts w:asciiTheme="minorHAnsi" w:hAnsiTheme="minorHAnsi" w:cstheme="minorHAnsi"/>
          <w:b/>
          <w:bCs/>
          <w:color w:val="000000" w:themeColor="text1"/>
          <w:sz w:val="22"/>
          <w:szCs w:val="22"/>
          <w:lang w:val="en-GB"/>
        </w:rPr>
      </w:pPr>
    </w:p>
    <w:p w14:paraId="08CADAD2" w14:textId="77777777" w:rsidR="000E4587" w:rsidRPr="00E33CA0" w:rsidRDefault="00000000">
      <w:pPr>
        <w:jc w:val="both"/>
        <w:rPr>
          <w:rFonts w:asciiTheme="minorHAnsi" w:hAnsiTheme="minorHAnsi" w:cstheme="minorHAnsi"/>
          <w:b/>
          <w:bCs/>
          <w:color w:val="000000" w:themeColor="text1"/>
          <w:sz w:val="22"/>
          <w:szCs w:val="22"/>
          <w:lang w:val="en-GB"/>
        </w:rPr>
      </w:pPr>
      <w:r w:rsidRPr="00E33CA0">
        <w:rPr>
          <w:rFonts w:asciiTheme="minorHAnsi" w:hAnsiTheme="minorHAnsi" w:cstheme="minorHAnsi"/>
          <w:b/>
          <w:bCs/>
          <w:color w:val="000000" w:themeColor="text1"/>
          <w:sz w:val="22"/>
          <w:szCs w:val="22"/>
          <w:lang w:val="en-GB"/>
        </w:rPr>
        <w:t xml:space="preserve">Croatia: </w:t>
      </w:r>
    </w:p>
    <w:p w14:paraId="69395B4A" w14:textId="77777777" w:rsidR="000E4587" w:rsidRPr="00E33CA0" w:rsidRDefault="00000000">
      <w:pPr>
        <w:pStyle w:val="ListParagraph"/>
        <w:numPr>
          <w:ilvl w:val="0"/>
          <w:numId w:val="7"/>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 xml:space="preserve">Introduce mandated gender-responsive budgeting in water sector planning; </w:t>
      </w:r>
    </w:p>
    <w:p w14:paraId="58701E24" w14:textId="77777777" w:rsidR="000E4587" w:rsidRPr="00E33CA0" w:rsidRDefault="00000000">
      <w:pPr>
        <w:pStyle w:val="ListParagraph"/>
        <w:numPr>
          <w:ilvl w:val="0"/>
          <w:numId w:val="7"/>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 xml:space="preserve">expand sex-disaggregated data collection to operational domains beyond staffing; </w:t>
      </w:r>
    </w:p>
    <w:p w14:paraId="6041395F" w14:textId="77777777" w:rsidR="000E4587" w:rsidRPr="00E33CA0" w:rsidRDefault="00000000">
      <w:pPr>
        <w:pStyle w:val="ListParagraph"/>
        <w:numPr>
          <w:ilvl w:val="0"/>
          <w:numId w:val="7"/>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 xml:space="preserve">implement targeted measures to address vertical segregation and promote women into senior leadership; </w:t>
      </w:r>
    </w:p>
    <w:p w14:paraId="4142D9BD" w14:textId="77777777" w:rsidR="000E4587" w:rsidRPr="00E33CA0" w:rsidRDefault="00000000">
      <w:pPr>
        <w:pStyle w:val="ListParagraph"/>
        <w:numPr>
          <w:ilvl w:val="0"/>
          <w:numId w:val="7"/>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 xml:space="preserve">institutionalise gender expertise to ensure continuity beyond individual leadership mandates; and </w:t>
      </w:r>
    </w:p>
    <w:p w14:paraId="3CA7F48A" w14:textId="77777777" w:rsidR="000E4587" w:rsidRPr="00E33CA0" w:rsidRDefault="00000000">
      <w:pPr>
        <w:pStyle w:val="ListParagraph"/>
        <w:numPr>
          <w:ilvl w:val="0"/>
          <w:numId w:val="7"/>
        </w:numPr>
        <w:jc w:val="both"/>
        <w:rPr>
          <w:rFonts w:asciiTheme="minorHAnsi" w:hAnsiTheme="minorHAnsi" w:cstheme="minorHAnsi"/>
          <w:color w:val="000000" w:themeColor="text1"/>
          <w:sz w:val="22"/>
          <w:szCs w:val="22"/>
          <w:lang w:val="en-GB"/>
        </w:rPr>
      </w:pPr>
      <w:r w:rsidRPr="00E33CA0">
        <w:rPr>
          <w:rFonts w:asciiTheme="minorHAnsi" w:hAnsiTheme="minorHAnsi" w:cstheme="minorHAnsi"/>
          <w:color w:val="000000" w:themeColor="text1"/>
          <w:sz w:val="22"/>
          <w:szCs w:val="22"/>
          <w:lang w:val="en-GB"/>
        </w:rPr>
        <w:t>leverage women’s demonstrated higher environmental consciousness in climate adaptation strategies.</w:t>
      </w:r>
    </w:p>
    <w:p w14:paraId="125D138C" w14:textId="77777777" w:rsidR="000E4587" w:rsidRPr="00E33CA0" w:rsidRDefault="000E4587">
      <w:pPr>
        <w:jc w:val="both"/>
        <w:rPr>
          <w:rFonts w:asciiTheme="minorHAnsi" w:hAnsiTheme="minorHAnsi" w:cstheme="minorHAnsi"/>
          <w:color w:val="000000" w:themeColor="text1"/>
          <w:sz w:val="22"/>
          <w:szCs w:val="22"/>
        </w:rPr>
      </w:pPr>
    </w:p>
    <w:p w14:paraId="17C3AB4B" w14:textId="77777777" w:rsidR="000E4587" w:rsidRPr="00E33CA0" w:rsidRDefault="00000000">
      <w:pPr>
        <w:jc w:val="both"/>
        <w:rPr>
          <w:rFonts w:asciiTheme="minorHAnsi" w:hAnsiTheme="minorHAnsi" w:cstheme="minorHAnsi"/>
          <w:b/>
          <w:bCs/>
          <w:color w:val="000000" w:themeColor="text1"/>
          <w:sz w:val="22"/>
          <w:szCs w:val="22"/>
        </w:rPr>
      </w:pPr>
      <w:r w:rsidRPr="00E33CA0">
        <w:rPr>
          <w:rFonts w:asciiTheme="minorHAnsi" w:hAnsiTheme="minorHAnsi" w:cstheme="minorHAnsi"/>
          <w:b/>
          <w:bCs/>
          <w:color w:val="000000" w:themeColor="text1"/>
          <w:sz w:val="22"/>
          <w:szCs w:val="22"/>
        </w:rPr>
        <w:t xml:space="preserve">Montenegro: </w:t>
      </w:r>
    </w:p>
    <w:p w14:paraId="488F1005" w14:textId="77777777" w:rsidR="000E4587" w:rsidRPr="00E33CA0" w:rsidRDefault="00000000">
      <w:pPr>
        <w:pStyle w:val="ListParagraph"/>
        <w:numPr>
          <w:ilvl w:val="0"/>
          <w:numId w:val="8"/>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Commission Montenegro’s first national time-use survey to close the most critical data gap in the region; </w:t>
      </w:r>
    </w:p>
    <w:p w14:paraId="33667D5D" w14:textId="77777777" w:rsidR="000E4587" w:rsidRPr="00E33CA0" w:rsidRDefault="00000000">
      <w:pPr>
        <w:pStyle w:val="ListParagraph"/>
        <w:numPr>
          <w:ilvl w:val="0"/>
          <w:numId w:val="8"/>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strengthen accountability mechanisms for the Law on Gender Equality; </w:t>
      </w:r>
    </w:p>
    <w:p w14:paraId="7DE421B0" w14:textId="77777777" w:rsidR="000E4587" w:rsidRPr="00E33CA0" w:rsidRDefault="00000000">
      <w:pPr>
        <w:pStyle w:val="ListParagraph"/>
        <w:numPr>
          <w:ilvl w:val="0"/>
          <w:numId w:val="8"/>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promote women’s access to technical and managerial positions within water utilities (current: under 20%); </w:t>
      </w:r>
    </w:p>
    <w:p w14:paraId="33ED5307" w14:textId="77777777" w:rsidR="000E4587" w:rsidRPr="00E33CA0" w:rsidRDefault="00000000">
      <w:pPr>
        <w:pStyle w:val="ListParagraph"/>
        <w:numPr>
          <w:ilvl w:val="0"/>
          <w:numId w:val="8"/>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 xml:space="preserve">address the employment gap between northern and southern regions; and </w:t>
      </w:r>
    </w:p>
    <w:p w14:paraId="3296F136" w14:textId="77777777" w:rsidR="000E4587" w:rsidRPr="00E33CA0" w:rsidRDefault="00000000">
      <w:pPr>
        <w:pStyle w:val="ListParagraph"/>
        <w:numPr>
          <w:ilvl w:val="0"/>
          <w:numId w:val="8"/>
        </w:num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integrate GBV risk assessment into water infrastructure planning, given the amplifying role of drought exposure.</w:t>
      </w:r>
    </w:p>
    <w:p w14:paraId="63B06AE6" w14:textId="77777777" w:rsidR="000E4587" w:rsidRPr="00E33CA0" w:rsidRDefault="000E4587">
      <w:pPr>
        <w:jc w:val="both"/>
        <w:rPr>
          <w:rFonts w:asciiTheme="minorHAnsi" w:hAnsiTheme="minorHAnsi" w:cstheme="minorHAnsi"/>
          <w:color w:val="000000" w:themeColor="text1"/>
          <w:sz w:val="22"/>
          <w:szCs w:val="22"/>
        </w:rPr>
      </w:pPr>
    </w:p>
    <w:p w14:paraId="63798952" w14:textId="77777777" w:rsidR="000E4587" w:rsidRPr="00E33CA0" w:rsidRDefault="00000000">
      <w:pPr>
        <w:pStyle w:val="Heading2"/>
        <w:spacing w:before="0" w:after="0"/>
        <w:jc w:val="both"/>
        <w:rPr>
          <w:rFonts w:asciiTheme="minorHAnsi" w:hAnsiTheme="minorHAnsi" w:cstheme="minorHAnsi"/>
          <w:sz w:val="22"/>
          <w:szCs w:val="22"/>
        </w:rPr>
      </w:pPr>
      <w:bookmarkStart w:id="52" w:name="_Toc231038149"/>
      <w:r w:rsidRPr="00E33CA0">
        <w:rPr>
          <w:rFonts w:asciiTheme="minorHAnsi" w:eastAsia="Arial" w:hAnsiTheme="minorHAnsi" w:cstheme="minorHAnsi"/>
          <w:b/>
          <w:bCs/>
          <w:color w:val="2E75B6"/>
          <w:sz w:val="22"/>
          <w:szCs w:val="22"/>
        </w:rPr>
        <w:t>9.3 Roadmap for DIKTAS II Gender Mainstreaming</w:t>
      </w:r>
      <w:bookmarkEnd w:id="52"/>
    </w:p>
    <w:p w14:paraId="48960134"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lang w:val="gsw-FR"/>
        </w:rPr>
      </w:pPr>
      <w:r w:rsidRPr="00E33CA0">
        <w:rPr>
          <w:rFonts w:asciiTheme="minorHAnsi" w:hAnsiTheme="minorHAnsi" w:cstheme="minorHAnsi"/>
          <w:b/>
          <w:bCs/>
          <w:color w:val="000000" w:themeColor="text1"/>
          <w:sz w:val="22"/>
          <w:szCs w:val="22"/>
          <w:lang w:val="gsw-FR"/>
        </w:rPr>
        <w:t xml:space="preserve">Immediate term (Year 1): </w:t>
      </w:r>
      <w:r w:rsidRPr="00E33CA0">
        <w:rPr>
          <w:rFonts w:asciiTheme="minorHAnsi" w:hAnsiTheme="minorHAnsi" w:cstheme="minorHAnsi"/>
          <w:color w:val="000000" w:themeColor="text1"/>
          <w:sz w:val="22"/>
          <w:szCs w:val="22"/>
          <w:lang w:val="gsw-FR"/>
        </w:rPr>
        <w:t>Establish baseline gender assessments for all participating water bodies; develop and disseminate harmonised gender-disaggregated data collection tools; conduct initial capacity building workshops; integrate gender considerations into all project planning processes; initiate safety audits of water collection points in rural Albania and BiH.</w:t>
      </w:r>
    </w:p>
    <w:p w14:paraId="3DB90FBE"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lang w:val="gsw-FR"/>
        </w:rPr>
      </w:pPr>
      <w:r w:rsidRPr="00E33CA0">
        <w:rPr>
          <w:rFonts w:asciiTheme="minorHAnsi" w:hAnsiTheme="minorHAnsi" w:cstheme="minorHAnsi"/>
          <w:b/>
          <w:bCs/>
          <w:color w:val="000000" w:themeColor="text1"/>
          <w:sz w:val="22"/>
          <w:szCs w:val="22"/>
          <w:lang w:val="gsw-FR"/>
        </w:rPr>
        <w:t xml:space="preserve">Medium term (Years 2–3): </w:t>
      </w:r>
      <w:r w:rsidRPr="00E33CA0">
        <w:rPr>
          <w:rFonts w:asciiTheme="minorHAnsi" w:hAnsiTheme="minorHAnsi" w:cstheme="minorHAnsi"/>
          <w:color w:val="000000" w:themeColor="text1"/>
          <w:sz w:val="22"/>
          <w:szCs w:val="22"/>
          <w:lang w:val="gsw-FR"/>
        </w:rPr>
        <w:t>Support development or strengthening of national action plans for gender equality in water governance; facilitate regional exchange of best practices; implement targeted interventions to increase women’s participation in technical careers; initiate baseline research on the water–GBV nexus; support Montenegro’s commissioning of a national time-use survey.</w:t>
      </w:r>
    </w:p>
    <w:p w14:paraId="7F9DBC6B" w14:textId="77777777" w:rsidR="000E4587" w:rsidRPr="00E33CA0" w:rsidRDefault="00000000">
      <w:pPr>
        <w:pStyle w:val="ListParagraph"/>
        <w:numPr>
          <w:ilvl w:val="0"/>
          <w:numId w:val="1"/>
        </w:numPr>
        <w:contextualSpacing w:val="0"/>
        <w:jc w:val="both"/>
        <w:rPr>
          <w:rFonts w:asciiTheme="minorHAnsi" w:hAnsiTheme="minorHAnsi" w:cstheme="minorHAnsi"/>
          <w:color w:val="000000" w:themeColor="text1"/>
          <w:sz w:val="22"/>
          <w:szCs w:val="22"/>
          <w:lang w:val="gsw-FR"/>
        </w:rPr>
      </w:pPr>
      <w:r w:rsidRPr="00E33CA0">
        <w:rPr>
          <w:rFonts w:asciiTheme="minorHAnsi" w:hAnsiTheme="minorHAnsi" w:cstheme="minorHAnsi"/>
          <w:b/>
          <w:bCs/>
          <w:color w:val="000000" w:themeColor="text1"/>
          <w:sz w:val="22"/>
          <w:szCs w:val="22"/>
          <w:lang w:val="gsw-FR"/>
        </w:rPr>
        <w:t xml:space="preserve">Longer term (Years 4–5 and beyond): </w:t>
      </w:r>
      <w:r w:rsidRPr="00E33CA0">
        <w:rPr>
          <w:rFonts w:asciiTheme="minorHAnsi" w:hAnsiTheme="minorHAnsi" w:cstheme="minorHAnsi"/>
          <w:color w:val="000000" w:themeColor="text1"/>
          <w:sz w:val="22"/>
          <w:szCs w:val="22"/>
          <w:lang w:val="gsw-FR"/>
        </w:rPr>
        <w:t>Support institutionalisation of gender mainstreaming mechanisms within permanent water governance structures; document and disseminate lessons learned; advocate for strengthened policy frameworks based on evidence generated; ensure gender considerations are integrated into transboundary water governance mechanisms across the Dinaric Karst region.</w:t>
      </w:r>
    </w:p>
    <w:p w14:paraId="61525140" w14:textId="77777777" w:rsidR="000E4587" w:rsidRPr="00E33CA0" w:rsidRDefault="00000000">
      <w:pPr>
        <w:jc w:val="both"/>
        <w:rPr>
          <w:rFonts w:asciiTheme="minorHAnsi" w:hAnsiTheme="minorHAnsi" w:cstheme="minorHAnsi"/>
          <w:color w:val="000000" w:themeColor="text1"/>
          <w:sz w:val="22"/>
          <w:szCs w:val="22"/>
          <w:lang w:val="gsw-FR"/>
        </w:rPr>
      </w:pPr>
      <w:r w:rsidRPr="00E33CA0">
        <w:rPr>
          <w:rFonts w:asciiTheme="minorHAnsi" w:hAnsiTheme="minorHAnsi" w:cstheme="minorHAnsi"/>
        </w:rPr>
        <w:br w:type="page"/>
      </w:r>
    </w:p>
    <w:p w14:paraId="2E03F22C"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53" w:name="_Toc231038150"/>
      <w:r w:rsidRPr="00E33CA0">
        <w:rPr>
          <w:rFonts w:asciiTheme="minorHAnsi" w:eastAsia="Arial" w:hAnsiTheme="minorHAnsi" w:cstheme="minorHAnsi"/>
          <w:b/>
          <w:bCs/>
          <w:color w:val="1F4E79"/>
          <w:sz w:val="22"/>
          <w:szCs w:val="22"/>
        </w:rPr>
        <w:lastRenderedPageBreak/>
        <w:t>ANNEXES</w:t>
      </w:r>
      <w:bookmarkEnd w:id="53"/>
    </w:p>
    <w:p w14:paraId="686E475E" w14:textId="77777777" w:rsidR="000E4587" w:rsidRPr="00E33CA0" w:rsidRDefault="00000000">
      <w:pPr>
        <w:pStyle w:val="Heading2"/>
        <w:spacing w:before="0" w:after="0"/>
        <w:jc w:val="both"/>
        <w:rPr>
          <w:rFonts w:asciiTheme="minorHAnsi" w:hAnsiTheme="minorHAnsi" w:cstheme="minorHAnsi"/>
          <w:sz w:val="22"/>
          <w:szCs w:val="22"/>
        </w:rPr>
      </w:pPr>
      <w:bookmarkStart w:id="54" w:name="_Toc231038151"/>
      <w:r w:rsidRPr="00E33CA0">
        <w:rPr>
          <w:rFonts w:asciiTheme="minorHAnsi" w:eastAsia="Arial" w:hAnsiTheme="minorHAnsi" w:cstheme="minorHAnsi"/>
          <w:b/>
          <w:bCs/>
          <w:color w:val="2E75B6"/>
          <w:sz w:val="22"/>
          <w:szCs w:val="22"/>
        </w:rPr>
        <w:t>Annex A: Country Profile Summaries</w:t>
      </w:r>
      <w:bookmarkEnd w:id="54"/>
    </w:p>
    <w:p w14:paraId="69B4C2A1" w14:textId="77777777" w:rsidR="000E4587" w:rsidRPr="00E33CA0" w:rsidRDefault="00000000">
      <w:pPr>
        <w:pStyle w:val="Heading3"/>
        <w:shd w:val="clear" w:color="auto" w:fill="2F5496" w:themeFill="accent1" w:themeFillShade="BF"/>
        <w:spacing w:before="0" w:after="0"/>
        <w:jc w:val="both"/>
        <w:rPr>
          <w:rFonts w:asciiTheme="minorHAnsi" w:hAnsiTheme="minorHAnsi" w:cstheme="minorHAnsi"/>
          <w:color w:val="FFFFFF" w:themeColor="background1"/>
          <w:sz w:val="22"/>
          <w:szCs w:val="22"/>
        </w:rPr>
      </w:pPr>
      <w:bookmarkStart w:id="55" w:name="_Toc231038152"/>
      <w:r w:rsidRPr="00E33CA0">
        <w:rPr>
          <w:rFonts w:asciiTheme="minorHAnsi" w:eastAsia="Arial" w:hAnsiTheme="minorHAnsi" w:cstheme="minorHAnsi"/>
          <w:b/>
          <w:bCs/>
          <w:color w:val="FFFFFF" w:themeColor="background1"/>
          <w:sz w:val="22"/>
          <w:szCs w:val="22"/>
        </w:rPr>
        <w:t>A.1 Albania Country Profile</w:t>
      </w:r>
      <w:bookmarkEnd w:id="55"/>
    </w:p>
    <w:p w14:paraId="569B8064"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Population and Demographics: </w:t>
      </w:r>
      <w:r w:rsidRPr="00E33CA0">
        <w:rPr>
          <w:rFonts w:asciiTheme="minorHAnsi" w:hAnsiTheme="minorHAnsi" w:cstheme="minorHAnsi"/>
          <w:color w:val="000000" w:themeColor="text1"/>
          <w:sz w:val="22"/>
          <w:szCs w:val="22"/>
        </w:rPr>
        <w:t>Albania’s population stands at approximately 2.4 million (2023 Census; INSTAT, 2023), representing a decline of approximately 420,000 since 2011. Women constitute 50.4% of the population. Life expectancy is 78 years for males and 82 years for females (WHO, 2024). The total fertility rate is 1.32 children per woman (INSTAT, 2023).</w:t>
      </w:r>
    </w:p>
    <w:p w14:paraId="2699575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Gender Parity Index: </w:t>
      </w:r>
      <w:r w:rsidRPr="00E33CA0">
        <w:rPr>
          <w:rFonts w:asciiTheme="minorHAnsi" w:hAnsiTheme="minorHAnsi" w:cstheme="minorHAnsi"/>
          <w:color w:val="000000" w:themeColor="text1"/>
          <w:sz w:val="22"/>
          <w:szCs w:val="22"/>
        </w:rPr>
        <w:t>Primary school enrolment GPI: 1.018 (2021; UNESCO UIS via World Bank, 2023). Secondary school enrolment GPI: 1.031 (2021; UNESCO UIS via World Bank, 2023). Female labour force participation rate: 57.95% (2023; World Bank/INSTAT). WEF Global Gender Gap Index 2024 score: 0.780 (Rank 24/146; WEF, 2024).</w:t>
      </w:r>
    </w:p>
    <w:p w14:paraId="63B97F3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Legal Framework: </w:t>
      </w:r>
      <w:r w:rsidRPr="00E33CA0">
        <w:rPr>
          <w:rFonts w:asciiTheme="minorHAnsi" w:hAnsiTheme="minorHAnsi" w:cstheme="minorHAnsi"/>
          <w:color w:val="000000" w:themeColor="text1"/>
          <w:sz w:val="22"/>
          <w:szCs w:val="22"/>
        </w:rPr>
        <w:t>Albania ratified CEDAW in 1994. The Law on Gender Equality (2008) provides protection from gender-based discrimination and establishes a 30% minimum gender representation principle for public institutions. The National Strategy for Gender Equality 2021–2030 guides national efforts.</w:t>
      </w:r>
    </w:p>
    <w:p w14:paraId="5E5291E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Key Gender Indicators: </w:t>
      </w:r>
      <w:r w:rsidRPr="00E33CA0">
        <w:rPr>
          <w:rFonts w:asciiTheme="minorHAnsi" w:hAnsiTheme="minorHAnsi" w:cstheme="minorHAnsi"/>
          <w:color w:val="000000" w:themeColor="text1"/>
          <w:sz w:val="22"/>
          <w:szCs w:val="22"/>
        </w:rPr>
        <w:t>Women hold 35% of parliamentary seats (May 2025; IPU) and 44.4% of cabinet positions (September 2025; Government of Albania). In water utilities, women represent 10–40% of staff (2021; Water Sector Gender Assessment), concentrated in administrative roles. Only 8% of women own land (INSTAT, 2023). The gender pay gap is 6.6% (2021; UNDP Albania). Women spend 24.7% of their time on unpaid care work compared to 3.5% for men (2010–2011; INSTAT Time Use Survey). GBV lifetime prevalence: 52.9% (INSTAT/UN Women/UNDP, 2019).</w:t>
      </w:r>
    </w:p>
    <w:p w14:paraId="20B385B0" w14:textId="77777777" w:rsidR="000E4587" w:rsidRPr="00E33CA0" w:rsidRDefault="000E4587">
      <w:pPr>
        <w:jc w:val="both"/>
        <w:rPr>
          <w:rFonts w:asciiTheme="minorHAnsi" w:hAnsiTheme="minorHAnsi" w:cstheme="minorHAnsi"/>
          <w:color w:val="000000" w:themeColor="text1"/>
          <w:sz w:val="22"/>
          <w:szCs w:val="22"/>
        </w:rPr>
      </w:pPr>
    </w:p>
    <w:p w14:paraId="221C6AB6" w14:textId="77777777" w:rsidR="000E4587" w:rsidRPr="00E33CA0" w:rsidRDefault="00000000">
      <w:pPr>
        <w:pStyle w:val="Heading3"/>
        <w:shd w:val="clear" w:color="auto" w:fill="2F5496" w:themeFill="accent1" w:themeFillShade="BF"/>
        <w:spacing w:before="0" w:after="0"/>
        <w:jc w:val="both"/>
        <w:rPr>
          <w:rFonts w:asciiTheme="minorHAnsi" w:hAnsiTheme="minorHAnsi" w:cstheme="minorHAnsi"/>
          <w:color w:val="FFFFFF" w:themeColor="background1"/>
          <w:sz w:val="22"/>
          <w:szCs w:val="22"/>
        </w:rPr>
      </w:pPr>
      <w:bookmarkStart w:id="56" w:name="_Toc231038153"/>
      <w:r w:rsidRPr="00E33CA0">
        <w:rPr>
          <w:rFonts w:asciiTheme="minorHAnsi" w:eastAsia="Arial" w:hAnsiTheme="minorHAnsi" w:cstheme="minorHAnsi"/>
          <w:b/>
          <w:bCs/>
          <w:color w:val="FFFFFF" w:themeColor="background1"/>
          <w:sz w:val="22"/>
          <w:szCs w:val="22"/>
        </w:rPr>
        <w:t>A.2 Bosnia and Herzegovina Country Profile</w:t>
      </w:r>
      <w:bookmarkEnd w:id="56"/>
    </w:p>
    <w:p w14:paraId="37367D5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Population and Demographics: </w:t>
      </w:r>
      <w:r w:rsidRPr="00E33CA0">
        <w:rPr>
          <w:rFonts w:asciiTheme="minorHAnsi" w:hAnsiTheme="minorHAnsi" w:cstheme="minorHAnsi"/>
          <w:color w:val="000000" w:themeColor="text1"/>
          <w:sz w:val="22"/>
          <w:szCs w:val="22"/>
        </w:rPr>
        <w:t>The population is estimated at 3.27 million (2025; BHAS), with women comprising more than 50%. Life expectancy is 75.02 years for males and 81.15 years for females (WHO, 2024). Adult literacy rates are 99.4% for males and 97.1% for females (BHAS, 2022).</w:t>
      </w:r>
    </w:p>
    <w:p w14:paraId="407264EB"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Gender Parity Index: </w:t>
      </w:r>
      <w:r w:rsidRPr="00E33CA0">
        <w:rPr>
          <w:rFonts w:asciiTheme="minorHAnsi" w:hAnsiTheme="minorHAnsi" w:cstheme="minorHAnsi"/>
          <w:color w:val="000000" w:themeColor="text1"/>
          <w:sz w:val="22"/>
          <w:szCs w:val="22"/>
        </w:rPr>
        <w:t>Education sub-index score: 0.992 (WEF Global Gender Gap Report, 2024). Female labour force participation rate: below 55% (2023; BHAS). WEF Global Gender Gap Index 2024 score: 0.710 (Rank 80/146; WEF, 2024). GBV lifetime prevalence: approximately 48% (OSCE, 2019).</w:t>
      </w:r>
    </w:p>
    <w:p w14:paraId="7F9652B3"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Key Gender Indicators: </w:t>
      </w:r>
      <w:r w:rsidRPr="00E33CA0">
        <w:rPr>
          <w:rFonts w:asciiTheme="minorHAnsi" w:hAnsiTheme="minorHAnsi" w:cstheme="minorHAnsi"/>
          <w:color w:val="000000" w:themeColor="text1"/>
          <w:sz w:val="22"/>
          <w:szCs w:val="22"/>
        </w:rPr>
        <w:t xml:space="preserve">Women hold only 19.1% of parliamentary seats despite a 40% electoral quota (2024; Equal Future Eurasia). The gender pay gap ranges from 22–24% (2023; BHAS). Women constitute 67% of total unpaid household assistants (2022; UN Women). </w:t>
      </w:r>
      <w:r w:rsidRPr="00E33CA0">
        <w:rPr>
          <w:rFonts w:asciiTheme="minorHAnsi" w:hAnsiTheme="minorHAnsi" w:cstheme="minorHAnsi"/>
          <w:color w:val="E0218A"/>
          <w:sz w:val="22"/>
          <w:szCs w:val="22"/>
        </w:rPr>
        <w:t>87%</w:t>
      </w:r>
      <w:r w:rsidRPr="00E33CA0">
        <w:rPr>
          <w:rFonts w:asciiTheme="minorHAnsi" w:hAnsiTheme="minorHAnsi" w:cstheme="minorHAnsi"/>
          <w:color w:val="000000" w:themeColor="text1"/>
          <w:sz w:val="22"/>
          <w:szCs w:val="22"/>
        </w:rPr>
        <w:t xml:space="preserve"> of the population has access to safely managed drinking water (2022; WHO/UNICEF JMP). Women’s GNI per capita is only 53.7% of men’s (2022; UN Women/BHAS).</w:t>
      </w:r>
    </w:p>
    <w:p w14:paraId="44EF9A3C" w14:textId="77777777" w:rsidR="000E4587" w:rsidRPr="00E33CA0" w:rsidRDefault="000E4587">
      <w:pPr>
        <w:jc w:val="both"/>
        <w:rPr>
          <w:rFonts w:asciiTheme="minorHAnsi" w:hAnsiTheme="minorHAnsi" w:cstheme="minorHAnsi"/>
          <w:color w:val="000000" w:themeColor="text1"/>
          <w:sz w:val="22"/>
          <w:szCs w:val="22"/>
        </w:rPr>
      </w:pPr>
    </w:p>
    <w:p w14:paraId="36FCB75B" w14:textId="77777777" w:rsidR="000E4587" w:rsidRPr="00E33CA0" w:rsidRDefault="00000000">
      <w:pPr>
        <w:pStyle w:val="Heading3"/>
        <w:shd w:val="clear" w:color="auto" w:fill="2F5496" w:themeFill="accent1" w:themeFillShade="BF"/>
        <w:spacing w:before="0" w:after="0"/>
        <w:jc w:val="both"/>
        <w:rPr>
          <w:rFonts w:asciiTheme="minorHAnsi" w:hAnsiTheme="minorHAnsi" w:cstheme="minorHAnsi"/>
          <w:color w:val="FFFFFF" w:themeColor="background1"/>
          <w:sz w:val="22"/>
          <w:szCs w:val="22"/>
        </w:rPr>
      </w:pPr>
      <w:bookmarkStart w:id="57" w:name="_Toc231038154"/>
      <w:r w:rsidRPr="00E33CA0">
        <w:rPr>
          <w:rFonts w:asciiTheme="minorHAnsi" w:eastAsia="Arial" w:hAnsiTheme="minorHAnsi" w:cstheme="minorHAnsi"/>
          <w:b/>
          <w:bCs/>
          <w:color w:val="FFFFFF" w:themeColor="background1"/>
          <w:sz w:val="22"/>
          <w:szCs w:val="22"/>
        </w:rPr>
        <w:t>A.3 Croatia Country Profile</w:t>
      </w:r>
      <w:bookmarkEnd w:id="57"/>
    </w:p>
    <w:p w14:paraId="1812E37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Population and Demographics: </w:t>
      </w:r>
      <w:r w:rsidRPr="00E33CA0">
        <w:rPr>
          <w:rFonts w:asciiTheme="minorHAnsi" w:hAnsiTheme="minorHAnsi" w:cstheme="minorHAnsi"/>
          <w:color w:val="000000" w:themeColor="text1"/>
          <w:sz w:val="22"/>
          <w:szCs w:val="22"/>
        </w:rPr>
        <w:t>The 2021 Census recorded a population of 3.87 million (Croatian Bureau of Statistics, 2021), with women comprising 51.8%. Life expectancy is 75.4 years for males and 81.8 years for females (Eurostat, 2023). Women account for 59.9% of university graduates and 55.4% of PhD holders (CBS, 2021).</w:t>
      </w:r>
    </w:p>
    <w:p w14:paraId="27AC478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Gender Parity Index: </w:t>
      </w:r>
      <w:r w:rsidRPr="00E33CA0">
        <w:rPr>
          <w:rFonts w:asciiTheme="minorHAnsi" w:hAnsiTheme="minorHAnsi" w:cstheme="minorHAnsi"/>
          <w:color w:val="000000" w:themeColor="text1"/>
          <w:sz w:val="22"/>
          <w:szCs w:val="22"/>
        </w:rPr>
        <w:t>Education sub-index score: 0.998 (WEF, 2024). EIGE Gender Equality Index score: 60.7/100 (below EU average of 70.2; EIGE, 2024). WEF Global Gender Gap Index 2024 score: 0.723 (Rank 62/146; WEF, 2024). EIGE ‘Time’ domain score: 48.6/100 (largest gender gap in EU in unpaid care; EIGE, 2024). Female employment rate: 65.0% (fifth-lowest in EU; Eurostat, 2023).</w:t>
      </w:r>
    </w:p>
    <w:p w14:paraId="17411250"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Key Gender Indicators: </w:t>
      </w:r>
      <w:r w:rsidRPr="00E33CA0">
        <w:rPr>
          <w:rFonts w:asciiTheme="minorHAnsi" w:hAnsiTheme="minorHAnsi" w:cstheme="minorHAnsi"/>
          <w:color w:val="000000" w:themeColor="text1"/>
          <w:sz w:val="22"/>
          <w:szCs w:val="22"/>
        </w:rPr>
        <w:t xml:space="preserve">Women comprise 46.8% of Croatian Waters staff (2025; Croatian Waters) but hold 0% of General Director/Deputy positions. Women hold 33.1% of parliamentary seats (2024; IPU). </w:t>
      </w:r>
      <w:r w:rsidRPr="00E33CA0">
        <w:rPr>
          <w:rFonts w:asciiTheme="minorHAnsi" w:hAnsiTheme="minorHAnsi" w:cstheme="minorHAnsi"/>
          <w:color w:val="000000" w:themeColor="text1"/>
          <w:sz w:val="22"/>
          <w:szCs w:val="22"/>
        </w:rPr>
        <w:lastRenderedPageBreak/>
        <w:t>Gender wage gap: 11.1% (2023; Eurostat). Gender pension gap: 24.8% (2023; Eurostat). GBV lifetime prevalence: 25.3% (FRA/EU-GBV Survey, 2024).</w:t>
      </w:r>
    </w:p>
    <w:p w14:paraId="36683BBD" w14:textId="77777777" w:rsidR="000E4587" w:rsidRPr="00E33CA0" w:rsidRDefault="00000000">
      <w:pPr>
        <w:pStyle w:val="Heading3"/>
        <w:shd w:val="clear" w:color="auto" w:fill="2F5496" w:themeFill="accent1" w:themeFillShade="BF"/>
        <w:spacing w:before="0" w:after="0"/>
        <w:jc w:val="both"/>
        <w:rPr>
          <w:rFonts w:asciiTheme="minorHAnsi" w:hAnsiTheme="minorHAnsi" w:cstheme="minorHAnsi"/>
          <w:color w:val="FFFFFF" w:themeColor="background1"/>
          <w:sz w:val="22"/>
          <w:szCs w:val="22"/>
        </w:rPr>
      </w:pPr>
      <w:bookmarkStart w:id="58" w:name="_Toc231038155"/>
      <w:r w:rsidRPr="00E33CA0">
        <w:rPr>
          <w:rFonts w:asciiTheme="minorHAnsi" w:eastAsia="Arial" w:hAnsiTheme="minorHAnsi" w:cstheme="minorHAnsi"/>
          <w:b/>
          <w:bCs/>
          <w:color w:val="FFFFFF" w:themeColor="background1"/>
          <w:sz w:val="22"/>
          <w:szCs w:val="22"/>
        </w:rPr>
        <w:t>A.4 Montenegro Country Profile</w:t>
      </w:r>
      <w:bookmarkEnd w:id="58"/>
    </w:p>
    <w:p w14:paraId="57C88FB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Population and Demographics: </w:t>
      </w:r>
      <w:r w:rsidRPr="00E33CA0">
        <w:rPr>
          <w:rFonts w:asciiTheme="minorHAnsi" w:hAnsiTheme="minorHAnsi" w:cstheme="minorHAnsi"/>
          <w:color w:val="000000" w:themeColor="text1"/>
          <w:sz w:val="22"/>
          <w:szCs w:val="22"/>
        </w:rPr>
        <w:t>The 2023 Census recorded a population of 623,633 (MONSTAT, 2023). Life expectancy is 75.32 years for males and 80.27 years for females (WHO, 2024). The total fertility rate is 1.81 children per woman (MONSTAT, 2023).</w:t>
      </w:r>
    </w:p>
    <w:p w14:paraId="443F037A"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Gender Parity Index: </w:t>
      </w:r>
      <w:r w:rsidRPr="00E33CA0">
        <w:rPr>
          <w:rFonts w:asciiTheme="minorHAnsi" w:hAnsiTheme="minorHAnsi" w:cstheme="minorHAnsi"/>
          <w:color w:val="000000" w:themeColor="text1"/>
          <w:sz w:val="22"/>
          <w:szCs w:val="22"/>
        </w:rPr>
        <w:t>Primary and lower-secondary GPI: 1.007 (2019; UNESCO UIS via World Bank, 2023). Upper-secondary GPI: 1.022 (2019; UNESCO UIS via World Bank, 2023). Female labour force participation rate: below 55% (2023; MONSTAT). WEF Global Gender Gap Index 2024 score: 0.718 (Rank 67/146; WEF, 2024). EIGE pilot Gender Equality Index score: 59.3/100 (2023; EIGE). No national time-use survey conducted.</w:t>
      </w:r>
    </w:p>
    <w:p w14:paraId="4075338A"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t xml:space="preserve">Key Gender Indicators: </w:t>
      </w:r>
      <w:r w:rsidRPr="00E33CA0">
        <w:rPr>
          <w:rFonts w:asciiTheme="minorHAnsi" w:hAnsiTheme="minorHAnsi" w:cstheme="minorHAnsi"/>
          <w:color w:val="000000" w:themeColor="text1"/>
          <w:sz w:val="22"/>
          <w:szCs w:val="22"/>
        </w:rPr>
        <w:t>Women hold 27.2% of parliamentary seats (2023; IPU). Women’s contribution to GDP: 44% compared with 56% for men (2020; UNDP Montenegro). Women constitute 73% of family workers but only 24% of the self-employed (2025; UN Montenegro/MONSTAT). Only 13% of family farm holders are women (UN Montenegro, 2025). Women represent under 20% of water sector workers (2019; World Bank). GBV lifetime prevalence: 20.2% (MONSTAT EU-GBV Survey, 2021).</w:t>
      </w:r>
    </w:p>
    <w:p w14:paraId="6B471543" w14:textId="77777777" w:rsidR="000E4587" w:rsidRPr="00E33CA0" w:rsidRDefault="000E4587">
      <w:pPr>
        <w:jc w:val="both"/>
        <w:rPr>
          <w:rFonts w:asciiTheme="minorHAnsi" w:hAnsiTheme="minorHAnsi" w:cstheme="minorHAnsi"/>
          <w:color w:val="000000" w:themeColor="text1"/>
          <w:sz w:val="22"/>
          <w:szCs w:val="22"/>
        </w:rPr>
      </w:pPr>
    </w:p>
    <w:p w14:paraId="2107AD45" w14:textId="77777777" w:rsidR="000E4587" w:rsidRPr="00E33CA0" w:rsidRDefault="00000000">
      <w:pPr>
        <w:pStyle w:val="Heading2"/>
        <w:spacing w:before="0" w:after="0"/>
        <w:jc w:val="both"/>
        <w:rPr>
          <w:rFonts w:asciiTheme="minorHAnsi" w:hAnsiTheme="minorHAnsi" w:cstheme="minorHAnsi"/>
          <w:sz w:val="22"/>
          <w:szCs w:val="22"/>
        </w:rPr>
      </w:pPr>
      <w:bookmarkStart w:id="59" w:name="_Toc231038156"/>
      <w:r w:rsidRPr="00E33CA0">
        <w:rPr>
          <w:rFonts w:asciiTheme="minorHAnsi" w:eastAsia="Arial" w:hAnsiTheme="minorHAnsi" w:cstheme="minorHAnsi"/>
          <w:b/>
          <w:bCs/>
          <w:color w:val="2E75B6"/>
          <w:sz w:val="22"/>
          <w:szCs w:val="22"/>
        </w:rPr>
        <w:t>Annex B: Stakeholder Mapping</w:t>
      </w:r>
      <w:bookmarkEnd w:id="59"/>
    </w:p>
    <w:p w14:paraId="3E8EE258" w14:textId="77777777" w:rsidR="000E4587" w:rsidRPr="00E33CA0" w:rsidRDefault="00000000">
      <w:pPr>
        <w:pStyle w:val="Heading3"/>
        <w:spacing w:before="0" w:after="0"/>
        <w:jc w:val="both"/>
        <w:rPr>
          <w:rFonts w:asciiTheme="minorHAnsi" w:eastAsia="Arial" w:hAnsiTheme="minorHAnsi" w:cstheme="minorHAnsi"/>
          <w:b/>
          <w:bCs/>
          <w:color w:val="404040"/>
          <w:sz w:val="22"/>
          <w:szCs w:val="22"/>
        </w:rPr>
      </w:pPr>
      <w:bookmarkStart w:id="60" w:name="_Toc231038157"/>
      <w:r w:rsidRPr="00E33CA0">
        <w:rPr>
          <w:rFonts w:asciiTheme="minorHAnsi" w:eastAsia="Arial" w:hAnsiTheme="minorHAnsi" w:cstheme="minorHAnsi"/>
          <w:b/>
          <w:bCs/>
          <w:color w:val="404040"/>
          <w:sz w:val="22"/>
          <w:szCs w:val="22"/>
        </w:rPr>
        <w:t>B.1 Governmental Institutions</w:t>
      </w:r>
      <w:bookmarkEnd w:id="60"/>
    </w:p>
    <w:p w14:paraId="0A8E1F3E" w14:textId="77777777" w:rsidR="000E4587" w:rsidRPr="00E33CA0" w:rsidRDefault="000E4587">
      <w:pPr>
        <w:rPr>
          <w:rFonts w:asciiTheme="minorHAnsi" w:hAnsiTheme="minorHAnsi" w:cstheme="minorHAnsi"/>
        </w:rPr>
      </w:pPr>
    </w:p>
    <w:tbl>
      <w:tblPr>
        <w:tblW w:w="8150" w:type="dxa"/>
        <w:jc w:val="center"/>
        <w:tblLayout w:type="fixed"/>
        <w:tblCellMar>
          <w:top w:w="80" w:type="dxa"/>
          <w:left w:w="130" w:type="dxa"/>
          <w:bottom w:w="80" w:type="dxa"/>
          <w:right w:w="130" w:type="dxa"/>
        </w:tblCellMar>
        <w:tblLook w:val="04A0" w:firstRow="1" w:lastRow="0" w:firstColumn="1" w:lastColumn="0" w:noHBand="0" w:noVBand="1"/>
      </w:tblPr>
      <w:tblGrid>
        <w:gridCol w:w="2200"/>
        <w:gridCol w:w="2000"/>
        <w:gridCol w:w="2000"/>
        <w:gridCol w:w="1950"/>
      </w:tblGrid>
      <w:tr w:rsidR="000E4587" w:rsidRPr="00E33CA0" w14:paraId="2A932E5A" w14:textId="77777777">
        <w:trPr>
          <w:tblHeader/>
          <w:jc w:val="center"/>
        </w:trPr>
        <w:tc>
          <w:tcPr>
            <w:tcW w:w="2199"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95135C3"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Country</w:t>
            </w:r>
          </w:p>
        </w:tc>
        <w:tc>
          <w:tcPr>
            <w:tcW w:w="200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B884213"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Water Governance Bodies</w:t>
            </w:r>
          </w:p>
        </w:tc>
        <w:tc>
          <w:tcPr>
            <w:tcW w:w="200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055B8A47"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Gender Equality Bodies</w:t>
            </w:r>
          </w:p>
        </w:tc>
        <w:tc>
          <w:tcPr>
            <w:tcW w:w="1950" w:type="dxa"/>
            <w:tcBorders>
              <w:top w:val="single" w:sz="2" w:space="0" w:color="BDD7EE"/>
              <w:left w:val="single" w:sz="2" w:space="0" w:color="BDD7EE"/>
              <w:bottom w:val="single" w:sz="2" w:space="0" w:color="BDD7EE"/>
              <w:right w:val="single" w:sz="2" w:space="0" w:color="BDD7EE"/>
            </w:tcBorders>
            <w:shd w:val="clear" w:color="auto" w:fill="1F4E79"/>
            <w:vAlign w:val="center"/>
          </w:tcPr>
          <w:p w14:paraId="23D48230" w14:textId="77777777" w:rsidR="000E4587" w:rsidRPr="00E33CA0" w:rsidRDefault="00000000">
            <w:pPr>
              <w:jc w:val="both"/>
              <w:rPr>
                <w:rFonts w:asciiTheme="minorHAnsi" w:hAnsiTheme="minorHAnsi" w:cstheme="minorHAnsi"/>
                <w:color w:val="FFFFFF" w:themeColor="background1"/>
                <w:sz w:val="22"/>
                <w:szCs w:val="22"/>
              </w:rPr>
            </w:pPr>
            <w:r w:rsidRPr="00E33CA0">
              <w:rPr>
                <w:rFonts w:asciiTheme="minorHAnsi" w:hAnsiTheme="minorHAnsi" w:cstheme="minorHAnsi"/>
                <w:b/>
                <w:bCs/>
                <w:color w:val="FFFFFF" w:themeColor="background1"/>
                <w:sz w:val="22"/>
                <w:szCs w:val="22"/>
              </w:rPr>
              <w:t>Primary Data Source</w:t>
            </w:r>
          </w:p>
        </w:tc>
      </w:tr>
      <w:tr w:rsidR="000E4587" w:rsidRPr="00E33CA0" w14:paraId="6FDFAC41" w14:textId="77777777">
        <w:trPr>
          <w:jc w:val="center"/>
        </w:trPr>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6B65EE09"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Albania</w:t>
            </w:r>
          </w:p>
        </w:tc>
        <w:tc>
          <w:tcPr>
            <w:tcW w:w="200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069CA14"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National Water Council; MARDWA; MIE</w:t>
            </w:r>
          </w:p>
        </w:tc>
        <w:tc>
          <w:tcPr>
            <w:tcW w:w="200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357A3004"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Ministry of Health and Social Protection; Gender Equality Agency</w:t>
            </w:r>
          </w:p>
        </w:tc>
        <w:tc>
          <w:tcPr>
            <w:tcW w:w="195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2B90DF9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INSTAT; EC Albania Progress Reports</w:t>
            </w:r>
          </w:p>
        </w:tc>
      </w:tr>
      <w:tr w:rsidR="000E4587" w:rsidRPr="00E33CA0" w14:paraId="5EEACCE4" w14:textId="77777777">
        <w:trPr>
          <w:jc w:val="center"/>
        </w:trPr>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72E01D1E"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Bosnia &amp; Herzegovina</w:t>
            </w:r>
          </w:p>
        </w:tc>
        <w:tc>
          <w:tcPr>
            <w:tcW w:w="200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AC9EA2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Entity Ministries (FBiH/RS); Water Agencies (Sava/Adriatic)</w:t>
            </w:r>
          </w:p>
        </w:tc>
        <w:tc>
          <w:tcPr>
            <w:tcW w:w="200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F27D2EC"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Gender Equality Agency of BiH; Entity Gender Centers</w:t>
            </w:r>
          </w:p>
        </w:tc>
        <w:tc>
          <w:tcPr>
            <w:tcW w:w="195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45D386E5"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BHAS; Agency for Gender Equality</w:t>
            </w:r>
          </w:p>
        </w:tc>
      </w:tr>
      <w:tr w:rsidR="000E4587" w:rsidRPr="00E33CA0" w14:paraId="5D28D475" w14:textId="77777777">
        <w:trPr>
          <w:jc w:val="center"/>
        </w:trPr>
        <w:tc>
          <w:tcPr>
            <w:tcW w:w="2199"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70C32E87"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Croatia</w:t>
            </w:r>
          </w:p>
        </w:tc>
        <w:tc>
          <w:tcPr>
            <w:tcW w:w="200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0ADCD9D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Ministry of Environmental Protection; Croatian Waters (Hrvatske vode)</w:t>
            </w:r>
          </w:p>
        </w:tc>
        <w:tc>
          <w:tcPr>
            <w:tcW w:w="200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559EF7FB"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Office for Gender Equality</w:t>
            </w:r>
            <w:r w:rsidRPr="00E33CA0">
              <w:rPr>
                <w:rFonts w:asciiTheme="minorHAnsi" w:hAnsiTheme="minorHAnsi" w:cstheme="minorHAnsi"/>
                <w:b/>
                <w:bCs/>
                <w:color w:val="7030A0"/>
              </w:rPr>
              <w:t xml:space="preserve"> </w:t>
            </w:r>
            <w:r w:rsidRPr="00E33CA0">
              <w:rPr>
                <w:rFonts w:asciiTheme="minorHAnsi" w:hAnsiTheme="minorHAnsi" w:cstheme="minorHAnsi"/>
                <w:b/>
                <w:bCs/>
                <w:color w:val="000000" w:themeColor="text1"/>
                <w:sz w:val="22"/>
                <w:szCs w:val="22"/>
              </w:rPr>
              <w:t>of the Government of the Republic of Croatia</w:t>
            </w:r>
            <w:r w:rsidRPr="00E33CA0">
              <w:rPr>
                <w:rFonts w:asciiTheme="minorHAnsi" w:hAnsiTheme="minorHAnsi" w:cstheme="minorHAnsi"/>
                <w:color w:val="000000" w:themeColor="text1"/>
                <w:sz w:val="22"/>
                <w:szCs w:val="22"/>
              </w:rPr>
              <w:t>; Ombudsperson for Gender Equality</w:t>
            </w:r>
          </w:p>
        </w:tc>
        <w:tc>
          <w:tcPr>
            <w:tcW w:w="1950" w:type="dxa"/>
            <w:tcBorders>
              <w:top w:val="single" w:sz="2" w:space="0" w:color="BDD7EE"/>
              <w:left w:val="single" w:sz="2" w:space="0" w:color="BDD7EE"/>
              <w:bottom w:val="single" w:sz="2" w:space="0" w:color="BDD7EE"/>
              <w:right w:val="single" w:sz="2" w:space="0" w:color="BDD7EE"/>
            </w:tcBorders>
            <w:shd w:val="clear" w:color="auto" w:fill="F7FBFF"/>
            <w:vAlign w:val="center"/>
          </w:tcPr>
          <w:p w14:paraId="4E9C4C52"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CBS; EIGE</w:t>
            </w:r>
          </w:p>
        </w:tc>
      </w:tr>
      <w:tr w:rsidR="000E4587" w:rsidRPr="00E33CA0" w14:paraId="4BBF9937" w14:textId="77777777">
        <w:trPr>
          <w:jc w:val="center"/>
        </w:trPr>
        <w:tc>
          <w:tcPr>
            <w:tcW w:w="2199"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026B7136"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Montenegro</w:t>
            </w:r>
          </w:p>
        </w:tc>
        <w:tc>
          <w:tcPr>
            <w:tcW w:w="200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6EE2DCE3"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Ministry of Agriculture; Ministry of Ecology; REGAGEN</w:t>
            </w:r>
          </w:p>
        </w:tc>
        <w:tc>
          <w:tcPr>
            <w:tcW w:w="200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1040DA1F"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Ministry for Human and Minority Rights; Gender Equality Department</w:t>
            </w:r>
          </w:p>
        </w:tc>
        <w:tc>
          <w:tcPr>
            <w:tcW w:w="1950" w:type="dxa"/>
            <w:tcBorders>
              <w:top w:val="single" w:sz="2" w:space="0" w:color="BDD7EE"/>
              <w:left w:val="single" w:sz="2" w:space="0" w:color="BDD7EE"/>
              <w:bottom w:val="single" w:sz="2" w:space="0" w:color="BDD7EE"/>
              <w:right w:val="single" w:sz="2" w:space="0" w:color="BDD7EE"/>
            </w:tcBorders>
            <w:shd w:val="clear" w:color="auto" w:fill="FFFFFF"/>
            <w:vAlign w:val="center"/>
          </w:tcPr>
          <w:p w14:paraId="22FC7FCD"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MONSTAT; World Bank</w:t>
            </w:r>
          </w:p>
        </w:tc>
      </w:tr>
    </w:tbl>
    <w:p w14:paraId="1065A03C" w14:textId="77777777" w:rsidR="000E4587" w:rsidRPr="00E33CA0" w:rsidRDefault="000E4587">
      <w:pPr>
        <w:jc w:val="both"/>
        <w:rPr>
          <w:rFonts w:asciiTheme="minorHAnsi" w:hAnsiTheme="minorHAnsi" w:cstheme="minorHAnsi"/>
          <w:sz w:val="22"/>
          <w:szCs w:val="22"/>
        </w:rPr>
      </w:pPr>
    </w:p>
    <w:p w14:paraId="25C0DBB1" w14:textId="77777777" w:rsidR="000E4587" w:rsidRPr="00E33CA0" w:rsidRDefault="00000000">
      <w:pPr>
        <w:jc w:val="both"/>
        <w:rPr>
          <w:rFonts w:asciiTheme="minorHAnsi" w:hAnsiTheme="minorHAnsi" w:cstheme="minorHAnsi"/>
          <w:color w:val="000000" w:themeColor="text1"/>
          <w:sz w:val="22"/>
          <w:szCs w:val="22"/>
        </w:rPr>
      </w:pPr>
      <w:r w:rsidRPr="00E33CA0">
        <w:rPr>
          <w:rFonts w:asciiTheme="minorHAnsi" w:hAnsiTheme="minorHAnsi" w:cstheme="minorHAnsi"/>
          <w:b/>
          <w:bCs/>
          <w:color w:val="000000" w:themeColor="text1"/>
          <w:sz w:val="22"/>
          <w:szCs w:val="22"/>
        </w:rPr>
        <w:lastRenderedPageBreak/>
        <w:t>B.2 International Partners</w:t>
      </w:r>
      <w:r w:rsidRPr="00E33CA0">
        <w:rPr>
          <w:rFonts w:asciiTheme="minorHAnsi" w:hAnsiTheme="minorHAnsi" w:cstheme="minorHAnsi"/>
          <w:color w:val="000000" w:themeColor="text1"/>
          <w:sz w:val="22"/>
          <w:szCs w:val="22"/>
        </w:rPr>
        <w:t>: Key international partners supporting gender equality and water governance include UN Women, UNDP, UNESCO, FAO, UNICEF, World Bank Group, GEF, OSCE Missions in each country, European Commission Delegations, EBRD, GIZ, and the Regional Cooperation Council (RCC).</w:t>
      </w:r>
    </w:p>
    <w:p w14:paraId="72B8CA1F" w14:textId="77777777" w:rsidR="000E4587" w:rsidRPr="00E33CA0" w:rsidRDefault="00000000">
      <w:pPr>
        <w:jc w:val="both"/>
        <w:rPr>
          <w:rFonts w:asciiTheme="minorHAnsi" w:hAnsiTheme="minorHAnsi" w:cstheme="minorHAnsi"/>
          <w:sz w:val="22"/>
          <w:szCs w:val="22"/>
        </w:rPr>
      </w:pPr>
      <w:r w:rsidRPr="00E33CA0">
        <w:rPr>
          <w:rFonts w:asciiTheme="minorHAnsi" w:hAnsiTheme="minorHAnsi" w:cstheme="minorHAnsi"/>
        </w:rPr>
        <w:br w:type="page"/>
      </w:r>
    </w:p>
    <w:p w14:paraId="362F09A3" w14:textId="77777777" w:rsidR="000E4587" w:rsidRPr="00E33CA0" w:rsidRDefault="00000000">
      <w:pPr>
        <w:pStyle w:val="Heading1"/>
        <w:pBdr>
          <w:bottom w:val="single" w:sz="8" w:space="4" w:color="2E75B6"/>
        </w:pBdr>
        <w:spacing w:before="0" w:after="0"/>
        <w:jc w:val="both"/>
        <w:rPr>
          <w:rFonts w:asciiTheme="minorHAnsi" w:hAnsiTheme="minorHAnsi" w:cstheme="minorHAnsi"/>
          <w:sz w:val="22"/>
          <w:szCs w:val="22"/>
        </w:rPr>
      </w:pPr>
      <w:bookmarkStart w:id="61" w:name="_Toc231038158"/>
      <w:r w:rsidRPr="00E33CA0">
        <w:rPr>
          <w:rFonts w:asciiTheme="minorHAnsi" w:eastAsia="Arial" w:hAnsiTheme="minorHAnsi" w:cstheme="minorHAnsi"/>
          <w:b/>
          <w:bCs/>
          <w:color w:val="1F4E79"/>
          <w:sz w:val="22"/>
          <w:szCs w:val="22"/>
        </w:rPr>
        <w:lastRenderedPageBreak/>
        <w:t>REFERENCES</w:t>
      </w:r>
      <w:bookmarkEnd w:id="61"/>
    </w:p>
    <w:p w14:paraId="45918E27" w14:textId="77777777" w:rsidR="000E4587" w:rsidRPr="00E33CA0" w:rsidRDefault="000E4587">
      <w:pPr>
        <w:jc w:val="both"/>
        <w:rPr>
          <w:rFonts w:asciiTheme="minorHAnsi" w:hAnsiTheme="minorHAnsi" w:cstheme="minorHAnsi"/>
          <w:sz w:val="22"/>
          <w:szCs w:val="22"/>
        </w:rPr>
      </w:pPr>
    </w:p>
    <w:p w14:paraId="7C074322"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Agency for Gender Equality of BiH. (2018). Gender statistics in Bosnia and Herzegovina. Sarajevo: Agency for Gender Equality of BiH.</w:t>
      </w:r>
    </w:p>
    <w:p w14:paraId="3DA76ECE"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Albanian Femicide Observatory / People's Advocate of Albania. (2024). Femicide report 2021–2023. Tirana: People’s Advocate (with UN Women Albania support).</w:t>
      </w:r>
    </w:p>
    <w:p w14:paraId="5B52ADA0"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BHAS (Agency for Statistics of Bosnia and Herzegovina). (2022). Women and men in Bosnia and Herzegovina 2022. Sarajevo: BHAS.</w:t>
      </w:r>
    </w:p>
    <w:p w14:paraId="0DDBB655"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Choudhary, N., et al. (2020). Household water access and intimate partner violence: Evidence from Nepal. Journal of Water and Health, 18(4), 560–573.</w:t>
      </w:r>
    </w:p>
    <w:p w14:paraId="40EEA13D"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Cole, T., et al. (2024). Water insecurity and gender-based violence in Indonesia: A mixed-methods study. Global Health: Science and Practice, 12(1), e2300189.</w:t>
      </w:r>
    </w:p>
    <w:p w14:paraId="1DAC6A25"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Council of Europe. (2005). Gender budgeting: Final report of the group of specialists on gender budgeting. Strasbourg: Council of Europe.</w:t>
      </w:r>
    </w:p>
    <w:p w14:paraId="7A70BDC4"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Council of Europe. (2011). Convention on preventing and combating violence against women and domestic violence (Istanbul Convention). Strasbourg: Council of Europe.</w:t>
      </w:r>
    </w:p>
    <w:p w14:paraId="522D0E79"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Council of Europe/GREVIO. (2022). Baseline evaluation report: Bosnia and Herzegovina. Strasbourg: GREVIO.</w:t>
      </w:r>
    </w:p>
    <w:p w14:paraId="259124FB"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Council of Europe/GREVIO. (2023). Evaluation report: Croatia. Strasbourg: GREVIO.</w:t>
      </w:r>
    </w:p>
    <w:p w14:paraId="4C446FAC"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Croatian Bureau of Statistics (CBS). (2021). Census of population, households and dwellings 2021. Zagreb: CBS.</w:t>
      </w:r>
    </w:p>
    <w:p w14:paraId="787D060D"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Croatian Waters (Hrvatske vode). (2023). Action plan for gender equality at Croatian Waters 2023–2026. Zagreb: Croatian Waters.</w:t>
      </w:r>
    </w:p>
    <w:p w14:paraId="6F5E287D"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Croatian Waters. (2025). Staff and management board composition data. Zagreb: Croatian Waters [Institutional data].</w:t>
      </w:r>
    </w:p>
    <w:p w14:paraId="0A4448B6"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DIKTAS II National Gender Analyses. (2025). National water sector gender analyses: Albania, Bosnia and Herzegovina, Croatia, and Montenegro (Output 6.2). DIKTAS II Project / UNESCO / GEF / UNDP.</w:t>
      </w:r>
    </w:p>
    <w:p w14:paraId="78A626FC"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DIKTAS II Research Document. (2026). Water sector governance and management, gender-based violence, and climate change impacts on women and girls: Evidence from Albania, Bosnia and Herzegovina, Croatia, and Montenegro. DIKTAS II Project, February 2026.</w:t>
      </w:r>
    </w:p>
    <w:p w14:paraId="19328C95"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EIGE (European Institute for Gender Equality). (2023). Gender equality index 2023: Croatia country profile. Vilnius: EIGE. https://eige.europa.eu/gender-equality-index/2023/country/HR</w:t>
      </w:r>
    </w:p>
    <w:p w14:paraId="4347ED7F"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EIGE. (2023). Montenegro gender equality index (pilot). Vilnius: EIGE.</w:t>
      </w:r>
    </w:p>
    <w:p w14:paraId="396EF1E9"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EIGE. (2024). Gender equality index 2024. Vilnius: EIGE. https://eige.europa.eu/gender-equality-index/2024</w:t>
      </w:r>
    </w:p>
    <w:p w14:paraId="70434A23"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Epstein, A., et al. (2020). Drought and intimate partner violence: Cross-national evidence from sub-Saharan Africa. Global Environmental Change, 63, 102065.</w:t>
      </w:r>
    </w:p>
    <w:p w14:paraId="60802064"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Equal Future Eurasia. (2024). Women’s representation in politics and public administration: Bosnia and Herzegovina. https://equalfuture-eurasia.org</w:t>
      </w:r>
    </w:p>
    <w:p w14:paraId="2E6789F3"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European Commission. (2025). Albania 2025 report (Commission Staff Working Document). Brussels: European Commission.</w:t>
      </w:r>
    </w:p>
    <w:p w14:paraId="5523FF26"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European Environment Agency (EEA). (2023). European drought observatory: 2022 drought assessment. Copenhagen: EEA.</w:t>
      </w:r>
    </w:p>
    <w:p w14:paraId="610046C5"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European Environment Agency. (2025). Economic losses and fatalities from weather- and climate-related extremes in Europe. Copenhagen: EEA.</w:t>
      </w:r>
    </w:p>
    <w:p w14:paraId="62A7D7F8"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lastRenderedPageBreak/>
        <w:t>Eurofound. (2022). European working conditions telephone survey 2021. Dublin: European Foundation for the Improvement of Living and Working Conditions.</w:t>
      </w:r>
    </w:p>
    <w:p w14:paraId="5C152E37"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FRA/Eurostat (European Union Agency for Fundamental Rights / Eurostat). (2024). EU gender-based violence survey (2021 data release). Luxembourg: Publications Office of the European Union.</w:t>
      </w:r>
    </w:p>
    <w:p w14:paraId="339AEE1D"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GIZ Albania. (2022). School WASH programme: Gender and sanitation findings. Tirana: GIZ.</w:t>
      </w:r>
    </w:p>
    <w:p w14:paraId="59ADAB38"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Global Survivors Fund. (2022). Reparations for survivors of conflict-related sexual violence in Bosnia and Herzegovina. Geneva: Global Survivors Fund.</w:t>
      </w:r>
    </w:p>
    <w:p w14:paraId="768E77A1"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Government of Albania. (2025). Cabinet composition, September 2025. Tirana: Government of Albania.</w:t>
      </w:r>
    </w:p>
    <w:p w14:paraId="52905818"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GWP (Global Water Partnership). (2000). Integrated water resources management (TAC Background Paper No. 4). Stockholm: GWP.</w:t>
      </w:r>
    </w:p>
    <w:p w14:paraId="06906D42"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Human Rights Watch. (2024). World report 2024: Bosnia and Herzegovina. New York: HRW.</w:t>
      </w:r>
    </w:p>
    <w:p w14:paraId="6DBC3CF6"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IMF. (2022). Albania: Selected issues. IMF Staff Country Reports, 2022(363). https://doi.org/10.5089/9798400221866.002</w:t>
      </w:r>
    </w:p>
    <w:p w14:paraId="697BAE36"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INSTAT (Institute of Statistics of Albania). (2011). Albanian time use survey 2010–2011. Tirana: INSTAT with UN Women.</w:t>
      </w:r>
    </w:p>
    <w:p w14:paraId="48D74FC4"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INSTAT. (2023). Population and housing census 2023: Preliminary results. Tirana: INSTAT.</w:t>
      </w:r>
    </w:p>
    <w:p w14:paraId="071BFF9A"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INSTAT / UN Women / UNDP Albania. (2019). National survey on violence against women and girls in Albania (2018 data). Tirana: INSTAT.</w:t>
      </w:r>
    </w:p>
    <w:p w14:paraId="582971EA"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Inter-Parliamentary Union (IPU). (2024–2025). Parline: Data on women in national parliaments. https://data.ipu.org</w:t>
      </w:r>
    </w:p>
    <w:p w14:paraId="4903F5F9"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Knez, M., et al. (2022). Climate change in the Western Balkans and EU Green Deal: Status, mitigation and challenges. Energy, Sustainability and Society, 12(1), Article 3. https://doi.org/10.1186/s13705-021-00328-y</w:t>
      </w:r>
    </w:p>
    <w:p w14:paraId="380034BD"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Mandarić, M., &amp; Hunjet, A. (2024). Gender disparities in pro-environmental attitudes: Implications for sustainable business practices in Croatia. Sustainability, 16(9), 3501.</w:t>
      </w:r>
    </w:p>
    <w:p w14:paraId="7AF403FC"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Ministry of Interior Croatia. (2021). Statistical report on domestic violence offences 2020. Zagreb: Ministry of Interior.</w:t>
      </w:r>
    </w:p>
    <w:p w14:paraId="7E49C5C4"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MONSTAT (Statistical Office of Montenegro). (2021). EU-methodology gender-based violence survey: Montenegro. Podgorica: MONSTAT.</w:t>
      </w:r>
    </w:p>
    <w:p w14:paraId="6F34EDB5"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MONSTAT. (2023). Census of population, households and dwellings 2023: Montenegro. Podgorica: MONSTAT.</w:t>
      </w:r>
    </w:p>
    <w:p w14:paraId="5C901C2F"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MONSTAT / UNICEF. (2018). Multiple indicator cluster survey (MICS): Montenegro 2018. Podgorica: MONSTAT.</w:t>
      </w:r>
    </w:p>
    <w:p w14:paraId="1F96126A"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Notre Dame Global Adaptation Initiative (ND-GAIN). (2023). ND-GAIN country index 2023. University of Notre Dame. https://gain.nd.edu</w:t>
      </w:r>
    </w:p>
    <w:p w14:paraId="5B4D3017"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OECD. (2023). A toolkit for gender-responsive water governance. Paris: OECD.</w:t>
      </w:r>
    </w:p>
    <w:p w14:paraId="3B3ADC6A"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OHCHR. (2024). CEDAW/C/MNE/CO/3: Concluding observations on the third periodic report of Montenegro. Geneva: UN Office of the High Commissioner for Human Rights.</w:t>
      </w:r>
    </w:p>
    <w:p w14:paraId="5C26A439"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Ombudsperson for Gender Equality of Croatia. (2021). Annual report 2020: Femicide data 2013–2020. Zagreb: Ombudsperson for Gender Equality.</w:t>
      </w:r>
    </w:p>
    <w:p w14:paraId="5177171E" w14:textId="77777777" w:rsidR="000E4587" w:rsidRPr="00E33CA0" w:rsidRDefault="00000000">
      <w:pPr>
        <w:ind w:left="720" w:hanging="720"/>
        <w:jc w:val="both"/>
        <w:rPr>
          <w:rFonts w:asciiTheme="minorHAnsi" w:hAnsiTheme="minorHAnsi" w:cstheme="minorHAnsi"/>
          <w:color w:val="000000" w:themeColor="text1"/>
          <w:sz w:val="22"/>
          <w:szCs w:val="22"/>
          <w:lang w:val="it-IT"/>
        </w:rPr>
      </w:pPr>
      <w:r w:rsidRPr="00E33CA0">
        <w:rPr>
          <w:rFonts w:asciiTheme="minorHAnsi" w:hAnsiTheme="minorHAnsi" w:cstheme="minorHAnsi"/>
          <w:color w:val="000000" w:themeColor="text1"/>
          <w:sz w:val="22"/>
          <w:szCs w:val="22"/>
        </w:rPr>
        <w:t xml:space="preserve">OSCE (Organization for Security and Co-operation in Europe). (2019). Survey on the well-being and safety of women: Western Balkans. </w:t>
      </w:r>
      <w:r w:rsidRPr="00E33CA0">
        <w:rPr>
          <w:rFonts w:asciiTheme="minorHAnsi" w:hAnsiTheme="minorHAnsi" w:cstheme="minorHAnsi"/>
          <w:color w:val="000000" w:themeColor="text1"/>
          <w:sz w:val="22"/>
          <w:szCs w:val="22"/>
          <w:lang w:val="it-IT"/>
        </w:rPr>
        <w:t>Vienna: OSCE Secretariat. https://www.osce.org/chairmanship/423557</w:t>
      </w:r>
    </w:p>
    <w:p w14:paraId="60BEAFC4" w14:textId="77777777" w:rsidR="000E4587" w:rsidRPr="00E33CA0" w:rsidRDefault="00000000">
      <w:pPr>
        <w:ind w:left="720" w:hanging="720"/>
        <w:jc w:val="both"/>
        <w:rPr>
          <w:rFonts w:asciiTheme="minorHAnsi" w:hAnsiTheme="minorHAnsi" w:cstheme="minorHAnsi"/>
          <w:color w:val="000000" w:themeColor="text1"/>
          <w:sz w:val="22"/>
          <w:szCs w:val="22"/>
          <w:lang w:val="it-IT"/>
        </w:rPr>
      </w:pPr>
      <w:r w:rsidRPr="00E33CA0">
        <w:rPr>
          <w:rFonts w:asciiTheme="minorHAnsi" w:hAnsiTheme="minorHAnsi" w:cstheme="minorHAnsi"/>
          <w:color w:val="000000" w:themeColor="text1"/>
          <w:sz w:val="22"/>
          <w:szCs w:val="22"/>
          <w:lang w:val="it-IT"/>
        </w:rPr>
        <w:t>OSCE Mission to BiH. (2019). Domestic violence in Bosnia and Herzegovina. Sarajevo: OSCE.</w:t>
      </w:r>
    </w:p>
    <w:p w14:paraId="0E69D231"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OSCE Mission to Montenegro. (2022). Survey on psychological violence against women in Montenegro. Podgorica: OSCE.</w:t>
      </w:r>
    </w:p>
    <w:p w14:paraId="0CB14911"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lastRenderedPageBreak/>
        <w:t>OSCE. (2023). Women, water management and conflict prevention, Phase III. Vienna: OSCE.</w:t>
      </w:r>
    </w:p>
    <w:p w14:paraId="084CCB8C"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People's Advocate of Albania / UN Women. (2024). Albanian femicide observatory report 2021–2023. Tirana: People's Advocate.</w:t>
      </w:r>
    </w:p>
    <w:p w14:paraId="05298072"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Regional Cooperation Council (RCC). (2021). Balkan barometer: Female empowerment index. Sarajevo: RCC.</w:t>
      </w:r>
    </w:p>
    <w:p w14:paraId="24314CF0"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Stevenson, E. G. J., et al. (2012). Water insecurity and domestic violence in Ethiopia. Global Health Action, 5(1), 15250.</w:t>
      </w:r>
    </w:p>
    <w:p w14:paraId="12615D85"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Tallman, P., et al. (2023). Water insecurity and violence against women: A systematic review. WIREs Water, 10(4), e1638. https://doi.org/10.1002/wat2.1638</w:t>
      </w:r>
    </w:p>
    <w:p w14:paraId="3C4D71FC"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Tallman, P., et al. (2025). Gender-based water violence: A new theoretical framework. Water Resources Research, 61(1), e2024WR036890.</w:t>
      </w:r>
    </w:p>
    <w:p w14:paraId="021AB302"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 Montenegro. (2025). Women and agriculture in Montenegro. Podgorica: United Nations Montenegro.</w:t>
      </w:r>
    </w:p>
    <w:p w14:paraId="5551FAC3"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 Women. (2020). Violence against women and girls: Facts and figures. New York: UN Women.</w:t>
      </w:r>
    </w:p>
    <w:p w14:paraId="450DFD08"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 Women. (2022). Bosnia and Herzegovina gender country profile. New York: UN Women. https://eca.unwomen.org</w:t>
      </w:r>
    </w:p>
    <w:p w14:paraId="44B105DB"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 Women &amp; UNEP-DHI. (2025). Policy brief: Gender equality in water governance (March 2025). New York: UN Women.</w:t>
      </w:r>
    </w:p>
    <w:p w14:paraId="563A7641"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 Women Albania. (2024). Agriculture and rural development gender mainstreaming guidance. Tirana: UN Women Albania.</w:t>
      </w:r>
    </w:p>
    <w:p w14:paraId="1BD77155"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 Women / Economic Institute Sarajevo. (2023). Baseline study on the care economy in Bosnia and Herzegovina (2022 data). Sarajevo: UN Women BiH.</w:t>
      </w:r>
    </w:p>
    <w:p w14:paraId="33239BED"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UNESCO / WWAP. (2024). Gender and water: Sex-disaggregated water data toolkit. Paris: UNESCO World Water Assessment Programme.</w:t>
      </w:r>
    </w:p>
    <w:p w14:paraId="7821A8F6"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UNDP Albania. (2019). National study on violence against women in Albania 2018. Tirana: UNDP.</w:t>
      </w:r>
    </w:p>
    <w:p w14:paraId="3E5BEBB7"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UNDP Montenegro. (2020). Women’s contribution to GDP in Montenegro. Podgorica: UNDP.</w:t>
      </w:r>
    </w:p>
    <w:p w14:paraId="676E992E"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UNDP Montenegro. (2022). Gender and employment in Montenegro: Regional disparities. Podgorica: UNDP.</w:t>
      </w:r>
    </w:p>
    <w:p w14:paraId="18F7616A"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UNDP Montenegro. (2024). Addressing gender-based violence: Cross-institutional cooperation and systemic response. Podgorica: UNDP.</w:t>
      </w:r>
    </w:p>
    <w:p w14:paraId="6560E1F8"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U.S. Department of State. (2023). Croatia 2023 country reports on human rights practices. Washington, DC: U.S. Department of State.</w:t>
      </w:r>
    </w:p>
    <w:p w14:paraId="50C9C55A"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Wang, X., et al. (2025). Drought and intimate partner violence: Cross-country evidence from 42 countries. Nature Climate Change, 15(1), 48–56.</w:t>
      </w:r>
    </w:p>
    <w:p w14:paraId="67A4FADD"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WEDC Knowledge. (2014). Gender and water utilities: Knowledge and practice. Loughborough: WEDC.</w:t>
      </w:r>
    </w:p>
    <w:p w14:paraId="3F38E313"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WEF (World Economic Forum). (2024). Global gender gap report 2024. Geneva: WEF. https://www.weforum.org/publications/global-gender-gap-report-2024</w:t>
      </w:r>
    </w:p>
    <w:p w14:paraId="046C343C"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WHO/UNICEF JMP (Joint Monitoring Programme). (2024). Progress on household drinking water, sanitation and hygiene 2000–2024. Geneva: WHO.</w:t>
      </w:r>
    </w:p>
    <w:p w14:paraId="461C9D97"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World Bank. (2017). The rising tide: A new look at water and gender. Washington, DC: World Bank Group. https://openknowledge.worldbank.org/handle/10986/26602</w:t>
      </w:r>
    </w:p>
    <w:p w14:paraId="52D681BF"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World Bank. (2018). Montenegro: IWRM country report. Washington, DC: World Bank.</w:t>
      </w:r>
    </w:p>
    <w:p w14:paraId="0A3C58B4"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World Bank. (2019). Women in water utilities: Removing barriers. Washington, DC: World Bank Group.</w:t>
      </w:r>
    </w:p>
    <w:p w14:paraId="48239C79"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World Bank. (2022). Albania: Water sector assessment. Washington, DC: World Bank.</w:t>
      </w:r>
    </w:p>
    <w:p w14:paraId="1936B8CF"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World Bank. (2022). Bosnia and Herzegovina: Water supply and sanitation assessment. Washington, DC: World Bank.</w:t>
      </w:r>
    </w:p>
    <w:p w14:paraId="635C916C"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lastRenderedPageBreak/>
        <w:t>World Bank. (2023). Croatia climate change country note. Washington, DC: World Bank.</w:t>
      </w:r>
    </w:p>
    <w:p w14:paraId="7143CD39"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World Bank. (2023). Western Balkans labour market brief. Washington, DC: World Bank.</w:t>
      </w:r>
    </w:p>
    <w:p w14:paraId="5125009D"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World Bank. (2024). Climate change development report: Western Balkans. Washington, DC: World Bank.</w:t>
      </w:r>
    </w:p>
    <w:p w14:paraId="13955916" w14:textId="77777777" w:rsidR="000E4587" w:rsidRPr="00E33CA0" w:rsidRDefault="00000000">
      <w:pPr>
        <w:ind w:left="720" w:hanging="720"/>
        <w:jc w:val="both"/>
        <w:rPr>
          <w:rFonts w:asciiTheme="minorHAnsi" w:hAnsiTheme="minorHAnsi" w:cstheme="minorHAnsi"/>
          <w:color w:val="000000" w:themeColor="text1"/>
          <w:sz w:val="22"/>
          <w:szCs w:val="22"/>
        </w:rPr>
      </w:pPr>
      <w:r w:rsidRPr="00E33CA0">
        <w:rPr>
          <w:rFonts w:asciiTheme="minorHAnsi" w:hAnsiTheme="minorHAnsi" w:cstheme="minorHAnsi"/>
          <w:color w:val="000000" w:themeColor="text1"/>
          <w:sz w:val="22"/>
          <w:szCs w:val="22"/>
        </w:rPr>
        <w:t>World Bank. (2024). Montenegro country gender assessment. Washington, DC: World Bank.</w:t>
      </w:r>
    </w:p>
    <w:p w14:paraId="6387507F" w14:textId="77777777" w:rsidR="000E4587" w:rsidRPr="00E33CA0" w:rsidRDefault="000E4587">
      <w:pPr>
        <w:jc w:val="both"/>
        <w:rPr>
          <w:rFonts w:asciiTheme="minorHAnsi" w:hAnsiTheme="minorHAnsi" w:cstheme="minorHAnsi"/>
          <w:sz w:val="22"/>
          <w:szCs w:val="22"/>
        </w:rPr>
      </w:pPr>
    </w:p>
    <w:p w14:paraId="5927F81E" w14:textId="77777777" w:rsidR="000E4587" w:rsidRPr="00E33CA0" w:rsidRDefault="000E4587">
      <w:pPr>
        <w:jc w:val="both"/>
        <w:rPr>
          <w:rFonts w:asciiTheme="minorHAnsi" w:hAnsiTheme="minorHAnsi" w:cstheme="minorHAnsi"/>
          <w:sz w:val="22"/>
          <w:szCs w:val="22"/>
        </w:rPr>
      </w:pPr>
    </w:p>
    <w:sectPr w:rsidR="000E4587" w:rsidRPr="00E33CA0">
      <w:headerReference w:type="default" r:id="rId11"/>
      <w:footerReference w:type="default" r:id="rId12"/>
      <w:pgSz w:w="12240" w:h="15840"/>
      <w:pgMar w:top="1440" w:right="1440" w:bottom="1440" w:left="1440" w:header="708"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47DC6" w14:textId="77777777" w:rsidR="00843730" w:rsidRDefault="00843730">
      <w:r>
        <w:separator/>
      </w:r>
    </w:p>
  </w:endnote>
  <w:endnote w:type="continuationSeparator" w:id="0">
    <w:p w14:paraId="489ECC09" w14:textId="77777777" w:rsidR="00843730" w:rsidRDefault="00843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F804" w14:textId="77777777" w:rsidR="000E4587" w:rsidRDefault="00000000">
    <w:pPr>
      <w:pBdr>
        <w:top w:val="single" w:sz="4" w:space="4" w:color="2E75B6"/>
      </w:pBdr>
      <w:tabs>
        <w:tab w:val="right" w:pos="8640"/>
      </w:tabs>
    </w:pPr>
    <w:r>
      <w:rPr>
        <w:color w:val="888888"/>
        <w:sz w:val="16"/>
        <w:szCs w:val="16"/>
      </w:rPr>
      <w:t>Albania | Bosnia and Herzegovina | Croatia | Montenegro | DIKTAS II / UNESCO / GEF / UNDP</w:t>
    </w:r>
    <w:r>
      <w:rPr>
        <w:color w:val="888888"/>
        <w:sz w:val="16"/>
        <w:szCs w:val="16"/>
      </w:rPr>
      <w:tab/>
      <w:t xml:space="preserve">Page </w:t>
    </w:r>
    <w:r>
      <w:rPr>
        <w:color w:val="888888"/>
        <w:sz w:val="16"/>
        <w:szCs w:val="16"/>
      </w:rPr>
      <w:fldChar w:fldCharType="begin"/>
    </w:r>
    <w:r>
      <w:rPr>
        <w:color w:val="888888"/>
        <w:sz w:val="16"/>
        <w:szCs w:val="16"/>
      </w:rPr>
      <w:instrText xml:space="preserve"> PAGE </w:instrText>
    </w:r>
    <w:r>
      <w:rPr>
        <w:color w:val="888888"/>
        <w:sz w:val="16"/>
        <w:szCs w:val="16"/>
      </w:rPr>
      <w:fldChar w:fldCharType="separate"/>
    </w:r>
    <w:r>
      <w:rPr>
        <w:color w:val="888888"/>
        <w:sz w:val="16"/>
        <w:szCs w:val="16"/>
      </w:rPr>
      <w:t>48</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3FAF9" w14:textId="77777777" w:rsidR="00843730" w:rsidRDefault="00843730">
      <w:pPr>
        <w:rPr>
          <w:sz w:val="12"/>
        </w:rPr>
      </w:pPr>
      <w:r>
        <w:separator/>
      </w:r>
    </w:p>
  </w:footnote>
  <w:footnote w:type="continuationSeparator" w:id="0">
    <w:p w14:paraId="0183F418" w14:textId="77777777" w:rsidR="00843730" w:rsidRDefault="00843730">
      <w:pPr>
        <w:rPr>
          <w:sz w:val="12"/>
        </w:rPr>
      </w:pPr>
      <w:r>
        <w:continuationSeparator/>
      </w:r>
    </w:p>
  </w:footnote>
  <w:footnote w:id="1">
    <w:p w14:paraId="3FEE13BE" w14:textId="77777777" w:rsidR="000E4587" w:rsidRDefault="00000000">
      <w:pPr>
        <w:jc w:val="both"/>
        <w:rPr>
          <w:rFonts w:asciiTheme="minorHAnsi" w:hAnsiTheme="minorHAnsi" w:cstheme="minorHAnsi"/>
          <w:sz w:val="18"/>
          <w:szCs w:val="18"/>
        </w:rPr>
      </w:pPr>
      <w:r>
        <w:rPr>
          <w:rStyle w:val="FootnoteCharacters"/>
        </w:rPr>
        <w:footnoteRef/>
      </w:r>
      <w:r>
        <w:rPr>
          <w:rFonts w:asciiTheme="minorHAnsi" w:hAnsiTheme="minorHAnsi" w:cstheme="minorHAnsi"/>
          <w:sz w:val="18"/>
          <w:szCs w:val="18"/>
        </w:rPr>
        <w:t xml:space="preserve">Gender Parity Index (GPI): A ratio of female-to-male values for a given indicator. GPI = 1 indicates parity; GPI &gt; 1 </w:t>
      </w:r>
      <w:proofErr w:type="spellStart"/>
      <w:r>
        <w:rPr>
          <w:rFonts w:asciiTheme="minorHAnsi" w:hAnsiTheme="minorHAnsi" w:cstheme="minorHAnsi"/>
          <w:sz w:val="18"/>
          <w:szCs w:val="18"/>
        </w:rPr>
        <w:t>favours</w:t>
      </w:r>
      <w:proofErr w:type="spellEnd"/>
      <w:r>
        <w:rPr>
          <w:rFonts w:asciiTheme="minorHAnsi" w:hAnsiTheme="minorHAnsi" w:cstheme="minorHAnsi"/>
          <w:sz w:val="18"/>
          <w:szCs w:val="18"/>
        </w:rPr>
        <w:t xml:space="preserve"> women; GPI &lt; 1 </w:t>
      </w:r>
      <w:proofErr w:type="spellStart"/>
      <w:r>
        <w:rPr>
          <w:rFonts w:asciiTheme="minorHAnsi" w:hAnsiTheme="minorHAnsi" w:cstheme="minorHAnsi"/>
          <w:sz w:val="18"/>
          <w:szCs w:val="18"/>
        </w:rPr>
        <w:t>favours</w:t>
      </w:r>
      <w:proofErr w:type="spellEnd"/>
      <w:r>
        <w:rPr>
          <w:rFonts w:asciiTheme="minorHAnsi" w:hAnsiTheme="minorHAnsi" w:cstheme="minorHAnsi"/>
          <w:sz w:val="18"/>
          <w:szCs w:val="18"/>
        </w:rPr>
        <w:t xml:space="preserve"> men. Source: UNESCO Institute for Statistics (UIS) methodology.</w:t>
      </w:r>
    </w:p>
  </w:footnote>
  <w:footnote w:id="2">
    <w:p w14:paraId="2B782C74" w14:textId="77777777" w:rsidR="000E4587" w:rsidRDefault="00000000">
      <w:pPr>
        <w:jc w:val="both"/>
        <w:rPr>
          <w:rFonts w:asciiTheme="minorHAnsi" w:hAnsiTheme="minorHAnsi" w:cstheme="minorHAnsi"/>
        </w:rPr>
      </w:pPr>
      <w:r>
        <w:rPr>
          <w:rStyle w:val="FootnoteCharacters"/>
        </w:rPr>
        <w:footnoteRef/>
      </w:r>
      <w:r>
        <w:rPr>
          <w:rFonts w:asciiTheme="minorHAnsi" w:hAnsiTheme="minorHAnsi" w:cstheme="minorHAnsi"/>
        </w:rPr>
        <w:t>Montenegro has never conducted a national time-use survey and has no published SDG Indicator 5.4.1 headline figure, representing a significant data gap in the region (MONSTAT, 2023).</w:t>
      </w:r>
    </w:p>
  </w:footnote>
  <w:footnote w:id="3">
    <w:p w14:paraId="3C4E1C1B" w14:textId="77777777" w:rsidR="000E4587" w:rsidRDefault="00000000">
      <w:pPr>
        <w:pStyle w:val="FootnoteText"/>
        <w:rPr>
          <w:lang w:val="sr-Latn-ME"/>
        </w:rPr>
      </w:pPr>
      <w:r>
        <w:rPr>
          <w:rStyle w:val="FootnoteCharacters"/>
        </w:rPr>
        <w:footnoteRef/>
      </w:r>
      <w:r>
        <w:t xml:space="preserve"> </w:t>
      </w:r>
      <w:r>
        <w:rPr>
          <w:sz w:val="16"/>
          <w:szCs w:val="16"/>
        </w:rPr>
        <w:t>Gender Equality Index measures the gender equality in the EU Member States across six domains: work, money, knowledge, time, power, and health.</w:t>
      </w:r>
      <w:r>
        <w:t xml:space="preserve"> </w:t>
      </w:r>
      <w:r>
        <w:rPr>
          <w:sz w:val="16"/>
          <w:szCs w:val="16"/>
        </w:rPr>
        <w:t>For Montenegro, the 2023 Gender Equality Index was calculated by MONSTAT in cooperation with EIGE, using the same methodology applied for EU Member States, which supports comparability with the EU Gender Equality Index, although Montenegro is not included in the regular EU Member State ranking</w:t>
      </w:r>
    </w:p>
  </w:footnote>
  <w:footnote w:id="4">
    <w:p w14:paraId="1B9919F8" w14:textId="77777777" w:rsidR="000E4587" w:rsidRDefault="00000000">
      <w:pPr>
        <w:jc w:val="both"/>
        <w:rPr>
          <w:rFonts w:asciiTheme="minorHAnsi" w:hAnsiTheme="minorHAnsi" w:cstheme="minorHAnsi"/>
        </w:rPr>
      </w:pPr>
      <w:r>
        <w:rPr>
          <w:rStyle w:val="FootnoteCharacters"/>
        </w:rPr>
        <w:footnoteRef/>
      </w:r>
      <w:r>
        <w:rPr>
          <w:rFonts w:asciiTheme="minorHAnsi" w:hAnsiTheme="minorHAnsi" w:cstheme="minorHAnsi"/>
          <w:sz w:val="18"/>
          <w:szCs w:val="18"/>
        </w:rPr>
        <w:t>Conflict-related sexual violence (CRSV): As of August 2023, 55 cases against 122 defendants were pending in Bosnian courts. Only two first-instance and two final judgments had been reached (Human Rights Watch, 2024).</w:t>
      </w:r>
    </w:p>
  </w:footnote>
  <w:footnote w:id="5">
    <w:p w14:paraId="5B85F09F" w14:textId="77777777" w:rsidR="000E4587" w:rsidRDefault="00000000">
      <w:pPr>
        <w:jc w:val="both"/>
        <w:rPr>
          <w:rFonts w:asciiTheme="minorHAnsi" w:hAnsiTheme="minorHAnsi" w:cstheme="minorHAnsi"/>
        </w:rPr>
      </w:pPr>
      <w:r>
        <w:rPr>
          <w:rStyle w:val="FootnoteCharacters"/>
        </w:rPr>
        <w:footnoteRef/>
      </w:r>
      <w:r>
        <w:rPr>
          <w:rFonts w:asciiTheme="minorHAnsi" w:hAnsiTheme="minorHAnsi" w:cstheme="minorHAnsi"/>
          <w:sz w:val="16"/>
          <w:szCs w:val="16"/>
        </w:rPr>
        <w:t>Data caveat: Direct comparison of GBV prevalence figures across countries requires caution. Albania data uses the INSTAT/UN Women/UNDP National Population Survey methodology (2018); BiH uses the OSCE Well-being and Safety survey (2019); Croatia uses the EU-GBV Survey (2021); Montenegro uses the MONSTAT EU-methodology survey (2021). Survey instruments, age ranges, and reference periods differ.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EC87D" w14:textId="77777777" w:rsidR="001B3EC1" w:rsidRDefault="00000000">
    <w:pPr>
      <w:spacing w:before="40" w:after="40"/>
    </w:pPr>
    <w:r>
      <w:rPr>
        <w:noProof/>
      </w:rPr>
      <w:drawing>
        <wp:inline distT="0" distB="0" distL="0" distR="0" wp14:anchorId="299C23D9" wp14:editId="6617F3BA">
          <wp:extent cx="857250" cy="476250"/>
          <wp:effectExtent l="0" t="0" r="0" b="0"/>
          <wp:docPr id="901" name="DIKT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DIKTAS logo"/>
                  <pic:cNvPicPr/>
                </pic:nvPicPr>
                <pic:blipFill>
                  <a:blip r:embed="rId1"/>
                  <a:stretch>
                    <a:fillRect/>
                  </a:stretch>
                </pic:blipFill>
                <pic:spPr>
                  <a:xfrm>
                    <a:off x="0" y="0"/>
                    <a:ext cx="857250" cy="476250"/>
                  </a:xfrm>
                  <a:prstGeom prst="rect">
                    <a:avLst/>
                  </a:prstGeom>
                </pic:spPr>
              </pic:pic>
            </a:graphicData>
          </a:graphic>
        </wp:inline>
      </w:drawing>
    </w:r>
  </w:p>
  <w:p w14:paraId="3C7E45CB" w14:textId="30E9F315" w:rsidR="000E4587" w:rsidRDefault="00000000">
    <w:pPr>
      <w:shd w:val="clear" w:color="auto" w:fill="1F4E79"/>
      <w:tabs>
        <w:tab w:val="right" w:pos="8640"/>
      </w:tabs>
      <w:spacing w:before="80" w:after="80"/>
      <w:ind w:left="180" w:right="180"/>
      <w:jc w:val="center"/>
      <w:rPr>
        <w:b/>
        <w:bCs/>
      </w:rPr>
    </w:pPr>
    <w:r>
      <w:rPr>
        <w:b/>
        <w:bCs/>
        <w:color w:val="FFFFFF"/>
      </w:rPr>
      <w:t>DIKTAS II – Output 6.2 | Regional Water Sector Gender Analysis |</w:t>
    </w:r>
    <w:r>
      <w:rPr>
        <w:b/>
        <w:bCs/>
        <w:color w:val="FFFFFF"/>
        <w:sz w:val="18"/>
        <w:szCs w:val="18"/>
      </w:rPr>
      <w:t xml:space="preserve"> </w:t>
    </w:r>
    <w:r w:rsidR="00982724">
      <w:rPr>
        <w:b/>
        <w:bCs/>
        <w:color w:val="FFFFFF"/>
        <w:sz w:val="18"/>
        <w:szCs w:val="18"/>
      </w:rPr>
      <w:t xml:space="preserve">May </w:t>
    </w:r>
    <w:r>
      <w:rPr>
        <w:b/>
        <w:bCs/>
        <w:color w:val="FFFFFF"/>
        <w:sz w:val="18"/>
        <w:szCs w:val="18"/>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D63A4"/>
    <w:multiLevelType w:val="multilevel"/>
    <w:tmpl w:val="BDB8EA76"/>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46605FB"/>
    <w:multiLevelType w:val="multilevel"/>
    <w:tmpl w:val="34BC9B4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F59255C"/>
    <w:multiLevelType w:val="multilevel"/>
    <w:tmpl w:val="C98EF1A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4CE07E7E"/>
    <w:multiLevelType w:val="multilevel"/>
    <w:tmpl w:val="E13EC7C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4FA07E57"/>
    <w:multiLevelType w:val="multilevel"/>
    <w:tmpl w:val="77F6939A"/>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57116C9E"/>
    <w:multiLevelType w:val="multilevel"/>
    <w:tmpl w:val="574EC27A"/>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58FB6C6A"/>
    <w:multiLevelType w:val="multilevel"/>
    <w:tmpl w:val="89B0ABB4"/>
    <w:lvl w:ilvl="0">
      <w:start w:val="1"/>
      <w:numFmt w:val="bullet"/>
      <w:lvlText w:val=""/>
      <w:lvlJc w:val="left"/>
      <w:pPr>
        <w:tabs>
          <w:tab w:val="num" w:pos="0"/>
        </w:tabs>
        <w:ind w:left="54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15:restartNumberingAfterBreak="0">
    <w:nsid w:val="74886292"/>
    <w:multiLevelType w:val="multilevel"/>
    <w:tmpl w:val="A5A8C0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7E52702D"/>
    <w:multiLevelType w:val="multilevel"/>
    <w:tmpl w:val="684C9364"/>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7F315677"/>
    <w:multiLevelType w:val="multilevel"/>
    <w:tmpl w:val="C75EE5A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506292886">
    <w:abstractNumId w:val="6"/>
  </w:num>
  <w:num w:numId="2" w16cid:durableId="564606381">
    <w:abstractNumId w:val="8"/>
  </w:num>
  <w:num w:numId="3" w16cid:durableId="855122738">
    <w:abstractNumId w:val="5"/>
  </w:num>
  <w:num w:numId="4" w16cid:durableId="1254129506">
    <w:abstractNumId w:val="9"/>
  </w:num>
  <w:num w:numId="5" w16cid:durableId="12926987">
    <w:abstractNumId w:val="1"/>
  </w:num>
  <w:num w:numId="6" w16cid:durableId="1731616170">
    <w:abstractNumId w:val="4"/>
  </w:num>
  <w:num w:numId="7" w16cid:durableId="503982752">
    <w:abstractNumId w:val="3"/>
  </w:num>
  <w:num w:numId="8" w16cid:durableId="1416169469">
    <w:abstractNumId w:val="2"/>
  </w:num>
  <w:num w:numId="9" w16cid:durableId="263156062">
    <w:abstractNumId w:val="0"/>
  </w:num>
  <w:num w:numId="10" w16cid:durableId="489516419">
    <w:abstractNumId w:val="7"/>
  </w:num>
  <w:num w:numId="11" w16cid:durableId="2055501403">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587"/>
    <w:rsid w:val="00085E3D"/>
    <w:rsid w:val="000E1740"/>
    <w:rsid w:val="000E4587"/>
    <w:rsid w:val="001B3EC1"/>
    <w:rsid w:val="001D1F87"/>
    <w:rsid w:val="00225095"/>
    <w:rsid w:val="002A535E"/>
    <w:rsid w:val="002A5CDB"/>
    <w:rsid w:val="00346317"/>
    <w:rsid w:val="00372C14"/>
    <w:rsid w:val="003A36C4"/>
    <w:rsid w:val="003F1826"/>
    <w:rsid w:val="00483C7F"/>
    <w:rsid w:val="004926A6"/>
    <w:rsid w:val="00496721"/>
    <w:rsid w:val="004A57BD"/>
    <w:rsid w:val="004D73FE"/>
    <w:rsid w:val="005004E3"/>
    <w:rsid w:val="00515A97"/>
    <w:rsid w:val="00517617"/>
    <w:rsid w:val="00550E0A"/>
    <w:rsid w:val="005A5190"/>
    <w:rsid w:val="005C3A5B"/>
    <w:rsid w:val="00741FAF"/>
    <w:rsid w:val="0075288D"/>
    <w:rsid w:val="007566F0"/>
    <w:rsid w:val="007C49E3"/>
    <w:rsid w:val="007C6DCE"/>
    <w:rsid w:val="007D7EB7"/>
    <w:rsid w:val="00826953"/>
    <w:rsid w:val="00843730"/>
    <w:rsid w:val="00850773"/>
    <w:rsid w:val="00886737"/>
    <w:rsid w:val="0091082B"/>
    <w:rsid w:val="00935B27"/>
    <w:rsid w:val="00982724"/>
    <w:rsid w:val="009C3C18"/>
    <w:rsid w:val="00A03739"/>
    <w:rsid w:val="00AA451D"/>
    <w:rsid w:val="00AC37C6"/>
    <w:rsid w:val="00BB5701"/>
    <w:rsid w:val="00C96976"/>
    <w:rsid w:val="00CB7CD8"/>
    <w:rsid w:val="00CE3B0A"/>
    <w:rsid w:val="00DD614C"/>
    <w:rsid w:val="00E143D4"/>
    <w:rsid w:val="00E33CA0"/>
    <w:rsid w:val="00E33FFB"/>
    <w:rsid w:val="00E6302F"/>
    <w:rsid w:val="00ED0B46"/>
    <w:rsid w:val="00EF58C1"/>
    <w:rsid w:val="00F54011"/>
    <w:rsid w:val="00F9631F"/>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9F29B"/>
  <w15:docId w15:val="{0FF9D6FF-D360-4C37-BA36-CA3E6624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741"/>
    <w:rPr>
      <w:rFonts w:ascii="Arial" w:eastAsia="Arial" w:hAnsi="Arial" w:cs="Arial"/>
      <w:color w:val="404040"/>
      <w:kern w:val="0"/>
      <w:sz w:val="20"/>
      <w:szCs w:val="20"/>
      <w14:ligatures w14:val="none"/>
    </w:rPr>
  </w:style>
  <w:style w:type="paragraph" w:styleId="Heading1">
    <w:name w:val="heading 1"/>
    <w:basedOn w:val="Normal"/>
    <w:next w:val="Normal"/>
    <w:link w:val="Heading1Char"/>
    <w:uiPriority w:val="9"/>
    <w:qFormat/>
    <w:rsid w:val="00E037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037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037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037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037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0374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7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7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7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E037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qFormat/>
    <w:rsid w:val="00E037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qFormat/>
    <w:rsid w:val="00E037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E037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E037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E037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E037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E037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E03741"/>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E03741"/>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E03741"/>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E03741"/>
    <w:rPr>
      <w:i/>
      <w:iCs/>
      <w:color w:val="404040" w:themeColor="text1" w:themeTint="BF"/>
    </w:rPr>
  </w:style>
  <w:style w:type="character" w:styleId="IntenseEmphasis">
    <w:name w:val="Intense Emphasis"/>
    <w:basedOn w:val="DefaultParagraphFont"/>
    <w:uiPriority w:val="21"/>
    <w:qFormat/>
    <w:rsid w:val="00E03741"/>
    <w:rPr>
      <w:i/>
      <w:iCs/>
      <w:color w:val="2F5496" w:themeColor="accent1" w:themeShade="BF"/>
    </w:rPr>
  </w:style>
  <w:style w:type="character" w:customStyle="1" w:styleId="IntenseQuoteChar">
    <w:name w:val="Intense Quote Char"/>
    <w:basedOn w:val="DefaultParagraphFont"/>
    <w:link w:val="IntenseQuote"/>
    <w:uiPriority w:val="30"/>
    <w:qFormat/>
    <w:rsid w:val="00E03741"/>
    <w:rPr>
      <w:i/>
      <w:iCs/>
      <w:color w:val="2F5496" w:themeColor="accent1" w:themeShade="BF"/>
    </w:rPr>
  </w:style>
  <w:style w:type="character" w:styleId="IntenseReference">
    <w:name w:val="Intense Reference"/>
    <w:basedOn w:val="DefaultParagraphFont"/>
    <w:uiPriority w:val="32"/>
    <w:qFormat/>
    <w:rsid w:val="00E03741"/>
    <w:rPr>
      <w:b/>
      <w:bCs/>
      <w:smallCaps/>
      <w:color w:val="2F5496" w:themeColor="accent1" w:themeShade="BF"/>
      <w:spacing w:val="5"/>
    </w:rPr>
  </w:style>
  <w:style w:type="character" w:styleId="Hyperlink">
    <w:name w:val="Hyperlink"/>
    <w:uiPriority w:val="99"/>
    <w:unhideWhenUsed/>
    <w:rsid w:val="00E03741"/>
    <w:rPr>
      <w:color w:val="0563C1"/>
      <w:u w:val="single"/>
    </w:rPr>
  </w:style>
  <w:style w:type="character" w:customStyle="1" w:styleId="FootnoteCharacters">
    <w:name w:val="Footnote Characters"/>
    <w:uiPriority w:val="99"/>
    <w:semiHidden/>
    <w:unhideWhenUsed/>
    <w:qFormat/>
    <w:rsid w:val="00E03741"/>
    <w:rPr>
      <w:vertAlign w:val="superscript"/>
    </w:rPr>
  </w:style>
  <w:style w:type="character" w:styleId="FootnoteReference">
    <w:name w:val="footnote reference"/>
    <w:rPr>
      <w:vertAlign w:val="superscript"/>
    </w:rPr>
  </w:style>
  <w:style w:type="character" w:customStyle="1" w:styleId="FootnoteTextChar">
    <w:name w:val="Footnote Text Char"/>
    <w:basedOn w:val="DefaultParagraphFont"/>
    <w:link w:val="FootnoteText"/>
    <w:uiPriority w:val="99"/>
    <w:semiHidden/>
    <w:qFormat/>
    <w:rsid w:val="00E03741"/>
    <w:rPr>
      <w:rFonts w:ascii="Arial" w:eastAsia="Arial" w:hAnsi="Arial" w:cs="Arial"/>
      <w:color w:val="404040"/>
      <w:kern w:val="0"/>
      <w:sz w:val="20"/>
      <w:szCs w:val="20"/>
      <w14:ligatures w14:val="none"/>
    </w:rPr>
  </w:style>
  <w:style w:type="character" w:styleId="FollowedHyperlink">
    <w:name w:val="FollowedHyperlink"/>
    <w:basedOn w:val="DefaultParagraphFont"/>
    <w:uiPriority w:val="99"/>
    <w:semiHidden/>
    <w:unhideWhenUsed/>
    <w:rsid w:val="00E03741"/>
    <w:rPr>
      <w:color w:val="954F72" w:themeColor="followedHyperlink"/>
      <w:u w:val="single"/>
    </w:rPr>
  </w:style>
  <w:style w:type="character" w:customStyle="1" w:styleId="HeaderChar">
    <w:name w:val="Header Char"/>
    <w:basedOn w:val="DefaultParagraphFont"/>
    <w:link w:val="Header"/>
    <w:uiPriority w:val="99"/>
    <w:qFormat/>
    <w:rsid w:val="004201C7"/>
    <w:rPr>
      <w:rFonts w:ascii="Arial" w:eastAsia="Arial" w:hAnsi="Arial" w:cs="Arial"/>
      <w:color w:val="404040"/>
      <w:kern w:val="0"/>
      <w:sz w:val="20"/>
      <w:szCs w:val="20"/>
      <w14:ligatures w14:val="none"/>
    </w:rPr>
  </w:style>
  <w:style w:type="character" w:customStyle="1" w:styleId="FooterChar">
    <w:name w:val="Footer Char"/>
    <w:basedOn w:val="DefaultParagraphFont"/>
    <w:link w:val="Footer"/>
    <w:uiPriority w:val="99"/>
    <w:qFormat/>
    <w:rsid w:val="004201C7"/>
    <w:rPr>
      <w:rFonts w:ascii="Arial" w:eastAsia="Arial" w:hAnsi="Arial" w:cs="Arial"/>
      <w:color w:val="404040"/>
      <w:kern w:val="0"/>
      <w:sz w:val="20"/>
      <w:szCs w:val="20"/>
      <w14:ligatures w14:val="none"/>
    </w:rPr>
  </w:style>
  <w:style w:type="character" w:styleId="CommentReference">
    <w:name w:val="annotation reference"/>
    <w:basedOn w:val="DefaultParagraphFont"/>
    <w:uiPriority w:val="99"/>
    <w:semiHidden/>
    <w:unhideWhenUsed/>
    <w:qFormat/>
    <w:rsid w:val="006441C5"/>
    <w:rPr>
      <w:sz w:val="16"/>
      <w:szCs w:val="16"/>
    </w:rPr>
  </w:style>
  <w:style w:type="character" w:customStyle="1" w:styleId="CommentTextChar">
    <w:name w:val="Comment Text Char"/>
    <w:basedOn w:val="DefaultParagraphFont"/>
    <w:link w:val="CommentText"/>
    <w:uiPriority w:val="99"/>
    <w:qFormat/>
    <w:rsid w:val="006441C5"/>
    <w:rPr>
      <w:rFonts w:ascii="Arial" w:eastAsia="Arial" w:hAnsi="Arial" w:cs="Arial"/>
      <w:color w:val="404040"/>
      <w:kern w:val="0"/>
      <w:sz w:val="20"/>
      <w:szCs w:val="20"/>
      <w14:ligatures w14:val="none"/>
    </w:rPr>
  </w:style>
  <w:style w:type="character" w:customStyle="1" w:styleId="CommentSubjectChar">
    <w:name w:val="Comment Subject Char"/>
    <w:basedOn w:val="CommentTextChar"/>
    <w:link w:val="CommentSubject"/>
    <w:uiPriority w:val="99"/>
    <w:semiHidden/>
    <w:qFormat/>
    <w:rsid w:val="006441C5"/>
    <w:rPr>
      <w:rFonts w:ascii="Arial" w:eastAsia="Arial" w:hAnsi="Arial" w:cs="Arial"/>
      <w:b/>
      <w:bCs/>
      <w:color w:val="404040"/>
      <w:kern w:val="0"/>
      <w:sz w:val="20"/>
      <w:szCs w:val="20"/>
      <w14:ligatures w14:val="none"/>
    </w:rPr>
  </w:style>
  <w:style w:type="character" w:customStyle="1" w:styleId="IndexLink">
    <w:name w:val="Index Link"/>
    <w:qFormat/>
  </w:style>
  <w:style w:type="character" w:styleId="LineNumber">
    <w:name w:val="line number"/>
  </w:style>
  <w:style w:type="character" w:styleId="EndnoteReference">
    <w:name w:val="endnote reference"/>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Title">
    <w:name w:val="Title"/>
    <w:basedOn w:val="Normal"/>
    <w:next w:val="Normal"/>
    <w:link w:val="TitleChar"/>
    <w:uiPriority w:val="10"/>
    <w:qFormat/>
    <w:rsid w:val="00E03741"/>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E037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741"/>
    <w:pPr>
      <w:spacing w:before="160"/>
      <w:jc w:val="center"/>
    </w:pPr>
    <w:rPr>
      <w:i/>
      <w:iCs/>
      <w:color w:val="404040" w:themeColor="text1" w:themeTint="BF"/>
    </w:rPr>
  </w:style>
  <w:style w:type="paragraph" w:styleId="ListParagraph">
    <w:name w:val="List Paragraph"/>
    <w:basedOn w:val="Normal"/>
    <w:qFormat/>
    <w:rsid w:val="00E03741"/>
    <w:pPr>
      <w:ind w:left="720"/>
      <w:contextualSpacing/>
    </w:pPr>
  </w:style>
  <w:style w:type="paragraph" w:styleId="IntenseQuote">
    <w:name w:val="Intense Quote"/>
    <w:basedOn w:val="Normal"/>
    <w:next w:val="Normal"/>
    <w:link w:val="IntenseQuoteChar"/>
    <w:uiPriority w:val="30"/>
    <w:qFormat/>
    <w:rsid w:val="00E037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Strong1">
    <w:name w:val="Strong1"/>
    <w:qFormat/>
    <w:rsid w:val="00E03741"/>
    <w:rPr>
      <w:rFonts w:ascii="Arial" w:eastAsia="Arial" w:hAnsi="Arial" w:cs="Arial"/>
      <w:b/>
      <w:bCs/>
      <w:color w:val="404040"/>
      <w:kern w:val="0"/>
      <w:sz w:val="20"/>
      <w:szCs w:val="20"/>
      <w14:ligatures w14:val="none"/>
    </w:rPr>
  </w:style>
  <w:style w:type="paragraph" w:styleId="FootnoteText">
    <w:name w:val="footnote text"/>
    <w:link w:val="FootnoteTextChar"/>
    <w:uiPriority w:val="99"/>
    <w:semiHidden/>
    <w:unhideWhenUsed/>
    <w:rsid w:val="00E03741"/>
    <w:rPr>
      <w:rFonts w:ascii="Arial" w:eastAsia="Arial" w:hAnsi="Arial" w:cs="Arial"/>
      <w:color w:val="404040"/>
      <w:kern w:val="0"/>
      <w:sz w:val="20"/>
      <w:szCs w:val="20"/>
      <w14:ligatures w14:val="none"/>
    </w:rPr>
  </w:style>
  <w:style w:type="paragraph" w:customStyle="1" w:styleId="HeaderandFooter">
    <w:name w:val="Header and Footer"/>
    <w:basedOn w:val="Normal"/>
    <w:qFormat/>
  </w:style>
  <w:style w:type="paragraph" w:styleId="Header">
    <w:name w:val="header"/>
    <w:basedOn w:val="Normal"/>
    <w:link w:val="HeaderChar"/>
    <w:uiPriority w:val="99"/>
    <w:unhideWhenUsed/>
    <w:rsid w:val="004201C7"/>
    <w:pPr>
      <w:tabs>
        <w:tab w:val="center" w:pos="4680"/>
        <w:tab w:val="right" w:pos="9360"/>
      </w:tabs>
    </w:pPr>
  </w:style>
  <w:style w:type="paragraph" w:styleId="Footer">
    <w:name w:val="footer"/>
    <w:basedOn w:val="Normal"/>
    <w:link w:val="FooterChar"/>
    <w:uiPriority w:val="99"/>
    <w:unhideWhenUsed/>
    <w:rsid w:val="004201C7"/>
    <w:pPr>
      <w:tabs>
        <w:tab w:val="center" w:pos="4680"/>
        <w:tab w:val="right" w:pos="9360"/>
      </w:tabs>
    </w:pPr>
  </w:style>
  <w:style w:type="paragraph" w:styleId="IndexHeading">
    <w:name w:val="index heading"/>
    <w:basedOn w:val="Heading"/>
  </w:style>
  <w:style w:type="paragraph" w:styleId="TOCHeading">
    <w:name w:val="TOC Heading"/>
    <w:basedOn w:val="Heading1"/>
    <w:next w:val="Normal"/>
    <w:uiPriority w:val="39"/>
    <w:unhideWhenUsed/>
    <w:qFormat/>
    <w:rsid w:val="00B265A3"/>
    <w:pPr>
      <w:spacing w:before="240" w:after="0" w:line="259" w:lineRule="auto"/>
      <w:outlineLvl w:val="9"/>
    </w:pPr>
    <w:rPr>
      <w:sz w:val="32"/>
      <w:szCs w:val="32"/>
    </w:rPr>
  </w:style>
  <w:style w:type="paragraph" w:styleId="TOC1">
    <w:name w:val="toc 1"/>
    <w:basedOn w:val="Normal"/>
    <w:next w:val="Normal"/>
    <w:autoRedefine/>
    <w:uiPriority w:val="39"/>
    <w:unhideWhenUsed/>
    <w:rsid w:val="00B265A3"/>
    <w:pPr>
      <w:spacing w:after="100"/>
    </w:pPr>
  </w:style>
  <w:style w:type="paragraph" w:styleId="TOC3">
    <w:name w:val="toc 3"/>
    <w:basedOn w:val="Normal"/>
    <w:next w:val="Normal"/>
    <w:autoRedefine/>
    <w:uiPriority w:val="39"/>
    <w:unhideWhenUsed/>
    <w:rsid w:val="00B265A3"/>
    <w:pPr>
      <w:spacing w:after="100"/>
      <w:ind w:left="400"/>
    </w:pPr>
  </w:style>
  <w:style w:type="paragraph" w:styleId="TOC2">
    <w:name w:val="toc 2"/>
    <w:basedOn w:val="Normal"/>
    <w:next w:val="Normal"/>
    <w:autoRedefine/>
    <w:uiPriority w:val="39"/>
    <w:unhideWhenUsed/>
    <w:rsid w:val="00B265A3"/>
    <w:pPr>
      <w:spacing w:after="100"/>
      <w:ind w:left="200"/>
    </w:pPr>
  </w:style>
  <w:style w:type="paragraph" w:styleId="Revision">
    <w:name w:val="Revision"/>
    <w:uiPriority w:val="99"/>
    <w:semiHidden/>
    <w:qFormat/>
    <w:rsid w:val="00CE711A"/>
    <w:rPr>
      <w:rFonts w:ascii="Arial" w:eastAsia="Arial" w:hAnsi="Arial" w:cs="Arial"/>
      <w:color w:val="404040"/>
      <w:kern w:val="0"/>
      <w:sz w:val="20"/>
      <w:szCs w:val="20"/>
      <w14:ligatures w14:val="none"/>
    </w:rPr>
  </w:style>
  <w:style w:type="paragraph" w:styleId="CommentText">
    <w:name w:val="annotation text"/>
    <w:basedOn w:val="Normal"/>
    <w:link w:val="CommentTextChar"/>
    <w:uiPriority w:val="99"/>
    <w:unhideWhenUsed/>
    <w:rsid w:val="006441C5"/>
  </w:style>
  <w:style w:type="paragraph" w:styleId="CommentSubject">
    <w:name w:val="annotation subject"/>
    <w:basedOn w:val="CommentText"/>
    <w:next w:val="CommentText"/>
    <w:link w:val="CommentSubjectChar"/>
    <w:uiPriority w:val="99"/>
    <w:semiHidden/>
    <w:unhideWhenUsed/>
    <w:qFormat/>
    <w:rsid w:val="006441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E3AD5-1D08-4D1A-92C4-3C7E82DA2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57</Pages>
  <Words>21084</Words>
  <Characters>120181</Characters>
  <Application>Microsoft Office Word</Application>
  <DocSecurity>0</DocSecurity>
  <Lines>1001</Lines>
  <Paragraphs>281</Paragraphs>
  <ScaleCrop>false</ScaleCrop>
  <Company/>
  <LinksUpToDate>false</LinksUpToDate>
  <CharactersWithSpaces>140984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Umme Kulsoom</dc:creator>
  <dc:description/>
  <cp:lastModifiedBy>Umme Kulsoom</cp:lastModifiedBy>
  <cp:revision>51</cp:revision>
  <dcterms:created xsi:type="dcterms:W3CDTF">2026-05-28T20:23:00Z</dcterms:created>
  <dcterms:modified xsi:type="dcterms:W3CDTF">2026-05-30T07:57:00Z</dcterms:modified>
  <dc:language>en-US</dc:language>
</cp:coreProperties>
</file>