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FE5BF" w14:textId="77777777" w:rsidR="005833C2" w:rsidRPr="00302BD2" w:rsidRDefault="00375603">
      <w:pPr>
        <w:rPr>
          <w:lang w:val="en-GB"/>
        </w:rPr>
      </w:pPr>
      <w:r w:rsidRPr="00302BD2">
        <w:rPr>
          <w:noProof/>
          <w:lang w:val="en-GB"/>
        </w:rPr>
        <w:drawing>
          <wp:anchor distT="0" distB="0" distL="114300" distR="114300" simplePos="0" relativeHeight="251662336" behindDoc="0" locked="0" layoutInCell="1" allowOverlap="1" wp14:anchorId="2198BDEA" wp14:editId="7BBA79EB">
            <wp:simplePos x="0" y="0"/>
            <wp:positionH relativeFrom="margin">
              <wp:posOffset>2537460</wp:posOffset>
            </wp:positionH>
            <wp:positionV relativeFrom="paragraph">
              <wp:posOffset>107950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61312" behindDoc="1" locked="0" layoutInCell="1" allowOverlap="1" wp14:anchorId="3BE42A40" wp14:editId="3B35B915">
            <wp:simplePos x="0" y="0"/>
            <wp:positionH relativeFrom="margin">
              <wp:posOffset>5362575</wp:posOffset>
            </wp:positionH>
            <wp:positionV relativeFrom="margin">
              <wp:align>top</wp:align>
            </wp:positionV>
            <wp:extent cx="441325" cy="1000125"/>
            <wp:effectExtent l="0" t="0" r="0" b="9525"/>
            <wp:wrapTight wrapText="bothSides">
              <wp:wrapPolygon edited="0">
                <wp:start x="0" y="0"/>
                <wp:lineTo x="0" y="21394"/>
                <wp:lineTo x="20512" y="21394"/>
                <wp:lineTo x="20512"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25" cy="1000125"/>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63360" behindDoc="0" locked="0" layoutInCell="1" allowOverlap="1" wp14:anchorId="170A40AF" wp14:editId="7F603C2F">
            <wp:simplePos x="0" y="0"/>
            <wp:positionH relativeFrom="column">
              <wp:posOffset>0</wp:posOffset>
            </wp:positionH>
            <wp:positionV relativeFrom="paragraph">
              <wp:posOffset>222885</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3EFD77E0" w14:textId="77777777" w:rsidR="005833C2" w:rsidRPr="00302BD2" w:rsidRDefault="005833C2">
      <w:pPr>
        <w:rPr>
          <w:lang w:val="en-GB"/>
        </w:rPr>
      </w:pPr>
    </w:p>
    <w:p w14:paraId="1CEC9BA7" w14:textId="77777777" w:rsidR="005833C2" w:rsidRPr="00302BD2" w:rsidRDefault="005833C2">
      <w:pPr>
        <w:rPr>
          <w:lang w:val="en-GB"/>
        </w:rPr>
      </w:pPr>
    </w:p>
    <w:p w14:paraId="3C1C0FE3" w14:textId="77777777" w:rsidR="005833C2" w:rsidRPr="00302BD2" w:rsidRDefault="005833C2">
      <w:pPr>
        <w:rPr>
          <w:lang w:val="en-GB"/>
        </w:rPr>
      </w:pPr>
    </w:p>
    <w:p w14:paraId="1B9A567A" w14:textId="77777777" w:rsidR="005833C2" w:rsidRPr="00302BD2" w:rsidRDefault="005833C2">
      <w:pPr>
        <w:rPr>
          <w:lang w:val="en-GB"/>
        </w:rPr>
      </w:pPr>
    </w:p>
    <w:p w14:paraId="0AF44616" w14:textId="77777777" w:rsidR="005833C2" w:rsidRPr="00302BD2" w:rsidRDefault="00375603" w:rsidP="00375603">
      <w:pPr>
        <w:tabs>
          <w:tab w:val="left" w:pos="5520"/>
        </w:tabs>
        <w:rPr>
          <w:lang w:val="en-GB"/>
        </w:rPr>
      </w:pPr>
      <w:r w:rsidRPr="00302BD2">
        <w:rPr>
          <w:lang w:val="en-GB"/>
        </w:rPr>
        <w:tab/>
      </w:r>
    </w:p>
    <w:p w14:paraId="58318392" w14:textId="77777777" w:rsidR="00CF3B13" w:rsidRPr="00302BD2" w:rsidRDefault="00CF3B13" w:rsidP="00375603">
      <w:pPr>
        <w:tabs>
          <w:tab w:val="left" w:pos="5520"/>
        </w:tabs>
        <w:rPr>
          <w:lang w:val="en-GB"/>
        </w:rPr>
      </w:pPr>
    </w:p>
    <w:p w14:paraId="7E91601C" w14:textId="77777777" w:rsidR="005833C2" w:rsidRPr="00302BD2" w:rsidRDefault="005833C2">
      <w:pPr>
        <w:rPr>
          <w:lang w:val="en-GB"/>
        </w:rPr>
      </w:pPr>
    </w:p>
    <w:p w14:paraId="2A211DD7" w14:textId="77777777" w:rsidR="005833C2" w:rsidRPr="00302BD2" w:rsidRDefault="00D264C7" w:rsidP="00D264C7">
      <w:pPr>
        <w:tabs>
          <w:tab w:val="left" w:pos="3540"/>
        </w:tabs>
        <w:jc w:val="center"/>
        <w:rPr>
          <w:lang w:val="en-GB"/>
        </w:rPr>
      </w:pPr>
      <w:r w:rsidRPr="00302BD2">
        <w:rPr>
          <w:noProof/>
          <w:lang w:val="en-GB"/>
        </w:rPr>
        <w:drawing>
          <wp:inline distT="0" distB="0" distL="0" distR="0" wp14:anchorId="29F1C346" wp14:editId="3ADD12FF">
            <wp:extent cx="2927547" cy="164774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90778" cy="1683336"/>
                    </a:xfrm>
                    <a:prstGeom prst="rect">
                      <a:avLst/>
                    </a:prstGeom>
                  </pic:spPr>
                </pic:pic>
              </a:graphicData>
            </a:graphic>
          </wp:inline>
        </w:drawing>
      </w:r>
    </w:p>
    <w:p w14:paraId="53828AC2" w14:textId="77777777" w:rsidR="00D67A17" w:rsidRPr="00302BD2" w:rsidRDefault="00D67A17" w:rsidP="00D67A17">
      <w:pPr>
        <w:jc w:val="center"/>
        <w:rPr>
          <w:b/>
          <w:color w:val="2F5496" w:themeColor="accent1" w:themeShade="BF"/>
          <w:sz w:val="28"/>
          <w:szCs w:val="28"/>
          <w:lang w:val="en-GB"/>
        </w:rPr>
      </w:pPr>
      <w:r w:rsidRPr="00302BD2">
        <w:rPr>
          <w:b/>
          <w:color w:val="2F5496" w:themeColor="accent1" w:themeShade="BF"/>
          <w:sz w:val="28"/>
          <w:szCs w:val="28"/>
          <w:lang w:val="en-GB"/>
        </w:rPr>
        <w:t>IMPLEMENTATION OF THE STRATEGIC ACTION PROGRAMME (SAP) OF THE DINARIC KARST AQUIFER SYSTEM: IMPROVING GROUNDWATER GOVERNANCE AND SUSTAINABILITY OF RELATED ECOSYSTEMS</w:t>
      </w:r>
    </w:p>
    <w:p w14:paraId="52122385" w14:textId="77777777" w:rsidR="005833C2" w:rsidRPr="00302BD2" w:rsidRDefault="005833C2">
      <w:pPr>
        <w:rPr>
          <w:lang w:val="en-GB"/>
        </w:rPr>
      </w:pPr>
    </w:p>
    <w:p w14:paraId="1CE98680" w14:textId="488360B5" w:rsidR="00CF0ED7" w:rsidRPr="00302BD2" w:rsidRDefault="00CF0ED7" w:rsidP="00CF0ED7">
      <w:pPr>
        <w:pStyle w:val="Default"/>
        <w:jc w:val="center"/>
        <w:rPr>
          <w:rFonts w:asciiTheme="minorHAnsi" w:hAnsiTheme="minorHAnsi" w:cstheme="minorHAnsi"/>
          <w:b/>
          <w:bCs/>
          <w:color w:val="2F5496" w:themeColor="accent1" w:themeShade="BF"/>
          <w:sz w:val="36"/>
          <w:szCs w:val="36"/>
          <w:lang w:val="en-GB"/>
        </w:rPr>
      </w:pPr>
      <w:r w:rsidRPr="00302BD2">
        <w:rPr>
          <w:rFonts w:asciiTheme="minorHAnsi" w:hAnsiTheme="minorHAnsi" w:cstheme="minorHAnsi"/>
          <w:b/>
          <w:bCs/>
          <w:color w:val="2F5496" w:themeColor="accent1" w:themeShade="BF"/>
          <w:sz w:val="36"/>
          <w:szCs w:val="36"/>
          <w:lang w:val="en-GB"/>
        </w:rPr>
        <w:t>OUTPUT 2.</w:t>
      </w:r>
      <w:r w:rsidR="0068075B">
        <w:rPr>
          <w:rFonts w:asciiTheme="minorHAnsi" w:hAnsiTheme="minorHAnsi" w:cstheme="minorHAnsi"/>
          <w:b/>
          <w:bCs/>
          <w:color w:val="2F5496" w:themeColor="accent1" w:themeShade="BF"/>
          <w:sz w:val="36"/>
          <w:szCs w:val="36"/>
          <w:lang w:val="en-GB"/>
        </w:rPr>
        <w:t>2</w:t>
      </w:r>
    </w:p>
    <w:p w14:paraId="45D9A687" w14:textId="77777777" w:rsidR="00CF0ED7" w:rsidRPr="00302BD2" w:rsidRDefault="00CF0ED7" w:rsidP="00CF0ED7">
      <w:pPr>
        <w:pStyle w:val="Default"/>
        <w:jc w:val="center"/>
        <w:rPr>
          <w:rFonts w:asciiTheme="minorHAnsi" w:hAnsiTheme="minorHAnsi" w:cstheme="minorHAnsi"/>
          <w:b/>
          <w:bCs/>
          <w:color w:val="2F5496" w:themeColor="accent1" w:themeShade="BF"/>
          <w:sz w:val="28"/>
          <w:szCs w:val="28"/>
          <w:lang w:val="en-GB"/>
        </w:rPr>
      </w:pPr>
    </w:p>
    <w:p w14:paraId="6FB0A883" w14:textId="798398A1" w:rsidR="009D3C75" w:rsidRPr="00302BD2" w:rsidRDefault="0068075B" w:rsidP="00CF0ED7">
      <w:pPr>
        <w:pStyle w:val="Default"/>
        <w:jc w:val="center"/>
        <w:rPr>
          <w:rFonts w:asciiTheme="minorHAnsi" w:hAnsiTheme="minorHAnsi" w:cstheme="minorHAnsi"/>
          <w:b/>
          <w:bCs/>
          <w:color w:val="2F5496" w:themeColor="accent1" w:themeShade="BF"/>
          <w:sz w:val="36"/>
          <w:szCs w:val="36"/>
          <w:lang w:val="en-GB"/>
        </w:rPr>
      </w:pPr>
      <w:r w:rsidRPr="0068075B">
        <w:rPr>
          <w:rFonts w:asciiTheme="minorHAnsi" w:hAnsiTheme="minorHAnsi" w:cstheme="minorHAnsi"/>
          <w:b/>
          <w:bCs/>
          <w:color w:val="2F5496" w:themeColor="accent1" w:themeShade="BF"/>
          <w:sz w:val="36"/>
          <w:szCs w:val="36"/>
          <w:lang w:val="en-GB"/>
        </w:rPr>
        <w:t>JOINT FRAMEWORK DOCUMENT FOR POLICY, LEGAL AND INSTITUTIONAL ALIGNMENT ON GROUNDWATER PROTECTION (HR-BIH)</w:t>
      </w:r>
    </w:p>
    <w:p w14:paraId="673DA9DD" w14:textId="77777777" w:rsidR="005833C2" w:rsidRPr="00302BD2" w:rsidRDefault="005833C2">
      <w:pPr>
        <w:rPr>
          <w:lang w:val="en-GB"/>
        </w:rPr>
      </w:pPr>
    </w:p>
    <w:p w14:paraId="43AA824A" w14:textId="77777777" w:rsidR="005833C2" w:rsidRPr="00302BD2" w:rsidRDefault="005833C2">
      <w:pPr>
        <w:rPr>
          <w:lang w:val="en-GB"/>
        </w:rPr>
      </w:pPr>
    </w:p>
    <w:p w14:paraId="7F552626" w14:textId="77777777" w:rsidR="005833C2" w:rsidRPr="00302BD2" w:rsidRDefault="005833C2">
      <w:pPr>
        <w:rPr>
          <w:lang w:val="en-GB"/>
        </w:rPr>
      </w:pPr>
    </w:p>
    <w:p w14:paraId="00A574C6" w14:textId="10036DB5" w:rsidR="005833C2" w:rsidRPr="00302BD2" w:rsidRDefault="0068075B" w:rsidP="007C40DF">
      <w:pPr>
        <w:jc w:val="center"/>
        <w:rPr>
          <w:color w:val="002060"/>
          <w:lang w:val="en-GB"/>
        </w:rPr>
      </w:pPr>
      <w:r>
        <w:rPr>
          <w:color w:val="002060"/>
          <w:lang w:val="en-GB"/>
        </w:rPr>
        <w:t>APRIL</w:t>
      </w:r>
      <w:r w:rsidR="00FE4AFD">
        <w:rPr>
          <w:color w:val="002060"/>
          <w:lang w:val="en-GB"/>
        </w:rPr>
        <w:t xml:space="preserve"> </w:t>
      </w:r>
      <w:r w:rsidR="007C40DF" w:rsidRPr="00302BD2">
        <w:rPr>
          <w:color w:val="002060"/>
          <w:lang w:val="en-GB"/>
        </w:rPr>
        <w:t xml:space="preserve"> 202</w:t>
      </w:r>
      <w:r w:rsidR="00115718">
        <w:rPr>
          <w:color w:val="002060"/>
          <w:lang w:val="en-GB"/>
        </w:rPr>
        <w:t>6</w:t>
      </w:r>
    </w:p>
    <w:p w14:paraId="667D71DF" w14:textId="77777777" w:rsidR="005833C2" w:rsidRPr="00302BD2" w:rsidRDefault="005833C2">
      <w:pPr>
        <w:rPr>
          <w:lang w:val="en-GB"/>
        </w:rPr>
      </w:pPr>
    </w:p>
    <w:p w14:paraId="75865CB7" w14:textId="77777777" w:rsidR="005833C2" w:rsidRPr="00302BD2" w:rsidRDefault="00CF3B13" w:rsidP="00CF3B13">
      <w:pPr>
        <w:jc w:val="center"/>
        <w:rPr>
          <w:lang w:val="en-GB"/>
        </w:rPr>
      </w:pPr>
      <w:r w:rsidRPr="00302BD2">
        <w:rPr>
          <w:noProof/>
          <w:lang w:val="en-GB"/>
        </w:rPr>
        <w:drawing>
          <wp:inline distT="0" distB="0" distL="0" distR="0" wp14:anchorId="4E2E8DD0" wp14:editId="6B0341D9">
            <wp:extent cx="3734435" cy="609600"/>
            <wp:effectExtent l="0" t="0" r="0" b="0"/>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sdt>
      <w:sdtPr>
        <w:rPr>
          <w:rFonts w:asciiTheme="minorHAnsi" w:eastAsiaTheme="minorHAnsi" w:hAnsiTheme="minorHAnsi" w:cstheme="minorBidi"/>
          <w:b w:val="0"/>
          <w:color w:val="auto"/>
          <w:sz w:val="22"/>
          <w:szCs w:val="22"/>
          <w:lang w:val="sr-Latn-RS" w:eastAsia="en-US"/>
        </w:rPr>
        <w:id w:val="1451744067"/>
        <w:docPartObj>
          <w:docPartGallery w:val="Table of Contents"/>
          <w:docPartUnique/>
        </w:docPartObj>
      </w:sdtPr>
      <w:sdtEndPr>
        <w:rPr>
          <w:bCs/>
          <w:noProof/>
        </w:rPr>
      </w:sdtEndPr>
      <w:sdtContent>
        <w:p w14:paraId="649535C5" w14:textId="58954175" w:rsidR="00376158" w:rsidRDefault="00376158">
          <w:pPr>
            <w:pStyle w:val="TOCHeading"/>
          </w:pPr>
          <w:r>
            <w:t>Contents</w:t>
          </w:r>
        </w:p>
        <w:p w14:paraId="1ED5D32A" w14:textId="2CA501FD" w:rsidR="009E1736" w:rsidRDefault="00376158">
          <w:pPr>
            <w:pStyle w:val="TOC1"/>
            <w:rPr>
              <w:rFonts w:eastAsiaTheme="minorEastAsia"/>
              <w:noProof/>
              <w:kern w:val="2"/>
              <w:sz w:val="24"/>
              <w:szCs w:val="24"/>
              <w:lang w:val="hr-HR" w:eastAsia="hr-HR"/>
              <w14:ligatures w14:val="standardContextual"/>
            </w:rPr>
          </w:pPr>
          <w:r>
            <w:fldChar w:fldCharType="begin"/>
          </w:r>
          <w:r>
            <w:instrText xml:space="preserve"> TOC \o "1-3" \h \z \u </w:instrText>
          </w:r>
          <w:r>
            <w:fldChar w:fldCharType="separate"/>
          </w:r>
          <w:hyperlink w:anchor="_Toc225945257" w:history="1">
            <w:r w:rsidR="009E1736" w:rsidRPr="0081068B">
              <w:rPr>
                <w:rStyle w:val="Hyperlink"/>
                <w:noProof/>
                <w:lang w:val="en-GB"/>
              </w:rPr>
              <w:t>1 Introduction</w:t>
            </w:r>
            <w:r w:rsidR="009E1736">
              <w:rPr>
                <w:noProof/>
                <w:webHidden/>
              </w:rPr>
              <w:tab/>
            </w:r>
            <w:r w:rsidR="009E1736">
              <w:rPr>
                <w:noProof/>
                <w:webHidden/>
              </w:rPr>
              <w:fldChar w:fldCharType="begin"/>
            </w:r>
            <w:r w:rsidR="009E1736">
              <w:rPr>
                <w:noProof/>
                <w:webHidden/>
              </w:rPr>
              <w:instrText xml:space="preserve"> PAGEREF _Toc225945257 \h </w:instrText>
            </w:r>
            <w:r w:rsidR="009E1736">
              <w:rPr>
                <w:noProof/>
                <w:webHidden/>
              </w:rPr>
            </w:r>
            <w:r w:rsidR="009E1736">
              <w:rPr>
                <w:noProof/>
                <w:webHidden/>
              </w:rPr>
              <w:fldChar w:fldCharType="separate"/>
            </w:r>
            <w:r w:rsidR="00093EA3">
              <w:rPr>
                <w:noProof/>
                <w:webHidden/>
              </w:rPr>
              <w:t>1</w:t>
            </w:r>
            <w:r w:rsidR="009E1736">
              <w:rPr>
                <w:noProof/>
                <w:webHidden/>
              </w:rPr>
              <w:fldChar w:fldCharType="end"/>
            </w:r>
          </w:hyperlink>
        </w:p>
        <w:p w14:paraId="0C12A67D" w14:textId="22D1A331" w:rsidR="009E1736" w:rsidRDefault="009E1736">
          <w:pPr>
            <w:pStyle w:val="TOC1"/>
            <w:rPr>
              <w:rFonts w:eastAsiaTheme="minorEastAsia"/>
              <w:noProof/>
              <w:kern w:val="2"/>
              <w:sz w:val="24"/>
              <w:szCs w:val="24"/>
              <w:lang w:val="hr-HR" w:eastAsia="hr-HR"/>
              <w14:ligatures w14:val="standardContextual"/>
            </w:rPr>
          </w:pPr>
          <w:hyperlink w:anchor="_Toc225945258" w:history="1">
            <w:r w:rsidRPr="0081068B">
              <w:rPr>
                <w:rStyle w:val="Hyperlink"/>
                <w:noProof/>
                <w:lang w:val="en-GB"/>
              </w:rPr>
              <w:t>2 Purpose, scope and alignment</w:t>
            </w:r>
            <w:r>
              <w:rPr>
                <w:noProof/>
                <w:webHidden/>
              </w:rPr>
              <w:tab/>
            </w:r>
            <w:r>
              <w:rPr>
                <w:noProof/>
                <w:webHidden/>
              </w:rPr>
              <w:fldChar w:fldCharType="begin"/>
            </w:r>
            <w:r>
              <w:rPr>
                <w:noProof/>
                <w:webHidden/>
              </w:rPr>
              <w:instrText xml:space="preserve"> PAGEREF _Toc225945258 \h </w:instrText>
            </w:r>
            <w:r>
              <w:rPr>
                <w:noProof/>
                <w:webHidden/>
              </w:rPr>
            </w:r>
            <w:r>
              <w:rPr>
                <w:noProof/>
                <w:webHidden/>
              </w:rPr>
              <w:fldChar w:fldCharType="separate"/>
            </w:r>
            <w:r w:rsidR="00093EA3">
              <w:rPr>
                <w:noProof/>
                <w:webHidden/>
              </w:rPr>
              <w:t>2</w:t>
            </w:r>
            <w:r>
              <w:rPr>
                <w:noProof/>
                <w:webHidden/>
              </w:rPr>
              <w:fldChar w:fldCharType="end"/>
            </w:r>
          </w:hyperlink>
        </w:p>
        <w:p w14:paraId="4289ADAD" w14:textId="28555CE6" w:rsidR="009E1736" w:rsidRDefault="009E1736">
          <w:pPr>
            <w:pStyle w:val="TOC1"/>
            <w:rPr>
              <w:rFonts w:eastAsiaTheme="minorEastAsia"/>
              <w:noProof/>
              <w:kern w:val="2"/>
              <w:sz w:val="24"/>
              <w:szCs w:val="24"/>
              <w:lang w:val="hr-HR" w:eastAsia="hr-HR"/>
              <w14:ligatures w14:val="standardContextual"/>
            </w:rPr>
          </w:pPr>
          <w:hyperlink w:anchor="_Toc225945259" w:history="1">
            <w:r w:rsidRPr="0081068B">
              <w:rPr>
                <w:rStyle w:val="Hyperlink"/>
                <w:noProof/>
                <w:lang w:val="en-GB"/>
              </w:rPr>
              <w:t>3 Approach and inputs for developing the Joint Framework document</w:t>
            </w:r>
            <w:r>
              <w:rPr>
                <w:noProof/>
                <w:webHidden/>
              </w:rPr>
              <w:tab/>
            </w:r>
            <w:r>
              <w:rPr>
                <w:noProof/>
                <w:webHidden/>
              </w:rPr>
              <w:fldChar w:fldCharType="begin"/>
            </w:r>
            <w:r>
              <w:rPr>
                <w:noProof/>
                <w:webHidden/>
              </w:rPr>
              <w:instrText xml:space="preserve"> PAGEREF _Toc225945259 \h </w:instrText>
            </w:r>
            <w:r>
              <w:rPr>
                <w:noProof/>
                <w:webHidden/>
              </w:rPr>
            </w:r>
            <w:r>
              <w:rPr>
                <w:noProof/>
                <w:webHidden/>
              </w:rPr>
              <w:fldChar w:fldCharType="separate"/>
            </w:r>
            <w:r w:rsidR="00093EA3">
              <w:rPr>
                <w:noProof/>
                <w:webHidden/>
              </w:rPr>
              <w:t>3</w:t>
            </w:r>
            <w:r>
              <w:rPr>
                <w:noProof/>
                <w:webHidden/>
              </w:rPr>
              <w:fldChar w:fldCharType="end"/>
            </w:r>
          </w:hyperlink>
        </w:p>
        <w:p w14:paraId="36D89C64" w14:textId="552F7E44" w:rsidR="009E1736" w:rsidRDefault="009E1736">
          <w:pPr>
            <w:pStyle w:val="TOC1"/>
            <w:rPr>
              <w:rFonts w:eastAsiaTheme="minorEastAsia"/>
              <w:noProof/>
              <w:kern w:val="2"/>
              <w:sz w:val="24"/>
              <w:szCs w:val="24"/>
              <w:lang w:val="hr-HR" w:eastAsia="hr-HR"/>
              <w14:ligatures w14:val="standardContextual"/>
            </w:rPr>
          </w:pPr>
          <w:hyperlink w:anchor="_Toc225945260" w:history="1">
            <w:r w:rsidRPr="0081068B">
              <w:rPr>
                <w:rStyle w:val="Hyperlink"/>
                <w:noProof/>
                <w:lang w:val="en-GB"/>
              </w:rPr>
              <w:t>4 Transboundary contexts: why harmonization of sanitary protection zones matters</w:t>
            </w:r>
            <w:r>
              <w:rPr>
                <w:noProof/>
                <w:webHidden/>
              </w:rPr>
              <w:tab/>
            </w:r>
            <w:r>
              <w:rPr>
                <w:noProof/>
                <w:webHidden/>
              </w:rPr>
              <w:fldChar w:fldCharType="begin"/>
            </w:r>
            <w:r>
              <w:rPr>
                <w:noProof/>
                <w:webHidden/>
              </w:rPr>
              <w:instrText xml:space="preserve"> PAGEREF _Toc225945260 \h </w:instrText>
            </w:r>
            <w:r>
              <w:rPr>
                <w:noProof/>
                <w:webHidden/>
              </w:rPr>
            </w:r>
            <w:r>
              <w:rPr>
                <w:noProof/>
                <w:webHidden/>
              </w:rPr>
              <w:fldChar w:fldCharType="separate"/>
            </w:r>
            <w:r w:rsidR="00093EA3">
              <w:rPr>
                <w:noProof/>
                <w:webHidden/>
              </w:rPr>
              <w:t>5</w:t>
            </w:r>
            <w:r>
              <w:rPr>
                <w:noProof/>
                <w:webHidden/>
              </w:rPr>
              <w:fldChar w:fldCharType="end"/>
            </w:r>
          </w:hyperlink>
        </w:p>
        <w:p w14:paraId="2EF47A4D" w14:textId="56908506" w:rsidR="009E1736" w:rsidRDefault="009E1736">
          <w:pPr>
            <w:pStyle w:val="TOC1"/>
            <w:rPr>
              <w:rFonts w:eastAsiaTheme="minorEastAsia"/>
              <w:noProof/>
              <w:kern w:val="2"/>
              <w:sz w:val="24"/>
              <w:szCs w:val="24"/>
              <w:lang w:val="hr-HR" w:eastAsia="hr-HR"/>
              <w14:ligatures w14:val="standardContextual"/>
            </w:rPr>
          </w:pPr>
          <w:hyperlink w:anchor="_Toc225945261" w:history="1">
            <w:r w:rsidRPr="0081068B">
              <w:rPr>
                <w:rStyle w:val="Hyperlink"/>
                <w:noProof/>
                <w:lang w:val="en-GB"/>
              </w:rPr>
              <w:t>5 Comparative assessment: legal, policy and permitting frameworks in Croatia and Bosnia and Herzegovina</w:t>
            </w:r>
            <w:r>
              <w:rPr>
                <w:noProof/>
                <w:webHidden/>
              </w:rPr>
              <w:tab/>
            </w:r>
            <w:r>
              <w:rPr>
                <w:noProof/>
                <w:webHidden/>
              </w:rPr>
              <w:fldChar w:fldCharType="begin"/>
            </w:r>
            <w:r>
              <w:rPr>
                <w:noProof/>
                <w:webHidden/>
              </w:rPr>
              <w:instrText xml:space="preserve"> PAGEREF _Toc225945261 \h </w:instrText>
            </w:r>
            <w:r>
              <w:rPr>
                <w:noProof/>
                <w:webHidden/>
              </w:rPr>
            </w:r>
            <w:r>
              <w:rPr>
                <w:noProof/>
                <w:webHidden/>
              </w:rPr>
              <w:fldChar w:fldCharType="separate"/>
            </w:r>
            <w:r w:rsidR="00093EA3">
              <w:rPr>
                <w:noProof/>
                <w:webHidden/>
              </w:rPr>
              <w:t>6</w:t>
            </w:r>
            <w:r>
              <w:rPr>
                <w:noProof/>
                <w:webHidden/>
              </w:rPr>
              <w:fldChar w:fldCharType="end"/>
            </w:r>
          </w:hyperlink>
        </w:p>
        <w:p w14:paraId="7404AADF" w14:textId="5F2CF35D"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62" w:history="1">
            <w:r w:rsidRPr="0081068B">
              <w:rPr>
                <w:rStyle w:val="Hyperlink"/>
                <w:noProof/>
                <w:lang w:val="en-GB"/>
              </w:rPr>
              <w:t>5.1 Croatia: alignment with EU acquis and remaining implementation challenges</w:t>
            </w:r>
            <w:r>
              <w:rPr>
                <w:noProof/>
                <w:webHidden/>
              </w:rPr>
              <w:tab/>
            </w:r>
            <w:r>
              <w:rPr>
                <w:noProof/>
                <w:webHidden/>
              </w:rPr>
              <w:fldChar w:fldCharType="begin"/>
            </w:r>
            <w:r>
              <w:rPr>
                <w:noProof/>
                <w:webHidden/>
              </w:rPr>
              <w:instrText xml:space="preserve"> PAGEREF _Toc225945262 \h </w:instrText>
            </w:r>
            <w:r>
              <w:rPr>
                <w:noProof/>
                <w:webHidden/>
              </w:rPr>
            </w:r>
            <w:r>
              <w:rPr>
                <w:noProof/>
                <w:webHidden/>
              </w:rPr>
              <w:fldChar w:fldCharType="separate"/>
            </w:r>
            <w:r w:rsidR="00093EA3">
              <w:rPr>
                <w:noProof/>
                <w:webHidden/>
              </w:rPr>
              <w:t>6</w:t>
            </w:r>
            <w:r>
              <w:rPr>
                <w:noProof/>
                <w:webHidden/>
              </w:rPr>
              <w:fldChar w:fldCharType="end"/>
            </w:r>
          </w:hyperlink>
        </w:p>
        <w:p w14:paraId="721C111D" w14:textId="28B7759A"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63" w:history="1">
            <w:r w:rsidRPr="0081068B">
              <w:rPr>
                <w:rStyle w:val="Hyperlink"/>
                <w:noProof/>
                <w:lang w:val="en-GB"/>
              </w:rPr>
              <w:t>5.2 Bosnia and Herzegovina: partial approximation, multi</w:t>
            </w:r>
            <w:r w:rsidRPr="0081068B">
              <w:rPr>
                <w:rStyle w:val="Hyperlink"/>
                <w:rFonts w:ascii="Cambria Math" w:hAnsi="Cambria Math" w:cs="Cambria Math"/>
                <w:noProof/>
                <w:lang w:val="en-GB"/>
              </w:rPr>
              <w:t>‑</w:t>
            </w:r>
            <w:r w:rsidRPr="0081068B">
              <w:rPr>
                <w:rStyle w:val="Hyperlink"/>
                <w:noProof/>
                <w:lang w:val="en-GB"/>
              </w:rPr>
              <w:t>layered governance and uneven implementation</w:t>
            </w:r>
            <w:r>
              <w:rPr>
                <w:noProof/>
                <w:webHidden/>
              </w:rPr>
              <w:tab/>
            </w:r>
            <w:r>
              <w:rPr>
                <w:noProof/>
                <w:webHidden/>
              </w:rPr>
              <w:fldChar w:fldCharType="begin"/>
            </w:r>
            <w:r>
              <w:rPr>
                <w:noProof/>
                <w:webHidden/>
              </w:rPr>
              <w:instrText xml:space="preserve"> PAGEREF _Toc225945263 \h </w:instrText>
            </w:r>
            <w:r>
              <w:rPr>
                <w:noProof/>
                <w:webHidden/>
              </w:rPr>
            </w:r>
            <w:r>
              <w:rPr>
                <w:noProof/>
                <w:webHidden/>
              </w:rPr>
              <w:fldChar w:fldCharType="separate"/>
            </w:r>
            <w:r w:rsidR="00093EA3">
              <w:rPr>
                <w:noProof/>
                <w:webHidden/>
              </w:rPr>
              <w:t>7</w:t>
            </w:r>
            <w:r>
              <w:rPr>
                <w:noProof/>
                <w:webHidden/>
              </w:rPr>
              <w:fldChar w:fldCharType="end"/>
            </w:r>
          </w:hyperlink>
        </w:p>
        <w:p w14:paraId="39C97926" w14:textId="7E1D25DB"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64" w:history="1">
            <w:r w:rsidRPr="0081068B">
              <w:rPr>
                <w:rStyle w:val="Hyperlink"/>
                <w:noProof/>
                <w:lang w:val="en-GB"/>
              </w:rPr>
              <w:t>5.3 Cross</w:t>
            </w:r>
            <w:r w:rsidRPr="0081068B">
              <w:rPr>
                <w:rStyle w:val="Hyperlink"/>
                <w:rFonts w:ascii="Cambria Math" w:hAnsi="Cambria Math" w:cs="Cambria Math"/>
                <w:noProof/>
                <w:lang w:val="en-GB"/>
              </w:rPr>
              <w:t>‑</w:t>
            </w:r>
            <w:r w:rsidRPr="0081068B">
              <w:rPr>
                <w:rStyle w:val="Hyperlink"/>
                <w:noProof/>
                <w:lang w:val="en-GB"/>
              </w:rPr>
              <w:t>country comparison: implications for transboundary karst aquifers</w:t>
            </w:r>
            <w:r>
              <w:rPr>
                <w:noProof/>
                <w:webHidden/>
              </w:rPr>
              <w:tab/>
            </w:r>
            <w:r>
              <w:rPr>
                <w:noProof/>
                <w:webHidden/>
              </w:rPr>
              <w:fldChar w:fldCharType="begin"/>
            </w:r>
            <w:r>
              <w:rPr>
                <w:noProof/>
                <w:webHidden/>
              </w:rPr>
              <w:instrText xml:space="preserve"> PAGEREF _Toc225945264 \h </w:instrText>
            </w:r>
            <w:r>
              <w:rPr>
                <w:noProof/>
                <w:webHidden/>
              </w:rPr>
            </w:r>
            <w:r>
              <w:rPr>
                <w:noProof/>
                <w:webHidden/>
              </w:rPr>
              <w:fldChar w:fldCharType="separate"/>
            </w:r>
            <w:r w:rsidR="00093EA3">
              <w:rPr>
                <w:noProof/>
                <w:webHidden/>
              </w:rPr>
              <w:t>8</w:t>
            </w:r>
            <w:r>
              <w:rPr>
                <w:noProof/>
                <w:webHidden/>
              </w:rPr>
              <w:fldChar w:fldCharType="end"/>
            </w:r>
          </w:hyperlink>
        </w:p>
        <w:p w14:paraId="01398B23" w14:textId="6B52ECA8" w:rsidR="009E1736" w:rsidRDefault="009E1736">
          <w:pPr>
            <w:pStyle w:val="TOC1"/>
            <w:rPr>
              <w:rFonts w:eastAsiaTheme="minorEastAsia"/>
              <w:noProof/>
              <w:kern w:val="2"/>
              <w:sz w:val="24"/>
              <w:szCs w:val="24"/>
              <w:lang w:val="hr-HR" w:eastAsia="hr-HR"/>
              <w14:ligatures w14:val="standardContextual"/>
            </w:rPr>
          </w:pPr>
          <w:hyperlink w:anchor="_Toc225945265" w:history="1">
            <w:r w:rsidRPr="0081068B">
              <w:rPr>
                <w:rStyle w:val="Hyperlink"/>
                <w:noProof/>
                <w:lang w:val="en-GB"/>
              </w:rPr>
              <w:t>6 Institutional responsibilities and enforcement capacity</w:t>
            </w:r>
            <w:r>
              <w:rPr>
                <w:noProof/>
                <w:webHidden/>
              </w:rPr>
              <w:tab/>
            </w:r>
            <w:r>
              <w:rPr>
                <w:noProof/>
                <w:webHidden/>
              </w:rPr>
              <w:fldChar w:fldCharType="begin"/>
            </w:r>
            <w:r>
              <w:rPr>
                <w:noProof/>
                <w:webHidden/>
              </w:rPr>
              <w:instrText xml:space="preserve"> PAGEREF _Toc225945265 \h </w:instrText>
            </w:r>
            <w:r>
              <w:rPr>
                <w:noProof/>
                <w:webHidden/>
              </w:rPr>
            </w:r>
            <w:r>
              <w:rPr>
                <w:noProof/>
                <w:webHidden/>
              </w:rPr>
              <w:fldChar w:fldCharType="separate"/>
            </w:r>
            <w:r w:rsidR="00093EA3">
              <w:rPr>
                <w:noProof/>
                <w:webHidden/>
              </w:rPr>
              <w:t>10</w:t>
            </w:r>
            <w:r>
              <w:rPr>
                <w:noProof/>
                <w:webHidden/>
              </w:rPr>
              <w:fldChar w:fldCharType="end"/>
            </w:r>
          </w:hyperlink>
        </w:p>
        <w:p w14:paraId="179B7983" w14:textId="319224C9"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66" w:history="1">
            <w:r w:rsidRPr="0081068B">
              <w:rPr>
                <w:rStyle w:val="Hyperlink"/>
                <w:noProof/>
                <w:lang w:val="en-GB"/>
              </w:rPr>
              <w:t>6.1 Institutional responsibilities in Croatia</w:t>
            </w:r>
            <w:r>
              <w:rPr>
                <w:noProof/>
                <w:webHidden/>
              </w:rPr>
              <w:tab/>
            </w:r>
            <w:r>
              <w:rPr>
                <w:noProof/>
                <w:webHidden/>
              </w:rPr>
              <w:fldChar w:fldCharType="begin"/>
            </w:r>
            <w:r>
              <w:rPr>
                <w:noProof/>
                <w:webHidden/>
              </w:rPr>
              <w:instrText xml:space="preserve"> PAGEREF _Toc225945266 \h </w:instrText>
            </w:r>
            <w:r>
              <w:rPr>
                <w:noProof/>
                <w:webHidden/>
              </w:rPr>
            </w:r>
            <w:r>
              <w:rPr>
                <w:noProof/>
                <w:webHidden/>
              </w:rPr>
              <w:fldChar w:fldCharType="separate"/>
            </w:r>
            <w:r w:rsidR="00093EA3">
              <w:rPr>
                <w:noProof/>
                <w:webHidden/>
              </w:rPr>
              <w:t>10</w:t>
            </w:r>
            <w:r>
              <w:rPr>
                <w:noProof/>
                <w:webHidden/>
              </w:rPr>
              <w:fldChar w:fldCharType="end"/>
            </w:r>
          </w:hyperlink>
        </w:p>
        <w:p w14:paraId="4291481E" w14:textId="05A75436"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67" w:history="1">
            <w:r w:rsidRPr="0081068B">
              <w:rPr>
                <w:rStyle w:val="Hyperlink"/>
                <w:noProof/>
                <w:lang w:val="en-GB"/>
              </w:rPr>
              <w:t>6.2 Institutional responsibilities in Bosnia and Herzegovina</w:t>
            </w:r>
            <w:r>
              <w:rPr>
                <w:noProof/>
                <w:webHidden/>
              </w:rPr>
              <w:tab/>
            </w:r>
            <w:r>
              <w:rPr>
                <w:noProof/>
                <w:webHidden/>
              </w:rPr>
              <w:fldChar w:fldCharType="begin"/>
            </w:r>
            <w:r>
              <w:rPr>
                <w:noProof/>
                <w:webHidden/>
              </w:rPr>
              <w:instrText xml:space="preserve"> PAGEREF _Toc225945267 \h </w:instrText>
            </w:r>
            <w:r>
              <w:rPr>
                <w:noProof/>
                <w:webHidden/>
              </w:rPr>
            </w:r>
            <w:r>
              <w:rPr>
                <w:noProof/>
                <w:webHidden/>
              </w:rPr>
              <w:fldChar w:fldCharType="separate"/>
            </w:r>
            <w:r w:rsidR="00093EA3">
              <w:rPr>
                <w:noProof/>
                <w:webHidden/>
              </w:rPr>
              <w:t>10</w:t>
            </w:r>
            <w:r>
              <w:rPr>
                <w:noProof/>
                <w:webHidden/>
              </w:rPr>
              <w:fldChar w:fldCharType="end"/>
            </w:r>
          </w:hyperlink>
        </w:p>
        <w:p w14:paraId="5A888EB6" w14:textId="2DDFF4FC"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68" w:history="1">
            <w:r w:rsidRPr="0081068B">
              <w:rPr>
                <w:rStyle w:val="Hyperlink"/>
                <w:noProof/>
                <w:lang w:val="en-GB"/>
              </w:rPr>
              <w:t>6.3 Enforcement capacity: comparative observations</w:t>
            </w:r>
            <w:r>
              <w:rPr>
                <w:noProof/>
                <w:webHidden/>
              </w:rPr>
              <w:tab/>
            </w:r>
            <w:r>
              <w:rPr>
                <w:noProof/>
                <w:webHidden/>
              </w:rPr>
              <w:fldChar w:fldCharType="begin"/>
            </w:r>
            <w:r>
              <w:rPr>
                <w:noProof/>
                <w:webHidden/>
              </w:rPr>
              <w:instrText xml:space="preserve"> PAGEREF _Toc225945268 \h </w:instrText>
            </w:r>
            <w:r>
              <w:rPr>
                <w:noProof/>
                <w:webHidden/>
              </w:rPr>
            </w:r>
            <w:r>
              <w:rPr>
                <w:noProof/>
                <w:webHidden/>
              </w:rPr>
              <w:fldChar w:fldCharType="separate"/>
            </w:r>
            <w:r w:rsidR="00093EA3">
              <w:rPr>
                <w:noProof/>
                <w:webHidden/>
              </w:rPr>
              <w:t>11</w:t>
            </w:r>
            <w:r>
              <w:rPr>
                <w:noProof/>
                <w:webHidden/>
              </w:rPr>
              <w:fldChar w:fldCharType="end"/>
            </w:r>
          </w:hyperlink>
        </w:p>
        <w:p w14:paraId="43D7BC2D" w14:textId="67D2C41E"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69" w:history="1">
            <w:r w:rsidRPr="0081068B">
              <w:rPr>
                <w:rStyle w:val="Hyperlink"/>
                <w:noProof/>
                <w:lang w:val="en-GB"/>
              </w:rPr>
              <w:t>6.4 Implications for transboundary implementation</w:t>
            </w:r>
            <w:r>
              <w:rPr>
                <w:noProof/>
                <w:webHidden/>
              </w:rPr>
              <w:tab/>
            </w:r>
            <w:r>
              <w:rPr>
                <w:noProof/>
                <w:webHidden/>
              </w:rPr>
              <w:fldChar w:fldCharType="begin"/>
            </w:r>
            <w:r>
              <w:rPr>
                <w:noProof/>
                <w:webHidden/>
              </w:rPr>
              <w:instrText xml:space="preserve"> PAGEREF _Toc225945269 \h </w:instrText>
            </w:r>
            <w:r>
              <w:rPr>
                <w:noProof/>
                <w:webHidden/>
              </w:rPr>
            </w:r>
            <w:r>
              <w:rPr>
                <w:noProof/>
                <w:webHidden/>
              </w:rPr>
              <w:fldChar w:fldCharType="separate"/>
            </w:r>
            <w:r w:rsidR="00093EA3">
              <w:rPr>
                <w:noProof/>
                <w:webHidden/>
              </w:rPr>
              <w:t>11</w:t>
            </w:r>
            <w:r>
              <w:rPr>
                <w:noProof/>
                <w:webHidden/>
              </w:rPr>
              <w:fldChar w:fldCharType="end"/>
            </w:r>
          </w:hyperlink>
        </w:p>
        <w:p w14:paraId="465ADEF1" w14:textId="61EC1B58" w:rsidR="009E1736" w:rsidRDefault="009E1736">
          <w:pPr>
            <w:pStyle w:val="TOC1"/>
            <w:rPr>
              <w:rFonts w:eastAsiaTheme="minorEastAsia"/>
              <w:noProof/>
              <w:kern w:val="2"/>
              <w:sz w:val="24"/>
              <w:szCs w:val="24"/>
              <w:lang w:val="hr-HR" w:eastAsia="hr-HR"/>
              <w14:ligatures w14:val="standardContextual"/>
            </w:rPr>
          </w:pPr>
          <w:hyperlink w:anchor="_Toc225945270" w:history="1">
            <w:r w:rsidRPr="0081068B">
              <w:rPr>
                <w:rStyle w:val="Hyperlink"/>
                <w:noProof/>
                <w:lang w:val="en-GB"/>
              </w:rPr>
              <w:t>7 Joint criteria and methodologies for managing sanitary protection zones</w:t>
            </w:r>
            <w:r>
              <w:rPr>
                <w:noProof/>
                <w:webHidden/>
              </w:rPr>
              <w:tab/>
            </w:r>
            <w:r>
              <w:rPr>
                <w:noProof/>
                <w:webHidden/>
              </w:rPr>
              <w:fldChar w:fldCharType="begin"/>
            </w:r>
            <w:r>
              <w:rPr>
                <w:noProof/>
                <w:webHidden/>
              </w:rPr>
              <w:instrText xml:space="preserve"> PAGEREF _Toc225945270 \h </w:instrText>
            </w:r>
            <w:r>
              <w:rPr>
                <w:noProof/>
                <w:webHidden/>
              </w:rPr>
            </w:r>
            <w:r>
              <w:rPr>
                <w:noProof/>
                <w:webHidden/>
              </w:rPr>
              <w:fldChar w:fldCharType="separate"/>
            </w:r>
            <w:r w:rsidR="00093EA3">
              <w:rPr>
                <w:noProof/>
                <w:webHidden/>
              </w:rPr>
              <w:t>12</w:t>
            </w:r>
            <w:r>
              <w:rPr>
                <w:noProof/>
                <w:webHidden/>
              </w:rPr>
              <w:fldChar w:fldCharType="end"/>
            </w:r>
          </w:hyperlink>
        </w:p>
        <w:p w14:paraId="2727A02A" w14:textId="29CE3D49"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71" w:history="1">
            <w:r w:rsidRPr="0081068B">
              <w:rPr>
                <w:rStyle w:val="Hyperlink"/>
                <w:noProof/>
                <w:lang w:val="en-GB"/>
              </w:rPr>
              <w:t>7.1 Shared principles for assessing recharge areas and groundwater vulnerability</w:t>
            </w:r>
            <w:r>
              <w:rPr>
                <w:noProof/>
                <w:webHidden/>
              </w:rPr>
              <w:tab/>
            </w:r>
            <w:r>
              <w:rPr>
                <w:noProof/>
                <w:webHidden/>
              </w:rPr>
              <w:fldChar w:fldCharType="begin"/>
            </w:r>
            <w:r>
              <w:rPr>
                <w:noProof/>
                <w:webHidden/>
              </w:rPr>
              <w:instrText xml:space="preserve"> PAGEREF _Toc225945271 \h </w:instrText>
            </w:r>
            <w:r>
              <w:rPr>
                <w:noProof/>
                <w:webHidden/>
              </w:rPr>
            </w:r>
            <w:r>
              <w:rPr>
                <w:noProof/>
                <w:webHidden/>
              </w:rPr>
              <w:fldChar w:fldCharType="separate"/>
            </w:r>
            <w:r w:rsidR="00093EA3">
              <w:rPr>
                <w:noProof/>
                <w:webHidden/>
              </w:rPr>
              <w:t>13</w:t>
            </w:r>
            <w:r>
              <w:rPr>
                <w:noProof/>
                <w:webHidden/>
              </w:rPr>
              <w:fldChar w:fldCharType="end"/>
            </w:r>
          </w:hyperlink>
        </w:p>
        <w:p w14:paraId="36383237" w14:textId="101FCB39"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72" w:history="1">
            <w:r w:rsidRPr="0081068B">
              <w:rPr>
                <w:rStyle w:val="Hyperlink"/>
                <w:noProof/>
                <w:lang w:val="en-GB"/>
              </w:rPr>
              <w:t>7.1.1 Groundwater vulnerability mapping</w:t>
            </w:r>
            <w:r>
              <w:rPr>
                <w:noProof/>
                <w:webHidden/>
              </w:rPr>
              <w:tab/>
            </w:r>
            <w:r>
              <w:rPr>
                <w:noProof/>
                <w:webHidden/>
              </w:rPr>
              <w:fldChar w:fldCharType="begin"/>
            </w:r>
            <w:r>
              <w:rPr>
                <w:noProof/>
                <w:webHidden/>
              </w:rPr>
              <w:instrText xml:space="preserve"> PAGEREF _Toc225945272 \h </w:instrText>
            </w:r>
            <w:r>
              <w:rPr>
                <w:noProof/>
                <w:webHidden/>
              </w:rPr>
            </w:r>
            <w:r>
              <w:rPr>
                <w:noProof/>
                <w:webHidden/>
              </w:rPr>
              <w:fldChar w:fldCharType="separate"/>
            </w:r>
            <w:r w:rsidR="00093EA3">
              <w:rPr>
                <w:noProof/>
                <w:webHidden/>
              </w:rPr>
              <w:t>13</w:t>
            </w:r>
            <w:r>
              <w:rPr>
                <w:noProof/>
                <w:webHidden/>
              </w:rPr>
              <w:fldChar w:fldCharType="end"/>
            </w:r>
          </w:hyperlink>
        </w:p>
        <w:p w14:paraId="24EB4259" w14:textId="30AF3BEB"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73" w:history="1">
            <w:r w:rsidRPr="0081068B">
              <w:rPr>
                <w:rStyle w:val="Hyperlink"/>
                <w:noProof/>
                <w:lang w:val="en-GB"/>
              </w:rPr>
              <w:t>7.1.2 Guidance for using vulnerability mapping as a harmonising tool between countries</w:t>
            </w:r>
            <w:r>
              <w:rPr>
                <w:noProof/>
                <w:webHidden/>
              </w:rPr>
              <w:tab/>
            </w:r>
            <w:r>
              <w:rPr>
                <w:noProof/>
                <w:webHidden/>
              </w:rPr>
              <w:fldChar w:fldCharType="begin"/>
            </w:r>
            <w:r>
              <w:rPr>
                <w:noProof/>
                <w:webHidden/>
              </w:rPr>
              <w:instrText xml:space="preserve"> PAGEREF _Toc225945273 \h </w:instrText>
            </w:r>
            <w:r>
              <w:rPr>
                <w:noProof/>
                <w:webHidden/>
              </w:rPr>
            </w:r>
            <w:r>
              <w:rPr>
                <w:noProof/>
                <w:webHidden/>
              </w:rPr>
              <w:fldChar w:fldCharType="separate"/>
            </w:r>
            <w:r w:rsidR="00093EA3">
              <w:rPr>
                <w:noProof/>
                <w:webHidden/>
              </w:rPr>
              <w:t>14</w:t>
            </w:r>
            <w:r>
              <w:rPr>
                <w:noProof/>
                <w:webHidden/>
              </w:rPr>
              <w:fldChar w:fldCharType="end"/>
            </w:r>
          </w:hyperlink>
        </w:p>
        <w:p w14:paraId="705D060E" w14:textId="3A32B4EE"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74" w:history="1">
            <w:r w:rsidRPr="0081068B">
              <w:rPr>
                <w:rStyle w:val="Hyperlink"/>
                <w:noProof/>
                <w:lang w:val="en-GB"/>
              </w:rPr>
              <w:t>7.1.3 Event</w:t>
            </w:r>
            <w:r w:rsidRPr="0081068B">
              <w:rPr>
                <w:rStyle w:val="Hyperlink"/>
                <w:rFonts w:ascii="Cambria Math" w:hAnsi="Cambria Math" w:cs="Cambria Math"/>
                <w:noProof/>
                <w:lang w:val="en-GB"/>
              </w:rPr>
              <w:t>‑</w:t>
            </w:r>
            <w:r w:rsidRPr="0081068B">
              <w:rPr>
                <w:rStyle w:val="Hyperlink"/>
                <w:noProof/>
                <w:lang w:val="en-GB"/>
              </w:rPr>
              <w:t>driven dynamics and implications for shared methodologies</w:t>
            </w:r>
            <w:r>
              <w:rPr>
                <w:noProof/>
                <w:webHidden/>
              </w:rPr>
              <w:tab/>
            </w:r>
            <w:r>
              <w:rPr>
                <w:noProof/>
                <w:webHidden/>
              </w:rPr>
              <w:fldChar w:fldCharType="begin"/>
            </w:r>
            <w:r>
              <w:rPr>
                <w:noProof/>
                <w:webHidden/>
              </w:rPr>
              <w:instrText xml:space="preserve"> PAGEREF _Toc225945274 \h </w:instrText>
            </w:r>
            <w:r>
              <w:rPr>
                <w:noProof/>
                <w:webHidden/>
              </w:rPr>
            </w:r>
            <w:r>
              <w:rPr>
                <w:noProof/>
                <w:webHidden/>
              </w:rPr>
              <w:fldChar w:fldCharType="separate"/>
            </w:r>
            <w:r w:rsidR="00093EA3">
              <w:rPr>
                <w:noProof/>
                <w:webHidden/>
              </w:rPr>
              <w:t>15</w:t>
            </w:r>
            <w:r>
              <w:rPr>
                <w:noProof/>
                <w:webHidden/>
              </w:rPr>
              <w:fldChar w:fldCharType="end"/>
            </w:r>
          </w:hyperlink>
        </w:p>
        <w:p w14:paraId="3BBE29FE" w14:textId="1A09BA69"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75" w:history="1">
            <w:r w:rsidRPr="0081068B">
              <w:rPr>
                <w:rStyle w:val="Hyperlink"/>
                <w:noProof/>
                <w:lang w:val="en-GB"/>
              </w:rPr>
              <w:t>7.2 Harmonised non</w:t>
            </w:r>
            <w:r w:rsidRPr="0081068B">
              <w:rPr>
                <w:rStyle w:val="Hyperlink"/>
                <w:rFonts w:ascii="Cambria Math" w:hAnsi="Cambria Math" w:cs="Cambria Math"/>
                <w:noProof/>
                <w:lang w:val="en-GB"/>
              </w:rPr>
              <w:t>‑</w:t>
            </w:r>
            <w:r w:rsidRPr="0081068B">
              <w:rPr>
                <w:rStyle w:val="Hyperlink"/>
                <w:noProof/>
                <w:lang w:val="en-GB"/>
              </w:rPr>
              <w:t>binding criteria for operational management of sanitary protection zones</w:t>
            </w:r>
            <w:r>
              <w:rPr>
                <w:noProof/>
                <w:webHidden/>
              </w:rPr>
              <w:tab/>
            </w:r>
            <w:r>
              <w:rPr>
                <w:noProof/>
                <w:webHidden/>
              </w:rPr>
              <w:fldChar w:fldCharType="begin"/>
            </w:r>
            <w:r>
              <w:rPr>
                <w:noProof/>
                <w:webHidden/>
              </w:rPr>
              <w:instrText xml:space="preserve"> PAGEREF _Toc225945275 \h </w:instrText>
            </w:r>
            <w:r>
              <w:rPr>
                <w:noProof/>
                <w:webHidden/>
              </w:rPr>
            </w:r>
            <w:r>
              <w:rPr>
                <w:noProof/>
                <w:webHidden/>
              </w:rPr>
              <w:fldChar w:fldCharType="separate"/>
            </w:r>
            <w:r w:rsidR="00093EA3">
              <w:rPr>
                <w:noProof/>
                <w:webHidden/>
              </w:rPr>
              <w:t>15</w:t>
            </w:r>
            <w:r>
              <w:rPr>
                <w:noProof/>
                <w:webHidden/>
              </w:rPr>
              <w:fldChar w:fldCharType="end"/>
            </w:r>
          </w:hyperlink>
        </w:p>
        <w:p w14:paraId="095DC620" w14:textId="124CC96C"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76" w:history="1">
            <w:r w:rsidRPr="0081068B">
              <w:rPr>
                <w:rStyle w:val="Hyperlink"/>
                <w:noProof/>
                <w:lang w:val="en-GB"/>
              </w:rPr>
              <w:t>7.2.1 Prioritising high</w:t>
            </w:r>
            <w:r w:rsidRPr="0081068B">
              <w:rPr>
                <w:rStyle w:val="Hyperlink"/>
                <w:rFonts w:ascii="Cambria Math" w:hAnsi="Cambria Math" w:cs="Cambria Math"/>
                <w:noProof/>
                <w:lang w:val="en-GB"/>
              </w:rPr>
              <w:t>‑</w:t>
            </w:r>
            <w:r w:rsidRPr="0081068B">
              <w:rPr>
                <w:rStyle w:val="Hyperlink"/>
                <w:noProof/>
                <w:lang w:val="en-GB"/>
              </w:rPr>
              <w:t>risk recharge and infiltration areas</w:t>
            </w:r>
            <w:r>
              <w:rPr>
                <w:noProof/>
                <w:webHidden/>
              </w:rPr>
              <w:tab/>
            </w:r>
            <w:r>
              <w:rPr>
                <w:noProof/>
                <w:webHidden/>
              </w:rPr>
              <w:fldChar w:fldCharType="begin"/>
            </w:r>
            <w:r>
              <w:rPr>
                <w:noProof/>
                <w:webHidden/>
              </w:rPr>
              <w:instrText xml:space="preserve"> PAGEREF _Toc225945276 \h </w:instrText>
            </w:r>
            <w:r>
              <w:rPr>
                <w:noProof/>
                <w:webHidden/>
              </w:rPr>
            </w:r>
            <w:r>
              <w:rPr>
                <w:noProof/>
                <w:webHidden/>
              </w:rPr>
              <w:fldChar w:fldCharType="separate"/>
            </w:r>
            <w:r w:rsidR="00093EA3">
              <w:rPr>
                <w:noProof/>
                <w:webHidden/>
              </w:rPr>
              <w:t>16</w:t>
            </w:r>
            <w:r>
              <w:rPr>
                <w:noProof/>
                <w:webHidden/>
              </w:rPr>
              <w:fldChar w:fldCharType="end"/>
            </w:r>
          </w:hyperlink>
        </w:p>
        <w:p w14:paraId="6D866CB9" w14:textId="42AAA7C2"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77" w:history="1">
            <w:r w:rsidRPr="0081068B">
              <w:rPr>
                <w:rStyle w:val="Hyperlink"/>
                <w:noProof/>
                <w:lang w:val="en-GB"/>
              </w:rPr>
              <w:t>7.2.2 Aligning expectations for routine and event</w:t>
            </w:r>
            <w:r w:rsidRPr="0081068B">
              <w:rPr>
                <w:rStyle w:val="Hyperlink"/>
                <w:rFonts w:ascii="Cambria Math" w:hAnsi="Cambria Math" w:cs="Cambria Math"/>
                <w:noProof/>
                <w:lang w:val="en-GB"/>
              </w:rPr>
              <w:t>‑</w:t>
            </w:r>
            <w:r w:rsidRPr="0081068B">
              <w:rPr>
                <w:rStyle w:val="Hyperlink"/>
                <w:noProof/>
                <w:lang w:val="en-GB"/>
              </w:rPr>
              <w:t>based monitoring</w:t>
            </w:r>
            <w:r>
              <w:rPr>
                <w:noProof/>
                <w:webHidden/>
              </w:rPr>
              <w:tab/>
            </w:r>
            <w:r>
              <w:rPr>
                <w:noProof/>
                <w:webHidden/>
              </w:rPr>
              <w:fldChar w:fldCharType="begin"/>
            </w:r>
            <w:r>
              <w:rPr>
                <w:noProof/>
                <w:webHidden/>
              </w:rPr>
              <w:instrText xml:space="preserve"> PAGEREF _Toc225945277 \h </w:instrText>
            </w:r>
            <w:r>
              <w:rPr>
                <w:noProof/>
                <w:webHidden/>
              </w:rPr>
            </w:r>
            <w:r>
              <w:rPr>
                <w:noProof/>
                <w:webHidden/>
              </w:rPr>
              <w:fldChar w:fldCharType="separate"/>
            </w:r>
            <w:r w:rsidR="00093EA3">
              <w:rPr>
                <w:noProof/>
                <w:webHidden/>
              </w:rPr>
              <w:t>16</w:t>
            </w:r>
            <w:r>
              <w:rPr>
                <w:noProof/>
                <w:webHidden/>
              </w:rPr>
              <w:fldChar w:fldCharType="end"/>
            </w:r>
          </w:hyperlink>
        </w:p>
        <w:p w14:paraId="5905F0C3" w14:textId="22AC18B1"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78" w:history="1">
            <w:r w:rsidRPr="0081068B">
              <w:rPr>
                <w:rStyle w:val="Hyperlink"/>
                <w:noProof/>
                <w:lang w:val="en-GB"/>
              </w:rPr>
              <w:t>7.2.3 Structuring inspection planning around shared risk indicators</w:t>
            </w:r>
            <w:r>
              <w:rPr>
                <w:noProof/>
                <w:webHidden/>
              </w:rPr>
              <w:tab/>
            </w:r>
            <w:r>
              <w:rPr>
                <w:noProof/>
                <w:webHidden/>
              </w:rPr>
              <w:fldChar w:fldCharType="begin"/>
            </w:r>
            <w:r>
              <w:rPr>
                <w:noProof/>
                <w:webHidden/>
              </w:rPr>
              <w:instrText xml:space="preserve"> PAGEREF _Toc225945278 \h </w:instrText>
            </w:r>
            <w:r>
              <w:rPr>
                <w:noProof/>
                <w:webHidden/>
              </w:rPr>
            </w:r>
            <w:r>
              <w:rPr>
                <w:noProof/>
                <w:webHidden/>
              </w:rPr>
              <w:fldChar w:fldCharType="separate"/>
            </w:r>
            <w:r w:rsidR="00093EA3">
              <w:rPr>
                <w:noProof/>
                <w:webHidden/>
              </w:rPr>
              <w:t>16</w:t>
            </w:r>
            <w:r>
              <w:rPr>
                <w:noProof/>
                <w:webHidden/>
              </w:rPr>
              <w:fldChar w:fldCharType="end"/>
            </w:r>
          </w:hyperlink>
        </w:p>
        <w:p w14:paraId="53F256E9" w14:textId="7CD92CE1"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79" w:history="1">
            <w:r w:rsidRPr="0081068B">
              <w:rPr>
                <w:rStyle w:val="Hyperlink"/>
                <w:noProof/>
                <w:lang w:val="en-GB"/>
              </w:rPr>
              <w:t>7.2.4 Establishing compatible operational responses during heigh risk periods</w:t>
            </w:r>
            <w:r>
              <w:rPr>
                <w:noProof/>
                <w:webHidden/>
              </w:rPr>
              <w:tab/>
            </w:r>
            <w:r>
              <w:rPr>
                <w:noProof/>
                <w:webHidden/>
              </w:rPr>
              <w:fldChar w:fldCharType="begin"/>
            </w:r>
            <w:r>
              <w:rPr>
                <w:noProof/>
                <w:webHidden/>
              </w:rPr>
              <w:instrText xml:space="preserve"> PAGEREF _Toc225945279 \h </w:instrText>
            </w:r>
            <w:r>
              <w:rPr>
                <w:noProof/>
                <w:webHidden/>
              </w:rPr>
            </w:r>
            <w:r>
              <w:rPr>
                <w:noProof/>
                <w:webHidden/>
              </w:rPr>
              <w:fldChar w:fldCharType="separate"/>
            </w:r>
            <w:r w:rsidR="00093EA3">
              <w:rPr>
                <w:noProof/>
                <w:webHidden/>
              </w:rPr>
              <w:t>16</w:t>
            </w:r>
            <w:r>
              <w:rPr>
                <w:noProof/>
                <w:webHidden/>
              </w:rPr>
              <w:fldChar w:fldCharType="end"/>
            </w:r>
          </w:hyperlink>
        </w:p>
        <w:p w14:paraId="12FCFBF8" w14:textId="1A6CD510"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80" w:history="1">
            <w:r w:rsidRPr="0081068B">
              <w:rPr>
                <w:rStyle w:val="Hyperlink"/>
                <w:noProof/>
                <w:lang w:val="en-GB"/>
              </w:rPr>
              <w:t>7.2.5 Introducing a shared technical vocabulary for SPZ operations</w:t>
            </w:r>
            <w:r>
              <w:rPr>
                <w:noProof/>
                <w:webHidden/>
              </w:rPr>
              <w:tab/>
            </w:r>
            <w:r>
              <w:rPr>
                <w:noProof/>
                <w:webHidden/>
              </w:rPr>
              <w:fldChar w:fldCharType="begin"/>
            </w:r>
            <w:r>
              <w:rPr>
                <w:noProof/>
                <w:webHidden/>
              </w:rPr>
              <w:instrText xml:space="preserve"> PAGEREF _Toc225945280 \h </w:instrText>
            </w:r>
            <w:r>
              <w:rPr>
                <w:noProof/>
                <w:webHidden/>
              </w:rPr>
            </w:r>
            <w:r>
              <w:rPr>
                <w:noProof/>
                <w:webHidden/>
              </w:rPr>
              <w:fldChar w:fldCharType="separate"/>
            </w:r>
            <w:r w:rsidR="00093EA3">
              <w:rPr>
                <w:noProof/>
                <w:webHidden/>
              </w:rPr>
              <w:t>16</w:t>
            </w:r>
            <w:r>
              <w:rPr>
                <w:noProof/>
                <w:webHidden/>
              </w:rPr>
              <w:fldChar w:fldCharType="end"/>
            </w:r>
          </w:hyperlink>
        </w:p>
        <w:p w14:paraId="0E5B0BF9" w14:textId="311DD922"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81" w:history="1">
            <w:r w:rsidRPr="0081068B">
              <w:rPr>
                <w:rStyle w:val="Hyperlink"/>
                <w:noProof/>
                <w:lang w:val="en-GB"/>
              </w:rPr>
              <w:t>7.2.6 Using harmonised criteria to support coordinated communication with local actors</w:t>
            </w:r>
            <w:r>
              <w:rPr>
                <w:noProof/>
                <w:webHidden/>
              </w:rPr>
              <w:tab/>
            </w:r>
            <w:r>
              <w:rPr>
                <w:noProof/>
                <w:webHidden/>
              </w:rPr>
              <w:fldChar w:fldCharType="begin"/>
            </w:r>
            <w:r>
              <w:rPr>
                <w:noProof/>
                <w:webHidden/>
              </w:rPr>
              <w:instrText xml:space="preserve"> PAGEREF _Toc225945281 \h </w:instrText>
            </w:r>
            <w:r>
              <w:rPr>
                <w:noProof/>
                <w:webHidden/>
              </w:rPr>
            </w:r>
            <w:r>
              <w:rPr>
                <w:noProof/>
                <w:webHidden/>
              </w:rPr>
              <w:fldChar w:fldCharType="separate"/>
            </w:r>
            <w:r w:rsidR="00093EA3">
              <w:rPr>
                <w:noProof/>
                <w:webHidden/>
              </w:rPr>
              <w:t>16</w:t>
            </w:r>
            <w:r>
              <w:rPr>
                <w:noProof/>
                <w:webHidden/>
              </w:rPr>
              <w:fldChar w:fldCharType="end"/>
            </w:r>
          </w:hyperlink>
        </w:p>
        <w:p w14:paraId="55E70FBF" w14:textId="1A0CE147"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82" w:history="1">
            <w:r w:rsidRPr="0081068B">
              <w:rPr>
                <w:rStyle w:val="Hyperlink"/>
                <w:noProof/>
                <w:lang w:val="en-GB"/>
              </w:rPr>
              <w:t>7.2.7 Creating an iterative framework for progressive alignment of SPZ management</w:t>
            </w:r>
            <w:r>
              <w:rPr>
                <w:noProof/>
                <w:webHidden/>
              </w:rPr>
              <w:tab/>
            </w:r>
            <w:r>
              <w:rPr>
                <w:noProof/>
                <w:webHidden/>
              </w:rPr>
              <w:fldChar w:fldCharType="begin"/>
            </w:r>
            <w:r>
              <w:rPr>
                <w:noProof/>
                <w:webHidden/>
              </w:rPr>
              <w:instrText xml:space="preserve"> PAGEREF _Toc225945282 \h </w:instrText>
            </w:r>
            <w:r>
              <w:rPr>
                <w:noProof/>
                <w:webHidden/>
              </w:rPr>
            </w:r>
            <w:r>
              <w:rPr>
                <w:noProof/>
                <w:webHidden/>
              </w:rPr>
              <w:fldChar w:fldCharType="separate"/>
            </w:r>
            <w:r w:rsidR="00093EA3">
              <w:rPr>
                <w:noProof/>
                <w:webHidden/>
              </w:rPr>
              <w:t>17</w:t>
            </w:r>
            <w:r>
              <w:rPr>
                <w:noProof/>
                <w:webHidden/>
              </w:rPr>
              <w:fldChar w:fldCharType="end"/>
            </w:r>
          </w:hyperlink>
        </w:p>
        <w:p w14:paraId="1C53E662" w14:textId="424A637C"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83" w:history="1">
            <w:r w:rsidRPr="0081068B">
              <w:rPr>
                <w:rStyle w:val="Hyperlink"/>
                <w:noProof/>
                <w:lang w:val="en-GB"/>
              </w:rPr>
              <w:t>7.3 Shared tools supporting sanitary protection zone management</w:t>
            </w:r>
            <w:r>
              <w:rPr>
                <w:noProof/>
                <w:webHidden/>
              </w:rPr>
              <w:tab/>
            </w:r>
            <w:r>
              <w:rPr>
                <w:noProof/>
                <w:webHidden/>
              </w:rPr>
              <w:fldChar w:fldCharType="begin"/>
            </w:r>
            <w:r>
              <w:rPr>
                <w:noProof/>
                <w:webHidden/>
              </w:rPr>
              <w:instrText xml:space="preserve"> PAGEREF _Toc225945283 \h </w:instrText>
            </w:r>
            <w:r>
              <w:rPr>
                <w:noProof/>
                <w:webHidden/>
              </w:rPr>
            </w:r>
            <w:r>
              <w:rPr>
                <w:noProof/>
                <w:webHidden/>
              </w:rPr>
              <w:fldChar w:fldCharType="separate"/>
            </w:r>
            <w:r w:rsidR="00093EA3">
              <w:rPr>
                <w:noProof/>
                <w:webHidden/>
              </w:rPr>
              <w:t>17</w:t>
            </w:r>
            <w:r>
              <w:rPr>
                <w:noProof/>
                <w:webHidden/>
              </w:rPr>
              <w:fldChar w:fldCharType="end"/>
            </w:r>
          </w:hyperlink>
        </w:p>
        <w:p w14:paraId="59BA08D4" w14:textId="72D45980"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84" w:history="1">
            <w:r w:rsidRPr="0081068B">
              <w:rPr>
                <w:rStyle w:val="Hyperlink"/>
                <w:noProof/>
                <w:lang w:val="en-GB"/>
              </w:rPr>
              <w:t>7.3.1 Joint approaches for investigating recharge areas and flow connectivity</w:t>
            </w:r>
            <w:r>
              <w:rPr>
                <w:noProof/>
                <w:webHidden/>
              </w:rPr>
              <w:tab/>
            </w:r>
            <w:r>
              <w:rPr>
                <w:noProof/>
                <w:webHidden/>
              </w:rPr>
              <w:fldChar w:fldCharType="begin"/>
            </w:r>
            <w:r>
              <w:rPr>
                <w:noProof/>
                <w:webHidden/>
              </w:rPr>
              <w:instrText xml:space="preserve"> PAGEREF _Toc225945284 \h </w:instrText>
            </w:r>
            <w:r>
              <w:rPr>
                <w:noProof/>
                <w:webHidden/>
              </w:rPr>
            </w:r>
            <w:r>
              <w:rPr>
                <w:noProof/>
                <w:webHidden/>
              </w:rPr>
              <w:fldChar w:fldCharType="separate"/>
            </w:r>
            <w:r w:rsidR="00093EA3">
              <w:rPr>
                <w:noProof/>
                <w:webHidden/>
              </w:rPr>
              <w:t>17</w:t>
            </w:r>
            <w:r>
              <w:rPr>
                <w:noProof/>
                <w:webHidden/>
              </w:rPr>
              <w:fldChar w:fldCharType="end"/>
            </w:r>
          </w:hyperlink>
        </w:p>
        <w:p w14:paraId="50F194F1" w14:textId="0DC01452"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85" w:history="1">
            <w:r w:rsidRPr="0081068B">
              <w:rPr>
                <w:rStyle w:val="Hyperlink"/>
                <w:noProof/>
                <w:lang w:val="en-GB"/>
              </w:rPr>
              <w:t>7.3.2 Harmonised use of vulnerability</w:t>
            </w:r>
            <w:r w:rsidRPr="0081068B">
              <w:rPr>
                <w:rStyle w:val="Hyperlink"/>
                <w:rFonts w:ascii="Cambria Math" w:hAnsi="Cambria Math" w:cs="Cambria Math"/>
                <w:noProof/>
                <w:lang w:val="en-GB"/>
              </w:rPr>
              <w:t>‑</w:t>
            </w:r>
            <w:r w:rsidRPr="0081068B">
              <w:rPr>
                <w:rStyle w:val="Hyperlink"/>
                <w:noProof/>
                <w:lang w:val="en-GB"/>
              </w:rPr>
              <w:t>based assessment tools</w:t>
            </w:r>
            <w:r>
              <w:rPr>
                <w:noProof/>
                <w:webHidden/>
              </w:rPr>
              <w:tab/>
            </w:r>
            <w:r>
              <w:rPr>
                <w:noProof/>
                <w:webHidden/>
              </w:rPr>
              <w:fldChar w:fldCharType="begin"/>
            </w:r>
            <w:r>
              <w:rPr>
                <w:noProof/>
                <w:webHidden/>
              </w:rPr>
              <w:instrText xml:space="preserve"> PAGEREF _Toc225945285 \h </w:instrText>
            </w:r>
            <w:r>
              <w:rPr>
                <w:noProof/>
                <w:webHidden/>
              </w:rPr>
            </w:r>
            <w:r>
              <w:rPr>
                <w:noProof/>
                <w:webHidden/>
              </w:rPr>
              <w:fldChar w:fldCharType="separate"/>
            </w:r>
            <w:r w:rsidR="00093EA3">
              <w:rPr>
                <w:noProof/>
                <w:webHidden/>
              </w:rPr>
              <w:t>17</w:t>
            </w:r>
            <w:r>
              <w:rPr>
                <w:noProof/>
                <w:webHidden/>
              </w:rPr>
              <w:fldChar w:fldCharType="end"/>
            </w:r>
          </w:hyperlink>
        </w:p>
        <w:p w14:paraId="5EEBB8EA" w14:textId="2E6F4956"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86" w:history="1">
            <w:r w:rsidRPr="0081068B">
              <w:rPr>
                <w:rStyle w:val="Hyperlink"/>
                <w:noProof/>
                <w:lang w:val="en-GB"/>
              </w:rPr>
              <w:t>7.3.3 Event</w:t>
            </w:r>
            <w:r w:rsidRPr="0081068B">
              <w:rPr>
                <w:rStyle w:val="Hyperlink"/>
                <w:rFonts w:ascii="Cambria Math" w:hAnsi="Cambria Math" w:cs="Cambria Math"/>
                <w:noProof/>
                <w:lang w:val="en-GB"/>
              </w:rPr>
              <w:t>‑</w:t>
            </w:r>
            <w:r w:rsidRPr="0081068B">
              <w:rPr>
                <w:rStyle w:val="Hyperlink"/>
                <w:noProof/>
                <w:lang w:val="en-GB"/>
              </w:rPr>
              <w:t>responsive tools for early detection and operational decision</w:t>
            </w:r>
            <w:r w:rsidRPr="0081068B">
              <w:rPr>
                <w:rStyle w:val="Hyperlink"/>
                <w:rFonts w:ascii="Cambria Math" w:hAnsi="Cambria Math" w:cs="Cambria Math"/>
                <w:noProof/>
                <w:lang w:val="en-GB"/>
              </w:rPr>
              <w:t>‑</w:t>
            </w:r>
            <w:r w:rsidRPr="0081068B">
              <w:rPr>
                <w:rStyle w:val="Hyperlink"/>
                <w:noProof/>
                <w:lang w:val="en-GB"/>
              </w:rPr>
              <w:t>making</w:t>
            </w:r>
            <w:r>
              <w:rPr>
                <w:noProof/>
                <w:webHidden/>
              </w:rPr>
              <w:tab/>
            </w:r>
            <w:r>
              <w:rPr>
                <w:noProof/>
                <w:webHidden/>
              </w:rPr>
              <w:fldChar w:fldCharType="begin"/>
            </w:r>
            <w:r>
              <w:rPr>
                <w:noProof/>
                <w:webHidden/>
              </w:rPr>
              <w:instrText xml:space="preserve"> PAGEREF _Toc225945286 \h </w:instrText>
            </w:r>
            <w:r>
              <w:rPr>
                <w:noProof/>
                <w:webHidden/>
              </w:rPr>
            </w:r>
            <w:r>
              <w:rPr>
                <w:noProof/>
                <w:webHidden/>
              </w:rPr>
              <w:fldChar w:fldCharType="separate"/>
            </w:r>
            <w:r w:rsidR="00093EA3">
              <w:rPr>
                <w:noProof/>
                <w:webHidden/>
              </w:rPr>
              <w:t>17</w:t>
            </w:r>
            <w:r>
              <w:rPr>
                <w:noProof/>
                <w:webHidden/>
              </w:rPr>
              <w:fldChar w:fldCharType="end"/>
            </w:r>
          </w:hyperlink>
        </w:p>
        <w:p w14:paraId="1421E145" w14:textId="567B8250"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87" w:history="1">
            <w:r w:rsidRPr="0081068B">
              <w:rPr>
                <w:rStyle w:val="Hyperlink"/>
                <w:noProof/>
                <w:lang w:val="en-GB"/>
              </w:rPr>
              <w:t>7.3.4 Spatial tools for identifying hotspots and prioritising interventions</w:t>
            </w:r>
            <w:r>
              <w:rPr>
                <w:noProof/>
                <w:webHidden/>
              </w:rPr>
              <w:tab/>
            </w:r>
            <w:r>
              <w:rPr>
                <w:noProof/>
                <w:webHidden/>
              </w:rPr>
              <w:fldChar w:fldCharType="begin"/>
            </w:r>
            <w:r>
              <w:rPr>
                <w:noProof/>
                <w:webHidden/>
              </w:rPr>
              <w:instrText xml:space="preserve"> PAGEREF _Toc225945287 \h </w:instrText>
            </w:r>
            <w:r>
              <w:rPr>
                <w:noProof/>
                <w:webHidden/>
              </w:rPr>
            </w:r>
            <w:r>
              <w:rPr>
                <w:noProof/>
                <w:webHidden/>
              </w:rPr>
              <w:fldChar w:fldCharType="separate"/>
            </w:r>
            <w:r w:rsidR="00093EA3">
              <w:rPr>
                <w:noProof/>
                <w:webHidden/>
              </w:rPr>
              <w:t>18</w:t>
            </w:r>
            <w:r>
              <w:rPr>
                <w:noProof/>
                <w:webHidden/>
              </w:rPr>
              <w:fldChar w:fldCharType="end"/>
            </w:r>
          </w:hyperlink>
        </w:p>
        <w:p w14:paraId="72CBDBFF" w14:textId="3AF71108"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88" w:history="1">
            <w:r w:rsidRPr="0081068B">
              <w:rPr>
                <w:rStyle w:val="Hyperlink"/>
                <w:noProof/>
                <w:lang w:val="en-GB"/>
              </w:rPr>
              <w:t>7.3.5 Joint operational checklists and SPZ compliance tools</w:t>
            </w:r>
            <w:r>
              <w:rPr>
                <w:noProof/>
                <w:webHidden/>
              </w:rPr>
              <w:tab/>
            </w:r>
            <w:r>
              <w:rPr>
                <w:noProof/>
                <w:webHidden/>
              </w:rPr>
              <w:fldChar w:fldCharType="begin"/>
            </w:r>
            <w:r>
              <w:rPr>
                <w:noProof/>
                <w:webHidden/>
              </w:rPr>
              <w:instrText xml:space="preserve"> PAGEREF _Toc225945288 \h </w:instrText>
            </w:r>
            <w:r>
              <w:rPr>
                <w:noProof/>
                <w:webHidden/>
              </w:rPr>
            </w:r>
            <w:r>
              <w:rPr>
                <w:noProof/>
                <w:webHidden/>
              </w:rPr>
              <w:fldChar w:fldCharType="separate"/>
            </w:r>
            <w:r w:rsidR="00093EA3">
              <w:rPr>
                <w:noProof/>
                <w:webHidden/>
              </w:rPr>
              <w:t>18</w:t>
            </w:r>
            <w:r>
              <w:rPr>
                <w:noProof/>
                <w:webHidden/>
              </w:rPr>
              <w:fldChar w:fldCharType="end"/>
            </w:r>
          </w:hyperlink>
        </w:p>
        <w:p w14:paraId="11C3ADDD" w14:textId="6966D11B"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89" w:history="1">
            <w:r w:rsidRPr="0081068B">
              <w:rPr>
                <w:rStyle w:val="Hyperlink"/>
                <w:noProof/>
                <w:lang w:val="en-GB"/>
              </w:rPr>
              <w:t>7.3.6 Harmonised data</w:t>
            </w:r>
            <w:r w:rsidRPr="0081068B">
              <w:rPr>
                <w:rStyle w:val="Hyperlink"/>
                <w:rFonts w:ascii="Cambria Math" w:hAnsi="Cambria Math" w:cs="Cambria Math"/>
                <w:noProof/>
                <w:lang w:val="en-GB"/>
              </w:rPr>
              <w:t>‑</w:t>
            </w:r>
            <w:r w:rsidRPr="0081068B">
              <w:rPr>
                <w:rStyle w:val="Hyperlink"/>
                <w:noProof/>
                <w:lang w:val="en-GB"/>
              </w:rPr>
              <w:t>processing and visualisation tools</w:t>
            </w:r>
            <w:r>
              <w:rPr>
                <w:noProof/>
                <w:webHidden/>
              </w:rPr>
              <w:tab/>
            </w:r>
            <w:r>
              <w:rPr>
                <w:noProof/>
                <w:webHidden/>
              </w:rPr>
              <w:fldChar w:fldCharType="begin"/>
            </w:r>
            <w:r>
              <w:rPr>
                <w:noProof/>
                <w:webHidden/>
              </w:rPr>
              <w:instrText xml:space="preserve"> PAGEREF _Toc225945289 \h </w:instrText>
            </w:r>
            <w:r>
              <w:rPr>
                <w:noProof/>
                <w:webHidden/>
              </w:rPr>
            </w:r>
            <w:r>
              <w:rPr>
                <w:noProof/>
                <w:webHidden/>
              </w:rPr>
              <w:fldChar w:fldCharType="separate"/>
            </w:r>
            <w:r w:rsidR="00093EA3">
              <w:rPr>
                <w:noProof/>
                <w:webHidden/>
              </w:rPr>
              <w:t>18</w:t>
            </w:r>
            <w:r>
              <w:rPr>
                <w:noProof/>
                <w:webHidden/>
              </w:rPr>
              <w:fldChar w:fldCharType="end"/>
            </w:r>
          </w:hyperlink>
        </w:p>
        <w:p w14:paraId="1AF1C43D" w14:textId="0EAC552F"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290" w:history="1">
            <w:r w:rsidRPr="0081068B">
              <w:rPr>
                <w:rStyle w:val="Hyperlink"/>
                <w:noProof/>
                <w:lang w:val="en-GB"/>
              </w:rPr>
              <w:t>7.3.7 Tools for supporting joint risk assessment</w:t>
            </w:r>
            <w:r>
              <w:rPr>
                <w:noProof/>
                <w:webHidden/>
              </w:rPr>
              <w:tab/>
            </w:r>
            <w:r>
              <w:rPr>
                <w:noProof/>
                <w:webHidden/>
              </w:rPr>
              <w:fldChar w:fldCharType="begin"/>
            </w:r>
            <w:r>
              <w:rPr>
                <w:noProof/>
                <w:webHidden/>
              </w:rPr>
              <w:instrText xml:space="preserve"> PAGEREF _Toc225945290 \h </w:instrText>
            </w:r>
            <w:r>
              <w:rPr>
                <w:noProof/>
                <w:webHidden/>
              </w:rPr>
            </w:r>
            <w:r>
              <w:rPr>
                <w:noProof/>
                <w:webHidden/>
              </w:rPr>
              <w:fldChar w:fldCharType="separate"/>
            </w:r>
            <w:r w:rsidR="00093EA3">
              <w:rPr>
                <w:noProof/>
                <w:webHidden/>
              </w:rPr>
              <w:t>18</w:t>
            </w:r>
            <w:r>
              <w:rPr>
                <w:noProof/>
                <w:webHidden/>
              </w:rPr>
              <w:fldChar w:fldCharType="end"/>
            </w:r>
          </w:hyperlink>
        </w:p>
        <w:p w14:paraId="4802208A" w14:textId="093305AD" w:rsidR="009E1736" w:rsidRDefault="009E1736">
          <w:pPr>
            <w:pStyle w:val="TOC1"/>
            <w:rPr>
              <w:rFonts w:eastAsiaTheme="minorEastAsia"/>
              <w:noProof/>
              <w:kern w:val="2"/>
              <w:sz w:val="24"/>
              <w:szCs w:val="24"/>
              <w:lang w:val="hr-HR" w:eastAsia="hr-HR"/>
              <w14:ligatures w14:val="standardContextual"/>
            </w:rPr>
          </w:pPr>
          <w:hyperlink w:anchor="_Toc225945291" w:history="1">
            <w:r w:rsidRPr="0081068B">
              <w:rPr>
                <w:rStyle w:val="Hyperlink"/>
                <w:noProof/>
                <w:lang w:val="en-GB"/>
              </w:rPr>
              <w:t>8 Guidelines for updating the 1996 HR-BiH Water Management Agreement</w:t>
            </w:r>
            <w:r>
              <w:rPr>
                <w:noProof/>
                <w:webHidden/>
              </w:rPr>
              <w:tab/>
            </w:r>
            <w:r>
              <w:rPr>
                <w:noProof/>
                <w:webHidden/>
              </w:rPr>
              <w:fldChar w:fldCharType="begin"/>
            </w:r>
            <w:r>
              <w:rPr>
                <w:noProof/>
                <w:webHidden/>
              </w:rPr>
              <w:instrText xml:space="preserve"> PAGEREF _Toc225945291 \h </w:instrText>
            </w:r>
            <w:r>
              <w:rPr>
                <w:noProof/>
                <w:webHidden/>
              </w:rPr>
            </w:r>
            <w:r>
              <w:rPr>
                <w:noProof/>
                <w:webHidden/>
              </w:rPr>
              <w:fldChar w:fldCharType="separate"/>
            </w:r>
            <w:r w:rsidR="00093EA3">
              <w:rPr>
                <w:noProof/>
                <w:webHidden/>
              </w:rPr>
              <w:t>19</w:t>
            </w:r>
            <w:r>
              <w:rPr>
                <w:noProof/>
                <w:webHidden/>
              </w:rPr>
              <w:fldChar w:fldCharType="end"/>
            </w:r>
          </w:hyperlink>
        </w:p>
        <w:p w14:paraId="14A739CF" w14:textId="532B489E" w:rsidR="009E1736" w:rsidRDefault="009E1736">
          <w:pPr>
            <w:pStyle w:val="TOC1"/>
            <w:rPr>
              <w:rFonts w:eastAsiaTheme="minorEastAsia"/>
              <w:noProof/>
              <w:kern w:val="2"/>
              <w:sz w:val="24"/>
              <w:szCs w:val="24"/>
              <w:lang w:val="hr-HR" w:eastAsia="hr-HR"/>
              <w14:ligatures w14:val="standardContextual"/>
            </w:rPr>
          </w:pPr>
          <w:hyperlink w:anchor="_Toc225945292" w:history="1">
            <w:r w:rsidRPr="0081068B">
              <w:rPr>
                <w:rStyle w:val="Hyperlink"/>
                <w:noProof/>
                <w:lang w:val="en-GB"/>
              </w:rPr>
              <w:t>9 Phased implementation roadmap of the Joint Framework document</w:t>
            </w:r>
            <w:r>
              <w:rPr>
                <w:noProof/>
                <w:webHidden/>
              </w:rPr>
              <w:tab/>
            </w:r>
            <w:r>
              <w:rPr>
                <w:noProof/>
                <w:webHidden/>
              </w:rPr>
              <w:fldChar w:fldCharType="begin"/>
            </w:r>
            <w:r>
              <w:rPr>
                <w:noProof/>
                <w:webHidden/>
              </w:rPr>
              <w:instrText xml:space="preserve"> PAGEREF _Toc225945292 \h </w:instrText>
            </w:r>
            <w:r>
              <w:rPr>
                <w:noProof/>
                <w:webHidden/>
              </w:rPr>
            </w:r>
            <w:r>
              <w:rPr>
                <w:noProof/>
                <w:webHidden/>
              </w:rPr>
              <w:fldChar w:fldCharType="separate"/>
            </w:r>
            <w:r w:rsidR="00093EA3">
              <w:rPr>
                <w:noProof/>
                <w:webHidden/>
              </w:rPr>
              <w:t>20</w:t>
            </w:r>
            <w:r>
              <w:rPr>
                <w:noProof/>
                <w:webHidden/>
              </w:rPr>
              <w:fldChar w:fldCharType="end"/>
            </w:r>
          </w:hyperlink>
        </w:p>
        <w:p w14:paraId="6E616E59" w14:textId="5B9153F4"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93" w:history="1">
            <w:r w:rsidRPr="0081068B">
              <w:rPr>
                <w:rStyle w:val="Hyperlink"/>
                <w:noProof/>
                <w:lang w:val="en-GB"/>
              </w:rPr>
              <w:t>9.1 Phase 1 (Months 0–12): Establishing foundation and pilot launch</w:t>
            </w:r>
            <w:r>
              <w:rPr>
                <w:noProof/>
                <w:webHidden/>
              </w:rPr>
              <w:tab/>
            </w:r>
            <w:r>
              <w:rPr>
                <w:noProof/>
                <w:webHidden/>
              </w:rPr>
              <w:fldChar w:fldCharType="begin"/>
            </w:r>
            <w:r>
              <w:rPr>
                <w:noProof/>
                <w:webHidden/>
              </w:rPr>
              <w:instrText xml:space="preserve"> PAGEREF _Toc225945293 \h </w:instrText>
            </w:r>
            <w:r>
              <w:rPr>
                <w:noProof/>
                <w:webHidden/>
              </w:rPr>
            </w:r>
            <w:r>
              <w:rPr>
                <w:noProof/>
                <w:webHidden/>
              </w:rPr>
              <w:fldChar w:fldCharType="separate"/>
            </w:r>
            <w:r w:rsidR="00093EA3">
              <w:rPr>
                <w:noProof/>
                <w:webHidden/>
              </w:rPr>
              <w:t>21</w:t>
            </w:r>
            <w:r>
              <w:rPr>
                <w:noProof/>
                <w:webHidden/>
              </w:rPr>
              <w:fldChar w:fldCharType="end"/>
            </w:r>
          </w:hyperlink>
        </w:p>
        <w:p w14:paraId="2AD3365B" w14:textId="6F7D5E5A"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94" w:history="1">
            <w:r w:rsidRPr="0081068B">
              <w:rPr>
                <w:rStyle w:val="Hyperlink"/>
                <w:rFonts w:eastAsia="Times New Roman"/>
                <w:noProof/>
                <w:lang w:val="en-GB" w:eastAsia="hr-HR"/>
              </w:rPr>
              <w:t>9.2 Phase 2 (Months 12–24): Systematization and operational integration</w:t>
            </w:r>
            <w:r>
              <w:rPr>
                <w:noProof/>
                <w:webHidden/>
              </w:rPr>
              <w:tab/>
            </w:r>
            <w:r>
              <w:rPr>
                <w:noProof/>
                <w:webHidden/>
              </w:rPr>
              <w:fldChar w:fldCharType="begin"/>
            </w:r>
            <w:r>
              <w:rPr>
                <w:noProof/>
                <w:webHidden/>
              </w:rPr>
              <w:instrText xml:space="preserve"> PAGEREF _Toc225945294 \h </w:instrText>
            </w:r>
            <w:r>
              <w:rPr>
                <w:noProof/>
                <w:webHidden/>
              </w:rPr>
            </w:r>
            <w:r>
              <w:rPr>
                <w:noProof/>
                <w:webHidden/>
              </w:rPr>
              <w:fldChar w:fldCharType="separate"/>
            </w:r>
            <w:r w:rsidR="00093EA3">
              <w:rPr>
                <w:noProof/>
                <w:webHidden/>
              </w:rPr>
              <w:t>22</w:t>
            </w:r>
            <w:r>
              <w:rPr>
                <w:noProof/>
                <w:webHidden/>
              </w:rPr>
              <w:fldChar w:fldCharType="end"/>
            </w:r>
          </w:hyperlink>
        </w:p>
        <w:p w14:paraId="03D91BCD" w14:textId="19594258"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95" w:history="1">
            <w:r w:rsidRPr="0081068B">
              <w:rPr>
                <w:rStyle w:val="Hyperlink"/>
                <w:rFonts w:eastAsia="Times New Roman"/>
                <w:noProof/>
                <w:lang w:val="en-GB" w:eastAsia="hr-HR"/>
              </w:rPr>
              <w:t>9.3 Phase 3 (Months 24–36): Consolidation, scaling and reporting</w:t>
            </w:r>
            <w:r>
              <w:rPr>
                <w:noProof/>
                <w:webHidden/>
              </w:rPr>
              <w:tab/>
            </w:r>
            <w:r>
              <w:rPr>
                <w:noProof/>
                <w:webHidden/>
              </w:rPr>
              <w:fldChar w:fldCharType="begin"/>
            </w:r>
            <w:r>
              <w:rPr>
                <w:noProof/>
                <w:webHidden/>
              </w:rPr>
              <w:instrText xml:space="preserve"> PAGEREF _Toc225945295 \h </w:instrText>
            </w:r>
            <w:r>
              <w:rPr>
                <w:noProof/>
                <w:webHidden/>
              </w:rPr>
            </w:r>
            <w:r>
              <w:rPr>
                <w:noProof/>
                <w:webHidden/>
              </w:rPr>
              <w:fldChar w:fldCharType="separate"/>
            </w:r>
            <w:r w:rsidR="00093EA3">
              <w:rPr>
                <w:noProof/>
                <w:webHidden/>
              </w:rPr>
              <w:t>22</w:t>
            </w:r>
            <w:r>
              <w:rPr>
                <w:noProof/>
                <w:webHidden/>
              </w:rPr>
              <w:fldChar w:fldCharType="end"/>
            </w:r>
          </w:hyperlink>
        </w:p>
        <w:p w14:paraId="3B0C39AD" w14:textId="55BE5351" w:rsidR="009E1736" w:rsidRDefault="009E1736">
          <w:pPr>
            <w:pStyle w:val="TOC1"/>
            <w:rPr>
              <w:rFonts w:eastAsiaTheme="minorEastAsia"/>
              <w:noProof/>
              <w:kern w:val="2"/>
              <w:sz w:val="24"/>
              <w:szCs w:val="24"/>
              <w:lang w:val="hr-HR" w:eastAsia="hr-HR"/>
              <w14:ligatures w14:val="standardContextual"/>
            </w:rPr>
          </w:pPr>
          <w:hyperlink w:anchor="_Toc225945296" w:history="1">
            <w:r w:rsidRPr="0081068B">
              <w:rPr>
                <w:rStyle w:val="Hyperlink"/>
                <w:noProof/>
                <w:lang w:val="en-GB"/>
              </w:rPr>
              <w:t>10 Performance tracking for output 2.2: indicators and verification</w:t>
            </w:r>
            <w:r>
              <w:rPr>
                <w:noProof/>
                <w:webHidden/>
              </w:rPr>
              <w:tab/>
            </w:r>
            <w:r>
              <w:rPr>
                <w:noProof/>
                <w:webHidden/>
              </w:rPr>
              <w:fldChar w:fldCharType="begin"/>
            </w:r>
            <w:r>
              <w:rPr>
                <w:noProof/>
                <w:webHidden/>
              </w:rPr>
              <w:instrText xml:space="preserve"> PAGEREF _Toc225945296 \h </w:instrText>
            </w:r>
            <w:r>
              <w:rPr>
                <w:noProof/>
                <w:webHidden/>
              </w:rPr>
            </w:r>
            <w:r>
              <w:rPr>
                <w:noProof/>
                <w:webHidden/>
              </w:rPr>
              <w:fldChar w:fldCharType="separate"/>
            </w:r>
            <w:r w:rsidR="00093EA3">
              <w:rPr>
                <w:noProof/>
                <w:webHidden/>
              </w:rPr>
              <w:t>23</w:t>
            </w:r>
            <w:r>
              <w:rPr>
                <w:noProof/>
                <w:webHidden/>
              </w:rPr>
              <w:fldChar w:fldCharType="end"/>
            </w:r>
          </w:hyperlink>
        </w:p>
        <w:p w14:paraId="5F0D7025" w14:textId="6F4EC9C1"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97" w:history="1">
            <w:r w:rsidRPr="0081068B">
              <w:rPr>
                <w:rStyle w:val="Hyperlink"/>
                <w:rFonts w:eastAsia="Times New Roman"/>
                <w:noProof/>
                <w:lang w:val="en-GB" w:eastAsia="hr-HR"/>
              </w:rPr>
              <w:t>10.1 Indicator structure and purpose</w:t>
            </w:r>
            <w:r>
              <w:rPr>
                <w:noProof/>
                <w:webHidden/>
              </w:rPr>
              <w:tab/>
            </w:r>
            <w:r>
              <w:rPr>
                <w:noProof/>
                <w:webHidden/>
              </w:rPr>
              <w:fldChar w:fldCharType="begin"/>
            </w:r>
            <w:r>
              <w:rPr>
                <w:noProof/>
                <w:webHidden/>
              </w:rPr>
              <w:instrText xml:space="preserve"> PAGEREF _Toc225945297 \h </w:instrText>
            </w:r>
            <w:r>
              <w:rPr>
                <w:noProof/>
                <w:webHidden/>
              </w:rPr>
            </w:r>
            <w:r>
              <w:rPr>
                <w:noProof/>
                <w:webHidden/>
              </w:rPr>
              <w:fldChar w:fldCharType="separate"/>
            </w:r>
            <w:r w:rsidR="00093EA3">
              <w:rPr>
                <w:noProof/>
                <w:webHidden/>
              </w:rPr>
              <w:t>23</w:t>
            </w:r>
            <w:r>
              <w:rPr>
                <w:noProof/>
                <w:webHidden/>
              </w:rPr>
              <w:fldChar w:fldCharType="end"/>
            </w:r>
          </w:hyperlink>
        </w:p>
        <w:p w14:paraId="21943487" w14:textId="3832326C"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98" w:history="1">
            <w:r w:rsidRPr="0081068B">
              <w:rPr>
                <w:rStyle w:val="Hyperlink"/>
                <w:rFonts w:eastAsia="Times New Roman"/>
                <w:noProof/>
                <w:lang w:val="en-GB" w:eastAsia="hr-HR"/>
              </w:rPr>
              <w:t>10.2 Verification ap</w:t>
            </w:r>
            <w:r w:rsidRPr="0081068B">
              <w:rPr>
                <w:rStyle w:val="Hyperlink"/>
                <w:rFonts w:eastAsia="Times New Roman"/>
                <w:noProof/>
                <w:lang w:val="en-GB" w:eastAsia="hr-HR"/>
              </w:rPr>
              <w:t>p</w:t>
            </w:r>
            <w:r w:rsidRPr="0081068B">
              <w:rPr>
                <w:rStyle w:val="Hyperlink"/>
                <w:rFonts w:eastAsia="Times New Roman"/>
                <w:noProof/>
                <w:lang w:val="en-GB" w:eastAsia="hr-HR"/>
              </w:rPr>
              <w:t>roach</w:t>
            </w:r>
            <w:r>
              <w:rPr>
                <w:noProof/>
                <w:webHidden/>
              </w:rPr>
              <w:tab/>
            </w:r>
            <w:r>
              <w:rPr>
                <w:noProof/>
                <w:webHidden/>
              </w:rPr>
              <w:fldChar w:fldCharType="begin"/>
            </w:r>
            <w:r>
              <w:rPr>
                <w:noProof/>
                <w:webHidden/>
              </w:rPr>
              <w:instrText xml:space="preserve"> PAGEREF _Toc225945298 \h </w:instrText>
            </w:r>
            <w:r>
              <w:rPr>
                <w:noProof/>
                <w:webHidden/>
              </w:rPr>
            </w:r>
            <w:r>
              <w:rPr>
                <w:noProof/>
                <w:webHidden/>
              </w:rPr>
              <w:fldChar w:fldCharType="separate"/>
            </w:r>
            <w:r w:rsidR="00093EA3">
              <w:rPr>
                <w:noProof/>
                <w:webHidden/>
              </w:rPr>
              <w:t>23</w:t>
            </w:r>
            <w:r>
              <w:rPr>
                <w:noProof/>
                <w:webHidden/>
              </w:rPr>
              <w:fldChar w:fldCharType="end"/>
            </w:r>
          </w:hyperlink>
        </w:p>
        <w:p w14:paraId="4DAFE6E6" w14:textId="3FE655D8"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299" w:history="1">
            <w:r w:rsidRPr="0081068B">
              <w:rPr>
                <w:rStyle w:val="Hyperlink"/>
                <w:rFonts w:eastAsia="Times New Roman"/>
                <w:noProof/>
                <w:lang w:val="en-GB" w:eastAsia="hr-HR"/>
              </w:rPr>
              <w:t>10.3 Use of indicators in project management</w:t>
            </w:r>
            <w:r>
              <w:rPr>
                <w:noProof/>
                <w:webHidden/>
              </w:rPr>
              <w:tab/>
            </w:r>
            <w:r>
              <w:rPr>
                <w:noProof/>
                <w:webHidden/>
              </w:rPr>
              <w:fldChar w:fldCharType="begin"/>
            </w:r>
            <w:r>
              <w:rPr>
                <w:noProof/>
                <w:webHidden/>
              </w:rPr>
              <w:instrText xml:space="preserve"> PAGEREF _Toc225945299 \h </w:instrText>
            </w:r>
            <w:r>
              <w:rPr>
                <w:noProof/>
                <w:webHidden/>
              </w:rPr>
            </w:r>
            <w:r>
              <w:rPr>
                <w:noProof/>
                <w:webHidden/>
              </w:rPr>
              <w:fldChar w:fldCharType="separate"/>
            </w:r>
            <w:r w:rsidR="00093EA3">
              <w:rPr>
                <w:noProof/>
                <w:webHidden/>
              </w:rPr>
              <w:t>24</w:t>
            </w:r>
            <w:r>
              <w:rPr>
                <w:noProof/>
                <w:webHidden/>
              </w:rPr>
              <w:fldChar w:fldCharType="end"/>
            </w:r>
          </w:hyperlink>
        </w:p>
        <w:p w14:paraId="7039E6CF" w14:textId="51C39C26" w:rsidR="009E1736" w:rsidRDefault="009E1736">
          <w:pPr>
            <w:pStyle w:val="TOC1"/>
            <w:rPr>
              <w:rFonts w:eastAsiaTheme="minorEastAsia"/>
              <w:noProof/>
              <w:kern w:val="2"/>
              <w:sz w:val="24"/>
              <w:szCs w:val="24"/>
              <w:lang w:val="hr-HR" w:eastAsia="hr-HR"/>
              <w14:ligatures w14:val="standardContextual"/>
            </w:rPr>
          </w:pPr>
          <w:hyperlink w:anchor="_Toc225945300" w:history="1">
            <w:r w:rsidRPr="0081068B">
              <w:rPr>
                <w:rStyle w:val="Hyperlink"/>
                <w:noProof/>
                <w:lang w:val="en-GB"/>
              </w:rPr>
              <w:t>11 References</w:t>
            </w:r>
            <w:r>
              <w:rPr>
                <w:noProof/>
                <w:webHidden/>
              </w:rPr>
              <w:tab/>
            </w:r>
            <w:r>
              <w:rPr>
                <w:noProof/>
                <w:webHidden/>
              </w:rPr>
              <w:fldChar w:fldCharType="begin"/>
            </w:r>
            <w:r>
              <w:rPr>
                <w:noProof/>
                <w:webHidden/>
              </w:rPr>
              <w:instrText xml:space="preserve"> PAGEREF _Toc225945300 \h </w:instrText>
            </w:r>
            <w:r>
              <w:rPr>
                <w:noProof/>
                <w:webHidden/>
              </w:rPr>
            </w:r>
            <w:r>
              <w:rPr>
                <w:noProof/>
                <w:webHidden/>
              </w:rPr>
              <w:fldChar w:fldCharType="separate"/>
            </w:r>
            <w:r w:rsidR="00093EA3">
              <w:rPr>
                <w:noProof/>
                <w:webHidden/>
              </w:rPr>
              <w:t>25</w:t>
            </w:r>
            <w:r>
              <w:rPr>
                <w:noProof/>
                <w:webHidden/>
              </w:rPr>
              <w:fldChar w:fldCharType="end"/>
            </w:r>
          </w:hyperlink>
        </w:p>
        <w:p w14:paraId="78588A8F" w14:textId="3575F8E3"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301" w:history="1">
            <w:r w:rsidRPr="0081068B">
              <w:rPr>
                <w:rStyle w:val="Hyperlink"/>
                <w:rFonts w:eastAsia="Calibri"/>
                <w:noProof/>
                <w:lang w:val="en-GB"/>
              </w:rPr>
              <w:t>11.1 Policy, legal and regulatory framework in Croatia</w:t>
            </w:r>
            <w:r>
              <w:rPr>
                <w:noProof/>
                <w:webHidden/>
              </w:rPr>
              <w:tab/>
            </w:r>
            <w:r>
              <w:rPr>
                <w:noProof/>
                <w:webHidden/>
              </w:rPr>
              <w:fldChar w:fldCharType="begin"/>
            </w:r>
            <w:r>
              <w:rPr>
                <w:noProof/>
                <w:webHidden/>
              </w:rPr>
              <w:instrText xml:space="preserve"> PAGEREF _Toc225945301 \h </w:instrText>
            </w:r>
            <w:r>
              <w:rPr>
                <w:noProof/>
                <w:webHidden/>
              </w:rPr>
            </w:r>
            <w:r>
              <w:rPr>
                <w:noProof/>
                <w:webHidden/>
              </w:rPr>
              <w:fldChar w:fldCharType="separate"/>
            </w:r>
            <w:r w:rsidR="00093EA3">
              <w:rPr>
                <w:noProof/>
                <w:webHidden/>
              </w:rPr>
              <w:t>25</w:t>
            </w:r>
            <w:r>
              <w:rPr>
                <w:noProof/>
                <w:webHidden/>
              </w:rPr>
              <w:fldChar w:fldCharType="end"/>
            </w:r>
          </w:hyperlink>
        </w:p>
        <w:p w14:paraId="77C8776C" w14:textId="0B322FD8"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302" w:history="1">
            <w:r w:rsidRPr="0081068B">
              <w:rPr>
                <w:rStyle w:val="Hyperlink"/>
                <w:rFonts w:eastAsia="Calibri"/>
                <w:noProof/>
                <w:lang w:val="en-GB"/>
              </w:rPr>
              <w:t>11.2 Policy, legal and regulatory framework in Bosnia and Herzegovina</w:t>
            </w:r>
            <w:r>
              <w:rPr>
                <w:noProof/>
                <w:webHidden/>
              </w:rPr>
              <w:tab/>
            </w:r>
            <w:r>
              <w:rPr>
                <w:noProof/>
                <w:webHidden/>
              </w:rPr>
              <w:fldChar w:fldCharType="begin"/>
            </w:r>
            <w:r>
              <w:rPr>
                <w:noProof/>
                <w:webHidden/>
              </w:rPr>
              <w:instrText xml:space="preserve"> PAGEREF _Toc225945302 \h </w:instrText>
            </w:r>
            <w:r>
              <w:rPr>
                <w:noProof/>
                <w:webHidden/>
              </w:rPr>
            </w:r>
            <w:r>
              <w:rPr>
                <w:noProof/>
                <w:webHidden/>
              </w:rPr>
              <w:fldChar w:fldCharType="separate"/>
            </w:r>
            <w:r w:rsidR="00093EA3">
              <w:rPr>
                <w:noProof/>
                <w:webHidden/>
              </w:rPr>
              <w:t>25</w:t>
            </w:r>
            <w:r>
              <w:rPr>
                <w:noProof/>
                <w:webHidden/>
              </w:rPr>
              <w:fldChar w:fldCharType="end"/>
            </w:r>
          </w:hyperlink>
        </w:p>
        <w:p w14:paraId="609A6497" w14:textId="16692479"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303" w:history="1">
            <w:r w:rsidRPr="0081068B">
              <w:rPr>
                <w:rStyle w:val="Hyperlink"/>
                <w:noProof/>
                <w:lang w:val="en-GB"/>
              </w:rPr>
              <w:t>11.2.1 Federation of Bosnia and Herzegovina (FBiH)</w:t>
            </w:r>
            <w:r>
              <w:rPr>
                <w:noProof/>
                <w:webHidden/>
              </w:rPr>
              <w:tab/>
            </w:r>
            <w:r>
              <w:rPr>
                <w:noProof/>
                <w:webHidden/>
              </w:rPr>
              <w:fldChar w:fldCharType="begin"/>
            </w:r>
            <w:r>
              <w:rPr>
                <w:noProof/>
                <w:webHidden/>
              </w:rPr>
              <w:instrText xml:space="preserve"> PAGEREF _Toc225945303 \h </w:instrText>
            </w:r>
            <w:r>
              <w:rPr>
                <w:noProof/>
                <w:webHidden/>
              </w:rPr>
            </w:r>
            <w:r>
              <w:rPr>
                <w:noProof/>
                <w:webHidden/>
              </w:rPr>
              <w:fldChar w:fldCharType="separate"/>
            </w:r>
            <w:r w:rsidR="00093EA3">
              <w:rPr>
                <w:noProof/>
                <w:webHidden/>
              </w:rPr>
              <w:t>25</w:t>
            </w:r>
            <w:r>
              <w:rPr>
                <w:noProof/>
                <w:webHidden/>
              </w:rPr>
              <w:fldChar w:fldCharType="end"/>
            </w:r>
          </w:hyperlink>
        </w:p>
        <w:p w14:paraId="1E11E686" w14:textId="1DF8EE86"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304" w:history="1">
            <w:r w:rsidRPr="0081068B">
              <w:rPr>
                <w:rStyle w:val="Hyperlink"/>
                <w:noProof/>
              </w:rPr>
              <w:t>11.2.2 Republika Srpska (RS)</w:t>
            </w:r>
            <w:r>
              <w:rPr>
                <w:noProof/>
                <w:webHidden/>
              </w:rPr>
              <w:tab/>
            </w:r>
            <w:r>
              <w:rPr>
                <w:noProof/>
                <w:webHidden/>
              </w:rPr>
              <w:fldChar w:fldCharType="begin"/>
            </w:r>
            <w:r>
              <w:rPr>
                <w:noProof/>
                <w:webHidden/>
              </w:rPr>
              <w:instrText xml:space="preserve"> PAGEREF _Toc225945304 \h </w:instrText>
            </w:r>
            <w:r>
              <w:rPr>
                <w:noProof/>
                <w:webHidden/>
              </w:rPr>
            </w:r>
            <w:r>
              <w:rPr>
                <w:noProof/>
                <w:webHidden/>
              </w:rPr>
              <w:fldChar w:fldCharType="separate"/>
            </w:r>
            <w:r w:rsidR="00093EA3">
              <w:rPr>
                <w:noProof/>
                <w:webHidden/>
              </w:rPr>
              <w:t>25</w:t>
            </w:r>
            <w:r>
              <w:rPr>
                <w:noProof/>
                <w:webHidden/>
              </w:rPr>
              <w:fldChar w:fldCharType="end"/>
            </w:r>
          </w:hyperlink>
        </w:p>
        <w:p w14:paraId="2FC56B36" w14:textId="377AE331" w:rsidR="009E1736" w:rsidRDefault="009E1736">
          <w:pPr>
            <w:pStyle w:val="TOC2"/>
            <w:tabs>
              <w:tab w:val="right" w:leader="dot" w:pos="9016"/>
            </w:tabs>
            <w:rPr>
              <w:rFonts w:eastAsiaTheme="minorEastAsia"/>
              <w:noProof/>
              <w:kern w:val="2"/>
              <w:sz w:val="24"/>
              <w:szCs w:val="24"/>
              <w:lang w:val="hr-HR" w:eastAsia="hr-HR"/>
              <w14:ligatures w14:val="standardContextual"/>
            </w:rPr>
          </w:pPr>
          <w:hyperlink w:anchor="_Toc225945305" w:history="1">
            <w:r w:rsidRPr="0081068B">
              <w:rPr>
                <w:rStyle w:val="Hyperlink"/>
                <w:rFonts w:eastAsia="Calibri"/>
                <w:noProof/>
                <w:lang w:val="en-GB"/>
              </w:rPr>
              <w:t>11.3. International laws, contracts and agreements, EU directives, technical sources</w:t>
            </w:r>
            <w:r>
              <w:rPr>
                <w:noProof/>
                <w:webHidden/>
              </w:rPr>
              <w:tab/>
            </w:r>
            <w:r>
              <w:rPr>
                <w:noProof/>
                <w:webHidden/>
              </w:rPr>
              <w:fldChar w:fldCharType="begin"/>
            </w:r>
            <w:r>
              <w:rPr>
                <w:noProof/>
                <w:webHidden/>
              </w:rPr>
              <w:instrText xml:space="preserve"> PAGEREF _Toc225945305 \h </w:instrText>
            </w:r>
            <w:r>
              <w:rPr>
                <w:noProof/>
                <w:webHidden/>
              </w:rPr>
            </w:r>
            <w:r>
              <w:rPr>
                <w:noProof/>
                <w:webHidden/>
              </w:rPr>
              <w:fldChar w:fldCharType="separate"/>
            </w:r>
            <w:r w:rsidR="00093EA3">
              <w:rPr>
                <w:noProof/>
                <w:webHidden/>
              </w:rPr>
              <w:t>26</w:t>
            </w:r>
            <w:r>
              <w:rPr>
                <w:noProof/>
                <w:webHidden/>
              </w:rPr>
              <w:fldChar w:fldCharType="end"/>
            </w:r>
          </w:hyperlink>
        </w:p>
        <w:p w14:paraId="43AEC9DD" w14:textId="17F9A010"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306" w:history="1">
            <w:r w:rsidRPr="0081068B">
              <w:rPr>
                <w:rStyle w:val="Hyperlink"/>
                <w:noProof/>
                <w:lang w:val="en-GB"/>
              </w:rPr>
              <w:t>11.3.1 EU Directives</w:t>
            </w:r>
            <w:r>
              <w:rPr>
                <w:noProof/>
                <w:webHidden/>
              </w:rPr>
              <w:tab/>
            </w:r>
            <w:r>
              <w:rPr>
                <w:noProof/>
                <w:webHidden/>
              </w:rPr>
              <w:fldChar w:fldCharType="begin"/>
            </w:r>
            <w:r>
              <w:rPr>
                <w:noProof/>
                <w:webHidden/>
              </w:rPr>
              <w:instrText xml:space="preserve"> PAGEREF _Toc225945306 \h </w:instrText>
            </w:r>
            <w:r>
              <w:rPr>
                <w:noProof/>
                <w:webHidden/>
              </w:rPr>
            </w:r>
            <w:r>
              <w:rPr>
                <w:noProof/>
                <w:webHidden/>
              </w:rPr>
              <w:fldChar w:fldCharType="separate"/>
            </w:r>
            <w:r w:rsidR="00093EA3">
              <w:rPr>
                <w:noProof/>
                <w:webHidden/>
              </w:rPr>
              <w:t>26</w:t>
            </w:r>
            <w:r>
              <w:rPr>
                <w:noProof/>
                <w:webHidden/>
              </w:rPr>
              <w:fldChar w:fldCharType="end"/>
            </w:r>
          </w:hyperlink>
        </w:p>
        <w:p w14:paraId="2382F58F" w14:textId="2B96A6FD"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307" w:history="1">
            <w:r w:rsidRPr="0081068B">
              <w:rPr>
                <w:rStyle w:val="Hyperlink"/>
                <w:noProof/>
                <w:lang w:val="en-GB"/>
              </w:rPr>
              <w:t>11.3.2 International conventions and agreements</w:t>
            </w:r>
            <w:r>
              <w:rPr>
                <w:noProof/>
                <w:webHidden/>
              </w:rPr>
              <w:tab/>
            </w:r>
            <w:r>
              <w:rPr>
                <w:noProof/>
                <w:webHidden/>
              </w:rPr>
              <w:fldChar w:fldCharType="begin"/>
            </w:r>
            <w:r>
              <w:rPr>
                <w:noProof/>
                <w:webHidden/>
              </w:rPr>
              <w:instrText xml:space="preserve"> PAGEREF _Toc225945307 \h </w:instrText>
            </w:r>
            <w:r>
              <w:rPr>
                <w:noProof/>
                <w:webHidden/>
              </w:rPr>
            </w:r>
            <w:r>
              <w:rPr>
                <w:noProof/>
                <w:webHidden/>
              </w:rPr>
              <w:fldChar w:fldCharType="separate"/>
            </w:r>
            <w:r w:rsidR="00093EA3">
              <w:rPr>
                <w:noProof/>
                <w:webHidden/>
              </w:rPr>
              <w:t>26</w:t>
            </w:r>
            <w:r>
              <w:rPr>
                <w:noProof/>
                <w:webHidden/>
              </w:rPr>
              <w:fldChar w:fldCharType="end"/>
            </w:r>
          </w:hyperlink>
        </w:p>
        <w:p w14:paraId="7213335B" w14:textId="4F603B92" w:rsidR="009E1736" w:rsidRDefault="009E1736">
          <w:pPr>
            <w:pStyle w:val="TOC3"/>
            <w:tabs>
              <w:tab w:val="right" w:leader="dot" w:pos="9016"/>
            </w:tabs>
            <w:rPr>
              <w:rFonts w:eastAsiaTheme="minorEastAsia"/>
              <w:noProof/>
              <w:kern w:val="2"/>
              <w:sz w:val="24"/>
              <w:szCs w:val="24"/>
              <w:lang w:val="hr-HR" w:eastAsia="hr-HR"/>
              <w14:ligatures w14:val="standardContextual"/>
            </w:rPr>
          </w:pPr>
          <w:hyperlink w:anchor="_Toc225945308" w:history="1">
            <w:r w:rsidRPr="0081068B">
              <w:rPr>
                <w:rStyle w:val="Hyperlink"/>
                <w:noProof/>
                <w:lang w:val="en-GB"/>
              </w:rPr>
              <w:t>11.3.3 Technical and scientific sources</w:t>
            </w:r>
            <w:r>
              <w:rPr>
                <w:noProof/>
                <w:webHidden/>
              </w:rPr>
              <w:tab/>
            </w:r>
            <w:r>
              <w:rPr>
                <w:noProof/>
                <w:webHidden/>
              </w:rPr>
              <w:fldChar w:fldCharType="begin"/>
            </w:r>
            <w:r>
              <w:rPr>
                <w:noProof/>
                <w:webHidden/>
              </w:rPr>
              <w:instrText xml:space="preserve"> PAGEREF _Toc225945308 \h </w:instrText>
            </w:r>
            <w:r>
              <w:rPr>
                <w:noProof/>
                <w:webHidden/>
              </w:rPr>
            </w:r>
            <w:r>
              <w:rPr>
                <w:noProof/>
                <w:webHidden/>
              </w:rPr>
              <w:fldChar w:fldCharType="separate"/>
            </w:r>
            <w:r w:rsidR="00093EA3">
              <w:rPr>
                <w:noProof/>
                <w:webHidden/>
              </w:rPr>
              <w:t>26</w:t>
            </w:r>
            <w:r>
              <w:rPr>
                <w:noProof/>
                <w:webHidden/>
              </w:rPr>
              <w:fldChar w:fldCharType="end"/>
            </w:r>
          </w:hyperlink>
        </w:p>
        <w:p w14:paraId="4B3CB0AA" w14:textId="65A6240A" w:rsidR="00376158" w:rsidRDefault="00376158">
          <w:r>
            <w:rPr>
              <w:b/>
              <w:bCs/>
              <w:noProof/>
            </w:rPr>
            <w:fldChar w:fldCharType="end"/>
          </w:r>
        </w:p>
      </w:sdtContent>
    </w:sdt>
    <w:p w14:paraId="3CFBB9F6" w14:textId="769B92BB" w:rsidR="0068075B" w:rsidRPr="00336FA1" w:rsidRDefault="0068075B" w:rsidP="00336FA1">
      <w:pPr>
        <w:rPr>
          <w:rFonts w:asciiTheme="majorHAnsi" w:hAnsiTheme="majorHAnsi" w:cstheme="majorHAnsi"/>
          <w:b/>
          <w:bCs/>
          <w:color w:val="0070C0"/>
          <w:sz w:val="32"/>
          <w:szCs w:val="32"/>
          <w:lang w:val="en-GB"/>
        </w:rPr>
      </w:pPr>
      <w:r w:rsidRPr="00336FA1">
        <w:rPr>
          <w:rFonts w:asciiTheme="majorHAnsi" w:hAnsiTheme="majorHAnsi" w:cstheme="majorHAnsi"/>
          <w:b/>
          <w:bCs/>
          <w:color w:val="0070C0"/>
          <w:sz w:val="32"/>
          <w:szCs w:val="32"/>
          <w:lang w:val="en-GB"/>
        </w:rPr>
        <w:t>List of Tables</w:t>
      </w:r>
    </w:p>
    <w:p w14:paraId="01F6BEA0" w14:textId="2C6B8F0B" w:rsidR="00773824" w:rsidRDefault="00336FA1" w:rsidP="00FF5968">
      <w:pPr>
        <w:pStyle w:val="TableofFigures"/>
        <w:tabs>
          <w:tab w:val="right" w:leader="dot" w:pos="9016"/>
        </w:tabs>
        <w:spacing w:line="360" w:lineRule="auto"/>
        <w:rPr>
          <w:rFonts w:eastAsiaTheme="minorEastAsia"/>
          <w:noProof/>
          <w:kern w:val="2"/>
          <w:sz w:val="24"/>
          <w:szCs w:val="24"/>
          <w:lang w:val="en-GB" w:eastAsia="en-GB"/>
          <w14:ligatures w14:val="standardContextual"/>
        </w:rPr>
      </w:pPr>
      <w:r>
        <w:rPr>
          <w:b/>
          <w:bCs/>
          <w:lang w:val="en-GB"/>
        </w:rPr>
        <w:fldChar w:fldCharType="begin"/>
      </w:r>
      <w:r>
        <w:rPr>
          <w:b/>
          <w:bCs/>
          <w:lang w:val="en-GB"/>
        </w:rPr>
        <w:instrText xml:space="preserve"> TOC \h \z \c "Table" </w:instrText>
      </w:r>
      <w:r>
        <w:rPr>
          <w:b/>
          <w:bCs/>
          <w:lang w:val="en-GB"/>
        </w:rPr>
        <w:fldChar w:fldCharType="separate"/>
      </w:r>
      <w:hyperlink w:anchor="_Toc225943506" w:history="1">
        <w:r w:rsidR="00773824" w:rsidRPr="00A8581C">
          <w:rPr>
            <w:rStyle w:val="Hyperlink"/>
            <w:noProof/>
          </w:rPr>
          <w:t>Table 1</w:t>
        </w:r>
        <w:r w:rsidR="00773824" w:rsidRPr="00A8581C">
          <w:rPr>
            <w:rStyle w:val="Hyperlink"/>
            <w:noProof/>
            <w:lang w:val="en-GB"/>
          </w:rPr>
          <w:t xml:space="preserve"> Summary of evidence and reference docum</w:t>
        </w:r>
        <w:r w:rsidR="00773824" w:rsidRPr="00A8581C">
          <w:rPr>
            <w:rStyle w:val="Hyperlink"/>
            <w:noProof/>
            <w:lang w:val="en-GB"/>
          </w:rPr>
          <w:t>e</w:t>
        </w:r>
        <w:r w:rsidR="00773824" w:rsidRPr="00A8581C">
          <w:rPr>
            <w:rStyle w:val="Hyperlink"/>
            <w:noProof/>
            <w:lang w:val="en-GB"/>
          </w:rPr>
          <w:t>nts</w:t>
        </w:r>
        <w:r w:rsidR="00773824">
          <w:rPr>
            <w:noProof/>
            <w:webHidden/>
          </w:rPr>
          <w:tab/>
        </w:r>
        <w:r w:rsidR="00773824">
          <w:rPr>
            <w:noProof/>
            <w:webHidden/>
          </w:rPr>
          <w:fldChar w:fldCharType="begin"/>
        </w:r>
        <w:r w:rsidR="00773824">
          <w:rPr>
            <w:noProof/>
            <w:webHidden/>
          </w:rPr>
          <w:instrText xml:space="preserve"> PAGEREF _Toc225943506 \h </w:instrText>
        </w:r>
        <w:r w:rsidR="00773824">
          <w:rPr>
            <w:noProof/>
            <w:webHidden/>
          </w:rPr>
        </w:r>
        <w:r w:rsidR="00773824">
          <w:rPr>
            <w:noProof/>
            <w:webHidden/>
          </w:rPr>
          <w:fldChar w:fldCharType="separate"/>
        </w:r>
        <w:r w:rsidR="009E1736">
          <w:rPr>
            <w:noProof/>
            <w:webHidden/>
          </w:rPr>
          <w:t>4</w:t>
        </w:r>
        <w:r w:rsidR="00773824">
          <w:rPr>
            <w:noProof/>
            <w:webHidden/>
          </w:rPr>
          <w:fldChar w:fldCharType="end"/>
        </w:r>
      </w:hyperlink>
    </w:p>
    <w:p w14:paraId="71FBA3F0" w14:textId="0346C2D6" w:rsidR="00773824" w:rsidRDefault="00773824" w:rsidP="00FF5968">
      <w:pPr>
        <w:pStyle w:val="TableofFigures"/>
        <w:tabs>
          <w:tab w:val="right" w:leader="dot" w:pos="9016"/>
        </w:tabs>
        <w:spacing w:line="360" w:lineRule="auto"/>
        <w:rPr>
          <w:rFonts w:eastAsiaTheme="minorEastAsia"/>
          <w:noProof/>
          <w:kern w:val="2"/>
          <w:sz w:val="24"/>
          <w:szCs w:val="24"/>
          <w:lang w:val="en-GB" w:eastAsia="en-GB"/>
          <w14:ligatures w14:val="standardContextual"/>
        </w:rPr>
      </w:pPr>
      <w:hyperlink w:anchor="_Toc225943507" w:history="1">
        <w:r w:rsidRPr="00A8581C">
          <w:rPr>
            <w:rStyle w:val="Hyperlink"/>
            <w:noProof/>
            <w:lang w:val="en-GB"/>
          </w:rPr>
          <w:t>Table 2 Legal &amp; Policy Comparison: Cr</w:t>
        </w:r>
        <w:r w:rsidRPr="00A8581C">
          <w:rPr>
            <w:rStyle w:val="Hyperlink"/>
            <w:noProof/>
            <w:lang w:val="en-GB"/>
          </w:rPr>
          <w:t>o</w:t>
        </w:r>
        <w:r w:rsidRPr="00A8581C">
          <w:rPr>
            <w:rStyle w:val="Hyperlink"/>
            <w:noProof/>
            <w:lang w:val="en-GB"/>
          </w:rPr>
          <w:t>atia vs Bosnia and Herzegovina (FBiH / RS)</w:t>
        </w:r>
        <w:r>
          <w:rPr>
            <w:noProof/>
            <w:webHidden/>
          </w:rPr>
          <w:tab/>
        </w:r>
        <w:r>
          <w:rPr>
            <w:noProof/>
            <w:webHidden/>
          </w:rPr>
          <w:fldChar w:fldCharType="begin"/>
        </w:r>
        <w:r>
          <w:rPr>
            <w:noProof/>
            <w:webHidden/>
          </w:rPr>
          <w:instrText xml:space="preserve"> PAGEREF _Toc225943507 \h </w:instrText>
        </w:r>
        <w:r>
          <w:rPr>
            <w:noProof/>
            <w:webHidden/>
          </w:rPr>
        </w:r>
        <w:r>
          <w:rPr>
            <w:noProof/>
            <w:webHidden/>
          </w:rPr>
          <w:fldChar w:fldCharType="separate"/>
        </w:r>
        <w:r w:rsidR="009E1736">
          <w:rPr>
            <w:noProof/>
            <w:webHidden/>
          </w:rPr>
          <w:t>9</w:t>
        </w:r>
        <w:r>
          <w:rPr>
            <w:noProof/>
            <w:webHidden/>
          </w:rPr>
          <w:fldChar w:fldCharType="end"/>
        </w:r>
      </w:hyperlink>
    </w:p>
    <w:p w14:paraId="5DCD27A6" w14:textId="31BB0D19" w:rsidR="00773824" w:rsidRDefault="00773824" w:rsidP="00FF5968">
      <w:pPr>
        <w:pStyle w:val="TableofFigures"/>
        <w:tabs>
          <w:tab w:val="right" w:leader="dot" w:pos="9016"/>
        </w:tabs>
        <w:spacing w:line="360" w:lineRule="auto"/>
        <w:rPr>
          <w:rFonts w:eastAsiaTheme="minorEastAsia"/>
          <w:noProof/>
          <w:kern w:val="2"/>
          <w:sz w:val="24"/>
          <w:szCs w:val="24"/>
          <w:lang w:val="en-GB" w:eastAsia="en-GB"/>
          <w14:ligatures w14:val="standardContextual"/>
        </w:rPr>
      </w:pPr>
      <w:hyperlink w:anchor="_Toc225943508" w:history="1">
        <w:r w:rsidRPr="00A8581C">
          <w:rPr>
            <w:rStyle w:val="Hyperlink"/>
            <w:noProof/>
            <w:lang w:val="en-GB"/>
          </w:rPr>
          <w:t>Table 3 Key institutions and thei</w:t>
        </w:r>
        <w:r w:rsidRPr="00A8581C">
          <w:rPr>
            <w:rStyle w:val="Hyperlink"/>
            <w:noProof/>
            <w:lang w:val="en-GB"/>
          </w:rPr>
          <w:t>r</w:t>
        </w:r>
        <w:r w:rsidRPr="00A8581C">
          <w:rPr>
            <w:rStyle w:val="Hyperlink"/>
            <w:noProof/>
            <w:lang w:val="en-GB"/>
          </w:rPr>
          <w:t xml:space="preserve"> roles in SPZ enforcement in Croatia and Bosnia and Herzegovina</w:t>
        </w:r>
        <w:r>
          <w:rPr>
            <w:noProof/>
            <w:webHidden/>
          </w:rPr>
          <w:tab/>
        </w:r>
        <w:r>
          <w:rPr>
            <w:noProof/>
            <w:webHidden/>
          </w:rPr>
          <w:fldChar w:fldCharType="begin"/>
        </w:r>
        <w:r>
          <w:rPr>
            <w:noProof/>
            <w:webHidden/>
          </w:rPr>
          <w:instrText xml:space="preserve"> PAGEREF _Toc225943508 \h </w:instrText>
        </w:r>
        <w:r>
          <w:rPr>
            <w:noProof/>
            <w:webHidden/>
          </w:rPr>
        </w:r>
        <w:r>
          <w:rPr>
            <w:noProof/>
            <w:webHidden/>
          </w:rPr>
          <w:fldChar w:fldCharType="separate"/>
        </w:r>
        <w:r w:rsidR="009E1736">
          <w:rPr>
            <w:noProof/>
            <w:webHidden/>
          </w:rPr>
          <w:t>12</w:t>
        </w:r>
        <w:r>
          <w:rPr>
            <w:noProof/>
            <w:webHidden/>
          </w:rPr>
          <w:fldChar w:fldCharType="end"/>
        </w:r>
      </w:hyperlink>
    </w:p>
    <w:p w14:paraId="2276E6A5" w14:textId="68F21551" w:rsidR="00773824" w:rsidRDefault="00773824" w:rsidP="00FF5968">
      <w:pPr>
        <w:pStyle w:val="TableofFigures"/>
        <w:tabs>
          <w:tab w:val="right" w:leader="dot" w:pos="9016"/>
        </w:tabs>
        <w:spacing w:line="360" w:lineRule="auto"/>
        <w:rPr>
          <w:rFonts w:eastAsiaTheme="minorEastAsia"/>
          <w:noProof/>
          <w:kern w:val="2"/>
          <w:sz w:val="24"/>
          <w:szCs w:val="24"/>
          <w:lang w:val="en-GB" w:eastAsia="en-GB"/>
          <w14:ligatures w14:val="standardContextual"/>
        </w:rPr>
      </w:pPr>
      <w:hyperlink w:anchor="_Toc225943509" w:history="1">
        <w:r w:rsidRPr="00A8581C">
          <w:rPr>
            <w:rStyle w:val="Hyperlink"/>
            <w:noProof/>
            <w:lang w:val="en-GB"/>
          </w:rPr>
          <w:t>Table 4 Propose</w:t>
        </w:r>
        <w:r w:rsidRPr="00A8581C">
          <w:rPr>
            <w:rStyle w:val="Hyperlink"/>
            <w:noProof/>
            <w:lang w:val="en-GB"/>
          </w:rPr>
          <w:t>d</w:t>
        </w:r>
        <w:r w:rsidRPr="00A8581C">
          <w:rPr>
            <w:rStyle w:val="Hyperlink"/>
            <w:noProof/>
            <w:lang w:val="en-GB"/>
          </w:rPr>
          <w:t xml:space="preserve"> shared tools for assessing and managing SPZ</w:t>
        </w:r>
        <w:r>
          <w:rPr>
            <w:noProof/>
            <w:webHidden/>
          </w:rPr>
          <w:tab/>
        </w:r>
        <w:r>
          <w:rPr>
            <w:noProof/>
            <w:webHidden/>
          </w:rPr>
          <w:fldChar w:fldCharType="begin"/>
        </w:r>
        <w:r>
          <w:rPr>
            <w:noProof/>
            <w:webHidden/>
          </w:rPr>
          <w:instrText xml:space="preserve"> PAGEREF _Toc225943509 \h </w:instrText>
        </w:r>
        <w:r>
          <w:rPr>
            <w:noProof/>
            <w:webHidden/>
          </w:rPr>
        </w:r>
        <w:r>
          <w:rPr>
            <w:noProof/>
            <w:webHidden/>
          </w:rPr>
          <w:fldChar w:fldCharType="separate"/>
        </w:r>
        <w:r w:rsidR="009E1736">
          <w:rPr>
            <w:noProof/>
            <w:webHidden/>
          </w:rPr>
          <w:t>18</w:t>
        </w:r>
        <w:r>
          <w:rPr>
            <w:noProof/>
            <w:webHidden/>
          </w:rPr>
          <w:fldChar w:fldCharType="end"/>
        </w:r>
      </w:hyperlink>
    </w:p>
    <w:p w14:paraId="467B0B87" w14:textId="6557DFA6" w:rsidR="00773824" w:rsidRDefault="00773824" w:rsidP="00FF5968">
      <w:pPr>
        <w:pStyle w:val="TableofFigures"/>
        <w:tabs>
          <w:tab w:val="right" w:leader="dot" w:pos="9016"/>
        </w:tabs>
        <w:spacing w:line="360" w:lineRule="auto"/>
        <w:rPr>
          <w:rFonts w:eastAsiaTheme="minorEastAsia"/>
          <w:noProof/>
          <w:kern w:val="2"/>
          <w:sz w:val="24"/>
          <w:szCs w:val="24"/>
          <w:lang w:val="en-GB" w:eastAsia="en-GB"/>
          <w14:ligatures w14:val="standardContextual"/>
        </w:rPr>
      </w:pPr>
      <w:hyperlink w:anchor="_Toc225943510" w:history="1">
        <w:r w:rsidRPr="00A8581C">
          <w:rPr>
            <w:rStyle w:val="Hyperlink"/>
            <w:noProof/>
            <w:lang w:val="en-GB"/>
          </w:rPr>
          <w:t>Table 5 Output 2.2 indicator plan: activitie</w:t>
        </w:r>
        <w:r w:rsidRPr="00A8581C">
          <w:rPr>
            <w:rStyle w:val="Hyperlink"/>
            <w:noProof/>
            <w:lang w:val="en-GB"/>
          </w:rPr>
          <w:t>s</w:t>
        </w:r>
        <w:r w:rsidRPr="00A8581C">
          <w:rPr>
            <w:rStyle w:val="Hyperlink"/>
            <w:noProof/>
            <w:lang w:val="en-GB"/>
          </w:rPr>
          <w:t>, targets and checks</w:t>
        </w:r>
        <w:r>
          <w:rPr>
            <w:noProof/>
            <w:webHidden/>
          </w:rPr>
          <w:tab/>
        </w:r>
        <w:r>
          <w:rPr>
            <w:noProof/>
            <w:webHidden/>
          </w:rPr>
          <w:fldChar w:fldCharType="begin"/>
        </w:r>
        <w:r>
          <w:rPr>
            <w:noProof/>
            <w:webHidden/>
          </w:rPr>
          <w:instrText xml:space="preserve"> PAGEREF _Toc225943510 \h </w:instrText>
        </w:r>
        <w:r>
          <w:rPr>
            <w:noProof/>
            <w:webHidden/>
          </w:rPr>
        </w:r>
        <w:r>
          <w:rPr>
            <w:noProof/>
            <w:webHidden/>
          </w:rPr>
          <w:fldChar w:fldCharType="separate"/>
        </w:r>
        <w:r w:rsidR="009E1736">
          <w:rPr>
            <w:noProof/>
            <w:webHidden/>
          </w:rPr>
          <w:t>24</w:t>
        </w:r>
        <w:r>
          <w:rPr>
            <w:noProof/>
            <w:webHidden/>
          </w:rPr>
          <w:fldChar w:fldCharType="end"/>
        </w:r>
      </w:hyperlink>
    </w:p>
    <w:p w14:paraId="0C81A18A" w14:textId="79760DBC" w:rsidR="00185914" w:rsidRPr="00622EEE" w:rsidRDefault="00336FA1" w:rsidP="00FF5968">
      <w:pPr>
        <w:spacing w:before="20" w:after="20" w:line="360" w:lineRule="auto"/>
        <w:rPr>
          <w:b/>
          <w:bCs/>
          <w:lang w:val="en-GB"/>
        </w:rPr>
      </w:pPr>
      <w:r>
        <w:rPr>
          <w:b/>
          <w:bCs/>
          <w:lang w:val="en-GB"/>
        </w:rPr>
        <w:fldChar w:fldCharType="end"/>
      </w:r>
    </w:p>
    <w:p w14:paraId="7B0ABBF5" w14:textId="073FA6AF" w:rsidR="008660E5" w:rsidRDefault="008660E5" w:rsidP="00622EEE">
      <w:pPr>
        <w:tabs>
          <w:tab w:val="left" w:pos="1890"/>
        </w:tabs>
        <w:spacing w:before="20" w:after="20"/>
        <w:rPr>
          <w:b/>
          <w:bCs/>
          <w:lang w:val="en-GB"/>
        </w:rPr>
      </w:pPr>
      <w:bookmarkStart w:id="0" w:name="_Hlk215063336"/>
    </w:p>
    <w:p w14:paraId="1BEAA89D" w14:textId="77777777" w:rsidR="00D3734D" w:rsidRDefault="00D3734D" w:rsidP="00302BD2">
      <w:pPr>
        <w:tabs>
          <w:tab w:val="left" w:pos="1890"/>
        </w:tabs>
        <w:rPr>
          <w:b/>
          <w:bCs/>
          <w:lang w:val="en-GB"/>
        </w:rPr>
      </w:pPr>
    </w:p>
    <w:p w14:paraId="2D240EA1" w14:textId="77777777" w:rsidR="0068075B" w:rsidRDefault="0068075B" w:rsidP="00302BD2">
      <w:pPr>
        <w:tabs>
          <w:tab w:val="left" w:pos="1890"/>
        </w:tabs>
        <w:rPr>
          <w:b/>
          <w:bCs/>
          <w:lang w:val="en-GB"/>
        </w:rPr>
      </w:pPr>
    </w:p>
    <w:p w14:paraId="7F30954E" w14:textId="77777777" w:rsidR="00FF5968" w:rsidRDefault="00FF5968" w:rsidP="00302BD2">
      <w:pPr>
        <w:tabs>
          <w:tab w:val="left" w:pos="1890"/>
        </w:tabs>
        <w:rPr>
          <w:b/>
          <w:bCs/>
          <w:lang w:val="en-GB"/>
        </w:rPr>
      </w:pPr>
    </w:p>
    <w:p w14:paraId="0135B985" w14:textId="77777777" w:rsidR="00FF5968" w:rsidRDefault="00FF5968" w:rsidP="00302BD2">
      <w:pPr>
        <w:tabs>
          <w:tab w:val="left" w:pos="1890"/>
        </w:tabs>
        <w:rPr>
          <w:b/>
          <w:bCs/>
          <w:lang w:val="en-GB"/>
        </w:rPr>
      </w:pPr>
    </w:p>
    <w:p w14:paraId="6F535693" w14:textId="77777777" w:rsidR="00FF5968" w:rsidRDefault="00FF5968" w:rsidP="00302BD2">
      <w:pPr>
        <w:tabs>
          <w:tab w:val="left" w:pos="1890"/>
        </w:tabs>
        <w:rPr>
          <w:b/>
          <w:bCs/>
          <w:lang w:val="en-GB"/>
        </w:rPr>
      </w:pPr>
    </w:p>
    <w:p w14:paraId="41F2493D" w14:textId="77777777" w:rsidR="00FF5968" w:rsidRDefault="00FF5968" w:rsidP="00302BD2">
      <w:pPr>
        <w:tabs>
          <w:tab w:val="left" w:pos="1890"/>
        </w:tabs>
        <w:rPr>
          <w:b/>
          <w:bCs/>
          <w:lang w:val="en-GB"/>
        </w:rPr>
      </w:pPr>
    </w:p>
    <w:p w14:paraId="54D59D8D" w14:textId="77777777" w:rsidR="00FF5968" w:rsidRDefault="00FF5968" w:rsidP="00302BD2">
      <w:pPr>
        <w:tabs>
          <w:tab w:val="left" w:pos="1890"/>
        </w:tabs>
        <w:rPr>
          <w:b/>
          <w:bCs/>
          <w:lang w:val="en-GB"/>
        </w:rPr>
      </w:pPr>
    </w:p>
    <w:p w14:paraId="54E101B4" w14:textId="77777777" w:rsidR="0068075B" w:rsidRPr="00336FA1" w:rsidRDefault="0068075B" w:rsidP="0068075B">
      <w:pPr>
        <w:tabs>
          <w:tab w:val="left" w:pos="1890"/>
        </w:tabs>
        <w:rPr>
          <w:rFonts w:asciiTheme="majorHAnsi" w:hAnsiTheme="majorHAnsi" w:cstheme="majorHAnsi"/>
          <w:b/>
          <w:bCs/>
          <w:color w:val="0070C0"/>
          <w:sz w:val="32"/>
          <w:szCs w:val="32"/>
          <w:lang w:val="en-GB"/>
        </w:rPr>
      </w:pPr>
      <w:r w:rsidRPr="00336FA1">
        <w:rPr>
          <w:rFonts w:asciiTheme="majorHAnsi" w:hAnsiTheme="majorHAnsi" w:cstheme="majorHAnsi"/>
          <w:b/>
          <w:bCs/>
          <w:color w:val="0070C0"/>
          <w:sz w:val="32"/>
          <w:szCs w:val="32"/>
          <w:lang w:val="en-GB"/>
        </w:rPr>
        <w:lastRenderedPageBreak/>
        <w:t>PREPARED BY DIKTAS II PROJECT TEAM</w:t>
      </w:r>
    </w:p>
    <w:p w14:paraId="570B3B05" w14:textId="77777777" w:rsidR="0068075B" w:rsidRPr="00302BD2" w:rsidRDefault="0068075B" w:rsidP="0068075B">
      <w:pPr>
        <w:rPr>
          <w:lang w:val="en-GB"/>
        </w:rPr>
      </w:pPr>
      <w:r w:rsidRPr="00302BD2">
        <w:rPr>
          <w:lang w:val="en-GB"/>
        </w:rPr>
        <w:t>Zoran Nakić</w:t>
      </w:r>
    </w:p>
    <w:p w14:paraId="2576BC9E" w14:textId="5641D596" w:rsidR="0029484B" w:rsidRDefault="0068075B" w:rsidP="0068075B">
      <w:pPr>
        <w:rPr>
          <w:lang w:val="en-GB"/>
        </w:rPr>
      </w:pPr>
      <w:r>
        <w:rPr>
          <w:lang w:val="en-GB"/>
        </w:rPr>
        <w:t>Selma Čengić</w:t>
      </w:r>
    </w:p>
    <w:p w14:paraId="78072521" w14:textId="09B28E79" w:rsidR="0068075B" w:rsidRPr="00302BD2" w:rsidRDefault="0068075B" w:rsidP="0068075B">
      <w:pPr>
        <w:rPr>
          <w:lang w:val="en-GB"/>
        </w:rPr>
      </w:pPr>
      <w:r>
        <w:rPr>
          <w:lang w:val="en-GB"/>
        </w:rPr>
        <w:t>Raya Marina Stephan</w:t>
      </w:r>
    </w:p>
    <w:p w14:paraId="72BE55E1" w14:textId="77777777" w:rsidR="00375603" w:rsidRPr="00302BD2" w:rsidRDefault="00375603" w:rsidP="00375603">
      <w:pPr>
        <w:ind w:firstLine="708"/>
        <w:rPr>
          <w:lang w:val="en-GB"/>
        </w:rPr>
      </w:pPr>
    </w:p>
    <w:bookmarkEnd w:id="0"/>
    <w:p w14:paraId="03137F8F" w14:textId="77777777" w:rsidR="00E509CB" w:rsidRPr="00302BD2" w:rsidRDefault="00E509CB" w:rsidP="00E509CB">
      <w:pPr>
        <w:rPr>
          <w:lang w:val="en-GB"/>
        </w:rPr>
      </w:pPr>
    </w:p>
    <w:p w14:paraId="54462D72" w14:textId="56F60AAB" w:rsidR="001D2F82" w:rsidRPr="00302BD2" w:rsidRDefault="001D2F82" w:rsidP="0029484B">
      <w:pPr>
        <w:tabs>
          <w:tab w:val="left" w:pos="1515"/>
        </w:tabs>
        <w:rPr>
          <w:lang w:val="en-GB"/>
        </w:rPr>
        <w:sectPr w:rsidR="001D2F82" w:rsidRPr="00302BD2" w:rsidSect="0025343D">
          <w:headerReference w:type="default" r:id="rId13"/>
          <w:footerReference w:type="default" r:id="rId14"/>
          <w:footerReference w:type="first" r:id="rId15"/>
          <w:pgSz w:w="11906" w:h="16838"/>
          <w:pgMar w:top="1701" w:right="1440" w:bottom="1440" w:left="1440" w:header="851" w:footer="709" w:gutter="0"/>
          <w:pgNumType w:fmt="lowerRoman" w:start="1"/>
          <w:cols w:space="708"/>
          <w:titlePg/>
          <w:docGrid w:linePitch="360"/>
        </w:sectPr>
      </w:pPr>
    </w:p>
    <w:p w14:paraId="234A4D0D" w14:textId="77777777" w:rsidR="00E509CB" w:rsidRPr="003B035A" w:rsidRDefault="00E509CB" w:rsidP="003B035A">
      <w:pPr>
        <w:pStyle w:val="Heading1"/>
        <w:rPr>
          <w:lang w:val="en-GB"/>
        </w:rPr>
      </w:pPr>
      <w:bookmarkStart w:id="1" w:name="_Toc223350719"/>
      <w:bookmarkStart w:id="2" w:name="_Toc225945257"/>
      <w:bookmarkStart w:id="3" w:name="_Hlk216692078"/>
      <w:r w:rsidRPr="003B035A">
        <w:rPr>
          <w:lang w:val="en-GB"/>
        </w:rPr>
        <w:lastRenderedPageBreak/>
        <w:t>1 Introduction</w:t>
      </w:r>
      <w:bookmarkEnd w:id="1"/>
      <w:bookmarkEnd w:id="2"/>
      <w:r w:rsidRPr="003B035A">
        <w:rPr>
          <w:lang w:val="en-GB"/>
        </w:rPr>
        <w:t xml:space="preserve"> </w:t>
      </w:r>
    </w:p>
    <w:bookmarkEnd w:id="3"/>
    <w:p w14:paraId="1641A970" w14:textId="29AE00B6" w:rsidR="00A00F2B" w:rsidRPr="00A00F2B" w:rsidRDefault="00A00F2B" w:rsidP="00BD3225">
      <w:pPr>
        <w:jc w:val="both"/>
        <w:rPr>
          <w:lang w:val="en-GB"/>
        </w:rPr>
      </w:pPr>
      <w:r w:rsidRPr="00A00F2B">
        <w:rPr>
          <w:lang w:val="en-GB"/>
        </w:rPr>
        <w:t xml:space="preserve">The Joint Framework document for policy, legal and institutional alignment on groundwater protection between Croatia and Bosnia and Herzegovina is conceived as a structured basis for strengthening the governance of </w:t>
      </w:r>
      <w:r w:rsidR="001B3D48">
        <w:rPr>
          <w:lang w:val="en-GB"/>
        </w:rPr>
        <w:t>transboundary</w:t>
      </w:r>
      <w:r w:rsidRPr="00A00F2B">
        <w:rPr>
          <w:lang w:val="en-GB"/>
        </w:rPr>
        <w:t xml:space="preserve"> karst aquifers and enabling coordinated protection measures across both countries. Developed under DIKTAS II Output 2.2 and fully aligned with the Strategic Action Programme (SAP) priority on the harmonization of sanitary protection zones, the document addresses the need for a coherent, bilateral approach to groundwater governance in </w:t>
      </w:r>
      <w:r w:rsidR="008F0365">
        <w:rPr>
          <w:lang w:val="en-GB"/>
        </w:rPr>
        <w:t>shared TBAs between two countries</w:t>
      </w:r>
      <w:r w:rsidRPr="00A00F2B">
        <w:rPr>
          <w:lang w:val="en-GB"/>
        </w:rPr>
        <w:t>. These aquifers, characterized by highly permeable carbonate formations, rapid infiltration, limited natural filtration capacity and strong transboundary connectivity, form a critical source of drinking water and sustain ecologically valuable groundwater-dependent ecosystems on both sides of the border. Their vulnerability to contamination, diffuse agricultural pressures, wastewater challenges, uncontrolled land</w:t>
      </w:r>
      <w:r w:rsidRPr="00A00F2B">
        <w:rPr>
          <w:rFonts w:ascii="Cambria Math" w:hAnsi="Cambria Math" w:cs="Cambria Math"/>
          <w:lang w:val="en-GB"/>
        </w:rPr>
        <w:t>‑</w:t>
      </w:r>
      <w:r w:rsidRPr="00A00F2B">
        <w:rPr>
          <w:lang w:val="en-GB"/>
        </w:rPr>
        <w:t>use, and climate</w:t>
      </w:r>
      <w:r w:rsidRPr="00A00F2B">
        <w:rPr>
          <w:rFonts w:ascii="Cambria Math" w:hAnsi="Cambria Math" w:cs="Cambria Math"/>
          <w:lang w:val="en-GB"/>
        </w:rPr>
        <w:t>‑</w:t>
      </w:r>
      <w:r w:rsidRPr="00A00F2B">
        <w:rPr>
          <w:lang w:val="en-GB"/>
        </w:rPr>
        <w:t>induced hydrological variability requires governance responses that transcend national administrative boundaries.</w:t>
      </w:r>
    </w:p>
    <w:p w14:paraId="700DE62E" w14:textId="73DABC09" w:rsidR="00A00F2B" w:rsidRPr="00FF5968" w:rsidRDefault="00A00F2B" w:rsidP="00BD3225">
      <w:pPr>
        <w:jc w:val="both"/>
        <w:rPr>
          <w:lang w:val="en-GB"/>
        </w:rPr>
      </w:pPr>
      <w:r w:rsidRPr="00A00F2B">
        <w:rPr>
          <w:lang w:val="en-GB"/>
        </w:rPr>
        <w:t xml:space="preserve">This Joint Framework provides an overview of the policy, legal and institutional landscape relevant for groundwater protection in Croatia and Bosnia and Herzegovina, identifying differences that directly influence the management of </w:t>
      </w:r>
      <w:r w:rsidR="001B3D48">
        <w:rPr>
          <w:lang w:val="en-GB"/>
        </w:rPr>
        <w:t>transboundary</w:t>
      </w:r>
      <w:r w:rsidR="001B3D48" w:rsidRPr="00A00F2B">
        <w:rPr>
          <w:lang w:val="en-GB"/>
        </w:rPr>
        <w:t xml:space="preserve"> </w:t>
      </w:r>
      <w:r w:rsidRPr="00A00F2B">
        <w:rPr>
          <w:lang w:val="en-GB"/>
        </w:rPr>
        <w:t xml:space="preserve">karst systems. Croatia’s water legislation is fully aligned with the EU Water Framework Directive (WFD) and Groundwater Directive (GWD), supported by structured monitoring obligations and detailed rulebooks for delineating sanitary protection zones. </w:t>
      </w:r>
      <w:r w:rsidR="000E0345" w:rsidRPr="00FF5968">
        <w:rPr>
          <w:lang w:val="en-GB"/>
        </w:rPr>
        <w:t>Unlike Croatia, Bosnia and Herzegovina has a decentralized governance set</w:t>
      </w:r>
      <w:r w:rsidR="000E0345" w:rsidRPr="00FF5968">
        <w:rPr>
          <w:lang w:val="en-GB"/>
        </w:rPr>
        <w:noBreakHyphen/>
        <w:t xml:space="preserve">up, consisting of entities (FBIH, RS and BDBIH) and cantons (FBIH), where the WFD has been </w:t>
      </w:r>
      <w:r w:rsidR="00FF5968" w:rsidRPr="00FF5968">
        <w:rPr>
          <w:lang w:val="en-GB"/>
        </w:rPr>
        <w:t>largely transposed</w:t>
      </w:r>
      <w:r w:rsidR="000E0345" w:rsidRPr="00FF5968">
        <w:rPr>
          <w:lang w:val="en-GB"/>
        </w:rPr>
        <w:t>, but the GWD only partially. Delineation of sanitary protection zones are regulated through entities’ rulebooks, yet methodologies remain non</w:t>
      </w:r>
      <w:r w:rsidR="000E0345" w:rsidRPr="00FF5968">
        <w:rPr>
          <w:lang w:val="en-GB"/>
        </w:rPr>
        <w:noBreakHyphen/>
        <w:t>uniform and groundwater considerations are unevenly integrated into spatial planning and sectoral policies.</w:t>
      </w:r>
      <w:r w:rsidRPr="00FF5968">
        <w:rPr>
          <w:lang w:val="en-GB"/>
        </w:rPr>
        <w:t xml:space="preserve"> These </w:t>
      </w:r>
      <w:r w:rsidR="008F0365" w:rsidRPr="00FF5968">
        <w:rPr>
          <w:lang w:val="en-GB"/>
        </w:rPr>
        <w:t>differences</w:t>
      </w:r>
      <w:r w:rsidRPr="00FF5968">
        <w:rPr>
          <w:lang w:val="en-GB"/>
        </w:rPr>
        <w:t xml:space="preserve"> create practical barriers for coordinated protection of TBAs, where recharge zones, pollution risks, and socio</w:t>
      </w:r>
      <w:r w:rsidRPr="00FF5968">
        <w:rPr>
          <w:rFonts w:ascii="Cambria Math" w:hAnsi="Cambria Math" w:cs="Cambria Math"/>
          <w:lang w:val="en-GB"/>
        </w:rPr>
        <w:t>‑</w:t>
      </w:r>
      <w:r w:rsidRPr="00FF5968">
        <w:rPr>
          <w:lang w:val="en-GB"/>
        </w:rPr>
        <w:t>economic pressures cross the state border.</w:t>
      </w:r>
    </w:p>
    <w:p w14:paraId="3CBA0F9A" w14:textId="2ED21CAA" w:rsidR="00A00F2B" w:rsidRPr="00A00F2B" w:rsidRDefault="00A00F2B" w:rsidP="00BD3225">
      <w:pPr>
        <w:jc w:val="both"/>
        <w:rPr>
          <w:lang w:val="en-GB"/>
        </w:rPr>
      </w:pPr>
      <w:r w:rsidRPr="00A00F2B">
        <w:rPr>
          <w:lang w:val="en-GB"/>
        </w:rPr>
        <w:t xml:space="preserve">Within this context, the Framework articulates </w:t>
      </w:r>
      <w:r w:rsidR="008F0365">
        <w:rPr>
          <w:lang w:val="en-GB"/>
        </w:rPr>
        <w:t>several</w:t>
      </w:r>
      <w:r w:rsidRPr="00A00F2B">
        <w:rPr>
          <w:lang w:val="en-GB"/>
        </w:rPr>
        <w:t xml:space="preserve"> core harmonization propositions that will be elaborated in detail in the subsequent chapters</w:t>
      </w:r>
      <w:r w:rsidR="008F0365">
        <w:rPr>
          <w:lang w:val="en-GB"/>
        </w:rPr>
        <w:t>:</w:t>
      </w:r>
    </w:p>
    <w:p w14:paraId="48F54EE0" w14:textId="296C9B6F" w:rsidR="00A00F2B" w:rsidRPr="00A00F2B" w:rsidRDefault="00A00F2B" w:rsidP="00BD3225">
      <w:pPr>
        <w:pStyle w:val="ListParagraph"/>
        <w:numPr>
          <w:ilvl w:val="0"/>
          <w:numId w:val="58"/>
        </w:numPr>
        <w:jc w:val="both"/>
        <w:rPr>
          <w:lang w:val="en-GB"/>
        </w:rPr>
      </w:pPr>
      <w:r w:rsidRPr="00A00F2B">
        <w:rPr>
          <w:lang w:val="en-GB"/>
        </w:rPr>
        <w:t>Harmonization of sanitary protection zone criteria</w:t>
      </w:r>
      <w:r w:rsidR="001D35DD">
        <w:rPr>
          <w:lang w:val="en-GB"/>
        </w:rPr>
        <w:t xml:space="preserve"> and</w:t>
      </w:r>
      <w:r w:rsidR="001D35DD" w:rsidRPr="00A00F2B">
        <w:rPr>
          <w:lang w:val="en-GB"/>
        </w:rPr>
        <w:t xml:space="preserve"> </w:t>
      </w:r>
      <w:r w:rsidRPr="00A00F2B">
        <w:rPr>
          <w:lang w:val="en-GB"/>
        </w:rPr>
        <w:t>uniform minimum protection requirements</w:t>
      </w:r>
      <w:r w:rsidR="001D35DD">
        <w:rPr>
          <w:lang w:val="en-GB"/>
        </w:rPr>
        <w:t xml:space="preserve"> based on monitoring results</w:t>
      </w:r>
      <w:r w:rsidR="00CC3D21">
        <w:rPr>
          <w:lang w:val="en-GB"/>
        </w:rPr>
        <w:t xml:space="preserve"> and </w:t>
      </w:r>
      <w:r w:rsidR="00CC3D21" w:rsidRPr="00CC3D21">
        <w:rPr>
          <w:lang w:val="en-GB"/>
        </w:rPr>
        <w:t>risk</w:t>
      </w:r>
      <w:r w:rsidR="00CC3D21">
        <w:rPr>
          <w:lang w:val="en-GB"/>
        </w:rPr>
        <w:t>s assessment.</w:t>
      </w:r>
      <w:r w:rsidR="001D35DD">
        <w:rPr>
          <w:lang w:val="en-GB"/>
        </w:rPr>
        <w:t xml:space="preserve"> </w:t>
      </w:r>
    </w:p>
    <w:p w14:paraId="05DFCF9B" w14:textId="34EE9342" w:rsidR="00A00F2B" w:rsidRPr="00A00F2B" w:rsidRDefault="00A00F2B" w:rsidP="00BD3225">
      <w:pPr>
        <w:pStyle w:val="ListParagraph"/>
        <w:numPr>
          <w:ilvl w:val="0"/>
          <w:numId w:val="58"/>
        </w:numPr>
        <w:jc w:val="both"/>
        <w:rPr>
          <w:lang w:val="en-GB"/>
        </w:rPr>
      </w:pPr>
      <w:r w:rsidRPr="00A00F2B">
        <w:rPr>
          <w:lang w:val="en-GB"/>
        </w:rPr>
        <w:t>Establishment of a bilateral groundwater data</w:t>
      </w:r>
      <w:r w:rsidRPr="00A00F2B">
        <w:rPr>
          <w:rFonts w:ascii="Cambria Math" w:hAnsi="Cambria Math" w:cs="Cambria Math"/>
          <w:lang w:val="en-GB"/>
        </w:rPr>
        <w:t>‑</w:t>
      </w:r>
      <w:r w:rsidRPr="00A00F2B">
        <w:rPr>
          <w:lang w:val="en-GB"/>
        </w:rPr>
        <w:t xml:space="preserve">exchange mechanism </w:t>
      </w:r>
      <w:r w:rsidR="00963906">
        <w:rPr>
          <w:rFonts w:ascii="Calibri" w:hAnsi="Calibri" w:cs="Calibri"/>
          <w:lang w:val="en-GB"/>
        </w:rPr>
        <w:t>-</w:t>
      </w:r>
      <w:r w:rsidRPr="00A00F2B">
        <w:rPr>
          <w:lang w:val="en-GB"/>
        </w:rPr>
        <w:t xml:space="preserve"> defining</w:t>
      </w:r>
      <w:r w:rsidR="008F0365">
        <w:rPr>
          <w:lang w:val="en-GB"/>
        </w:rPr>
        <w:t xml:space="preserve"> need for</w:t>
      </w:r>
      <w:r w:rsidRPr="00A00F2B">
        <w:rPr>
          <w:lang w:val="en-GB"/>
        </w:rPr>
        <w:t xml:space="preserve"> interoperable datasets, monitoring parameters, frequency, and data</w:t>
      </w:r>
      <w:r w:rsidRPr="00A00F2B">
        <w:rPr>
          <w:rFonts w:ascii="Cambria Math" w:hAnsi="Cambria Math" w:cs="Cambria Math"/>
          <w:lang w:val="en-GB"/>
        </w:rPr>
        <w:t>‑</w:t>
      </w:r>
      <w:r w:rsidRPr="00A00F2B">
        <w:rPr>
          <w:lang w:val="en-GB"/>
        </w:rPr>
        <w:t>sharing routines consistent with DIKTAS II Output 4.1 and SAP Action 1, enabling joint interpretation of groundwater status and transboundary risks.</w:t>
      </w:r>
    </w:p>
    <w:p w14:paraId="762C13D2" w14:textId="16DECE49" w:rsidR="00A00F2B" w:rsidRPr="00A00F2B" w:rsidRDefault="00A00F2B" w:rsidP="00BD3225">
      <w:pPr>
        <w:pStyle w:val="ListParagraph"/>
        <w:numPr>
          <w:ilvl w:val="0"/>
          <w:numId w:val="58"/>
        </w:numPr>
        <w:jc w:val="both"/>
        <w:rPr>
          <w:lang w:val="en-GB"/>
        </w:rPr>
      </w:pPr>
      <w:r w:rsidRPr="00A00F2B">
        <w:rPr>
          <w:lang w:val="en-GB"/>
        </w:rPr>
        <w:t xml:space="preserve">Preparation of a bilateral legal addendum or protocol to the 1996 Water Management Agreement </w:t>
      </w:r>
      <w:r w:rsidR="00963906">
        <w:rPr>
          <w:lang w:val="en-GB"/>
        </w:rPr>
        <w:t>-</w:t>
      </w:r>
      <w:r w:rsidRPr="00A00F2B">
        <w:rPr>
          <w:lang w:val="en-GB"/>
        </w:rPr>
        <w:t xml:space="preserve"> introducing explicit groundwater provisions, shared obligations for sanitary zones, coordinated monitoring, emergency communication, and joint procedures for addressing pollution incidents and land</w:t>
      </w:r>
      <w:r w:rsidRPr="00A00F2B">
        <w:rPr>
          <w:rFonts w:ascii="Cambria Math" w:hAnsi="Cambria Math" w:cs="Cambria Math"/>
          <w:lang w:val="en-GB"/>
        </w:rPr>
        <w:t>‑</w:t>
      </w:r>
      <w:r w:rsidRPr="00A00F2B">
        <w:rPr>
          <w:lang w:val="en-GB"/>
        </w:rPr>
        <w:t>use pressures.</w:t>
      </w:r>
    </w:p>
    <w:p w14:paraId="101020AF" w14:textId="491B1EC0" w:rsidR="00A00F2B" w:rsidRPr="001D35DD" w:rsidRDefault="001D35DD" w:rsidP="00BD6F28">
      <w:pPr>
        <w:pStyle w:val="ListParagraph"/>
        <w:numPr>
          <w:ilvl w:val="0"/>
          <w:numId w:val="58"/>
        </w:numPr>
        <w:rPr>
          <w:lang w:val="en-GB"/>
        </w:rPr>
      </w:pPr>
      <w:r>
        <w:rPr>
          <w:lang w:val="en-GB"/>
        </w:rPr>
        <w:t>E</w:t>
      </w:r>
      <w:r w:rsidRPr="001D35DD">
        <w:rPr>
          <w:lang w:val="en-GB"/>
        </w:rPr>
        <w:t xml:space="preserve">mbedding </w:t>
      </w:r>
      <w:r w:rsidR="00A00F2B" w:rsidRPr="001D35DD">
        <w:rPr>
          <w:lang w:val="en-GB"/>
        </w:rPr>
        <w:t xml:space="preserve">groundwater protection into spatial and sectoral plans </w:t>
      </w:r>
      <w:r>
        <w:rPr>
          <w:lang w:val="en-GB"/>
        </w:rPr>
        <w:t>c</w:t>
      </w:r>
      <w:r w:rsidRPr="001D35DD">
        <w:rPr>
          <w:lang w:val="en-GB"/>
        </w:rPr>
        <w:t>oordinated integration of sanitary protection zones into spatial</w:t>
      </w:r>
      <w:r>
        <w:rPr>
          <w:lang w:val="en-GB"/>
        </w:rPr>
        <w:t xml:space="preserve"> and sectors’</w:t>
      </w:r>
      <w:r w:rsidRPr="001D35DD">
        <w:rPr>
          <w:lang w:val="en-GB"/>
        </w:rPr>
        <w:t xml:space="preserve"> planning instruments</w:t>
      </w:r>
      <w:r>
        <w:rPr>
          <w:lang w:val="en-GB"/>
        </w:rPr>
        <w:t xml:space="preserve">, </w:t>
      </w:r>
      <w:r w:rsidR="00A00F2B" w:rsidRPr="001D35DD">
        <w:rPr>
          <w:lang w:val="en-GB"/>
        </w:rPr>
        <w:t xml:space="preserve">ensuring that sanitary </w:t>
      </w:r>
      <w:r w:rsidRPr="001D35DD">
        <w:rPr>
          <w:lang w:val="en-GB"/>
        </w:rPr>
        <w:t xml:space="preserve">protection </w:t>
      </w:r>
      <w:r w:rsidR="00A00F2B" w:rsidRPr="001D35DD">
        <w:rPr>
          <w:lang w:val="en-GB"/>
        </w:rPr>
        <w:t>zones, vulnerability maps, and groundwater</w:t>
      </w:r>
      <w:r w:rsidR="00A00F2B" w:rsidRPr="001D35DD">
        <w:rPr>
          <w:rFonts w:ascii="Cambria Math" w:hAnsi="Cambria Math" w:cs="Cambria Math"/>
          <w:lang w:val="en-GB"/>
        </w:rPr>
        <w:t>‑</w:t>
      </w:r>
      <w:r w:rsidR="00A00F2B" w:rsidRPr="001D35DD">
        <w:rPr>
          <w:lang w:val="en-GB"/>
        </w:rPr>
        <w:t>dependent ecosystem requirements are systematically integrated into agriculture, tourism, hydropower, waste management and municipal spatial plans in both countries.</w:t>
      </w:r>
    </w:p>
    <w:p w14:paraId="55C29451" w14:textId="77777777" w:rsidR="00A00F2B" w:rsidRPr="00A00F2B" w:rsidRDefault="00A00F2B" w:rsidP="00BD3225">
      <w:pPr>
        <w:jc w:val="both"/>
        <w:rPr>
          <w:lang w:val="en-GB"/>
        </w:rPr>
      </w:pPr>
      <w:r w:rsidRPr="00A00F2B">
        <w:rPr>
          <w:lang w:val="en-GB"/>
        </w:rPr>
        <w:lastRenderedPageBreak/>
        <w:t>These harmonization domains respond directly to the governance challenges identified in the bilateral diagnostic analyses for the Una and Neretva TBAs, including gaps in monitoring coverage, inconsistent enforcement of sanitary zoning obligations, diffuse agricultural pollution, wastewater and solid</w:t>
      </w:r>
      <w:r w:rsidRPr="00A00F2B">
        <w:rPr>
          <w:rFonts w:ascii="Cambria Math" w:hAnsi="Cambria Math" w:cs="Cambria Math"/>
          <w:lang w:val="en-GB"/>
        </w:rPr>
        <w:t>‑</w:t>
      </w:r>
      <w:r w:rsidRPr="00A00F2B">
        <w:rPr>
          <w:lang w:val="en-GB"/>
        </w:rPr>
        <w:t>waste risks, and limited institutional capacity for risk</w:t>
      </w:r>
      <w:r w:rsidRPr="00A00F2B">
        <w:rPr>
          <w:rFonts w:ascii="Cambria Math" w:hAnsi="Cambria Math" w:cs="Cambria Math"/>
          <w:lang w:val="en-GB"/>
        </w:rPr>
        <w:t>‑</w:t>
      </w:r>
      <w:r w:rsidRPr="00A00F2B">
        <w:rPr>
          <w:lang w:val="en-GB"/>
        </w:rPr>
        <w:t>based planning.</w:t>
      </w:r>
    </w:p>
    <w:p w14:paraId="24C0D0DA" w14:textId="54DDD488" w:rsidR="00A00F2B" w:rsidRPr="00A00F2B" w:rsidRDefault="00404487" w:rsidP="00BD3225">
      <w:pPr>
        <w:jc w:val="both"/>
        <w:rPr>
          <w:lang w:val="en-GB"/>
        </w:rPr>
      </w:pPr>
      <w:r w:rsidRPr="00404487">
        <w:rPr>
          <w:lang w:val="en-GB"/>
        </w:rPr>
        <w:t xml:space="preserve">The Joint Framework also clarifies the expected adoption pathway under DIKTAS II Output 2.2, whereby the proposed measures will be submitted to the competent authorities of both countries for review and potential consideration at government level. To facilitate this process, the </w:t>
      </w:r>
      <w:r w:rsidR="00011CA4">
        <w:rPr>
          <w:lang w:val="en-GB"/>
        </w:rPr>
        <w:t xml:space="preserve">Framework </w:t>
      </w:r>
      <w:r w:rsidRPr="00404487">
        <w:rPr>
          <w:lang w:val="en-GB"/>
        </w:rPr>
        <w:t>document includes a phased roadmap comprising short</w:t>
      </w:r>
      <w:r w:rsidRPr="00404487">
        <w:rPr>
          <w:rFonts w:ascii="Cambria Math" w:hAnsi="Cambria Math" w:cs="Cambria Math"/>
          <w:lang w:val="en-GB"/>
        </w:rPr>
        <w:t>‑</w:t>
      </w:r>
      <w:r w:rsidRPr="00404487">
        <w:rPr>
          <w:lang w:val="en-GB"/>
        </w:rPr>
        <w:t>term actions (technical harmonization and joint methodological alignment), medium</w:t>
      </w:r>
      <w:r w:rsidRPr="00404487">
        <w:rPr>
          <w:rFonts w:ascii="Cambria Math" w:hAnsi="Cambria Math" w:cs="Cambria Math"/>
          <w:lang w:val="en-GB"/>
        </w:rPr>
        <w:t>‑</w:t>
      </w:r>
      <w:r w:rsidRPr="00404487">
        <w:rPr>
          <w:lang w:val="en-GB"/>
        </w:rPr>
        <w:t>term actions (operationalizing data</w:t>
      </w:r>
      <w:r w:rsidRPr="00404487">
        <w:rPr>
          <w:rFonts w:ascii="Cambria Math" w:hAnsi="Cambria Math" w:cs="Cambria Math"/>
          <w:lang w:val="en-GB"/>
        </w:rPr>
        <w:t>‑</w:t>
      </w:r>
      <w:r w:rsidRPr="00404487">
        <w:rPr>
          <w:lang w:val="en-GB"/>
        </w:rPr>
        <w:t>exchange routines and aligning planning instruments), and long</w:t>
      </w:r>
      <w:r w:rsidRPr="00404487">
        <w:rPr>
          <w:rFonts w:ascii="Cambria Math" w:hAnsi="Cambria Math" w:cs="Cambria Math"/>
          <w:lang w:val="en-GB"/>
        </w:rPr>
        <w:t>‑</w:t>
      </w:r>
      <w:r w:rsidRPr="00404487">
        <w:rPr>
          <w:lang w:val="en-GB"/>
        </w:rPr>
        <w:t>term actions (formalizing a bilateral protocol and establishing durable cooperation mechanisms). This sequenced approach acknowledges the complexity of karst</w:t>
      </w:r>
      <w:r w:rsidRPr="00404487">
        <w:rPr>
          <w:rFonts w:ascii="Cambria Math" w:hAnsi="Cambria Math" w:cs="Cambria Math"/>
          <w:lang w:val="en-GB"/>
        </w:rPr>
        <w:t>‑</w:t>
      </w:r>
      <w:r w:rsidRPr="00404487">
        <w:rPr>
          <w:lang w:val="en-GB"/>
        </w:rPr>
        <w:t>aquifer governance and the need to progressively strengthen institutional capacity and political commitment.</w:t>
      </w:r>
      <w:r>
        <w:rPr>
          <w:lang w:val="en-GB"/>
        </w:rPr>
        <w:t xml:space="preserve"> </w:t>
      </w:r>
      <w:r w:rsidR="00011CA4">
        <w:rPr>
          <w:lang w:val="en-GB"/>
        </w:rPr>
        <w:t>Furthermore, i</w:t>
      </w:r>
      <w:r w:rsidR="00011CA4" w:rsidRPr="00011CA4">
        <w:rPr>
          <w:lang w:val="en-GB"/>
        </w:rPr>
        <w:t xml:space="preserve">n developing </w:t>
      </w:r>
      <w:r w:rsidR="00011CA4">
        <w:rPr>
          <w:lang w:val="en-GB"/>
        </w:rPr>
        <w:t>Joint</w:t>
      </w:r>
      <w:r w:rsidR="00011CA4" w:rsidRPr="00011CA4">
        <w:rPr>
          <w:lang w:val="en-GB"/>
        </w:rPr>
        <w:t xml:space="preserve"> framework</w:t>
      </w:r>
      <w:r w:rsidR="00011CA4">
        <w:rPr>
          <w:lang w:val="en-GB"/>
        </w:rPr>
        <w:t xml:space="preserve"> document</w:t>
      </w:r>
      <w:r w:rsidR="00011CA4" w:rsidRPr="00011CA4">
        <w:rPr>
          <w:lang w:val="en-GB"/>
        </w:rPr>
        <w:t>, the principles outlined in the UN General Assembly Resolution A/RES/63/124 on the Law of Transboundary Aquifers, which encourages countries sharing groundwater systems to establish appropriate bilateral or regional arrangements for their cooperative governance</w:t>
      </w:r>
      <w:r w:rsidR="00011CA4">
        <w:rPr>
          <w:lang w:val="en-GB"/>
        </w:rPr>
        <w:t xml:space="preserve">, </w:t>
      </w:r>
      <w:r w:rsidR="006E4A59">
        <w:rPr>
          <w:lang w:val="en-GB"/>
        </w:rPr>
        <w:t xml:space="preserve">are </w:t>
      </w:r>
      <w:r w:rsidR="00011CA4">
        <w:rPr>
          <w:lang w:val="en-GB"/>
        </w:rPr>
        <w:t>very much acknowledged</w:t>
      </w:r>
      <w:r w:rsidR="00011CA4" w:rsidRPr="00011CA4">
        <w:rPr>
          <w:lang w:val="en-GB"/>
        </w:rPr>
        <w:t>.</w:t>
      </w:r>
    </w:p>
    <w:p w14:paraId="7413E547" w14:textId="5D2F59EB" w:rsidR="00E83BD5" w:rsidRDefault="00404487" w:rsidP="00BD6F28">
      <w:pPr>
        <w:jc w:val="both"/>
        <w:rPr>
          <w:lang w:val="en-GB"/>
        </w:rPr>
      </w:pPr>
      <w:r>
        <w:rPr>
          <w:lang w:val="en-GB"/>
        </w:rPr>
        <w:t>Importantly</w:t>
      </w:r>
      <w:r w:rsidR="00A00F2B" w:rsidRPr="00A00F2B">
        <w:rPr>
          <w:lang w:val="en-GB"/>
        </w:rPr>
        <w:t>, the Joint Framework is not intended as a final legal instrument, but as the analytical and conceptual foundation for more detailed work to be completed under DIKTAS II</w:t>
      </w:r>
      <w:r w:rsidR="003B035A">
        <w:rPr>
          <w:lang w:val="en-GB"/>
        </w:rPr>
        <w:t xml:space="preserve"> project</w:t>
      </w:r>
      <w:r w:rsidR="00A00F2B" w:rsidRPr="00A00F2B">
        <w:rPr>
          <w:lang w:val="en-GB"/>
        </w:rPr>
        <w:t>. By defining areas where policy, legal and institutional alignment</w:t>
      </w:r>
      <w:r w:rsidR="006E4A59">
        <w:rPr>
          <w:lang w:val="en-GB"/>
        </w:rPr>
        <w:t>s</w:t>
      </w:r>
      <w:r w:rsidR="00A00F2B" w:rsidRPr="00A00F2B">
        <w:rPr>
          <w:lang w:val="en-GB"/>
        </w:rPr>
        <w:t xml:space="preserve"> </w:t>
      </w:r>
      <w:r w:rsidR="006E4A59">
        <w:rPr>
          <w:lang w:val="en-GB"/>
        </w:rPr>
        <w:t>are</w:t>
      </w:r>
      <w:r w:rsidR="006E4A59" w:rsidRPr="00A00F2B">
        <w:rPr>
          <w:lang w:val="en-GB"/>
        </w:rPr>
        <w:t xml:space="preserve"> </w:t>
      </w:r>
      <w:r w:rsidR="00A00F2B" w:rsidRPr="00A00F2B">
        <w:rPr>
          <w:lang w:val="en-GB"/>
        </w:rPr>
        <w:t xml:space="preserve">both necessary and feasible, it establishes the prerequisites for more coherent, predictable and mutually beneficial groundwater protection across the </w:t>
      </w:r>
      <w:r w:rsidR="001B3D48">
        <w:rPr>
          <w:lang w:val="en-GB"/>
        </w:rPr>
        <w:t>transboundary</w:t>
      </w:r>
      <w:r w:rsidR="001B3D48" w:rsidRPr="00A00F2B">
        <w:rPr>
          <w:lang w:val="en-GB"/>
        </w:rPr>
        <w:t xml:space="preserve"> </w:t>
      </w:r>
      <w:r w:rsidR="00A00F2B" w:rsidRPr="00A00F2B">
        <w:rPr>
          <w:lang w:val="en-GB"/>
        </w:rPr>
        <w:t>karst systems of Croatia and Bosnia and Herzegovina.</w:t>
      </w:r>
    </w:p>
    <w:p w14:paraId="2BCFCBAD" w14:textId="77777777" w:rsidR="00011CA4" w:rsidRPr="003B035A" w:rsidRDefault="00011CA4" w:rsidP="00011CA4">
      <w:pPr>
        <w:pStyle w:val="Heading1"/>
        <w:rPr>
          <w:lang w:val="en-GB"/>
        </w:rPr>
      </w:pPr>
      <w:bookmarkStart w:id="4" w:name="_Toc225945258"/>
      <w:r>
        <w:rPr>
          <w:lang w:val="en-GB"/>
        </w:rPr>
        <w:t>2</w:t>
      </w:r>
      <w:r w:rsidRPr="003B035A">
        <w:rPr>
          <w:lang w:val="en-GB"/>
        </w:rPr>
        <w:t xml:space="preserve"> </w:t>
      </w:r>
      <w:r>
        <w:rPr>
          <w:lang w:val="en-GB"/>
        </w:rPr>
        <w:t>Purpose, scope and alignment</w:t>
      </w:r>
      <w:bookmarkEnd w:id="4"/>
      <w:r w:rsidRPr="003B035A">
        <w:rPr>
          <w:lang w:val="en-GB"/>
        </w:rPr>
        <w:t xml:space="preserve"> </w:t>
      </w:r>
    </w:p>
    <w:p w14:paraId="5DC5688A" w14:textId="77777777" w:rsidR="00011CA4" w:rsidRPr="00BD3225" w:rsidRDefault="00011CA4" w:rsidP="00376158">
      <w:pPr>
        <w:jc w:val="both"/>
        <w:rPr>
          <w:b/>
          <w:lang w:val="en-GB"/>
        </w:rPr>
      </w:pPr>
      <w:r w:rsidRPr="00BD3225">
        <w:rPr>
          <w:lang w:val="en-GB"/>
        </w:rPr>
        <w:t xml:space="preserve">The </w:t>
      </w:r>
      <w:r>
        <w:rPr>
          <w:lang w:val="en-GB"/>
        </w:rPr>
        <w:t xml:space="preserve">Joint </w:t>
      </w:r>
      <w:r w:rsidRPr="00BD3225">
        <w:rPr>
          <w:lang w:val="en-GB"/>
        </w:rPr>
        <w:t>Framework</w:t>
      </w:r>
      <w:r>
        <w:rPr>
          <w:lang w:val="en-GB"/>
        </w:rPr>
        <w:t xml:space="preserve"> document</w:t>
      </w:r>
      <w:r w:rsidRPr="00BD3225">
        <w:rPr>
          <w:lang w:val="en-GB"/>
        </w:rPr>
        <w:t xml:space="preserve"> provides a structured basis for considering where policy, legal and institutional adjustments may support more consistent approaches to groundwater protection between Croatia and Bosnia and Herzegovina, particularly in areas where transboundary aquifers require coordinated or mutually compatible governance measures.</w:t>
      </w:r>
    </w:p>
    <w:p w14:paraId="3B5851DC" w14:textId="77777777" w:rsidR="00011CA4" w:rsidRPr="00BD3225" w:rsidRDefault="00011CA4" w:rsidP="00376158">
      <w:pPr>
        <w:jc w:val="both"/>
        <w:rPr>
          <w:b/>
          <w:lang w:val="en-GB"/>
        </w:rPr>
      </w:pPr>
      <w:r w:rsidRPr="00BD3225">
        <w:rPr>
          <w:lang w:val="en-GB"/>
        </w:rPr>
        <w:t xml:space="preserve">The thematic focus is limited to elements that hold the strongest relevance for </w:t>
      </w:r>
      <w:r w:rsidRPr="001B3D48">
        <w:rPr>
          <w:lang w:val="en-GB"/>
        </w:rPr>
        <w:t xml:space="preserve">transboundary </w:t>
      </w:r>
      <w:r w:rsidRPr="00BD3225">
        <w:rPr>
          <w:lang w:val="en-GB"/>
        </w:rPr>
        <w:t xml:space="preserve">karst systems, such as </w:t>
      </w:r>
      <w:r>
        <w:rPr>
          <w:lang w:val="en-GB"/>
        </w:rPr>
        <w:t>criteria</w:t>
      </w:r>
      <w:r w:rsidRPr="00BD3225">
        <w:rPr>
          <w:lang w:val="en-GB"/>
        </w:rPr>
        <w:t xml:space="preserve"> for defining and applying sanitary protection zones (SPZs)</w:t>
      </w:r>
      <w:r>
        <w:rPr>
          <w:lang w:val="en-GB"/>
        </w:rPr>
        <w:t xml:space="preserve"> and </w:t>
      </w:r>
      <w:r w:rsidRPr="00BD3225">
        <w:rPr>
          <w:lang w:val="en-GB"/>
        </w:rPr>
        <w:t xml:space="preserve">procedures for data exchange across administrative boundaries. These areas were selected based on the findings generated in the bilateral </w:t>
      </w:r>
      <w:r>
        <w:rPr>
          <w:lang w:val="en-GB"/>
        </w:rPr>
        <w:t xml:space="preserve">groundwater diagnostic </w:t>
      </w:r>
      <w:r w:rsidRPr="00BD3225">
        <w:rPr>
          <w:lang w:val="en-GB"/>
        </w:rPr>
        <w:t>analyses for Una and Neretva TBAs, without replicating their detailed technical content. The Framework therefore concentrates on those governance components where alignment may facilitate clearer and more predictable protection measures in practice.</w:t>
      </w:r>
    </w:p>
    <w:p w14:paraId="19ED98F0" w14:textId="7C73B8C2" w:rsidR="00011CA4" w:rsidRPr="00BD3225" w:rsidRDefault="00011CA4" w:rsidP="00376158">
      <w:pPr>
        <w:jc w:val="both"/>
        <w:rPr>
          <w:b/>
          <w:lang w:val="en-GB"/>
        </w:rPr>
      </w:pPr>
      <w:r w:rsidRPr="00BD3225">
        <w:rPr>
          <w:lang w:val="en-GB"/>
        </w:rPr>
        <w:t>Alignment with DIKTAS II and the Strategic Action Programme is ensured by focusing on issues identified as regionally significant, especially SPZ harmonization and information</w:t>
      </w:r>
      <w:r w:rsidRPr="00BD3225">
        <w:rPr>
          <w:rFonts w:ascii="Cambria Math" w:hAnsi="Cambria Math" w:cs="Cambria Math"/>
          <w:lang w:val="en-GB"/>
        </w:rPr>
        <w:t>‑</w:t>
      </w:r>
      <w:r w:rsidRPr="00BD3225">
        <w:rPr>
          <w:lang w:val="en-GB"/>
        </w:rPr>
        <w:t>sharing practices. The Framework synthesizes the implications of the diagnostic work under Output 2.1 and defines the domains where further technical and regulatory development may be justified during subsequent project phases.</w:t>
      </w:r>
      <w:r w:rsidRPr="00011CA4">
        <w:rPr>
          <w:lang w:val="en-GB"/>
        </w:rPr>
        <w:t xml:space="preserve"> </w:t>
      </w:r>
      <w:r w:rsidRPr="00BD3225">
        <w:rPr>
          <w:lang w:val="en-GB"/>
        </w:rPr>
        <w:t>The document also sets out the expected adoption process under Output 2.2. Measures and options developed through this Framework will be forwarded to the competent authorities in both countries for technical review, administrative consideration, and, where appropriate, submission into higher</w:t>
      </w:r>
      <w:r w:rsidRPr="00BD3225">
        <w:rPr>
          <w:rFonts w:ascii="Cambria Math" w:hAnsi="Cambria Math" w:cs="Cambria Math"/>
          <w:lang w:val="en-GB"/>
        </w:rPr>
        <w:t>‑</w:t>
      </w:r>
      <w:r w:rsidRPr="00BD3225">
        <w:rPr>
          <w:lang w:val="en-GB"/>
        </w:rPr>
        <w:t>level governmental procedures. To support gradual integration into national systems, the Framework introduces a phased sequence of actions, including:</w:t>
      </w:r>
    </w:p>
    <w:p w14:paraId="0935D890" w14:textId="77777777" w:rsidR="00011CA4" w:rsidRPr="00011CA4" w:rsidRDefault="00011CA4" w:rsidP="00B3506F">
      <w:pPr>
        <w:pStyle w:val="ListParagraph"/>
        <w:numPr>
          <w:ilvl w:val="0"/>
          <w:numId w:val="61"/>
        </w:numPr>
        <w:jc w:val="both"/>
        <w:rPr>
          <w:b/>
          <w:lang w:val="en-GB"/>
        </w:rPr>
      </w:pPr>
      <w:r w:rsidRPr="00011CA4">
        <w:rPr>
          <w:lang w:val="en-GB"/>
        </w:rPr>
        <w:lastRenderedPageBreak/>
        <w:t>short</w:t>
      </w:r>
      <w:r w:rsidRPr="00011CA4">
        <w:rPr>
          <w:rFonts w:ascii="Cambria Math" w:hAnsi="Cambria Math" w:cs="Cambria Math"/>
          <w:lang w:val="en-GB"/>
        </w:rPr>
        <w:t>‑</w:t>
      </w:r>
      <w:r w:rsidRPr="00011CA4">
        <w:rPr>
          <w:lang w:val="en-GB"/>
        </w:rPr>
        <w:t xml:space="preserve">term steps directed at methodological compatibility and technical </w:t>
      </w:r>
      <w:proofErr w:type="gramStart"/>
      <w:r w:rsidRPr="00011CA4">
        <w:rPr>
          <w:lang w:val="en-GB"/>
        </w:rPr>
        <w:t>alignment;</w:t>
      </w:r>
      <w:proofErr w:type="gramEnd"/>
    </w:p>
    <w:p w14:paraId="350FAE14" w14:textId="3D33F10E" w:rsidR="00BD3225" w:rsidRPr="00BD3225" w:rsidRDefault="00BD3225" w:rsidP="00B3506F">
      <w:pPr>
        <w:pStyle w:val="ListParagraph"/>
        <w:numPr>
          <w:ilvl w:val="0"/>
          <w:numId w:val="61"/>
        </w:numPr>
        <w:jc w:val="both"/>
        <w:rPr>
          <w:lang w:val="en-GB"/>
        </w:rPr>
      </w:pPr>
      <w:r w:rsidRPr="00BD3225">
        <w:rPr>
          <w:lang w:val="en-GB"/>
        </w:rPr>
        <w:t>medium</w:t>
      </w:r>
      <w:r w:rsidRPr="00BD3225">
        <w:rPr>
          <w:rFonts w:ascii="Cambria Math" w:hAnsi="Cambria Math" w:cs="Cambria Math"/>
          <w:lang w:val="en-GB"/>
        </w:rPr>
        <w:t>‑</w:t>
      </w:r>
      <w:r w:rsidRPr="00BD3225">
        <w:rPr>
          <w:lang w:val="en-GB"/>
        </w:rPr>
        <w:t xml:space="preserve">term steps oriented toward routine data exchange and integration into spatial or sectoral planning </w:t>
      </w:r>
      <w:proofErr w:type="gramStart"/>
      <w:r w:rsidRPr="00BD3225">
        <w:rPr>
          <w:lang w:val="en-GB"/>
        </w:rPr>
        <w:t>instruments;</w:t>
      </w:r>
      <w:proofErr w:type="gramEnd"/>
    </w:p>
    <w:p w14:paraId="61311386" w14:textId="70BE6DD1" w:rsidR="00BD3225" w:rsidRPr="00376158" w:rsidRDefault="00BD3225" w:rsidP="00B3506F">
      <w:pPr>
        <w:pStyle w:val="ListParagraph"/>
        <w:numPr>
          <w:ilvl w:val="0"/>
          <w:numId w:val="61"/>
        </w:numPr>
        <w:jc w:val="both"/>
        <w:rPr>
          <w:lang w:val="en-GB"/>
        </w:rPr>
      </w:pPr>
      <w:r w:rsidRPr="00376158">
        <w:rPr>
          <w:lang w:val="en-GB"/>
        </w:rPr>
        <w:t>long</w:t>
      </w:r>
      <w:r w:rsidRPr="00376158">
        <w:rPr>
          <w:rFonts w:ascii="Cambria Math" w:hAnsi="Cambria Math" w:cs="Cambria Math"/>
          <w:lang w:val="en-GB"/>
        </w:rPr>
        <w:t>‑</w:t>
      </w:r>
      <w:r w:rsidRPr="00376158">
        <w:rPr>
          <w:lang w:val="en-GB"/>
        </w:rPr>
        <w:t>term steps that may involve preparation of a bilateral protocol or a similar mechanism to ensure continuity and predictability of cross</w:t>
      </w:r>
      <w:r w:rsidRPr="00376158">
        <w:rPr>
          <w:rFonts w:ascii="Cambria Math" w:hAnsi="Cambria Math" w:cs="Cambria Math"/>
          <w:lang w:val="en-GB"/>
        </w:rPr>
        <w:t>‑</w:t>
      </w:r>
      <w:r w:rsidRPr="00376158">
        <w:rPr>
          <w:lang w:val="en-GB"/>
        </w:rPr>
        <w:t>border cooperation.</w:t>
      </w:r>
    </w:p>
    <w:p w14:paraId="32861E1F" w14:textId="77777777" w:rsidR="00BD3225" w:rsidRDefault="00BD3225" w:rsidP="00376158">
      <w:pPr>
        <w:jc w:val="both"/>
        <w:rPr>
          <w:b/>
          <w:lang w:val="en-GB"/>
        </w:rPr>
      </w:pPr>
      <w:r w:rsidRPr="00BD3225">
        <w:rPr>
          <w:lang w:val="en-GB"/>
        </w:rPr>
        <w:t>This structuring reflects the recognition that procedural, institutional and regulatory adjustments require time to be embedded across different levels of administration.</w:t>
      </w:r>
      <w:r>
        <w:rPr>
          <w:lang w:val="en-GB"/>
        </w:rPr>
        <w:t xml:space="preserve"> </w:t>
      </w:r>
    </w:p>
    <w:p w14:paraId="698B3E48" w14:textId="01C44ADB" w:rsidR="00BD3225" w:rsidRPr="00BD6F28" w:rsidRDefault="00BD3225" w:rsidP="00BD3225">
      <w:pPr>
        <w:jc w:val="both"/>
        <w:rPr>
          <w:b/>
          <w:lang w:val="en-GB"/>
        </w:rPr>
      </w:pPr>
      <w:r>
        <w:rPr>
          <w:lang w:val="en-GB"/>
        </w:rPr>
        <w:t xml:space="preserve">It is important to emphasize that </w:t>
      </w:r>
      <w:r w:rsidR="004727D7">
        <w:rPr>
          <w:lang w:val="en-GB"/>
        </w:rPr>
        <w:t>the Framework</w:t>
      </w:r>
      <w:r>
        <w:rPr>
          <w:lang w:val="en-GB"/>
        </w:rPr>
        <w:t xml:space="preserve"> </w:t>
      </w:r>
      <w:r w:rsidRPr="00BD3225">
        <w:rPr>
          <w:lang w:val="en-GB"/>
        </w:rPr>
        <w:t xml:space="preserve">is not intended as a binding legal text. Its function is to provide a coherent reference for subsequent work that will be undertaken within the DIKTAS II project. </w:t>
      </w:r>
    </w:p>
    <w:p w14:paraId="0AD834CC" w14:textId="6715042D" w:rsidR="00E83BD5" w:rsidRPr="003B035A" w:rsidRDefault="00E83BD5" w:rsidP="00E83BD5">
      <w:pPr>
        <w:pStyle w:val="Heading1"/>
        <w:rPr>
          <w:lang w:val="en-GB"/>
        </w:rPr>
      </w:pPr>
      <w:bookmarkStart w:id="5" w:name="_Toc225945259"/>
      <w:r>
        <w:rPr>
          <w:lang w:val="en-GB"/>
        </w:rPr>
        <w:t>3</w:t>
      </w:r>
      <w:r w:rsidRPr="003B035A">
        <w:rPr>
          <w:lang w:val="en-GB"/>
        </w:rPr>
        <w:t xml:space="preserve"> </w:t>
      </w:r>
      <w:r w:rsidRPr="00E83BD5">
        <w:rPr>
          <w:lang w:val="en-GB"/>
        </w:rPr>
        <w:t xml:space="preserve">Approach and inputs for developing the </w:t>
      </w:r>
      <w:r w:rsidR="00E422B7">
        <w:rPr>
          <w:lang w:val="en-GB"/>
        </w:rPr>
        <w:t>Joint F</w:t>
      </w:r>
      <w:r w:rsidRPr="00E83BD5">
        <w:rPr>
          <w:lang w:val="en-GB"/>
        </w:rPr>
        <w:t>ramework document</w:t>
      </w:r>
      <w:bookmarkEnd w:id="5"/>
      <w:r w:rsidRPr="003B035A">
        <w:rPr>
          <w:lang w:val="en-GB"/>
        </w:rPr>
        <w:t xml:space="preserve"> </w:t>
      </w:r>
    </w:p>
    <w:p w14:paraId="572D97DD" w14:textId="38D7515B" w:rsidR="00714873" w:rsidRPr="00714873" w:rsidRDefault="00E21F95" w:rsidP="00714873">
      <w:pPr>
        <w:jc w:val="both"/>
        <w:rPr>
          <w:lang w:val="en-GB"/>
        </w:rPr>
      </w:pPr>
      <w:r w:rsidRPr="00E21F95">
        <w:rPr>
          <w:lang w:val="en-GB"/>
        </w:rPr>
        <w:t xml:space="preserve">The analysis is based on a comparative review of groundwater governance in Croatia and Bosnia and Herzegovina. It uses the bilateral diagnostic </w:t>
      </w:r>
      <w:r>
        <w:rPr>
          <w:lang w:val="en-GB"/>
        </w:rPr>
        <w:t>analyses</w:t>
      </w:r>
      <w:r w:rsidRPr="00E21F95">
        <w:rPr>
          <w:lang w:val="en-GB"/>
        </w:rPr>
        <w:t xml:space="preserve"> prepared for Una and Neretva </w:t>
      </w:r>
      <w:r>
        <w:rPr>
          <w:lang w:val="en-GB"/>
        </w:rPr>
        <w:t>TBA</w:t>
      </w:r>
      <w:r w:rsidRPr="00E21F95">
        <w:rPr>
          <w:lang w:val="en-GB"/>
        </w:rPr>
        <w:t xml:space="preserve">, along with DIKTAS II materials that describe relevant institutional roles, monitoring practices and regulatory arrangements. Together, these sources provide a consolidated overview of legislation, policies, institutional responsibilities and technical aspects linked to the management of </w:t>
      </w:r>
      <w:r w:rsidR="001B3D48">
        <w:rPr>
          <w:lang w:val="en-GB"/>
        </w:rPr>
        <w:t>transboundary</w:t>
      </w:r>
      <w:r w:rsidR="001B3D48" w:rsidRPr="00A00F2B">
        <w:rPr>
          <w:lang w:val="en-GB"/>
        </w:rPr>
        <w:t xml:space="preserve"> </w:t>
      </w:r>
      <w:r w:rsidRPr="00E21F95">
        <w:rPr>
          <w:lang w:val="en-GB"/>
        </w:rPr>
        <w:t>karst aquifers.</w:t>
      </w:r>
      <w:r w:rsidR="00714873" w:rsidRPr="00714873">
        <w:rPr>
          <w:lang w:val="en-GB"/>
        </w:rPr>
        <w:t xml:space="preserve"> </w:t>
      </w:r>
    </w:p>
    <w:p w14:paraId="0B27D633" w14:textId="393A5943" w:rsidR="00714873" w:rsidRPr="00714873" w:rsidRDefault="00714873" w:rsidP="00714873">
      <w:pPr>
        <w:jc w:val="both"/>
        <w:rPr>
          <w:lang w:val="en-GB"/>
        </w:rPr>
      </w:pPr>
      <w:r w:rsidRPr="00714873">
        <w:rPr>
          <w:lang w:val="en-GB"/>
        </w:rPr>
        <w:t xml:space="preserve">The analysis follows a sequence of three steps. The first step involves the compilation of existing legal acts, implementing regulations, institutional responsibilities and planning instruments related to groundwater protection. This step reflects the documented organisation of competencies in both countries, including the degree of approximation to the EU Water Framework Directive and the Groundwater Directive, as well as procedures governing sanitary protection zones. </w:t>
      </w:r>
    </w:p>
    <w:p w14:paraId="12511EFF" w14:textId="07FF0799" w:rsidR="00714873" w:rsidRPr="00714873" w:rsidRDefault="00E21F95" w:rsidP="00714873">
      <w:pPr>
        <w:jc w:val="both"/>
        <w:rPr>
          <w:lang w:val="en-GB"/>
        </w:rPr>
      </w:pPr>
      <w:r w:rsidRPr="00E21F95">
        <w:rPr>
          <w:lang w:val="en-GB"/>
        </w:rPr>
        <w:t xml:space="preserve">The second step involves a comparative review of differences that may influence the consistent application of groundwater protection measures. These differences relate to variations in administrative structures, methodological approaches to defining sanitary protection zones, monitoring practices and the operational capacity of enforcement bodies. They are clearly reflected in the diagnostic assessments for Una and Neretva </w:t>
      </w:r>
      <w:r>
        <w:rPr>
          <w:lang w:val="en-GB"/>
        </w:rPr>
        <w:t>TBA</w:t>
      </w:r>
      <w:r w:rsidRPr="00E21F95">
        <w:rPr>
          <w:lang w:val="en-GB"/>
        </w:rPr>
        <w:t xml:space="preserve">, which document distinct regulatory arrangements, gaps in monitoring networks and uneven institutional resourcing. This comparison helps to clarify which aspects of the two systems may require closer coordination to support more predictable and aligned groundwater management across </w:t>
      </w:r>
      <w:r w:rsidR="001B3D48">
        <w:rPr>
          <w:lang w:val="en-GB"/>
        </w:rPr>
        <w:t>transboundary</w:t>
      </w:r>
      <w:r w:rsidR="001B3D48" w:rsidRPr="00A00F2B">
        <w:rPr>
          <w:lang w:val="en-GB"/>
        </w:rPr>
        <w:t xml:space="preserve"> </w:t>
      </w:r>
      <w:r w:rsidRPr="00E21F95">
        <w:rPr>
          <w:lang w:val="en-GB"/>
        </w:rPr>
        <w:t xml:space="preserve">karst </w:t>
      </w:r>
      <w:r>
        <w:rPr>
          <w:lang w:val="en-GB"/>
        </w:rPr>
        <w:t>aquifers</w:t>
      </w:r>
      <w:r w:rsidRPr="00E21F95">
        <w:rPr>
          <w:lang w:val="en-GB"/>
        </w:rPr>
        <w:t>.</w:t>
      </w:r>
      <w:r w:rsidR="00714873" w:rsidRPr="00714873">
        <w:rPr>
          <w:lang w:val="en-GB"/>
        </w:rPr>
        <w:t xml:space="preserve"> </w:t>
      </w:r>
    </w:p>
    <w:p w14:paraId="4D1EE684" w14:textId="1457BC65" w:rsidR="00714873" w:rsidRPr="00714873" w:rsidRDefault="00E21F95" w:rsidP="00714873">
      <w:pPr>
        <w:jc w:val="both"/>
        <w:rPr>
          <w:lang w:val="en-GB"/>
        </w:rPr>
      </w:pPr>
      <w:r w:rsidRPr="00E21F95">
        <w:rPr>
          <w:lang w:val="en-GB"/>
        </w:rPr>
        <w:t xml:space="preserve">The third step focuses on identifying areas where complementary or coordinated procedures could improve the consistency of groundwater protection across </w:t>
      </w:r>
      <w:r w:rsidR="001B3D48">
        <w:rPr>
          <w:lang w:val="en-GB"/>
        </w:rPr>
        <w:t>transboundary</w:t>
      </w:r>
      <w:r w:rsidR="001B3D48" w:rsidRPr="00A00F2B">
        <w:rPr>
          <w:lang w:val="en-GB"/>
        </w:rPr>
        <w:t xml:space="preserve"> </w:t>
      </w:r>
      <w:r w:rsidRPr="00E21F95">
        <w:rPr>
          <w:lang w:val="en-GB"/>
        </w:rPr>
        <w:t>aquifers. This includes domains with potential for alignment, such as practices related to sanitary protection zones, groundwater monitoring, data</w:t>
      </w:r>
      <w:r w:rsidRPr="00E21F95">
        <w:rPr>
          <w:rFonts w:ascii="Cambria Math" w:hAnsi="Cambria Math" w:cs="Cambria Math"/>
          <w:lang w:val="en-GB"/>
        </w:rPr>
        <w:t>‑</w:t>
      </w:r>
      <w:r w:rsidRPr="00E21F95">
        <w:rPr>
          <w:lang w:val="en-GB"/>
        </w:rPr>
        <w:t>handling routines and specific administrative processes. The requirements of the EU Water Framework Directive and Groundwater Directive are used as a reference for comparing national approaches against broadly recognised groundwater management principles, serving as a benchmark rather than a binding standard. This helps determine which procedures can realistically be made more compatible without altering existing national legal frameworks</w:t>
      </w:r>
      <w:r w:rsidR="00714873" w:rsidRPr="00714873">
        <w:rPr>
          <w:lang w:val="en-GB"/>
        </w:rPr>
        <w:t xml:space="preserve"> </w:t>
      </w:r>
    </w:p>
    <w:p w14:paraId="56990645" w14:textId="5FECCF6F" w:rsidR="00E21F95" w:rsidRDefault="00714873" w:rsidP="00714873">
      <w:pPr>
        <w:jc w:val="both"/>
        <w:rPr>
          <w:lang w:val="en-GB"/>
        </w:rPr>
      </w:pPr>
      <w:r w:rsidRPr="00714873">
        <w:rPr>
          <w:lang w:val="en-GB"/>
        </w:rPr>
        <w:t xml:space="preserve">The information supporting these analytical steps is summarised in Table 1, which provides an overview of the evidence base used across the different thematic areas. </w:t>
      </w:r>
    </w:p>
    <w:p w14:paraId="37A11434" w14:textId="0F1C65CF" w:rsidR="00714873" w:rsidRPr="00714873" w:rsidRDefault="00336FA1" w:rsidP="00336FA1">
      <w:pPr>
        <w:pStyle w:val="Caption"/>
        <w:rPr>
          <w:rFonts w:ascii="Calibri" w:hAnsi="Calibri" w:cs="Calibri"/>
          <w:i w:val="0"/>
          <w:iCs w:val="0"/>
          <w:szCs w:val="20"/>
          <w:lang w:val="en-GB"/>
        </w:rPr>
      </w:pPr>
      <w:bookmarkStart w:id="6" w:name="_Toc225943506"/>
      <w:r>
        <w:lastRenderedPageBreak/>
        <w:t xml:space="preserve">Table </w:t>
      </w:r>
      <w:r>
        <w:fldChar w:fldCharType="begin"/>
      </w:r>
      <w:r>
        <w:instrText xml:space="preserve"> SEQ Table \* ARABIC </w:instrText>
      </w:r>
      <w:r>
        <w:fldChar w:fldCharType="separate"/>
      </w:r>
      <w:r>
        <w:rPr>
          <w:noProof/>
        </w:rPr>
        <w:t>1</w:t>
      </w:r>
      <w:r>
        <w:rPr>
          <w:noProof/>
        </w:rPr>
        <w:fldChar w:fldCharType="end"/>
      </w:r>
      <w:r w:rsidRPr="00714873">
        <w:rPr>
          <w:sz w:val="18"/>
          <w:lang w:val="en-GB"/>
        </w:rPr>
        <w:t xml:space="preserve"> Summary of </w:t>
      </w:r>
      <w:r>
        <w:rPr>
          <w:sz w:val="18"/>
          <w:lang w:val="en-GB"/>
        </w:rPr>
        <w:t>e</w:t>
      </w:r>
      <w:r w:rsidRPr="00714873">
        <w:rPr>
          <w:sz w:val="18"/>
          <w:lang w:val="en-GB"/>
        </w:rPr>
        <w:t xml:space="preserve">vidence and </w:t>
      </w:r>
      <w:r>
        <w:rPr>
          <w:sz w:val="18"/>
          <w:lang w:val="en-GB"/>
        </w:rPr>
        <w:t>r</w:t>
      </w:r>
      <w:r w:rsidRPr="00714873">
        <w:rPr>
          <w:sz w:val="18"/>
          <w:lang w:val="en-GB"/>
        </w:rPr>
        <w:t xml:space="preserve">eference </w:t>
      </w:r>
      <w:r>
        <w:rPr>
          <w:sz w:val="18"/>
          <w:lang w:val="en-GB"/>
        </w:rPr>
        <w:t>d</w:t>
      </w:r>
      <w:r w:rsidRPr="00714873">
        <w:rPr>
          <w:sz w:val="18"/>
          <w:lang w:val="en-GB"/>
        </w:rPr>
        <w:t>ocuments</w:t>
      </w:r>
      <w:bookmarkEnd w:id="6"/>
    </w:p>
    <w:tbl>
      <w:tblPr>
        <w:tblStyle w:val="Reetkatablice1"/>
        <w:tblW w:w="0" w:type="auto"/>
        <w:tblInd w:w="108" w:type="dxa"/>
        <w:tblLook w:val="04A0" w:firstRow="1" w:lastRow="0" w:firstColumn="1" w:lastColumn="0" w:noHBand="0" w:noVBand="1"/>
      </w:tblPr>
      <w:tblGrid>
        <w:gridCol w:w="1959"/>
        <w:gridCol w:w="3384"/>
        <w:gridCol w:w="3529"/>
      </w:tblGrid>
      <w:tr w:rsidR="00714873" w:rsidRPr="00B94F87" w14:paraId="2818E688" w14:textId="77777777" w:rsidTr="00B94F87">
        <w:tc>
          <w:tcPr>
            <w:tcW w:w="2085" w:type="dxa"/>
            <w:shd w:val="clear" w:color="auto" w:fill="D9E2F3" w:themeFill="accent1" w:themeFillTint="33"/>
            <w:hideMark/>
          </w:tcPr>
          <w:p w14:paraId="54EF41E2" w14:textId="003FE38E" w:rsidR="00714873" w:rsidRPr="00B94F87" w:rsidRDefault="00714873" w:rsidP="00BD6F28">
            <w:pPr>
              <w:jc w:val="both"/>
              <w:rPr>
                <w:rFonts w:cstheme="minorHAnsi"/>
                <w:b/>
                <w:bCs/>
                <w:sz w:val="16"/>
                <w:szCs w:val="16"/>
                <w:lang w:val="en-GB" w:eastAsia="en-GB"/>
              </w:rPr>
            </w:pPr>
            <w:r w:rsidRPr="00B94F87">
              <w:rPr>
                <w:rFonts w:cstheme="minorHAnsi"/>
                <w:b/>
                <w:bCs/>
                <w:sz w:val="16"/>
                <w:szCs w:val="16"/>
                <w:lang w:val="en-GB" w:eastAsia="en-GB"/>
              </w:rPr>
              <w:t>Thematic area</w:t>
            </w:r>
          </w:p>
        </w:tc>
        <w:tc>
          <w:tcPr>
            <w:tcW w:w="3369" w:type="dxa"/>
            <w:shd w:val="clear" w:color="auto" w:fill="D9E2F3" w:themeFill="accent1" w:themeFillTint="33"/>
            <w:hideMark/>
          </w:tcPr>
          <w:p w14:paraId="79BF5144" w14:textId="6F960A97" w:rsidR="00714873" w:rsidRPr="00B94F87" w:rsidRDefault="00714873" w:rsidP="00BD6F28">
            <w:pPr>
              <w:jc w:val="both"/>
              <w:rPr>
                <w:rFonts w:cstheme="minorHAnsi"/>
                <w:b/>
                <w:bCs/>
                <w:sz w:val="16"/>
                <w:szCs w:val="16"/>
                <w:lang w:val="en-GB" w:eastAsia="en-GB"/>
              </w:rPr>
            </w:pPr>
            <w:r w:rsidRPr="00B94F87">
              <w:rPr>
                <w:rFonts w:cstheme="minorHAnsi"/>
                <w:b/>
                <w:bCs/>
                <w:sz w:val="16"/>
                <w:szCs w:val="16"/>
                <w:lang w:val="en-GB" w:eastAsia="en-GB"/>
              </w:rPr>
              <w:t>Key documents and information sources used</w:t>
            </w:r>
          </w:p>
        </w:tc>
        <w:tc>
          <w:tcPr>
            <w:tcW w:w="3418" w:type="dxa"/>
            <w:shd w:val="clear" w:color="auto" w:fill="D9E2F3" w:themeFill="accent1" w:themeFillTint="33"/>
            <w:hideMark/>
          </w:tcPr>
          <w:p w14:paraId="3B9D998F" w14:textId="5256CC3B" w:rsidR="00714873" w:rsidRPr="00B94F87" w:rsidRDefault="00714873" w:rsidP="00BD6F28">
            <w:pPr>
              <w:jc w:val="both"/>
              <w:rPr>
                <w:rFonts w:cstheme="minorHAnsi"/>
                <w:b/>
                <w:bCs/>
                <w:sz w:val="16"/>
                <w:szCs w:val="16"/>
                <w:lang w:val="en-GB" w:eastAsia="en-GB"/>
              </w:rPr>
            </w:pPr>
            <w:r w:rsidRPr="00B94F87">
              <w:rPr>
                <w:rFonts w:cstheme="minorHAnsi"/>
                <w:b/>
                <w:bCs/>
                <w:sz w:val="16"/>
                <w:szCs w:val="16"/>
                <w:lang w:val="en-GB" w:eastAsia="en-GB"/>
              </w:rPr>
              <w:t>Type of information used</w:t>
            </w:r>
          </w:p>
        </w:tc>
      </w:tr>
      <w:tr w:rsidR="00714873" w:rsidRPr="00B94F87" w14:paraId="44AF04F9" w14:textId="77777777" w:rsidTr="007A4C14">
        <w:tc>
          <w:tcPr>
            <w:tcW w:w="0" w:type="auto"/>
            <w:vAlign w:val="center"/>
            <w:hideMark/>
          </w:tcPr>
          <w:p w14:paraId="7EF0A556" w14:textId="77777777" w:rsidR="00714873" w:rsidRPr="00B94F87" w:rsidRDefault="00714873" w:rsidP="00BD6F28">
            <w:pPr>
              <w:jc w:val="both"/>
              <w:rPr>
                <w:b/>
                <w:bCs/>
                <w:sz w:val="16"/>
                <w:szCs w:val="16"/>
              </w:rPr>
            </w:pPr>
            <w:r w:rsidRPr="00B94F87">
              <w:rPr>
                <w:rStyle w:val="Strong"/>
                <w:sz w:val="16"/>
                <w:szCs w:val="16"/>
              </w:rPr>
              <w:t>Legal and institutional baseline</w:t>
            </w:r>
          </w:p>
        </w:tc>
        <w:tc>
          <w:tcPr>
            <w:tcW w:w="0" w:type="auto"/>
            <w:hideMark/>
          </w:tcPr>
          <w:p w14:paraId="2D5552FD" w14:textId="11AE1CBA" w:rsidR="00714873" w:rsidRPr="00B94F87" w:rsidRDefault="00714873" w:rsidP="00BD6F28">
            <w:pPr>
              <w:jc w:val="both"/>
              <w:rPr>
                <w:sz w:val="16"/>
                <w:szCs w:val="16"/>
              </w:rPr>
            </w:pPr>
            <w:r w:rsidRPr="00B94F87">
              <w:rPr>
                <w:sz w:val="16"/>
                <w:szCs w:val="16"/>
              </w:rPr>
              <w:t xml:space="preserve">• </w:t>
            </w:r>
            <w:r w:rsidRPr="00B94F87">
              <w:rPr>
                <w:rStyle w:val="Emphasis"/>
                <w:sz w:val="16"/>
                <w:szCs w:val="16"/>
              </w:rPr>
              <w:t>BGGDA</w:t>
            </w:r>
            <w:r w:rsidR="007A4C14">
              <w:rPr>
                <w:rStyle w:val="Emphasis"/>
                <w:sz w:val="16"/>
                <w:szCs w:val="16"/>
              </w:rPr>
              <w:t>-</w:t>
            </w:r>
            <w:r w:rsidRPr="00B94F87">
              <w:rPr>
                <w:rStyle w:val="Emphasis"/>
                <w:sz w:val="16"/>
                <w:szCs w:val="16"/>
              </w:rPr>
              <w:t>Una TBA Governance Diagnostic</w:t>
            </w:r>
            <w:r w:rsidRPr="00B94F87">
              <w:rPr>
                <w:sz w:val="16"/>
                <w:szCs w:val="16"/>
              </w:rPr>
              <w:t xml:space="preserve"> (legal and institutional sections) </w:t>
            </w:r>
          </w:p>
          <w:p w14:paraId="7103C0D0" w14:textId="4693B609" w:rsidR="00714873" w:rsidRPr="00B94F87" w:rsidRDefault="00714873" w:rsidP="00BD6F28">
            <w:pPr>
              <w:jc w:val="both"/>
              <w:rPr>
                <w:sz w:val="16"/>
                <w:szCs w:val="16"/>
              </w:rPr>
            </w:pPr>
            <w:r w:rsidRPr="00B94F87">
              <w:rPr>
                <w:sz w:val="16"/>
                <w:szCs w:val="16"/>
              </w:rPr>
              <w:t xml:space="preserve">• </w:t>
            </w:r>
            <w:r w:rsidRPr="00B94F87">
              <w:rPr>
                <w:rStyle w:val="Emphasis"/>
                <w:sz w:val="16"/>
                <w:szCs w:val="16"/>
              </w:rPr>
              <w:t>BGGDA</w:t>
            </w:r>
            <w:r w:rsidR="00FF5968">
              <w:rPr>
                <w:rStyle w:val="Emphasis"/>
                <w:sz w:val="16"/>
                <w:szCs w:val="16"/>
              </w:rPr>
              <w:t xml:space="preserve"> </w:t>
            </w:r>
            <w:r w:rsidRPr="00B94F87">
              <w:rPr>
                <w:rStyle w:val="Emphasis"/>
                <w:sz w:val="16"/>
                <w:szCs w:val="16"/>
              </w:rPr>
              <w:t>Neretva TBA Governance Diagnostic</w:t>
            </w:r>
            <w:r w:rsidRPr="00B94F87">
              <w:rPr>
                <w:sz w:val="16"/>
                <w:szCs w:val="16"/>
              </w:rPr>
              <w:t xml:space="preserve"> (HR</w:t>
            </w:r>
            <w:r w:rsidR="00577973">
              <w:rPr>
                <w:sz w:val="16"/>
                <w:szCs w:val="16"/>
              </w:rPr>
              <w:t>-</w:t>
            </w:r>
            <w:r w:rsidRPr="00B94F87">
              <w:rPr>
                <w:sz w:val="16"/>
                <w:szCs w:val="16"/>
              </w:rPr>
              <w:t xml:space="preserve">BiH comparison) </w:t>
            </w:r>
          </w:p>
        </w:tc>
        <w:tc>
          <w:tcPr>
            <w:tcW w:w="0" w:type="auto"/>
            <w:hideMark/>
          </w:tcPr>
          <w:p w14:paraId="3808CD0C" w14:textId="2F71EECF" w:rsidR="00714873" w:rsidRPr="00B94F87" w:rsidRDefault="00714873" w:rsidP="00BD6F28">
            <w:pPr>
              <w:jc w:val="both"/>
              <w:rPr>
                <w:sz w:val="16"/>
                <w:szCs w:val="16"/>
              </w:rPr>
            </w:pPr>
            <w:r w:rsidRPr="00B94F87">
              <w:rPr>
                <w:sz w:val="16"/>
                <w:szCs w:val="16"/>
              </w:rPr>
              <w:t>National and entity</w:t>
            </w:r>
            <w:r w:rsidRPr="00B94F87">
              <w:rPr>
                <w:sz w:val="16"/>
                <w:szCs w:val="16"/>
              </w:rPr>
              <w:noBreakHyphen/>
              <w:t>level laws; transposition status of WFD/GWD; institutional mandates; permitting and SPZ procedures</w:t>
            </w:r>
          </w:p>
        </w:tc>
      </w:tr>
      <w:tr w:rsidR="00B720B3" w:rsidRPr="00B94F87" w14:paraId="2B0C379B" w14:textId="77777777" w:rsidTr="007A4C14">
        <w:tc>
          <w:tcPr>
            <w:tcW w:w="0" w:type="auto"/>
            <w:vAlign w:val="center"/>
            <w:hideMark/>
          </w:tcPr>
          <w:p w14:paraId="4B862009" w14:textId="77777777" w:rsidR="00B720B3" w:rsidRPr="00B94F87" w:rsidRDefault="00B720B3" w:rsidP="00BD6F28">
            <w:pPr>
              <w:jc w:val="both"/>
              <w:rPr>
                <w:b/>
                <w:bCs/>
                <w:sz w:val="16"/>
                <w:szCs w:val="16"/>
              </w:rPr>
            </w:pPr>
            <w:r w:rsidRPr="00B94F87">
              <w:rPr>
                <w:rStyle w:val="Strong"/>
                <w:sz w:val="16"/>
                <w:szCs w:val="16"/>
              </w:rPr>
              <w:t>Hydrogeological and environmental context</w:t>
            </w:r>
          </w:p>
        </w:tc>
        <w:tc>
          <w:tcPr>
            <w:tcW w:w="0" w:type="auto"/>
            <w:hideMark/>
          </w:tcPr>
          <w:p w14:paraId="16083877" w14:textId="589F9EF6" w:rsidR="00B720B3" w:rsidRPr="00B94F87" w:rsidRDefault="00B720B3" w:rsidP="00BD6F28">
            <w:pPr>
              <w:jc w:val="both"/>
              <w:rPr>
                <w:sz w:val="16"/>
                <w:szCs w:val="16"/>
              </w:rPr>
            </w:pPr>
            <w:r w:rsidRPr="00B94F87">
              <w:rPr>
                <w:sz w:val="16"/>
                <w:szCs w:val="16"/>
              </w:rPr>
              <w:t xml:space="preserve">• </w:t>
            </w:r>
            <w:r w:rsidRPr="00B94F87">
              <w:rPr>
                <w:rStyle w:val="Emphasis"/>
                <w:sz w:val="16"/>
                <w:szCs w:val="16"/>
              </w:rPr>
              <w:t>BGGDA</w:t>
            </w:r>
            <w:r w:rsidR="007A4C14">
              <w:rPr>
                <w:rStyle w:val="Emphasis"/>
                <w:sz w:val="16"/>
                <w:szCs w:val="16"/>
              </w:rPr>
              <w:t>-</w:t>
            </w:r>
            <w:r w:rsidRPr="00B94F87">
              <w:rPr>
                <w:rStyle w:val="Emphasis"/>
                <w:sz w:val="16"/>
                <w:szCs w:val="16"/>
              </w:rPr>
              <w:t>Una TBA</w:t>
            </w:r>
            <w:r w:rsidRPr="00B94F87">
              <w:rPr>
                <w:sz w:val="16"/>
                <w:szCs w:val="16"/>
              </w:rPr>
              <w:t xml:space="preserve"> (hydrogeological characterization, vulnerability, pressures) </w:t>
            </w:r>
          </w:p>
          <w:p w14:paraId="7387D355" w14:textId="546AEECB" w:rsidR="00B720B3" w:rsidRPr="00B94F87" w:rsidRDefault="00B720B3" w:rsidP="00BD6F28">
            <w:pPr>
              <w:jc w:val="both"/>
              <w:rPr>
                <w:sz w:val="16"/>
                <w:szCs w:val="16"/>
              </w:rPr>
            </w:pPr>
            <w:r w:rsidRPr="00B94F87">
              <w:rPr>
                <w:sz w:val="16"/>
                <w:szCs w:val="16"/>
              </w:rPr>
              <w:t xml:space="preserve">• </w:t>
            </w:r>
            <w:r w:rsidRPr="00B94F87">
              <w:rPr>
                <w:rStyle w:val="Emphasis"/>
                <w:sz w:val="16"/>
                <w:szCs w:val="16"/>
              </w:rPr>
              <w:t>JAP for Una TBA</w:t>
            </w:r>
            <w:r w:rsidRPr="00B94F87">
              <w:rPr>
                <w:sz w:val="16"/>
                <w:szCs w:val="16"/>
              </w:rPr>
              <w:t xml:space="preserve"> (detailed recharge/discharge description; tracer tests; sinkhole–spring connectivity) </w:t>
            </w:r>
          </w:p>
        </w:tc>
        <w:tc>
          <w:tcPr>
            <w:tcW w:w="0" w:type="auto"/>
            <w:hideMark/>
          </w:tcPr>
          <w:p w14:paraId="3CC34A75" w14:textId="190AED42" w:rsidR="00B720B3" w:rsidRPr="00B94F87" w:rsidRDefault="00B720B3" w:rsidP="00BD6F28">
            <w:pPr>
              <w:jc w:val="both"/>
              <w:rPr>
                <w:sz w:val="16"/>
                <w:szCs w:val="16"/>
              </w:rPr>
            </w:pPr>
            <w:r w:rsidRPr="00B94F87">
              <w:rPr>
                <w:sz w:val="16"/>
                <w:szCs w:val="16"/>
              </w:rPr>
              <w:t>Karst characteristics, connectivity, recharge zones, pressures on springs, vulnerability determinants</w:t>
            </w:r>
          </w:p>
        </w:tc>
      </w:tr>
      <w:tr w:rsidR="00B94F87" w:rsidRPr="00B94F87" w14:paraId="79334678" w14:textId="77777777" w:rsidTr="007A4C14">
        <w:tc>
          <w:tcPr>
            <w:tcW w:w="0" w:type="auto"/>
            <w:vAlign w:val="center"/>
            <w:hideMark/>
          </w:tcPr>
          <w:p w14:paraId="67512325" w14:textId="77777777" w:rsidR="00B94F87" w:rsidRPr="00B94F87" w:rsidRDefault="00B94F87" w:rsidP="00BD6F28">
            <w:pPr>
              <w:jc w:val="both"/>
              <w:rPr>
                <w:b/>
                <w:bCs/>
                <w:sz w:val="16"/>
                <w:szCs w:val="16"/>
              </w:rPr>
            </w:pPr>
            <w:r w:rsidRPr="00B94F87">
              <w:rPr>
                <w:rStyle w:val="Strong"/>
                <w:sz w:val="16"/>
                <w:szCs w:val="16"/>
              </w:rPr>
              <w:t>Monitoring systems &amp; data availability</w:t>
            </w:r>
          </w:p>
        </w:tc>
        <w:tc>
          <w:tcPr>
            <w:tcW w:w="0" w:type="auto"/>
            <w:hideMark/>
          </w:tcPr>
          <w:p w14:paraId="2EBE23C6" w14:textId="305ABCFB" w:rsidR="00B94F87" w:rsidRPr="00B94F87" w:rsidRDefault="00B94F87" w:rsidP="00BD6F28">
            <w:pPr>
              <w:jc w:val="both"/>
              <w:rPr>
                <w:sz w:val="16"/>
                <w:szCs w:val="16"/>
              </w:rPr>
            </w:pPr>
            <w:r w:rsidRPr="00B94F87">
              <w:rPr>
                <w:sz w:val="16"/>
                <w:szCs w:val="16"/>
              </w:rPr>
              <w:t xml:space="preserve">• </w:t>
            </w:r>
            <w:r w:rsidRPr="00B94F87">
              <w:rPr>
                <w:rStyle w:val="Emphasis"/>
                <w:sz w:val="16"/>
                <w:szCs w:val="16"/>
              </w:rPr>
              <w:t>BGGDA</w:t>
            </w:r>
            <w:r w:rsidR="007A4C14">
              <w:rPr>
                <w:rStyle w:val="Emphasis"/>
                <w:sz w:val="16"/>
                <w:szCs w:val="16"/>
              </w:rPr>
              <w:t>-</w:t>
            </w:r>
            <w:r w:rsidRPr="00B94F87">
              <w:rPr>
                <w:rStyle w:val="Emphasis"/>
                <w:sz w:val="16"/>
                <w:szCs w:val="16"/>
              </w:rPr>
              <w:t>Una &amp; Neretva diagnostics</w:t>
            </w:r>
            <w:r w:rsidRPr="00B94F87">
              <w:rPr>
                <w:sz w:val="16"/>
                <w:szCs w:val="16"/>
              </w:rPr>
              <w:t xml:space="preserve"> (monitoring gaps; institutional fragmentation; parameter alignment issues) </w:t>
            </w:r>
            <w:r w:rsidRPr="00B94F87">
              <w:rPr>
                <w:sz w:val="16"/>
                <w:szCs w:val="16"/>
              </w:rPr>
              <w:br/>
              <w:t xml:space="preserve">• </w:t>
            </w:r>
            <w:r w:rsidRPr="00B94F87">
              <w:rPr>
                <w:rStyle w:val="Emphasis"/>
                <w:sz w:val="16"/>
                <w:szCs w:val="16"/>
              </w:rPr>
              <w:t>JAP for Una TBA, Ch. 5</w:t>
            </w:r>
            <w:r w:rsidRPr="00B94F87">
              <w:rPr>
                <w:sz w:val="16"/>
                <w:szCs w:val="16"/>
              </w:rPr>
              <w:t xml:space="preserve"> (groundwater and surface water monitoring networks, parameters, QA/QC) </w:t>
            </w:r>
          </w:p>
        </w:tc>
        <w:tc>
          <w:tcPr>
            <w:tcW w:w="0" w:type="auto"/>
            <w:hideMark/>
          </w:tcPr>
          <w:p w14:paraId="4F6F3AE5" w14:textId="2126E40B" w:rsidR="00B94F87" w:rsidRPr="00B94F87" w:rsidRDefault="00B94F87" w:rsidP="00BD6F28">
            <w:pPr>
              <w:jc w:val="both"/>
              <w:rPr>
                <w:sz w:val="16"/>
                <w:szCs w:val="16"/>
              </w:rPr>
            </w:pPr>
            <w:r w:rsidRPr="00B94F87">
              <w:rPr>
                <w:sz w:val="16"/>
                <w:szCs w:val="16"/>
              </w:rPr>
              <w:t>Surveillance/operational monitoring structures; differences in frequency and parameter sets; QA/QC standards; data gaps</w:t>
            </w:r>
          </w:p>
        </w:tc>
      </w:tr>
      <w:tr w:rsidR="00B94F87" w:rsidRPr="00B94F87" w14:paraId="0FF090EB" w14:textId="77777777" w:rsidTr="007A4C14">
        <w:tc>
          <w:tcPr>
            <w:tcW w:w="2085" w:type="dxa"/>
            <w:vAlign w:val="center"/>
          </w:tcPr>
          <w:p w14:paraId="45398632" w14:textId="18338FB1" w:rsidR="00B94F87" w:rsidRPr="00B94F87" w:rsidRDefault="00B94F87" w:rsidP="00BD6F28">
            <w:pPr>
              <w:jc w:val="both"/>
              <w:rPr>
                <w:rFonts w:cstheme="minorHAnsi"/>
                <w:sz w:val="16"/>
                <w:szCs w:val="16"/>
                <w:lang w:val="en-GB" w:eastAsia="en-GB"/>
              </w:rPr>
            </w:pPr>
            <w:r w:rsidRPr="00B94F87">
              <w:rPr>
                <w:rStyle w:val="Strong"/>
                <w:sz w:val="16"/>
                <w:szCs w:val="16"/>
              </w:rPr>
              <w:t>Transboundary risk pathways &amp; pressures</w:t>
            </w:r>
          </w:p>
        </w:tc>
        <w:tc>
          <w:tcPr>
            <w:tcW w:w="3369" w:type="dxa"/>
            <w:vAlign w:val="center"/>
          </w:tcPr>
          <w:p w14:paraId="04D8C37C" w14:textId="3210CF1D" w:rsidR="00B94F87" w:rsidRPr="00B94F87" w:rsidRDefault="00B94F87" w:rsidP="00BD6F28">
            <w:pPr>
              <w:jc w:val="both"/>
              <w:rPr>
                <w:sz w:val="16"/>
                <w:szCs w:val="16"/>
              </w:rPr>
            </w:pPr>
            <w:r w:rsidRPr="00B94F87">
              <w:rPr>
                <w:sz w:val="16"/>
                <w:szCs w:val="16"/>
              </w:rPr>
              <w:t xml:space="preserve">• </w:t>
            </w:r>
            <w:r w:rsidRPr="00B94F87">
              <w:rPr>
                <w:rStyle w:val="Emphasis"/>
                <w:sz w:val="16"/>
                <w:szCs w:val="16"/>
              </w:rPr>
              <w:t>BGGDA</w:t>
            </w:r>
            <w:r w:rsidR="007A4C14">
              <w:rPr>
                <w:rStyle w:val="Emphasis"/>
                <w:sz w:val="16"/>
                <w:szCs w:val="16"/>
              </w:rPr>
              <w:t>-</w:t>
            </w:r>
            <w:r w:rsidRPr="00B94F87">
              <w:rPr>
                <w:rStyle w:val="Emphasis"/>
                <w:sz w:val="16"/>
                <w:szCs w:val="16"/>
              </w:rPr>
              <w:t>Una &amp; Neretva diagnostics</w:t>
            </w:r>
            <w:r w:rsidRPr="00B94F87">
              <w:rPr>
                <w:sz w:val="16"/>
                <w:szCs w:val="16"/>
              </w:rPr>
              <w:t xml:space="preserve"> (cross</w:t>
            </w:r>
            <w:r w:rsidRPr="00B94F87">
              <w:rPr>
                <w:sz w:val="16"/>
                <w:szCs w:val="16"/>
              </w:rPr>
              <w:noBreakHyphen/>
              <w:t>border pollution sources; diffuse pressures; land</w:t>
            </w:r>
            <w:r w:rsidRPr="00B94F87">
              <w:rPr>
                <w:sz w:val="16"/>
                <w:szCs w:val="16"/>
              </w:rPr>
              <w:noBreakHyphen/>
              <w:t xml:space="preserve">use impacts) </w:t>
            </w:r>
          </w:p>
          <w:p w14:paraId="4ADE10CB" w14:textId="676666E2" w:rsidR="00B94F87" w:rsidRPr="00B94F87" w:rsidRDefault="00B94F87" w:rsidP="00BD6F28">
            <w:pPr>
              <w:jc w:val="both"/>
              <w:rPr>
                <w:rFonts w:cstheme="minorHAnsi"/>
                <w:sz w:val="16"/>
                <w:szCs w:val="16"/>
                <w:lang w:val="en-GB" w:eastAsia="en-GB"/>
              </w:rPr>
            </w:pPr>
            <w:r w:rsidRPr="00B94F87">
              <w:rPr>
                <w:sz w:val="16"/>
                <w:szCs w:val="16"/>
              </w:rPr>
              <w:t xml:space="preserve">• </w:t>
            </w:r>
            <w:r w:rsidRPr="00B94F87">
              <w:rPr>
                <w:rStyle w:val="Emphasis"/>
                <w:sz w:val="16"/>
                <w:szCs w:val="16"/>
              </w:rPr>
              <w:t>JAP for Una TBA, Ch. 2 &amp; Ch. 9</w:t>
            </w:r>
            <w:r w:rsidRPr="00B94F87">
              <w:rPr>
                <w:sz w:val="16"/>
                <w:szCs w:val="16"/>
              </w:rPr>
              <w:t xml:space="preserve"> (pollution loads, septic</w:t>
            </w:r>
            <w:r w:rsidRPr="00B94F87">
              <w:rPr>
                <w:sz w:val="16"/>
                <w:szCs w:val="16"/>
              </w:rPr>
              <w:noBreakHyphen/>
              <w:t xml:space="preserve">system vulnerabilities, tourism impacts) </w:t>
            </w:r>
          </w:p>
        </w:tc>
        <w:tc>
          <w:tcPr>
            <w:tcW w:w="3418" w:type="dxa"/>
            <w:vAlign w:val="center"/>
          </w:tcPr>
          <w:p w14:paraId="4437136A" w14:textId="0E30917C" w:rsidR="00B94F87" w:rsidRPr="00B94F87" w:rsidRDefault="00B94F87" w:rsidP="00BD6F28">
            <w:pPr>
              <w:jc w:val="both"/>
              <w:rPr>
                <w:rFonts w:cstheme="minorHAnsi"/>
                <w:sz w:val="16"/>
                <w:szCs w:val="16"/>
                <w:lang w:val="en-GB" w:eastAsia="en-GB"/>
              </w:rPr>
            </w:pPr>
            <w:r w:rsidRPr="00B94F87">
              <w:rPr>
                <w:sz w:val="16"/>
                <w:szCs w:val="16"/>
              </w:rPr>
              <w:t>Pressure distribution, transboundary flow implications, tourism-driven loads, sanitation</w:t>
            </w:r>
            <w:r w:rsidRPr="00B94F87">
              <w:rPr>
                <w:sz w:val="16"/>
                <w:szCs w:val="16"/>
              </w:rPr>
              <w:noBreakHyphen/>
              <w:t>related risks.</w:t>
            </w:r>
          </w:p>
        </w:tc>
      </w:tr>
      <w:tr w:rsidR="00B94F87" w:rsidRPr="00B94F87" w14:paraId="06938497" w14:textId="77777777" w:rsidTr="007A4C14">
        <w:tc>
          <w:tcPr>
            <w:tcW w:w="2085" w:type="dxa"/>
            <w:vAlign w:val="center"/>
          </w:tcPr>
          <w:p w14:paraId="1AF43ED2" w14:textId="1A525BE0" w:rsidR="00B94F87" w:rsidRPr="00B94F87" w:rsidRDefault="00B94F87" w:rsidP="00BD6F28">
            <w:pPr>
              <w:jc w:val="both"/>
              <w:rPr>
                <w:rFonts w:cstheme="minorHAnsi"/>
                <w:sz w:val="16"/>
                <w:szCs w:val="16"/>
                <w:lang w:val="en-GB" w:eastAsia="en-GB"/>
              </w:rPr>
            </w:pPr>
            <w:r w:rsidRPr="00B94F87">
              <w:rPr>
                <w:rStyle w:val="Strong"/>
                <w:sz w:val="16"/>
                <w:szCs w:val="16"/>
              </w:rPr>
              <w:t>Institutional capacities &amp; governance performance</w:t>
            </w:r>
          </w:p>
        </w:tc>
        <w:tc>
          <w:tcPr>
            <w:tcW w:w="3369" w:type="dxa"/>
            <w:vAlign w:val="center"/>
          </w:tcPr>
          <w:p w14:paraId="271AC1A7" w14:textId="22371A50" w:rsidR="00B94F87" w:rsidRPr="00B94F87" w:rsidRDefault="00B94F87" w:rsidP="00BD6F28">
            <w:pPr>
              <w:jc w:val="both"/>
              <w:rPr>
                <w:rFonts w:cstheme="minorHAnsi"/>
                <w:sz w:val="16"/>
                <w:szCs w:val="16"/>
                <w:lang w:val="en-GB" w:eastAsia="en-GB"/>
              </w:rPr>
            </w:pPr>
            <w:r w:rsidRPr="00B94F87">
              <w:rPr>
                <w:sz w:val="16"/>
                <w:szCs w:val="16"/>
              </w:rPr>
              <w:t xml:space="preserve">• </w:t>
            </w:r>
            <w:r w:rsidRPr="00B94F87">
              <w:rPr>
                <w:rStyle w:val="Emphasis"/>
                <w:sz w:val="16"/>
                <w:szCs w:val="16"/>
              </w:rPr>
              <w:t>BGGDA</w:t>
            </w:r>
            <w:r w:rsidR="007A4C14">
              <w:rPr>
                <w:rStyle w:val="Emphasis"/>
                <w:sz w:val="16"/>
                <w:szCs w:val="16"/>
              </w:rPr>
              <w:t>-</w:t>
            </w:r>
            <w:r w:rsidRPr="00B94F87">
              <w:rPr>
                <w:rStyle w:val="Emphasis"/>
                <w:sz w:val="16"/>
                <w:szCs w:val="16"/>
              </w:rPr>
              <w:t>Una &amp; Neretva diagnostics</w:t>
            </w:r>
            <w:r w:rsidRPr="00B94F87">
              <w:rPr>
                <w:sz w:val="16"/>
                <w:szCs w:val="16"/>
              </w:rPr>
              <w:t xml:space="preserve"> (institutional roles, enforcement capacity, coordination needs) </w:t>
            </w:r>
          </w:p>
        </w:tc>
        <w:tc>
          <w:tcPr>
            <w:tcW w:w="3418" w:type="dxa"/>
            <w:vAlign w:val="center"/>
          </w:tcPr>
          <w:p w14:paraId="4883E275" w14:textId="50B36BBF" w:rsidR="00B94F87" w:rsidRPr="00B94F87" w:rsidRDefault="00B94F87" w:rsidP="00BD6F28">
            <w:pPr>
              <w:jc w:val="both"/>
              <w:rPr>
                <w:rFonts w:cstheme="minorHAnsi"/>
                <w:sz w:val="16"/>
                <w:szCs w:val="16"/>
                <w:lang w:val="en-GB" w:eastAsia="en-GB"/>
              </w:rPr>
            </w:pPr>
            <w:r w:rsidRPr="00B94F87">
              <w:rPr>
                <w:sz w:val="16"/>
                <w:szCs w:val="16"/>
              </w:rPr>
              <w:t>Cross</w:t>
            </w:r>
            <w:r w:rsidRPr="00B94F87">
              <w:rPr>
                <w:sz w:val="16"/>
                <w:szCs w:val="16"/>
              </w:rPr>
              <w:noBreakHyphen/>
              <w:t xml:space="preserve">country comparison of mandates, enforcement gaps, coordination </w:t>
            </w:r>
            <w:r>
              <w:rPr>
                <w:sz w:val="16"/>
                <w:szCs w:val="16"/>
              </w:rPr>
              <w:t>challenges</w:t>
            </w:r>
          </w:p>
        </w:tc>
      </w:tr>
      <w:tr w:rsidR="00B94F87" w:rsidRPr="00B94F87" w14:paraId="25E0C522" w14:textId="77777777" w:rsidTr="007A4C14">
        <w:tc>
          <w:tcPr>
            <w:tcW w:w="2085" w:type="dxa"/>
            <w:vAlign w:val="center"/>
          </w:tcPr>
          <w:p w14:paraId="64523F6A" w14:textId="6B5AA93E" w:rsidR="00B94F87" w:rsidRPr="00B94F87" w:rsidRDefault="00B94F87" w:rsidP="00BD6F28">
            <w:pPr>
              <w:jc w:val="both"/>
              <w:rPr>
                <w:rFonts w:cstheme="minorHAnsi"/>
                <w:sz w:val="16"/>
                <w:szCs w:val="16"/>
                <w:lang w:val="en-GB" w:eastAsia="en-GB"/>
              </w:rPr>
            </w:pPr>
            <w:r w:rsidRPr="00B94F87">
              <w:rPr>
                <w:rStyle w:val="Strong"/>
                <w:sz w:val="16"/>
                <w:szCs w:val="16"/>
              </w:rPr>
              <w:t>EU WFD/GWD coherence benchmark</w:t>
            </w:r>
          </w:p>
        </w:tc>
        <w:tc>
          <w:tcPr>
            <w:tcW w:w="3369" w:type="dxa"/>
            <w:vAlign w:val="center"/>
          </w:tcPr>
          <w:p w14:paraId="6CB8BBCD" w14:textId="136063C0" w:rsidR="00B94F87" w:rsidRPr="00B94F87" w:rsidRDefault="00B94F87" w:rsidP="00BD6F28">
            <w:pPr>
              <w:jc w:val="both"/>
              <w:rPr>
                <w:sz w:val="16"/>
                <w:szCs w:val="16"/>
              </w:rPr>
            </w:pPr>
            <w:r w:rsidRPr="00B94F87">
              <w:rPr>
                <w:sz w:val="16"/>
                <w:szCs w:val="16"/>
              </w:rPr>
              <w:t xml:space="preserve">• Analytical sections in </w:t>
            </w:r>
            <w:r w:rsidRPr="00B94F87">
              <w:rPr>
                <w:rStyle w:val="Emphasis"/>
                <w:sz w:val="16"/>
                <w:szCs w:val="16"/>
              </w:rPr>
              <w:t>BGGDA</w:t>
            </w:r>
            <w:r w:rsidR="007A4C14">
              <w:rPr>
                <w:rStyle w:val="Emphasis"/>
                <w:sz w:val="16"/>
                <w:szCs w:val="16"/>
              </w:rPr>
              <w:t>-</w:t>
            </w:r>
            <w:r w:rsidRPr="00B94F87">
              <w:rPr>
                <w:rStyle w:val="Emphasis"/>
                <w:sz w:val="16"/>
                <w:szCs w:val="16"/>
              </w:rPr>
              <w:t>Una &amp; Neretva</w:t>
            </w:r>
            <w:r w:rsidRPr="00B94F87">
              <w:rPr>
                <w:sz w:val="16"/>
                <w:szCs w:val="16"/>
              </w:rPr>
              <w:t xml:space="preserve"> (WFD/GWD approximation status; compliance gaps) </w:t>
            </w:r>
          </w:p>
          <w:p w14:paraId="4257A5F1" w14:textId="3837A5E1" w:rsidR="00B94F87" w:rsidRPr="00B94F87" w:rsidRDefault="00B94F87" w:rsidP="00BD6F28">
            <w:pPr>
              <w:jc w:val="both"/>
              <w:rPr>
                <w:rFonts w:cstheme="minorHAnsi"/>
                <w:sz w:val="16"/>
                <w:szCs w:val="16"/>
                <w:lang w:val="en-GB" w:eastAsia="en-GB"/>
              </w:rPr>
            </w:pPr>
            <w:r w:rsidRPr="00B94F87">
              <w:rPr>
                <w:sz w:val="16"/>
                <w:szCs w:val="16"/>
              </w:rPr>
              <w:t xml:space="preserve">• DIKTAS II </w:t>
            </w:r>
            <w:r>
              <w:rPr>
                <w:sz w:val="16"/>
                <w:szCs w:val="16"/>
              </w:rPr>
              <w:t xml:space="preserve">project </w:t>
            </w:r>
            <w:r w:rsidRPr="00B94F87">
              <w:rPr>
                <w:sz w:val="16"/>
                <w:szCs w:val="16"/>
              </w:rPr>
              <w:t xml:space="preserve">materials referencing WFD/GWD principles </w:t>
            </w:r>
          </w:p>
        </w:tc>
        <w:tc>
          <w:tcPr>
            <w:tcW w:w="3418" w:type="dxa"/>
            <w:vAlign w:val="center"/>
          </w:tcPr>
          <w:p w14:paraId="3785DFA0" w14:textId="14563757" w:rsidR="00B94F87" w:rsidRPr="00B94F87" w:rsidRDefault="007A4C14" w:rsidP="00BD6F28">
            <w:pPr>
              <w:jc w:val="both"/>
              <w:rPr>
                <w:rFonts w:cstheme="minorHAnsi"/>
                <w:sz w:val="16"/>
                <w:szCs w:val="16"/>
                <w:lang w:val="en-GB" w:eastAsia="en-GB"/>
              </w:rPr>
            </w:pPr>
            <w:r w:rsidRPr="007A4C14">
              <w:rPr>
                <w:sz w:val="16"/>
                <w:szCs w:val="16"/>
              </w:rPr>
              <w:t>Comparison of national practices with WFD/GWD requirements and identification of broadly aligned elements</w:t>
            </w:r>
          </w:p>
        </w:tc>
      </w:tr>
      <w:tr w:rsidR="00B94F87" w:rsidRPr="00B94F87" w14:paraId="350374AD" w14:textId="77777777" w:rsidTr="007A4C14">
        <w:tc>
          <w:tcPr>
            <w:tcW w:w="0" w:type="auto"/>
            <w:vAlign w:val="center"/>
            <w:hideMark/>
          </w:tcPr>
          <w:p w14:paraId="4BF6B8E3" w14:textId="77777777" w:rsidR="00B94F87" w:rsidRPr="00B94F87" w:rsidRDefault="00B94F87" w:rsidP="00BD6F28">
            <w:pPr>
              <w:jc w:val="both"/>
              <w:rPr>
                <w:b/>
                <w:bCs/>
                <w:sz w:val="16"/>
                <w:szCs w:val="16"/>
              </w:rPr>
            </w:pPr>
            <w:r w:rsidRPr="00B94F87">
              <w:rPr>
                <w:rStyle w:val="Strong"/>
                <w:sz w:val="16"/>
                <w:szCs w:val="16"/>
              </w:rPr>
              <w:t>Operational practices &amp; concrete management issues</w:t>
            </w:r>
          </w:p>
        </w:tc>
        <w:tc>
          <w:tcPr>
            <w:tcW w:w="0" w:type="auto"/>
            <w:hideMark/>
          </w:tcPr>
          <w:p w14:paraId="531FB1CF" w14:textId="1ACF8E4F" w:rsidR="00B94F87" w:rsidRPr="00B94F87" w:rsidRDefault="00B94F87" w:rsidP="00BD6F28">
            <w:pPr>
              <w:jc w:val="both"/>
              <w:rPr>
                <w:sz w:val="16"/>
                <w:szCs w:val="16"/>
              </w:rPr>
            </w:pPr>
            <w:r w:rsidRPr="00B94F87">
              <w:rPr>
                <w:sz w:val="16"/>
                <w:szCs w:val="16"/>
              </w:rPr>
              <w:t xml:space="preserve">• </w:t>
            </w:r>
            <w:r w:rsidRPr="00B94F87">
              <w:rPr>
                <w:rStyle w:val="Emphasis"/>
                <w:sz w:val="16"/>
                <w:szCs w:val="16"/>
              </w:rPr>
              <w:t>JAP for Una TBA</w:t>
            </w:r>
            <w:r w:rsidRPr="00B94F87">
              <w:rPr>
                <w:sz w:val="16"/>
                <w:szCs w:val="16"/>
              </w:rPr>
              <w:t xml:space="preserve"> (sanitation, monitoring, tourism pressures, groundwater abstraction, GDEs) </w:t>
            </w:r>
          </w:p>
        </w:tc>
        <w:tc>
          <w:tcPr>
            <w:tcW w:w="0" w:type="auto"/>
            <w:hideMark/>
          </w:tcPr>
          <w:p w14:paraId="01F527C5" w14:textId="5DC73C65" w:rsidR="00B94F87" w:rsidRPr="00B94F87" w:rsidRDefault="00B94F87" w:rsidP="00BD6F28">
            <w:pPr>
              <w:jc w:val="both"/>
              <w:rPr>
                <w:sz w:val="16"/>
                <w:szCs w:val="16"/>
              </w:rPr>
            </w:pPr>
            <w:r w:rsidRPr="00B94F87">
              <w:rPr>
                <w:sz w:val="16"/>
                <w:szCs w:val="16"/>
              </w:rPr>
              <w:t>Evidence on day</w:t>
            </w:r>
            <w:r w:rsidRPr="00B94F87">
              <w:rPr>
                <w:sz w:val="16"/>
                <w:szCs w:val="16"/>
              </w:rPr>
              <w:noBreakHyphen/>
              <w:t>to</w:t>
            </w:r>
            <w:r w:rsidRPr="00B94F87">
              <w:rPr>
                <w:sz w:val="16"/>
                <w:szCs w:val="16"/>
              </w:rPr>
              <w:noBreakHyphen/>
              <w:t>day operational challenges relevant for identifying practical harmonization options</w:t>
            </w:r>
          </w:p>
        </w:tc>
      </w:tr>
      <w:tr w:rsidR="00B94F87" w:rsidRPr="00B94F87" w14:paraId="6DA4D4D8" w14:textId="77777777" w:rsidTr="007A4C14">
        <w:tc>
          <w:tcPr>
            <w:tcW w:w="0" w:type="auto"/>
            <w:vAlign w:val="center"/>
            <w:hideMark/>
          </w:tcPr>
          <w:p w14:paraId="4E309EF2" w14:textId="77777777" w:rsidR="00B94F87" w:rsidRPr="00B94F87" w:rsidRDefault="00B94F87" w:rsidP="00BD6F28">
            <w:pPr>
              <w:jc w:val="both"/>
              <w:rPr>
                <w:b/>
                <w:bCs/>
                <w:sz w:val="16"/>
                <w:szCs w:val="16"/>
              </w:rPr>
            </w:pPr>
            <w:r w:rsidRPr="00B94F87">
              <w:rPr>
                <w:rStyle w:val="Strong"/>
                <w:sz w:val="16"/>
                <w:szCs w:val="16"/>
              </w:rPr>
              <w:t>Transboundary cooperation setting</w:t>
            </w:r>
          </w:p>
        </w:tc>
        <w:tc>
          <w:tcPr>
            <w:tcW w:w="0" w:type="auto"/>
            <w:hideMark/>
          </w:tcPr>
          <w:p w14:paraId="3A4E8374" w14:textId="4008721E" w:rsidR="00B94F87" w:rsidRPr="00B94F87" w:rsidRDefault="00B94F87" w:rsidP="00BD6F28">
            <w:pPr>
              <w:jc w:val="both"/>
              <w:rPr>
                <w:sz w:val="16"/>
                <w:szCs w:val="16"/>
              </w:rPr>
            </w:pPr>
            <w:r w:rsidRPr="00B94F87">
              <w:rPr>
                <w:sz w:val="16"/>
                <w:szCs w:val="16"/>
              </w:rPr>
              <w:t xml:space="preserve">• </w:t>
            </w:r>
            <w:r w:rsidRPr="00B94F87">
              <w:rPr>
                <w:rStyle w:val="Emphasis"/>
                <w:sz w:val="16"/>
                <w:szCs w:val="16"/>
              </w:rPr>
              <w:t>BGGDA</w:t>
            </w:r>
            <w:r w:rsidRPr="00B94F87">
              <w:rPr>
                <w:sz w:val="16"/>
                <w:szCs w:val="16"/>
              </w:rPr>
              <w:t xml:space="preserve"> institutional/cooperation review (HR–BiH cooperation gaps; technical needs) </w:t>
            </w:r>
            <w:r w:rsidRPr="00B94F87">
              <w:rPr>
                <w:sz w:val="16"/>
                <w:szCs w:val="16"/>
              </w:rPr>
              <w:br/>
              <w:t xml:space="preserve">• DIKTAS II </w:t>
            </w:r>
            <w:r w:rsidR="007A4C14">
              <w:rPr>
                <w:sz w:val="16"/>
                <w:szCs w:val="16"/>
              </w:rPr>
              <w:t>project</w:t>
            </w:r>
            <w:r w:rsidRPr="00B94F87">
              <w:rPr>
                <w:sz w:val="16"/>
                <w:szCs w:val="16"/>
              </w:rPr>
              <w:t xml:space="preserve"> material (multilateral cooperation structure) </w:t>
            </w:r>
          </w:p>
        </w:tc>
        <w:tc>
          <w:tcPr>
            <w:tcW w:w="0" w:type="auto"/>
            <w:hideMark/>
          </w:tcPr>
          <w:p w14:paraId="7115D54D" w14:textId="2425DE28" w:rsidR="00B94F87" w:rsidRPr="00B94F87" w:rsidRDefault="00B94F87" w:rsidP="00BD6F28">
            <w:pPr>
              <w:jc w:val="both"/>
              <w:rPr>
                <w:sz w:val="16"/>
                <w:szCs w:val="16"/>
              </w:rPr>
            </w:pPr>
            <w:r w:rsidRPr="00B94F87">
              <w:rPr>
                <w:sz w:val="16"/>
                <w:szCs w:val="16"/>
              </w:rPr>
              <w:t>Existing bilateral mechanisms, challenges for coordinated SPZ application, data</w:t>
            </w:r>
            <w:r w:rsidRPr="00B94F87">
              <w:rPr>
                <w:sz w:val="16"/>
                <w:szCs w:val="16"/>
              </w:rPr>
              <w:noBreakHyphen/>
              <w:t>exchange feasibility</w:t>
            </w:r>
          </w:p>
        </w:tc>
      </w:tr>
      <w:tr w:rsidR="00B94F87" w:rsidRPr="00B94F87" w14:paraId="5C396EAA" w14:textId="77777777" w:rsidTr="007A4C14">
        <w:tc>
          <w:tcPr>
            <w:tcW w:w="2085" w:type="dxa"/>
            <w:vAlign w:val="center"/>
          </w:tcPr>
          <w:p w14:paraId="07EBAEDD" w14:textId="5BECAB17" w:rsidR="00B94F87" w:rsidRPr="00B94F87" w:rsidRDefault="00B94F87" w:rsidP="00BD6F28">
            <w:pPr>
              <w:jc w:val="both"/>
              <w:rPr>
                <w:rFonts w:cstheme="minorHAnsi"/>
                <w:sz w:val="16"/>
                <w:szCs w:val="16"/>
                <w:lang w:val="en-GB" w:eastAsia="en-GB"/>
              </w:rPr>
            </w:pPr>
            <w:r w:rsidRPr="00B94F87">
              <w:rPr>
                <w:rStyle w:val="Strong"/>
                <w:sz w:val="16"/>
                <w:szCs w:val="16"/>
              </w:rPr>
              <w:t>Evidence supporting prioritization of alignment areas</w:t>
            </w:r>
          </w:p>
        </w:tc>
        <w:tc>
          <w:tcPr>
            <w:tcW w:w="3369" w:type="dxa"/>
            <w:vAlign w:val="center"/>
          </w:tcPr>
          <w:p w14:paraId="77A00A15" w14:textId="72294565" w:rsidR="00B94F87" w:rsidRPr="00B94F87" w:rsidRDefault="00B94F87" w:rsidP="00BD6F28">
            <w:pPr>
              <w:jc w:val="both"/>
              <w:rPr>
                <w:rFonts w:cstheme="minorHAnsi"/>
                <w:sz w:val="16"/>
                <w:szCs w:val="16"/>
                <w:lang w:val="en-GB" w:eastAsia="en-GB"/>
              </w:rPr>
            </w:pPr>
            <w:r w:rsidRPr="00B94F87">
              <w:rPr>
                <w:sz w:val="16"/>
                <w:szCs w:val="16"/>
              </w:rPr>
              <w:t xml:space="preserve">• </w:t>
            </w:r>
            <w:r w:rsidRPr="00B94F87">
              <w:rPr>
                <w:rStyle w:val="Emphasis"/>
                <w:sz w:val="16"/>
                <w:szCs w:val="16"/>
              </w:rPr>
              <w:t>BGGDA</w:t>
            </w:r>
            <w:r w:rsidR="007A4C14">
              <w:rPr>
                <w:rStyle w:val="Emphasis"/>
                <w:sz w:val="16"/>
                <w:szCs w:val="16"/>
              </w:rPr>
              <w:t>-</w:t>
            </w:r>
            <w:r w:rsidRPr="00B94F87">
              <w:rPr>
                <w:rStyle w:val="Emphasis"/>
                <w:sz w:val="16"/>
                <w:szCs w:val="16"/>
              </w:rPr>
              <w:t>Una &amp; Neretva</w:t>
            </w:r>
            <w:r w:rsidRPr="00B94F87">
              <w:rPr>
                <w:sz w:val="16"/>
                <w:szCs w:val="16"/>
              </w:rPr>
              <w:t xml:space="preserve"> summary findings </w:t>
            </w:r>
            <w:r w:rsidRPr="00B94F87">
              <w:rPr>
                <w:sz w:val="16"/>
                <w:szCs w:val="16"/>
              </w:rPr>
              <w:br/>
              <w:t xml:space="preserve">• </w:t>
            </w:r>
            <w:r w:rsidRPr="00B94F87">
              <w:rPr>
                <w:rStyle w:val="Emphasis"/>
                <w:sz w:val="16"/>
                <w:szCs w:val="16"/>
              </w:rPr>
              <w:t>JAP for Una TBA</w:t>
            </w:r>
            <w:r w:rsidRPr="00B94F87">
              <w:rPr>
                <w:sz w:val="16"/>
                <w:szCs w:val="16"/>
              </w:rPr>
              <w:t xml:space="preserve"> (pressure</w:t>
            </w:r>
            <w:r w:rsidR="007A4C14">
              <w:rPr>
                <w:sz w:val="16"/>
                <w:szCs w:val="16"/>
              </w:rPr>
              <w:t>/</w:t>
            </w:r>
            <w:r w:rsidRPr="00B94F87">
              <w:rPr>
                <w:sz w:val="16"/>
                <w:szCs w:val="16"/>
              </w:rPr>
              <w:t xml:space="preserve">impact evidence, SPZ challenges, monitoring needs) </w:t>
            </w:r>
          </w:p>
        </w:tc>
        <w:tc>
          <w:tcPr>
            <w:tcW w:w="3418" w:type="dxa"/>
            <w:vAlign w:val="center"/>
          </w:tcPr>
          <w:p w14:paraId="51AFB180" w14:textId="34581C11" w:rsidR="00B94F87" w:rsidRPr="00B94F87" w:rsidRDefault="00B94F87" w:rsidP="00BD6F28">
            <w:pPr>
              <w:jc w:val="both"/>
              <w:rPr>
                <w:rFonts w:cstheme="minorHAnsi"/>
                <w:sz w:val="16"/>
                <w:szCs w:val="16"/>
                <w:lang w:val="en-GB" w:eastAsia="en-GB"/>
              </w:rPr>
            </w:pPr>
            <w:r w:rsidRPr="00B94F87">
              <w:rPr>
                <w:sz w:val="16"/>
                <w:szCs w:val="16"/>
              </w:rPr>
              <w:t>Identification of actionable domains where harmonization is both justified and feasible</w:t>
            </w:r>
          </w:p>
        </w:tc>
      </w:tr>
    </w:tbl>
    <w:p w14:paraId="11A1110C" w14:textId="77777777" w:rsidR="00714873" w:rsidRDefault="00714873" w:rsidP="00714873">
      <w:pPr>
        <w:jc w:val="both"/>
        <w:rPr>
          <w:lang w:val="en-GB"/>
        </w:rPr>
      </w:pPr>
    </w:p>
    <w:p w14:paraId="6BEA64A2" w14:textId="77A48BB5" w:rsidR="00DB6053" w:rsidRPr="00DB6053" w:rsidRDefault="00DB6053" w:rsidP="00DB6053">
      <w:pPr>
        <w:jc w:val="both"/>
        <w:rPr>
          <w:lang w:val="en-GB"/>
        </w:rPr>
      </w:pPr>
      <w:r w:rsidRPr="00DB6053">
        <w:rPr>
          <w:lang w:val="en-GB"/>
        </w:rPr>
        <w:t>The analysis uses several types of inputs, including legislative reviews, institutional mappings, hydrogeological information and assessments of environmental pressures documented in the diagnostic materials. Taken together, these sources provide a balanced understanding of the groundwater management systems in both countries and help identify operational issues relevant for transboundary aquifers. Their synthesis supports the development of practical options that can be considered within existing legal and institutional frameworks</w:t>
      </w:r>
      <w:r>
        <w:rPr>
          <w:lang w:val="en-GB"/>
        </w:rPr>
        <w:t>.</w:t>
      </w:r>
    </w:p>
    <w:p w14:paraId="32F4EF82" w14:textId="7E908F84" w:rsidR="00BD3225" w:rsidRDefault="00DB6053" w:rsidP="00DB6053">
      <w:pPr>
        <w:jc w:val="both"/>
        <w:rPr>
          <w:lang w:val="en-GB"/>
        </w:rPr>
      </w:pPr>
      <w:r w:rsidRPr="00DB6053">
        <w:rPr>
          <w:lang w:val="en-GB"/>
        </w:rPr>
        <w:t xml:space="preserve">A pragmatic approach is applied throughout. Proposed measures focus only on actions that are feasible under current administrative arrangements, consistent with existing institutional mandates and suitable for consideration by the competent authorities. They do not imply changes to the legal delineation of sanitary protection zones or other statutory requirements. The emphasis is on operational consistency, improved coordination and the potential for aligning selected technical procedures in areas where transboundary connectivity makes such coordination useful. </w:t>
      </w:r>
    </w:p>
    <w:p w14:paraId="070AA0B5" w14:textId="660D8D76" w:rsidR="00FB0298" w:rsidRPr="003B035A" w:rsidRDefault="00FB0298" w:rsidP="00C26B89">
      <w:pPr>
        <w:pStyle w:val="Heading1"/>
        <w:jc w:val="both"/>
        <w:rPr>
          <w:lang w:val="en-GB"/>
        </w:rPr>
      </w:pPr>
      <w:bookmarkStart w:id="7" w:name="_Toc225945260"/>
      <w:r>
        <w:rPr>
          <w:lang w:val="en-GB"/>
        </w:rPr>
        <w:lastRenderedPageBreak/>
        <w:t>4</w:t>
      </w:r>
      <w:r w:rsidRPr="003B035A">
        <w:rPr>
          <w:lang w:val="en-GB"/>
        </w:rPr>
        <w:t xml:space="preserve"> </w:t>
      </w:r>
      <w:r w:rsidR="00C26B89" w:rsidRPr="00C26B89">
        <w:rPr>
          <w:lang w:val="en-GB"/>
        </w:rPr>
        <w:t xml:space="preserve">Transboundary </w:t>
      </w:r>
      <w:r w:rsidR="00BD6F28" w:rsidRPr="00C26B89">
        <w:rPr>
          <w:lang w:val="en-GB"/>
        </w:rPr>
        <w:t>contexts</w:t>
      </w:r>
      <w:r w:rsidR="00C26B89" w:rsidRPr="00C26B89">
        <w:rPr>
          <w:lang w:val="en-GB"/>
        </w:rPr>
        <w:t>: why harmonization of sanitary protection zones matters</w:t>
      </w:r>
      <w:bookmarkEnd w:id="7"/>
    </w:p>
    <w:p w14:paraId="7F6138AB" w14:textId="1E345185" w:rsidR="00C26B89" w:rsidRPr="00C26B89" w:rsidRDefault="00C26B89" w:rsidP="00C26B89">
      <w:pPr>
        <w:jc w:val="both"/>
        <w:rPr>
          <w:lang w:val="en-GB"/>
        </w:rPr>
      </w:pPr>
      <w:r w:rsidRPr="00C26B89">
        <w:rPr>
          <w:lang w:val="en-GB"/>
        </w:rPr>
        <w:t>Karst aquifers along the Croatia</w:t>
      </w:r>
      <w:r>
        <w:rPr>
          <w:lang w:val="en-GB"/>
        </w:rPr>
        <w:t xml:space="preserve"> - </w:t>
      </w:r>
      <w:r w:rsidRPr="00C26B89">
        <w:rPr>
          <w:lang w:val="en-GB"/>
        </w:rPr>
        <w:t xml:space="preserve">Bosnia and Herzegovina border are characterised by high permeability, limited natural attenuation and rapid subsurface flow. These features enable groundwater to move quickly through conduit systems, often linking recharge zones in one country with major springs in the other. Because recharge and discharge areas frequently extend across national boundaries, pressures occurring upstream can manifest downstream with limited delay and limited natural filtering. These hydrological characteristics significantly influence how protection measures need to be designed and applied. </w:t>
      </w:r>
    </w:p>
    <w:p w14:paraId="4FC7FE04" w14:textId="10BAF454" w:rsidR="00C26B89" w:rsidRPr="00C26B89" w:rsidRDefault="001B3D48" w:rsidP="00C26B89">
      <w:pPr>
        <w:jc w:val="both"/>
        <w:rPr>
          <w:lang w:val="en-GB"/>
        </w:rPr>
      </w:pPr>
      <w:r>
        <w:rPr>
          <w:lang w:val="en-GB"/>
        </w:rPr>
        <w:t>Transboundary</w:t>
      </w:r>
      <w:r w:rsidRPr="00A00F2B">
        <w:rPr>
          <w:lang w:val="en-GB"/>
        </w:rPr>
        <w:t xml:space="preserve"> </w:t>
      </w:r>
      <w:r w:rsidR="00C26B89" w:rsidRPr="00C26B89">
        <w:rPr>
          <w:lang w:val="en-GB"/>
        </w:rPr>
        <w:t>aquifers in this region typically receive recharge through a combination of diffuse infiltration and concentrated entry points such as sinking streams, swallow holes and karst poljes. Once water enters the subsurface, it can travel through well</w:t>
      </w:r>
      <w:r w:rsidR="00C26B89" w:rsidRPr="00C26B89">
        <w:rPr>
          <w:rFonts w:ascii="Cambria Math" w:hAnsi="Cambria Math" w:cs="Cambria Math"/>
          <w:lang w:val="en-GB"/>
        </w:rPr>
        <w:t>‑</w:t>
      </w:r>
      <w:r w:rsidR="00C26B89" w:rsidRPr="00C26B89">
        <w:rPr>
          <w:lang w:val="en-GB"/>
        </w:rPr>
        <w:t xml:space="preserve">developed karst conduits over relatively long distances, crossing </w:t>
      </w:r>
      <w:r w:rsidR="00C26B89">
        <w:rPr>
          <w:lang w:val="en-GB"/>
        </w:rPr>
        <w:t>countries</w:t>
      </w:r>
      <w:r w:rsidR="00C26B89" w:rsidRPr="00C26B89">
        <w:rPr>
          <w:lang w:val="en-GB"/>
        </w:rPr>
        <w:t xml:space="preserve"> boundaries before emerging at important springs. This cross</w:t>
      </w:r>
      <w:r w:rsidR="00C26B89" w:rsidRPr="00C26B89">
        <w:rPr>
          <w:rFonts w:ascii="Cambria Math" w:hAnsi="Cambria Math" w:cs="Cambria Math"/>
          <w:lang w:val="en-GB"/>
        </w:rPr>
        <w:t>‑</w:t>
      </w:r>
      <w:r w:rsidR="00C26B89" w:rsidRPr="00C26B89">
        <w:rPr>
          <w:lang w:val="en-GB"/>
        </w:rPr>
        <w:t>border connectivity means that land</w:t>
      </w:r>
      <w:r w:rsidR="00C26B89" w:rsidRPr="00C26B89">
        <w:rPr>
          <w:rFonts w:ascii="Cambria Math" w:hAnsi="Cambria Math" w:cs="Cambria Math"/>
          <w:lang w:val="en-GB"/>
        </w:rPr>
        <w:t>‑</w:t>
      </w:r>
      <w:r w:rsidR="00C26B89" w:rsidRPr="00C26B89">
        <w:rPr>
          <w:lang w:val="en-GB"/>
        </w:rPr>
        <w:t>use decisions, sanitation conditions or waste</w:t>
      </w:r>
      <w:r w:rsidR="00C26B89" w:rsidRPr="00C26B89">
        <w:rPr>
          <w:rFonts w:ascii="Cambria Math" w:hAnsi="Cambria Math" w:cs="Cambria Math"/>
          <w:lang w:val="en-GB"/>
        </w:rPr>
        <w:t>‑</w:t>
      </w:r>
      <w:r w:rsidR="00C26B89" w:rsidRPr="00C26B89">
        <w:rPr>
          <w:lang w:val="en-GB"/>
        </w:rPr>
        <w:t>management practices on one side of the border can have direct implications for drinking</w:t>
      </w:r>
      <w:r w:rsidR="00C26B89" w:rsidRPr="00C26B89">
        <w:rPr>
          <w:rFonts w:ascii="Cambria Math" w:hAnsi="Cambria Math" w:cs="Cambria Math"/>
          <w:lang w:val="en-GB"/>
        </w:rPr>
        <w:t>‑</w:t>
      </w:r>
      <w:r w:rsidR="00C26B89" w:rsidRPr="00C26B89">
        <w:rPr>
          <w:lang w:val="en-GB"/>
        </w:rPr>
        <w:t>water sources and groundwater</w:t>
      </w:r>
      <w:r w:rsidR="00C26B89" w:rsidRPr="00C26B89">
        <w:rPr>
          <w:rFonts w:ascii="Cambria Math" w:hAnsi="Cambria Math" w:cs="Cambria Math"/>
          <w:lang w:val="en-GB"/>
        </w:rPr>
        <w:t>‑</w:t>
      </w:r>
      <w:r w:rsidR="00C26B89" w:rsidRPr="00C26B89">
        <w:rPr>
          <w:lang w:val="en-GB"/>
        </w:rPr>
        <w:t xml:space="preserve">dependent ecosystems on the other. </w:t>
      </w:r>
    </w:p>
    <w:p w14:paraId="4668D012" w14:textId="5D2F4AE9" w:rsidR="00C26B89" w:rsidRPr="00C26B89" w:rsidRDefault="00C26B89" w:rsidP="00C26B89">
      <w:pPr>
        <w:jc w:val="both"/>
        <w:rPr>
          <w:lang w:val="en-GB"/>
        </w:rPr>
      </w:pPr>
      <w:r w:rsidRPr="00C26B89">
        <w:rPr>
          <w:lang w:val="en-GB"/>
        </w:rPr>
        <w:t>Diagnostic assessments for the transboundary aquifers shared by Croatia and Bosnia and Herzegovina consistently highlight pressures that are typical for this region. These include diffuse pollution from on</w:t>
      </w:r>
      <w:r w:rsidRPr="00C26B89">
        <w:rPr>
          <w:rFonts w:ascii="Cambria Math" w:hAnsi="Cambria Math" w:cs="Cambria Math"/>
          <w:lang w:val="en-GB"/>
        </w:rPr>
        <w:t>‑</w:t>
      </w:r>
      <w:r w:rsidRPr="00C26B89">
        <w:rPr>
          <w:lang w:val="en-GB"/>
        </w:rPr>
        <w:t>site sanitation systems, wastewater loads associated with tourism, localised waste disposal sites, agricultural activities and a range of smaller point or diffuse pollution sources. During periods of intense precipitation or snowmelt, rapid recharge and short residence times can transport contaminants quickly through the aquifer, reducing the effectiveness of isolated or unilateral protection measures. Seasonal water</w:t>
      </w:r>
      <w:r w:rsidRPr="00C26B89">
        <w:rPr>
          <w:rFonts w:ascii="Cambria Math" w:hAnsi="Cambria Math" w:cs="Cambria Math"/>
          <w:lang w:val="en-GB"/>
        </w:rPr>
        <w:t>‑</w:t>
      </w:r>
      <w:r w:rsidRPr="00C26B89">
        <w:rPr>
          <w:lang w:val="en-GB"/>
        </w:rPr>
        <w:t xml:space="preserve">demand peaks, particularly during the summer tourist period, can amplify these vulnerabilities by stressing supply systems and increasing the consequences of any temporary decline in water quality. </w:t>
      </w:r>
    </w:p>
    <w:p w14:paraId="3E031C9A" w14:textId="288AA2C6" w:rsidR="00C26B89" w:rsidRPr="00C26B89" w:rsidRDefault="00C26B89" w:rsidP="00C26B89">
      <w:pPr>
        <w:jc w:val="both"/>
        <w:rPr>
          <w:lang w:val="en-GB"/>
        </w:rPr>
      </w:pPr>
      <w:r w:rsidRPr="00C26B89">
        <w:rPr>
          <w:lang w:val="en-GB"/>
        </w:rPr>
        <w:t>In the absence of harmonised</w:t>
      </w:r>
      <w:r w:rsidR="00093EA3">
        <w:rPr>
          <w:lang w:val="en-GB"/>
        </w:rPr>
        <w:t xml:space="preserve"> or coordinated</w:t>
      </w:r>
      <w:r w:rsidRPr="00C26B89">
        <w:rPr>
          <w:lang w:val="en-GB"/>
        </w:rPr>
        <w:t xml:space="preserve"> sanitary protection zone (SPZ) practices, the capacity of each country to manage these transboundary pressures becomes uneven. National systems apply different legal bases, methodological approaches and enforcement capacities when defining and managing SPZs. This includes variations in the data required for delineation, the criteria used to set zone boundaries and the way restrictions are integrated into spatial planning or land</w:t>
      </w:r>
      <w:r w:rsidRPr="00C26B89">
        <w:rPr>
          <w:rFonts w:ascii="Cambria Math" w:hAnsi="Cambria Math" w:cs="Cambria Math"/>
          <w:lang w:val="en-GB"/>
        </w:rPr>
        <w:t>‑</w:t>
      </w:r>
      <w:r w:rsidRPr="00C26B89">
        <w:rPr>
          <w:lang w:val="en-GB"/>
        </w:rPr>
        <w:t xml:space="preserve">use permitting. In a </w:t>
      </w:r>
      <w:r w:rsidR="001B3D48">
        <w:rPr>
          <w:lang w:val="en-GB"/>
        </w:rPr>
        <w:t>transboundary</w:t>
      </w:r>
      <w:r w:rsidR="001B3D48" w:rsidRPr="00A00F2B">
        <w:rPr>
          <w:lang w:val="en-GB"/>
        </w:rPr>
        <w:t xml:space="preserve"> </w:t>
      </w:r>
      <w:r w:rsidRPr="00C26B89">
        <w:rPr>
          <w:lang w:val="en-GB"/>
        </w:rPr>
        <w:t xml:space="preserve">karst aquifer, such differences can result in inconsistent protection of the same recharge area, leaving gaps that undermine or delay the benefits of protection measures implemented across the border. </w:t>
      </w:r>
    </w:p>
    <w:p w14:paraId="186D2686" w14:textId="613CDC34" w:rsidR="00C26B89" w:rsidRPr="00C26B89" w:rsidRDefault="00C26B89" w:rsidP="00C26B89">
      <w:pPr>
        <w:jc w:val="both"/>
        <w:rPr>
          <w:lang w:val="en-GB"/>
        </w:rPr>
      </w:pPr>
      <w:r w:rsidRPr="00C26B89">
        <w:rPr>
          <w:lang w:val="en-GB"/>
        </w:rPr>
        <w:t>A further implication of these differences is reduced predictability during high</w:t>
      </w:r>
      <w:r w:rsidRPr="00C26B89">
        <w:rPr>
          <w:rFonts w:ascii="Cambria Math" w:hAnsi="Cambria Math" w:cs="Cambria Math"/>
          <w:lang w:val="en-GB"/>
        </w:rPr>
        <w:t>‑</w:t>
      </w:r>
      <w:r w:rsidRPr="00C26B89">
        <w:rPr>
          <w:lang w:val="en-GB"/>
        </w:rPr>
        <w:t xml:space="preserve">risk or emergency situations. Where springs on one side of the border depend on recharge areas located primarily in the neighbouring country, unaligned SPZ measures can complicate incident response, communication with local stakeholders and the implementation of temporary restrictions. Consistent operational principles and compatible technical approaches help ensure that both sides respond to contamination risks in a coherent and mutually supportive way. </w:t>
      </w:r>
    </w:p>
    <w:p w14:paraId="2E6BAFB5" w14:textId="7E1B944A" w:rsidR="00C26B89" w:rsidRPr="00C26B89" w:rsidRDefault="00C26B89" w:rsidP="00C26B89">
      <w:pPr>
        <w:jc w:val="both"/>
        <w:rPr>
          <w:lang w:val="en-GB"/>
        </w:rPr>
      </w:pPr>
      <w:r w:rsidRPr="00C26B89">
        <w:rPr>
          <w:lang w:val="en-GB"/>
        </w:rPr>
        <w:t>Harmonisation does not imply identical national regulations. Rather, it involves establishing sufficient compatibility in how SPZs are delineated, maintained and enforced, so that measures applied in one country complement those applied in the other. Alignment of core methodological parameters</w:t>
      </w:r>
      <w:r>
        <w:rPr>
          <w:lang w:val="en-GB"/>
        </w:rPr>
        <w:t xml:space="preserve">, </w:t>
      </w:r>
      <w:r w:rsidRPr="00C26B89">
        <w:rPr>
          <w:lang w:val="en-GB"/>
        </w:rPr>
        <w:t xml:space="preserve">such as the use of hydrogeological evidence for delineation, the treatment of concentrated recharge points </w:t>
      </w:r>
      <w:r w:rsidR="001C604A" w:rsidRPr="001C604A">
        <w:rPr>
          <w:lang w:val="en-GB"/>
        </w:rPr>
        <w:lastRenderedPageBreak/>
        <w:t>uniform minimum protection requirements based on monitoring results and risk assessment</w:t>
      </w:r>
      <w:r w:rsidR="001C604A">
        <w:rPr>
          <w:lang w:val="en-GB"/>
        </w:rPr>
        <w:t xml:space="preserve"> </w:t>
      </w:r>
      <w:r w:rsidRPr="00C26B89">
        <w:rPr>
          <w:lang w:val="en-GB"/>
        </w:rPr>
        <w:t>and the management of activities within each zone</w:t>
      </w:r>
      <w:r>
        <w:rPr>
          <w:lang w:val="en-GB"/>
        </w:rPr>
        <w:t xml:space="preserve">, </w:t>
      </w:r>
      <w:r w:rsidRPr="00C26B89">
        <w:rPr>
          <w:lang w:val="en-GB"/>
        </w:rPr>
        <w:t xml:space="preserve">provides a basis for joint understanding and reduces the likelihood of conflicting or ineffective protection actions. </w:t>
      </w:r>
    </w:p>
    <w:p w14:paraId="7440821A" w14:textId="6D7A2480" w:rsidR="00C26B89" w:rsidRPr="00C26B89" w:rsidRDefault="00C26B89" w:rsidP="00C26B89">
      <w:pPr>
        <w:jc w:val="both"/>
        <w:rPr>
          <w:lang w:val="en-GB"/>
        </w:rPr>
      </w:pPr>
      <w:r w:rsidRPr="00C26B89">
        <w:rPr>
          <w:lang w:val="en-GB"/>
        </w:rPr>
        <w:t>Mutual recognition of SPZs is also an important component of transboundary cooperation. Where recharge areas or individual SPZ zones extend across national borders, shared interpretation of hydrogeological conditions enables a more coherent approach to land</w:t>
      </w:r>
      <w:r w:rsidRPr="00C26B89">
        <w:rPr>
          <w:rFonts w:ascii="Cambria Math" w:hAnsi="Cambria Math" w:cs="Cambria Math"/>
          <w:lang w:val="en-GB"/>
        </w:rPr>
        <w:t>‑</w:t>
      </w:r>
      <w:r w:rsidRPr="00C26B89">
        <w:rPr>
          <w:lang w:val="en-GB"/>
        </w:rPr>
        <w:t>use control, enforcement and risk communication. This contributes to clearer expectations for water users, spatial planners and local authorities, and creates a more stable environment for long</w:t>
      </w:r>
      <w:r w:rsidRPr="00C26B89">
        <w:rPr>
          <w:rFonts w:ascii="Cambria Math" w:hAnsi="Cambria Math" w:cs="Cambria Math"/>
          <w:lang w:val="en-GB"/>
        </w:rPr>
        <w:t>‑</w:t>
      </w:r>
      <w:r w:rsidRPr="00C26B89">
        <w:rPr>
          <w:lang w:val="en-GB"/>
        </w:rPr>
        <w:t xml:space="preserve">term groundwater management on both sides. </w:t>
      </w:r>
    </w:p>
    <w:p w14:paraId="33056476" w14:textId="64E435C4" w:rsidR="00BD3225" w:rsidRDefault="00C26B89" w:rsidP="00BD3225">
      <w:pPr>
        <w:jc w:val="both"/>
        <w:rPr>
          <w:lang w:val="en-GB"/>
        </w:rPr>
      </w:pPr>
      <w:r>
        <w:rPr>
          <w:lang w:val="en-GB"/>
        </w:rPr>
        <w:t>T</w:t>
      </w:r>
      <w:r w:rsidRPr="00C26B89">
        <w:rPr>
          <w:lang w:val="en-GB"/>
        </w:rPr>
        <w:t>he characteristics of Dinaric karst aquifer</w:t>
      </w:r>
      <w:r>
        <w:rPr>
          <w:lang w:val="en-GB"/>
        </w:rPr>
        <w:t xml:space="preserve">s, </w:t>
      </w:r>
      <w:r w:rsidRPr="00C26B89">
        <w:rPr>
          <w:lang w:val="en-GB"/>
        </w:rPr>
        <w:t>together with the pressures commonly observed along the Croatia</w:t>
      </w:r>
      <w:r>
        <w:rPr>
          <w:lang w:val="en-GB"/>
        </w:rPr>
        <w:t xml:space="preserve"> - </w:t>
      </w:r>
      <w:r w:rsidRPr="00C26B89">
        <w:rPr>
          <w:lang w:val="en-GB"/>
        </w:rPr>
        <w:t>Bosnia and Herzegovina border</w:t>
      </w:r>
      <w:r>
        <w:rPr>
          <w:lang w:val="en-GB"/>
        </w:rPr>
        <w:t xml:space="preserve">, </w:t>
      </w:r>
      <w:r w:rsidRPr="00C26B89">
        <w:rPr>
          <w:lang w:val="en-GB"/>
        </w:rPr>
        <w:t xml:space="preserve">show that harmonised SPZ approaches are essential for </w:t>
      </w:r>
      <w:r>
        <w:rPr>
          <w:lang w:val="en-GB"/>
        </w:rPr>
        <w:t>protecting</w:t>
      </w:r>
      <w:r w:rsidRPr="00C26B89">
        <w:rPr>
          <w:lang w:val="en-GB"/>
        </w:rPr>
        <w:t xml:space="preserve"> drinking</w:t>
      </w:r>
      <w:r w:rsidRPr="00C26B89">
        <w:rPr>
          <w:rFonts w:ascii="Cambria Math" w:hAnsi="Cambria Math" w:cs="Cambria Math"/>
          <w:lang w:val="en-GB"/>
        </w:rPr>
        <w:t>‑</w:t>
      </w:r>
      <w:r w:rsidRPr="00C26B89">
        <w:rPr>
          <w:lang w:val="en-GB"/>
        </w:rPr>
        <w:t>water sources and groundwater</w:t>
      </w:r>
      <w:r w:rsidRPr="00C26B89">
        <w:rPr>
          <w:rFonts w:ascii="Cambria Math" w:hAnsi="Cambria Math" w:cs="Cambria Math"/>
          <w:lang w:val="en-GB"/>
        </w:rPr>
        <w:t>‑</w:t>
      </w:r>
      <w:r w:rsidRPr="00C26B89">
        <w:rPr>
          <w:lang w:val="en-GB"/>
        </w:rPr>
        <w:t>dependent ecosystems. Coordinated delineation, enforcement and operational practices can significantly enhance the effectiveness of protection measures and provide a predictable basis for cross</w:t>
      </w:r>
      <w:r w:rsidRPr="00C26B89">
        <w:rPr>
          <w:rFonts w:ascii="Cambria Math" w:hAnsi="Cambria Math" w:cs="Cambria Math"/>
          <w:lang w:val="en-GB"/>
        </w:rPr>
        <w:t>‑</w:t>
      </w:r>
      <w:r w:rsidRPr="00C26B89">
        <w:rPr>
          <w:lang w:val="en-GB"/>
        </w:rPr>
        <w:t xml:space="preserve">border groundwater management, ensuring that the benefits of individual actions are not diminished by uncoordinated practices in neighbouring recharge areas. </w:t>
      </w:r>
    </w:p>
    <w:p w14:paraId="49A26DAF" w14:textId="77777777" w:rsidR="00FF5968" w:rsidRDefault="00FF5968" w:rsidP="00C20491">
      <w:pPr>
        <w:pStyle w:val="Heading1"/>
        <w:jc w:val="both"/>
        <w:rPr>
          <w:lang w:val="en-GB"/>
        </w:rPr>
      </w:pPr>
      <w:bookmarkStart w:id="8" w:name="_Toc223350812"/>
    </w:p>
    <w:p w14:paraId="4763DC0E" w14:textId="2BBB4067" w:rsidR="00C20491" w:rsidRPr="003B035A" w:rsidRDefault="00C20491" w:rsidP="00C20491">
      <w:pPr>
        <w:pStyle w:val="Heading1"/>
        <w:jc w:val="both"/>
        <w:rPr>
          <w:lang w:val="en-GB"/>
        </w:rPr>
      </w:pPr>
      <w:bookmarkStart w:id="9" w:name="_Toc225945261"/>
      <w:r>
        <w:rPr>
          <w:lang w:val="en-GB"/>
        </w:rPr>
        <w:t>5</w:t>
      </w:r>
      <w:r w:rsidRPr="003B035A">
        <w:rPr>
          <w:lang w:val="en-GB"/>
        </w:rPr>
        <w:t xml:space="preserve"> </w:t>
      </w:r>
      <w:r w:rsidR="00F00818" w:rsidRPr="00F00818">
        <w:rPr>
          <w:lang w:val="en-GB"/>
        </w:rPr>
        <w:t xml:space="preserve">Comparative </w:t>
      </w:r>
      <w:r w:rsidR="00F00818">
        <w:rPr>
          <w:lang w:val="en-GB"/>
        </w:rPr>
        <w:t>assessment</w:t>
      </w:r>
      <w:r w:rsidR="00F00818" w:rsidRPr="00F00818">
        <w:rPr>
          <w:lang w:val="en-GB"/>
        </w:rPr>
        <w:t>: legal, policy and permitting frameworks in Croatia and Bosnia and Herzegovina</w:t>
      </w:r>
      <w:bookmarkEnd w:id="9"/>
    </w:p>
    <w:p w14:paraId="08C034D5" w14:textId="77777777" w:rsidR="00F00818" w:rsidRPr="00F00818" w:rsidRDefault="00F00818" w:rsidP="00F00818">
      <w:pPr>
        <w:jc w:val="both"/>
        <w:rPr>
          <w:lang w:val="en-GB"/>
        </w:rPr>
      </w:pPr>
      <w:r w:rsidRPr="00F00818">
        <w:rPr>
          <w:lang w:val="en-GB"/>
        </w:rPr>
        <w:t>Groundwater governance in Croatia and Bosnia and Herzegovina is built on two different legal and institutional systems. These differences shape how each country regulates groundwater protection, applies sanitary protection zones (SPZs), and organises monitoring and permitting. Because Dinaric karst aquifers are highly connected and many recharge and discharge areas extend across the border, the effects of these differences become more pronounced. In such settings, protection measures work best when procedures on both sides are coordinated or at least compatible.</w:t>
      </w:r>
    </w:p>
    <w:p w14:paraId="2CA7AB8D" w14:textId="1E86BD4D" w:rsidR="0078613C" w:rsidRDefault="00F00818" w:rsidP="0078613C">
      <w:pPr>
        <w:jc w:val="both"/>
        <w:rPr>
          <w:lang w:val="en-GB"/>
        </w:rPr>
      </w:pPr>
      <w:r w:rsidRPr="00F00818">
        <w:rPr>
          <w:lang w:val="en-GB"/>
        </w:rPr>
        <w:t xml:space="preserve">The following comparative overview highlights where the two national systems align and where they diverge. It is based on findings from the bilateral governance diagnostics for Una and Neretva </w:t>
      </w:r>
      <w:r>
        <w:rPr>
          <w:lang w:val="en-GB"/>
        </w:rPr>
        <w:t>TBAs</w:t>
      </w:r>
      <w:r w:rsidRPr="00F00818">
        <w:rPr>
          <w:lang w:val="en-GB"/>
        </w:rPr>
        <w:t xml:space="preserve"> and on groundwater</w:t>
      </w:r>
      <w:r w:rsidRPr="00F00818">
        <w:rPr>
          <w:rFonts w:ascii="Cambria Math" w:hAnsi="Cambria Math" w:cs="Cambria Math"/>
          <w:lang w:val="en-GB"/>
        </w:rPr>
        <w:t>‑</w:t>
      </w:r>
      <w:r w:rsidRPr="00F00818">
        <w:rPr>
          <w:lang w:val="en-GB"/>
        </w:rPr>
        <w:t>protection practices described in the JAP for Una TBA</w:t>
      </w:r>
      <w:r>
        <w:rPr>
          <w:lang w:val="en-GB"/>
        </w:rPr>
        <w:t>.</w:t>
      </w:r>
    </w:p>
    <w:p w14:paraId="52CDD3EE" w14:textId="77777777" w:rsidR="00FF5968" w:rsidRDefault="00FF5968" w:rsidP="0078613C">
      <w:pPr>
        <w:pStyle w:val="Heading2"/>
        <w:rPr>
          <w:lang w:val="en-GB"/>
        </w:rPr>
      </w:pPr>
    </w:p>
    <w:p w14:paraId="3972CCF5" w14:textId="7756AA3D" w:rsidR="0078613C" w:rsidRPr="00376158" w:rsidRDefault="0078613C" w:rsidP="0078613C">
      <w:pPr>
        <w:pStyle w:val="Heading2"/>
        <w:rPr>
          <w:lang w:val="en-GB"/>
        </w:rPr>
      </w:pPr>
      <w:bookmarkStart w:id="10" w:name="_Toc225945262"/>
      <w:r w:rsidRPr="00376158">
        <w:rPr>
          <w:lang w:val="en-GB"/>
        </w:rPr>
        <w:t>5.1 Croatia: alignment with EU acquis and remaining implementation challenges</w:t>
      </w:r>
      <w:bookmarkEnd w:id="10"/>
    </w:p>
    <w:p w14:paraId="042DA97A" w14:textId="22567768" w:rsidR="0078613C" w:rsidRPr="0078613C" w:rsidRDefault="0078613C" w:rsidP="0078613C">
      <w:pPr>
        <w:jc w:val="both"/>
        <w:rPr>
          <w:lang w:val="en-GB"/>
        </w:rPr>
      </w:pPr>
      <w:r w:rsidRPr="0078613C">
        <w:rPr>
          <w:lang w:val="en-GB"/>
        </w:rPr>
        <w:t>Croatia’s groundwater governance framework is fully aligned with the EU Water Framework Directive (Directive 2000/60/EC) and the EU Groundwater Directive (Directive 2006/118/EC, amended by 2014/80/EU). This alignment is embedded through national legislation, including the Water Act (Official Gazette</w:t>
      </w:r>
      <w:r w:rsidR="00F00818">
        <w:rPr>
          <w:lang w:val="en-GB"/>
        </w:rPr>
        <w:t xml:space="preserve"> No.</w:t>
      </w:r>
      <w:r w:rsidRPr="0078613C">
        <w:rPr>
          <w:lang w:val="en-GB"/>
        </w:rPr>
        <w:t xml:space="preserve"> 66/2019, 84/2021, 47/2023) and the Regulation on Water Quality Standards (Official Gazette</w:t>
      </w:r>
      <w:r w:rsidR="00F00818">
        <w:rPr>
          <w:lang w:val="en-GB"/>
        </w:rPr>
        <w:t xml:space="preserve"> No.</w:t>
      </w:r>
      <w:r w:rsidRPr="0078613C">
        <w:rPr>
          <w:lang w:val="en-GB"/>
        </w:rPr>
        <w:t xml:space="preserve"> 96/2019, 20/2023, 50/2023). Groundwater protection measures are operationalised through River Basin Management Plans (RBMPs), most recently the RBMP of the Republic of Croatia until 2027 (Official Gazette</w:t>
      </w:r>
      <w:r w:rsidR="00F00818">
        <w:rPr>
          <w:lang w:val="en-GB"/>
        </w:rPr>
        <w:t xml:space="preserve"> No.</w:t>
      </w:r>
      <w:r w:rsidRPr="0078613C">
        <w:rPr>
          <w:lang w:val="en-GB"/>
        </w:rPr>
        <w:t xml:space="preserve"> 84/2023). These instruments establish binding requirements for groundwater monitoring, chemical status assessment, trend analysis, SPZs, abstraction control and integration of water</w:t>
      </w:r>
      <w:r w:rsidRPr="0078613C">
        <w:rPr>
          <w:rFonts w:ascii="Cambria Math" w:hAnsi="Cambria Math" w:cs="Cambria Math"/>
          <w:lang w:val="en-GB"/>
        </w:rPr>
        <w:t>‑</w:t>
      </w:r>
      <w:r w:rsidRPr="0078613C">
        <w:rPr>
          <w:lang w:val="en-GB"/>
        </w:rPr>
        <w:t xml:space="preserve">management priorities into spatial planning. </w:t>
      </w:r>
    </w:p>
    <w:p w14:paraId="66CB51F5" w14:textId="270AAF95" w:rsidR="0078613C" w:rsidRPr="0078613C" w:rsidRDefault="0078613C" w:rsidP="0078613C">
      <w:pPr>
        <w:jc w:val="both"/>
        <w:rPr>
          <w:lang w:val="en-GB"/>
        </w:rPr>
      </w:pPr>
      <w:r w:rsidRPr="0078613C">
        <w:rPr>
          <w:lang w:val="en-GB"/>
        </w:rPr>
        <w:lastRenderedPageBreak/>
        <w:t>Croatia applies a well</w:t>
      </w:r>
      <w:r w:rsidRPr="0078613C">
        <w:rPr>
          <w:rFonts w:ascii="Cambria Math" w:hAnsi="Cambria Math" w:cs="Cambria Math"/>
          <w:lang w:val="en-GB"/>
        </w:rPr>
        <w:t>‑</w:t>
      </w:r>
      <w:r w:rsidRPr="0078613C">
        <w:rPr>
          <w:lang w:val="en-GB"/>
        </w:rPr>
        <w:t>defined system of sanitary protection zones, based on the Rulebook on Conditions for Establishing Sanitary Protection Zones of Water Sources (Official Gazette</w:t>
      </w:r>
      <w:r w:rsidR="00F00818">
        <w:rPr>
          <w:lang w:val="en-GB"/>
        </w:rPr>
        <w:t xml:space="preserve"> No.</w:t>
      </w:r>
      <w:r w:rsidRPr="0078613C">
        <w:rPr>
          <w:lang w:val="en-GB"/>
        </w:rPr>
        <w:t xml:space="preserve"> 66/2011, 47/2013). This rulebook sets methodological requirements for defining recharge areas, determining zone boundaries and prescribing restriction measures. The diagnostics show that the technical quality of SPZ delineation is generally high; however, several challenges remain. These include uneven enforcement at local level, variability in how municipalities integrate SPZs into spatial plans, and delays in updating local spatial</w:t>
      </w:r>
      <w:r w:rsidRPr="0078613C">
        <w:rPr>
          <w:rFonts w:ascii="Cambria Math" w:hAnsi="Cambria Math" w:cs="Cambria Math"/>
          <w:lang w:val="en-GB"/>
        </w:rPr>
        <w:t>‑</w:t>
      </w:r>
      <w:r w:rsidRPr="0078613C">
        <w:rPr>
          <w:lang w:val="en-GB"/>
        </w:rPr>
        <w:t>planning documents, which affects the speed at which SPZ restrictions are reflected in land</w:t>
      </w:r>
      <w:r w:rsidRPr="0078613C">
        <w:rPr>
          <w:rFonts w:ascii="Cambria Math" w:hAnsi="Cambria Math" w:cs="Cambria Math"/>
          <w:lang w:val="en-GB"/>
        </w:rPr>
        <w:t>‑</w:t>
      </w:r>
      <w:r w:rsidRPr="0078613C">
        <w:rPr>
          <w:lang w:val="en-GB"/>
        </w:rPr>
        <w:t xml:space="preserve">use decisions. </w:t>
      </w:r>
    </w:p>
    <w:p w14:paraId="21141D64" w14:textId="41286D04" w:rsidR="0078613C" w:rsidRPr="0078613C" w:rsidRDefault="0078613C" w:rsidP="0078613C">
      <w:pPr>
        <w:jc w:val="both"/>
        <w:rPr>
          <w:lang w:val="en-GB"/>
        </w:rPr>
      </w:pPr>
      <w:r w:rsidRPr="0078613C">
        <w:rPr>
          <w:lang w:val="en-GB"/>
        </w:rPr>
        <w:t>The permitting system</w:t>
      </w:r>
      <w:r w:rsidR="00F00818">
        <w:rPr>
          <w:lang w:val="en-GB"/>
        </w:rPr>
        <w:t xml:space="preserve">, </w:t>
      </w:r>
      <w:r w:rsidRPr="0078613C">
        <w:rPr>
          <w:lang w:val="en-GB"/>
        </w:rPr>
        <w:t>covering water rights, abstraction licences, and discharge control</w:t>
      </w:r>
      <w:r w:rsidR="00F00818">
        <w:rPr>
          <w:lang w:val="en-GB"/>
        </w:rPr>
        <w:t xml:space="preserve">, </w:t>
      </w:r>
      <w:r w:rsidRPr="0078613C">
        <w:rPr>
          <w:lang w:val="en-GB"/>
        </w:rPr>
        <w:t>functions within the framework defined by the Water Act and the Rulebook on the Issuance of Water Acts (Official Gazette</w:t>
      </w:r>
      <w:r w:rsidR="00F00818">
        <w:rPr>
          <w:lang w:val="en-GB"/>
        </w:rPr>
        <w:t xml:space="preserve"> No.</w:t>
      </w:r>
      <w:r w:rsidRPr="0078613C">
        <w:rPr>
          <w:lang w:val="en-GB"/>
        </w:rPr>
        <w:t xml:space="preserve"> 9/2020, 39/2022). While the system is technically well aligned, the BGGDA analyses note practical constraints related to capacity limitations in small municipalities, slow implementation of local</w:t>
      </w:r>
      <w:r w:rsidRPr="0078613C">
        <w:rPr>
          <w:rFonts w:ascii="Cambria Math" w:hAnsi="Cambria Math" w:cs="Cambria Math"/>
          <w:lang w:val="en-GB"/>
        </w:rPr>
        <w:t>‑</w:t>
      </w:r>
      <w:r w:rsidRPr="0078613C">
        <w:rPr>
          <w:lang w:val="en-GB"/>
        </w:rPr>
        <w:t>level corrective actions, and variable monitoring of on</w:t>
      </w:r>
      <w:r w:rsidRPr="0078613C">
        <w:rPr>
          <w:rFonts w:ascii="Cambria Math" w:hAnsi="Cambria Math" w:cs="Cambria Math"/>
          <w:lang w:val="en-GB"/>
        </w:rPr>
        <w:t>‑</w:t>
      </w:r>
      <w:r w:rsidRPr="0078613C">
        <w:rPr>
          <w:lang w:val="en-GB"/>
        </w:rPr>
        <w:t xml:space="preserve">site sanitation installations, which can be important contamination sources in karst environments. </w:t>
      </w:r>
    </w:p>
    <w:p w14:paraId="2DEB12D7" w14:textId="2FEF22EE" w:rsidR="0078613C" w:rsidRPr="0078613C" w:rsidRDefault="0078613C" w:rsidP="0078613C">
      <w:pPr>
        <w:jc w:val="both"/>
        <w:rPr>
          <w:lang w:val="en-GB"/>
        </w:rPr>
      </w:pPr>
      <w:r w:rsidRPr="0078613C">
        <w:rPr>
          <w:lang w:val="en-GB"/>
        </w:rPr>
        <w:t>Croatia applies full EIA/SEA procedures with explicit references to groundwater and karst vulnerability. Environmental assessments integrate hydrogeological information and require cross</w:t>
      </w:r>
      <w:r w:rsidRPr="0078613C">
        <w:rPr>
          <w:rFonts w:ascii="Cambria Math" w:hAnsi="Cambria Math" w:cs="Cambria Math"/>
          <w:lang w:val="en-GB"/>
        </w:rPr>
        <w:t>‑</w:t>
      </w:r>
      <w:r w:rsidRPr="0078613C">
        <w:rPr>
          <w:lang w:val="en-GB"/>
        </w:rPr>
        <w:t>sectoral consultation. Cost</w:t>
      </w:r>
      <w:r w:rsidRPr="0078613C">
        <w:rPr>
          <w:rFonts w:ascii="Cambria Math" w:hAnsi="Cambria Math" w:cs="Cambria Math"/>
          <w:lang w:val="en-GB"/>
        </w:rPr>
        <w:t>‑</w:t>
      </w:r>
      <w:r w:rsidRPr="0078613C">
        <w:rPr>
          <w:lang w:val="en-GB"/>
        </w:rPr>
        <w:t xml:space="preserve">recovery principles are largely implemented, consistent with EU requirements, although challenges remain in rural areas where infrastructure investment is constrained. </w:t>
      </w:r>
    </w:p>
    <w:p w14:paraId="154D33AA" w14:textId="77777777" w:rsidR="00FF5968" w:rsidRDefault="00FF5968" w:rsidP="00376158">
      <w:pPr>
        <w:pStyle w:val="Heading2"/>
        <w:jc w:val="both"/>
        <w:rPr>
          <w:lang w:val="en-GB"/>
        </w:rPr>
      </w:pPr>
    </w:p>
    <w:p w14:paraId="06E37771" w14:textId="3D482F59" w:rsidR="0078613C" w:rsidRPr="00376158" w:rsidRDefault="0078613C" w:rsidP="00376158">
      <w:pPr>
        <w:pStyle w:val="Heading2"/>
        <w:jc w:val="both"/>
        <w:rPr>
          <w:lang w:val="en-GB"/>
        </w:rPr>
      </w:pPr>
      <w:bookmarkStart w:id="11" w:name="_Toc225945263"/>
      <w:r w:rsidRPr="00376158">
        <w:rPr>
          <w:lang w:val="en-GB"/>
        </w:rPr>
        <w:t>5.2 Bosnia and Herzegovina: partial approximation, multi</w:t>
      </w:r>
      <w:r w:rsidRPr="00376158">
        <w:rPr>
          <w:rFonts w:ascii="Cambria Math" w:hAnsi="Cambria Math" w:cs="Cambria Math"/>
          <w:lang w:val="en-GB"/>
        </w:rPr>
        <w:t>‑</w:t>
      </w:r>
      <w:r w:rsidRPr="00376158">
        <w:rPr>
          <w:lang w:val="en-GB"/>
        </w:rPr>
        <w:t>layered governance and uneven implementation</w:t>
      </w:r>
      <w:bookmarkEnd w:id="11"/>
    </w:p>
    <w:p w14:paraId="5F69D62F" w14:textId="77777777" w:rsidR="0078613C" w:rsidRPr="0078613C" w:rsidRDefault="0078613C" w:rsidP="0078613C">
      <w:pPr>
        <w:jc w:val="both"/>
        <w:rPr>
          <w:lang w:val="en-GB"/>
        </w:rPr>
      </w:pPr>
      <w:r w:rsidRPr="0078613C">
        <w:rPr>
          <w:lang w:val="en-GB"/>
        </w:rPr>
        <w:t xml:space="preserve">Groundwater governance in Bosnia and Herzegovina is shaped by a complex administrative structure, with responsibilities divided between the State level, the Federation of Bosnia and Herzegovina (FBiH), the </w:t>
      </w:r>
      <w:proofErr w:type="spellStart"/>
      <w:r w:rsidRPr="0078613C">
        <w:rPr>
          <w:lang w:val="en-GB"/>
        </w:rPr>
        <w:t>Republika</w:t>
      </w:r>
      <w:proofErr w:type="spellEnd"/>
      <w:r w:rsidRPr="0078613C">
        <w:rPr>
          <w:lang w:val="en-GB"/>
        </w:rPr>
        <w:t xml:space="preserve"> Srpska (RS), and cantonal and municipal levels. As a result, the legal and institutional environment differs between the two entities.</w:t>
      </w:r>
    </w:p>
    <w:p w14:paraId="3963536C" w14:textId="51E2286E" w:rsidR="004C6A9F" w:rsidRDefault="0078613C" w:rsidP="00F00818">
      <w:pPr>
        <w:jc w:val="both"/>
        <w:rPr>
          <w:lang w:val="en-GB"/>
        </w:rPr>
      </w:pPr>
      <w:r w:rsidRPr="0078613C">
        <w:rPr>
          <w:lang w:val="en-GB"/>
        </w:rPr>
        <w:t>In the Federation of BiH, the primary acts are the Water Law (Official Gazette</w:t>
      </w:r>
      <w:r w:rsidR="00F00818">
        <w:rPr>
          <w:lang w:val="en-GB"/>
        </w:rPr>
        <w:t xml:space="preserve"> </w:t>
      </w:r>
      <w:r w:rsidRPr="0078613C">
        <w:rPr>
          <w:lang w:val="en-GB"/>
        </w:rPr>
        <w:t xml:space="preserve">FBiH </w:t>
      </w:r>
      <w:r w:rsidR="00F00818">
        <w:rPr>
          <w:lang w:val="en-GB"/>
        </w:rPr>
        <w:t>No.</w:t>
      </w:r>
      <w:r w:rsidR="00F00818" w:rsidRPr="0078613C">
        <w:rPr>
          <w:lang w:val="en-GB"/>
        </w:rPr>
        <w:t xml:space="preserve"> </w:t>
      </w:r>
      <w:r w:rsidRPr="0078613C">
        <w:rPr>
          <w:lang w:val="en-GB"/>
        </w:rPr>
        <w:t xml:space="preserve">70/06, 01/12, 70/20) and accompanying regulations, including the </w:t>
      </w:r>
      <w:r w:rsidR="00A21F3B">
        <w:rPr>
          <w:lang w:val="en-GB"/>
        </w:rPr>
        <w:t>Decision</w:t>
      </w:r>
      <w:r w:rsidR="00A21F3B" w:rsidRPr="00A21F3B">
        <w:rPr>
          <w:lang w:val="en-GB"/>
        </w:rPr>
        <w:t xml:space="preserve"> on surface and groundwater characterization, reference conditions and parameters for water status assessment and water </w:t>
      </w:r>
      <w:r w:rsidR="00BD6F28" w:rsidRPr="00A21F3B">
        <w:rPr>
          <w:lang w:val="en-GB"/>
        </w:rPr>
        <w:t>monitoring</w:t>
      </w:r>
      <w:r w:rsidR="00BD6F28" w:rsidRPr="0078613C">
        <w:rPr>
          <w:lang w:val="en-GB"/>
        </w:rPr>
        <w:t xml:space="preserve"> (</w:t>
      </w:r>
      <w:r w:rsidRPr="0078613C">
        <w:rPr>
          <w:lang w:val="en-GB"/>
        </w:rPr>
        <w:t>Official Gazette</w:t>
      </w:r>
      <w:r w:rsidR="00F00818">
        <w:rPr>
          <w:lang w:val="en-GB"/>
        </w:rPr>
        <w:t xml:space="preserve"> </w:t>
      </w:r>
      <w:r w:rsidRPr="0078613C">
        <w:rPr>
          <w:lang w:val="en-GB"/>
        </w:rPr>
        <w:t xml:space="preserve">FBiH </w:t>
      </w:r>
      <w:r w:rsidR="00F00818">
        <w:rPr>
          <w:lang w:val="en-GB"/>
        </w:rPr>
        <w:t xml:space="preserve">No. </w:t>
      </w:r>
      <w:r w:rsidRPr="0078613C">
        <w:rPr>
          <w:lang w:val="en-GB"/>
        </w:rPr>
        <w:t>1/14). SPZs are governed by the Rulebook on the Method of Determining Conditions for Establishing Sanitary Protection Zones (Official Gazette</w:t>
      </w:r>
      <w:r w:rsidR="00F00818">
        <w:rPr>
          <w:lang w:val="en-GB"/>
        </w:rPr>
        <w:t xml:space="preserve"> </w:t>
      </w:r>
      <w:r w:rsidRPr="0078613C">
        <w:rPr>
          <w:lang w:val="en-GB"/>
        </w:rPr>
        <w:t xml:space="preserve">FBiH </w:t>
      </w:r>
      <w:r w:rsidR="00F00818">
        <w:rPr>
          <w:lang w:val="en-GB"/>
        </w:rPr>
        <w:t xml:space="preserve">No. </w:t>
      </w:r>
      <w:r w:rsidRPr="0078613C">
        <w:rPr>
          <w:lang w:val="en-GB"/>
        </w:rPr>
        <w:t xml:space="preserve">88/12). In </w:t>
      </w:r>
      <w:proofErr w:type="spellStart"/>
      <w:r w:rsidRPr="0078613C">
        <w:rPr>
          <w:lang w:val="en-GB"/>
        </w:rPr>
        <w:t>Republika</w:t>
      </w:r>
      <w:proofErr w:type="spellEnd"/>
      <w:r w:rsidRPr="0078613C">
        <w:rPr>
          <w:lang w:val="en-GB"/>
        </w:rPr>
        <w:t xml:space="preserve"> Srpska, groundwater governance is based on the Water Law (Official Gazette</w:t>
      </w:r>
      <w:r w:rsidR="00F00818">
        <w:rPr>
          <w:lang w:val="en-GB"/>
        </w:rPr>
        <w:t xml:space="preserve"> No.</w:t>
      </w:r>
      <w:r w:rsidRPr="0078613C">
        <w:rPr>
          <w:lang w:val="en-GB"/>
        </w:rPr>
        <w:t xml:space="preserve"> RS 50/06, 92/09, 121/12, 39/13, 44/15, 01/20)</w:t>
      </w:r>
      <w:r w:rsidR="00A21F3B">
        <w:rPr>
          <w:lang w:val="en-GB"/>
        </w:rPr>
        <w:t>,</w:t>
      </w:r>
      <w:r w:rsidRPr="0078613C">
        <w:rPr>
          <w:lang w:val="en-GB"/>
        </w:rPr>
        <w:t xml:space="preserve"> </w:t>
      </w:r>
      <w:r w:rsidR="00A21F3B">
        <w:rPr>
          <w:lang w:val="en-GB"/>
        </w:rPr>
        <w:t>Decision</w:t>
      </w:r>
      <w:r w:rsidR="00A21F3B" w:rsidRPr="00A21F3B">
        <w:rPr>
          <w:lang w:val="en-GB"/>
        </w:rPr>
        <w:t xml:space="preserve"> on the Classification of Waters and Categorization of Watercourses (“Official Gazette of RS” No. 42/01) </w:t>
      </w:r>
      <w:r w:rsidRPr="0078613C">
        <w:rPr>
          <w:lang w:val="en-GB"/>
        </w:rPr>
        <w:t xml:space="preserve">and the </w:t>
      </w:r>
      <w:r w:rsidR="004C6A9F" w:rsidRPr="004C6A9F">
        <w:rPr>
          <w:lang w:val="en-GB"/>
        </w:rPr>
        <w:t>Rulebook on Protection Measures, the Method of Determining, Maintaining, and Marking Sanitary Protection Zones (“Official Gazette of RS” No. 76/16)</w:t>
      </w:r>
      <w:r w:rsidR="004C6A9F" w:rsidRPr="004C6A9F" w:rsidDel="004C6A9F">
        <w:rPr>
          <w:lang w:val="en-GB"/>
        </w:rPr>
        <w:t xml:space="preserve"> </w:t>
      </w:r>
      <w:r w:rsidR="00BE5A55" w:rsidRPr="00BE5A55">
        <w:rPr>
          <w:lang w:val="en-GB"/>
        </w:rPr>
        <w:t>2.</w:t>
      </w:r>
      <w:r w:rsidR="00BE5A55" w:rsidRPr="00BE5A55">
        <w:rPr>
          <w:lang w:val="en-GB"/>
        </w:rPr>
        <w:tab/>
      </w:r>
      <w:r w:rsidR="00BE5A55">
        <w:rPr>
          <w:lang w:val="en-GB"/>
        </w:rPr>
        <w:t xml:space="preserve"> </w:t>
      </w:r>
    </w:p>
    <w:p w14:paraId="3E26E11C" w14:textId="37295C41" w:rsidR="00F659B6" w:rsidRDefault="00F00818" w:rsidP="00F00818">
      <w:pPr>
        <w:jc w:val="both"/>
        <w:rPr>
          <w:lang w:val="en-GB"/>
        </w:rPr>
      </w:pPr>
      <w:r w:rsidRPr="00F00818">
        <w:rPr>
          <w:lang w:val="en-GB"/>
        </w:rPr>
        <w:t xml:space="preserve">In FBiH, SPZ delineation is based on a </w:t>
      </w:r>
      <w:proofErr w:type="spellStart"/>
      <w:r w:rsidR="00BD6F28" w:rsidRPr="00F00818">
        <w:rPr>
          <w:lang w:val="en-GB"/>
        </w:rPr>
        <w:t>hydrogeologically</w:t>
      </w:r>
      <w:proofErr w:type="spellEnd"/>
      <w:r w:rsidRPr="00F00818">
        <w:rPr>
          <w:lang w:val="en-GB"/>
        </w:rPr>
        <w:t xml:space="preserve"> informed procedure that requires technical stud</w:t>
      </w:r>
      <w:r w:rsidR="00093EA3">
        <w:rPr>
          <w:lang w:val="en-GB"/>
        </w:rPr>
        <w:t>y,</w:t>
      </w:r>
      <w:r w:rsidR="00FD6CDA">
        <w:rPr>
          <w:lang w:val="en-GB"/>
        </w:rPr>
        <w:t xml:space="preserve"> including a draft decision on </w:t>
      </w:r>
      <w:r w:rsidR="00093EA3">
        <w:rPr>
          <w:lang w:val="en-GB"/>
        </w:rPr>
        <w:t>proclaiming the</w:t>
      </w:r>
      <w:r w:rsidR="00FD6CDA">
        <w:rPr>
          <w:lang w:val="en-GB"/>
        </w:rPr>
        <w:t xml:space="preserve"> SPZ</w:t>
      </w:r>
      <w:r w:rsidR="00093EA3">
        <w:rPr>
          <w:lang w:val="en-GB"/>
        </w:rPr>
        <w:t xml:space="preserve">, based on </w:t>
      </w:r>
      <w:r w:rsidR="00C73F31">
        <w:rPr>
          <w:lang w:val="en-GB"/>
        </w:rPr>
        <w:t xml:space="preserve">independent </w:t>
      </w:r>
      <w:r w:rsidR="00BD6F28">
        <w:rPr>
          <w:lang w:val="en-GB"/>
        </w:rPr>
        <w:t>experts’ revision</w:t>
      </w:r>
      <w:r w:rsidR="00FD6CDA">
        <w:rPr>
          <w:lang w:val="en-GB"/>
        </w:rPr>
        <w:t xml:space="preserve"> of the study</w:t>
      </w:r>
      <w:r w:rsidR="00093EA3">
        <w:rPr>
          <w:lang w:val="en-GB"/>
        </w:rPr>
        <w:t>,</w:t>
      </w:r>
      <w:r w:rsidR="00FD6CDA">
        <w:rPr>
          <w:lang w:val="en-GB"/>
        </w:rPr>
        <w:t xml:space="preserve"> and adoption of </w:t>
      </w:r>
      <w:r w:rsidR="00D3418B">
        <w:rPr>
          <w:lang w:val="en-GB"/>
        </w:rPr>
        <w:t xml:space="preserve">the </w:t>
      </w:r>
      <w:r w:rsidR="00D279C7">
        <w:rPr>
          <w:lang w:val="en-GB"/>
        </w:rPr>
        <w:t>decision by</w:t>
      </w:r>
      <w:r w:rsidR="00FD6CDA">
        <w:rPr>
          <w:lang w:val="en-GB"/>
        </w:rPr>
        <w:t xml:space="preserve"> </w:t>
      </w:r>
      <w:r w:rsidR="00D3418B">
        <w:rPr>
          <w:lang w:val="en-GB"/>
        </w:rPr>
        <w:t xml:space="preserve">the </w:t>
      </w:r>
      <w:r w:rsidR="00FD6CDA">
        <w:rPr>
          <w:lang w:val="en-GB"/>
        </w:rPr>
        <w:t xml:space="preserve">Municipal assembly, or </w:t>
      </w:r>
      <w:r w:rsidR="00C73F31">
        <w:rPr>
          <w:lang w:val="en-GB"/>
        </w:rPr>
        <w:t xml:space="preserve">by </w:t>
      </w:r>
      <w:r w:rsidR="00D3418B">
        <w:rPr>
          <w:lang w:val="en-GB"/>
        </w:rPr>
        <w:t xml:space="preserve">the </w:t>
      </w:r>
      <w:r w:rsidR="00A21F3B">
        <w:rPr>
          <w:lang w:val="en-GB"/>
        </w:rPr>
        <w:t xml:space="preserve">cantonal </w:t>
      </w:r>
      <w:r w:rsidR="00FD6CDA" w:rsidRPr="00FD6CDA">
        <w:rPr>
          <w:lang w:val="en-GB"/>
        </w:rPr>
        <w:t xml:space="preserve">assembly </w:t>
      </w:r>
      <w:r w:rsidR="00D3418B">
        <w:rPr>
          <w:lang w:val="en-GB"/>
        </w:rPr>
        <w:t>i</w:t>
      </w:r>
      <w:r w:rsidR="00FD6CDA" w:rsidRPr="00FD6CDA">
        <w:rPr>
          <w:lang w:val="en-GB"/>
        </w:rPr>
        <w:t xml:space="preserve">f a sanitary protection zone (SPZ) extends across the territory of </w:t>
      </w:r>
      <w:r w:rsidR="00FD6CDA">
        <w:rPr>
          <w:lang w:val="en-GB"/>
        </w:rPr>
        <w:t xml:space="preserve">two or more </w:t>
      </w:r>
      <w:r w:rsidR="00FD6CDA" w:rsidRPr="00FD6CDA">
        <w:rPr>
          <w:lang w:val="en-GB"/>
        </w:rPr>
        <w:t>municipalities</w:t>
      </w:r>
      <w:r w:rsidRPr="00F00818">
        <w:rPr>
          <w:lang w:val="en-GB"/>
        </w:rPr>
        <w:t>, which often results in longer and multi</w:t>
      </w:r>
      <w:r w:rsidRPr="00F00818">
        <w:rPr>
          <w:rFonts w:ascii="Cambria Math" w:hAnsi="Cambria Math" w:cs="Cambria Math"/>
          <w:lang w:val="en-GB"/>
        </w:rPr>
        <w:t>‑</w:t>
      </w:r>
      <w:r w:rsidRPr="00F00818">
        <w:rPr>
          <w:lang w:val="en-GB"/>
        </w:rPr>
        <w:t xml:space="preserve">step proclamation processes. </w:t>
      </w:r>
      <w:r w:rsidR="00F659B6">
        <w:rPr>
          <w:lang w:val="en-GB"/>
        </w:rPr>
        <w:t>D</w:t>
      </w:r>
      <w:r w:rsidR="00F659B6" w:rsidRPr="00F659B6">
        <w:rPr>
          <w:lang w:val="en-GB"/>
        </w:rPr>
        <w:t>elineation</w:t>
      </w:r>
      <w:r w:rsidR="00F659B6">
        <w:rPr>
          <w:lang w:val="en-GB"/>
        </w:rPr>
        <w:t xml:space="preserve"> </w:t>
      </w:r>
      <w:r w:rsidR="00F659B6" w:rsidRPr="00F659B6">
        <w:rPr>
          <w:lang w:val="en-GB"/>
        </w:rPr>
        <w:t>follows a hydrogeological study</w:t>
      </w:r>
      <w:r w:rsidR="00F659B6" w:rsidRPr="00F659B6">
        <w:rPr>
          <w:rFonts w:ascii="Cambria Math" w:hAnsi="Cambria Math" w:cs="Cambria Math"/>
          <w:lang w:val="en-GB"/>
        </w:rPr>
        <w:t>‑</w:t>
      </w:r>
      <w:r w:rsidR="00F659B6" w:rsidRPr="00F659B6">
        <w:rPr>
          <w:lang w:val="en-GB"/>
        </w:rPr>
        <w:t xml:space="preserve">based procedure </w:t>
      </w:r>
      <w:r w:rsidR="005672F0">
        <w:rPr>
          <w:lang w:val="en-GB"/>
        </w:rPr>
        <w:t>that applies</w:t>
      </w:r>
      <w:r w:rsidR="00BA185F">
        <w:rPr>
          <w:lang w:val="en-GB"/>
        </w:rPr>
        <w:t xml:space="preserve"> </w:t>
      </w:r>
      <w:r w:rsidR="00BA185F" w:rsidRPr="00BA185F">
        <w:rPr>
          <w:lang w:val="en-GB"/>
        </w:rPr>
        <w:t xml:space="preserve">a minimum of </w:t>
      </w:r>
      <w:r w:rsidR="00D279C7" w:rsidRPr="00BA185F">
        <w:rPr>
          <w:lang w:val="en-GB"/>
        </w:rPr>
        <w:t>thr</w:t>
      </w:r>
      <w:r w:rsidR="00D279C7">
        <w:rPr>
          <w:lang w:val="en-GB"/>
        </w:rPr>
        <w:t>ee</w:t>
      </w:r>
      <w:r w:rsidR="00BA185F" w:rsidRPr="00BA185F">
        <w:rPr>
          <w:lang w:val="en-GB"/>
        </w:rPr>
        <w:t xml:space="preserve"> protection zones for water sources in karst aquifers. Where defined, a fourth zone includes preventive prohibitions and restrictions. The exact number and size of the protection zones </w:t>
      </w:r>
      <w:r w:rsidR="00D3418B">
        <w:rPr>
          <w:lang w:val="en-GB"/>
        </w:rPr>
        <w:t>are</w:t>
      </w:r>
      <w:r w:rsidR="00BA185F" w:rsidRPr="00BA185F">
        <w:rPr>
          <w:lang w:val="en-GB"/>
        </w:rPr>
        <w:t xml:space="preserve"> determined through a risk analysis of the </w:t>
      </w:r>
      <w:r w:rsidR="005672F0" w:rsidRPr="00BA185F">
        <w:rPr>
          <w:lang w:val="en-GB"/>
        </w:rPr>
        <w:t xml:space="preserve">source </w:t>
      </w:r>
      <w:r w:rsidR="00BA185F" w:rsidRPr="00BA185F">
        <w:rPr>
          <w:lang w:val="en-GB"/>
        </w:rPr>
        <w:t xml:space="preserve">specific </w:t>
      </w:r>
      <w:r w:rsidR="00BA185F" w:rsidRPr="00BA185F">
        <w:rPr>
          <w:lang w:val="en-GB"/>
        </w:rPr>
        <w:lastRenderedPageBreak/>
        <w:t>vulnerability in relation to human activities</w:t>
      </w:r>
      <w:r w:rsidR="005672F0">
        <w:rPr>
          <w:lang w:val="en-GB"/>
        </w:rPr>
        <w:t xml:space="preserve">. </w:t>
      </w:r>
      <w:r w:rsidR="00F659B6" w:rsidRPr="00F659B6">
        <w:rPr>
          <w:lang w:val="en-GB"/>
        </w:rPr>
        <w:t xml:space="preserve">This approach is technically appropriate for karst terrains, but formal proclamation </w:t>
      </w:r>
      <w:r w:rsidR="00BA185F">
        <w:rPr>
          <w:lang w:val="en-GB"/>
        </w:rPr>
        <w:t xml:space="preserve">is typically time consuming </w:t>
      </w:r>
      <w:r w:rsidR="00F659B6" w:rsidRPr="00F659B6">
        <w:rPr>
          <w:lang w:val="en-GB"/>
        </w:rPr>
        <w:t>and limits timely implementation.</w:t>
      </w:r>
    </w:p>
    <w:p w14:paraId="3F8ECC2E" w14:textId="490B6A50" w:rsidR="00C84307" w:rsidRDefault="00F00818" w:rsidP="0078613C">
      <w:pPr>
        <w:jc w:val="both"/>
        <w:rPr>
          <w:lang w:val="en-GB"/>
        </w:rPr>
      </w:pPr>
      <w:r w:rsidRPr="00F00818">
        <w:rPr>
          <w:lang w:val="en-GB"/>
        </w:rPr>
        <w:t xml:space="preserve">In RS, SPZs are determined under </w:t>
      </w:r>
      <w:r w:rsidR="00126841">
        <w:rPr>
          <w:lang w:val="en-GB"/>
        </w:rPr>
        <w:t xml:space="preserve">a </w:t>
      </w:r>
      <w:r w:rsidR="00C73F31" w:rsidRPr="00F00818">
        <w:rPr>
          <w:lang w:val="en-GB"/>
        </w:rPr>
        <w:t>rulebook</w:t>
      </w:r>
      <w:r w:rsidR="00C73F31">
        <w:rPr>
          <w:lang w:val="en-GB"/>
        </w:rPr>
        <w:t xml:space="preserve"> which</w:t>
      </w:r>
      <w:r w:rsidR="005672F0">
        <w:rPr>
          <w:lang w:val="en-GB"/>
        </w:rPr>
        <w:t xml:space="preserve"> </w:t>
      </w:r>
      <w:r w:rsidR="005672F0" w:rsidRPr="005672F0">
        <w:rPr>
          <w:lang w:val="en-GB"/>
        </w:rPr>
        <w:t xml:space="preserve">defines three zones of sanitary protection, their spatial extent, and protection measures. </w:t>
      </w:r>
      <w:r w:rsidR="005672F0">
        <w:rPr>
          <w:lang w:val="en-GB"/>
        </w:rPr>
        <w:t>Current r</w:t>
      </w:r>
      <w:r w:rsidR="00663795">
        <w:rPr>
          <w:lang w:val="en-GB"/>
        </w:rPr>
        <w:t>u</w:t>
      </w:r>
      <w:r w:rsidR="005672F0">
        <w:rPr>
          <w:lang w:val="en-GB"/>
        </w:rPr>
        <w:t>leboo</w:t>
      </w:r>
      <w:r w:rsidR="00663795">
        <w:rPr>
          <w:lang w:val="en-GB"/>
        </w:rPr>
        <w:t>k</w:t>
      </w:r>
      <w:r w:rsidR="005672F0">
        <w:rPr>
          <w:lang w:val="en-GB"/>
        </w:rPr>
        <w:t xml:space="preserve"> </w:t>
      </w:r>
      <w:r w:rsidR="00C73F31">
        <w:rPr>
          <w:lang w:val="en-GB"/>
        </w:rPr>
        <w:t>does</w:t>
      </w:r>
      <w:r w:rsidR="005672F0">
        <w:rPr>
          <w:lang w:val="en-GB"/>
        </w:rPr>
        <w:t xml:space="preserve"> not </w:t>
      </w:r>
      <w:r w:rsidR="00D279C7">
        <w:rPr>
          <w:lang w:val="en-GB"/>
        </w:rPr>
        <w:t>define</w:t>
      </w:r>
      <w:r w:rsidR="005672F0" w:rsidRPr="005672F0">
        <w:rPr>
          <w:lang w:val="en-GB"/>
        </w:rPr>
        <w:t xml:space="preserve"> specific criteria for delineating zones in karst areas i.e. it does not differentiate between karst and non-karst hydrogeological conditions. </w:t>
      </w:r>
    </w:p>
    <w:p w14:paraId="1C449D96" w14:textId="7C997784" w:rsidR="0078613C" w:rsidRPr="0078613C" w:rsidRDefault="0078613C" w:rsidP="0078613C">
      <w:pPr>
        <w:jc w:val="both"/>
        <w:rPr>
          <w:lang w:val="en-GB"/>
        </w:rPr>
      </w:pPr>
      <w:r w:rsidRPr="0078613C">
        <w:rPr>
          <w:lang w:val="en-GB"/>
        </w:rPr>
        <w:t xml:space="preserve">Diagnostic findings for both Una and Neretva TBAs highlight that WFD </w:t>
      </w:r>
      <w:proofErr w:type="gramStart"/>
      <w:r w:rsidR="00C84307">
        <w:rPr>
          <w:lang w:val="en-GB"/>
        </w:rPr>
        <w:t>is  transposed</w:t>
      </w:r>
      <w:proofErr w:type="gramEnd"/>
      <w:r w:rsidR="00C84307">
        <w:rPr>
          <w:lang w:val="en-GB"/>
        </w:rPr>
        <w:t xml:space="preserve"> to a large extent</w:t>
      </w:r>
      <w:r w:rsidRPr="0078613C">
        <w:rPr>
          <w:lang w:val="en-GB"/>
        </w:rPr>
        <w:t>, while the Groundwater Directive is only weakly reflected in entity</w:t>
      </w:r>
      <w:r w:rsidRPr="0078613C">
        <w:rPr>
          <w:rFonts w:ascii="Cambria Math" w:hAnsi="Cambria Math" w:cs="Cambria Math"/>
          <w:lang w:val="en-GB"/>
        </w:rPr>
        <w:t>‑</w:t>
      </w:r>
      <w:r w:rsidRPr="0078613C">
        <w:rPr>
          <w:lang w:val="en-GB"/>
        </w:rPr>
        <w:t xml:space="preserve">level legislation and monitoring programmes. The legal frameworks provide a general basis for groundwater protection, but methodological requirements, monitoring obligations, and enforcement procedures differ between </w:t>
      </w:r>
      <w:r w:rsidR="00126841">
        <w:rPr>
          <w:lang w:val="en-GB"/>
        </w:rPr>
        <w:t xml:space="preserve">the </w:t>
      </w:r>
      <w:r w:rsidRPr="0078613C">
        <w:rPr>
          <w:lang w:val="en-GB"/>
        </w:rPr>
        <w:t>entities</w:t>
      </w:r>
      <w:r w:rsidR="00126841">
        <w:rPr>
          <w:lang w:val="en-GB"/>
        </w:rPr>
        <w:t xml:space="preserve"> of BiH</w:t>
      </w:r>
      <w:r w:rsidR="005672F0">
        <w:rPr>
          <w:lang w:val="en-GB"/>
        </w:rPr>
        <w:t>.</w:t>
      </w:r>
    </w:p>
    <w:p w14:paraId="0F5E5372" w14:textId="7706F791" w:rsidR="0078613C" w:rsidRPr="0078613C" w:rsidRDefault="0078613C" w:rsidP="0078613C">
      <w:pPr>
        <w:jc w:val="both"/>
        <w:rPr>
          <w:lang w:val="en-GB"/>
        </w:rPr>
      </w:pPr>
      <w:r w:rsidRPr="0078613C">
        <w:rPr>
          <w:lang w:val="en-GB"/>
        </w:rPr>
        <w:t xml:space="preserve">Monitoring responsibilities are unevenly defined, and systematic groundwater monitoring </w:t>
      </w:r>
      <w:r w:rsidR="00C130A2" w:rsidRPr="0078613C">
        <w:rPr>
          <w:lang w:val="en-GB"/>
        </w:rPr>
        <w:t xml:space="preserve">across karst areas </w:t>
      </w:r>
      <w:r w:rsidR="00D279C7" w:rsidRPr="0078613C">
        <w:rPr>
          <w:lang w:val="en-GB"/>
        </w:rPr>
        <w:t xml:space="preserve">is </w:t>
      </w:r>
      <w:r w:rsidR="00077E7A">
        <w:rPr>
          <w:lang w:val="en-GB"/>
        </w:rPr>
        <w:t>only performed</w:t>
      </w:r>
      <w:r w:rsidRPr="0078613C">
        <w:rPr>
          <w:lang w:val="en-GB"/>
        </w:rPr>
        <w:t xml:space="preserve"> </w:t>
      </w:r>
      <w:r w:rsidR="00C130A2">
        <w:rPr>
          <w:lang w:val="en-GB"/>
        </w:rPr>
        <w:t>in some parts of Sava basin in FBIH</w:t>
      </w:r>
      <w:r w:rsidRPr="0078613C">
        <w:rPr>
          <w:lang w:val="en-GB"/>
        </w:rPr>
        <w:t>, as confirmed in the JAP for Una</w:t>
      </w:r>
      <w:r w:rsidR="00FF5968">
        <w:rPr>
          <w:lang w:val="en-GB"/>
        </w:rPr>
        <w:t xml:space="preserve"> </w:t>
      </w:r>
      <w:r w:rsidRPr="0078613C">
        <w:rPr>
          <w:lang w:val="en-GB"/>
        </w:rPr>
        <w:t>TBA. Monitoring of drinking</w:t>
      </w:r>
      <w:r w:rsidRPr="0078613C">
        <w:rPr>
          <w:rFonts w:ascii="Cambria Math" w:hAnsi="Cambria Math" w:cs="Cambria Math"/>
          <w:lang w:val="en-GB"/>
        </w:rPr>
        <w:t>‑</w:t>
      </w:r>
      <w:r w:rsidRPr="0078613C">
        <w:rPr>
          <w:lang w:val="en-GB"/>
        </w:rPr>
        <w:t xml:space="preserve">water springs is carried out according to the national </w:t>
      </w:r>
      <w:r w:rsidR="009B20DF">
        <w:rPr>
          <w:lang w:val="en-GB"/>
        </w:rPr>
        <w:t>d</w:t>
      </w:r>
      <w:r w:rsidR="009B20DF" w:rsidRPr="0078613C">
        <w:rPr>
          <w:lang w:val="en-GB"/>
        </w:rPr>
        <w:t xml:space="preserve">rinking </w:t>
      </w:r>
      <w:r w:rsidR="009B20DF">
        <w:rPr>
          <w:lang w:val="en-GB"/>
        </w:rPr>
        <w:t>water regulations,</w:t>
      </w:r>
      <w:r w:rsidRPr="0078613C">
        <w:rPr>
          <w:lang w:val="en-GB"/>
        </w:rPr>
        <w:t xml:space="preserve"> but surveillance and operational monitoring for the purpose of WFD</w:t>
      </w:r>
      <w:r w:rsidRPr="0078613C">
        <w:rPr>
          <w:rFonts w:ascii="Cambria Math" w:hAnsi="Cambria Math" w:cs="Cambria Math"/>
          <w:lang w:val="en-GB"/>
        </w:rPr>
        <w:t>‑</w:t>
      </w:r>
      <w:r w:rsidRPr="0078613C">
        <w:rPr>
          <w:lang w:val="en-GB"/>
        </w:rPr>
        <w:t xml:space="preserve">type groundwater status assessment is not uniformly implemented. </w:t>
      </w:r>
    </w:p>
    <w:p w14:paraId="30B3E89F" w14:textId="7159B0CB" w:rsidR="0078613C" w:rsidRPr="0078613C" w:rsidRDefault="0078613C" w:rsidP="0078613C">
      <w:pPr>
        <w:jc w:val="both"/>
        <w:rPr>
          <w:lang w:val="en-GB"/>
        </w:rPr>
      </w:pPr>
      <w:r w:rsidRPr="0078613C">
        <w:rPr>
          <w:lang w:val="en-GB"/>
        </w:rPr>
        <w:t xml:space="preserve">SPZ proclamation represents one of the key governance gaps. </w:t>
      </w:r>
      <w:r w:rsidR="009B20DF">
        <w:rPr>
          <w:lang w:val="en-GB"/>
        </w:rPr>
        <w:t xml:space="preserve">Considerable number of </w:t>
      </w:r>
      <w:r w:rsidR="009B20DF" w:rsidRPr="009B20DF">
        <w:rPr>
          <w:lang w:val="en-GB"/>
        </w:rPr>
        <w:t>municipalities have either not prepared source protection studies or have not adopted decisions on the proclamation of sanitary protection zones at the municipal/cantonal level.</w:t>
      </w:r>
      <w:r w:rsidR="009B20DF" w:rsidRPr="009B20DF" w:rsidDel="009B20DF">
        <w:rPr>
          <w:lang w:val="en-GB"/>
        </w:rPr>
        <w:t xml:space="preserve"> </w:t>
      </w:r>
      <w:r w:rsidRPr="0078613C">
        <w:rPr>
          <w:lang w:val="en-GB"/>
        </w:rPr>
        <w:t xml:space="preserve">Even where SPZs are proclaimed, integration into spatial plans is inconsistent and enforcement is uneven, partly due to limited inspection capacity, as evidenced in the BGGDA analyses. </w:t>
      </w:r>
    </w:p>
    <w:p w14:paraId="00EFFC0C" w14:textId="4C48CD4F" w:rsidR="0078613C" w:rsidRPr="0078613C" w:rsidRDefault="00FF5968" w:rsidP="0078613C">
      <w:pPr>
        <w:jc w:val="both"/>
        <w:rPr>
          <w:lang w:val="en-GB"/>
        </w:rPr>
      </w:pPr>
      <w:r w:rsidRPr="00FF5968">
        <w:rPr>
          <w:lang w:val="en-GB"/>
        </w:rPr>
        <w:t>The diagnostics reveal that permitting responsibilities are fragmented across institutions, including those for water abstraction, construction near water bodies, and discharge regulation at both entity and cantonal levels. The rules for indirect discharges are applied inconsistently, and enforcement of wastewater</w:t>
      </w:r>
      <w:r w:rsidRPr="00FF5968">
        <w:rPr>
          <w:rFonts w:ascii="Cambria Math" w:hAnsi="Cambria Math" w:cs="Cambria Math"/>
          <w:lang w:val="en-GB"/>
        </w:rPr>
        <w:t>‑</w:t>
      </w:r>
      <w:r w:rsidRPr="00FF5968">
        <w:rPr>
          <w:lang w:val="en-GB"/>
        </w:rPr>
        <w:t>treatment obligations remains weak, especially in rural and peri</w:t>
      </w:r>
      <w:r w:rsidRPr="00FF5968">
        <w:rPr>
          <w:rFonts w:ascii="Cambria Math" w:hAnsi="Cambria Math" w:cs="Cambria Math"/>
          <w:lang w:val="en-GB"/>
        </w:rPr>
        <w:t>‑</w:t>
      </w:r>
      <w:r w:rsidRPr="00FF5968">
        <w:rPr>
          <w:lang w:val="en-GB"/>
        </w:rPr>
        <w:t>urban areas. Although cost</w:t>
      </w:r>
      <w:r w:rsidRPr="00FF5968">
        <w:rPr>
          <w:rFonts w:ascii="Cambria Math" w:hAnsi="Cambria Math" w:cs="Cambria Math"/>
          <w:lang w:val="en-GB"/>
        </w:rPr>
        <w:t>‑</w:t>
      </w:r>
      <w:r w:rsidRPr="00FF5968">
        <w:rPr>
          <w:lang w:val="en-GB"/>
        </w:rPr>
        <w:t>recovery mechanisms exist, they are not applied comprehensively, and funding for groundwater</w:t>
      </w:r>
      <w:r w:rsidRPr="00FF5968">
        <w:rPr>
          <w:rFonts w:ascii="Cambria Math" w:hAnsi="Cambria Math" w:cs="Cambria Math"/>
          <w:lang w:val="en-GB"/>
        </w:rPr>
        <w:t>‑</w:t>
      </w:r>
      <w:r w:rsidRPr="00FF5968">
        <w:rPr>
          <w:lang w:val="en-GB"/>
        </w:rPr>
        <w:t>protection measures continues to be limited.</w:t>
      </w:r>
    </w:p>
    <w:p w14:paraId="11A51B80" w14:textId="50DC2FD5" w:rsidR="0078613C" w:rsidRDefault="0078613C" w:rsidP="0078613C">
      <w:pPr>
        <w:jc w:val="both"/>
        <w:rPr>
          <w:lang w:val="en-GB"/>
        </w:rPr>
      </w:pPr>
      <w:r w:rsidRPr="0078613C">
        <w:rPr>
          <w:lang w:val="en-GB"/>
        </w:rPr>
        <w:t>Regarding environmental assessments, both entities apply EIA/SEA procedures, but explicit requirements for assessing groundwater and karst vulnerability are less consistently integrated compared to Croatia. This affects the extent to which groundwater considerations shape project design, land</w:t>
      </w:r>
      <w:r w:rsidRPr="0078613C">
        <w:rPr>
          <w:rFonts w:ascii="Cambria Math" w:hAnsi="Cambria Math" w:cs="Cambria Math"/>
          <w:lang w:val="en-GB"/>
        </w:rPr>
        <w:t>‑</w:t>
      </w:r>
      <w:r w:rsidRPr="0078613C">
        <w:rPr>
          <w:lang w:val="en-GB"/>
        </w:rPr>
        <w:t xml:space="preserve">use decisions and infrastructure planning near recharge zones. </w:t>
      </w:r>
    </w:p>
    <w:p w14:paraId="3FE50314" w14:textId="77777777" w:rsidR="0078613C" w:rsidRPr="0078613C" w:rsidRDefault="0078613C" w:rsidP="0078613C">
      <w:pPr>
        <w:jc w:val="both"/>
        <w:rPr>
          <w:lang w:val="en-GB"/>
        </w:rPr>
      </w:pPr>
    </w:p>
    <w:p w14:paraId="061CA764" w14:textId="5A7B6559" w:rsidR="0078613C" w:rsidRPr="006C3CFF" w:rsidRDefault="0078613C" w:rsidP="006C3CFF">
      <w:pPr>
        <w:pStyle w:val="Heading2"/>
        <w:rPr>
          <w:lang w:val="en-GB"/>
        </w:rPr>
      </w:pPr>
      <w:bookmarkStart w:id="12" w:name="_Toc225945264"/>
      <w:r w:rsidRPr="006C3CFF">
        <w:rPr>
          <w:lang w:val="en-GB"/>
        </w:rPr>
        <w:t>5.3 Cross</w:t>
      </w:r>
      <w:r w:rsidRPr="006C3CFF">
        <w:rPr>
          <w:rFonts w:ascii="Cambria Math" w:hAnsi="Cambria Math" w:cs="Cambria Math"/>
          <w:lang w:val="en-GB"/>
        </w:rPr>
        <w:t>‑</w:t>
      </w:r>
      <w:r w:rsidRPr="006C3CFF">
        <w:rPr>
          <w:lang w:val="en-GB"/>
        </w:rPr>
        <w:t xml:space="preserve">country comparison: implications for </w:t>
      </w:r>
      <w:r w:rsidR="001B3D48" w:rsidRPr="006C3CFF">
        <w:rPr>
          <w:lang w:val="en-GB"/>
        </w:rPr>
        <w:t>transboundary</w:t>
      </w:r>
      <w:r w:rsidRPr="006C3CFF">
        <w:rPr>
          <w:lang w:val="en-GB"/>
        </w:rPr>
        <w:t xml:space="preserve"> karst aquifers</w:t>
      </w:r>
      <w:bookmarkEnd w:id="12"/>
    </w:p>
    <w:p w14:paraId="144E548D" w14:textId="3C90131E" w:rsidR="0078613C" w:rsidRPr="0078613C" w:rsidRDefault="0078613C" w:rsidP="0078613C">
      <w:pPr>
        <w:jc w:val="both"/>
        <w:rPr>
          <w:lang w:val="en-GB"/>
        </w:rPr>
      </w:pPr>
      <w:r w:rsidRPr="0078613C">
        <w:rPr>
          <w:lang w:val="en-GB"/>
        </w:rPr>
        <w:t xml:space="preserve">The differences between Croatia and Bosnia and Herzegovina reflect structural characteristics of their governance systems rather than deficiencies in intention or policy direction. However, in the context of </w:t>
      </w:r>
      <w:r w:rsidR="001B3D48">
        <w:rPr>
          <w:lang w:val="en-GB"/>
        </w:rPr>
        <w:t>transboundary</w:t>
      </w:r>
      <w:r w:rsidRPr="0078613C">
        <w:rPr>
          <w:lang w:val="en-GB"/>
        </w:rPr>
        <w:t xml:space="preserve"> Dinaric karst aquifers</w:t>
      </w:r>
      <w:r>
        <w:rPr>
          <w:lang w:val="en-GB"/>
        </w:rPr>
        <w:t xml:space="preserve">, </w:t>
      </w:r>
      <w:r w:rsidRPr="0078613C">
        <w:rPr>
          <w:lang w:val="en-GB"/>
        </w:rPr>
        <w:t>where recharge areas, flow paths and spring zones span the state border</w:t>
      </w:r>
      <w:r>
        <w:rPr>
          <w:lang w:val="en-GB"/>
        </w:rPr>
        <w:t xml:space="preserve">, </w:t>
      </w:r>
      <w:r w:rsidRPr="0078613C">
        <w:rPr>
          <w:lang w:val="en-GB"/>
        </w:rPr>
        <w:t>these differences have practical implications</w:t>
      </w:r>
      <w:r>
        <w:rPr>
          <w:lang w:val="en-GB"/>
        </w:rPr>
        <w:t>:</w:t>
      </w:r>
    </w:p>
    <w:p w14:paraId="1C0E5D4F" w14:textId="268AF96B" w:rsidR="0078613C" w:rsidRPr="0078613C" w:rsidRDefault="0078613C" w:rsidP="0078613C">
      <w:pPr>
        <w:pStyle w:val="ListParagraph"/>
        <w:numPr>
          <w:ilvl w:val="0"/>
          <w:numId w:val="62"/>
        </w:numPr>
        <w:jc w:val="both"/>
        <w:rPr>
          <w:lang w:val="en-GB"/>
        </w:rPr>
      </w:pPr>
      <w:r w:rsidRPr="0078613C">
        <w:rPr>
          <w:lang w:val="en-GB"/>
        </w:rPr>
        <w:t>First, inconsistent SPZ methodologies and proclamation practices limit the effectiveness of protection measures across shared recharge areas. Croatian SPZs are generally well defined and legally binding, whereas in BiH</w:t>
      </w:r>
      <w:r w:rsidR="00663795">
        <w:rPr>
          <w:lang w:val="en-GB"/>
        </w:rPr>
        <w:t xml:space="preserve">, </w:t>
      </w:r>
      <w:r w:rsidR="00A9421D" w:rsidRPr="00A9421D">
        <w:rPr>
          <w:lang w:val="en-GB"/>
        </w:rPr>
        <w:t>although they are legally binding</w:t>
      </w:r>
      <w:r w:rsidR="007C49E2">
        <w:rPr>
          <w:lang w:val="en-GB"/>
        </w:rPr>
        <w:t>, quite</w:t>
      </w:r>
      <w:r w:rsidRPr="0078613C">
        <w:rPr>
          <w:lang w:val="en-GB"/>
        </w:rPr>
        <w:t xml:space="preserve"> SPZs are not </w:t>
      </w:r>
      <w:r w:rsidR="007C49E2">
        <w:rPr>
          <w:lang w:val="en-GB"/>
        </w:rPr>
        <w:t xml:space="preserve">delineated and proclaimed nor </w:t>
      </w:r>
      <w:r w:rsidRPr="0078613C">
        <w:rPr>
          <w:lang w:val="en-GB"/>
        </w:rPr>
        <w:t xml:space="preserve">yet formally integrated into planning documents or </w:t>
      </w:r>
      <w:r w:rsidRPr="0078613C">
        <w:rPr>
          <w:lang w:val="en-GB"/>
        </w:rPr>
        <w:lastRenderedPageBreak/>
        <w:t xml:space="preserve">enforcement systems. This creates gaps in protection where activities in one country may generate risks for spring areas in the </w:t>
      </w:r>
      <w:proofErr w:type="gramStart"/>
      <w:r w:rsidRPr="0078613C">
        <w:rPr>
          <w:lang w:val="en-GB"/>
        </w:rPr>
        <w:t>other</w:t>
      </w:r>
      <w:r>
        <w:rPr>
          <w:lang w:val="en-GB"/>
        </w:rPr>
        <w:t>;</w:t>
      </w:r>
      <w:proofErr w:type="gramEnd"/>
      <w:r w:rsidRPr="0078613C">
        <w:rPr>
          <w:lang w:val="en-GB"/>
        </w:rPr>
        <w:t xml:space="preserve"> </w:t>
      </w:r>
    </w:p>
    <w:p w14:paraId="6E1E64BE" w14:textId="614DDB70" w:rsidR="0078613C" w:rsidRPr="0078613C" w:rsidRDefault="0078613C" w:rsidP="0078613C">
      <w:pPr>
        <w:pStyle w:val="ListParagraph"/>
        <w:numPr>
          <w:ilvl w:val="0"/>
          <w:numId w:val="62"/>
        </w:numPr>
        <w:jc w:val="both"/>
        <w:rPr>
          <w:lang w:val="en-GB"/>
        </w:rPr>
      </w:pPr>
      <w:r w:rsidRPr="0078613C">
        <w:rPr>
          <w:lang w:val="en-GB"/>
        </w:rPr>
        <w:t>Second, monitoring coverage and data comparability differ significantly. Croatia maintains a structured WFD/GWD</w:t>
      </w:r>
      <w:r w:rsidRPr="0078613C">
        <w:rPr>
          <w:rFonts w:ascii="Cambria Math" w:hAnsi="Cambria Math" w:cs="Cambria Math"/>
          <w:lang w:val="en-GB"/>
        </w:rPr>
        <w:t>‑</w:t>
      </w:r>
      <w:r w:rsidRPr="0078613C">
        <w:rPr>
          <w:lang w:val="en-GB"/>
        </w:rPr>
        <w:t xml:space="preserve">aligned groundwater monitoring programme, while BiH has partial networks with varying levels of implementation. This reduces opportunities for joint status assessment and complicates interpretation of transboundary </w:t>
      </w:r>
      <w:proofErr w:type="gramStart"/>
      <w:r w:rsidRPr="0078613C">
        <w:rPr>
          <w:lang w:val="en-GB"/>
        </w:rPr>
        <w:t>trends</w:t>
      </w:r>
      <w:r>
        <w:rPr>
          <w:lang w:val="en-GB"/>
        </w:rPr>
        <w:t>;</w:t>
      </w:r>
      <w:proofErr w:type="gramEnd"/>
      <w:r w:rsidRPr="0078613C">
        <w:rPr>
          <w:lang w:val="en-GB"/>
        </w:rPr>
        <w:t xml:space="preserve"> </w:t>
      </w:r>
    </w:p>
    <w:p w14:paraId="1F0BC8B2" w14:textId="5213AD6C" w:rsidR="0078613C" w:rsidRPr="0078613C" w:rsidRDefault="0078613C" w:rsidP="0078613C">
      <w:pPr>
        <w:pStyle w:val="ListParagraph"/>
        <w:numPr>
          <w:ilvl w:val="0"/>
          <w:numId w:val="62"/>
        </w:numPr>
        <w:jc w:val="both"/>
        <w:rPr>
          <w:lang w:val="en-GB"/>
        </w:rPr>
      </w:pPr>
      <w:r w:rsidRPr="0078613C">
        <w:rPr>
          <w:lang w:val="en-GB"/>
        </w:rPr>
        <w:t>Third, permitting and indirect</w:t>
      </w:r>
      <w:r w:rsidRPr="0078613C">
        <w:rPr>
          <w:rFonts w:ascii="Cambria Math" w:hAnsi="Cambria Math" w:cs="Cambria Math"/>
          <w:lang w:val="en-GB"/>
        </w:rPr>
        <w:t>‑</w:t>
      </w:r>
      <w:r w:rsidRPr="0078613C">
        <w:rPr>
          <w:lang w:val="en-GB"/>
        </w:rPr>
        <w:t xml:space="preserve">discharge regulations are applied more consistently in Croatia but are more fragmented across entity and cantonal levels in BiH, </w:t>
      </w:r>
      <w:r w:rsidR="001B7410" w:rsidRPr="001B7410">
        <w:rPr>
          <w:lang w:val="en-GB"/>
        </w:rPr>
        <w:t>which can lead to inconsistencies in practice</w:t>
      </w:r>
      <w:r w:rsidR="001B7410">
        <w:rPr>
          <w:lang w:val="en-GB"/>
        </w:rPr>
        <w:t xml:space="preserve"> -</w:t>
      </w:r>
      <w:r w:rsidR="001B7410" w:rsidRPr="001B7410">
        <w:t xml:space="preserve"> </w:t>
      </w:r>
      <w:r w:rsidR="001B7410" w:rsidRPr="001B7410">
        <w:rPr>
          <w:lang w:val="en-GB"/>
        </w:rPr>
        <w:t>uneven management of land</w:t>
      </w:r>
      <w:r w:rsidR="001B7410" w:rsidRPr="001B7410">
        <w:rPr>
          <w:rFonts w:ascii="Cambria Math" w:hAnsi="Cambria Math" w:cs="Cambria Math"/>
          <w:lang w:val="en-GB"/>
        </w:rPr>
        <w:t>‑</w:t>
      </w:r>
      <w:r w:rsidR="001B7410" w:rsidRPr="001B7410">
        <w:rPr>
          <w:lang w:val="en-GB"/>
        </w:rPr>
        <w:t>use planning and wastewater</w:t>
      </w:r>
      <w:r w:rsidR="001B7410" w:rsidRPr="001B7410">
        <w:rPr>
          <w:rFonts w:ascii="Cambria Math" w:hAnsi="Cambria Math" w:cs="Cambria Math"/>
          <w:lang w:val="en-GB"/>
        </w:rPr>
        <w:t>‑</w:t>
      </w:r>
      <w:r w:rsidR="001B7410" w:rsidRPr="001B7410">
        <w:rPr>
          <w:lang w:val="en-GB"/>
        </w:rPr>
        <w:t>discharge pressures across cantons.</w:t>
      </w:r>
      <w:r w:rsidR="001B7410" w:rsidRPr="001B7410">
        <w:rPr>
          <w:rFonts w:ascii="Calibri" w:hAnsi="Calibri" w:cs="Calibri"/>
          <w:lang w:val="en-GB"/>
        </w:rPr>
        <w:t>”</w:t>
      </w:r>
      <w:r w:rsidRPr="0078613C">
        <w:rPr>
          <w:lang w:val="en-GB"/>
        </w:rPr>
        <w:t xml:space="preserve"> These differences </w:t>
      </w:r>
      <w:r w:rsidR="001B7410">
        <w:rPr>
          <w:lang w:val="en-GB"/>
        </w:rPr>
        <w:t xml:space="preserve">might </w:t>
      </w:r>
      <w:r w:rsidRPr="0078613C">
        <w:rPr>
          <w:lang w:val="en-GB"/>
        </w:rPr>
        <w:t xml:space="preserve">particularly affect rural karst areas where individual sanitation systems and small development projects can influence vulnerable recharge </w:t>
      </w:r>
      <w:proofErr w:type="gramStart"/>
      <w:r w:rsidRPr="0078613C">
        <w:rPr>
          <w:lang w:val="en-GB"/>
        </w:rPr>
        <w:t>zones</w:t>
      </w:r>
      <w:r>
        <w:rPr>
          <w:lang w:val="en-GB"/>
        </w:rPr>
        <w:t>;</w:t>
      </w:r>
      <w:proofErr w:type="gramEnd"/>
      <w:r w:rsidRPr="0078613C">
        <w:rPr>
          <w:lang w:val="en-GB"/>
        </w:rPr>
        <w:t xml:space="preserve"> </w:t>
      </w:r>
    </w:p>
    <w:p w14:paraId="221F13AE" w14:textId="612F3139" w:rsidR="0078613C" w:rsidRPr="0078613C" w:rsidRDefault="0078613C" w:rsidP="0078613C">
      <w:pPr>
        <w:pStyle w:val="ListParagraph"/>
        <w:numPr>
          <w:ilvl w:val="0"/>
          <w:numId w:val="62"/>
        </w:numPr>
        <w:jc w:val="both"/>
        <w:rPr>
          <w:lang w:val="en-GB"/>
        </w:rPr>
      </w:pPr>
      <w:r w:rsidRPr="0078613C">
        <w:rPr>
          <w:lang w:val="en-GB"/>
        </w:rPr>
        <w:t>Fourth, cost</w:t>
      </w:r>
      <w:r w:rsidRPr="0078613C">
        <w:rPr>
          <w:rFonts w:ascii="Cambria Math" w:hAnsi="Cambria Math" w:cs="Cambria Math"/>
          <w:lang w:val="en-GB"/>
        </w:rPr>
        <w:t>‑</w:t>
      </w:r>
      <w:r w:rsidRPr="0078613C">
        <w:rPr>
          <w:lang w:val="en-GB"/>
        </w:rPr>
        <w:t>recovery, economic instruments and funding mechanisms are more systematically applied in Croatia due to EU requirements, whereas BiH relies more heavily on donor funding, resulting in uneven investment in groundwater</w:t>
      </w:r>
      <w:r w:rsidRPr="0078613C">
        <w:rPr>
          <w:rFonts w:ascii="Cambria Math" w:hAnsi="Cambria Math" w:cs="Cambria Math"/>
          <w:lang w:val="en-GB"/>
        </w:rPr>
        <w:t>‑</w:t>
      </w:r>
      <w:r w:rsidRPr="0078613C">
        <w:rPr>
          <w:lang w:val="en-GB"/>
        </w:rPr>
        <w:t xml:space="preserve">protection </w:t>
      </w:r>
      <w:proofErr w:type="gramStart"/>
      <w:r w:rsidRPr="0078613C">
        <w:rPr>
          <w:lang w:val="en-GB"/>
        </w:rPr>
        <w:t>infrastructure</w:t>
      </w:r>
      <w:r>
        <w:rPr>
          <w:lang w:val="en-GB"/>
        </w:rPr>
        <w:t>;</w:t>
      </w:r>
      <w:proofErr w:type="gramEnd"/>
    </w:p>
    <w:p w14:paraId="1D42CAD6" w14:textId="4541D87A" w:rsidR="0078613C" w:rsidRPr="0078613C" w:rsidRDefault="0078613C" w:rsidP="0078613C">
      <w:pPr>
        <w:pStyle w:val="ListParagraph"/>
        <w:numPr>
          <w:ilvl w:val="0"/>
          <w:numId w:val="62"/>
        </w:numPr>
        <w:jc w:val="both"/>
        <w:rPr>
          <w:lang w:val="en-GB"/>
        </w:rPr>
      </w:pPr>
      <w:r>
        <w:rPr>
          <w:lang w:val="en-GB"/>
        </w:rPr>
        <w:t>Fifth</w:t>
      </w:r>
      <w:r w:rsidRPr="0078613C">
        <w:rPr>
          <w:lang w:val="en-GB"/>
        </w:rPr>
        <w:t>, consideration of groundwater</w:t>
      </w:r>
      <w:r w:rsidRPr="0078613C">
        <w:rPr>
          <w:rFonts w:ascii="Cambria Math" w:hAnsi="Cambria Math" w:cs="Cambria Math"/>
          <w:lang w:val="en-GB"/>
        </w:rPr>
        <w:t>‑</w:t>
      </w:r>
      <w:r w:rsidRPr="0078613C">
        <w:rPr>
          <w:lang w:val="en-GB"/>
        </w:rPr>
        <w:t xml:space="preserve">dependent ecosystems (GDEs) is more clearly embedded in Croatian RBMPs and the Water Quality Standards Regulation, while in BiH such considerations remain at a general policy level, with limited operationalisation. </w:t>
      </w:r>
    </w:p>
    <w:p w14:paraId="5729420D" w14:textId="0F632F4D" w:rsidR="0078613C" w:rsidRPr="00492DAC" w:rsidRDefault="0078613C" w:rsidP="00492DAC">
      <w:pPr>
        <w:jc w:val="both"/>
        <w:rPr>
          <w:lang w:val="en-GB"/>
        </w:rPr>
      </w:pPr>
      <w:r>
        <w:rPr>
          <w:lang w:val="en-GB"/>
        </w:rPr>
        <w:t>T</w:t>
      </w:r>
      <w:r w:rsidRPr="0078613C">
        <w:rPr>
          <w:lang w:val="en-GB"/>
        </w:rPr>
        <w:t xml:space="preserve">hese differences illustrate why coordinated and complementary approaches are essential for effective protection of </w:t>
      </w:r>
      <w:r w:rsidR="001B3D48">
        <w:rPr>
          <w:lang w:val="en-GB"/>
        </w:rPr>
        <w:t>transboundary</w:t>
      </w:r>
      <w:r w:rsidRPr="0078613C">
        <w:rPr>
          <w:lang w:val="en-GB"/>
        </w:rPr>
        <w:t xml:space="preserve"> karst aquifers. Harmonised methodological principles, improved alignment of SPZ practices, consistent data</w:t>
      </w:r>
      <w:r w:rsidRPr="0078613C">
        <w:rPr>
          <w:rFonts w:ascii="Cambria Math" w:hAnsi="Cambria Math" w:cs="Cambria Math"/>
          <w:lang w:val="en-GB"/>
        </w:rPr>
        <w:t>‑</w:t>
      </w:r>
      <w:r w:rsidRPr="0078613C">
        <w:rPr>
          <w:lang w:val="en-GB"/>
        </w:rPr>
        <w:t>exchange routines and clearer integration of groundwater concerns into spatial planning on both sides of the border can significantly strengthen cross</w:t>
      </w:r>
      <w:r w:rsidRPr="0078613C">
        <w:rPr>
          <w:rFonts w:ascii="Cambria Math" w:hAnsi="Cambria Math" w:cs="Cambria Math"/>
          <w:lang w:val="en-GB"/>
        </w:rPr>
        <w:t>‑</w:t>
      </w:r>
      <w:r w:rsidRPr="0078613C">
        <w:rPr>
          <w:lang w:val="en-GB"/>
        </w:rPr>
        <w:t>border groundwater protection.</w:t>
      </w:r>
    </w:p>
    <w:p w14:paraId="4C9AEA86" w14:textId="27ED92C4" w:rsidR="0078613C" w:rsidRPr="00336FA1" w:rsidRDefault="00336FA1" w:rsidP="00336FA1">
      <w:pPr>
        <w:pStyle w:val="Caption"/>
        <w:rPr>
          <w:rFonts w:ascii="Calibri" w:hAnsi="Calibri" w:cs="Calibri"/>
          <w:i w:val="0"/>
          <w:iCs w:val="0"/>
          <w:szCs w:val="20"/>
          <w:lang w:val="en-GB"/>
        </w:rPr>
      </w:pPr>
      <w:bookmarkStart w:id="13" w:name="_Toc225943507"/>
      <w:r w:rsidRPr="00336FA1">
        <w:rPr>
          <w:lang w:val="en-GB"/>
        </w:rPr>
        <w:t xml:space="preserve">Table </w:t>
      </w:r>
      <w:r w:rsidRPr="00336FA1">
        <w:rPr>
          <w:lang w:val="en-GB"/>
        </w:rPr>
        <w:fldChar w:fldCharType="begin"/>
      </w:r>
      <w:r w:rsidRPr="00336FA1">
        <w:rPr>
          <w:lang w:val="en-GB"/>
        </w:rPr>
        <w:instrText xml:space="preserve"> SEQ Table \* ARABIC </w:instrText>
      </w:r>
      <w:r w:rsidRPr="00336FA1">
        <w:rPr>
          <w:lang w:val="en-GB"/>
        </w:rPr>
        <w:fldChar w:fldCharType="separate"/>
      </w:r>
      <w:r>
        <w:rPr>
          <w:noProof/>
          <w:lang w:val="en-GB"/>
        </w:rPr>
        <w:t>2</w:t>
      </w:r>
      <w:r w:rsidRPr="00336FA1">
        <w:rPr>
          <w:lang w:val="en-GB"/>
        </w:rPr>
        <w:fldChar w:fldCharType="end"/>
      </w:r>
      <w:r w:rsidRPr="00336FA1">
        <w:rPr>
          <w:lang w:val="en-GB"/>
        </w:rPr>
        <w:t xml:space="preserve"> Legal &amp; Policy Comparison: Croatia vs Bosnia and Herzegovina (FBiH / RS)</w:t>
      </w:r>
      <w:bookmarkEnd w:id="13"/>
    </w:p>
    <w:tbl>
      <w:tblPr>
        <w:tblStyle w:val="Reetkatablice1"/>
        <w:tblW w:w="0" w:type="auto"/>
        <w:tblInd w:w="108" w:type="dxa"/>
        <w:tblLook w:val="04A0" w:firstRow="1" w:lastRow="0" w:firstColumn="1" w:lastColumn="0" w:noHBand="0" w:noVBand="1"/>
      </w:tblPr>
      <w:tblGrid>
        <w:gridCol w:w="2275"/>
        <w:gridCol w:w="3473"/>
        <w:gridCol w:w="3124"/>
      </w:tblGrid>
      <w:tr w:rsidR="0078613C" w:rsidRPr="00492DAC" w14:paraId="7715D42B" w14:textId="77777777" w:rsidTr="00CD78CD">
        <w:tc>
          <w:tcPr>
            <w:tcW w:w="2226" w:type="dxa"/>
            <w:shd w:val="clear" w:color="auto" w:fill="D9E2F3" w:themeFill="accent1" w:themeFillTint="33"/>
            <w:hideMark/>
          </w:tcPr>
          <w:p w14:paraId="6E240186" w14:textId="1B729262" w:rsidR="0078613C" w:rsidRPr="00492DAC" w:rsidRDefault="0078613C" w:rsidP="007815C0">
            <w:pPr>
              <w:jc w:val="center"/>
              <w:rPr>
                <w:rFonts w:cstheme="minorHAnsi"/>
                <w:b/>
                <w:bCs/>
                <w:sz w:val="16"/>
                <w:szCs w:val="16"/>
                <w:lang w:val="en-GB" w:eastAsia="en-GB"/>
              </w:rPr>
            </w:pPr>
            <w:r w:rsidRPr="00492DAC">
              <w:rPr>
                <w:rFonts w:cstheme="minorHAnsi"/>
                <w:b/>
                <w:bCs/>
                <w:sz w:val="16"/>
                <w:szCs w:val="16"/>
                <w:lang w:val="en-GB" w:eastAsia="en-GB"/>
              </w:rPr>
              <w:t xml:space="preserve">Thematic </w:t>
            </w:r>
            <w:r w:rsidR="00E90A98" w:rsidRPr="00492DAC">
              <w:rPr>
                <w:rFonts w:cstheme="minorHAnsi"/>
                <w:b/>
                <w:bCs/>
                <w:sz w:val="16"/>
                <w:szCs w:val="16"/>
                <w:lang w:val="en-GB" w:eastAsia="en-GB"/>
              </w:rPr>
              <w:t>category</w:t>
            </w:r>
          </w:p>
        </w:tc>
        <w:tc>
          <w:tcPr>
            <w:tcW w:w="3222" w:type="dxa"/>
            <w:shd w:val="clear" w:color="auto" w:fill="D9E2F3" w:themeFill="accent1" w:themeFillTint="33"/>
            <w:hideMark/>
          </w:tcPr>
          <w:p w14:paraId="765B72A1" w14:textId="6F866A68" w:rsidR="0078613C" w:rsidRPr="00492DAC" w:rsidRDefault="00E90A98" w:rsidP="007815C0">
            <w:pPr>
              <w:jc w:val="center"/>
              <w:rPr>
                <w:rFonts w:cstheme="minorHAnsi"/>
                <w:b/>
                <w:bCs/>
                <w:sz w:val="16"/>
                <w:szCs w:val="16"/>
                <w:lang w:val="en-GB" w:eastAsia="en-GB"/>
              </w:rPr>
            </w:pPr>
            <w:r w:rsidRPr="00492DAC">
              <w:rPr>
                <w:rFonts w:cstheme="minorHAnsi"/>
                <w:b/>
                <w:bCs/>
                <w:sz w:val="16"/>
                <w:szCs w:val="16"/>
                <w:lang w:val="en-GB" w:eastAsia="en-GB"/>
              </w:rPr>
              <w:t>Croatia</w:t>
            </w:r>
          </w:p>
        </w:tc>
        <w:tc>
          <w:tcPr>
            <w:tcW w:w="3424" w:type="dxa"/>
            <w:shd w:val="clear" w:color="auto" w:fill="D9E2F3" w:themeFill="accent1" w:themeFillTint="33"/>
            <w:hideMark/>
          </w:tcPr>
          <w:p w14:paraId="2D497B8E" w14:textId="33610D00" w:rsidR="0078613C" w:rsidRPr="00492DAC" w:rsidRDefault="00E90A98" w:rsidP="007815C0">
            <w:pPr>
              <w:jc w:val="center"/>
              <w:rPr>
                <w:rFonts w:cstheme="minorHAnsi"/>
                <w:b/>
                <w:bCs/>
                <w:sz w:val="16"/>
                <w:szCs w:val="16"/>
                <w:lang w:val="en-GB" w:eastAsia="en-GB"/>
              </w:rPr>
            </w:pPr>
            <w:r w:rsidRPr="00492DAC">
              <w:rPr>
                <w:rFonts w:cstheme="minorHAnsi"/>
                <w:b/>
                <w:bCs/>
                <w:sz w:val="16"/>
                <w:szCs w:val="16"/>
                <w:lang w:val="en-GB" w:eastAsia="en-GB"/>
              </w:rPr>
              <w:t>Bosnia and Herzegovina (FBiH / RS)</w:t>
            </w:r>
          </w:p>
        </w:tc>
      </w:tr>
      <w:tr w:rsidR="00492DAC" w:rsidRPr="00492DAC" w14:paraId="1CAD073D" w14:textId="77777777" w:rsidTr="00CD78CD">
        <w:tc>
          <w:tcPr>
            <w:tcW w:w="0" w:type="auto"/>
            <w:vAlign w:val="center"/>
          </w:tcPr>
          <w:p w14:paraId="1B7970CE" w14:textId="7D3ACB13" w:rsidR="00492DAC" w:rsidRPr="00492DAC" w:rsidRDefault="00492DAC" w:rsidP="00077E7A">
            <w:pPr>
              <w:jc w:val="both"/>
              <w:rPr>
                <w:b/>
                <w:bCs/>
                <w:sz w:val="16"/>
                <w:szCs w:val="16"/>
              </w:rPr>
            </w:pPr>
            <w:r w:rsidRPr="00492DAC">
              <w:rPr>
                <w:rStyle w:val="Strong"/>
                <w:sz w:val="16"/>
                <w:szCs w:val="16"/>
              </w:rPr>
              <w:t>EU alignment (WFD/GWD)</w:t>
            </w:r>
          </w:p>
        </w:tc>
        <w:tc>
          <w:tcPr>
            <w:tcW w:w="3222" w:type="dxa"/>
            <w:vAlign w:val="center"/>
          </w:tcPr>
          <w:p w14:paraId="3F2E1FDE" w14:textId="4174D125" w:rsidR="00492DAC" w:rsidRPr="00492DAC" w:rsidRDefault="00492DAC" w:rsidP="00077E7A">
            <w:pPr>
              <w:jc w:val="both"/>
              <w:rPr>
                <w:sz w:val="16"/>
                <w:szCs w:val="16"/>
              </w:rPr>
            </w:pPr>
            <w:r w:rsidRPr="00492DAC">
              <w:rPr>
                <w:sz w:val="16"/>
                <w:szCs w:val="16"/>
              </w:rPr>
              <w:t>Full transposition of WFD (Directive 2000/60/EC) and GWD (Directive 2006/118/EC). RBMP 2027 fully reflects EU requirements</w:t>
            </w:r>
          </w:p>
        </w:tc>
        <w:tc>
          <w:tcPr>
            <w:tcW w:w="3424" w:type="dxa"/>
            <w:vAlign w:val="center"/>
          </w:tcPr>
          <w:p w14:paraId="67896322" w14:textId="35901B3C" w:rsidR="00492DAC" w:rsidRPr="00492DAC" w:rsidRDefault="00492DAC" w:rsidP="00077E7A">
            <w:pPr>
              <w:jc w:val="both"/>
              <w:rPr>
                <w:sz w:val="16"/>
                <w:szCs w:val="16"/>
              </w:rPr>
            </w:pPr>
            <w:r w:rsidRPr="00492DAC">
              <w:rPr>
                <w:sz w:val="16"/>
                <w:szCs w:val="16"/>
              </w:rPr>
              <w:t>Partial approximation. WFD elements integrated unevenly</w:t>
            </w:r>
            <w:r w:rsidR="004C6A9F">
              <w:rPr>
                <w:sz w:val="16"/>
                <w:szCs w:val="16"/>
              </w:rPr>
              <w:t xml:space="preserve"> in entities</w:t>
            </w:r>
            <w:r w:rsidRPr="00492DAC">
              <w:rPr>
                <w:sz w:val="16"/>
                <w:szCs w:val="16"/>
              </w:rPr>
              <w:t xml:space="preserve">; GWD requirements weakly implemented; </w:t>
            </w:r>
            <w:r w:rsidR="004C6A9F">
              <w:rPr>
                <w:sz w:val="16"/>
                <w:szCs w:val="16"/>
              </w:rPr>
              <w:t xml:space="preserve">weak and sporadic </w:t>
            </w:r>
            <w:r w:rsidRPr="00492DAC">
              <w:rPr>
                <w:sz w:val="16"/>
                <w:szCs w:val="16"/>
              </w:rPr>
              <w:t>groundwater</w:t>
            </w:r>
            <w:r w:rsidRPr="00492DAC">
              <w:rPr>
                <w:sz w:val="16"/>
                <w:szCs w:val="16"/>
              </w:rPr>
              <w:noBreakHyphen/>
              <w:t>status network</w:t>
            </w:r>
          </w:p>
        </w:tc>
      </w:tr>
      <w:tr w:rsidR="00492DAC" w:rsidRPr="00492DAC" w14:paraId="3D2CA0DA" w14:textId="77777777" w:rsidTr="00CD78CD">
        <w:tc>
          <w:tcPr>
            <w:tcW w:w="0" w:type="auto"/>
            <w:vAlign w:val="center"/>
          </w:tcPr>
          <w:p w14:paraId="34FB7A9D" w14:textId="324AA5C1" w:rsidR="00492DAC" w:rsidRPr="00492DAC" w:rsidRDefault="00492DAC" w:rsidP="00077E7A">
            <w:pPr>
              <w:jc w:val="both"/>
              <w:rPr>
                <w:b/>
                <w:bCs/>
                <w:sz w:val="16"/>
                <w:szCs w:val="16"/>
              </w:rPr>
            </w:pPr>
            <w:r w:rsidRPr="00492DAC">
              <w:rPr>
                <w:rStyle w:val="Strong"/>
                <w:sz w:val="16"/>
                <w:szCs w:val="16"/>
              </w:rPr>
              <w:t>SPZ legal basis &amp; methodology</w:t>
            </w:r>
          </w:p>
        </w:tc>
        <w:tc>
          <w:tcPr>
            <w:tcW w:w="3222" w:type="dxa"/>
            <w:vAlign w:val="center"/>
          </w:tcPr>
          <w:p w14:paraId="25A8B2DE" w14:textId="44052A34" w:rsidR="00492DAC" w:rsidRPr="00492DAC" w:rsidRDefault="00492DAC" w:rsidP="00077E7A">
            <w:pPr>
              <w:jc w:val="both"/>
              <w:rPr>
                <w:sz w:val="16"/>
                <w:szCs w:val="16"/>
              </w:rPr>
            </w:pPr>
            <w:r w:rsidRPr="00492DAC">
              <w:rPr>
                <w:sz w:val="16"/>
                <w:szCs w:val="16"/>
              </w:rPr>
              <w:t xml:space="preserve">Uniform methodology under Rulebook 66/2011; SPZs legally binding; generally, well integrated into spatial plans </w:t>
            </w:r>
          </w:p>
        </w:tc>
        <w:tc>
          <w:tcPr>
            <w:tcW w:w="3424" w:type="dxa"/>
            <w:vAlign w:val="center"/>
          </w:tcPr>
          <w:p w14:paraId="53E2C1AB" w14:textId="4E62ECFB" w:rsidR="00492DAC" w:rsidRPr="00492DAC" w:rsidRDefault="00492DAC" w:rsidP="00077E7A">
            <w:pPr>
              <w:jc w:val="both"/>
              <w:rPr>
                <w:sz w:val="16"/>
                <w:szCs w:val="16"/>
              </w:rPr>
            </w:pPr>
            <w:r w:rsidRPr="00492DAC">
              <w:rPr>
                <w:sz w:val="16"/>
                <w:szCs w:val="16"/>
              </w:rPr>
              <w:t>Entity</w:t>
            </w:r>
            <w:r w:rsidRPr="00492DAC">
              <w:rPr>
                <w:sz w:val="16"/>
                <w:szCs w:val="16"/>
              </w:rPr>
              <w:noBreakHyphen/>
              <w:t>specific rules (FBiH 88/12; RS 7</w:t>
            </w:r>
            <w:r w:rsidR="004C6A9F">
              <w:rPr>
                <w:sz w:val="16"/>
                <w:szCs w:val="16"/>
              </w:rPr>
              <w:t>6</w:t>
            </w:r>
            <w:r w:rsidRPr="00492DAC">
              <w:rPr>
                <w:sz w:val="16"/>
                <w:szCs w:val="16"/>
              </w:rPr>
              <w:t>/</w:t>
            </w:r>
            <w:r w:rsidR="004C6A9F">
              <w:rPr>
                <w:sz w:val="16"/>
                <w:szCs w:val="16"/>
              </w:rPr>
              <w:t>16</w:t>
            </w:r>
            <w:r w:rsidRPr="00492DAC">
              <w:rPr>
                <w:sz w:val="16"/>
                <w:szCs w:val="16"/>
              </w:rPr>
              <w:t>); varying proclamation status; partial integration into spatial planning; enforcement uneven.</w:t>
            </w:r>
          </w:p>
        </w:tc>
      </w:tr>
      <w:tr w:rsidR="00492DAC" w:rsidRPr="00492DAC" w14:paraId="572A741C" w14:textId="77777777" w:rsidTr="00CD78CD">
        <w:tc>
          <w:tcPr>
            <w:tcW w:w="0" w:type="auto"/>
            <w:vAlign w:val="center"/>
          </w:tcPr>
          <w:p w14:paraId="74239BF7" w14:textId="56C37E9A" w:rsidR="00492DAC" w:rsidRPr="00492DAC" w:rsidRDefault="00492DAC" w:rsidP="00077E7A">
            <w:pPr>
              <w:jc w:val="both"/>
              <w:rPr>
                <w:b/>
                <w:bCs/>
                <w:sz w:val="16"/>
                <w:szCs w:val="16"/>
              </w:rPr>
            </w:pPr>
            <w:r w:rsidRPr="00492DAC">
              <w:rPr>
                <w:rStyle w:val="Strong"/>
                <w:sz w:val="16"/>
                <w:szCs w:val="16"/>
              </w:rPr>
              <w:t>Monitoring &amp; implementation</w:t>
            </w:r>
          </w:p>
        </w:tc>
        <w:tc>
          <w:tcPr>
            <w:tcW w:w="3222" w:type="dxa"/>
            <w:vAlign w:val="center"/>
          </w:tcPr>
          <w:p w14:paraId="15234B98" w14:textId="0EBD34DF" w:rsidR="00492DAC" w:rsidRPr="00492DAC" w:rsidRDefault="00492DAC" w:rsidP="00077E7A">
            <w:pPr>
              <w:jc w:val="both"/>
              <w:rPr>
                <w:sz w:val="16"/>
                <w:szCs w:val="16"/>
              </w:rPr>
            </w:pPr>
            <w:r w:rsidRPr="00492DAC">
              <w:rPr>
                <w:sz w:val="16"/>
                <w:szCs w:val="16"/>
              </w:rPr>
              <w:t>WFD/GWD</w:t>
            </w:r>
            <w:r w:rsidRPr="00492DAC">
              <w:rPr>
                <w:sz w:val="16"/>
                <w:szCs w:val="16"/>
              </w:rPr>
              <w:noBreakHyphen/>
              <w:t>aligned surveillance &amp; operational monitoring; consistent QA/QC; spring monitoring under DWD</w:t>
            </w:r>
          </w:p>
        </w:tc>
        <w:tc>
          <w:tcPr>
            <w:tcW w:w="3424" w:type="dxa"/>
            <w:vAlign w:val="center"/>
          </w:tcPr>
          <w:p w14:paraId="0617B940" w14:textId="0BA1F59A" w:rsidR="00492DAC" w:rsidRPr="00492DAC" w:rsidRDefault="00492DAC" w:rsidP="00077E7A">
            <w:pPr>
              <w:jc w:val="both"/>
              <w:rPr>
                <w:sz w:val="16"/>
                <w:szCs w:val="16"/>
              </w:rPr>
            </w:pPr>
            <w:r w:rsidRPr="00492DAC">
              <w:rPr>
                <w:sz w:val="16"/>
                <w:szCs w:val="16"/>
              </w:rPr>
              <w:t>Fragmented networks; spring monitoring under DWD; no full WFD</w:t>
            </w:r>
            <w:r w:rsidRPr="00492DAC">
              <w:rPr>
                <w:sz w:val="16"/>
                <w:szCs w:val="16"/>
              </w:rPr>
              <w:noBreakHyphen/>
              <w:t>type groundwater monitoring; limited institutional capacity</w:t>
            </w:r>
          </w:p>
        </w:tc>
      </w:tr>
      <w:tr w:rsidR="00492DAC" w:rsidRPr="00492DAC" w14:paraId="196D301E" w14:textId="77777777" w:rsidTr="00492DAC">
        <w:tc>
          <w:tcPr>
            <w:tcW w:w="0" w:type="auto"/>
            <w:vAlign w:val="center"/>
            <w:hideMark/>
          </w:tcPr>
          <w:p w14:paraId="278F331C" w14:textId="77777777" w:rsidR="00492DAC" w:rsidRPr="00492DAC" w:rsidRDefault="00492DAC" w:rsidP="00077E7A">
            <w:pPr>
              <w:jc w:val="both"/>
              <w:rPr>
                <w:b/>
                <w:bCs/>
                <w:sz w:val="16"/>
                <w:szCs w:val="16"/>
              </w:rPr>
            </w:pPr>
            <w:r w:rsidRPr="00492DAC">
              <w:rPr>
                <w:rStyle w:val="Strong"/>
                <w:sz w:val="16"/>
                <w:szCs w:val="16"/>
              </w:rPr>
              <w:t>Permitting, indirect discharges &amp; enforcement</w:t>
            </w:r>
          </w:p>
        </w:tc>
        <w:tc>
          <w:tcPr>
            <w:tcW w:w="0" w:type="auto"/>
            <w:hideMark/>
          </w:tcPr>
          <w:p w14:paraId="3BA884B3" w14:textId="4DE987EF" w:rsidR="00492DAC" w:rsidRPr="00492DAC" w:rsidRDefault="00492DAC" w:rsidP="00077E7A">
            <w:pPr>
              <w:jc w:val="both"/>
              <w:rPr>
                <w:sz w:val="16"/>
                <w:szCs w:val="16"/>
              </w:rPr>
            </w:pPr>
            <w:r w:rsidRPr="00492DAC">
              <w:rPr>
                <w:sz w:val="16"/>
                <w:szCs w:val="16"/>
              </w:rPr>
              <w:t>Structured permitting under Water Act; indirect discharges mostly regulated; enforcement generally consistent but variable locally</w:t>
            </w:r>
          </w:p>
        </w:tc>
        <w:tc>
          <w:tcPr>
            <w:tcW w:w="0" w:type="auto"/>
            <w:hideMark/>
          </w:tcPr>
          <w:p w14:paraId="4AF7A476" w14:textId="442A31E6" w:rsidR="00492DAC" w:rsidRPr="00492DAC" w:rsidRDefault="00492DAC" w:rsidP="00077E7A">
            <w:pPr>
              <w:jc w:val="both"/>
              <w:rPr>
                <w:sz w:val="16"/>
                <w:szCs w:val="16"/>
              </w:rPr>
            </w:pPr>
            <w:r w:rsidRPr="00492DAC">
              <w:rPr>
                <w:sz w:val="16"/>
                <w:szCs w:val="16"/>
              </w:rPr>
              <w:t>Fragmented permitting (entity/canton); indirect</w:t>
            </w:r>
            <w:r w:rsidRPr="00492DAC">
              <w:rPr>
                <w:sz w:val="16"/>
                <w:szCs w:val="16"/>
              </w:rPr>
              <w:noBreakHyphen/>
              <w:t>discharge control inconsistent; enforcement capacity limited</w:t>
            </w:r>
          </w:p>
        </w:tc>
      </w:tr>
      <w:tr w:rsidR="00492DAC" w:rsidRPr="00492DAC" w14:paraId="7A0249B3" w14:textId="77777777" w:rsidTr="00CD78CD">
        <w:tc>
          <w:tcPr>
            <w:tcW w:w="2226" w:type="dxa"/>
            <w:vAlign w:val="center"/>
          </w:tcPr>
          <w:p w14:paraId="12B5484A" w14:textId="46B35769" w:rsidR="00492DAC" w:rsidRPr="00492DAC" w:rsidRDefault="00492DAC" w:rsidP="00077E7A">
            <w:pPr>
              <w:jc w:val="both"/>
              <w:rPr>
                <w:rFonts w:cstheme="minorHAnsi"/>
                <w:sz w:val="16"/>
                <w:szCs w:val="16"/>
                <w:lang w:val="en-GB" w:eastAsia="en-GB"/>
              </w:rPr>
            </w:pPr>
            <w:r w:rsidRPr="00492DAC">
              <w:rPr>
                <w:rStyle w:val="Strong"/>
                <w:sz w:val="16"/>
                <w:szCs w:val="16"/>
              </w:rPr>
              <w:t>Spatial</w:t>
            </w:r>
            <w:r w:rsidRPr="00492DAC">
              <w:rPr>
                <w:rStyle w:val="Strong"/>
                <w:sz w:val="16"/>
                <w:szCs w:val="16"/>
              </w:rPr>
              <w:noBreakHyphen/>
              <w:t>planning integration</w:t>
            </w:r>
          </w:p>
        </w:tc>
        <w:tc>
          <w:tcPr>
            <w:tcW w:w="3222" w:type="dxa"/>
            <w:vAlign w:val="center"/>
          </w:tcPr>
          <w:p w14:paraId="3CE47ACE" w14:textId="1C596E27" w:rsidR="00492DAC" w:rsidRPr="00492DAC" w:rsidRDefault="00492DAC" w:rsidP="00077E7A">
            <w:pPr>
              <w:jc w:val="both"/>
              <w:rPr>
                <w:rFonts w:cstheme="minorHAnsi"/>
                <w:sz w:val="16"/>
                <w:szCs w:val="16"/>
                <w:lang w:val="en-GB" w:eastAsia="en-GB"/>
              </w:rPr>
            </w:pPr>
            <w:r w:rsidRPr="00492DAC">
              <w:rPr>
                <w:sz w:val="16"/>
                <w:szCs w:val="16"/>
              </w:rPr>
              <w:t>SPZs incorporated into spatial plans, though updates can be slow in some municipalities</w:t>
            </w:r>
          </w:p>
        </w:tc>
        <w:tc>
          <w:tcPr>
            <w:tcW w:w="3424" w:type="dxa"/>
            <w:vAlign w:val="center"/>
          </w:tcPr>
          <w:p w14:paraId="2448055B" w14:textId="5F57DD53" w:rsidR="00492DAC" w:rsidRPr="00492DAC" w:rsidRDefault="00492DAC" w:rsidP="00077E7A">
            <w:pPr>
              <w:jc w:val="both"/>
              <w:rPr>
                <w:rFonts w:cstheme="minorHAnsi"/>
                <w:sz w:val="16"/>
                <w:szCs w:val="16"/>
                <w:lang w:val="en-GB" w:eastAsia="en-GB"/>
              </w:rPr>
            </w:pPr>
            <w:r w:rsidRPr="00492DAC">
              <w:rPr>
                <w:sz w:val="16"/>
                <w:szCs w:val="16"/>
              </w:rPr>
              <w:t>Integration varies widely; some SPZs not mapped in spatial plans; land</w:t>
            </w:r>
            <w:r w:rsidRPr="00492DAC">
              <w:rPr>
                <w:sz w:val="16"/>
                <w:szCs w:val="16"/>
              </w:rPr>
              <w:noBreakHyphen/>
              <w:t>use rules not systematically enforced</w:t>
            </w:r>
          </w:p>
        </w:tc>
      </w:tr>
      <w:tr w:rsidR="00492DAC" w:rsidRPr="00492DAC" w14:paraId="52AB2897" w14:textId="77777777" w:rsidTr="00CD78CD">
        <w:tc>
          <w:tcPr>
            <w:tcW w:w="2226" w:type="dxa"/>
            <w:vAlign w:val="center"/>
          </w:tcPr>
          <w:p w14:paraId="44D24978" w14:textId="6894B2B8" w:rsidR="00492DAC" w:rsidRPr="00492DAC" w:rsidRDefault="00492DAC" w:rsidP="00077E7A">
            <w:pPr>
              <w:jc w:val="both"/>
              <w:rPr>
                <w:rFonts w:cstheme="minorHAnsi"/>
                <w:sz w:val="16"/>
                <w:szCs w:val="16"/>
                <w:lang w:val="en-GB" w:eastAsia="en-GB"/>
              </w:rPr>
            </w:pPr>
            <w:r w:rsidRPr="00492DAC">
              <w:rPr>
                <w:rStyle w:val="Strong"/>
                <w:sz w:val="16"/>
                <w:szCs w:val="16"/>
              </w:rPr>
              <w:t>Economic instruments &amp; cost recovery</w:t>
            </w:r>
          </w:p>
        </w:tc>
        <w:tc>
          <w:tcPr>
            <w:tcW w:w="3222" w:type="dxa"/>
            <w:vAlign w:val="center"/>
          </w:tcPr>
          <w:p w14:paraId="52595ABB" w14:textId="2F1920CA" w:rsidR="00492DAC" w:rsidRPr="00492DAC" w:rsidRDefault="00492DAC" w:rsidP="00077E7A">
            <w:pPr>
              <w:jc w:val="both"/>
              <w:rPr>
                <w:rFonts w:cstheme="minorHAnsi"/>
                <w:sz w:val="16"/>
                <w:szCs w:val="16"/>
                <w:lang w:val="en-GB" w:eastAsia="en-GB"/>
              </w:rPr>
            </w:pPr>
            <w:r w:rsidRPr="00492DAC">
              <w:rPr>
                <w:sz w:val="16"/>
                <w:szCs w:val="16"/>
              </w:rPr>
              <w:t>Cost recovery embedded in legislation; water tariffs regulated; alignment with EU principles</w:t>
            </w:r>
            <w:r w:rsidRPr="00492DAC">
              <w:rPr>
                <w:rFonts w:cstheme="minorHAnsi"/>
                <w:sz w:val="16"/>
                <w:szCs w:val="16"/>
                <w:lang w:val="en-GB" w:eastAsia="en-GB"/>
              </w:rPr>
              <w:t xml:space="preserve"> </w:t>
            </w:r>
          </w:p>
        </w:tc>
        <w:tc>
          <w:tcPr>
            <w:tcW w:w="3424" w:type="dxa"/>
            <w:vAlign w:val="center"/>
          </w:tcPr>
          <w:p w14:paraId="48FAA57B" w14:textId="48D2A4D3" w:rsidR="00492DAC" w:rsidRPr="00492DAC" w:rsidRDefault="00492DAC" w:rsidP="00077E7A">
            <w:pPr>
              <w:jc w:val="both"/>
              <w:rPr>
                <w:rFonts w:cstheme="minorHAnsi"/>
                <w:sz w:val="16"/>
                <w:szCs w:val="16"/>
                <w:lang w:val="en-GB" w:eastAsia="en-GB"/>
              </w:rPr>
            </w:pPr>
            <w:r w:rsidRPr="00492DAC">
              <w:rPr>
                <w:sz w:val="16"/>
                <w:szCs w:val="16"/>
              </w:rPr>
              <w:t>Cost</w:t>
            </w:r>
            <w:r w:rsidRPr="00492DAC">
              <w:rPr>
                <w:sz w:val="16"/>
                <w:szCs w:val="16"/>
              </w:rPr>
              <w:noBreakHyphen/>
              <w:t>recovery incomplete; financial resources limited; dependence on donor funding for infrastructure</w:t>
            </w:r>
          </w:p>
        </w:tc>
      </w:tr>
      <w:tr w:rsidR="00492DAC" w:rsidRPr="00492DAC" w14:paraId="58EB8D34" w14:textId="77777777" w:rsidTr="00CD78CD">
        <w:tc>
          <w:tcPr>
            <w:tcW w:w="2226" w:type="dxa"/>
            <w:vAlign w:val="center"/>
          </w:tcPr>
          <w:p w14:paraId="0B40F895" w14:textId="32AEAD12" w:rsidR="00492DAC" w:rsidRPr="00492DAC" w:rsidRDefault="00492DAC" w:rsidP="00077E7A">
            <w:pPr>
              <w:jc w:val="both"/>
              <w:rPr>
                <w:rFonts w:cstheme="minorHAnsi"/>
                <w:sz w:val="16"/>
                <w:szCs w:val="16"/>
                <w:lang w:val="en-GB" w:eastAsia="en-GB"/>
              </w:rPr>
            </w:pPr>
            <w:r w:rsidRPr="00492DAC">
              <w:rPr>
                <w:rStyle w:val="Strong"/>
                <w:sz w:val="16"/>
                <w:szCs w:val="16"/>
              </w:rPr>
              <w:t>Groundwater</w:t>
            </w:r>
            <w:r w:rsidRPr="00492DAC">
              <w:rPr>
                <w:rStyle w:val="Strong"/>
                <w:sz w:val="16"/>
                <w:szCs w:val="16"/>
              </w:rPr>
              <w:noBreakHyphen/>
              <w:t>dependent ecosystems</w:t>
            </w:r>
          </w:p>
        </w:tc>
        <w:tc>
          <w:tcPr>
            <w:tcW w:w="3222" w:type="dxa"/>
            <w:vAlign w:val="center"/>
          </w:tcPr>
          <w:p w14:paraId="00893D65" w14:textId="2E140A47" w:rsidR="00492DAC" w:rsidRPr="00492DAC" w:rsidRDefault="00492DAC" w:rsidP="00077E7A">
            <w:pPr>
              <w:jc w:val="both"/>
              <w:rPr>
                <w:rFonts w:cstheme="minorHAnsi"/>
                <w:sz w:val="16"/>
                <w:szCs w:val="16"/>
                <w:lang w:val="en-GB" w:eastAsia="en-GB"/>
              </w:rPr>
            </w:pPr>
            <w:r w:rsidRPr="00492DAC">
              <w:rPr>
                <w:sz w:val="16"/>
                <w:szCs w:val="16"/>
              </w:rPr>
              <w:t>Explicitly addressed in RBMPs and water</w:t>
            </w:r>
            <w:r w:rsidRPr="00492DAC">
              <w:rPr>
                <w:sz w:val="16"/>
                <w:szCs w:val="16"/>
              </w:rPr>
              <w:noBreakHyphen/>
              <w:t>quality standards; linked to WFD requirements</w:t>
            </w:r>
          </w:p>
        </w:tc>
        <w:tc>
          <w:tcPr>
            <w:tcW w:w="3424" w:type="dxa"/>
            <w:vAlign w:val="center"/>
          </w:tcPr>
          <w:p w14:paraId="2C050DB4" w14:textId="21F6C5E3" w:rsidR="00492DAC" w:rsidRPr="00492DAC" w:rsidRDefault="00492DAC" w:rsidP="00077E7A">
            <w:pPr>
              <w:jc w:val="both"/>
              <w:rPr>
                <w:rFonts w:cstheme="minorHAnsi"/>
                <w:sz w:val="16"/>
                <w:szCs w:val="16"/>
                <w:lang w:val="en-GB" w:eastAsia="en-GB"/>
              </w:rPr>
            </w:pPr>
            <w:r w:rsidRPr="00492DAC">
              <w:rPr>
                <w:sz w:val="16"/>
                <w:szCs w:val="16"/>
              </w:rPr>
              <w:t>Recognized at policy level; limited operationalization; no systematic GDE monitoring</w:t>
            </w:r>
          </w:p>
        </w:tc>
      </w:tr>
      <w:tr w:rsidR="00492DAC" w:rsidRPr="00492DAC" w14:paraId="727DC3CE" w14:textId="77777777" w:rsidTr="00CD78CD">
        <w:tc>
          <w:tcPr>
            <w:tcW w:w="0" w:type="auto"/>
            <w:vAlign w:val="center"/>
          </w:tcPr>
          <w:p w14:paraId="5F94EEED" w14:textId="2FFC92B6" w:rsidR="00492DAC" w:rsidRPr="00492DAC" w:rsidRDefault="00492DAC" w:rsidP="00077E7A">
            <w:pPr>
              <w:jc w:val="both"/>
              <w:rPr>
                <w:b/>
                <w:bCs/>
                <w:sz w:val="16"/>
                <w:szCs w:val="16"/>
              </w:rPr>
            </w:pPr>
            <w:r w:rsidRPr="00492DAC">
              <w:rPr>
                <w:rStyle w:val="Strong"/>
                <w:sz w:val="16"/>
                <w:szCs w:val="16"/>
              </w:rPr>
              <w:t>Remediation obligations</w:t>
            </w:r>
          </w:p>
        </w:tc>
        <w:tc>
          <w:tcPr>
            <w:tcW w:w="3222" w:type="dxa"/>
            <w:vAlign w:val="center"/>
          </w:tcPr>
          <w:p w14:paraId="6F9ED2F6" w14:textId="6286C904" w:rsidR="00492DAC" w:rsidRPr="00492DAC" w:rsidRDefault="00492DAC" w:rsidP="00077E7A">
            <w:pPr>
              <w:jc w:val="both"/>
              <w:rPr>
                <w:sz w:val="16"/>
                <w:szCs w:val="16"/>
              </w:rPr>
            </w:pPr>
            <w:r w:rsidRPr="00492DAC">
              <w:rPr>
                <w:sz w:val="16"/>
                <w:szCs w:val="16"/>
              </w:rPr>
              <w:t>Clear legal procedures under Water Act and environmental legislation</w:t>
            </w:r>
          </w:p>
        </w:tc>
        <w:tc>
          <w:tcPr>
            <w:tcW w:w="3424" w:type="dxa"/>
            <w:vAlign w:val="center"/>
          </w:tcPr>
          <w:p w14:paraId="3B10118B" w14:textId="131267D0" w:rsidR="00492DAC" w:rsidRPr="00492DAC" w:rsidRDefault="00492DAC" w:rsidP="00077E7A">
            <w:pPr>
              <w:jc w:val="both"/>
              <w:rPr>
                <w:sz w:val="16"/>
                <w:szCs w:val="16"/>
              </w:rPr>
            </w:pPr>
            <w:r w:rsidRPr="00492DAC">
              <w:rPr>
                <w:sz w:val="16"/>
                <w:szCs w:val="16"/>
              </w:rPr>
              <w:t>Procedures exist but vary by entity; responsibilities fragmented; implementation capacity limited</w:t>
            </w:r>
          </w:p>
        </w:tc>
      </w:tr>
    </w:tbl>
    <w:p w14:paraId="69716D91" w14:textId="77777777" w:rsidR="00077E7A" w:rsidRDefault="00077E7A" w:rsidP="00CD78CD">
      <w:pPr>
        <w:rPr>
          <w:lang w:val="en-GB"/>
        </w:rPr>
      </w:pPr>
    </w:p>
    <w:p w14:paraId="27D5DE5A" w14:textId="2C52C56F" w:rsidR="00CD78CD" w:rsidRPr="00376158" w:rsidRDefault="00CD78CD" w:rsidP="00CD78CD">
      <w:pPr>
        <w:pStyle w:val="Heading1"/>
        <w:rPr>
          <w:lang w:val="en-GB"/>
        </w:rPr>
      </w:pPr>
      <w:bookmarkStart w:id="14" w:name="_Toc225945265"/>
      <w:r w:rsidRPr="00376158">
        <w:rPr>
          <w:lang w:val="en-GB"/>
        </w:rPr>
        <w:lastRenderedPageBreak/>
        <w:t>6 Institutional responsibilities and enforcement capacity</w:t>
      </w:r>
      <w:bookmarkEnd w:id="14"/>
    </w:p>
    <w:p w14:paraId="3E62C9A5" w14:textId="18B1C5BA" w:rsidR="00CD78CD" w:rsidRDefault="00CD78CD" w:rsidP="00CD78CD">
      <w:pPr>
        <w:jc w:val="both"/>
        <w:rPr>
          <w:rFonts w:cstheme="minorHAnsi"/>
        </w:rPr>
      </w:pPr>
      <w:r w:rsidRPr="00CD78CD">
        <w:rPr>
          <w:rFonts w:cstheme="minorHAnsi"/>
          <w:lang w:val="en-GB"/>
        </w:rPr>
        <w:t>Institutional responsibilities for groundwater protection and sanitary protection zones (SPZs) in Croatia and Bosnia and Herzegovina are organised through distinct administrative structures. These differences influence how regulatory obligations are implemented in practice, how inspections are carried out, and how effectively land</w:t>
      </w:r>
      <w:r w:rsidRPr="00CD78CD">
        <w:rPr>
          <w:rFonts w:ascii="Cambria Math" w:hAnsi="Cambria Math" w:cs="Cambria Math"/>
          <w:lang w:val="en-GB"/>
        </w:rPr>
        <w:t>‑</w:t>
      </w:r>
      <w:r w:rsidRPr="00CD78CD">
        <w:rPr>
          <w:rFonts w:cstheme="minorHAnsi"/>
          <w:lang w:val="en-GB"/>
        </w:rPr>
        <w:t>use controls and pollution</w:t>
      </w:r>
      <w:r w:rsidRPr="00CD78CD">
        <w:rPr>
          <w:rFonts w:ascii="Cambria Math" w:hAnsi="Cambria Math" w:cs="Cambria Math"/>
          <w:lang w:val="en-GB"/>
        </w:rPr>
        <w:t>‑</w:t>
      </w:r>
      <w:r w:rsidRPr="00CD78CD">
        <w:rPr>
          <w:rFonts w:cstheme="minorHAnsi"/>
          <w:lang w:val="en-GB"/>
        </w:rPr>
        <w:t>prevention measures are enforced in groundwater</w:t>
      </w:r>
      <w:r w:rsidRPr="00CD78CD">
        <w:rPr>
          <w:rFonts w:ascii="Cambria Math" w:hAnsi="Cambria Math" w:cs="Cambria Math"/>
          <w:lang w:val="en-GB"/>
        </w:rPr>
        <w:t>‑</w:t>
      </w:r>
      <w:r w:rsidRPr="00CD78CD">
        <w:rPr>
          <w:rFonts w:cstheme="minorHAnsi"/>
          <w:lang w:val="en-GB"/>
        </w:rPr>
        <w:t>sensitive karst environments.</w:t>
      </w:r>
      <w:r w:rsidRPr="00CD78CD">
        <w:rPr>
          <w:rFonts w:cstheme="minorHAnsi"/>
          <w:b/>
          <w:bCs/>
          <w:lang w:val="en-GB"/>
        </w:rPr>
        <w:t xml:space="preserve"> </w:t>
      </w:r>
      <w:r w:rsidRPr="00CD78CD">
        <w:rPr>
          <w:rFonts w:cstheme="minorHAnsi"/>
          <w:lang w:val="en-GB"/>
        </w:rPr>
        <w:t xml:space="preserve">Evidence from </w:t>
      </w:r>
      <w:r>
        <w:rPr>
          <w:rFonts w:cstheme="minorHAnsi"/>
          <w:lang w:val="en-GB"/>
        </w:rPr>
        <w:t>BGGDA for Neretva and Una TBA</w:t>
      </w:r>
      <w:r w:rsidRPr="00CD78CD">
        <w:rPr>
          <w:rFonts w:cstheme="minorHAnsi"/>
          <w:lang w:val="en-GB"/>
        </w:rPr>
        <w:t xml:space="preserve"> shows that Croatia applies a more centralised and EU</w:t>
      </w:r>
      <w:r w:rsidRPr="00CD78CD">
        <w:rPr>
          <w:rFonts w:ascii="Cambria Math" w:hAnsi="Cambria Math" w:cs="Cambria Math"/>
          <w:lang w:val="en-GB"/>
        </w:rPr>
        <w:t>‑</w:t>
      </w:r>
      <w:r w:rsidRPr="00CD78CD">
        <w:rPr>
          <w:rFonts w:cstheme="minorHAnsi"/>
          <w:lang w:val="en-GB"/>
        </w:rPr>
        <w:t>aligned system, while Bosnia and Herzegovina operates within a decentralised and multi</w:t>
      </w:r>
      <w:r w:rsidRPr="00CD78CD">
        <w:rPr>
          <w:rFonts w:ascii="Cambria Math" w:hAnsi="Cambria Math" w:cs="Cambria Math"/>
          <w:lang w:val="en-GB"/>
        </w:rPr>
        <w:t>‑</w:t>
      </w:r>
      <w:r w:rsidRPr="00CD78CD">
        <w:rPr>
          <w:rFonts w:cstheme="minorHAnsi"/>
          <w:lang w:val="en-GB"/>
        </w:rPr>
        <w:t>layered governance architecture, with implications for monitoring, permitting, coordination and enforcement outcomes.</w:t>
      </w:r>
    </w:p>
    <w:p w14:paraId="474C0A4D" w14:textId="77777777" w:rsidR="00FF5968" w:rsidRDefault="00FF5968" w:rsidP="00CD78CD">
      <w:pPr>
        <w:pStyle w:val="Heading2"/>
        <w:rPr>
          <w:lang w:val="en-GB"/>
        </w:rPr>
      </w:pPr>
    </w:p>
    <w:p w14:paraId="0422F66F" w14:textId="7471A822" w:rsidR="00CD78CD" w:rsidRPr="00CD78CD" w:rsidRDefault="00CD78CD" w:rsidP="00CD78CD">
      <w:pPr>
        <w:pStyle w:val="Heading2"/>
        <w:rPr>
          <w:lang w:val="en-GB"/>
        </w:rPr>
      </w:pPr>
      <w:bookmarkStart w:id="15" w:name="_Toc225945266"/>
      <w:r w:rsidRPr="00CD78CD">
        <w:rPr>
          <w:lang w:val="en-GB"/>
        </w:rPr>
        <w:t>6.1 Institutional responsibilities in Croatia</w:t>
      </w:r>
      <w:bookmarkEnd w:id="15"/>
    </w:p>
    <w:p w14:paraId="4C54A736" w14:textId="3F2881AA" w:rsidR="00CD78CD" w:rsidRPr="00CD78CD" w:rsidRDefault="00CD78CD" w:rsidP="00376158">
      <w:pPr>
        <w:jc w:val="both"/>
        <w:rPr>
          <w:b/>
          <w:lang w:val="en-GB"/>
        </w:rPr>
      </w:pPr>
      <w:r w:rsidRPr="00CD78CD">
        <w:rPr>
          <w:lang w:val="en-GB"/>
        </w:rPr>
        <w:t>In Croatia, groundwater governance is governed primarily through national</w:t>
      </w:r>
      <w:r w:rsidRPr="00CD78CD">
        <w:rPr>
          <w:rFonts w:ascii="Cambria Math" w:hAnsi="Cambria Math" w:cs="Cambria Math"/>
          <w:lang w:val="en-GB"/>
        </w:rPr>
        <w:t>‑</w:t>
      </w:r>
      <w:r w:rsidRPr="00CD78CD">
        <w:rPr>
          <w:lang w:val="en-GB"/>
        </w:rPr>
        <w:t>level ministries, a central water</w:t>
      </w:r>
      <w:r w:rsidRPr="00CD78CD">
        <w:rPr>
          <w:rFonts w:ascii="Cambria Math" w:hAnsi="Cambria Math" w:cs="Cambria Math"/>
          <w:lang w:val="en-GB"/>
        </w:rPr>
        <w:t>‑</w:t>
      </w:r>
      <w:r w:rsidRPr="00CD78CD">
        <w:rPr>
          <w:lang w:val="en-GB"/>
        </w:rPr>
        <w:t>management institution and clearly defined inspectorate functions. Strategic oversight lies with the Ministry of Environmental Protection and Green Transition, which is responsible for policy direction, EU alignment and coordination of River Basin Management Plans. Implementation responsibilities are held by Croatian Waters, a national agency charged with operational water</w:t>
      </w:r>
      <w:r w:rsidRPr="00CD78CD">
        <w:rPr>
          <w:rFonts w:ascii="Cambria Math" w:hAnsi="Cambria Math" w:cs="Cambria Math"/>
          <w:lang w:val="en-GB"/>
        </w:rPr>
        <w:t>‑</w:t>
      </w:r>
      <w:r w:rsidRPr="00CD78CD">
        <w:rPr>
          <w:lang w:val="en-GB"/>
        </w:rPr>
        <w:t>management tasks, preparation of SPZ documentation, monitoring oversight, water</w:t>
      </w:r>
      <w:r w:rsidRPr="00CD78CD">
        <w:rPr>
          <w:rFonts w:ascii="Cambria Math" w:hAnsi="Cambria Math" w:cs="Cambria Math"/>
          <w:lang w:val="en-GB"/>
        </w:rPr>
        <w:t>‑</w:t>
      </w:r>
      <w:r w:rsidRPr="00CD78CD">
        <w:rPr>
          <w:lang w:val="en-GB"/>
        </w:rPr>
        <w:t xml:space="preserve">rights permitting, and coordination with local authorities. </w:t>
      </w:r>
    </w:p>
    <w:p w14:paraId="669FA6DF" w14:textId="1003353F" w:rsidR="00CD78CD" w:rsidRPr="00CD78CD" w:rsidRDefault="00CD78CD" w:rsidP="00376158">
      <w:pPr>
        <w:jc w:val="both"/>
        <w:rPr>
          <w:b/>
          <w:lang w:val="en-GB"/>
        </w:rPr>
      </w:pPr>
      <w:r w:rsidRPr="00CD78CD">
        <w:rPr>
          <w:lang w:val="en-GB"/>
        </w:rPr>
        <w:t xml:space="preserve">Regulatory control in the field is exercised by the State Inspectorate, </w:t>
      </w:r>
      <w:proofErr w:type="gramStart"/>
      <w:r w:rsidRPr="00CD78CD">
        <w:rPr>
          <w:lang w:val="en-GB"/>
        </w:rPr>
        <w:t>whose</w:t>
      </w:r>
      <w:proofErr w:type="gramEnd"/>
      <w:r w:rsidRPr="00CD78CD">
        <w:rPr>
          <w:lang w:val="en-GB"/>
        </w:rPr>
        <w:t xml:space="preserve"> environmental and water</w:t>
      </w:r>
      <w:r w:rsidRPr="00CD78CD">
        <w:rPr>
          <w:rFonts w:ascii="Cambria Math" w:hAnsi="Cambria Math" w:cs="Cambria Math"/>
          <w:lang w:val="en-GB"/>
        </w:rPr>
        <w:t>‑</w:t>
      </w:r>
      <w:r w:rsidRPr="00CD78CD">
        <w:rPr>
          <w:lang w:val="en-GB"/>
        </w:rPr>
        <w:t>management inspectors supervise compliance with SPZ restrictions, wastewater</w:t>
      </w:r>
      <w:r w:rsidRPr="00CD78CD">
        <w:rPr>
          <w:rFonts w:ascii="Cambria Math" w:hAnsi="Cambria Math" w:cs="Cambria Math"/>
          <w:lang w:val="en-GB"/>
        </w:rPr>
        <w:t>‑</w:t>
      </w:r>
      <w:r w:rsidRPr="00CD78CD">
        <w:rPr>
          <w:lang w:val="en-GB"/>
        </w:rPr>
        <w:t>discharge permits, construction rules near water bodies and land</w:t>
      </w:r>
      <w:r w:rsidRPr="00CD78CD">
        <w:rPr>
          <w:rFonts w:ascii="Cambria Math" w:hAnsi="Cambria Math" w:cs="Cambria Math"/>
          <w:lang w:val="en-GB"/>
        </w:rPr>
        <w:t>‑</w:t>
      </w:r>
      <w:r w:rsidRPr="00CD78CD">
        <w:rPr>
          <w:lang w:val="en-GB"/>
        </w:rPr>
        <w:t>use decisions. Public health laboratories perform drinking</w:t>
      </w:r>
      <w:r w:rsidRPr="00CD78CD">
        <w:rPr>
          <w:rFonts w:ascii="Cambria Math" w:hAnsi="Cambria Math" w:cs="Cambria Math"/>
          <w:lang w:val="en-GB"/>
        </w:rPr>
        <w:t>‑</w:t>
      </w:r>
      <w:r w:rsidRPr="00CD78CD">
        <w:rPr>
          <w:lang w:val="en-GB"/>
        </w:rPr>
        <w:t>water monitoring according to the Drinking Water Directive and national drinking</w:t>
      </w:r>
      <w:r w:rsidRPr="00CD78CD">
        <w:rPr>
          <w:rFonts w:ascii="Cambria Math" w:hAnsi="Cambria Math" w:cs="Cambria Math"/>
          <w:lang w:val="en-GB"/>
        </w:rPr>
        <w:t>‑</w:t>
      </w:r>
      <w:r w:rsidRPr="00CD78CD">
        <w:rPr>
          <w:lang w:val="en-GB"/>
        </w:rPr>
        <w:t>water legislation, supporting early identification of water</w:t>
      </w:r>
      <w:r w:rsidRPr="00CD78CD">
        <w:rPr>
          <w:rFonts w:ascii="Cambria Math" w:hAnsi="Cambria Math" w:cs="Cambria Math"/>
          <w:lang w:val="en-GB"/>
        </w:rPr>
        <w:t>‑</w:t>
      </w:r>
      <w:r w:rsidRPr="00CD78CD">
        <w:rPr>
          <w:lang w:val="en-GB"/>
        </w:rPr>
        <w:t xml:space="preserve">quality risks around abstraction sites. Municipalities, although not lead actors in groundwater governance, play a role through spatial planning, integration of SPZs into municipal plans, local utility services and minor permitting functions related to small construction activities or local sanitation systems. </w:t>
      </w:r>
    </w:p>
    <w:p w14:paraId="2ACB2329" w14:textId="77CF9B07" w:rsidR="00CD78CD" w:rsidRPr="00077E7A" w:rsidRDefault="00CD78CD" w:rsidP="00077E7A">
      <w:pPr>
        <w:jc w:val="both"/>
        <w:rPr>
          <w:b/>
          <w:lang w:val="en-GB"/>
        </w:rPr>
      </w:pPr>
      <w:r w:rsidRPr="00CD78CD">
        <w:rPr>
          <w:lang w:val="en-GB"/>
        </w:rPr>
        <w:t>Although the Croatian system benefits from clearly defined mandates and a strong legislative framework aligned with the EU acquis, enforcement outcomes vary across regions. The BGGDA analyses note uneven local enforcement, particularly in municipalities with limited technical capacity or where updates to spatial</w:t>
      </w:r>
      <w:r w:rsidRPr="00CD78CD">
        <w:rPr>
          <w:rFonts w:ascii="Cambria Math" w:hAnsi="Cambria Math" w:cs="Cambria Math"/>
          <w:lang w:val="en-GB"/>
        </w:rPr>
        <w:t>‑</w:t>
      </w:r>
      <w:r w:rsidRPr="00CD78CD">
        <w:rPr>
          <w:lang w:val="en-GB"/>
        </w:rPr>
        <w:t>planning documents proceed slowly. This affects the extent to which SPZ restrictions are reflected in land</w:t>
      </w:r>
      <w:r w:rsidRPr="00CD78CD">
        <w:rPr>
          <w:rFonts w:ascii="Cambria Math" w:hAnsi="Cambria Math" w:cs="Cambria Math"/>
          <w:lang w:val="en-GB"/>
        </w:rPr>
        <w:t>‑</w:t>
      </w:r>
      <w:r w:rsidRPr="00CD78CD">
        <w:rPr>
          <w:lang w:val="en-GB"/>
        </w:rPr>
        <w:t xml:space="preserve">use decisions and in the supervision of activities that may pose risks to karst recharge areas. </w:t>
      </w:r>
    </w:p>
    <w:p w14:paraId="24E9D895" w14:textId="77777777" w:rsidR="00FF5968" w:rsidRDefault="00FF5968" w:rsidP="00CD78CD">
      <w:pPr>
        <w:pStyle w:val="Heading2"/>
        <w:rPr>
          <w:lang w:val="en-GB"/>
        </w:rPr>
      </w:pPr>
    </w:p>
    <w:p w14:paraId="242F448B" w14:textId="4B33FFD1" w:rsidR="00CD78CD" w:rsidRPr="00CD78CD" w:rsidRDefault="00CD78CD" w:rsidP="00CD78CD">
      <w:pPr>
        <w:pStyle w:val="Heading2"/>
        <w:rPr>
          <w:lang w:val="en-GB"/>
        </w:rPr>
      </w:pPr>
      <w:bookmarkStart w:id="16" w:name="_Toc225945267"/>
      <w:r w:rsidRPr="00CD78CD">
        <w:rPr>
          <w:lang w:val="en-GB"/>
        </w:rPr>
        <w:t>6.2 Institutional responsibilities in Bosnia and Herzegovina</w:t>
      </w:r>
      <w:bookmarkEnd w:id="16"/>
    </w:p>
    <w:p w14:paraId="44653E12" w14:textId="77777777" w:rsidR="00CD78CD" w:rsidRPr="00CD78CD" w:rsidRDefault="00CD78CD" w:rsidP="00B3506F">
      <w:pPr>
        <w:jc w:val="both"/>
        <w:rPr>
          <w:b/>
          <w:lang w:val="en-GB"/>
        </w:rPr>
      </w:pPr>
      <w:r w:rsidRPr="00CD78CD">
        <w:rPr>
          <w:lang w:val="en-GB"/>
        </w:rPr>
        <w:t>Institutional responsibilities in Bosnia and Herzegovina are more fragmented due to the country’s constitutional structure. State</w:t>
      </w:r>
      <w:r w:rsidRPr="00CD78CD">
        <w:rPr>
          <w:rFonts w:ascii="Cambria Math" w:hAnsi="Cambria Math" w:cs="Cambria Math"/>
          <w:lang w:val="en-GB"/>
        </w:rPr>
        <w:t>‑</w:t>
      </w:r>
      <w:r w:rsidRPr="00CD78CD">
        <w:rPr>
          <w:lang w:val="en-GB"/>
        </w:rPr>
        <w:t>level institutions, including the Ministry of Foreign Trade and Economic Relations (</w:t>
      </w:r>
      <w:proofErr w:type="spellStart"/>
      <w:r w:rsidRPr="00CD78CD">
        <w:rPr>
          <w:lang w:val="en-GB"/>
        </w:rPr>
        <w:t>MoFTER</w:t>
      </w:r>
      <w:proofErr w:type="spellEnd"/>
      <w:r w:rsidRPr="00CD78CD">
        <w:rPr>
          <w:lang w:val="en-GB"/>
        </w:rPr>
        <w:t xml:space="preserve">), provide coordination on international obligations and transboundary water issues, but do not have direct regulatory authority over groundwater management. Operational competencies lie with the two entities, the Federation of Bosnia and Herzegovina (FBiH) and </w:t>
      </w:r>
      <w:proofErr w:type="spellStart"/>
      <w:r w:rsidRPr="00CD78CD">
        <w:rPr>
          <w:lang w:val="en-GB"/>
        </w:rPr>
        <w:t>Republika</w:t>
      </w:r>
      <w:proofErr w:type="spellEnd"/>
      <w:r w:rsidRPr="00CD78CD">
        <w:rPr>
          <w:lang w:val="en-GB"/>
        </w:rPr>
        <w:t xml:space="preserve"> Srpska (RS), and with cantonal and municipal authorities in FBiH.</w:t>
      </w:r>
    </w:p>
    <w:p w14:paraId="26E49A4D" w14:textId="27F3C824" w:rsidR="00CD78CD" w:rsidRPr="00CD78CD" w:rsidRDefault="00CD78CD" w:rsidP="00B3506F">
      <w:pPr>
        <w:jc w:val="both"/>
        <w:rPr>
          <w:b/>
          <w:lang w:val="en-GB"/>
        </w:rPr>
      </w:pPr>
      <w:r w:rsidRPr="00CD78CD">
        <w:rPr>
          <w:lang w:val="en-GB"/>
        </w:rPr>
        <w:t>In FBiH, entity</w:t>
      </w:r>
      <w:r w:rsidRPr="00CD78CD">
        <w:rPr>
          <w:rFonts w:ascii="Cambria Math" w:hAnsi="Cambria Math" w:cs="Cambria Math"/>
          <w:lang w:val="en-GB"/>
        </w:rPr>
        <w:t>‑</w:t>
      </w:r>
      <w:r w:rsidRPr="00CD78CD">
        <w:rPr>
          <w:lang w:val="en-GB"/>
        </w:rPr>
        <w:t xml:space="preserve">level ministries and water agencies oversee groundwater governance, including the Adriatic Sea River Basin Agency (AVP Jadran) and the Sava River Basin Agency (AVP Sava). Cantonal </w:t>
      </w:r>
      <w:r w:rsidRPr="00CD78CD">
        <w:rPr>
          <w:lang w:val="en-GB"/>
        </w:rPr>
        <w:lastRenderedPageBreak/>
        <w:t xml:space="preserve">ministries </w:t>
      </w:r>
      <w:r w:rsidR="00077E7A" w:rsidRPr="00CD78CD">
        <w:rPr>
          <w:lang w:val="en-GB"/>
        </w:rPr>
        <w:t xml:space="preserve">carry </w:t>
      </w:r>
      <w:r w:rsidR="00077E7A">
        <w:rPr>
          <w:lang w:val="en-GB"/>
        </w:rPr>
        <w:t>responsibilities</w:t>
      </w:r>
      <w:r w:rsidRPr="00CD78CD">
        <w:rPr>
          <w:lang w:val="en-GB"/>
        </w:rPr>
        <w:t xml:space="preserve"> for </w:t>
      </w:r>
      <w:r w:rsidR="00CB37AC" w:rsidRPr="00CD78CD">
        <w:rPr>
          <w:lang w:val="en-GB"/>
        </w:rPr>
        <w:t xml:space="preserve">proclamation </w:t>
      </w:r>
      <w:r w:rsidR="00CB37AC">
        <w:rPr>
          <w:lang w:val="en-GB"/>
        </w:rPr>
        <w:t xml:space="preserve">of </w:t>
      </w:r>
      <w:r w:rsidRPr="00CD78CD">
        <w:rPr>
          <w:lang w:val="en-GB"/>
        </w:rPr>
        <w:t>SPZ</w:t>
      </w:r>
      <w:r w:rsidR="00077E7A">
        <w:rPr>
          <w:lang w:val="en-GB"/>
        </w:rPr>
        <w:t xml:space="preserve"> </w:t>
      </w:r>
      <w:r w:rsidR="00CB37AC">
        <w:rPr>
          <w:lang w:val="en-GB"/>
        </w:rPr>
        <w:t xml:space="preserve">if extended to two or more </w:t>
      </w:r>
      <w:r w:rsidR="00077E7A">
        <w:rPr>
          <w:lang w:val="en-GB"/>
        </w:rPr>
        <w:t>municipalities,</w:t>
      </w:r>
      <w:r w:rsidRPr="00CD78CD">
        <w:rPr>
          <w:lang w:val="en-GB"/>
        </w:rPr>
        <w:t xml:space="preserve"> spatial</w:t>
      </w:r>
      <w:r w:rsidRPr="00CD78CD">
        <w:rPr>
          <w:rFonts w:ascii="Cambria Math" w:hAnsi="Cambria Math" w:cs="Cambria Math"/>
          <w:lang w:val="en-GB"/>
        </w:rPr>
        <w:t>‑</w:t>
      </w:r>
      <w:r w:rsidRPr="00CD78CD">
        <w:rPr>
          <w:lang w:val="en-GB"/>
        </w:rPr>
        <w:t>planning decisions, water</w:t>
      </w:r>
      <w:r w:rsidRPr="00CD78CD">
        <w:rPr>
          <w:rFonts w:ascii="Cambria Math" w:hAnsi="Cambria Math" w:cs="Cambria Math"/>
          <w:lang w:val="en-GB"/>
        </w:rPr>
        <w:t>‑</w:t>
      </w:r>
      <w:r w:rsidRPr="00CD78CD">
        <w:rPr>
          <w:lang w:val="en-GB"/>
        </w:rPr>
        <w:t xml:space="preserve">resource protection and local enforcement. Municipalities implement </w:t>
      </w:r>
      <w:r w:rsidR="00CB37AC">
        <w:rPr>
          <w:lang w:val="en-GB"/>
        </w:rPr>
        <w:t xml:space="preserve">SPZ proclamation, </w:t>
      </w:r>
      <w:r w:rsidRPr="00CD78CD">
        <w:rPr>
          <w:lang w:val="en-GB"/>
        </w:rPr>
        <w:t>land</w:t>
      </w:r>
      <w:r w:rsidRPr="00CD78CD">
        <w:rPr>
          <w:rFonts w:ascii="Cambria Math" w:hAnsi="Cambria Math" w:cs="Cambria Math"/>
          <w:lang w:val="en-GB"/>
        </w:rPr>
        <w:t>‑</w:t>
      </w:r>
      <w:r w:rsidRPr="00CD78CD">
        <w:rPr>
          <w:lang w:val="en-GB"/>
        </w:rPr>
        <w:t xml:space="preserve">use decisions, manage local utility functions and oversee small sanitation systems. </w:t>
      </w:r>
    </w:p>
    <w:p w14:paraId="2B0055E3" w14:textId="21F6D632" w:rsidR="00CD78CD" w:rsidRPr="00CD78CD" w:rsidRDefault="00CD78CD" w:rsidP="00B3506F">
      <w:pPr>
        <w:jc w:val="both"/>
        <w:rPr>
          <w:b/>
          <w:lang w:val="en-GB"/>
        </w:rPr>
      </w:pPr>
      <w:r w:rsidRPr="00CD78CD">
        <w:rPr>
          <w:lang w:val="en-GB"/>
        </w:rPr>
        <w:t>In RS, competencies are more centralised. Groundwater protection fall</w:t>
      </w:r>
      <w:r w:rsidR="003C46B0">
        <w:rPr>
          <w:lang w:val="en-GB"/>
        </w:rPr>
        <w:t>s</w:t>
      </w:r>
      <w:r w:rsidRPr="00CD78CD">
        <w:rPr>
          <w:lang w:val="en-GB"/>
        </w:rPr>
        <w:t xml:space="preserve"> under the responsibility of the entity’s relevant ministry and </w:t>
      </w:r>
      <w:proofErr w:type="gramStart"/>
      <w:r w:rsidR="00077E7A">
        <w:rPr>
          <w:lang w:val="en-GB"/>
        </w:rPr>
        <w:t>Public</w:t>
      </w:r>
      <w:proofErr w:type="gramEnd"/>
      <w:r w:rsidR="00CB37AC">
        <w:rPr>
          <w:lang w:val="en-GB"/>
        </w:rPr>
        <w:t xml:space="preserve"> institution </w:t>
      </w:r>
      <w:r w:rsidRPr="00CD78CD">
        <w:rPr>
          <w:lang w:val="en-GB"/>
        </w:rPr>
        <w:t>Vode Srpske, which implements water</w:t>
      </w:r>
      <w:r w:rsidRPr="00CD78CD">
        <w:rPr>
          <w:rFonts w:ascii="Cambria Math" w:hAnsi="Cambria Math" w:cs="Cambria Math"/>
          <w:lang w:val="en-GB"/>
        </w:rPr>
        <w:t>‑</w:t>
      </w:r>
      <w:r w:rsidRPr="00CD78CD">
        <w:rPr>
          <w:lang w:val="en-GB"/>
        </w:rPr>
        <w:t>management measures, issues water acts and supervises water</w:t>
      </w:r>
      <w:r w:rsidRPr="00CD78CD">
        <w:rPr>
          <w:rFonts w:ascii="Cambria Math" w:hAnsi="Cambria Math" w:cs="Cambria Math"/>
          <w:lang w:val="en-GB"/>
        </w:rPr>
        <w:t>‑</w:t>
      </w:r>
      <w:r w:rsidRPr="00CD78CD">
        <w:rPr>
          <w:lang w:val="en-GB"/>
        </w:rPr>
        <w:t xml:space="preserve">related infrastructure. Municipalities </w:t>
      </w:r>
      <w:r w:rsidR="00CB37AC">
        <w:rPr>
          <w:lang w:val="en-GB"/>
        </w:rPr>
        <w:t xml:space="preserve">are responsible for </w:t>
      </w:r>
      <w:r w:rsidR="00CB37AC" w:rsidRPr="00CB37AC">
        <w:rPr>
          <w:lang w:val="en-GB"/>
        </w:rPr>
        <w:t xml:space="preserve">SPZ </w:t>
      </w:r>
      <w:r w:rsidR="00CB37AC">
        <w:rPr>
          <w:lang w:val="en-GB"/>
        </w:rPr>
        <w:t xml:space="preserve">proclamation </w:t>
      </w:r>
      <w:r w:rsidR="001B7410">
        <w:rPr>
          <w:lang w:val="en-GB"/>
        </w:rPr>
        <w:t>and</w:t>
      </w:r>
      <w:r w:rsidR="00CB37AC">
        <w:rPr>
          <w:lang w:val="en-GB"/>
        </w:rPr>
        <w:t xml:space="preserve"> </w:t>
      </w:r>
      <w:r w:rsidR="00CB37AC" w:rsidRPr="00CB37AC">
        <w:rPr>
          <w:lang w:val="en-GB"/>
        </w:rPr>
        <w:t>management</w:t>
      </w:r>
      <w:r w:rsidR="00CB37AC">
        <w:rPr>
          <w:lang w:val="en-GB"/>
        </w:rPr>
        <w:t>,</w:t>
      </w:r>
      <w:r w:rsidR="00CB37AC" w:rsidRPr="00CB37AC">
        <w:rPr>
          <w:lang w:val="en-GB"/>
        </w:rPr>
        <w:t xml:space="preserve"> </w:t>
      </w:r>
      <w:r w:rsidRPr="00CD78CD">
        <w:rPr>
          <w:lang w:val="en-GB"/>
        </w:rPr>
        <w:t xml:space="preserve">support implementation through spatial planning, utility services and compliance with locally relevant protection measures. </w:t>
      </w:r>
    </w:p>
    <w:p w14:paraId="1DE2E716" w14:textId="6CD93AE9" w:rsidR="00CD78CD" w:rsidRPr="00077E7A" w:rsidRDefault="00CD78CD" w:rsidP="00077E7A">
      <w:pPr>
        <w:jc w:val="both"/>
        <w:rPr>
          <w:b/>
          <w:lang w:val="en-GB"/>
        </w:rPr>
      </w:pPr>
      <w:r w:rsidRPr="00CD78CD">
        <w:rPr>
          <w:lang w:val="en-GB"/>
        </w:rPr>
        <w:t>The JAP for Una TBA highlights that drinking</w:t>
      </w:r>
      <w:r w:rsidRPr="00CD78CD">
        <w:rPr>
          <w:rFonts w:ascii="Cambria Math" w:hAnsi="Cambria Math" w:cs="Cambria Math"/>
          <w:lang w:val="en-GB"/>
        </w:rPr>
        <w:t>‑</w:t>
      </w:r>
      <w:r w:rsidRPr="00CD78CD">
        <w:rPr>
          <w:lang w:val="en-GB"/>
        </w:rPr>
        <w:t>water monitoring is regularly performed by public health institutes, but systematic groundwater monitoring for status assessment is implemented</w:t>
      </w:r>
      <w:r w:rsidR="00CB37AC">
        <w:rPr>
          <w:lang w:val="en-GB"/>
        </w:rPr>
        <w:t xml:space="preserve"> only in some parts of Sava river basin in FBIH.</w:t>
      </w:r>
      <w:r w:rsidRPr="00CD78CD">
        <w:rPr>
          <w:lang w:val="en-GB"/>
        </w:rPr>
        <w:t xml:space="preserve"> This contributes to uneven information availability and affects enforcement, especially in karst terrains. </w:t>
      </w:r>
    </w:p>
    <w:p w14:paraId="7552C870" w14:textId="77777777" w:rsidR="00FF5968" w:rsidRDefault="00FF5968" w:rsidP="00CD78CD">
      <w:pPr>
        <w:pStyle w:val="Heading2"/>
        <w:rPr>
          <w:lang w:val="en-GB"/>
        </w:rPr>
      </w:pPr>
    </w:p>
    <w:p w14:paraId="5CE8E713" w14:textId="3A2695EF" w:rsidR="00CD78CD" w:rsidRPr="00CD78CD" w:rsidRDefault="00CD78CD" w:rsidP="00CD78CD">
      <w:pPr>
        <w:pStyle w:val="Heading2"/>
        <w:rPr>
          <w:lang w:val="en-GB"/>
        </w:rPr>
      </w:pPr>
      <w:bookmarkStart w:id="17" w:name="_Toc225945268"/>
      <w:r w:rsidRPr="00CD78CD">
        <w:rPr>
          <w:lang w:val="en-GB"/>
        </w:rPr>
        <w:t>6.3 Enforcement capacity: comparative observations</w:t>
      </w:r>
      <w:bookmarkEnd w:id="17"/>
    </w:p>
    <w:p w14:paraId="6DF5B8DD" w14:textId="671A8A3B" w:rsidR="00CD78CD" w:rsidRPr="00CD78CD" w:rsidRDefault="00B92E6D" w:rsidP="00376158">
      <w:pPr>
        <w:jc w:val="both"/>
        <w:rPr>
          <w:b/>
          <w:lang w:val="en-GB"/>
        </w:rPr>
      </w:pPr>
      <w:r w:rsidRPr="00B92E6D">
        <w:rPr>
          <w:lang w:val="en-GB"/>
        </w:rPr>
        <w:t>Enforcement differences are one of the most visible institutional contrasts across the shared TBAs. In Croatia, enforcement is organised through a centralised inspectorate, which provides clear mandates and national</w:t>
      </w:r>
      <w:r w:rsidRPr="00B92E6D">
        <w:rPr>
          <w:rFonts w:ascii="Cambria Math" w:hAnsi="Cambria Math" w:cs="Cambria Math"/>
          <w:lang w:val="en-GB"/>
        </w:rPr>
        <w:t>‑</w:t>
      </w:r>
      <w:r w:rsidRPr="00B92E6D">
        <w:rPr>
          <w:lang w:val="en-GB"/>
        </w:rPr>
        <w:t>level coordination, even though implementation varies between local areas. Challenges remain in rural regions with limited capacity, particularly in supervising individual sanitation systems and ensuring that SPZ requirements are properly integrated into local spatial</w:t>
      </w:r>
      <w:r w:rsidRPr="00B92E6D">
        <w:rPr>
          <w:rFonts w:ascii="Cambria Math" w:hAnsi="Cambria Math" w:cs="Cambria Math"/>
          <w:lang w:val="en-GB"/>
        </w:rPr>
        <w:t>‑</w:t>
      </w:r>
      <w:r w:rsidRPr="00B92E6D">
        <w:rPr>
          <w:lang w:val="en-GB"/>
        </w:rPr>
        <w:t>planning documents.</w:t>
      </w:r>
    </w:p>
    <w:p w14:paraId="06C1E4E2" w14:textId="714C33F8" w:rsidR="00CD78CD" w:rsidRPr="00CD78CD" w:rsidRDefault="00CD78CD" w:rsidP="00376158">
      <w:pPr>
        <w:jc w:val="both"/>
        <w:rPr>
          <w:b/>
          <w:lang w:val="en-GB"/>
        </w:rPr>
      </w:pPr>
      <w:r w:rsidRPr="00CD78CD">
        <w:rPr>
          <w:lang w:val="en-GB"/>
        </w:rPr>
        <w:t xml:space="preserve">In Bosnia and Herzegovina, enforcement capacity is significantly more constrained. Inspectorates at entity, cantonal and municipal levels often lack sufficient staffing and equipment, and enforcement is described in the diagnostics as predominantly reactive rather than preventive. These constraints limit the practical effectiveness of SPZs even where they are formally proclaimed. </w:t>
      </w:r>
    </w:p>
    <w:p w14:paraId="346D6012" w14:textId="3AD256BA" w:rsidR="00B92E6D" w:rsidRPr="00077E7A" w:rsidRDefault="00CD78CD" w:rsidP="00077E7A">
      <w:pPr>
        <w:jc w:val="both"/>
        <w:rPr>
          <w:b/>
          <w:lang w:val="en-GB"/>
        </w:rPr>
      </w:pPr>
      <w:r w:rsidRPr="00CD78CD">
        <w:rPr>
          <w:lang w:val="en-GB"/>
        </w:rPr>
        <w:t xml:space="preserve">Where SPZs remain </w:t>
      </w:r>
      <w:r w:rsidR="004E2FA5">
        <w:rPr>
          <w:lang w:val="en-GB"/>
        </w:rPr>
        <w:t xml:space="preserve">not </w:t>
      </w:r>
      <w:r w:rsidR="00077E7A" w:rsidRPr="00CD78CD">
        <w:rPr>
          <w:lang w:val="en-GB"/>
        </w:rPr>
        <w:t>proclaim</w:t>
      </w:r>
      <w:r w:rsidR="004E2FA5">
        <w:rPr>
          <w:lang w:val="en-GB"/>
        </w:rPr>
        <w:t>ed</w:t>
      </w:r>
      <w:r w:rsidRPr="00CD78CD">
        <w:rPr>
          <w:lang w:val="en-GB"/>
        </w:rPr>
        <w:t xml:space="preserve"> or </w:t>
      </w:r>
      <w:r w:rsidR="00CB37AC">
        <w:rPr>
          <w:lang w:val="en-GB"/>
        </w:rPr>
        <w:t xml:space="preserve">not </w:t>
      </w:r>
      <w:r w:rsidRPr="00CD78CD">
        <w:rPr>
          <w:lang w:val="en-GB"/>
        </w:rPr>
        <w:t>integrated into spatial</w:t>
      </w:r>
      <w:r w:rsidRPr="00CD78CD">
        <w:rPr>
          <w:rFonts w:ascii="Cambria Math" w:hAnsi="Cambria Math" w:cs="Cambria Math"/>
          <w:lang w:val="en-GB"/>
        </w:rPr>
        <w:t>‑</w:t>
      </w:r>
      <w:r w:rsidRPr="00CD78CD">
        <w:rPr>
          <w:lang w:val="en-GB"/>
        </w:rPr>
        <w:t>planning documents, enforcement bodies have limited legal basis to impose restrictions on land</w:t>
      </w:r>
      <w:r w:rsidRPr="00CD78CD">
        <w:rPr>
          <w:rFonts w:ascii="Cambria Math" w:hAnsi="Cambria Math" w:cs="Cambria Math"/>
          <w:lang w:val="en-GB"/>
        </w:rPr>
        <w:t>‑</w:t>
      </w:r>
      <w:r w:rsidRPr="00CD78CD">
        <w:rPr>
          <w:lang w:val="en-GB"/>
        </w:rPr>
        <w:t xml:space="preserve">use or activities within recharge zones. The JAP for Una TBA similarly emphasises that enforcement gaps, variable institutional capacities and limited monitoring restrict the effectiveness of protection measures in sensitive karst areas. </w:t>
      </w:r>
    </w:p>
    <w:p w14:paraId="54352E20" w14:textId="77777777" w:rsidR="00FF5968" w:rsidRDefault="00FF5968" w:rsidP="00B92E6D">
      <w:pPr>
        <w:pStyle w:val="Heading2"/>
        <w:rPr>
          <w:lang w:val="en-GB"/>
        </w:rPr>
      </w:pPr>
    </w:p>
    <w:p w14:paraId="74B929B6" w14:textId="03E06FFF" w:rsidR="00CD78CD" w:rsidRPr="00B92E6D" w:rsidRDefault="00CD78CD" w:rsidP="00B92E6D">
      <w:pPr>
        <w:pStyle w:val="Heading2"/>
        <w:rPr>
          <w:lang w:val="en-GB"/>
        </w:rPr>
      </w:pPr>
      <w:bookmarkStart w:id="18" w:name="_Toc225945269"/>
      <w:r w:rsidRPr="00B92E6D">
        <w:rPr>
          <w:lang w:val="en-GB"/>
        </w:rPr>
        <w:t>6.4 Implications for transboundary implementation</w:t>
      </w:r>
      <w:bookmarkEnd w:id="18"/>
    </w:p>
    <w:p w14:paraId="7E821463" w14:textId="31CD24D0" w:rsidR="00CD78CD" w:rsidRPr="00CD78CD" w:rsidRDefault="00CD78CD" w:rsidP="00376158">
      <w:pPr>
        <w:jc w:val="both"/>
        <w:rPr>
          <w:b/>
          <w:lang w:val="en-GB"/>
        </w:rPr>
      </w:pPr>
      <w:r w:rsidRPr="00CD78CD">
        <w:rPr>
          <w:lang w:val="en-GB"/>
        </w:rPr>
        <w:t xml:space="preserve">For </w:t>
      </w:r>
      <w:r w:rsidR="00B92E6D">
        <w:rPr>
          <w:lang w:val="en-GB"/>
        </w:rPr>
        <w:t>transboundary</w:t>
      </w:r>
      <w:r w:rsidRPr="00CD78CD">
        <w:rPr>
          <w:lang w:val="en-GB"/>
        </w:rPr>
        <w:t xml:space="preserve"> karst aquifers, such as those underlying the Croatia</w:t>
      </w:r>
      <w:r w:rsidR="00B92E6D">
        <w:rPr>
          <w:lang w:val="en-GB"/>
        </w:rPr>
        <w:t xml:space="preserve"> - </w:t>
      </w:r>
      <w:r w:rsidRPr="00CD78CD">
        <w:rPr>
          <w:lang w:val="en-GB"/>
        </w:rPr>
        <w:t xml:space="preserve">Bosnia and Herzegovina border region, institutional and enforcement </w:t>
      </w:r>
      <w:r w:rsidR="00B92E6D">
        <w:rPr>
          <w:lang w:val="en-GB"/>
        </w:rPr>
        <w:t>differences</w:t>
      </w:r>
      <w:r w:rsidRPr="00CD78CD">
        <w:rPr>
          <w:lang w:val="en-GB"/>
        </w:rPr>
        <w:t xml:space="preserve"> have practical implications for joint implementation. Differences in mandate clarity, monitoring coverage, administrative capacity and SPZ</w:t>
      </w:r>
      <w:r w:rsidRPr="00CD78CD">
        <w:rPr>
          <w:rFonts w:ascii="Cambria Math" w:hAnsi="Cambria Math" w:cs="Cambria Math"/>
          <w:lang w:val="en-GB"/>
        </w:rPr>
        <w:t>‑</w:t>
      </w:r>
      <w:r w:rsidRPr="00CD78CD">
        <w:rPr>
          <w:lang w:val="en-GB"/>
        </w:rPr>
        <w:t>proclamation processes influence how consistently each country can apply groundwater</w:t>
      </w:r>
      <w:r w:rsidRPr="00CD78CD">
        <w:rPr>
          <w:rFonts w:ascii="Cambria Math" w:hAnsi="Cambria Math" w:cs="Cambria Math"/>
          <w:lang w:val="en-GB"/>
        </w:rPr>
        <w:t>‑</w:t>
      </w:r>
      <w:r w:rsidRPr="00CD78CD">
        <w:rPr>
          <w:lang w:val="en-GB"/>
        </w:rPr>
        <w:t>protection measures within shared recharge areas. This affects the predictability of protection outcomes.</w:t>
      </w:r>
    </w:p>
    <w:p w14:paraId="4220DE59" w14:textId="17376D13" w:rsidR="00336FA1" w:rsidRPr="00FF5968" w:rsidRDefault="00CD78CD" w:rsidP="00FF5968">
      <w:pPr>
        <w:jc w:val="both"/>
        <w:rPr>
          <w:rFonts w:cstheme="minorHAnsi"/>
        </w:rPr>
      </w:pPr>
      <w:r w:rsidRPr="00CD78CD">
        <w:rPr>
          <w:rFonts w:cstheme="minorHAnsi"/>
          <w:lang w:val="en-GB"/>
        </w:rPr>
        <w:t xml:space="preserve">Addressing these </w:t>
      </w:r>
      <w:r w:rsidR="00B92E6D">
        <w:rPr>
          <w:rFonts w:cstheme="minorHAnsi"/>
          <w:lang w:val="en-GB"/>
        </w:rPr>
        <w:t>differences</w:t>
      </w:r>
      <w:r w:rsidRPr="00CD78CD">
        <w:rPr>
          <w:rFonts w:cstheme="minorHAnsi"/>
          <w:lang w:val="en-GB"/>
        </w:rPr>
        <w:t xml:space="preserve"> will likely require a combination of joint technical protocols, harmonised approaches to SPZ implementation, and capacity</w:t>
      </w:r>
      <w:r w:rsidRPr="00CD78CD">
        <w:rPr>
          <w:rFonts w:ascii="Cambria Math" w:hAnsi="Cambria Math" w:cs="Cambria Math"/>
          <w:lang w:val="en-GB"/>
        </w:rPr>
        <w:t>‑</w:t>
      </w:r>
      <w:r w:rsidRPr="00CD78CD">
        <w:rPr>
          <w:rFonts w:cstheme="minorHAnsi"/>
          <w:lang w:val="en-GB"/>
        </w:rPr>
        <w:t>support measures, particularly on the Bosnia and Herzegovina side. These may include shared guidance on enforcement priorities, training for inspectorates, coordinated monitoring routines in transboundary zones and structured data</w:t>
      </w:r>
      <w:r w:rsidRPr="00CD78CD">
        <w:rPr>
          <w:rFonts w:ascii="Cambria Math" w:hAnsi="Cambria Math" w:cs="Cambria Math"/>
          <w:lang w:val="en-GB"/>
        </w:rPr>
        <w:t>‑</w:t>
      </w:r>
      <w:r w:rsidRPr="00CD78CD">
        <w:rPr>
          <w:rFonts w:cstheme="minorHAnsi"/>
          <w:lang w:val="en-GB"/>
        </w:rPr>
        <w:t xml:space="preserve">exchange </w:t>
      </w:r>
      <w:r w:rsidRPr="00CD78CD">
        <w:rPr>
          <w:rFonts w:cstheme="minorHAnsi"/>
          <w:lang w:val="en-GB"/>
        </w:rPr>
        <w:lastRenderedPageBreak/>
        <w:t>mechanisms. Strengthened institutional coordination would support more coherent implementation of protection measures and reinforce the effectiveness of SPZs for shared groundwater resources</w:t>
      </w:r>
      <w:r w:rsidR="00B92E6D">
        <w:rPr>
          <w:rFonts w:cstheme="minorHAnsi"/>
          <w:lang w:val="en-GB"/>
        </w:rPr>
        <w:t>.</w:t>
      </w:r>
    </w:p>
    <w:p w14:paraId="4105B837" w14:textId="6EB92E0E" w:rsidR="00B92E6D" w:rsidRPr="00336FA1" w:rsidRDefault="00336FA1" w:rsidP="00336FA1">
      <w:pPr>
        <w:pStyle w:val="Caption"/>
        <w:rPr>
          <w:rFonts w:ascii="Calibri" w:hAnsi="Calibri" w:cs="Calibri"/>
          <w:i w:val="0"/>
          <w:iCs w:val="0"/>
          <w:szCs w:val="20"/>
          <w:lang w:val="en-GB"/>
        </w:rPr>
      </w:pPr>
      <w:bookmarkStart w:id="19" w:name="_Toc225943508"/>
      <w:r w:rsidRPr="00336FA1">
        <w:rPr>
          <w:lang w:val="en-GB"/>
        </w:rPr>
        <w:t xml:space="preserve">Table </w:t>
      </w:r>
      <w:r w:rsidRPr="00336FA1">
        <w:rPr>
          <w:lang w:val="en-GB"/>
        </w:rPr>
        <w:fldChar w:fldCharType="begin"/>
      </w:r>
      <w:r w:rsidRPr="00336FA1">
        <w:rPr>
          <w:lang w:val="en-GB"/>
        </w:rPr>
        <w:instrText xml:space="preserve"> SEQ Table \* ARABIC </w:instrText>
      </w:r>
      <w:r w:rsidRPr="00336FA1">
        <w:rPr>
          <w:lang w:val="en-GB"/>
        </w:rPr>
        <w:fldChar w:fldCharType="separate"/>
      </w:r>
      <w:r>
        <w:rPr>
          <w:noProof/>
          <w:lang w:val="en-GB"/>
        </w:rPr>
        <w:t>3</w:t>
      </w:r>
      <w:r w:rsidRPr="00336FA1">
        <w:rPr>
          <w:lang w:val="en-GB"/>
        </w:rPr>
        <w:fldChar w:fldCharType="end"/>
      </w:r>
      <w:r w:rsidRPr="00336FA1">
        <w:rPr>
          <w:lang w:val="en-GB"/>
        </w:rPr>
        <w:t xml:space="preserve"> Key institutions and their roles in SPZ enforcement in Croatia and Bosnia and Herzegovina</w:t>
      </w:r>
      <w:bookmarkEnd w:id="19"/>
    </w:p>
    <w:tbl>
      <w:tblPr>
        <w:tblStyle w:val="Reetkatablice1"/>
        <w:tblW w:w="0" w:type="auto"/>
        <w:tblInd w:w="-23" w:type="dxa"/>
        <w:tblLook w:val="04A0" w:firstRow="1" w:lastRow="0" w:firstColumn="1" w:lastColumn="0" w:noHBand="0" w:noVBand="1"/>
      </w:tblPr>
      <w:tblGrid>
        <w:gridCol w:w="4465"/>
        <w:gridCol w:w="4466"/>
      </w:tblGrid>
      <w:tr w:rsidR="00B92E6D" w:rsidRPr="004A0D87" w14:paraId="76C70617" w14:textId="77777777" w:rsidTr="00B92E6D">
        <w:tc>
          <w:tcPr>
            <w:tcW w:w="4465" w:type="dxa"/>
            <w:shd w:val="clear" w:color="auto" w:fill="D9E2F3" w:themeFill="accent1" w:themeFillTint="33"/>
            <w:hideMark/>
          </w:tcPr>
          <w:p w14:paraId="23FC414A" w14:textId="77777777" w:rsidR="00B92E6D" w:rsidRPr="004A0D87" w:rsidRDefault="00B92E6D" w:rsidP="007815C0">
            <w:pPr>
              <w:jc w:val="center"/>
              <w:rPr>
                <w:rFonts w:cstheme="minorHAnsi"/>
                <w:b/>
                <w:bCs/>
                <w:sz w:val="16"/>
                <w:szCs w:val="16"/>
                <w:lang w:val="en-GB" w:eastAsia="en-GB"/>
              </w:rPr>
            </w:pPr>
            <w:r w:rsidRPr="004A0D87">
              <w:rPr>
                <w:rFonts w:cstheme="minorHAnsi"/>
                <w:b/>
                <w:bCs/>
                <w:sz w:val="16"/>
                <w:szCs w:val="16"/>
                <w:lang w:val="en-GB" w:eastAsia="en-GB"/>
              </w:rPr>
              <w:t>Croatia</w:t>
            </w:r>
          </w:p>
        </w:tc>
        <w:tc>
          <w:tcPr>
            <w:tcW w:w="4466" w:type="dxa"/>
            <w:shd w:val="clear" w:color="auto" w:fill="D9E2F3" w:themeFill="accent1" w:themeFillTint="33"/>
            <w:hideMark/>
          </w:tcPr>
          <w:p w14:paraId="1F61675C" w14:textId="77777777" w:rsidR="00B92E6D" w:rsidRPr="004A0D87" w:rsidRDefault="00B92E6D" w:rsidP="007815C0">
            <w:pPr>
              <w:jc w:val="center"/>
              <w:rPr>
                <w:rFonts w:cstheme="minorHAnsi"/>
                <w:b/>
                <w:bCs/>
                <w:sz w:val="16"/>
                <w:szCs w:val="16"/>
                <w:lang w:val="en-GB" w:eastAsia="en-GB"/>
              </w:rPr>
            </w:pPr>
            <w:r w:rsidRPr="004A0D87">
              <w:rPr>
                <w:rFonts w:cstheme="minorHAnsi"/>
                <w:b/>
                <w:bCs/>
                <w:sz w:val="16"/>
                <w:szCs w:val="16"/>
                <w:lang w:val="en-GB" w:eastAsia="en-GB"/>
              </w:rPr>
              <w:t>Bosnia and Herzegovina (FBiH / RS)</w:t>
            </w:r>
          </w:p>
        </w:tc>
      </w:tr>
      <w:tr w:rsidR="004A0D87" w:rsidRPr="004A0D87" w14:paraId="7D3E9F10" w14:textId="77777777" w:rsidTr="00B92E6D">
        <w:tc>
          <w:tcPr>
            <w:tcW w:w="4465" w:type="dxa"/>
            <w:vAlign w:val="center"/>
          </w:tcPr>
          <w:p w14:paraId="0CA8207A" w14:textId="3FED7B43" w:rsidR="004A0D87" w:rsidRPr="004A0D87" w:rsidRDefault="00CC5A8A" w:rsidP="004E2FA5">
            <w:pPr>
              <w:jc w:val="both"/>
              <w:rPr>
                <w:rFonts w:cstheme="minorHAnsi"/>
                <w:sz w:val="16"/>
                <w:szCs w:val="16"/>
              </w:rPr>
            </w:pPr>
            <w:r w:rsidRPr="00CC5A8A">
              <w:rPr>
                <w:rStyle w:val="Strong"/>
                <w:rFonts w:cstheme="minorHAnsi"/>
                <w:b w:val="0"/>
                <w:bCs w:val="0"/>
                <w:sz w:val="16"/>
                <w:szCs w:val="16"/>
              </w:rPr>
              <w:t xml:space="preserve">Ministry of Environmental Protection and Green Transition </w:t>
            </w:r>
            <w:r>
              <w:rPr>
                <w:rStyle w:val="Strong"/>
                <w:rFonts w:cstheme="minorHAnsi"/>
                <w:b w:val="0"/>
                <w:bCs w:val="0"/>
                <w:sz w:val="16"/>
                <w:szCs w:val="16"/>
              </w:rPr>
              <w:t>-</w:t>
            </w:r>
            <w:r w:rsidRPr="00CC5A8A">
              <w:rPr>
                <w:rStyle w:val="Strong"/>
                <w:rFonts w:cstheme="minorHAnsi"/>
                <w:b w:val="0"/>
                <w:bCs w:val="0"/>
                <w:sz w:val="16"/>
                <w:szCs w:val="16"/>
              </w:rPr>
              <w:t xml:space="preserve"> national water and environmental policy; oversight of RBMPs; strategic implementation of WFD/GWD; regulatory framework for SPZ governance</w:t>
            </w:r>
          </w:p>
        </w:tc>
        <w:tc>
          <w:tcPr>
            <w:tcW w:w="4466" w:type="dxa"/>
            <w:vAlign w:val="center"/>
          </w:tcPr>
          <w:p w14:paraId="77803A96" w14:textId="77777777" w:rsidR="004A0D87" w:rsidRDefault="00CC5A8A" w:rsidP="004E2FA5">
            <w:pPr>
              <w:jc w:val="both"/>
              <w:rPr>
                <w:rStyle w:val="Strong"/>
                <w:rFonts w:cstheme="minorHAnsi"/>
                <w:b w:val="0"/>
                <w:bCs w:val="0"/>
                <w:sz w:val="16"/>
                <w:szCs w:val="16"/>
              </w:rPr>
            </w:pPr>
            <w:r w:rsidRPr="00CC5A8A">
              <w:rPr>
                <w:rStyle w:val="Strong"/>
                <w:rFonts w:cstheme="minorHAnsi"/>
                <w:b w:val="0"/>
                <w:bCs w:val="0"/>
                <w:sz w:val="16"/>
                <w:szCs w:val="16"/>
              </w:rPr>
              <w:t xml:space="preserve">Entity ministries (FBiH: Federal Ministries responsible for environment and water; RS: Ministry of Agriculture, Forestry and Water Management) </w:t>
            </w:r>
            <w:r>
              <w:rPr>
                <w:rStyle w:val="Strong"/>
                <w:rFonts w:cstheme="minorHAnsi"/>
                <w:b w:val="0"/>
                <w:bCs w:val="0"/>
                <w:sz w:val="16"/>
                <w:szCs w:val="16"/>
              </w:rPr>
              <w:t>-</w:t>
            </w:r>
            <w:r w:rsidRPr="00CC5A8A">
              <w:rPr>
                <w:rStyle w:val="Strong"/>
                <w:rFonts w:cstheme="minorHAnsi"/>
                <w:b w:val="0"/>
                <w:bCs w:val="0"/>
                <w:sz w:val="16"/>
                <w:szCs w:val="16"/>
              </w:rPr>
              <w:t xml:space="preserve"> define water policy, adopt water</w:t>
            </w:r>
            <w:r w:rsidRPr="00CC5A8A">
              <w:rPr>
                <w:rStyle w:val="Strong"/>
                <w:rFonts w:ascii="Cambria Math" w:hAnsi="Cambria Math" w:cs="Cambria Math"/>
                <w:b w:val="0"/>
                <w:bCs w:val="0"/>
                <w:sz w:val="16"/>
                <w:szCs w:val="16"/>
              </w:rPr>
              <w:t>‑</w:t>
            </w:r>
            <w:r w:rsidRPr="00CC5A8A">
              <w:rPr>
                <w:rStyle w:val="Strong"/>
                <w:rFonts w:cstheme="minorHAnsi"/>
                <w:b w:val="0"/>
                <w:bCs w:val="0"/>
                <w:sz w:val="16"/>
                <w:szCs w:val="16"/>
              </w:rPr>
              <w:t>management regulations, approve SPZ</w:t>
            </w:r>
            <w:r w:rsidRPr="00CC5A8A">
              <w:rPr>
                <w:rStyle w:val="Strong"/>
                <w:rFonts w:ascii="Cambria Math" w:hAnsi="Cambria Math" w:cs="Cambria Math"/>
                <w:b w:val="0"/>
                <w:bCs w:val="0"/>
                <w:sz w:val="16"/>
                <w:szCs w:val="16"/>
              </w:rPr>
              <w:t>‑</w:t>
            </w:r>
            <w:r w:rsidRPr="00CC5A8A">
              <w:rPr>
                <w:rStyle w:val="Strong"/>
                <w:rFonts w:cstheme="minorHAnsi"/>
                <w:b w:val="0"/>
                <w:bCs w:val="0"/>
                <w:sz w:val="16"/>
                <w:szCs w:val="16"/>
              </w:rPr>
              <w:t>related acts, oversee RBMP implementation and environmental integration into planning processes</w:t>
            </w:r>
          </w:p>
          <w:p w14:paraId="28F294AE" w14:textId="712F00D9" w:rsidR="00F27B5F" w:rsidRPr="004E2FA5" w:rsidRDefault="00F27B5F" w:rsidP="004E2FA5">
            <w:pPr>
              <w:jc w:val="both"/>
              <w:rPr>
                <w:rFonts w:cstheme="minorHAnsi"/>
                <w:sz w:val="16"/>
                <w:szCs w:val="16"/>
              </w:rPr>
            </w:pPr>
            <w:r w:rsidRPr="004E2FA5">
              <w:rPr>
                <w:rFonts w:cstheme="minorHAnsi"/>
                <w:sz w:val="16"/>
                <w:szCs w:val="16"/>
              </w:rPr>
              <w:t>Cantonal ministries responsible for water -   define water l</w:t>
            </w:r>
            <w:r w:rsidRPr="004E2FA5">
              <w:rPr>
                <w:sz w:val="16"/>
                <w:szCs w:val="16"/>
              </w:rPr>
              <w:t xml:space="preserve">egislation and </w:t>
            </w:r>
            <w:r w:rsidR="001B7410" w:rsidRPr="004E2FA5">
              <w:rPr>
                <w:rFonts w:cstheme="minorHAnsi"/>
                <w:sz w:val="16"/>
                <w:szCs w:val="16"/>
              </w:rPr>
              <w:t xml:space="preserve">policy, </w:t>
            </w:r>
            <w:r w:rsidR="004E2FA5" w:rsidRPr="004E2FA5">
              <w:rPr>
                <w:rFonts w:cstheme="minorHAnsi"/>
                <w:sz w:val="16"/>
                <w:szCs w:val="16"/>
              </w:rPr>
              <w:t>permitting, maintenance</w:t>
            </w:r>
            <w:r w:rsidRPr="004E2FA5">
              <w:rPr>
                <w:rFonts w:cstheme="minorHAnsi"/>
                <w:sz w:val="16"/>
                <w:szCs w:val="16"/>
              </w:rPr>
              <w:t xml:space="preserve"> and oversight of infrastructure, responsible for II category of water streams, hydrological and water</w:t>
            </w:r>
            <w:r w:rsidRPr="004E2FA5">
              <w:rPr>
                <w:rFonts w:ascii="Cambria Math" w:hAnsi="Cambria Math" w:cs="Cambria Math"/>
                <w:sz w:val="16"/>
                <w:szCs w:val="16"/>
              </w:rPr>
              <w:t>‑</w:t>
            </w:r>
            <w:r w:rsidRPr="004E2FA5">
              <w:rPr>
                <w:rFonts w:cstheme="minorHAnsi"/>
                <w:sz w:val="16"/>
                <w:szCs w:val="16"/>
              </w:rPr>
              <w:t>quality data</w:t>
            </w:r>
          </w:p>
        </w:tc>
      </w:tr>
      <w:tr w:rsidR="004A0D87" w:rsidRPr="004A0D87" w14:paraId="1FA200B0" w14:textId="77777777" w:rsidTr="00B92E6D">
        <w:tc>
          <w:tcPr>
            <w:tcW w:w="4465" w:type="dxa"/>
            <w:vAlign w:val="center"/>
          </w:tcPr>
          <w:p w14:paraId="6C73E378" w14:textId="49323A2E" w:rsidR="004A0D87" w:rsidRPr="004A0D87" w:rsidRDefault="009013B2" w:rsidP="004E2FA5">
            <w:pPr>
              <w:jc w:val="both"/>
              <w:rPr>
                <w:rFonts w:cstheme="minorHAnsi"/>
                <w:sz w:val="16"/>
                <w:szCs w:val="16"/>
              </w:rPr>
            </w:pPr>
            <w:r w:rsidRPr="009013B2">
              <w:rPr>
                <w:rStyle w:val="Strong"/>
                <w:rFonts w:cstheme="minorHAnsi"/>
                <w:b w:val="0"/>
                <w:bCs w:val="0"/>
                <w:sz w:val="16"/>
                <w:szCs w:val="16"/>
              </w:rPr>
              <w:t>Croatian Waters (</w:t>
            </w:r>
            <w:proofErr w:type="spellStart"/>
            <w:r w:rsidRPr="009013B2">
              <w:rPr>
                <w:rStyle w:val="Strong"/>
                <w:rFonts w:cstheme="minorHAnsi"/>
                <w:b w:val="0"/>
                <w:bCs w:val="0"/>
                <w:sz w:val="16"/>
                <w:szCs w:val="16"/>
              </w:rPr>
              <w:t>Hrvatske</w:t>
            </w:r>
            <w:proofErr w:type="spellEnd"/>
            <w:r w:rsidRPr="009013B2">
              <w:rPr>
                <w:rStyle w:val="Strong"/>
                <w:rFonts w:cstheme="minorHAnsi"/>
                <w:b w:val="0"/>
                <w:bCs w:val="0"/>
                <w:sz w:val="16"/>
                <w:szCs w:val="16"/>
              </w:rPr>
              <w:t xml:space="preserve"> </w:t>
            </w:r>
            <w:proofErr w:type="spellStart"/>
            <w:r w:rsidRPr="009013B2">
              <w:rPr>
                <w:rStyle w:val="Strong"/>
                <w:rFonts w:cstheme="minorHAnsi"/>
                <w:b w:val="0"/>
                <w:bCs w:val="0"/>
                <w:sz w:val="16"/>
                <w:szCs w:val="16"/>
              </w:rPr>
              <w:t>vode</w:t>
            </w:r>
            <w:proofErr w:type="spellEnd"/>
            <w:r w:rsidRPr="009013B2">
              <w:rPr>
                <w:rStyle w:val="Strong"/>
                <w:rFonts w:cstheme="minorHAnsi"/>
                <w:b w:val="0"/>
                <w:bCs w:val="0"/>
                <w:sz w:val="16"/>
                <w:szCs w:val="16"/>
              </w:rPr>
              <w:t xml:space="preserve">) </w:t>
            </w:r>
            <w:r>
              <w:rPr>
                <w:rStyle w:val="Strong"/>
                <w:rFonts w:cstheme="minorHAnsi"/>
                <w:b w:val="0"/>
                <w:bCs w:val="0"/>
                <w:sz w:val="16"/>
                <w:szCs w:val="16"/>
              </w:rPr>
              <w:t>-</w:t>
            </w:r>
            <w:r w:rsidRPr="009013B2">
              <w:rPr>
                <w:rStyle w:val="Strong"/>
                <w:rFonts w:cstheme="minorHAnsi"/>
                <w:b w:val="0"/>
                <w:bCs w:val="0"/>
                <w:sz w:val="16"/>
                <w:szCs w:val="16"/>
              </w:rPr>
              <w:t xml:space="preserve"> prepares SPZ technical documentation; issues water</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rights acts; supervises water</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management infrastructure; coordinates monitoring; cooperates with municipalities on spatial</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planning integration</w:t>
            </w:r>
          </w:p>
        </w:tc>
        <w:tc>
          <w:tcPr>
            <w:tcW w:w="4466" w:type="dxa"/>
            <w:vAlign w:val="center"/>
          </w:tcPr>
          <w:p w14:paraId="723868FD" w14:textId="77777777" w:rsidR="004A0D87" w:rsidRDefault="009013B2" w:rsidP="004E2FA5">
            <w:pPr>
              <w:jc w:val="both"/>
              <w:rPr>
                <w:rStyle w:val="Strong"/>
                <w:rFonts w:cstheme="minorHAnsi"/>
                <w:b w:val="0"/>
                <w:bCs w:val="0"/>
                <w:sz w:val="16"/>
                <w:szCs w:val="16"/>
              </w:rPr>
            </w:pPr>
            <w:r w:rsidRPr="009013B2">
              <w:rPr>
                <w:rStyle w:val="Strong"/>
                <w:rFonts w:cstheme="minorHAnsi"/>
                <w:b w:val="0"/>
                <w:bCs w:val="0"/>
                <w:sz w:val="16"/>
                <w:szCs w:val="16"/>
              </w:rPr>
              <w:t>AVP Sava and AVP Jadran (FBiH), and Vode Srpske (RS) – operational water</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management agencies responsible for technical SPZ inputs, water</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management acts, maintenance and oversight of infrastructure, hydrological and water</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quality data, and coordination with line ministries and local governments</w:t>
            </w:r>
          </w:p>
          <w:p w14:paraId="34EA67EF" w14:textId="59DD6A60" w:rsidR="00F27B5F" w:rsidRPr="004A0D87" w:rsidRDefault="00F27B5F" w:rsidP="004E2FA5">
            <w:pPr>
              <w:jc w:val="both"/>
              <w:rPr>
                <w:rFonts w:cstheme="minorHAnsi"/>
                <w:sz w:val="16"/>
                <w:szCs w:val="16"/>
              </w:rPr>
            </w:pPr>
          </w:p>
        </w:tc>
      </w:tr>
      <w:tr w:rsidR="004A0D87" w:rsidRPr="004A0D87" w14:paraId="64B3D52B" w14:textId="77777777" w:rsidTr="00B92E6D">
        <w:tc>
          <w:tcPr>
            <w:tcW w:w="4465" w:type="dxa"/>
            <w:vAlign w:val="center"/>
          </w:tcPr>
          <w:p w14:paraId="34E83FF7" w14:textId="697EA84D" w:rsidR="004A0D87" w:rsidRPr="004A0D87" w:rsidRDefault="009013B2" w:rsidP="004E2FA5">
            <w:pPr>
              <w:jc w:val="both"/>
              <w:rPr>
                <w:rFonts w:cstheme="minorHAnsi"/>
                <w:sz w:val="16"/>
                <w:szCs w:val="16"/>
              </w:rPr>
            </w:pPr>
            <w:r w:rsidRPr="009013B2">
              <w:rPr>
                <w:rStyle w:val="Strong"/>
                <w:rFonts w:cstheme="minorHAnsi"/>
                <w:b w:val="0"/>
                <w:bCs w:val="0"/>
                <w:sz w:val="16"/>
                <w:szCs w:val="16"/>
              </w:rPr>
              <w:t xml:space="preserve">State Inspectorate </w:t>
            </w:r>
            <w:r>
              <w:rPr>
                <w:rStyle w:val="Strong"/>
                <w:rFonts w:cstheme="minorHAnsi"/>
                <w:b w:val="0"/>
                <w:bCs w:val="0"/>
                <w:sz w:val="16"/>
                <w:szCs w:val="16"/>
              </w:rPr>
              <w:t>-</w:t>
            </w:r>
            <w:r w:rsidRPr="009013B2">
              <w:rPr>
                <w:rStyle w:val="Strong"/>
                <w:rFonts w:cstheme="minorHAnsi"/>
                <w:b w:val="0"/>
                <w:bCs w:val="0"/>
                <w:sz w:val="16"/>
                <w:szCs w:val="16"/>
              </w:rPr>
              <w:t xml:space="preserve"> conducts water</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 xml:space="preserve"> and environmental</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inspection activities, enforces SPZ restrictions, supervises wastewater discharges, construction near water bodies and land</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use compliance</w:t>
            </w:r>
          </w:p>
        </w:tc>
        <w:tc>
          <w:tcPr>
            <w:tcW w:w="4466" w:type="dxa"/>
            <w:vAlign w:val="center"/>
          </w:tcPr>
          <w:p w14:paraId="4CEABF25" w14:textId="562AD4A1" w:rsidR="004A0D87" w:rsidRPr="004A0D87" w:rsidRDefault="009013B2" w:rsidP="004E2FA5">
            <w:pPr>
              <w:jc w:val="both"/>
              <w:rPr>
                <w:rFonts w:cstheme="minorHAnsi"/>
                <w:sz w:val="16"/>
                <w:szCs w:val="16"/>
              </w:rPr>
            </w:pPr>
            <w:r w:rsidRPr="009013B2">
              <w:rPr>
                <w:rStyle w:val="Strong"/>
                <w:rFonts w:cstheme="minorHAnsi"/>
                <w:b w:val="0"/>
                <w:bCs w:val="0"/>
                <w:sz w:val="16"/>
                <w:szCs w:val="16"/>
              </w:rPr>
              <w:t xml:space="preserve">Entity and cantonal inspectorates (FBiH) and the Republic Inspectorate (RS) </w:t>
            </w:r>
            <w:r>
              <w:rPr>
                <w:rStyle w:val="Strong"/>
                <w:rFonts w:cstheme="minorHAnsi"/>
                <w:b w:val="0"/>
                <w:bCs w:val="0"/>
                <w:sz w:val="16"/>
                <w:szCs w:val="16"/>
              </w:rPr>
              <w:t>-</w:t>
            </w:r>
            <w:r w:rsidRPr="009013B2">
              <w:rPr>
                <w:rStyle w:val="Strong"/>
                <w:rFonts w:cstheme="minorHAnsi"/>
                <w:b w:val="0"/>
                <w:bCs w:val="0"/>
                <w:sz w:val="16"/>
                <w:szCs w:val="16"/>
              </w:rPr>
              <w:t xml:space="preserve"> perform inspection of water</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protection measures, enforce SPZ</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related restrictions where formally proclaimed, supervise discharges and construction in sensitive recharge zones; capacities are limited and enforcement is predominantly reactive</w:t>
            </w:r>
          </w:p>
        </w:tc>
      </w:tr>
      <w:tr w:rsidR="00B92E6D" w:rsidRPr="004A0D87" w14:paraId="0DC07CF3" w14:textId="77777777" w:rsidTr="007815C0">
        <w:tc>
          <w:tcPr>
            <w:tcW w:w="4465" w:type="dxa"/>
            <w:vAlign w:val="center"/>
          </w:tcPr>
          <w:p w14:paraId="0EE11A9A" w14:textId="720A5536" w:rsidR="00B92E6D" w:rsidRPr="004A0D87" w:rsidRDefault="004A0D87" w:rsidP="004E2FA5">
            <w:pPr>
              <w:jc w:val="both"/>
              <w:rPr>
                <w:rFonts w:cstheme="minorHAnsi"/>
                <w:sz w:val="16"/>
                <w:szCs w:val="16"/>
              </w:rPr>
            </w:pPr>
            <w:r w:rsidRPr="004A0D87">
              <w:rPr>
                <w:rStyle w:val="Strong"/>
                <w:rFonts w:cstheme="minorHAnsi"/>
                <w:b w:val="0"/>
                <w:bCs w:val="0"/>
                <w:sz w:val="16"/>
                <w:szCs w:val="16"/>
              </w:rPr>
              <w:t xml:space="preserve">Public health institutes and accredited laboratories </w:t>
            </w:r>
            <w:r w:rsidR="009013B2">
              <w:rPr>
                <w:rStyle w:val="Strong"/>
                <w:rFonts w:cstheme="minorHAnsi"/>
                <w:b w:val="0"/>
                <w:bCs w:val="0"/>
                <w:sz w:val="16"/>
                <w:szCs w:val="16"/>
              </w:rPr>
              <w:t>-</w:t>
            </w:r>
            <w:r w:rsidRPr="004A0D87">
              <w:rPr>
                <w:rStyle w:val="Strong"/>
                <w:rFonts w:cstheme="minorHAnsi"/>
                <w:b w:val="0"/>
                <w:bCs w:val="0"/>
                <w:sz w:val="16"/>
                <w:szCs w:val="16"/>
              </w:rPr>
              <w:t xml:space="preserve"> monitor drinking</w:t>
            </w:r>
            <w:r w:rsidRPr="004A0D87">
              <w:rPr>
                <w:rStyle w:val="Strong"/>
                <w:rFonts w:ascii="Cambria Math" w:hAnsi="Cambria Math" w:cs="Cambria Math"/>
                <w:b w:val="0"/>
                <w:bCs w:val="0"/>
                <w:sz w:val="16"/>
                <w:szCs w:val="16"/>
              </w:rPr>
              <w:t>‑</w:t>
            </w:r>
            <w:r w:rsidRPr="004A0D87">
              <w:rPr>
                <w:rStyle w:val="Strong"/>
                <w:rFonts w:cstheme="minorHAnsi"/>
                <w:b w:val="0"/>
                <w:bCs w:val="0"/>
                <w:sz w:val="16"/>
                <w:szCs w:val="16"/>
              </w:rPr>
              <w:t>water quality at public</w:t>
            </w:r>
            <w:r w:rsidRPr="004A0D87">
              <w:rPr>
                <w:rStyle w:val="Strong"/>
                <w:rFonts w:ascii="Cambria Math" w:hAnsi="Cambria Math" w:cs="Cambria Math"/>
                <w:b w:val="0"/>
                <w:bCs w:val="0"/>
                <w:sz w:val="16"/>
                <w:szCs w:val="16"/>
              </w:rPr>
              <w:t>‑</w:t>
            </w:r>
            <w:r w:rsidRPr="004A0D87">
              <w:rPr>
                <w:rStyle w:val="Strong"/>
                <w:rFonts w:cstheme="minorHAnsi"/>
                <w:b w:val="0"/>
                <w:bCs w:val="0"/>
                <w:sz w:val="16"/>
                <w:szCs w:val="16"/>
              </w:rPr>
              <w:t>supply springs, provide analytical data for identifying microbiological and chemical risks, and support risk assessment processes relevant for managing SPZs</w:t>
            </w:r>
          </w:p>
        </w:tc>
        <w:tc>
          <w:tcPr>
            <w:tcW w:w="4466" w:type="dxa"/>
            <w:vAlign w:val="center"/>
          </w:tcPr>
          <w:p w14:paraId="6CC647E1" w14:textId="7A42AF8C" w:rsidR="00B92E6D" w:rsidRPr="004A0D87" w:rsidRDefault="009013B2" w:rsidP="004E2FA5">
            <w:pPr>
              <w:jc w:val="both"/>
              <w:rPr>
                <w:rFonts w:cstheme="minorHAnsi"/>
                <w:sz w:val="16"/>
                <w:szCs w:val="16"/>
              </w:rPr>
            </w:pPr>
            <w:r w:rsidRPr="009013B2">
              <w:rPr>
                <w:rStyle w:val="Strong"/>
                <w:rFonts w:cstheme="minorHAnsi"/>
                <w:b w:val="0"/>
                <w:bCs w:val="0"/>
                <w:sz w:val="16"/>
                <w:szCs w:val="16"/>
              </w:rPr>
              <w:t xml:space="preserve">Public health institutes and accredited laboratories (FBiH and RS) </w:t>
            </w:r>
            <w:r>
              <w:rPr>
                <w:rStyle w:val="Strong"/>
                <w:rFonts w:cstheme="minorHAnsi"/>
                <w:b w:val="0"/>
                <w:bCs w:val="0"/>
                <w:sz w:val="16"/>
                <w:szCs w:val="16"/>
              </w:rPr>
              <w:t>-</w:t>
            </w:r>
            <w:r w:rsidRPr="009013B2">
              <w:rPr>
                <w:rStyle w:val="Strong"/>
                <w:rFonts w:cstheme="minorHAnsi"/>
                <w:b w:val="0"/>
                <w:bCs w:val="0"/>
                <w:sz w:val="16"/>
                <w:szCs w:val="16"/>
              </w:rPr>
              <w:t xml:space="preserve"> monitor drinking</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water quality at public</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supply springs, conduct mandatory microbiological and chemical analyses under entity drinking</w:t>
            </w:r>
            <w:r w:rsidRPr="009013B2">
              <w:rPr>
                <w:rStyle w:val="Strong"/>
                <w:rFonts w:ascii="Cambria Math" w:hAnsi="Cambria Math" w:cs="Cambria Math"/>
                <w:b w:val="0"/>
                <w:bCs w:val="0"/>
                <w:sz w:val="16"/>
                <w:szCs w:val="16"/>
              </w:rPr>
              <w:t>‑</w:t>
            </w:r>
            <w:r w:rsidRPr="009013B2">
              <w:rPr>
                <w:rStyle w:val="Strong"/>
                <w:rFonts w:cstheme="minorHAnsi"/>
                <w:b w:val="0"/>
                <w:bCs w:val="0"/>
                <w:sz w:val="16"/>
                <w:szCs w:val="16"/>
              </w:rPr>
              <w:t>water regulations, and provide data used in assessing risks relevant for SPZ management</w:t>
            </w:r>
          </w:p>
        </w:tc>
      </w:tr>
      <w:tr w:rsidR="004A0D87" w:rsidRPr="004A0D87" w14:paraId="2ED72F23" w14:textId="77777777" w:rsidTr="00B92E6D">
        <w:tc>
          <w:tcPr>
            <w:tcW w:w="4465" w:type="dxa"/>
            <w:vAlign w:val="center"/>
          </w:tcPr>
          <w:p w14:paraId="337811B7" w14:textId="1DAFD190" w:rsidR="004A0D87" w:rsidRPr="004A0D87" w:rsidRDefault="00CC5A8A" w:rsidP="004E2FA5">
            <w:pPr>
              <w:jc w:val="both"/>
              <w:rPr>
                <w:rFonts w:cstheme="minorHAnsi"/>
                <w:sz w:val="16"/>
                <w:szCs w:val="16"/>
                <w:lang w:val="en-GB" w:eastAsia="en-GB"/>
              </w:rPr>
            </w:pPr>
            <w:r w:rsidRPr="00CC5A8A">
              <w:rPr>
                <w:rStyle w:val="Strong"/>
                <w:rFonts w:cstheme="minorHAnsi"/>
                <w:b w:val="0"/>
                <w:bCs w:val="0"/>
                <w:sz w:val="16"/>
                <w:szCs w:val="16"/>
              </w:rPr>
              <w:t xml:space="preserve">Municipalities </w:t>
            </w:r>
            <w:r>
              <w:rPr>
                <w:rStyle w:val="Strong"/>
                <w:rFonts w:cstheme="minorHAnsi"/>
                <w:b w:val="0"/>
                <w:bCs w:val="0"/>
                <w:sz w:val="16"/>
                <w:szCs w:val="16"/>
              </w:rPr>
              <w:t>-</w:t>
            </w:r>
            <w:r w:rsidRPr="00CC5A8A">
              <w:rPr>
                <w:rStyle w:val="Strong"/>
                <w:rFonts w:cstheme="minorHAnsi"/>
                <w:b w:val="0"/>
                <w:bCs w:val="0"/>
                <w:sz w:val="16"/>
                <w:szCs w:val="16"/>
              </w:rPr>
              <w:t xml:space="preserve"> incorporate SPZ boundaries into local spatial plans; implement land</w:t>
            </w:r>
            <w:r w:rsidRPr="00CC5A8A">
              <w:rPr>
                <w:rStyle w:val="Strong"/>
                <w:rFonts w:ascii="Cambria Math" w:hAnsi="Cambria Math" w:cs="Cambria Math"/>
                <w:b w:val="0"/>
                <w:bCs w:val="0"/>
                <w:sz w:val="16"/>
                <w:szCs w:val="16"/>
              </w:rPr>
              <w:t>‑</w:t>
            </w:r>
            <w:r w:rsidRPr="00CC5A8A">
              <w:rPr>
                <w:rStyle w:val="Strong"/>
                <w:rFonts w:cstheme="minorHAnsi"/>
                <w:b w:val="0"/>
                <w:bCs w:val="0"/>
                <w:sz w:val="16"/>
                <w:szCs w:val="16"/>
              </w:rPr>
              <w:t>use decisions; manage local sanitation systems and municipal utilities; issue minor construction permits; support enforcement by cooperating with Croatian Waters and the State Inspectorat</w:t>
            </w:r>
            <w:r>
              <w:rPr>
                <w:rStyle w:val="Strong"/>
                <w:rFonts w:cstheme="minorHAnsi"/>
                <w:b w:val="0"/>
                <w:bCs w:val="0"/>
                <w:sz w:val="16"/>
                <w:szCs w:val="16"/>
              </w:rPr>
              <w:t>e</w:t>
            </w:r>
          </w:p>
        </w:tc>
        <w:tc>
          <w:tcPr>
            <w:tcW w:w="4466" w:type="dxa"/>
            <w:vAlign w:val="center"/>
          </w:tcPr>
          <w:p w14:paraId="204C6BFB" w14:textId="4A19C6E0" w:rsidR="004A0D87" w:rsidRPr="004A0D87" w:rsidRDefault="00CC5A8A" w:rsidP="004E2FA5">
            <w:pPr>
              <w:jc w:val="both"/>
              <w:rPr>
                <w:rFonts w:cstheme="minorHAnsi"/>
                <w:sz w:val="16"/>
                <w:szCs w:val="16"/>
                <w:lang w:val="en-GB" w:eastAsia="en-GB"/>
              </w:rPr>
            </w:pPr>
            <w:r w:rsidRPr="00CC5A8A">
              <w:rPr>
                <w:rStyle w:val="Strong"/>
                <w:rFonts w:cstheme="minorHAnsi"/>
                <w:b w:val="0"/>
                <w:bCs w:val="0"/>
                <w:sz w:val="16"/>
                <w:szCs w:val="16"/>
              </w:rPr>
              <w:t xml:space="preserve">Municipalities (FBiH/RS) </w:t>
            </w:r>
            <w:r w:rsidR="00F27B5F">
              <w:rPr>
                <w:rStyle w:val="Strong"/>
                <w:rFonts w:cstheme="minorHAnsi"/>
                <w:b w:val="0"/>
                <w:bCs w:val="0"/>
                <w:sz w:val="16"/>
                <w:szCs w:val="16"/>
              </w:rPr>
              <w:t>–</w:t>
            </w:r>
            <w:r w:rsidRPr="00CC5A8A">
              <w:rPr>
                <w:rStyle w:val="Strong"/>
                <w:rFonts w:cstheme="minorHAnsi"/>
                <w:b w:val="0"/>
                <w:bCs w:val="0"/>
                <w:sz w:val="16"/>
                <w:szCs w:val="16"/>
              </w:rPr>
              <w:t xml:space="preserve"> </w:t>
            </w:r>
            <w:r w:rsidR="00F27B5F">
              <w:rPr>
                <w:rStyle w:val="Strong"/>
                <w:rFonts w:cstheme="minorHAnsi"/>
                <w:b w:val="0"/>
                <w:bCs w:val="0"/>
                <w:sz w:val="16"/>
                <w:szCs w:val="16"/>
              </w:rPr>
              <w:t>p</w:t>
            </w:r>
            <w:r w:rsidR="00F27B5F">
              <w:rPr>
                <w:rStyle w:val="Strong"/>
                <w:rFonts w:cstheme="minorHAnsi"/>
                <w:sz w:val="16"/>
                <w:szCs w:val="16"/>
              </w:rPr>
              <w:t xml:space="preserve">roclaim and </w:t>
            </w:r>
            <w:r w:rsidRPr="00CC5A8A">
              <w:rPr>
                <w:rStyle w:val="Strong"/>
                <w:rFonts w:cstheme="minorHAnsi"/>
                <w:b w:val="0"/>
                <w:bCs w:val="0"/>
                <w:sz w:val="16"/>
                <w:szCs w:val="16"/>
              </w:rPr>
              <w:t>integrate SPZ boundaries into municipal spatial plans where formally proclaimed; oversee local sanitation systems including septic tanks; manage municipal utility services; issue small</w:t>
            </w:r>
            <w:r w:rsidRPr="00CC5A8A">
              <w:rPr>
                <w:rStyle w:val="Strong"/>
                <w:rFonts w:ascii="Cambria Math" w:hAnsi="Cambria Math" w:cs="Cambria Math"/>
                <w:b w:val="0"/>
                <w:bCs w:val="0"/>
                <w:sz w:val="16"/>
                <w:szCs w:val="16"/>
              </w:rPr>
              <w:t>‑</w:t>
            </w:r>
            <w:r w:rsidRPr="00CC5A8A">
              <w:rPr>
                <w:rStyle w:val="Strong"/>
                <w:rFonts w:cstheme="minorHAnsi"/>
                <w:b w:val="0"/>
                <w:bCs w:val="0"/>
                <w:sz w:val="16"/>
                <w:szCs w:val="16"/>
              </w:rPr>
              <w:t>scale construction and land</w:t>
            </w:r>
            <w:r w:rsidRPr="00CC5A8A">
              <w:rPr>
                <w:rStyle w:val="Strong"/>
                <w:rFonts w:ascii="Cambria Math" w:hAnsi="Cambria Math" w:cs="Cambria Math"/>
                <w:b w:val="0"/>
                <w:bCs w:val="0"/>
                <w:sz w:val="16"/>
                <w:szCs w:val="16"/>
              </w:rPr>
              <w:t>‑</w:t>
            </w:r>
            <w:r w:rsidRPr="00CC5A8A">
              <w:rPr>
                <w:rStyle w:val="Strong"/>
                <w:rFonts w:cstheme="minorHAnsi"/>
                <w:b w:val="0"/>
                <w:bCs w:val="0"/>
                <w:sz w:val="16"/>
                <w:szCs w:val="16"/>
              </w:rPr>
              <w:t>use permits; cooperate with entity/cantonal inspectorates and water agencies (AVP Sava/AVP Jadran / Vode Srpske)</w:t>
            </w:r>
          </w:p>
        </w:tc>
      </w:tr>
      <w:tr w:rsidR="004A0D87" w:rsidRPr="004A0D87" w14:paraId="65695316" w14:textId="77777777" w:rsidTr="00B92E6D">
        <w:tc>
          <w:tcPr>
            <w:tcW w:w="4465" w:type="dxa"/>
            <w:vAlign w:val="center"/>
          </w:tcPr>
          <w:p w14:paraId="5322D854" w14:textId="4933B9A2" w:rsidR="004A0D87" w:rsidRPr="004A0D87" w:rsidRDefault="00CC5A8A" w:rsidP="004E2FA5">
            <w:pPr>
              <w:jc w:val="both"/>
              <w:rPr>
                <w:rFonts w:cstheme="minorHAnsi"/>
                <w:sz w:val="16"/>
                <w:szCs w:val="16"/>
                <w:lang w:val="en-GB" w:eastAsia="en-GB"/>
              </w:rPr>
            </w:pPr>
            <w:r w:rsidRPr="00CC5A8A">
              <w:rPr>
                <w:rStyle w:val="Strong"/>
                <w:rFonts w:cstheme="minorHAnsi"/>
                <w:b w:val="0"/>
                <w:bCs w:val="0"/>
                <w:sz w:val="16"/>
                <w:szCs w:val="16"/>
              </w:rPr>
              <w:t xml:space="preserve">Water utilities </w:t>
            </w:r>
            <w:r>
              <w:rPr>
                <w:rStyle w:val="Strong"/>
                <w:rFonts w:cstheme="minorHAnsi"/>
                <w:b w:val="0"/>
                <w:bCs w:val="0"/>
                <w:sz w:val="16"/>
                <w:szCs w:val="16"/>
              </w:rPr>
              <w:t>-</w:t>
            </w:r>
            <w:r w:rsidRPr="00CC5A8A">
              <w:rPr>
                <w:rStyle w:val="Strong"/>
                <w:rFonts w:cstheme="minorHAnsi"/>
                <w:b w:val="0"/>
                <w:bCs w:val="0"/>
                <w:sz w:val="16"/>
                <w:szCs w:val="16"/>
              </w:rPr>
              <w:t xml:space="preserve"> operate public water</w:t>
            </w:r>
            <w:r w:rsidRPr="00CC5A8A">
              <w:rPr>
                <w:rStyle w:val="Strong"/>
                <w:rFonts w:ascii="Cambria Math" w:hAnsi="Cambria Math" w:cs="Cambria Math"/>
                <w:b w:val="0"/>
                <w:bCs w:val="0"/>
                <w:sz w:val="16"/>
                <w:szCs w:val="16"/>
              </w:rPr>
              <w:t>‑</w:t>
            </w:r>
            <w:r w:rsidRPr="00CC5A8A">
              <w:rPr>
                <w:rStyle w:val="Strong"/>
                <w:rFonts w:cstheme="minorHAnsi"/>
                <w:b w:val="0"/>
                <w:bCs w:val="0"/>
                <w:sz w:val="16"/>
                <w:szCs w:val="16"/>
              </w:rPr>
              <w:t>supply abstraction sites; implement operational measures within SPZs (access control, maintenance, on</w:t>
            </w:r>
            <w:r w:rsidRPr="00CC5A8A">
              <w:rPr>
                <w:rStyle w:val="Strong"/>
                <w:rFonts w:ascii="Cambria Math" w:hAnsi="Cambria Math" w:cs="Cambria Math"/>
                <w:b w:val="0"/>
                <w:bCs w:val="0"/>
                <w:sz w:val="16"/>
                <w:szCs w:val="16"/>
              </w:rPr>
              <w:t>‑</w:t>
            </w:r>
            <w:r w:rsidRPr="00CC5A8A">
              <w:rPr>
                <w:rStyle w:val="Strong"/>
                <w:rFonts w:cstheme="minorHAnsi"/>
                <w:b w:val="0"/>
                <w:bCs w:val="0"/>
                <w:sz w:val="16"/>
                <w:szCs w:val="16"/>
              </w:rPr>
              <w:t>site hygiene); monitor daily spring conditions; report incidents; cooperate with Croatian Waters, the State Inspectorate and public health laboratories</w:t>
            </w:r>
          </w:p>
        </w:tc>
        <w:tc>
          <w:tcPr>
            <w:tcW w:w="4466" w:type="dxa"/>
            <w:vAlign w:val="center"/>
          </w:tcPr>
          <w:p w14:paraId="7AD2007A" w14:textId="2065E8EC" w:rsidR="004A0D87" w:rsidRPr="004A0D87" w:rsidRDefault="00CC5A8A" w:rsidP="004E2FA5">
            <w:pPr>
              <w:jc w:val="both"/>
              <w:rPr>
                <w:rFonts w:cstheme="minorHAnsi"/>
                <w:sz w:val="16"/>
                <w:szCs w:val="16"/>
                <w:lang w:val="en-GB" w:eastAsia="en-GB"/>
              </w:rPr>
            </w:pPr>
            <w:r w:rsidRPr="00CC5A8A">
              <w:rPr>
                <w:rStyle w:val="Strong"/>
                <w:rFonts w:cstheme="minorHAnsi"/>
                <w:b w:val="0"/>
                <w:bCs w:val="0"/>
                <w:sz w:val="16"/>
                <w:szCs w:val="16"/>
              </w:rPr>
              <w:t xml:space="preserve">Public water utilities (FBiH / RS) </w:t>
            </w:r>
            <w:r w:rsidR="006F366F">
              <w:rPr>
                <w:rStyle w:val="Strong"/>
                <w:rFonts w:cstheme="minorHAnsi"/>
                <w:b w:val="0"/>
                <w:bCs w:val="0"/>
                <w:sz w:val="16"/>
                <w:szCs w:val="16"/>
              </w:rPr>
              <w:t>-</w:t>
            </w:r>
            <w:r w:rsidRPr="00CC5A8A">
              <w:rPr>
                <w:rStyle w:val="Strong"/>
                <w:rFonts w:cstheme="minorHAnsi"/>
                <w:b w:val="0"/>
                <w:bCs w:val="0"/>
                <w:sz w:val="16"/>
                <w:szCs w:val="16"/>
              </w:rPr>
              <w:t xml:space="preserve"> manage public water</w:t>
            </w:r>
            <w:r w:rsidRPr="00CC5A8A">
              <w:rPr>
                <w:rStyle w:val="Strong"/>
                <w:rFonts w:ascii="Cambria Math" w:hAnsi="Cambria Math" w:cs="Cambria Math"/>
                <w:b w:val="0"/>
                <w:bCs w:val="0"/>
                <w:sz w:val="16"/>
                <w:szCs w:val="16"/>
              </w:rPr>
              <w:t>‑</w:t>
            </w:r>
            <w:r w:rsidRPr="00CC5A8A">
              <w:rPr>
                <w:rStyle w:val="Strong"/>
                <w:rFonts w:cstheme="minorHAnsi"/>
                <w:b w:val="0"/>
                <w:bCs w:val="0"/>
                <w:sz w:val="16"/>
                <w:szCs w:val="16"/>
              </w:rPr>
              <w:t>supply systems and abstraction structures; perform operational monitoring at springs; implement on</w:t>
            </w:r>
            <w:r w:rsidRPr="00CC5A8A">
              <w:rPr>
                <w:rStyle w:val="Strong"/>
                <w:rFonts w:ascii="Cambria Math" w:hAnsi="Cambria Math" w:cs="Cambria Math"/>
                <w:b w:val="0"/>
                <w:bCs w:val="0"/>
                <w:sz w:val="16"/>
                <w:szCs w:val="16"/>
              </w:rPr>
              <w:t>‑</w:t>
            </w:r>
            <w:r w:rsidRPr="00CC5A8A">
              <w:rPr>
                <w:rStyle w:val="Strong"/>
                <w:rFonts w:cstheme="minorHAnsi"/>
                <w:b w:val="0"/>
                <w:bCs w:val="0"/>
                <w:sz w:val="16"/>
                <w:szCs w:val="16"/>
              </w:rPr>
              <w:t>site protective routines where applicable; report incidents to entity/cantonal authorities and water agencies; support enforcement by providing data and operational information relevant for SPZ management</w:t>
            </w:r>
          </w:p>
        </w:tc>
      </w:tr>
    </w:tbl>
    <w:p w14:paraId="285A4A06" w14:textId="77777777" w:rsidR="00CD78CD" w:rsidRDefault="00CD78CD" w:rsidP="00336FA1">
      <w:pPr>
        <w:pStyle w:val="NoSpacing"/>
      </w:pPr>
    </w:p>
    <w:p w14:paraId="0EA4539A" w14:textId="4938EEBD" w:rsidR="002B4026" w:rsidRPr="00336FA1" w:rsidRDefault="004E2FA5" w:rsidP="00F251C6">
      <w:pPr>
        <w:pStyle w:val="Heading1"/>
        <w:rPr>
          <w:lang w:val="en-GB"/>
        </w:rPr>
      </w:pPr>
      <w:bookmarkStart w:id="20" w:name="_Toc225945270"/>
      <w:r w:rsidRPr="00336FA1">
        <w:rPr>
          <w:lang w:val="en-GB"/>
        </w:rPr>
        <w:t xml:space="preserve">7 </w:t>
      </w:r>
      <w:r>
        <w:rPr>
          <w:lang w:val="en-GB"/>
        </w:rPr>
        <w:t>Joint</w:t>
      </w:r>
      <w:r w:rsidR="0035658C" w:rsidRPr="00336FA1">
        <w:rPr>
          <w:lang w:val="en-GB"/>
        </w:rPr>
        <w:t xml:space="preserve"> criteria and methodologies for managing sanitary protection zones</w:t>
      </w:r>
      <w:bookmarkEnd w:id="20"/>
    </w:p>
    <w:p w14:paraId="69A806D7" w14:textId="343BAA2D" w:rsidR="00F251C6" w:rsidRPr="00F251C6" w:rsidRDefault="00F251C6" w:rsidP="00F251C6">
      <w:pPr>
        <w:jc w:val="both"/>
        <w:rPr>
          <w:rFonts w:cstheme="minorHAnsi"/>
          <w:lang w:val="en-GB"/>
        </w:rPr>
      </w:pPr>
      <w:r w:rsidRPr="00F251C6">
        <w:rPr>
          <w:rFonts w:cstheme="minorHAnsi"/>
          <w:lang w:val="en-GB"/>
        </w:rPr>
        <w:t>The development of joint criteria and methodologies for sanitary protection zones (SPZs) in karst aquifers shared by Croatia and Bosnia and Herzegovina seeks to enhance cross</w:t>
      </w:r>
      <w:r w:rsidRPr="00F251C6">
        <w:rPr>
          <w:rFonts w:ascii="Cambria Math" w:hAnsi="Cambria Math" w:cs="Cambria Math"/>
          <w:lang w:val="en-GB"/>
        </w:rPr>
        <w:t>‑</w:t>
      </w:r>
      <w:r w:rsidRPr="00F251C6">
        <w:rPr>
          <w:rFonts w:cstheme="minorHAnsi"/>
          <w:lang w:val="en-GB"/>
        </w:rPr>
        <w:t xml:space="preserve">border coherence in groundwater protection while remaining fully compatible with existing national legislation. </w:t>
      </w:r>
      <w:r>
        <w:rPr>
          <w:rFonts w:cstheme="minorHAnsi"/>
          <w:lang w:val="en-GB"/>
        </w:rPr>
        <w:t>The</w:t>
      </w:r>
      <w:r w:rsidRPr="00F251C6">
        <w:rPr>
          <w:rFonts w:cstheme="minorHAnsi"/>
          <w:lang w:val="en-GB"/>
        </w:rPr>
        <w:t xml:space="preserve"> intrinsic karst </w:t>
      </w:r>
      <w:r>
        <w:rPr>
          <w:rFonts w:cstheme="minorHAnsi"/>
          <w:lang w:val="en-GB"/>
        </w:rPr>
        <w:t>characteristics</w:t>
      </w:r>
      <w:r w:rsidRPr="00F251C6">
        <w:rPr>
          <w:rFonts w:cstheme="minorHAnsi"/>
          <w:lang w:val="en-GB"/>
        </w:rPr>
        <w:t xml:space="preserve">, thoroughly documented in the </w:t>
      </w:r>
      <w:r>
        <w:rPr>
          <w:rFonts w:cstheme="minorHAnsi"/>
          <w:lang w:val="en-GB"/>
        </w:rPr>
        <w:t>bilateral groundwater diagnostic analyses for Una and Neretva TBA and in JAP for Una TBA</w:t>
      </w:r>
      <w:r w:rsidRPr="00F251C6">
        <w:rPr>
          <w:rFonts w:cstheme="minorHAnsi"/>
          <w:lang w:val="en-GB"/>
        </w:rPr>
        <w:t xml:space="preserve">, amplify vulnerability and make harmonised operational approaches essential for </w:t>
      </w:r>
      <w:r>
        <w:rPr>
          <w:rFonts w:cstheme="minorHAnsi"/>
          <w:lang w:val="en-GB"/>
        </w:rPr>
        <w:t>protecting</w:t>
      </w:r>
      <w:r w:rsidRPr="00F251C6">
        <w:rPr>
          <w:rFonts w:cstheme="minorHAnsi"/>
          <w:lang w:val="en-GB"/>
        </w:rPr>
        <w:t xml:space="preserve"> drinking water sources, reducing contamination risks and improving the effectiveness of protective measures.</w:t>
      </w:r>
    </w:p>
    <w:p w14:paraId="0F66237E" w14:textId="44603783" w:rsidR="00F251C6" w:rsidRDefault="00F251C6" w:rsidP="00F251C6">
      <w:pPr>
        <w:jc w:val="both"/>
        <w:rPr>
          <w:rFonts w:cstheme="minorHAnsi"/>
          <w:lang w:val="en-GB"/>
        </w:rPr>
      </w:pPr>
      <w:r w:rsidRPr="00F251C6">
        <w:rPr>
          <w:rFonts w:cstheme="minorHAnsi"/>
          <w:lang w:val="en-GB"/>
        </w:rPr>
        <w:t xml:space="preserve">The methodologies presented in this chapter do not alter </w:t>
      </w:r>
      <w:r>
        <w:rPr>
          <w:rFonts w:cstheme="minorHAnsi"/>
          <w:lang w:val="en-GB"/>
        </w:rPr>
        <w:t>legal</w:t>
      </w:r>
      <w:r w:rsidRPr="00F251C6">
        <w:rPr>
          <w:rFonts w:cstheme="minorHAnsi"/>
          <w:lang w:val="en-GB"/>
        </w:rPr>
        <w:t xml:space="preserve"> obligations or delineation procedures defined under national SPZ regulations. Rather, they offer a shared set of tools, criteria and </w:t>
      </w:r>
      <w:r w:rsidRPr="00F251C6">
        <w:rPr>
          <w:rFonts w:cstheme="minorHAnsi"/>
          <w:lang w:val="en-GB"/>
        </w:rPr>
        <w:lastRenderedPageBreak/>
        <w:t>approaches designed to guide coordinated practice, improve decision</w:t>
      </w:r>
      <w:r w:rsidRPr="00F251C6">
        <w:rPr>
          <w:rFonts w:ascii="Cambria Math" w:hAnsi="Cambria Math" w:cs="Cambria Math"/>
          <w:lang w:val="en-GB"/>
        </w:rPr>
        <w:t>‑</w:t>
      </w:r>
      <w:r w:rsidRPr="00F251C6">
        <w:rPr>
          <w:rFonts w:cstheme="minorHAnsi"/>
          <w:lang w:val="en-GB"/>
        </w:rPr>
        <w:t>support processes</w:t>
      </w:r>
      <w:r w:rsidR="001F4170">
        <w:rPr>
          <w:rFonts w:cstheme="minorHAnsi"/>
          <w:lang w:val="en-GB"/>
        </w:rPr>
        <w:t xml:space="preserve"> </w:t>
      </w:r>
      <w:r w:rsidRPr="00F251C6">
        <w:rPr>
          <w:rFonts w:cstheme="minorHAnsi"/>
          <w:lang w:val="en-GB"/>
        </w:rPr>
        <w:t>and strengthen institutional cooperation across the Croatia</w:t>
      </w:r>
      <w:r>
        <w:rPr>
          <w:rFonts w:ascii="Calibri" w:hAnsi="Calibri" w:cs="Calibri"/>
          <w:lang w:val="en-GB"/>
        </w:rPr>
        <w:t>-</w:t>
      </w:r>
      <w:r w:rsidRPr="00F251C6">
        <w:rPr>
          <w:rFonts w:cstheme="minorHAnsi"/>
          <w:lang w:val="en-GB"/>
        </w:rPr>
        <w:t>BiH border.</w:t>
      </w:r>
    </w:p>
    <w:p w14:paraId="07D99C94" w14:textId="77777777" w:rsidR="00FF5968" w:rsidRPr="00F251C6" w:rsidRDefault="00FF5968" w:rsidP="00F251C6">
      <w:pPr>
        <w:jc w:val="both"/>
        <w:rPr>
          <w:rFonts w:cstheme="minorHAnsi"/>
          <w:lang w:val="en-GB"/>
        </w:rPr>
      </w:pPr>
    </w:p>
    <w:p w14:paraId="50AD2E3B" w14:textId="486C970B" w:rsidR="00F251C6" w:rsidRPr="00F251C6" w:rsidRDefault="00F251C6" w:rsidP="00F251C6">
      <w:pPr>
        <w:pStyle w:val="Heading2"/>
        <w:rPr>
          <w:lang w:val="en-GB"/>
        </w:rPr>
      </w:pPr>
      <w:bookmarkStart w:id="21" w:name="_Toc225945271"/>
      <w:r w:rsidRPr="00F251C6">
        <w:rPr>
          <w:lang w:val="en-GB"/>
        </w:rPr>
        <w:t>7.1 Shared principles for assessing recharge areas and groundwater vulnerability</w:t>
      </w:r>
      <w:bookmarkEnd w:id="21"/>
    </w:p>
    <w:p w14:paraId="1A02E6F2" w14:textId="17BDE8BC" w:rsidR="00F251C6" w:rsidRPr="00F251C6" w:rsidRDefault="00F251C6" w:rsidP="00F251C6">
      <w:pPr>
        <w:jc w:val="both"/>
        <w:rPr>
          <w:rFonts w:cstheme="minorHAnsi"/>
          <w:lang w:val="en-GB"/>
        </w:rPr>
      </w:pPr>
      <w:r w:rsidRPr="00F251C6">
        <w:rPr>
          <w:rFonts w:cstheme="minorHAnsi"/>
          <w:lang w:val="en-GB"/>
        </w:rPr>
        <w:t>Karst aquifers function as highly dynamic hydrological systems in which groundwater recharge, storage and flow are primarily controlled by geological structure, tectonic deformation</w:t>
      </w:r>
      <w:r>
        <w:rPr>
          <w:rFonts w:cstheme="minorHAnsi"/>
          <w:lang w:val="en-GB"/>
        </w:rPr>
        <w:t xml:space="preserve"> and rock mass discontinuities</w:t>
      </w:r>
      <w:r w:rsidRPr="00F251C6">
        <w:rPr>
          <w:rFonts w:cstheme="minorHAnsi"/>
          <w:lang w:val="en-GB"/>
        </w:rPr>
        <w:t xml:space="preserve">, degree of karstification and the distribution of </w:t>
      </w:r>
      <w:r>
        <w:rPr>
          <w:rFonts w:cstheme="minorHAnsi"/>
          <w:lang w:val="en-GB"/>
        </w:rPr>
        <w:t>karst drainage</w:t>
      </w:r>
      <w:r w:rsidRPr="00F251C6">
        <w:rPr>
          <w:rFonts w:cstheme="minorHAnsi"/>
          <w:lang w:val="en-GB"/>
        </w:rPr>
        <w:t xml:space="preserve"> features such as ponors, sinkholes and losing streams. This recharge</w:t>
      </w:r>
      <w:r>
        <w:rPr>
          <w:rFonts w:cstheme="minorHAnsi"/>
          <w:lang w:val="en-GB"/>
        </w:rPr>
        <w:t>-</w:t>
      </w:r>
      <w:r w:rsidRPr="00F251C6">
        <w:rPr>
          <w:rFonts w:cstheme="minorHAnsi"/>
          <w:lang w:val="en-GB"/>
        </w:rPr>
        <w:t xml:space="preserve">discharge pattern means that land use, pollution sources, tourism pressures and wastewater infrastructure </w:t>
      </w:r>
      <w:r>
        <w:rPr>
          <w:rFonts w:cstheme="minorHAnsi"/>
          <w:lang w:val="en-GB"/>
        </w:rPr>
        <w:t>can</w:t>
      </w:r>
      <w:r w:rsidRPr="00F251C6">
        <w:rPr>
          <w:rFonts w:cstheme="minorHAnsi"/>
          <w:lang w:val="en-GB"/>
        </w:rPr>
        <w:t xml:space="preserve"> have direct and immediate implications for water quality and security in </w:t>
      </w:r>
      <w:r w:rsidR="007771D5">
        <w:rPr>
          <w:rFonts w:cstheme="minorHAnsi"/>
          <w:lang w:val="en-GB"/>
        </w:rPr>
        <w:t>neighbouring countries</w:t>
      </w:r>
      <w:r w:rsidRPr="00F251C6">
        <w:rPr>
          <w:rFonts w:cstheme="minorHAnsi"/>
          <w:lang w:val="en-GB"/>
        </w:rPr>
        <w:t>. Tracer tests and hydrogeological studies</w:t>
      </w:r>
      <w:r w:rsidR="007771D5">
        <w:rPr>
          <w:rFonts w:cstheme="minorHAnsi"/>
          <w:lang w:val="en-GB"/>
        </w:rPr>
        <w:t xml:space="preserve"> in Una and Neretva TBA</w:t>
      </w:r>
      <w:r w:rsidRPr="00F251C6">
        <w:rPr>
          <w:rFonts w:cstheme="minorHAnsi"/>
          <w:lang w:val="en-GB"/>
        </w:rPr>
        <w:t xml:space="preserve"> confirm fast and extensive underground flow connections, demonstrating that the transboundary nature of aquifer functioning cannot be captured solely by surface</w:t>
      </w:r>
      <w:r w:rsidRPr="00F251C6">
        <w:rPr>
          <w:rFonts w:ascii="Cambria Math" w:hAnsi="Cambria Math" w:cs="Cambria Math"/>
          <w:lang w:val="en-GB"/>
        </w:rPr>
        <w:t>‑</w:t>
      </w:r>
      <w:r w:rsidRPr="00F251C6">
        <w:rPr>
          <w:rFonts w:cstheme="minorHAnsi"/>
          <w:lang w:val="en-GB"/>
        </w:rPr>
        <w:t>water divides.</w:t>
      </w:r>
    </w:p>
    <w:p w14:paraId="6E97F17A" w14:textId="21941DB0" w:rsidR="00F251C6" w:rsidRPr="00F251C6" w:rsidRDefault="00F251C6" w:rsidP="00F251C6">
      <w:pPr>
        <w:jc w:val="both"/>
        <w:rPr>
          <w:rFonts w:cstheme="minorHAnsi"/>
          <w:lang w:val="en-GB"/>
        </w:rPr>
      </w:pPr>
      <w:r w:rsidRPr="00F251C6">
        <w:rPr>
          <w:rFonts w:cstheme="minorHAnsi"/>
          <w:lang w:val="en-GB"/>
        </w:rPr>
        <w:t>Because of these characteristics, shared approach</w:t>
      </w:r>
      <w:r w:rsidR="007771D5">
        <w:rPr>
          <w:rFonts w:cstheme="minorHAnsi"/>
          <w:lang w:val="en-GB"/>
        </w:rPr>
        <w:t xml:space="preserve"> of HR and BiH</w:t>
      </w:r>
      <w:r w:rsidRPr="00F251C6">
        <w:rPr>
          <w:rFonts w:cstheme="minorHAnsi"/>
          <w:lang w:val="en-GB"/>
        </w:rPr>
        <w:t xml:space="preserve"> for recharge</w:t>
      </w:r>
      <w:r w:rsidRPr="00F251C6">
        <w:rPr>
          <w:rFonts w:ascii="Cambria Math" w:hAnsi="Cambria Math" w:cs="Cambria Math"/>
          <w:lang w:val="en-GB"/>
        </w:rPr>
        <w:t>‑</w:t>
      </w:r>
      <w:r w:rsidRPr="00F251C6">
        <w:rPr>
          <w:rFonts w:cstheme="minorHAnsi"/>
          <w:lang w:val="en-GB"/>
        </w:rPr>
        <w:t>area assessment must incorporate:</w:t>
      </w:r>
    </w:p>
    <w:p w14:paraId="5617B60D" w14:textId="40A1BB9A" w:rsidR="00F251C6" w:rsidRPr="007771D5" w:rsidRDefault="007771D5" w:rsidP="007771D5">
      <w:pPr>
        <w:pStyle w:val="ListParagraph"/>
        <w:numPr>
          <w:ilvl w:val="0"/>
          <w:numId w:val="63"/>
        </w:numPr>
        <w:jc w:val="both"/>
        <w:rPr>
          <w:rFonts w:cstheme="minorHAnsi"/>
          <w:lang w:val="en-GB"/>
        </w:rPr>
      </w:pPr>
      <w:r>
        <w:rPr>
          <w:rFonts w:cstheme="minorHAnsi"/>
          <w:lang w:val="en-GB"/>
        </w:rPr>
        <w:t>i</w:t>
      </w:r>
      <w:r w:rsidR="00F251C6" w:rsidRPr="007771D5">
        <w:rPr>
          <w:rFonts w:cstheme="minorHAnsi"/>
          <w:lang w:val="en-GB"/>
        </w:rPr>
        <w:t xml:space="preserve">ntegrated geological and structural mapping, identifying permeable carbonate units, fault networks, synclinal/anticlinal structures and zones of intensified </w:t>
      </w:r>
      <w:proofErr w:type="gramStart"/>
      <w:r w:rsidR="00F251C6" w:rsidRPr="007771D5">
        <w:rPr>
          <w:rFonts w:cstheme="minorHAnsi"/>
          <w:lang w:val="en-GB"/>
        </w:rPr>
        <w:t>karstification</w:t>
      </w:r>
      <w:r>
        <w:rPr>
          <w:rFonts w:cstheme="minorHAnsi"/>
          <w:lang w:val="en-GB"/>
        </w:rPr>
        <w:t>;</w:t>
      </w:r>
      <w:proofErr w:type="gramEnd"/>
    </w:p>
    <w:p w14:paraId="66AFFDBE" w14:textId="7998C3DC" w:rsidR="00F251C6" w:rsidRPr="007771D5" w:rsidRDefault="007771D5" w:rsidP="007771D5">
      <w:pPr>
        <w:pStyle w:val="ListParagraph"/>
        <w:numPr>
          <w:ilvl w:val="0"/>
          <w:numId w:val="63"/>
        </w:numPr>
        <w:jc w:val="both"/>
        <w:rPr>
          <w:rFonts w:cstheme="minorHAnsi"/>
          <w:lang w:val="en-GB"/>
        </w:rPr>
      </w:pPr>
      <w:r>
        <w:rPr>
          <w:rFonts w:cstheme="minorHAnsi"/>
          <w:lang w:val="en-GB"/>
        </w:rPr>
        <w:t>t</w:t>
      </w:r>
      <w:r w:rsidR="00F251C6" w:rsidRPr="007771D5">
        <w:rPr>
          <w:rFonts w:cstheme="minorHAnsi"/>
          <w:lang w:val="en-GB"/>
        </w:rPr>
        <w:t>racer tests, using dye injections to confirm flow directions, residence times, conduit connectivity and potential cross</w:t>
      </w:r>
      <w:r w:rsidR="00F251C6" w:rsidRPr="007771D5">
        <w:rPr>
          <w:rFonts w:ascii="Cambria Math" w:hAnsi="Cambria Math" w:cs="Cambria Math"/>
          <w:lang w:val="en-GB"/>
        </w:rPr>
        <w:t>‑</w:t>
      </w:r>
      <w:r w:rsidR="00F251C6" w:rsidRPr="007771D5">
        <w:rPr>
          <w:rFonts w:cstheme="minorHAnsi"/>
          <w:lang w:val="en-GB"/>
        </w:rPr>
        <w:t xml:space="preserve">border travel </w:t>
      </w:r>
      <w:proofErr w:type="gramStart"/>
      <w:r w:rsidR="00F251C6" w:rsidRPr="007771D5">
        <w:rPr>
          <w:rFonts w:cstheme="minorHAnsi"/>
          <w:lang w:val="en-GB"/>
        </w:rPr>
        <w:t>routes</w:t>
      </w:r>
      <w:r>
        <w:rPr>
          <w:rFonts w:cstheme="minorHAnsi"/>
          <w:lang w:val="en-GB"/>
        </w:rPr>
        <w:t>;</w:t>
      </w:r>
      <w:proofErr w:type="gramEnd"/>
    </w:p>
    <w:p w14:paraId="08A646E1" w14:textId="07D3BA89" w:rsidR="00F251C6" w:rsidRPr="007771D5" w:rsidRDefault="007771D5" w:rsidP="007771D5">
      <w:pPr>
        <w:pStyle w:val="ListParagraph"/>
        <w:numPr>
          <w:ilvl w:val="0"/>
          <w:numId w:val="63"/>
        </w:numPr>
        <w:jc w:val="both"/>
        <w:rPr>
          <w:rFonts w:cstheme="minorHAnsi"/>
          <w:lang w:val="en-GB"/>
        </w:rPr>
      </w:pPr>
      <w:r>
        <w:rPr>
          <w:rFonts w:cstheme="minorHAnsi"/>
          <w:lang w:val="en-GB"/>
        </w:rPr>
        <w:t>i</w:t>
      </w:r>
      <w:r w:rsidR="00F251C6" w:rsidRPr="007771D5">
        <w:rPr>
          <w:rFonts w:cstheme="minorHAnsi"/>
          <w:lang w:val="en-GB"/>
        </w:rPr>
        <w:t xml:space="preserve">sotope analyses, supporting identification of recharge elevations, mixing processes and seasonal recharge </w:t>
      </w:r>
      <w:proofErr w:type="gramStart"/>
      <w:r w:rsidR="00F251C6" w:rsidRPr="007771D5">
        <w:rPr>
          <w:rFonts w:cstheme="minorHAnsi"/>
          <w:lang w:val="en-GB"/>
        </w:rPr>
        <w:t>contributions</w:t>
      </w:r>
      <w:r>
        <w:rPr>
          <w:rFonts w:cstheme="minorHAnsi"/>
          <w:lang w:val="en-GB"/>
        </w:rPr>
        <w:t>;</w:t>
      </w:r>
      <w:proofErr w:type="gramEnd"/>
    </w:p>
    <w:p w14:paraId="6DF9EBF2" w14:textId="04A705BD" w:rsidR="00F251C6" w:rsidRPr="007771D5" w:rsidRDefault="00C26F41" w:rsidP="007771D5">
      <w:pPr>
        <w:pStyle w:val="ListParagraph"/>
        <w:numPr>
          <w:ilvl w:val="0"/>
          <w:numId w:val="63"/>
        </w:numPr>
        <w:jc w:val="both"/>
        <w:rPr>
          <w:rFonts w:cstheme="minorHAnsi"/>
          <w:lang w:val="en-GB"/>
        </w:rPr>
      </w:pPr>
      <w:r>
        <w:rPr>
          <w:rFonts w:cstheme="minorHAnsi"/>
          <w:lang w:val="en-GB"/>
        </w:rPr>
        <w:t>s</w:t>
      </w:r>
      <w:r w:rsidRPr="00C26F41">
        <w:rPr>
          <w:rFonts w:cstheme="minorHAnsi"/>
          <w:lang w:val="en-GB"/>
        </w:rPr>
        <w:t>imultaneous multi</w:t>
      </w:r>
      <w:r w:rsidRPr="00C26F41">
        <w:rPr>
          <w:rFonts w:ascii="Cambria Math" w:hAnsi="Cambria Math" w:cs="Cambria Math"/>
          <w:lang w:val="en-GB"/>
        </w:rPr>
        <w:t>‑</w:t>
      </w:r>
      <w:r w:rsidRPr="00C26F41">
        <w:rPr>
          <w:rFonts w:cstheme="minorHAnsi"/>
          <w:lang w:val="en-GB"/>
        </w:rPr>
        <w:t xml:space="preserve">spring survey campaigns, conducted at multiple springs within the same short time window to capture a comparative snapshot of system behaviour under a given hydrological </w:t>
      </w:r>
      <w:proofErr w:type="gramStart"/>
      <w:r w:rsidRPr="00C26F41">
        <w:rPr>
          <w:rFonts w:cstheme="minorHAnsi"/>
          <w:lang w:val="en-GB"/>
        </w:rPr>
        <w:t>condition</w:t>
      </w:r>
      <w:r>
        <w:rPr>
          <w:rFonts w:cstheme="minorHAnsi"/>
          <w:lang w:val="en-GB"/>
        </w:rPr>
        <w:t>;</w:t>
      </w:r>
      <w:proofErr w:type="gramEnd"/>
    </w:p>
    <w:p w14:paraId="782A1CB8" w14:textId="456BFC43" w:rsidR="00F251C6" w:rsidRPr="007771D5" w:rsidRDefault="00C26F41" w:rsidP="00F251C6">
      <w:pPr>
        <w:pStyle w:val="ListParagraph"/>
        <w:numPr>
          <w:ilvl w:val="0"/>
          <w:numId w:val="63"/>
        </w:numPr>
        <w:jc w:val="both"/>
        <w:rPr>
          <w:rFonts w:cstheme="minorHAnsi"/>
          <w:lang w:val="en-GB"/>
        </w:rPr>
      </w:pPr>
      <w:r>
        <w:rPr>
          <w:rFonts w:cstheme="minorHAnsi"/>
          <w:lang w:val="en-GB"/>
        </w:rPr>
        <w:t>c</w:t>
      </w:r>
      <w:r w:rsidRPr="00C26F41">
        <w:rPr>
          <w:rFonts w:cstheme="minorHAnsi"/>
          <w:lang w:val="en-GB"/>
        </w:rPr>
        <w:t>ontinuous long</w:t>
      </w:r>
      <w:r w:rsidRPr="00C26F41">
        <w:rPr>
          <w:rFonts w:ascii="Cambria Math" w:hAnsi="Cambria Math" w:cs="Cambria Math"/>
          <w:lang w:val="en-GB"/>
        </w:rPr>
        <w:t>‑</w:t>
      </w:r>
      <w:r w:rsidRPr="00C26F41">
        <w:rPr>
          <w:rFonts w:cstheme="minorHAnsi"/>
          <w:lang w:val="en-GB"/>
        </w:rPr>
        <w:t>term monitoring of selected high</w:t>
      </w:r>
      <w:r w:rsidRPr="00C26F41">
        <w:rPr>
          <w:rFonts w:ascii="Cambria Math" w:hAnsi="Cambria Math" w:cs="Cambria Math"/>
          <w:lang w:val="en-GB"/>
        </w:rPr>
        <w:t>‑</w:t>
      </w:r>
      <w:r w:rsidRPr="00C26F41">
        <w:rPr>
          <w:rFonts w:cstheme="minorHAnsi"/>
          <w:lang w:val="en-GB"/>
        </w:rPr>
        <w:t>priority springs, using automated or routinely repeated measurements to track temporal variability, detect event</w:t>
      </w:r>
      <w:r w:rsidRPr="00C26F41">
        <w:rPr>
          <w:rFonts w:ascii="Cambria Math" w:hAnsi="Cambria Math" w:cs="Cambria Math"/>
          <w:lang w:val="en-GB"/>
        </w:rPr>
        <w:t>‑</w:t>
      </w:r>
      <w:r w:rsidRPr="00C26F41">
        <w:rPr>
          <w:rFonts w:cstheme="minorHAnsi"/>
          <w:lang w:val="en-GB"/>
        </w:rPr>
        <w:t>driven contamination and support operational decision</w:t>
      </w:r>
      <w:r w:rsidRPr="00C26F41">
        <w:rPr>
          <w:rFonts w:ascii="Cambria Math" w:hAnsi="Cambria Math" w:cs="Cambria Math"/>
          <w:lang w:val="en-GB"/>
        </w:rPr>
        <w:t>‑</w:t>
      </w:r>
      <w:r w:rsidRPr="00C26F41">
        <w:rPr>
          <w:rFonts w:cstheme="minorHAnsi"/>
          <w:lang w:val="en-GB"/>
        </w:rPr>
        <w:t>making for drinking</w:t>
      </w:r>
      <w:r w:rsidRPr="00C26F41">
        <w:rPr>
          <w:rFonts w:ascii="Cambria Math" w:hAnsi="Cambria Math" w:cs="Cambria Math"/>
          <w:lang w:val="en-GB"/>
        </w:rPr>
        <w:t>‑</w:t>
      </w:r>
      <w:r w:rsidRPr="00C26F41">
        <w:rPr>
          <w:rFonts w:cstheme="minorHAnsi"/>
          <w:lang w:val="en-GB"/>
        </w:rPr>
        <w:t>water protection.</w:t>
      </w:r>
    </w:p>
    <w:p w14:paraId="029CC45F" w14:textId="0DF146B6" w:rsidR="00F251C6" w:rsidRPr="00F251C6" w:rsidRDefault="00F251C6" w:rsidP="00F251C6">
      <w:pPr>
        <w:jc w:val="both"/>
        <w:rPr>
          <w:rFonts w:cstheme="minorHAnsi"/>
          <w:lang w:val="en-GB"/>
        </w:rPr>
      </w:pPr>
      <w:r w:rsidRPr="00F251C6">
        <w:rPr>
          <w:rFonts w:cstheme="minorHAnsi"/>
          <w:lang w:val="en-GB"/>
        </w:rPr>
        <w:t xml:space="preserve">These elements </w:t>
      </w:r>
      <w:r w:rsidR="006C3CFF">
        <w:rPr>
          <w:rFonts w:cstheme="minorHAnsi"/>
          <w:lang w:val="en-GB"/>
        </w:rPr>
        <w:t xml:space="preserve">would </w:t>
      </w:r>
      <w:r w:rsidRPr="00F251C6">
        <w:rPr>
          <w:rFonts w:cstheme="minorHAnsi"/>
          <w:lang w:val="en-GB"/>
        </w:rPr>
        <w:t xml:space="preserve">ensure that both countries rely on consistent conceptual models of the aquifer system. This is particularly important </w:t>
      </w:r>
      <w:r w:rsidR="006C3CFF">
        <w:rPr>
          <w:rFonts w:cstheme="minorHAnsi"/>
          <w:lang w:val="en-GB"/>
        </w:rPr>
        <w:t>in cases</w:t>
      </w:r>
      <w:r w:rsidRPr="00F251C6">
        <w:rPr>
          <w:rFonts w:cstheme="minorHAnsi"/>
          <w:lang w:val="en-GB"/>
        </w:rPr>
        <w:t>, where precipitation</w:t>
      </w:r>
      <w:r w:rsidR="006C3CFF">
        <w:rPr>
          <w:rFonts w:cstheme="minorHAnsi"/>
          <w:lang w:val="en-GB"/>
        </w:rPr>
        <w:t>-</w:t>
      </w:r>
      <w:r w:rsidRPr="00F251C6">
        <w:rPr>
          <w:rFonts w:cstheme="minorHAnsi"/>
          <w:lang w:val="en-GB"/>
        </w:rPr>
        <w:t>spring response times are extremely short and microbiological contamination spikes can occur within hours following heavy rainfall.</w:t>
      </w:r>
    </w:p>
    <w:p w14:paraId="53261800" w14:textId="6EA440B4" w:rsidR="00F251C6" w:rsidRPr="006C3CFF" w:rsidRDefault="006C3CFF" w:rsidP="006C3CFF">
      <w:pPr>
        <w:pStyle w:val="Heading3"/>
        <w:rPr>
          <w:lang w:val="en-GB"/>
        </w:rPr>
      </w:pPr>
      <w:bookmarkStart w:id="22" w:name="_Toc225945272"/>
      <w:r w:rsidRPr="006C3CFF">
        <w:rPr>
          <w:lang w:val="en-GB"/>
        </w:rPr>
        <w:t xml:space="preserve">7.1.1 </w:t>
      </w:r>
      <w:r w:rsidR="00F251C6" w:rsidRPr="006C3CFF">
        <w:rPr>
          <w:lang w:val="en-GB"/>
        </w:rPr>
        <w:t>Groundwater vulnerability mapping</w:t>
      </w:r>
      <w:bookmarkEnd w:id="22"/>
      <w:r w:rsidR="00F251C6" w:rsidRPr="006C3CFF">
        <w:rPr>
          <w:lang w:val="en-GB"/>
        </w:rPr>
        <w:t xml:space="preserve"> </w:t>
      </w:r>
    </w:p>
    <w:p w14:paraId="37FB61C2" w14:textId="77777777" w:rsidR="009827C4" w:rsidRPr="009827C4" w:rsidRDefault="009827C4" w:rsidP="009827C4">
      <w:pPr>
        <w:jc w:val="both"/>
        <w:rPr>
          <w:rFonts w:cstheme="minorHAnsi"/>
          <w:lang w:val="en-GB"/>
        </w:rPr>
      </w:pPr>
      <w:r w:rsidRPr="009827C4">
        <w:rPr>
          <w:rFonts w:cstheme="minorHAnsi"/>
          <w:lang w:val="en-GB"/>
        </w:rPr>
        <w:t>Groundwater vulnerability assessment provides a structured and scientifically grounded basis for identifying sensitive and high</w:t>
      </w:r>
      <w:r w:rsidRPr="009827C4">
        <w:rPr>
          <w:rFonts w:ascii="Cambria Math" w:hAnsi="Cambria Math" w:cs="Cambria Math"/>
          <w:lang w:val="en-GB"/>
        </w:rPr>
        <w:t>‑</w:t>
      </w:r>
      <w:r w:rsidRPr="009827C4">
        <w:rPr>
          <w:rFonts w:cstheme="minorHAnsi"/>
          <w:lang w:val="en-GB"/>
        </w:rPr>
        <w:t>risk areas within sanitary protection zone (SPZ) systems. In karst aquifers, where infiltration is rapid, natural protective layers may be thin or bypassed and flow paths often concentrate into conduits, vulnerability mapping becomes an essential instrument for anticipating where contaminants can reach drinking</w:t>
      </w:r>
      <w:r w:rsidRPr="009827C4">
        <w:rPr>
          <w:rFonts w:ascii="Cambria Math" w:hAnsi="Cambria Math" w:cs="Cambria Math"/>
          <w:lang w:val="en-GB"/>
        </w:rPr>
        <w:t>‑</w:t>
      </w:r>
      <w:r w:rsidRPr="009827C4">
        <w:rPr>
          <w:rFonts w:cstheme="minorHAnsi"/>
          <w:lang w:val="en-GB"/>
        </w:rPr>
        <w:t>water sources most quickly and with limited attenuation.</w:t>
      </w:r>
    </w:p>
    <w:p w14:paraId="1CF04A40" w14:textId="65A25BE0" w:rsidR="009827C4" w:rsidRPr="009827C4" w:rsidRDefault="009827C4" w:rsidP="009827C4">
      <w:pPr>
        <w:jc w:val="both"/>
        <w:rPr>
          <w:rFonts w:cstheme="minorHAnsi"/>
          <w:lang w:val="en-GB"/>
        </w:rPr>
      </w:pPr>
      <w:r w:rsidRPr="009827C4">
        <w:rPr>
          <w:rFonts w:cstheme="minorHAnsi"/>
          <w:lang w:val="en-GB"/>
        </w:rPr>
        <w:t>The conceptual foundation for such mapping is commonly built around an origin</w:t>
      </w:r>
      <w:r>
        <w:rPr>
          <w:rFonts w:cstheme="minorHAnsi"/>
          <w:lang w:val="en-GB"/>
        </w:rPr>
        <w:t>-</w:t>
      </w:r>
      <w:r w:rsidRPr="009827C4">
        <w:rPr>
          <w:rFonts w:cstheme="minorHAnsi"/>
          <w:lang w:val="en-GB"/>
        </w:rPr>
        <w:t>pathway</w:t>
      </w:r>
      <w:r>
        <w:rPr>
          <w:rFonts w:cstheme="minorHAnsi"/>
          <w:lang w:val="en-GB"/>
        </w:rPr>
        <w:t>-</w:t>
      </w:r>
      <w:r w:rsidRPr="009827C4">
        <w:rPr>
          <w:rFonts w:cstheme="minorHAnsi"/>
          <w:lang w:val="en-GB"/>
        </w:rPr>
        <w:t>target framework. Under this approach, vulnerability is determined by the properties that influence (</w:t>
      </w:r>
      <w:proofErr w:type="spellStart"/>
      <w:r w:rsidRPr="009827C4">
        <w:rPr>
          <w:rFonts w:cstheme="minorHAnsi"/>
          <w:lang w:val="en-GB"/>
        </w:rPr>
        <w:t>i</w:t>
      </w:r>
      <w:proofErr w:type="spellEnd"/>
      <w:r w:rsidRPr="009827C4">
        <w:rPr>
          <w:rFonts w:cstheme="minorHAnsi"/>
          <w:lang w:val="en-GB"/>
        </w:rPr>
        <w:t>) how fast contaminants travel from the land surface to a spring or well, (ii) the degree of natural attenuation they experience along the way, and (iii) the fraction of contaminants that can effectively enter the groundwater system. Four groups of factors typically guide this evaluation</w:t>
      </w:r>
      <w:r w:rsidR="00011CA4">
        <w:rPr>
          <w:rFonts w:cstheme="minorHAnsi"/>
          <w:lang w:val="en-GB"/>
        </w:rPr>
        <w:t xml:space="preserve"> (</w:t>
      </w:r>
      <w:r w:rsidR="00011CA4" w:rsidRPr="00011CA4">
        <w:rPr>
          <w:rFonts w:cstheme="minorHAnsi"/>
          <w:lang w:val="en-GB"/>
        </w:rPr>
        <w:t>Zwahlen</w:t>
      </w:r>
      <w:r w:rsidR="00011CA4">
        <w:rPr>
          <w:rFonts w:cstheme="minorHAnsi"/>
          <w:lang w:val="en-GB"/>
        </w:rPr>
        <w:t>, 2004)</w:t>
      </w:r>
      <w:r w:rsidRPr="009827C4">
        <w:rPr>
          <w:rFonts w:cstheme="minorHAnsi"/>
          <w:lang w:val="en-GB"/>
        </w:rPr>
        <w:t>:</w:t>
      </w:r>
    </w:p>
    <w:p w14:paraId="495D2EF9" w14:textId="77777777" w:rsidR="009827C4" w:rsidRPr="009827C4" w:rsidRDefault="009827C4" w:rsidP="009827C4">
      <w:pPr>
        <w:pStyle w:val="ListParagraph"/>
        <w:numPr>
          <w:ilvl w:val="0"/>
          <w:numId w:val="64"/>
        </w:numPr>
        <w:jc w:val="both"/>
        <w:rPr>
          <w:rFonts w:cstheme="minorHAnsi"/>
          <w:lang w:val="en-GB"/>
        </w:rPr>
      </w:pPr>
      <w:r w:rsidRPr="009827C4">
        <w:rPr>
          <w:rFonts w:cstheme="minorHAnsi"/>
          <w:lang w:val="en-GB"/>
        </w:rPr>
        <w:lastRenderedPageBreak/>
        <w:t xml:space="preserve">Overlying layers (O): thickness and protective function of soils, subsoils and unsaturated </w:t>
      </w:r>
      <w:proofErr w:type="gramStart"/>
      <w:r w:rsidRPr="009827C4">
        <w:rPr>
          <w:rFonts w:cstheme="minorHAnsi"/>
          <w:lang w:val="en-GB"/>
        </w:rPr>
        <w:t>bedrock;</w:t>
      </w:r>
      <w:proofErr w:type="gramEnd"/>
    </w:p>
    <w:p w14:paraId="16DFE95D" w14:textId="77777777" w:rsidR="009827C4" w:rsidRPr="009827C4" w:rsidRDefault="009827C4" w:rsidP="009827C4">
      <w:pPr>
        <w:pStyle w:val="ListParagraph"/>
        <w:numPr>
          <w:ilvl w:val="0"/>
          <w:numId w:val="64"/>
        </w:numPr>
        <w:jc w:val="both"/>
        <w:rPr>
          <w:rFonts w:cstheme="minorHAnsi"/>
          <w:lang w:val="en-GB"/>
        </w:rPr>
      </w:pPr>
      <w:r w:rsidRPr="009827C4">
        <w:rPr>
          <w:rFonts w:cstheme="minorHAnsi"/>
          <w:lang w:val="en-GB"/>
        </w:rPr>
        <w:t xml:space="preserve">Concentration of flow (C): tendency of infiltration to bypass protective layers through swallow holes, sinking streams or focused recharge </w:t>
      </w:r>
      <w:proofErr w:type="gramStart"/>
      <w:r w:rsidRPr="009827C4">
        <w:rPr>
          <w:rFonts w:cstheme="minorHAnsi"/>
          <w:lang w:val="en-GB"/>
        </w:rPr>
        <w:t>features;</w:t>
      </w:r>
      <w:proofErr w:type="gramEnd"/>
    </w:p>
    <w:p w14:paraId="270865A2" w14:textId="77777777" w:rsidR="009827C4" w:rsidRPr="009827C4" w:rsidRDefault="009827C4" w:rsidP="009827C4">
      <w:pPr>
        <w:pStyle w:val="ListParagraph"/>
        <w:numPr>
          <w:ilvl w:val="0"/>
          <w:numId w:val="64"/>
        </w:numPr>
        <w:jc w:val="both"/>
        <w:rPr>
          <w:rFonts w:cstheme="minorHAnsi"/>
          <w:lang w:val="en-GB"/>
        </w:rPr>
      </w:pPr>
      <w:r w:rsidRPr="009827C4">
        <w:rPr>
          <w:rFonts w:cstheme="minorHAnsi"/>
          <w:lang w:val="en-GB"/>
        </w:rPr>
        <w:t xml:space="preserve">Precipitation regime (P): intensity and timing of rainfall events that drive rapid recharge and contaminant </w:t>
      </w:r>
      <w:proofErr w:type="gramStart"/>
      <w:r w:rsidRPr="009827C4">
        <w:rPr>
          <w:rFonts w:cstheme="minorHAnsi"/>
          <w:lang w:val="en-GB"/>
        </w:rPr>
        <w:t>mobilisation;</w:t>
      </w:r>
      <w:proofErr w:type="gramEnd"/>
    </w:p>
    <w:p w14:paraId="2D7DE59F" w14:textId="301D60FD" w:rsidR="009827C4" w:rsidRPr="009827C4" w:rsidRDefault="009827C4" w:rsidP="009827C4">
      <w:pPr>
        <w:pStyle w:val="ListParagraph"/>
        <w:numPr>
          <w:ilvl w:val="0"/>
          <w:numId w:val="64"/>
        </w:numPr>
        <w:jc w:val="both"/>
        <w:rPr>
          <w:rFonts w:cstheme="minorHAnsi"/>
          <w:lang w:val="en-GB"/>
        </w:rPr>
      </w:pPr>
      <w:r w:rsidRPr="009827C4">
        <w:rPr>
          <w:rFonts w:cstheme="minorHAnsi"/>
          <w:lang w:val="en-GB"/>
        </w:rPr>
        <w:t>Karst network development (K): extent of conduits and drainage pathways that accelerate groundwater transport.</w:t>
      </w:r>
    </w:p>
    <w:p w14:paraId="51DECC64" w14:textId="3626AADB" w:rsidR="009827C4" w:rsidRPr="009827C4" w:rsidRDefault="009827C4" w:rsidP="009827C4">
      <w:pPr>
        <w:jc w:val="both"/>
        <w:rPr>
          <w:rFonts w:cstheme="minorHAnsi"/>
          <w:lang w:val="en-GB"/>
        </w:rPr>
      </w:pPr>
      <w:r w:rsidRPr="009827C4">
        <w:rPr>
          <w:rFonts w:cstheme="minorHAnsi"/>
          <w:lang w:val="en-GB"/>
        </w:rPr>
        <w:t>These factors collectively underpin intrinsic vulnerability assessments that help determine where strict SPZ management measures are most needed, where enhanced monitoring should be concentrated and where land</w:t>
      </w:r>
      <w:r w:rsidRPr="009827C4">
        <w:rPr>
          <w:rFonts w:ascii="Cambria Math" w:hAnsi="Cambria Math" w:cs="Cambria Math"/>
          <w:lang w:val="en-GB"/>
        </w:rPr>
        <w:t>‑</w:t>
      </w:r>
      <w:r w:rsidRPr="009827C4">
        <w:rPr>
          <w:rFonts w:cstheme="minorHAnsi"/>
          <w:lang w:val="en-GB"/>
        </w:rPr>
        <w:t>use constraints should be prioritised. Vulnerability mapping is inherently flexible,</w:t>
      </w:r>
      <w:r>
        <w:rPr>
          <w:rFonts w:ascii="Calibri" w:hAnsi="Calibri" w:cs="Calibri"/>
          <w:lang w:val="en-GB"/>
        </w:rPr>
        <w:t xml:space="preserve"> and </w:t>
      </w:r>
      <w:r w:rsidRPr="009827C4">
        <w:rPr>
          <w:rFonts w:cstheme="minorHAnsi"/>
          <w:lang w:val="en-GB"/>
        </w:rPr>
        <w:t>various methods can be used depending on data availability</w:t>
      </w:r>
      <w:r>
        <w:rPr>
          <w:rFonts w:ascii="Calibri" w:hAnsi="Calibri" w:cs="Calibri"/>
          <w:lang w:val="en-GB"/>
        </w:rPr>
        <w:t xml:space="preserve">, </w:t>
      </w:r>
      <w:r w:rsidRPr="009827C4">
        <w:rPr>
          <w:rFonts w:cstheme="minorHAnsi"/>
          <w:lang w:val="en-GB"/>
        </w:rPr>
        <w:t>but the conceptual coherence</w:t>
      </w:r>
      <w:r>
        <w:rPr>
          <w:rFonts w:cstheme="minorHAnsi"/>
          <w:lang w:val="en-GB"/>
        </w:rPr>
        <w:t xml:space="preserve"> and understanding</w:t>
      </w:r>
      <w:r w:rsidRPr="009827C4">
        <w:rPr>
          <w:rFonts w:cstheme="minorHAnsi"/>
          <w:lang w:val="en-GB"/>
        </w:rPr>
        <w:t xml:space="preserve"> of the</w:t>
      </w:r>
      <w:r>
        <w:rPr>
          <w:rFonts w:cstheme="minorHAnsi"/>
          <w:lang w:val="en-GB"/>
        </w:rPr>
        <w:t xml:space="preserve"> common</w:t>
      </w:r>
      <w:r w:rsidRPr="009827C4">
        <w:rPr>
          <w:rFonts w:cstheme="minorHAnsi"/>
          <w:lang w:val="en-GB"/>
        </w:rPr>
        <w:t xml:space="preserve"> approach ensures comparability across different territories.</w:t>
      </w:r>
    </w:p>
    <w:p w14:paraId="1238825C" w14:textId="15B0D5F6" w:rsidR="009827C4" w:rsidRPr="00B26173" w:rsidRDefault="009827C4" w:rsidP="009827C4">
      <w:pPr>
        <w:pStyle w:val="Heading3"/>
        <w:rPr>
          <w:lang w:val="en-GB"/>
        </w:rPr>
      </w:pPr>
      <w:bookmarkStart w:id="23" w:name="_Toc225945273"/>
      <w:r w:rsidRPr="00B26173">
        <w:rPr>
          <w:lang w:val="en-GB"/>
        </w:rPr>
        <w:t>7.1.2 Guidance for using vulnerability mapping as a harmonising tool between countries</w:t>
      </w:r>
      <w:bookmarkEnd w:id="23"/>
      <w:r w:rsidRPr="00B26173">
        <w:rPr>
          <w:lang w:val="en-GB"/>
        </w:rPr>
        <w:t xml:space="preserve"> </w:t>
      </w:r>
    </w:p>
    <w:p w14:paraId="1CEDC37D" w14:textId="7D2A629E" w:rsidR="009827C4" w:rsidRPr="00B26173" w:rsidRDefault="009827C4" w:rsidP="009827C4">
      <w:pPr>
        <w:pStyle w:val="Heading4"/>
        <w:rPr>
          <w:lang w:val="en-GB"/>
        </w:rPr>
      </w:pPr>
      <w:r w:rsidRPr="00B26173">
        <w:rPr>
          <w:lang w:val="en-GB"/>
        </w:rPr>
        <w:t>7.1.2.1 Adopting a shared conceptual framework for SPZ sensitivity analysis</w:t>
      </w:r>
    </w:p>
    <w:p w14:paraId="6871517F" w14:textId="48F6A5D9" w:rsidR="009827C4" w:rsidRPr="009827C4" w:rsidRDefault="009827C4" w:rsidP="009827C4">
      <w:pPr>
        <w:jc w:val="both"/>
        <w:rPr>
          <w:rFonts w:cstheme="minorHAnsi"/>
          <w:lang w:val="en-GB"/>
        </w:rPr>
      </w:pPr>
      <w:r w:rsidRPr="009827C4">
        <w:rPr>
          <w:rFonts w:cstheme="minorHAnsi"/>
          <w:lang w:val="en-GB"/>
        </w:rPr>
        <w:t xml:space="preserve">Both countries can work within a common vulnerability </w:t>
      </w:r>
      <w:r w:rsidR="00735AE8">
        <w:rPr>
          <w:rFonts w:cstheme="minorHAnsi"/>
          <w:lang w:val="en-GB"/>
        </w:rPr>
        <w:t>concept</w:t>
      </w:r>
      <w:r w:rsidRPr="009827C4">
        <w:rPr>
          <w:rFonts w:cstheme="minorHAnsi"/>
          <w:lang w:val="en-GB"/>
        </w:rPr>
        <w:t xml:space="preserve"> that relies on the same hydrogeological factors (O, C, P, K), even if they apply different technical methods. This ensures that sensitive recharge areas, bypass zones, infiltration hotspots and conduit</w:t>
      </w:r>
      <w:r w:rsidRPr="009827C4">
        <w:rPr>
          <w:rFonts w:ascii="Cambria Math" w:hAnsi="Cambria Math" w:cs="Cambria Math"/>
          <w:lang w:val="en-GB"/>
        </w:rPr>
        <w:t>‑</w:t>
      </w:r>
      <w:r w:rsidRPr="009827C4">
        <w:rPr>
          <w:rFonts w:cstheme="minorHAnsi"/>
          <w:lang w:val="en-GB"/>
        </w:rPr>
        <w:t>dominated sectors are recognised and classified in a technically comparable way on both sides of the border.</w:t>
      </w:r>
    </w:p>
    <w:p w14:paraId="5E507317" w14:textId="37FC10F6" w:rsidR="009827C4" w:rsidRPr="00B26173" w:rsidRDefault="009827C4" w:rsidP="009827C4">
      <w:pPr>
        <w:pStyle w:val="Heading4"/>
        <w:rPr>
          <w:lang w:val="en-GB"/>
        </w:rPr>
      </w:pPr>
      <w:r w:rsidRPr="00B26173">
        <w:rPr>
          <w:lang w:val="en-GB"/>
        </w:rPr>
        <w:t>7.1.2.2 Defining consistent categories of sensitive and high</w:t>
      </w:r>
      <w:r w:rsidRPr="00B26173">
        <w:rPr>
          <w:rFonts w:ascii="Cambria Math" w:hAnsi="Cambria Math" w:cs="Cambria Math"/>
          <w:lang w:val="en-GB"/>
        </w:rPr>
        <w:t>‑</w:t>
      </w:r>
      <w:r w:rsidRPr="00B26173">
        <w:rPr>
          <w:lang w:val="en-GB"/>
        </w:rPr>
        <w:t>risk zones</w:t>
      </w:r>
    </w:p>
    <w:p w14:paraId="4F5C2028" w14:textId="14030718" w:rsidR="009827C4" w:rsidRPr="009827C4" w:rsidRDefault="009827C4" w:rsidP="009827C4">
      <w:pPr>
        <w:jc w:val="both"/>
        <w:rPr>
          <w:rFonts w:cstheme="minorHAnsi"/>
          <w:lang w:val="en-GB"/>
        </w:rPr>
      </w:pPr>
      <w:r w:rsidRPr="009827C4">
        <w:rPr>
          <w:rFonts w:cstheme="minorHAnsi"/>
          <w:lang w:val="en-GB"/>
        </w:rPr>
        <w:t xml:space="preserve">Using vulnerability mapping, </w:t>
      </w:r>
      <w:r w:rsidR="00735AE8">
        <w:rPr>
          <w:rFonts w:cstheme="minorHAnsi"/>
          <w:lang w:val="en-GB"/>
        </w:rPr>
        <w:t>both</w:t>
      </w:r>
      <w:r w:rsidRPr="009827C4">
        <w:rPr>
          <w:rFonts w:cstheme="minorHAnsi"/>
          <w:lang w:val="en-GB"/>
        </w:rPr>
        <w:t xml:space="preserve"> countries can develop jointly recognised sensitivity classes</w:t>
      </w:r>
      <w:r w:rsidR="00735AE8">
        <w:rPr>
          <w:rFonts w:cstheme="minorHAnsi"/>
          <w:lang w:val="en-GB"/>
        </w:rPr>
        <w:t xml:space="preserve">, </w:t>
      </w:r>
      <w:r w:rsidRPr="009827C4">
        <w:rPr>
          <w:rFonts w:cstheme="minorHAnsi"/>
          <w:lang w:val="en-GB"/>
        </w:rPr>
        <w:t>such as “highly vulnerable,” “rapid</w:t>
      </w:r>
      <w:r w:rsidRPr="009827C4">
        <w:rPr>
          <w:rFonts w:ascii="Cambria Math" w:hAnsi="Cambria Math" w:cs="Cambria Math"/>
          <w:lang w:val="en-GB"/>
        </w:rPr>
        <w:t>‑</w:t>
      </w:r>
      <w:r w:rsidRPr="009827C4">
        <w:rPr>
          <w:rFonts w:cstheme="minorHAnsi"/>
          <w:lang w:val="en-GB"/>
        </w:rPr>
        <w:t>transport,</w:t>
      </w:r>
      <w:r w:rsidRPr="009827C4">
        <w:rPr>
          <w:rFonts w:ascii="Calibri" w:hAnsi="Calibri" w:cs="Calibri"/>
          <w:lang w:val="en-GB"/>
        </w:rPr>
        <w:t>”</w:t>
      </w:r>
      <w:r w:rsidRPr="009827C4">
        <w:rPr>
          <w:rFonts w:cstheme="minorHAnsi"/>
          <w:lang w:val="en-GB"/>
        </w:rPr>
        <w:t xml:space="preserve"> or </w:t>
      </w:r>
      <w:r w:rsidRPr="009827C4">
        <w:rPr>
          <w:rFonts w:ascii="Calibri" w:hAnsi="Calibri" w:cs="Calibri"/>
          <w:lang w:val="en-GB"/>
        </w:rPr>
        <w:t>“</w:t>
      </w:r>
      <w:r w:rsidRPr="009827C4">
        <w:rPr>
          <w:rFonts w:cstheme="minorHAnsi"/>
          <w:lang w:val="en-GB"/>
        </w:rPr>
        <w:t>protective</w:t>
      </w:r>
      <w:r w:rsidRPr="009827C4">
        <w:rPr>
          <w:rFonts w:ascii="Cambria Math" w:hAnsi="Cambria Math" w:cs="Cambria Math"/>
          <w:lang w:val="en-GB"/>
        </w:rPr>
        <w:t>‑</w:t>
      </w:r>
      <w:r w:rsidRPr="009827C4">
        <w:rPr>
          <w:rFonts w:cstheme="minorHAnsi"/>
          <w:lang w:val="en-GB"/>
        </w:rPr>
        <w:t>cover</w:t>
      </w:r>
      <w:r w:rsidRPr="009827C4">
        <w:rPr>
          <w:rFonts w:ascii="Cambria Math" w:hAnsi="Cambria Math" w:cs="Cambria Math"/>
          <w:lang w:val="en-GB"/>
        </w:rPr>
        <w:t>‑</w:t>
      </w:r>
      <w:r w:rsidRPr="009827C4">
        <w:rPr>
          <w:rFonts w:cstheme="minorHAnsi"/>
          <w:lang w:val="en-GB"/>
        </w:rPr>
        <w:t>dominant</w:t>
      </w:r>
      <w:r w:rsidRPr="009827C4">
        <w:rPr>
          <w:rFonts w:ascii="Calibri" w:hAnsi="Calibri" w:cs="Calibri"/>
          <w:lang w:val="en-GB"/>
        </w:rPr>
        <w:t>”</w:t>
      </w:r>
      <w:r w:rsidRPr="009827C4">
        <w:rPr>
          <w:rFonts w:cstheme="minorHAnsi"/>
          <w:lang w:val="en-GB"/>
        </w:rPr>
        <w:t xml:space="preserve"> zones. These categories would support coordinated operational practices while allowing each country to retain its legally defined</w:t>
      </w:r>
      <w:r w:rsidR="00735AE8">
        <w:rPr>
          <w:rFonts w:cstheme="minorHAnsi"/>
          <w:lang w:val="en-GB"/>
        </w:rPr>
        <w:t xml:space="preserve"> </w:t>
      </w:r>
      <w:r w:rsidRPr="009827C4">
        <w:rPr>
          <w:rFonts w:cstheme="minorHAnsi"/>
          <w:lang w:val="en-GB"/>
        </w:rPr>
        <w:t>SPZ zoning system.</w:t>
      </w:r>
    </w:p>
    <w:p w14:paraId="1C4A8077" w14:textId="5E6DC757" w:rsidR="009827C4" w:rsidRPr="00B26173" w:rsidRDefault="009827C4" w:rsidP="009827C4">
      <w:pPr>
        <w:pStyle w:val="Heading4"/>
        <w:rPr>
          <w:lang w:val="en-GB"/>
        </w:rPr>
      </w:pPr>
      <w:r w:rsidRPr="00B26173">
        <w:rPr>
          <w:lang w:val="en-GB"/>
        </w:rPr>
        <w:t>7.1.2.3 Prioritising monitoring and inspections based on shared vulnerability indicators</w:t>
      </w:r>
    </w:p>
    <w:p w14:paraId="712F1837" w14:textId="57B8CEBA" w:rsidR="009827C4" w:rsidRPr="009827C4" w:rsidRDefault="009827C4" w:rsidP="009827C4">
      <w:pPr>
        <w:jc w:val="both"/>
        <w:rPr>
          <w:rFonts w:cstheme="minorHAnsi"/>
          <w:lang w:val="en-GB"/>
        </w:rPr>
      </w:pPr>
      <w:r w:rsidRPr="009827C4">
        <w:rPr>
          <w:rFonts w:cstheme="minorHAnsi"/>
          <w:lang w:val="en-GB"/>
        </w:rPr>
        <w:t>Vulnerability maps help identify where intensified monitoring (both regular and event</w:t>
      </w:r>
      <w:r w:rsidRPr="009827C4">
        <w:rPr>
          <w:rFonts w:ascii="Cambria Math" w:hAnsi="Cambria Math" w:cs="Cambria Math"/>
          <w:lang w:val="en-GB"/>
        </w:rPr>
        <w:t>‑</w:t>
      </w:r>
      <w:r w:rsidRPr="009827C4">
        <w:rPr>
          <w:rFonts w:cstheme="minorHAnsi"/>
          <w:lang w:val="en-GB"/>
        </w:rPr>
        <w:t>based) is most warranted. They can guide the placement of joint observation points in recharge areas, ponors and major springs, and help synchronise inspection schedules for activities located in high</w:t>
      </w:r>
      <w:r w:rsidRPr="009827C4">
        <w:rPr>
          <w:rFonts w:ascii="Cambria Math" w:hAnsi="Cambria Math" w:cs="Cambria Math"/>
          <w:lang w:val="en-GB"/>
        </w:rPr>
        <w:t>‑</w:t>
      </w:r>
      <w:r w:rsidRPr="009827C4">
        <w:rPr>
          <w:rFonts w:cstheme="minorHAnsi"/>
          <w:lang w:val="en-GB"/>
        </w:rPr>
        <w:t xml:space="preserve">risk sectors. This enables each side to focus effort on areas presenting the greatest hydrogeological </w:t>
      </w:r>
      <w:r w:rsidR="00735AE8">
        <w:rPr>
          <w:rFonts w:cstheme="minorHAnsi"/>
          <w:lang w:val="en-GB"/>
        </w:rPr>
        <w:t>vulnerability</w:t>
      </w:r>
      <w:r w:rsidRPr="009827C4">
        <w:rPr>
          <w:rFonts w:cstheme="minorHAnsi"/>
          <w:lang w:val="en-GB"/>
        </w:rPr>
        <w:t>.</w:t>
      </w:r>
    </w:p>
    <w:p w14:paraId="36C0DEA8" w14:textId="0E49C7DD" w:rsidR="009827C4" w:rsidRPr="00B26173" w:rsidRDefault="009827C4" w:rsidP="009827C4">
      <w:pPr>
        <w:pStyle w:val="Heading4"/>
        <w:rPr>
          <w:lang w:val="en-GB"/>
        </w:rPr>
      </w:pPr>
      <w:r w:rsidRPr="00B26173">
        <w:rPr>
          <w:lang w:val="en-GB"/>
        </w:rPr>
        <w:t>7.1.2.4 Establishing a harmonised spatial vocabulary for SPZ operations</w:t>
      </w:r>
    </w:p>
    <w:p w14:paraId="202AA36E" w14:textId="77777777" w:rsidR="009827C4" w:rsidRPr="009827C4" w:rsidRDefault="009827C4" w:rsidP="009827C4">
      <w:pPr>
        <w:jc w:val="both"/>
        <w:rPr>
          <w:rFonts w:cstheme="minorHAnsi"/>
          <w:lang w:val="en-GB"/>
        </w:rPr>
      </w:pPr>
      <w:r w:rsidRPr="009827C4">
        <w:rPr>
          <w:rFonts w:cstheme="minorHAnsi"/>
          <w:lang w:val="en-GB"/>
        </w:rPr>
        <w:t>Instead of aligning legal zone definitions, countries can harmonise the technical terminology used in operational practice. Terms such as “rapid</w:t>
      </w:r>
      <w:r w:rsidRPr="009827C4">
        <w:rPr>
          <w:rFonts w:ascii="Cambria Math" w:hAnsi="Cambria Math" w:cs="Cambria Math"/>
          <w:lang w:val="en-GB"/>
        </w:rPr>
        <w:t>‑</w:t>
      </w:r>
      <w:r w:rsidRPr="009827C4">
        <w:rPr>
          <w:rFonts w:cstheme="minorHAnsi"/>
          <w:lang w:val="en-GB"/>
        </w:rPr>
        <w:t>response zone,</w:t>
      </w:r>
      <w:r w:rsidRPr="009827C4">
        <w:rPr>
          <w:rFonts w:ascii="Calibri" w:hAnsi="Calibri" w:cs="Calibri"/>
          <w:lang w:val="en-GB"/>
        </w:rPr>
        <w:t>”</w:t>
      </w:r>
      <w:r w:rsidRPr="009827C4">
        <w:rPr>
          <w:rFonts w:cstheme="minorHAnsi"/>
          <w:lang w:val="en-GB"/>
        </w:rPr>
        <w:t xml:space="preserve"> </w:t>
      </w:r>
      <w:r w:rsidRPr="009827C4">
        <w:rPr>
          <w:rFonts w:ascii="Calibri" w:hAnsi="Calibri" w:cs="Calibri"/>
          <w:lang w:val="en-GB"/>
        </w:rPr>
        <w:t>“</w:t>
      </w:r>
      <w:r w:rsidRPr="009827C4">
        <w:rPr>
          <w:rFonts w:cstheme="minorHAnsi"/>
          <w:lang w:val="en-GB"/>
        </w:rPr>
        <w:t>focused</w:t>
      </w:r>
      <w:r w:rsidRPr="009827C4">
        <w:rPr>
          <w:rFonts w:ascii="Cambria Math" w:hAnsi="Cambria Math" w:cs="Cambria Math"/>
          <w:lang w:val="en-GB"/>
        </w:rPr>
        <w:t>‑</w:t>
      </w:r>
      <w:r w:rsidRPr="009827C4">
        <w:rPr>
          <w:rFonts w:cstheme="minorHAnsi"/>
          <w:lang w:val="en-GB"/>
        </w:rPr>
        <w:t>infiltration sector,</w:t>
      </w:r>
      <w:r w:rsidRPr="009827C4">
        <w:rPr>
          <w:rFonts w:ascii="Calibri" w:hAnsi="Calibri" w:cs="Calibri"/>
          <w:lang w:val="en-GB"/>
        </w:rPr>
        <w:t>”</w:t>
      </w:r>
      <w:r w:rsidRPr="009827C4">
        <w:rPr>
          <w:rFonts w:cstheme="minorHAnsi"/>
          <w:lang w:val="en-GB"/>
        </w:rPr>
        <w:t xml:space="preserve"> or </w:t>
      </w:r>
      <w:r w:rsidRPr="009827C4">
        <w:rPr>
          <w:rFonts w:ascii="Calibri" w:hAnsi="Calibri" w:cs="Calibri"/>
          <w:lang w:val="en-GB"/>
        </w:rPr>
        <w:t>“</w:t>
      </w:r>
      <w:r w:rsidRPr="009827C4">
        <w:rPr>
          <w:rFonts w:cstheme="minorHAnsi"/>
          <w:lang w:val="en-GB"/>
        </w:rPr>
        <w:t>protective</w:t>
      </w:r>
      <w:r w:rsidRPr="009827C4">
        <w:rPr>
          <w:rFonts w:ascii="Cambria Math" w:hAnsi="Cambria Math" w:cs="Cambria Math"/>
          <w:lang w:val="en-GB"/>
        </w:rPr>
        <w:t>‑</w:t>
      </w:r>
      <w:r w:rsidRPr="009827C4">
        <w:rPr>
          <w:rFonts w:cstheme="minorHAnsi"/>
          <w:lang w:val="en-GB"/>
        </w:rPr>
        <w:t>cover corridor</w:t>
      </w:r>
      <w:r w:rsidRPr="009827C4">
        <w:rPr>
          <w:rFonts w:ascii="Calibri" w:hAnsi="Calibri" w:cs="Calibri"/>
          <w:lang w:val="en-GB"/>
        </w:rPr>
        <w:t>”</w:t>
      </w:r>
      <w:r w:rsidRPr="009827C4">
        <w:rPr>
          <w:rFonts w:cstheme="minorHAnsi"/>
          <w:lang w:val="en-GB"/>
        </w:rPr>
        <w:t xml:space="preserve"> allow technical teams to assess and communicate risks consistently, regardless of differing national regulations.</w:t>
      </w:r>
    </w:p>
    <w:p w14:paraId="1ECC88FB" w14:textId="52E284BD" w:rsidR="009827C4" w:rsidRPr="00B26173" w:rsidRDefault="009827C4" w:rsidP="009827C4">
      <w:pPr>
        <w:pStyle w:val="Heading4"/>
        <w:rPr>
          <w:lang w:val="en-GB"/>
        </w:rPr>
      </w:pPr>
      <w:r w:rsidRPr="00B26173">
        <w:rPr>
          <w:lang w:val="en-GB"/>
        </w:rPr>
        <w:t>7.1.2.5 Supporting joint risk</w:t>
      </w:r>
      <w:r w:rsidRPr="00B26173">
        <w:rPr>
          <w:rFonts w:ascii="Cambria Math" w:hAnsi="Cambria Math" w:cs="Cambria Math"/>
          <w:lang w:val="en-GB"/>
        </w:rPr>
        <w:t>‑</w:t>
      </w:r>
      <w:r w:rsidRPr="00B26173">
        <w:rPr>
          <w:lang w:val="en-GB"/>
        </w:rPr>
        <w:t>screening for land use and infrastructure projects</w:t>
      </w:r>
    </w:p>
    <w:p w14:paraId="27AFCCBE" w14:textId="7A89CDF9" w:rsidR="009827C4" w:rsidRPr="009827C4" w:rsidRDefault="00735AE8" w:rsidP="009827C4">
      <w:pPr>
        <w:jc w:val="both"/>
        <w:rPr>
          <w:rFonts w:cstheme="minorHAnsi"/>
          <w:lang w:val="en-GB"/>
        </w:rPr>
      </w:pPr>
      <w:r w:rsidRPr="00735AE8">
        <w:rPr>
          <w:rFonts w:cstheme="minorHAnsi"/>
          <w:lang w:val="en-GB"/>
        </w:rPr>
        <w:t>A shared vulnerability map can serve as a common reference when assessing new projects or land</w:t>
      </w:r>
      <w:r w:rsidRPr="00735AE8">
        <w:rPr>
          <w:rFonts w:ascii="Cambria Math" w:hAnsi="Cambria Math" w:cs="Cambria Math"/>
          <w:lang w:val="en-GB"/>
        </w:rPr>
        <w:t>‑</w:t>
      </w:r>
      <w:r w:rsidRPr="00735AE8">
        <w:rPr>
          <w:rFonts w:cstheme="minorHAnsi"/>
          <w:lang w:val="en-GB"/>
        </w:rPr>
        <w:t xml:space="preserve">use changes. If an area is shown as highly vulnerable, both countries would automatically apply stricter technical checks </w:t>
      </w:r>
      <w:proofErr w:type="gramStart"/>
      <w:r w:rsidRPr="00735AE8">
        <w:rPr>
          <w:rFonts w:cstheme="minorHAnsi"/>
          <w:lang w:val="en-GB"/>
        </w:rPr>
        <w:t>or</w:t>
      </w:r>
      <w:proofErr w:type="gramEnd"/>
      <w:r w:rsidRPr="00735AE8">
        <w:rPr>
          <w:rFonts w:cstheme="minorHAnsi"/>
          <w:lang w:val="en-GB"/>
        </w:rPr>
        <w:t xml:space="preserve"> require extra protective measures. This ensures that cross</w:t>
      </w:r>
      <w:r w:rsidRPr="00735AE8">
        <w:rPr>
          <w:rFonts w:ascii="Cambria Math" w:hAnsi="Cambria Math" w:cs="Cambria Math"/>
          <w:lang w:val="en-GB"/>
        </w:rPr>
        <w:t>‑</w:t>
      </w:r>
      <w:r w:rsidRPr="00735AE8">
        <w:rPr>
          <w:rFonts w:cstheme="minorHAnsi"/>
          <w:lang w:val="en-GB"/>
        </w:rPr>
        <w:t>border risks are managed in a consistent, transparent and predictable way</w:t>
      </w:r>
      <w:r>
        <w:rPr>
          <w:rFonts w:cstheme="minorHAnsi"/>
          <w:lang w:val="en-GB"/>
        </w:rPr>
        <w:t>.</w:t>
      </w:r>
    </w:p>
    <w:p w14:paraId="1E4E5A69" w14:textId="53754C1D" w:rsidR="009827C4" w:rsidRPr="00B26173" w:rsidRDefault="009827C4" w:rsidP="009827C4">
      <w:pPr>
        <w:pStyle w:val="Heading4"/>
        <w:rPr>
          <w:lang w:val="en-GB"/>
        </w:rPr>
      </w:pPr>
      <w:r w:rsidRPr="00B26173">
        <w:rPr>
          <w:lang w:val="en-GB"/>
        </w:rPr>
        <w:lastRenderedPageBreak/>
        <w:t>7.1.2.6 Ensuring coordinated communication with local authorities and utilities</w:t>
      </w:r>
    </w:p>
    <w:p w14:paraId="3EEF2943" w14:textId="33844A4E" w:rsidR="009827C4" w:rsidRPr="009827C4" w:rsidRDefault="00735AE8" w:rsidP="009827C4">
      <w:pPr>
        <w:jc w:val="both"/>
        <w:rPr>
          <w:rFonts w:cstheme="minorHAnsi"/>
          <w:lang w:val="en-GB"/>
        </w:rPr>
      </w:pPr>
      <w:r w:rsidRPr="00735AE8">
        <w:rPr>
          <w:rFonts w:cstheme="minorHAnsi"/>
          <w:lang w:val="en-GB"/>
        </w:rPr>
        <w:t>Operational guidance can use shared vulnerability categories when explaining SPZ procedures to municipalities, water utilities, inspectorates and protected</w:t>
      </w:r>
      <w:r w:rsidRPr="00735AE8">
        <w:rPr>
          <w:rFonts w:ascii="Cambria Math" w:hAnsi="Cambria Math" w:cs="Cambria Math"/>
          <w:lang w:val="en-GB"/>
        </w:rPr>
        <w:t>‑</w:t>
      </w:r>
      <w:r w:rsidRPr="00735AE8">
        <w:rPr>
          <w:rFonts w:cstheme="minorHAnsi"/>
          <w:lang w:val="en-GB"/>
        </w:rPr>
        <w:t>area authorities. This ensures that everyone receives clear and consistent instructions on issues such as septic</w:t>
      </w:r>
      <w:r w:rsidRPr="00735AE8">
        <w:rPr>
          <w:rFonts w:ascii="Cambria Math" w:hAnsi="Cambria Math" w:cs="Cambria Math"/>
          <w:lang w:val="en-GB"/>
        </w:rPr>
        <w:t>‑</w:t>
      </w:r>
      <w:r w:rsidRPr="00735AE8">
        <w:rPr>
          <w:rFonts w:cstheme="minorHAnsi"/>
          <w:lang w:val="en-GB"/>
        </w:rPr>
        <w:t xml:space="preserve">system requirements, agricultural practices or tourism management in </w:t>
      </w:r>
      <w:r>
        <w:rPr>
          <w:rFonts w:cstheme="minorHAnsi"/>
          <w:lang w:val="en-GB"/>
        </w:rPr>
        <w:t>vulnerable</w:t>
      </w:r>
      <w:r w:rsidRPr="00735AE8">
        <w:rPr>
          <w:rFonts w:cstheme="minorHAnsi"/>
          <w:lang w:val="en-GB"/>
        </w:rPr>
        <w:t xml:space="preserve"> recharge areas</w:t>
      </w:r>
      <w:r w:rsidR="009827C4" w:rsidRPr="009827C4">
        <w:rPr>
          <w:rFonts w:cstheme="minorHAnsi"/>
          <w:lang w:val="en-GB"/>
        </w:rPr>
        <w:t>.</w:t>
      </w:r>
    </w:p>
    <w:p w14:paraId="780ED53D" w14:textId="3B1448C1" w:rsidR="009827C4" w:rsidRPr="00B26173" w:rsidRDefault="009827C4" w:rsidP="009827C4">
      <w:pPr>
        <w:pStyle w:val="Heading4"/>
        <w:rPr>
          <w:lang w:val="en-GB"/>
        </w:rPr>
      </w:pPr>
      <w:r w:rsidRPr="00B26173">
        <w:rPr>
          <w:lang w:val="en-GB"/>
        </w:rPr>
        <w:t>7.1.2.7 Providing a stable foundation for long</w:t>
      </w:r>
      <w:r w:rsidRPr="00B26173">
        <w:rPr>
          <w:rFonts w:ascii="Cambria Math" w:hAnsi="Cambria Math" w:cs="Cambria Math"/>
          <w:lang w:val="en-GB"/>
        </w:rPr>
        <w:t>‑</w:t>
      </w:r>
      <w:r w:rsidRPr="00B26173">
        <w:rPr>
          <w:lang w:val="en-GB"/>
        </w:rPr>
        <w:t>term bilateral planning</w:t>
      </w:r>
    </w:p>
    <w:p w14:paraId="6627B289" w14:textId="6C17868F" w:rsidR="00F251C6" w:rsidRPr="00F251C6" w:rsidRDefault="009827C4" w:rsidP="009827C4">
      <w:pPr>
        <w:jc w:val="both"/>
        <w:rPr>
          <w:rFonts w:cstheme="minorHAnsi"/>
          <w:lang w:val="en-GB"/>
        </w:rPr>
      </w:pPr>
      <w:r w:rsidRPr="009827C4">
        <w:rPr>
          <w:rFonts w:cstheme="minorHAnsi"/>
          <w:lang w:val="en-GB"/>
        </w:rPr>
        <w:t>Because vulnerability mapping is conceptual rather than regulatory, it can support long</w:t>
      </w:r>
      <w:r w:rsidRPr="009827C4">
        <w:rPr>
          <w:rFonts w:ascii="Cambria Math" w:hAnsi="Cambria Math" w:cs="Cambria Math"/>
          <w:lang w:val="en-GB"/>
        </w:rPr>
        <w:t>‑</w:t>
      </w:r>
      <w:r w:rsidRPr="009827C4">
        <w:rPr>
          <w:rFonts w:cstheme="minorHAnsi"/>
          <w:lang w:val="en-GB"/>
        </w:rPr>
        <w:t>term cooperation without requiring legislative change. Regular updates of vulnerability layers can feed into coordinated SPZ revisions, joint monitoring strategies, assessments of climate</w:t>
      </w:r>
      <w:r w:rsidRPr="009827C4">
        <w:rPr>
          <w:rFonts w:ascii="Cambria Math" w:hAnsi="Cambria Math" w:cs="Cambria Math"/>
          <w:lang w:val="en-GB"/>
        </w:rPr>
        <w:t>‑</w:t>
      </w:r>
      <w:r w:rsidRPr="009827C4">
        <w:rPr>
          <w:rFonts w:cstheme="minorHAnsi"/>
          <w:lang w:val="en-GB"/>
        </w:rPr>
        <w:t>driven recharge changes and future groundwater protection planning.</w:t>
      </w:r>
    </w:p>
    <w:p w14:paraId="1BF927A2" w14:textId="722A3146" w:rsidR="00F251C6" w:rsidRPr="00B26173" w:rsidRDefault="00735AE8" w:rsidP="00735AE8">
      <w:pPr>
        <w:pStyle w:val="Heading3"/>
        <w:rPr>
          <w:lang w:val="en-GB"/>
        </w:rPr>
      </w:pPr>
      <w:bookmarkStart w:id="24" w:name="_Toc225945274"/>
      <w:r w:rsidRPr="00B26173">
        <w:rPr>
          <w:lang w:val="en-GB"/>
        </w:rPr>
        <w:t xml:space="preserve">7.1.3 </w:t>
      </w:r>
      <w:r w:rsidR="00F251C6" w:rsidRPr="00B26173">
        <w:rPr>
          <w:lang w:val="en-GB"/>
        </w:rPr>
        <w:t>Event</w:t>
      </w:r>
      <w:r w:rsidR="00F251C6" w:rsidRPr="00B26173">
        <w:rPr>
          <w:rFonts w:ascii="Cambria Math" w:hAnsi="Cambria Math" w:cs="Cambria Math"/>
          <w:lang w:val="en-GB"/>
        </w:rPr>
        <w:t>‑</w:t>
      </w:r>
      <w:r w:rsidR="00F251C6" w:rsidRPr="00B26173">
        <w:rPr>
          <w:lang w:val="en-GB"/>
        </w:rPr>
        <w:t>driven dynamics and implications for shared methodologies</w:t>
      </w:r>
      <w:bookmarkEnd w:id="24"/>
    </w:p>
    <w:p w14:paraId="49D0B354" w14:textId="7519F3BF" w:rsidR="00715515" w:rsidRPr="00715515" w:rsidRDefault="00715515" w:rsidP="00715515">
      <w:pPr>
        <w:jc w:val="both"/>
        <w:rPr>
          <w:rFonts w:cstheme="minorHAnsi"/>
          <w:lang w:val="en-GB"/>
        </w:rPr>
      </w:pPr>
      <w:r w:rsidRPr="00715515">
        <w:rPr>
          <w:rFonts w:cstheme="minorHAnsi"/>
          <w:lang w:val="en-GB"/>
        </w:rPr>
        <w:t>Karst aquifers respond very quickly to hydrological events such as heavy rainfall or sudden recharge pulses. Because flow often concentrates in conduits and bypasses protective layers, contaminants can reach major springs within hours, leading to short</w:t>
      </w:r>
      <w:r w:rsidRPr="00715515">
        <w:rPr>
          <w:rFonts w:ascii="Cambria Math" w:hAnsi="Cambria Math" w:cs="Cambria Math"/>
          <w:lang w:val="en-GB"/>
        </w:rPr>
        <w:t>‑</w:t>
      </w:r>
      <w:r w:rsidRPr="00715515">
        <w:rPr>
          <w:rFonts w:cstheme="minorHAnsi"/>
          <w:lang w:val="en-GB"/>
        </w:rPr>
        <w:t>term spikes in turbidity, electrical conductivity and microbiological indicators. Such peaks are routinely observed during high</w:t>
      </w:r>
      <w:r w:rsidRPr="00715515">
        <w:rPr>
          <w:rFonts w:ascii="Cambria Math" w:hAnsi="Cambria Math" w:cs="Cambria Math"/>
          <w:lang w:val="en-GB"/>
        </w:rPr>
        <w:t>‑</w:t>
      </w:r>
      <w:r w:rsidRPr="00715515">
        <w:rPr>
          <w:rFonts w:cstheme="minorHAnsi"/>
          <w:lang w:val="en-GB"/>
        </w:rPr>
        <w:t>flow periods and represent the moments of greatest risk for drinking</w:t>
      </w:r>
      <w:r w:rsidRPr="00715515">
        <w:rPr>
          <w:rFonts w:ascii="Cambria Math" w:hAnsi="Cambria Math" w:cs="Cambria Math"/>
          <w:lang w:val="en-GB"/>
        </w:rPr>
        <w:t>‑</w:t>
      </w:r>
      <w:r w:rsidRPr="00715515">
        <w:rPr>
          <w:rFonts w:cstheme="minorHAnsi"/>
          <w:lang w:val="en-GB"/>
        </w:rPr>
        <w:t xml:space="preserve">water sources. </w:t>
      </w:r>
    </w:p>
    <w:p w14:paraId="667C8178" w14:textId="77777777" w:rsidR="00715515" w:rsidRPr="00715515" w:rsidRDefault="00715515" w:rsidP="00715515">
      <w:pPr>
        <w:jc w:val="both"/>
        <w:rPr>
          <w:rFonts w:cstheme="minorHAnsi"/>
          <w:lang w:val="en-GB"/>
        </w:rPr>
      </w:pPr>
      <w:r w:rsidRPr="00715515">
        <w:rPr>
          <w:rFonts w:cstheme="minorHAnsi"/>
          <w:lang w:val="en-GB"/>
        </w:rPr>
        <w:t>For this reason, methodologies used in sanitary protection zone (SPZ) management must explicitly incorporate event</w:t>
      </w:r>
      <w:r w:rsidRPr="00715515">
        <w:rPr>
          <w:rFonts w:ascii="Cambria Math" w:hAnsi="Cambria Math" w:cs="Cambria Math"/>
          <w:lang w:val="en-GB"/>
        </w:rPr>
        <w:t>‑</w:t>
      </w:r>
      <w:r w:rsidRPr="00715515">
        <w:rPr>
          <w:rFonts w:cstheme="minorHAnsi"/>
          <w:lang w:val="en-GB"/>
        </w:rPr>
        <w:t>based monitoring. Routine sampling alone cannot capture the rapid changes that occur during storm events. A shared approach should therefore include short</w:t>
      </w:r>
      <w:r w:rsidRPr="00715515">
        <w:rPr>
          <w:rFonts w:ascii="Cambria Math" w:hAnsi="Cambria Math" w:cs="Cambria Math"/>
          <w:lang w:val="en-GB"/>
        </w:rPr>
        <w:t>‑</w:t>
      </w:r>
      <w:r w:rsidRPr="00715515">
        <w:rPr>
          <w:rFonts w:cstheme="minorHAnsi"/>
          <w:lang w:val="en-GB"/>
        </w:rPr>
        <w:t>interval measurements triggered by rainfall thresholds or sudden increases in spring discharge. This helps reveal real transport velocities, identifies vulnerable recharge sectors and supports more accurate interpretation of groundwater behaviour.</w:t>
      </w:r>
    </w:p>
    <w:p w14:paraId="517FBE45" w14:textId="0162773C" w:rsidR="00715515" w:rsidRPr="00715515" w:rsidRDefault="00715515" w:rsidP="00715515">
      <w:pPr>
        <w:jc w:val="both"/>
        <w:rPr>
          <w:rFonts w:cstheme="minorHAnsi"/>
          <w:lang w:val="en-GB"/>
        </w:rPr>
      </w:pPr>
      <w:r w:rsidRPr="00715515">
        <w:rPr>
          <w:rFonts w:cstheme="minorHAnsi"/>
          <w:lang w:val="en-GB"/>
        </w:rPr>
        <w:t>Event dynamics also highlight the need for coordinated early</w:t>
      </w:r>
      <w:r w:rsidRPr="00715515">
        <w:rPr>
          <w:rFonts w:ascii="Cambria Math" w:hAnsi="Cambria Math" w:cs="Cambria Math"/>
          <w:lang w:val="en-GB"/>
        </w:rPr>
        <w:t>‑</w:t>
      </w:r>
      <w:r w:rsidRPr="00715515">
        <w:rPr>
          <w:rFonts w:cstheme="minorHAnsi"/>
          <w:lang w:val="en-GB"/>
        </w:rPr>
        <w:t>warning indicators. Parameters such as turbidity or conductivity often rise before microbiological contamination appears. Establishing harmonised, non</w:t>
      </w:r>
      <w:r w:rsidRPr="00715515">
        <w:rPr>
          <w:rFonts w:ascii="Cambria Math" w:hAnsi="Cambria Math" w:cs="Cambria Math"/>
          <w:lang w:val="en-GB"/>
        </w:rPr>
        <w:t>‑</w:t>
      </w:r>
      <w:r w:rsidRPr="00715515">
        <w:rPr>
          <w:rFonts w:cstheme="minorHAnsi"/>
          <w:lang w:val="en-GB"/>
        </w:rPr>
        <w:t>binding alert values allows both countries to react promptly</w:t>
      </w:r>
      <w:r>
        <w:rPr>
          <w:rFonts w:ascii="Calibri" w:hAnsi="Calibri" w:cs="Calibri"/>
          <w:lang w:val="en-GB"/>
        </w:rPr>
        <w:t xml:space="preserve">, </w:t>
      </w:r>
      <w:r w:rsidRPr="00715515">
        <w:rPr>
          <w:rFonts w:cstheme="minorHAnsi"/>
          <w:lang w:val="en-GB"/>
        </w:rPr>
        <w:t>for example through intensified sampling, temporary operational adjustments or communication with utilities</w:t>
      </w:r>
      <w:r>
        <w:rPr>
          <w:rFonts w:ascii="Calibri" w:hAnsi="Calibri" w:cs="Calibri"/>
          <w:lang w:val="en-GB"/>
        </w:rPr>
        <w:t xml:space="preserve">, </w:t>
      </w:r>
      <w:r w:rsidRPr="00715515">
        <w:rPr>
          <w:rFonts w:cstheme="minorHAnsi"/>
          <w:lang w:val="en-GB"/>
        </w:rPr>
        <w:t>while remaining fully aligned with their existing national frameworks.</w:t>
      </w:r>
    </w:p>
    <w:p w14:paraId="28818D40" w14:textId="4ACEF4D7" w:rsidR="00715515" w:rsidRPr="004E2FA5" w:rsidRDefault="00715515" w:rsidP="004E2FA5">
      <w:pPr>
        <w:jc w:val="both"/>
        <w:rPr>
          <w:rFonts w:cstheme="minorHAnsi"/>
          <w:lang w:val="en-GB"/>
        </w:rPr>
      </w:pPr>
      <w:r>
        <w:rPr>
          <w:rFonts w:cstheme="minorHAnsi"/>
          <w:lang w:val="en-GB"/>
        </w:rPr>
        <w:t>I</w:t>
      </w:r>
      <w:r w:rsidRPr="00715515">
        <w:rPr>
          <w:rFonts w:cstheme="minorHAnsi"/>
          <w:lang w:val="en-GB"/>
        </w:rPr>
        <w:t>ncorporating event</w:t>
      </w:r>
      <w:r w:rsidRPr="00715515">
        <w:rPr>
          <w:rFonts w:ascii="Cambria Math" w:hAnsi="Cambria Math" w:cs="Cambria Math"/>
          <w:lang w:val="en-GB"/>
        </w:rPr>
        <w:t>‑</w:t>
      </w:r>
      <w:r w:rsidRPr="00715515">
        <w:rPr>
          <w:rFonts w:cstheme="minorHAnsi"/>
          <w:lang w:val="en-GB"/>
        </w:rPr>
        <w:t xml:space="preserve">driven information into shared methodologies improves the relevance of vulnerability mapping and SPZ operational practices. It ensures that areas where fast responses occur, including ponors, sinking streams and highly </w:t>
      </w:r>
      <w:proofErr w:type="spellStart"/>
      <w:r w:rsidRPr="00715515">
        <w:rPr>
          <w:rFonts w:cstheme="minorHAnsi"/>
          <w:lang w:val="en-GB"/>
        </w:rPr>
        <w:t>karstified</w:t>
      </w:r>
      <w:proofErr w:type="spellEnd"/>
      <w:r w:rsidRPr="00715515">
        <w:rPr>
          <w:rFonts w:cstheme="minorHAnsi"/>
          <w:lang w:val="en-GB"/>
        </w:rPr>
        <w:t xml:space="preserve"> recharge zones, are recognised as priority sectors for monitoring, inspection and land</w:t>
      </w:r>
      <w:r w:rsidRPr="00715515">
        <w:rPr>
          <w:rFonts w:ascii="Cambria Math" w:hAnsi="Cambria Math" w:cs="Cambria Math"/>
          <w:lang w:val="en-GB"/>
        </w:rPr>
        <w:t>‑</w:t>
      </w:r>
      <w:r w:rsidRPr="00715515">
        <w:rPr>
          <w:rFonts w:cstheme="minorHAnsi"/>
          <w:lang w:val="en-GB"/>
        </w:rPr>
        <w:t>use control</w:t>
      </w:r>
      <w:r>
        <w:rPr>
          <w:rFonts w:cstheme="minorHAnsi"/>
          <w:lang w:val="en-GB"/>
        </w:rPr>
        <w:t>.</w:t>
      </w:r>
    </w:p>
    <w:p w14:paraId="5A88712F" w14:textId="77777777" w:rsidR="00FF5968" w:rsidRDefault="00FF5968" w:rsidP="00B26173">
      <w:pPr>
        <w:pStyle w:val="Heading2"/>
        <w:jc w:val="both"/>
        <w:rPr>
          <w:lang w:val="en-GB"/>
        </w:rPr>
      </w:pPr>
    </w:p>
    <w:p w14:paraId="7886D2C5" w14:textId="42588F90" w:rsidR="00F251C6" w:rsidRPr="00715515" w:rsidRDefault="00F251C6" w:rsidP="00B26173">
      <w:pPr>
        <w:pStyle w:val="Heading2"/>
        <w:jc w:val="both"/>
        <w:rPr>
          <w:lang w:val="en-GB"/>
        </w:rPr>
      </w:pPr>
      <w:bookmarkStart w:id="25" w:name="_Toc225945275"/>
      <w:r w:rsidRPr="00715515">
        <w:rPr>
          <w:lang w:val="en-GB"/>
        </w:rPr>
        <w:t xml:space="preserve">7.2 Harmonised </w:t>
      </w:r>
      <w:r w:rsidR="00715515" w:rsidRPr="00715515">
        <w:rPr>
          <w:lang w:val="en-GB"/>
        </w:rPr>
        <w:t>n</w:t>
      </w:r>
      <w:r w:rsidRPr="00715515">
        <w:rPr>
          <w:lang w:val="en-GB"/>
        </w:rPr>
        <w:t>on</w:t>
      </w:r>
      <w:r w:rsidRPr="00715515">
        <w:rPr>
          <w:rFonts w:ascii="Cambria Math" w:hAnsi="Cambria Math" w:cs="Cambria Math"/>
          <w:lang w:val="en-GB"/>
        </w:rPr>
        <w:t>‑</w:t>
      </w:r>
      <w:r w:rsidR="00715515" w:rsidRPr="00715515">
        <w:rPr>
          <w:lang w:val="en-GB"/>
        </w:rPr>
        <w:t>b</w:t>
      </w:r>
      <w:r w:rsidRPr="00715515">
        <w:rPr>
          <w:lang w:val="en-GB"/>
        </w:rPr>
        <w:t xml:space="preserve">inding </w:t>
      </w:r>
      <w:r w:rsidR="00715515" w:rsidRPr="00715515">
        <w:rPr>
          <w:lang w:val="en-GB"/>
        </w:rPr>
        <w:t>c</w:t>
      </w:r>
      <w:r w:rsidRPr="00715515">
        <w:rPr>
          <w:lang w:val="en-GB"/>
        </w:rPr>
        <w:t xml:space="preserve">riteria for </w:t>
      </w:r>
      <w:r w:rsidR="00715515" w:rsidRPr="00715515">
        <w:rPr>
          <w:lang w:val="en-GB"/>
        </w:rPr>
        <w:t>o</w:t>
      </w:r>
      <w:r w:rsidRPr="00715515">
        <w:rPr>
          <w:lang w:val="en-GB"/>
        </w:rPr>
        <w:t xml:space="preserve">perational </w:t>
      </w:r>
      <w:r w:rsidR="00715515" w:rsidRPr="00715515">
        <w:rPr>
          <w:lang w:val="en-GB"/>
        </w:rPr>
        <w:t>m</w:t>
      </w:r>
      <w:r w:rsidRPr="00715515">
        <w:rPr>
          <w:lang w:val="en-GB"/>
        </w:rPr>
        <w:t xml:space="preserve">anagement of </w:t>
      </w:r>
      <w:r w:rsidR="00715515" w:rsidRPr="00715515">
        <w:rPr>
          <w:lang w:val="en-GB"/>
        </w:rPr>
        <w:t>sanitary protection zones</w:t>
      </w:r>
      <w:bookmarkEnd w:id="25"/>
    </w:p>
    <w:p w14:paraId="369C8516" w14:textId="241EC3EF" w:rsidR="00BF3D20" w:rsidRPr="00BF3D20" w:rsidRDefault="00BF3D20" w:rsidP="00BF3D20">
      <w:pPr>
        <w:jc w:val="both"/>
        <w:rPr>
          <w:rFonts w:cstheme="minorHAnsi"/>
          <w:lang w:val="en-GB"/>
        </w:rPr>
      </w:pPr>
      <w:r w:rsidRPr="00BF3D20">
        <w:rPr>
          <w:rFonts w:cstheme="minorHAnsi"/>
          <w:lang w:val="en-GB"/>
        </w:rPr>
        <w:t xml:space="preserve">In </w:t>
      </w:r>
      <w:r>
        <w:rPr>
          <w:rFonts w:cstheme="minorHAnsi"/>
          <w:lang w:val="en-GB"/>
        </w:rPr>
        <w:t>transboundary</w:t>
      </w:r>
      <w:r w:rsidRPr="00BF3D20">
        <w:rPr>
          <w:rFonts w:cstheme="minorHAnsi"/>
          <w:lang w:val="en-GB"/>
        </w:rPr>
        <w:t xml:space="preserve"> karst aquifers, </w:t>
      </w:r>
      <w:r>
        <w:rPr>
          <w:rFonts w:cstheme="minorHAnsi"/>
          <w:lang w:val="en-GB"/>
        </w:rPr>
        <w:t>HR and BiH can</w:t>
      </w:r>
      <w:r w:rsidRPr="00BF3D20">
        <w:rPr>
          <w:rFonts w:cstheme="minorHAnsi"/>
          <w:lang w:val="en-GB"/>
        </w:rPr>
        <w:t xml:space="preserve"> benefit from adopting a set of future</w:t>
      </w:r>
      <w:r w:rsidRPr="00BF3D20">
        <w:rPr>
          <w:rFonts w:ascii="Cambria Math" w:hAnsi="Cambria Math" w:cs="Cambria Math"/>
          <w:lang w:val="en-GB"/>
        </w:rPr>
        <w:t>‑</w:t>
      </w:r>
      <w:r w:rsidRPr="00BF3D20">
        <w:rPr>
          <w:rFonts w:cstheme="minorHAnsi"/>
          <w:lang w:val="en-GB"/>
        </w:rPr>
        <w:t>oriented, non</w:t>
      </w:r>
      <w:r w:rsidRPr="00BF3D20">
        <w:rPr>
          <w:rFonts w:ascii="Cambria Math" w:hAnsi="Cambria Math" w:cs="Cambria Math"/>
          <w:lang w:val="en-GB"/>
        </w:rPr>
        <w:t>‑</w:t>
      </w:r>
      <w:r w:rsidRPr="00BF3D20">
        <w:rPr>
          <w:rFonts w:cstheme="minorHAnsi"/>
          <w:lang w:val="en-GB"/>
        </w:rPr>
        <w:t>binding operational criteria to guide the management of sanitary protection zones (SPZs). These criteria do not alter national regulations; instead, they provide a shared technical foundation that will later enable full alignment of SPZ practices under the project</w:t>
      </w:r>
      <w:r w:rsidRPr="00BF3D20">
        <w:rPr>
          <w:rFonts w:ascii="Calibri" w:hAnsi="Calibri" w:cs="Calibri"/>
          <w:lang w:val="en-GB"/>
        </w:rPr>
        <w:t>’</w:t>
      </w:r>
      <w:r w:rsidRPr="00BF3D20">
        <w:rPr>
          <w:rFonts w:cstheme="minorHAnsi"/>
          <w:lang w:val="en-GB"/>
        </w:rPr>
        <w:t>s upcoming phases. By building on common hydrogeological principles and operational needs, they</w:t>
      </w:r>
      <w:r>
        <w:rPr>
          <w:rFonts w:cstheme="minorHAnsi"/>
          <w:lang w:val="en-GB"/>
        </w:rPr>
        <w:t xml:space="preserve"> can</w:t>
      </w:r>
      <w:r w:rsidRPr="00BF3D20">
        <w:rPr>
          <w:rFonts w:cstheme="minorHAnsi"/>
          <w:lang w:val="en-GB"/>
        </w:rPr>
        <w:t xml:space="preserve"> help creat</w:t>
      </w:r>
      <w:r>
        <w:rPr>
          <w:rFonts w:cstheme="minorHAnsi"/>
          <w:lang w:val="en-GB"/>
        </w:rPr>
        <w:t>ing</w:t>
      </w:r>
      <w:r w:rsidRPr="00BF3D20">
        <w:rPr>
          <w:rFonts w:cstheme="minorHAnsi"/>
          <w:lang w:val="en-GB"/>
        </w:rPr>
        <w:t xml:space="preserve"> a coherent approach that both sides can progressively refine as cooperation deepens.</w:t>
      </w:r>
    </w:p>
    <w:p w14:paraId="4BDA4804" w14:textId="681E542F" w:rsidR="00BF3D20" w:rsidRPr="00BF3D20" w:rsidRDefault="00BF3D20" w:rsidP="00BF3D20">
      <w:pPr>
        <w:jc w:val="both"/>
        <w:rPr>
          <w:rFonts w:cstheme="minorHAnsi"/>
          <w:lang w:val="en-GB"/>
        </w:rPr>
      </w:pPr>
      <w:r w:rsidRPr="00BF3D20">
        <w:rPr>
          <w:rFonts w:cstheme="minorHAnsi"/>
          <w:lang w:val="en-GB"/>
        </w:rPr>
        <w:t>Such harmonised criteria are particularly valuable because the underlying pressures in transboundary karst areas</w:t>
      </w:r>
      <w:r>
        <w:rPr>
          <w:rFonts w:cstheme="minorHAnsi"/>
          <w:lang w:val="en-GB"/>
        </w:rPr>
        <w:t xml:space="preserve"> - </w:t>
      </w:r>
      <w:r w:rsidRPr="00BF3D20">
        <w:rPr>
          <w:rFonts w:cstheme="minorHAnsi"/>
          <w:lang w:val="en-GB"/>
        </w:rPr>
        <w:t>diffuse pollution, tourism peaks, unsewered settlements, and high vulnerability</w:t>
      </w:r>
      <w:r>
        <w:rPr>
          <w:rFonts w:cstheme="minorHAnsi"/>
          <w:lang w:val="en-GB"/>
        </w:rPr>
        <w:t xml:space="preserve"> - </w:t>
      </w:r>
      <w:r w:rsidRPr="00BF3D20">
        <w:rPr>
          <w:rFonts w:cstheme="minorHAnsi"/>
          <w:lang w:val="en-GB"/>
        </w:rPr>
        <w:t xml:space="preserve">tend to </w:t>
      </w:r>
      <w:r w:rsidRPr="00BF3D20">
        <w:rPr>
          <w:rFonts w:cstheme="minorHAnsi"/>
          <w:lang w:val="en-GB"/>
        </w:rPr>
        <w:lastRenderedPageBreak/>
        <w:t xml:space="preserve">be </w:t>
      </w:r>
      <w:r>
        <w:rPr>
          <w:rFonts w:cstheme="minorHAnsi"/>
          <w:lang w:val="en-GB"/>
        </w:rPr>
        <w:t>similar</w:t>
      </w:r>
      <w:r w:rsidRPr="00BF3D20">
        <w:rPr>
          <w:rFonts w:cstheme="minorHAnsi"/>
          <w:lang w:val="en-GB"/>
        </w:rPr>
        <w:t xml:space="preserve"> on both sides of the border. At the same time, the institutional capacities and enforcement mechanisms differ, making shared operational logic essential for achieving comparable levels of groundwater protection.</w:t>
      </w:r>
    </w:p>
    <w:p w14:paraId="7E9DC68F" w14:textId="4C7D21C3" w:rsidR="00BF3D20" w:rsidRPr="002E12FB" w:rsidRDefault="00BF3D20" w:rsidP="00BF3D20">
      <w:pPr>
        <w:pStyle w:val="Heading3"/>
        <w:rPr>
          <w:lang w:val="en-GB"/>
        </w:rPr>
      </w:pPr>
      <w:bookmarkStart w:id="26" w:name="_Toc225945276"/>
      <w:r w:rsidRPr="002E12FB">
        <w:rPr>
          <w:lang w:val="en-GB"/>
        </w:rPr>
        <w:t>7.2.1 Prioritising high</w:t>
      </w:r>
      <w:r w:rsidRPr="002E12FB">
        <w:rPr>
          <w:rFonts w:ascii="Cambria Math" w:hAnsi="Cambria Math" w:cs="Cambria Math"/>
          <w:lang w:val="en-GB"/>
        </w:rPr>
        <w:t>‑</w:t>
      </w:r>
      <w:r w:rsidRPr="002E12FB">
        <w:rPr>
          <w:lang w:val="en-GB"/>
        </w:rPr>
        <w:t>risk recharge and infiltration areas</w:t>
      </w:r>
      <w:bookmarkEnd w:id="26"/>
    </w:p>
    <w:p w14:paraId="05D74AD9" w14:textId="26E5731A" w:rsidR="00BF3D20" w:rsidRPr="00BF3D20" w:rsidRDefault="00BF3D20" w:rsidP="00BF3D20">
      <w:pPr>
        <w:jc w:val="both"/>
        <w:rPr>
          <w:rFonts w:cstheme="minorHAnsi"/>
          <w:lang w:val="en-GB"/>
        </w:rPr>
      </w:pPr>
      <w:r w:rsidRPr="00BF3D20">
        <w:rPr>
          <w:rFonts w:cstheme="minorHAnsi"/>
          <w:lang w:val="en-GB"/>
        </w:rPr>
        <w:t xml:space="preserve">A core future-oriented principle is for both countries to use shared hydrogeological criteria when determining which parts of SPZs require the highest level of operational attention. </w:t>
      </w:r>
      <w:r>
        <w:rPr>
          <w:rFonts w:cstheme="minorHAnsi"/>
          <w:lang w:val="en-GB"/>
        </w:rPr>
        <w:t>Recharge areas</w:t>
      </w:r>
      <w:r w:rsidRPr="00BF3D20">
        <w:rPr>
          <w:rFonts w:cstheme="minorHAnsi"/>
          <w:lang w:val="en-GB"/>
        </w:rPr>
        <w:t xml:space="preserve">, thin protective cover, losing streams, ponors and highly </w:t>
      </w:r>
      <w:proofErr w:type="spellStart"/>
      <w:r w:rsidRPr="00BF3D20">
        <w:rPr>
          <w:rFonts w:cstheme="minorHAnsi"/>
          <w:lang w:val="en-GB"/>
        </w:rPr>
        <w:t>karstified</w:t>
      </w:r>
      <w:proofErr w:type="spellEnd"/>
      <w:r w:rsidRPr="00BF3D20">
        <w:rPr>
          <w:rFonts w:cstheme="minorHAnsi"/>
          <w:lang w:val="en-GB"/>
        </w:rPr>
        <w:t xml:space="preserve"> structures should be recognised as priority sectors for preventive measures and field inspections. This shared prioritisation framework </w:t>
      </w:r>
      <w:r>
        <w:rPr>
          <w:rFonts w:cstheme="minorHAnsi"/>
          <w:lang w:val="en-GB"/>
        </w:rPr>
        <w:t xml:space="preserve">would </w:t>
      </w:r>
      <w:r w:rsidRPr="00BF3D20">
        <w:rPr>
          <w:rFonts w:cstheme="minorHAnsi"/>
          <w:lang w:val="en-GB"/>
        </w:rPr>
        <w:t>allow each country to maintain its own SPZ legal zoning, while enabling coordinated decisions on where stricter practices are needed most.</w:t>
      </w:r>
    </w:p>
    <w:p w14:paraId="2F5F13B7" w14:textId="18D27A31" w:rsidR="00BF3D20" w:rsidRPr="00B26173" w:rsidRDefault="00BF3D20" w:rsidP="00BF3D20">
      <w:pPr>
        <w:pStyle w:val="Heading3"/>
        <w:rPr>
          <w:lang w:val="en-GB"/>
        </w:rPr>
      </w:pPr>
      <w:bookmarkStart w:id="27" w:name="_Toc225945277"/>
      <w:r w:rsidRPr="00B26173">
        <w:rPr>
          <w:lang w:val="en-GB"/>
        </w:rPr>
        <w:t>7.2.2 Aligning expectations for routine and event</w:t>
      </w:r>
      <w:r w:rsidRPr="00B26173">
        <w:rPr>
          <w:rFonts w:ascii="Cambria Math" w:hAnsi="Cambria Math" w:cs="Cambria Math"/>
          <w:lang w:val="en-GB"/>
        </w:rPr>
        <w:t>‑</w:t>
      </w:r>
      <w:r w:rsidRPr="00B26173">
        <w:rPr>
          <w:lang w:val="en-GB"/>
        </w:rPr>
        <w:t>based monitoring</w:t>
      </w:r>
      <w:bookmarkEnd w:id="27"/>
    </w:p>
    <w:p w14:paraId="6D8425C0" w14:textId="77777777" w:rsidR="00BF3D20" w:rsidRPr="00BF3D20" w:rsidRDefault="00BF3D20" w:rsidP="00BF3D20">
      <w:pPr>
        <w:jc w:val="both"/>
        <w:rPr>
          <w:rFonts w:cstheme="minorHAnsi"/>
          <w:lang w:val="en-GB"/>
        </w:rPr>
      </w:pPr>
      <w:r w:rsidRPr="00BF3D20">
        <w:rPr>
          <w:rFonts w:cstheme="minorHAnsi"/>
          <w:lang w:val="en-GB"/>
        </w:rPr>
        <w:t>Given that the most significant contamination pulses in karst occur during high</w:t>
      </w:r>
      <w:r w:rsidRPr="00BF3D20">
        <w:rPr>
          <w:rFonts w:ascii="Cambria Math" w:hAnsi="Cambria Math" w:cs="Cambria Math"/>
          <w:lang w:val="en-GB"/>
        </w:rPr>
        <w:t>‑</w:t>
      </w:r>
      <w:r w:rsidRPr="00BF3D20">
        <w:rPr>
          <w:rFonts w:cstheme="minorHAnsi"/>
          <w:lang w:val="en-GB"/>
        </w:rPr>
        <w:t>flow or rainfall events, future SPZ alignment requires compatible expectations for how routine and event</w:t>
      </w:r>
      <w:r w:rsidRPr="00BF3D20">
        <w:rPr>
          <w:rFonts w:ascii="Cambria Math" w:hAnsi="Cambria Math" w:cs="Cambria Math"/>
          <w:lang w:val="en-GB"/>
        </w:rPr>
        <w:t>‑</w:t>
      </w:r>
      <w:r w:rsidRPr="00BF3D20">
        <w:rPr>
          <w:rFonts w:cstheme="minorHAnsi"/>
          <w:lang w:val="en-GB"/>
        </w:rPr>
        <w:t>based monitoring is conducted. Both countries can adopt similar triggers (e.g., rainfall intensity, abrupt changes in discharge) to activate intensified sampling or operational precautions. This supports a coherent system of early detection and ensures that operators and inspectorates act on comparable interpretations of risk, facilitating later harmonisation of official SPZ protocols.</w:t>
      </w:r>
    </w:p>
    <w:p w14:paraId="01A92187" w14:textId="4DAB7E9C" w:rsidR="00BF3D20" w:rsidRPr="00B26173" w:rsidRDefault="00BF3D20" w:rsidP="00BF3D20">
      <w:pPr>
        <w:pStyle w:val="Heading3"/>
        <w:rPr>
          <w:lang w:val="en-GB"/>
        </w:rPr>
      </w:pPr>
      <w:bookmarkStart w:id="28" w:name="_Toc225945278"/>
      <w:r w:rsidRPr="00B26173">
        <w:rPr>
          <w:lang w:val="en-GB"/>
        </w:rPr>
        <w:t>7.2.3 Structuring inspection planning around shared risk indicators</w:t>
      </w:r>
      <w:bookmarkEnd w:id="28"/>
    </w:p>
    <w:p w14:paraId="5077E560" w14:textId="257FDCE2" w:rsidR="00BF3D20" w:rsidRPr="00BF3D20" w:rsidRDefault="00BF3D20" w:rsidP="00BF3D20">
      <w:pPr>
        <w:jc w:val="both"/>
        <w:rPr>
          <w:rFonts w:cstheme="minorHAnsi"/>
          <w:lang w:val="en-GB"/>
        </w:rPr>
      </w:pPr>
      <w:r w:rsidRPr="00BF3D20">
        <w:rPr>
          <w:rFonts w:cstheme="minorHAnsi"/>
          <w:lang w:val="en-GB"/>
        </w:rPr>
        <w:t>For long</w:t>
      </w:r>
      <w:r w:rsidRPr="00BF3D20">
        <w:rPr>
          <w:rFonts w:ascii="Cambria Math" w:hAnsi="Cambria Math" w:cs="Cambria Math"/>
          <w:lang w:val="en-GB"/>
        </w:rPr>
        <w:t>‑</w:t>
      </w:r>
      <w:r w:rsidRPr="00BF3D20">
        <w:rPr>
          <w:rFonts w:cstheme="minorHAnsi"/>
          <w:lang w:val="en-GB"/>
        </w:rPr>
        <w:t>term alignment, both countries can benefit from using common operational indicators to prioritise inspections and compliance checks. These may include the proximity of activities to infiltration zones, the density of septic systems, seasonal pressures from tourism, the intensity of agricultural inputs or the presence of unregulated waste sites. By applying these shared criteria, inspectorates can target high</w:t>
      </w:r>
      <w:r w:rsidRPr="00BF3D20">
        <w:rPr>
          <w:rFonts w:ascii="Cambria Math" w:hAnsi="Cambria Math" w:cs="Cambria Math"/>
          <w:lang w:val="en-GB"/>
        </w:rPr>
        <w:t>‑</w:t>
      </w:r>
      <w:r w:rsidRPr="00BF3D20">
        <w:rPr>
          <w:rFonts w:cstheme="minorHAnsi"/>
          <w:lang w:val="en-GB"/>
        </w:rPr>
        <w:t>risk areas more consistently, creating a practical bridge toward harmonising enforcement practices in the later stages of the project.</w:t>
      </w:r>
    </w:p>
    <w:p w14:paraId="22A76999" w14:textId="49CF5CA7" w:rsidR="00BF3D20" w:rsidRPr="00BF3D20" w:rsidRDefault="00BF3D20" w:rsidP="00BF3D20">
      <w:pPr>
        <w:pStyle w:val="Heading3"/>
        <w:rPr>
          <w:lang w:val="en-GB"/>
        </w:rPr>
      </w:pPr>
      <w:bookmarkStart w:id="29" w:name="_Toc225945279"/>
      <w:r w:rsidRPr="00BF3D20">
        <w:rPr>
          <w:lang w:val="en-GB"/>
        </w:rPr>
        <w:t>7.2.4 Establishing compatible operational responses during heigh risk periods</w:t>
      </w:r>
      <w:bookmarkEnd w:id="29"/>
    </w:p>
    <w:p w14:paraId="0B8AC9BC" w14:textId="77777777" w:rsidR="00BF3D20" w:rsidRPr="00BF3D20" w:rsidRDefault="00BF3D20" w:rsidP="00BF3D20">
      <w:pPr>
        <w:jc w:val="both"/>
        <w:rPr>
          <w:rFonts w:cstheme="minorHAnsi"/>
          <w:lang w:val="en-GB"/>
        </w:rPr>
      </w:pPr>
      <w:r w:rsidRPr="00BF3D20">
        <w:rPr>
          <w:rFonts w:cstheme="minorHAnsi"/>
          <w:lang w:val="en-GB"/>
        </w:rPr>
        <w:t>During wet seasons, tourism peaks or times of increased abstraction demand, karst systems become more vulnerable to contamination. Future SPZ harmonisation therefore requires the two countries to use comparable operational responses during such periods. This includes temporary increases in sampling frequency, enhanced surveillance of critical sites, targeted communication with utilities or short</w:t>
      </w:r>
      <w:r w:rsidRPr="00BF3D20">
        <w:rPr>
          <w:rFonts w:ascii="Cambria Math" w:hAnsi="Cambria Math" w:cs="Cambria Math"/>
          <w:lang w:val="en-GB"/>
        </w:rPr>
        <w:t>‑</w:t>
      </w:r>
      <w:r w:rsidRPr="00BF3D20">
        <w:rPr>
          <w:rFonts w:cstheme="minorHAnsi"/>
          <w:lang w:val="en-GB"/>
        </w:rPr>
        <w:t>term restrictions on high</w:t>
      </w:r>
      <w:r w:rsidRPr="00BF3D20">
        <w:rPr>
          <w:rFonts w:ascii="Cambria Math" w:hAnsi="Cambria Math" w:cs="Cambria Math"/>
          <w:lang w:val="en-GB"/>
        </w:rPr>
        <w:t>‑</w:t>
      </w:r>
      <w:r w:rsidRPr="00BF3D20">
        <w:rPr>
          <w:rFonts w:cstheme="minorHAnsi"/>
          <w:lang w:val="en-GB"/>
        </w:rPr>
        <w:t>risk activities. Establishing non</w:t>
      </w:r>
      <w:r w:rsidRPr="00BF3D20">
        <w:rPr>
          <w:rFonts w:ascii="Cambria Math" w:hAnsi="Cambria Math" w:cs="Cambria Math"/>
          <w:lang w:val="en-GB"/>
        </w:rPr>
        <w:t>‑</w:t>
      </w:r>
      <w:r w:rsidRPr="00BF3D20">
        <w:rPr>
          <w:rFonts w:cstheme="minorHAnsi"/>
          <w:lang w:val="en-GB"/>
        </w:rPr>
        <w:t>binding but common response patterns now will make it significantly easier to align formal procedures during the project’s subsequent phases.</w:t>
      </w:r>
    </w:p>
    <w:p w14:paraId="6669D8C8" w14:textId="4C7143B0" w:rsidR="00BF3D20" w:rsidRPr="00B26173" w:rsidRDefault="00BF3D20" w:rsidP="00BF3D20">
      <w:pPr>
        <w:pStyle w:val="Heading3"/>
        <w:rPr>
          <w:lang w:val="en-GB"/>
        </w:rPr>
      </w:pPr>
      <w:bookmarkStart w:id="30" w:name="_Toc225945280"/>
      <w:r w:rsidRPr="00B26173">
        <w:rPr>
          <w:lang w:val="en-GB"/>
        </w:rPr>
        <w:t>7.2.5 Introducing a shared technical vocabulary for SPZ operations</w:t>
      </w:r>
      <w:bookmarkEnd w:id="30"/>
    </w:p>
    <w:p w14:paraId="05AE664C" w14:textId="26E6A97D" w:rsidR="00BF3D20" w:rsidRPr="00BF3D20" w:rsidRDefault="00BF3D20" w:rsidP="00BF3D20">
      <w:pPr>
        <w:jc w:val="both"/>
        <w:rPr>
          <w:rFonts w:cstheme="minorHAnsi"/>
          <w:lang w:val="en-GB"/>
        </w:rPr>
      </w:pPr>
      <w:r w:rsidRPr="00BF3D20">
        <w:rPr>
          <w:rFonts w:cstheme="minorHAnsi"/>
          <w:lang w:val="en-GB"/>
        </w:rPr>
        <w:t>A major practical step toward future alignment is the gradual adoption of a shared technical vocabulary focused on operational realities rather than legal terminology. Terms such as rapid</w:t>
      </w:r>
      <w:r w:rsidRPr="00BF3D20">
        <w:rPr>
          <w:rFonts w:ascii="Cambria Math" w:hAnsi="Cambria Math" w:cs="Cambria Math"/>
          <w:lang w:val="en-GB"/>
        </w:rPr>
        <w:t>‑</w:t>
      </w:r>
      <w:r w:rsidRPr="00BF3D20">
        <w:rPr>
          <w:rFonts w:cstheme="minorHAnsi"/>
          <w:lang w:val="en-GB"/>
        </w:rPr>
        <w:t xml:space="preserve">transport sector, </w:t>
      </w:r>
      <w:r>
        <w:rPr>
          <w:rFonts w:cstheme="minorHAnsi"/>
          <w:lang w:val="en-GB"/>
        </w:rPr>
        <w:t>vulnerable</w:t>
      </w:r>
      <w:r w:rsidRPr="00BF3D20">
        <w:rPr>
          <w:rFonts w:cstheme="minorHAnsi"/>
          <w:lang w:val="en-GB"/>
        </w:rPr>
        <w:t xml:space="preserve"> recharge area, focused</w:t>
      </w:r>
      <w:r w:rsidRPr="00BF3D20">
        <w:rPr>
          <w:rFonts w:ascii="Cambria Math" w:hAnsi="Cambria Math" w:cs="Cambria Math"/>
          <w:lang w:val="en-GB"/>
        </w:rPr>
        <w:t>‑</w:t>
      </w:r>
      <w:r w:rsidRPr="00BF3D20">
        <w:rPr>
          <w:rFonts w:cstheme="minorHAnsi"/>
          <w:lang w:val="en-GB"/>
        </w:rPr>
        <w:t xml:space="preserve">infiltration corridor, or priority zone </w:t>
      </w:r>
      <w:r>
        <w:rPr>
          <w:rFonts w:cstheme="minorHAnsi"/>
          <w:lang w:val="en-GB"/>
        </w:rPr>
        <w:t xml:space="preserve">would </w:t>
      </w:r>
      <w:r w:rsidRPr="00BF3D20">
        <w:rPr>
          <w:rFonts w:cstheme="minorHAnsi"/>
          <w:lang w:val="en-GB"/>
        </w:rPr>
        <w:t xml:space="preserve">help create a common understanding of hydrogeological risks. This </w:t>
      </w:r>
      <w:r>
        <w:rPr>
          <w:rFonts w:cstheme="minorHAnsi"/>
          <w:lang w:val="en-GB"/>
        </w:rPr>
        <w:t xml:space="preserve">would </w:t>
      </w:r>
      <w:r w:rsidRPr="00BF3D20">
        <w:rPr>
          <w:rFonts w:cstheme="minorHAnsi"/>
          <w:lang w:val="en-GB"/>
        </w:rPr>
        <w:t xml:space="preserve">allow </w:t>
      </w:r>
      <w:r>
        <w:rPr>
          <w:rFonts w:cstheme="minorHAnsi"/>
          <w:lang w:val="en-GB"/>
        </w:rPr>
        <w:t>national experts</w:t>
      </w:r>
      <w:r w:rsidRPr="00BF3D20">
        <w:rPr>
          <w:rFonts w:cstheme="minorHAnsi"/>
          <w:lang w:val="en-GB"/>
        </w:rPr>
        <w:t xml:space="preserve"> in both countries to collaborate effectively while retaining their national legal frameworks until a later stage of the </w:t>
      </w:r>
      <w:r>
        <w:rPr>
          <w:rFonts w:cstheme="minorHAnsi"/>
          <w:lang w:val="en-GB"/>
        </w:rPr>
        <w:t xml:space="preserve">DIKTAS II </w:t>
      </w:r>
      <w:r w:rsidRPr="00BF3D20">
        <w:rPr>
          <w:rFonts w:cstheme="minorHAnsi"/>
          <w:lang w:val="en-GB"/>
        </w:rPr>
        <w:t>project.</w:t>
      </w:r>
    </w:p>
    <w:p w14:paraId="0E972BD5" w14:textId="5B29C490" w:rsidR="00BF3D20" w:rsidRPr="00B26173" w:rsidRDefault="00BF3D20" w:rsidP="00BF3D20">
      <w:pPr>
        <w:pStyle w:val="Heading3"/>
        <w:rPr>
          <w:lang w:val="en-GB"/>
        </w:rPr>
      </w:pPr>
      <w:bookmarkStart w:id="31" w:name="_Toc225945281"/>
      <w:r w:rsidRPr="00B26173">
        <w:rPr>
          <w:lang w:val="en-GB"/>
        </w:rPr>
        <w:t>7.2.6 Using harmonised criteria to support coordinated communication with local actors</w:t>
      </w:r>
      <w:bookmarkEnd w:id="31"/>
    </w:p>
    <w:p w14:paraId="58794306" w14:textId="718D468D" w:rsidR="00BF3D20" w:rsidRPr="00BF3D20" w:rsidRDefault="00BF3D20" w:rsidP="00BF3D20">
      <w:pPr>
        <w:jc w:val="both"/>
        <w:rPr>
          <w:rFonts w:cstheme="minorHAnsi"/>
          <w:lang w:val="en-GB"/>
        </w:rPr>
      </w:pPr>
      <w:r w:rsidRPr="00BF3D20">
        <w:rPr>
          <w:rFonts w:cstheme="minorHAnsi"/>
          <w:lang w:val="en-GB"/>
        </w:rPr>
        <w:t>Operational harmonisation also requires clear and consistent messages toward municipalities, utilities, inspectorates and protected</w:t>
      </w:r>
      <w:r w:rsidRPr="00BF3D20">
        <w:rPr>
          <w:rFonts w:ascii="Cambria Math" w:hAnsi="Cambria Math" w:cs="Cambria Math"/>
          <w:lang w:val="en-GB"/>
        </w:rPr>
        <w:t>‑</w:t>
      </w:r>
      <w:r w:rsidRPr="00BF3D20">
        <w:rPr>
          <w:rFonts w:cstheme="minorHAnsi"/>
          <w:lang w:val="en-GB"/>
        </w:rPr>
        <w:t xml:space="preserve">area authorities. By basing future guidance on shared vulnerability concepts and risk indicators, both countries can ensure that local stakeholders receive </w:t>
      </w:r>
      <w:r w:rsidRPr="00BF3D20">
        <w:rPr>
          <w:rFonts w:cstheme="minorHAnsi"/>
          <w:lang w:val="en-GB"/>
        </w:rPr>
        <w:lastRenderedPageBreak/>
        <w:t>comparable instructions on sanitation management, agricultural practices or land</w:t>
      </w:r>
      <w:r w:rsidRPr="00BF3D20">
        <w:rPr>
          <w:rFonts w:ascii="Cambria Math" w:hAnsi="Cambria Math" w:cs="Cambria Math"/>
          <w:lang w:val="en-GB"/>
        </w:rPr>
        <w:t>‑</w:t>
      </w:r>
      <w:r w:rsidRPr="00BF3D20">
        <w:rPr>
          <w:rFonts w:cstheme="minorHAnsi"/>
          <w:lang w:val="en-GB"/>
        </w:rPr>
        <w:t xml:space="preserve">use decisions in </w:t>
      </w:r>
      <w:r>
        <w:rPr>
          <w:rFonts w:cstheme="minorHAnsi"/>
          <w:lang w:val="en-GB"/>
        </w:rPr>
        <w:t>vulnerable</w:t>
      </w:r>
      <w:r w:rsidRPr="00BF3D20">
        <w:rPr>
          <w:rFonts w:cstheme="minorHAnsi"/>
          <w:lang w:val="en-GB"/>
        </w:rPr>
        <w:t xml:space="preserve"> areas. This consistency will be essential when preparing the final phase of SPZ alignment within the project.</w:t>
      </w:r>
    </w:p>
    <w:p w14:paraId="3F0D234F" w14:textId="033D1F07" w:rsidR="00BF3D20" w:rsidRPr="00B26173" w:rsidRDefault="00BF3D20" w:rsidP="00BF3D20">
      <w:pPr>
        <w:pStyle w:val="Heading3"/>
        <w:rPr>
          <w:lang w:val="en-GB"/>
        </w:rPr>
      </w:pPr>
      <w:bookmarkStart w:id="32" w:name="_Toc225945282"/>
      <w:r w:rsidRPr="00B26173">
        <w:rPr>
          <w:lang w:val="en-GB"/>
        </w:rPr>
        <w:t>7.2.7 Creating an iterative framework for progressive alignment of SPZ management</w:t>
      </w:r>
      <w:bookmarkEnd w:id="32"/>
    </w:p>
    <w:p w14:paraId="5A16D38D" w14:textId="27085E62" w:rsidR="00F251C6" w:rsidRPr="00F251C6" w:rsidRDefault="00BF3D20" w:rsidP="00F251C6">
      <w:pPr>
        <w:jc w:val="both"/>
        <w:rPr>
          <w:rFonts w:cstheme="minorHAnsi"/>
          <w:lang w:val="en-GB"/>
        </w:rPr>
      </w:pPr>
      <w:r w:rsidRPr="00BF3D20">
        <w:rPr>
          <w:rFonts w:cstheme="minorHAnsi"/>
          <w:lang w:val="en-GB"/>
        </w:rPr>
        <w:t>These non</w:t>
      </w:r>
      <w:r w:rsidRPr="00BF3D20">
        <w:rPr>
          <w:rFonts w:ascii="Cambria Math" w:hAnsi="Cambria Math" w:cs="Cambria Math"/>
          <w:lang w:val="en-GB"/>
        </w:rPr>
        <w:t>‑</w:t>
      </w:r>
      <w:r w:rsidRPr="00BF3D20">
        <w:rPr>
          <w:rFonts w:cstheme="minorHAnsi"/>
          <w:lang w:val="en-GB"/>
        </w:rPr>
        <w:t xml:space="preserve">binding criteria are intended not as final rules, but as a structured starting point for building a fully harmonised SPZ management system over the course of the </w:t>
      </w:r>
      <w:r>
        <w:rPr>
          <w:rFonts w:cstheme="minorHAnsi"/>
          <w:lang w:val="en-GB"/>
        </w:rPr>
        <w:t xml:space="preserve">DIKTAS II </w:t>
      </w:r>
      <w:r w:rsidRPr="00BF3D20">
        <w:rPr>
          <w:rFonts w:cstheme="minorHAnsi"/>
          <w:lang w:val="en-GB"/>
        </w:rPr>
        <w:t>project. By applying common operational principles early</w:t>
      </w:r>
      <w:r>
        <w:rPr>
          <w:rFonts w:ascii="Calibri" w:hAnsi="Calibri" w:cs="Calibri"/>
          <w:lang w:val="en-GB"/>
        </w:rPr>
        <w:t xml:space="preserve">, </w:t>
      </w:r>
      <w:r w:rsidRPr="00BF3D20">
        <w:rPr>
          <w:rFonts w:cstheme="minorHAnsi"/>
          <w:lang w:val="en-GB"/>
        </w:rPr>
        <w:t xml:space="preserve">especially in </w:t>
      </w:r>
      <w:r>
        <w:rPr>
          <w:rFonts w:cstheme="minorHAnsi"/>
          <w:lang w:val="en-GB"/>
        </w:rPr>
        <w:t xml:space="preserve">possible </w:t>
      </w:r>
      <w:r w:rsidRPr="00BF3D20">
        <w:rPr>
          <w:rFonts w:cstheme="minorHAnsi"/>
          <w:lang w:val="en-GB"/>
        </w:rPr>
        <w:t>pilot areas</w:t>
      </w:r>
      <w:r>
        <w:rPr>
          <w:rFonts w:ascii="Calibri" w:hAnsi="Calibri" w:cs="Calibri"/>
          <w:lang w:val="en-GB"/>
        </w:rPr>
        <w:t xml:space="preserve">, </w:t>
      </w:r>
      <w:r w:rsidRPr="00BF3D20">
        <w:rPr>
          <w:rFonts w:cstheme="minorHAnsi"/>
          <w:lang w:val="en-GB"/>
        </w:rPr>
        <w:t xml:space="preserve">both countries </w:t>
      </w:r>
      <w:r w:rsidR="00011CA4">
        <w:rPr>
          <w:rFonts w:cstheme="minorHAnsi"/>
          <w:lang w:val="en-GB"/>
        </w:rPr>
        <w:t>would</w:t>
      </w:r>
      <w:r w:rsidRPr="00BF3D20">
        <w:rPr>
          <w:rFonts w:cstheme="minorHAnsi"/>
          <w:lang w:val="en-GB"/>
        </w:rPr>
        <w:t xml:space="preserve"> generate shared experience, comparable datasets and a mutual understanding of practical challenges. This iterative process </w:t>
      </w:r>
      <w:r w:rsidR="00011CA4">
        <w:rPr>
          <w:rFonts w:cstheme="minorHAnsi"/>
          <w:lang w:val="en-GB"/>
        </w:rPr>
        <w:t>would</w:t>
      </w:r>
      <w:r w:rsidRPr="00BF3D20">
        <w:rPr>
          <w:rFonts w:cstheme="minorHAnsi"/>
          <w:lang w:val="en-GB"/>
        </w:rPr>
        <w:t xml:space="preserve"> ultimately support the development of aligned SPZ methodologies and joint decision</w:t>
      </w:r>
      <w:r w:rsidRPr="00BF3D20">
        <w:rPr>
          <w:rFonts w:ascii="Cambria Math" w:hAnsi="Cambria Math" w:cs="Cambria Math"/>
          <w:lang w:val="en-GB"/>
        </w:rPr>
        <w:t>‑</w:t>
      </w:r>
      <w:r w:rsidRPr="00BF3D20">
        <w:rPr>
          <w:rFonts w:cstheme="minorHAnsi"/>
          <w:lang w:val="en-GB"/>
        </w:rPr>
        <w:t>support tools in the later implementation stages.</w:t>
      </w:r>
    </w:p>
    <w:p w14:paraId="38BEA5CF" w14:textId="6E237C9C" w:rsidR="00F251C6" w:rsidRPr="00033722" w:rsidRDefault="00F251C6" w:rsidP="00033722">
      <w:pPr>
        <w:pStyle w:val="Heading2"/>
        <w:rPr>
          <w:lang w:val="en-GB"/>
        </w:rPr>
      </w:pPr>
      <w:bookmarkStart w:id="33" w:name="_Toc225945283"/>
      <w:r w:rsidRPr="00033722">
        <w:rPr>
          <w:lang w:val="en-GB"/>
        </w:rPr>
        <w:t>7.</w:t>
      </w:r>
      <w:r w:rsidR="00033722" w:rsidRPr="00033722">
        <w:rPr>
          <w:lang w:val="en-GB"/>
        </w:rPr>
        <w:t>3</w:t>
      </w:r>
      <w:r w:rsidRPr="00033722">
        <w:rPr>
          <w:lang w:val="en-GB"/>
        </w:rPr>
        <w:t xml:space="preserve"> Shared </w:t>
      </w:r>
      <w:r w:rsidR="001F4170" w:rsidRPr="00033722">
        <w:rPr>
          <w:lang w:val="en-GB"/>
        </w:rPr>
        <w:t>t</w:t>
      </w:r>
      <w:r w:rsidRPr="00033722">
        <w:rPr>
          <w:lang w:val="en-GB"/>
        </w:rPr>
        <w:t xml:space="preserve">ools </w:t>
      </w:r>
      <w:r w:rsidR="001F4170" w:rsidRPr="00033722">
        <w:rPr>
          <w:lang w:val="en-GB"/>
        </w:rPr>
        <w:t>s</w:t>
      </w:r>
      <w:r w:rsidRPr="00033722">
        <w:rPr>
          <w:lang w:val="en-GB"/>
        </w:rPr>
        <w:t xml:space="preserve">upporting </w:t>
      </w:r>
      <w:r w:rsidR="001F4170" w:rsidRPr="00033722">
        <w:rPr>
          <w:lang w:val="en-GB"/>
        </w:rPr>
        <w:t>s</w:t>
      </w:r>
      <w:r w:rsidRPr="00033722">
        <w:rPr>
          <w:lang w:val="en-GB"/>
        </w:rPr>
        <w:t xml:space="preserve">anitary </w:t>
      </w:r>
      <w:r w:rsidR="001F4170" w:rsidRPr="00033722">
        <w:rPr>
          <w:lang w:val="en-GB"/>
        </w:rPr>
        <w:t>p</w:t>
      </w:r>
      <w:r w:rsidRPr="00033722">
        <w:rPr>
          <w:lang w:val="en-GB"/>
        </w:rPr>
        <w:t xml:space="preserve">rotection </w:t>
      </w:r>
      <w:r w:rsidR="001F4170" w:rsidRPr="00033722">
        <w:rPr>
          <w:lang w:val="en-GB"/>
        </w:rPr>
        <w:t>z</w:t>
      </w:r>
      <w:r w:rsidRPr="00033722">
        <w:rPr>
          <w:lang w:val="en-GB"/>
        </w:rPr>
        <w:t xml:space="preserve">one </w:t>
      </w:r>
      <w:r w:rsidR="001F4170" w:rsidRPr="00033722">
        <w:rPr>
          <w:lang w:val="en-GB"/>
        </w:rPr>
        <w:t>m</w:t>
      </w:r>
      <w:r w:rsidRPr="00033722">
        <w:rPr>
          <w:lang w:val="en-GB"/>
        </w:rPr>
        <w:t>anagement</w:t>
      </w:r>
      <w:bookmarkEnd w:id="33"/>
    </w:p>
    <w:p w14:paraId="2C3025DE" w14:textId="77777777" w:rsidR="001F4170" w:rsidRPr="001F4170" w:rsidRDefault="001F4170" w:rsidP="001F4170">
      <w:pPr>
        <w:jc w:val="both"/>
        <w:rPr>
          <w:rFonts w:cstheme="minorHAnsi"/>
          <w:lang w:val="en-GB"/>
        </w:rPr>
      </w:pPr>
      <w:r w:rsidRPr="001F4170">
        <w:rPr>
          <w:rFonts w:cstheme="minorHAnsi"/>
          <w:lang w:val="en-GB"/>
        </w:rPr>
        <w:t>Future efforts to improve the operational management of sanitary protection zones (SPZs) in shared karst aquifers may benefit from the gradual introduction of shared, non</w:t>
      </w:r>
      <w:r w:rsidRPr="001F4170">
        <w:rPr>
          <w:rFonts w:ascii="Cambria Math" w:hAnsi="Cambria Math" w:cs="Cambria Math"/>
          <w:lang w:val="en-GB"/>
        </w:rPr>
        <w:t>‑</w:t>
      </w:r>
      <w:r w:rsidRPr="001F4170">
        <w:rPr>
          <w:rFonts w:cstheme="minorHAnsi"/>
          <w:lang w:val="en-GB"/>
        </w:rPr>
        <w:t>binding technical tools. These tools are not intended to replace national procedures or prescribe uniform methods. Instead, they offer a common technical reference that both countries can draw upon when seeking to enhance comparability, strengthen coordination, or inform joint planning during later phases of the project.</w:t>
      </w:r>
    </w:p>
    <w:p w14:paraId="3FB4CF24" w14:textId="08306CB9" w:rsidR="00F251C6" w:rsidRPr="00F251C6" w:rsidRDefault="001F4170" w:rsidP="00F251C6">
      <w:pPr>
        <w:jc w:val="both"/>
        <w:rPr>
          <w:rFonts w:cstheme="minorHAnsi"/>
          <w:lang w:val="en-GB"/>
        </w:rPr>
      </w:pPr>
      <w:r w:rsidRPr="001F4170">
        <w:rPr>
          <w:rFonts w:cstheme="minorHAnsi"/>
          <w:lang w:val="en-GB"/>
        </w:rPr>
        <w:t>Because karst aquifers often exhibit rapid infiltration, complex subsurface pathways and strong responses to recharge events, SPZ</w:t>
      </w:r>
      <w:r w:rsidRPr="001F4170">
        <w:rPr>
          <w:rFonts w:ascii="Cambria Math" w:hAnsi="Cambria Math" w:cs="Cambria Math"/>
          <w:lang w:val="en-GB"/>
        </w:rPr>
        <w:t>‑</w:t>
      </w:r>
      <w:r w:rsidRPr="001F4170">
        <w:rPr>
          <w:rFonts w:cstheme="minorHAnsi"/>
          <w:lang w:val="en-GB"/>
        </w:rPr>
        <w:t xml:space="preserve">related decisions can be more effective when supported by analytical tools that capture these dynamics realistically. </w:t>
      </w:r>
      <w:r w:rsidR="00033722" w:rsidRPr="00033722">
        <w:rPr>
          <w:rFonts w:cstheme="minorHAnsi"/>
          <w:lang w:val="en-GB"/>
        </w:rPr>
        <w:t>Using compatible technical tools</w:t>
      </w:r>
      <w:r w:rsidR="00033722">
        <w:rPr>
          <w:rFonts w:cstheme="minorHAnsi"/>
          <w:lang w:val="en-GB"/>
        </w:rPr>
        <w:t>,</w:t>
      </w:r>
      <w:r w:rsidR="00033722" w:rsidRPr="00033722">
        <w:rPr>
          <w:rFonts w:cstheme="minorHAnsi"/>
          <w:lang w:val="en-GB"/>
        </w:rPr>
        <w:t xml:space="preserve"> with each country applying them in ways that fit its own systems</w:t>
      </w:r>
      <w:r w:rsidR="00033722">
        <w:rPr>
          <w:rFonts w:cstheme="minorHAnsi"/>
          <w:lang w:val="en-GB"/>
        </w:rPr>
        <w:t>,</w:t>
      </w:r>
      <w:r w:rsidR="00033722" w:rsidRPr="00033722">
        <w:rPr>
          <w:rFonts w:cstheme="minorHAnsi"/>
          <w:lang w:val="en-GB"/>
        </w:rPr>
        <w:t xml:space="preserve"> can help create a solid basis for future alignment, if both sides later decide to pursue it</w:t>
      </w:r>
      <w:r w:rsidR="00033722">
        <w:rPr>
          <w:rFonts w:cstheme="minorHAnsi"/>
          <w:lang w:val="en-GB"/>
        </w:rPr>
        <w:t>.</w:t>
      </w:r>
    </w:p>
    <w:p w14:paraId="5F87A728" w14:textId="48C6D660" w:rsidR="00033722" w:rsidRPr="00B26173" w:rsidRDefault="00033722" w:rsidP="00033722">
      <w:pPr>
        <w:pStyle w:val="Heading3"/>
        <w:rPr>
          <w:lang w:val="en-GB"/>
        </w:rPr>
      </w:pPr>
      <w:bookmarkStart w:id="34" w:name="_Toc225945284"/>
      <w:r w:rsidRPr="00B26173">
        <w:rPr>
          <w:lang w:val="en-GB"/>
        </w:rPr>
        <w:t>7.3.1 Joint approaches for investigating recharge areas and flow connectivity</w:t>
      </w:r>
      <w:bookmarkEnd w:id="34"/>
    </w:p>
    <w:p w14:paraId="2EAB57EE" w14:textId="5B30AAF5" w:rsidR="00033722" w:rsidRPr="00033722" w:rsidRDefault="00033722" w:rsidP="00033722">
      <w:pPr>
        <w:jc w:val="both"/>
        <w:rPr>
          <w:rFonts w:cstheme="minorHAnsi"/>
          <w:lang w:val="en-GB"/>
        </w:rPr>
      </w:pPr>
      <w:r w:rsidRPr="00033722">
        <w:rPr>
          <w:rFonts w:cstheme="minorHAnsi"/>
          <w:lang w:val="en-GB"/>
        </w:rPr>
        <w:t>A priority for future alignment is the use of shared methods for identifying recharge zones and clarifying dominant flow. Techniques such as tracer tests, simultaneous spring measurements, structural mapping and targeted field reconnaissance may be applied independently by each country but interpreted through a shared framework. This ensures that recharge zones influencing downstream drinking</w:t>
      </w:r>
      <w:r w:rsidRPr="00033722">
        <w:rPr>
          <w:rFonts w:ascii="Cambria Math" w:hAnsi="Cambria Math" w:cs="Cambria Math"/>
          <w:lang w:val="en-GB"/>
        </w:rPr>
        <w:t>‑</w:t>
      </w:r>
      <w:r w:rsidRPr="00033722">
        <w:rPr>
          <w:rFonts w:cstheme="minorHAnsi"/>
          <w:lang w:val="en-GB"/>
        </w:rPr>
        <w:t>water supplies are consistently recognised and managed, regardless of administrative boundaries.</w:t>
      </w:r>
      <w:r>
        <w:rPr>
          <w:rFonts w:cstheme="minorHAnsi"/>
          <w:lang w:val="en-GB"/>
        </w:rPr>
        <w:t xml:space="preserve"> </w:t>
      </w:r>
      <w:r w:rsidRPr="00033722">
        <w:rPr>
          <w:rFonts w:cstheme="minorHAnsi"/>
          <w:lang w:val="en-GB"/>
        </w:rPr>
        <w:t>Common approaches to recharge analysis will also support the refinement of SPZ operational measures, especially in sectors with rapid transport and high vulnerability</w:t>
      </w:r>
      <w:r>
        <w:rPr>
          <w:rFonts w:cstheme="minorHAnsi"/>
          <w:lang w:val="en-GB"/>
        </w:rPr>
        <w:t xml:space="preserve"> (</w:t>
      </w:r>
      <w:r w:rsidRPr="00011CA4">
        <w:rPr>
          <w:rFonts w:cstheme="minorHAnsi"/>
          <w:lang w:val="en-GB"/>
        </w:rPr>
        <w:t>Zwahlen</w:t>
      </w:r>
      <w:r>
        <w:rPr>
          <w:rFonts w:cstheme="minorHAnsi"/>
          <w:lang w:val="en-GB"/>
        </w:rPr>
        <w:t>, 2004)</w:t>
      </w:r>
      <w:r w:rsidRPr="00033722">
        <w:rPr>
          <w:rFonts w:cstheme="minorHAnsi"/>
          <w:lang w:val="en-GB"/>
        </w:rPr>
        <w:t xml:space="preserve">. </w:t>
      </w:r>
    </w:p>
    <w:p w14:paraId="7E590ED0" w14:textId="3ECB159C" w:rsidR="00033722" w:rsidRPr="00B26173" w:rsidRDefault="00033722" w:rsidP="00033722">
      <w:pPr>
        <w:pStyle w:val="Heading3"/>
        <w:rPr>
          <w:lang w:val="en-GB"/>
        </w:rPr>
      </w:pPr>
      <w:bookmarkStart w:id="35" w:name="_Toc225945285"/>
      <w:r w:rsidRPr="00B26173">
        <w:rPr>
          <w:lang w:val="en-GB"/>
        </w:rPr>
        <w:t>7.3.2 Harmonised use of vulnerability</w:t>
      </w:r>
      <w:r w:rsidRPr="00B26173">
        <w:rPr>
          <w:rFonts w:ascii="Cambria Math" w:hAnsi="Cambria Math" w:cs="Cambria Math"/>
          <w:lang w:val="en-GB"/>
        </w:rPr>
        <w:t>‑</w:t>
      </w:r>
      <w:r w:rsidRPr="00B26173">
        <w:rPr>
          <w:lang w:val="en-GB"/>
        </w:rPr>
        <w:t>based assessment tools</w:t>
      </w:r>
      <w:bookmarkEnd w:id="35"/>
    </w:p>
    <w:p w14:paraId="0146D33E" w14:textId="4F6164FF" w:rsidR="00033722" w:rsidRPr="00033722" w:rsidRDefault="00033722" w:rsidP="00033722">
      <w:pPr>
        <w:jc w:val="both"/>
        <w:rPr>
          <w:rFonts w:cstheme="minorHAnsi"/>
          <w:lang w:val="en-GB"/>
        </w:rPr>
      </w:pPr>
      <w:r>
        <w:rPr>
          <w:rFonts w:cstheme="minorHAnsi"/>
          <w:lang w:val="en-GB"/>
        </w:rPr>
        <w:t>B</w:t>
      </w:r>
      <w:r w:rsidRPr="00033722">
        <w:rPr>
          <w:rFonts w:cstheme="minorHAnsi"/>
          <w:lang w:val="en-GB"/>
        </w:rPr>
        <w:t>oth countries can apply a consistent set of vulnerability</w:t>
      </w:r>
      <w:r w:rsidRPr="00033722">
        <w:rPr>
          <w:rFonts w:ascii="Cambria Math" w:hAnsi="Cambria Math" w:cs="Cambria Math"/>
          <w:lang w:val="en-GB"/>
        </w:rPr>
        <w:t>‑</w:t>
      </w:r>
      <w:r w:rsidRPr="00033722">
        <w:rPr>
          <w:rFonts w:cstheme="minorHAnsi"/>
          <w:lang w:val="en-GB"/>
        </w:rPr>
        <w:t>oriented tools to support SPZ operations. These may include GIS</w:t>
      </w:r>
      <w:r w:rsidRPr="00033722">
        <w:rPr>
          <w:rFonts w:ascii="Cambria Math" w:hAnsi="Cambria Math" w:cs="Cambria Math"/>
          <w:lang w:val="en-GB"/>
        </w:rPr>
        <w:t>‑</w:t>
      </w:r>
      <w:r w:rsidRPr="00033722">
        <w:rPr>
          <w:rFonts w:cstheme="minorHAnsi"/>
          <w:lang w:val="en-GB"/>
        </w:rPr>
        <w:t>based overlays of overlying layers, infiltration features, precipitation patterns and karst network indicators</w:t>
      </w:r>
      <w:r w:rsidR="00F26451">
        <w:rPr>
          <w:rFonts w:cstheme="minorHAnsi"/>
          <w:lang w:val="en-GB"/>
        </w:rPr>
        <w:t xml:space="preserve"> (</w:t>
      </w:r>
      <w:r w:rsidR="00F26451" w:rsidRPr="00011CA4">
        <w:rPr>
          <w:rFonts w:cstheme="minorHAnsi"/>
          <w:lang w:val="en-GB"/>
        </w:rPr>
        <w:t>Zwahlen</w:t>
      </w:r>
      <w:r w:rsidR="00F26451">
        <w:rPr>
          <w:rFonts w:cstheme="minorHAnsi"/>
          <w:lang w:val="en-GB"/>
        </w:rPr>
        <w:t>, 2004)</w:t>
      </w:r>
      <w:r w:rsidRPr="00033722">
        <w:rPr>
          <w:rFonts w:cstheme="minorHAnsi"/>
          <w:lang w:val="en-GB"/>
        </w:rPr>
        <w:t xml:space="preserve">. Tools of this type help identify </w:t>
      </w:r>
      <w:r w:rsidR="00F26451">
        <w:rPr>
          <w:rFonts w:cstheme="minorHAnsi"/>
          <w:lang w:val="en-GB"/>
        </w:rPr>
        <w:t>vulnerable</w:t>
      </w:r>
      <w:r w:rsidRPr="00033722">
        <w:rPr>
          <w:rFonts w:cstheme="minorHAnsi"/>
          <w:lang w:val="en-GB"/>
        </w:rPr>
        <w:t xml:space="preserve"> sectors requiring enhanced inspection, stricter land</w:t>
      </w:r>
      <w:r w:rsidRPr="00033722">
        <w:rPr>
          <w:rFonts w:ascii="Cambria Math" w:hAnsi="Cambria Math" w:cs="Cambria Math"/>
          <w:lang w:val="en-GB"/>
        </w:rPr>
        <w:t>‑</w:t>
      </w:r>
      <w:r w:rsidRPr="00033722">
        <w:rPr>
          <w:rFonts w:cstheme="minorHAnsi"/>
          <w:lang w:val="en-GB"/>
        </w:rPr>
        <w:t>use guidance or targeted monitoring.</w:t>
      </w:r>
      <w:r>
        <w:rPr>
          <w:rFonts w:cstheme="minorHAnsi"/>
          <w:lang w:val="en-GB"/>
        </w:rPr>
        <w:t xml:space="preserve"> </w:t>
      </w:r>
      <w:r w:rsidRPr="00033722">
        <w:rPr>
          <w:rFonts w:cstheme="minorHAnsi"/>
          <w:lang w:val="en-GB"/>
        </w:rPr>
        <w:t xml:space="preserve">Shared vulnerability tools will be essential in the next phases of the project, where harmonisation efforts will rely on a transparent and consistent assessment of the protection level provided by natural hydrogeological conditions. </w:t>
      </w:r>
    </w:p>
    <w:p w14:paraId="15229651" w14:textId="15DFFFAA" w:rsidR="00033722" w:rsidRPr="00B26173" w:rsidRDefault="00295DC1" w:rsidP="00295DC1">
      <w:pPr>
        <w:pStyle w:val="Heading3"/>
        <w:rPr>
          <w:lang w:val="en-GB"/>
        </w:rPr>
      </w:pPr>
      <w:bookmarkStart w:id="36" w:name="_Toc225945286"/>
      <w:r w:rsidRPr="00B26173">
        <w:rPr>
          <w:lang w:val="en-GB"/>
        </w:rPr>
        <w:t>7.3.</w:t>
      </w:r>
      <w:r w:rsidR="00033722" w:rsidRPr="00B26173">
        <w:rPr>
          <w:lang w:val="en-GB"/>
        </w:rPr>
        <w:t>3 Event</w:t>
      </w:r>
      <w:r w:rsidR="00033722" w:rsidRPr="00B26173">
        <w:rPr>
          <w:rFonts w:ascii="Cambria Math" w:hAnsi="Cambria Math" w:cs="Cambria Math"/>
          <w:lang w:val="en-GB"/>
        </w:rPr>
        <w:t>‑</w:t>
      </w:r>
      <w:r w:rsidR="00033722" w:rsidRPr="00B26173">
        <w:rPr>
          <w:lang w:val="en-GB"/>
        </w:rPr>
        <w:t>responsive tools for early detection and operational decision</w:t>
      </w:r>
      <w:r w:rsidR="00033722" w:rsidRPr="00B26173">
        <w:rPr>
          <w:rFonts w:ascii="Cambria Math" w:hAnsi="Cambria Math" w:cs="Cambria Math"/>
          <w:lang w:val="en-GB"/>
        </w:rPr>
        <w:t>‑</w:t>
      </w:r>
      <w:r w:rsidR="00033722" w:rsidRPr="00B26173">
        <w:rPr>
          <w:lang w:val="en-GB"/>
        </w:rPr>
        <w:t>making</w:t>
      </w:r>
      <w:bookmarkEnd w:id="36"/>
    </w:p>
    <w:p w14:paraId="4B0E491E" w14:textId="0075E693" w:rsidR="00033722" w:rsidRPr="00033722" w:rsidRDefault="00033722" w:rsidP="00033722">
      <w:pPr>
        <w:jc w:val="both"/>
        <w:rPr>
          <w:rFonts w:cstheme="minorHAnsi"/>
          <w:lang w:val="en-GB"/>
        </w:rPr>
      </w:pPr>
      <w:r w:rsidRPr="00033722">
        <w:rPr>
          <w:rFonts w:cstheme="minorHAnsi"/>
          <w:lang w:val="en-GB"/>
        </w:rPr>
        <w:t>Given the strong event</w:t>
      </w:r>
      <w:r w:rsidRPr="00033722">
        <w:rPr>
          <w:rFonts w:ascii="Cambria Math" w:hAnsi="Cambria Math" w:cs="Cambria Math"/>
          <w:lang w:val="en-GB"/>
        </w:rPr>
        <w:t>‑</w:t>
      </w:r>
      <w:r w:rsidRPr="00033722">
        <w:rPr>
          <w:rFonts w:cstheme="minorHAnsi"/>
          <w:lang w:val="en-GB"/>
        </w:rPr>
        <w:t>driven behaviour of karst aquifers, joint SPZ management will rely on event</w:t>
      </w:r>
      <w:r w:rsidRPr="00033722">
        <w:rPr>
          <w:rFonts w:ascii="Cambria Math" w:hAnsi="Cambria Math" w:cs="Cambria Math"/>
          <w:lang w:val="en-GB"/>
        </w:rPr>
        <w:t>‑</w:t>
      </w:r>
      <w:r w:rsidRPr="00033722">
        <w:rPr>
          <w:rFonts w:cstheme="minorHAnsi"/>
          <w:lang w:val="en-GB"/>
        </w:rPr>
        <w:t>responsive tools such as turbidity</w:t>
      </w:r>
      <w:r w:rsidRPr="00033722">
        <w:rPr>
          <w:rFonts w:ascii="Cambria Math" w:hAnsi="Cambria Math" w:cs="Cambria Math"/>
          <w:lang w:val="en-GB"/>
        </w:rPr>
        <w:t>‑</w:t>
      </w:r>
      <w:r w:rsidRPr="00033722">
        <w:rPr>
          <w:rFonts w:cstheme="minorHAnsi"/>
          <w:lang w:val="en-GB"/>
        </w:rPr>
        <w:t>trigger thresholds, rainfall</w:t>
      </w:r>
      <w:r w:rsidRPr="00033722">
        <w:rPr>
          <w:rFonts w:ascii="Cambria Math" w:hAnsi="Cambria Math" w:cs="Cambria Math"/>
          <w:lang w:val="en-GB"/>
        </w:rPr>
        <w:t>‑</w:t>
      </w:r>
      <w:r w:rsidRPr="00033722">
        <w:rPr>
          <w:rFonts w:cstheme="minorHAnsi"/>
          <w:lang w:val="en-GB"/>
        </w:rPr>
        <w:t>intensity indices, rapid conductivity shifts, or early</w:t>
      </w:r>
      <w:r w:rsidRPr="00033722">
        <w:rPr>
          <w:rFonts w:ascii="Cambria Math" w:hAnsi="Cambria Math" w:cs="Cambria Math"/>
          <w:lang w:val="en-GB"/>
        </w:rPr>
        <w:t>‑</w:t>
      </w:r>
      <w:r w:rsidRPr="00033722">
        <w:rPr>
          <w:rFonts w:cstheme="minorHAnsi"/>
          <w:lang w:val="en-GB"/>
        </w:rPr>
        <w:t>warning</w:t>
      </w:r>
      <w:r w:rsidR="00295DC1">
        <w:rPr>
          <w:rFonts w:cstheme="minorHAnsi"/>
          <w:lang w:val="en-GB"/>
        </w:rPr>
        <w:t xml:space="preserve">s </w:t>
      </w:r>
      <w:r w:rsidRPr="00033722">
        <w:rPr>
          <w:rFonts w:cstheme="minorHAnsi"/>
          <w:lang w:val="en-GB"/>
        </w:rPr>
        <w:t>based on spring hydrographs. These tools</w:t>
      </w:r>
      <w:r w:rsidR="00295DC1">
        <w:rPr>
          <w:rFonts w:cstheme="minorHAnsi"/>
          <w:lang w:val="en-GB"/>
        </w:rPr>
        <w:t xml:space="preserve"> would</w:t>
      </w:r>
      <w:r w:rsidRPr="00033722">
        <w:rPr>
          <w:rFonts w:cstheme="minorHAnsi"/>
          <w:lang w:val="en-GB"/>
        </w:rPr>
        <w:t xml:space="preserve"> help identify </w:t>
      </w:r>
      <w:r w:rsidRPr="00033722">
        <w:rPr>
          <w:rFonts w:cstheme="minorHAnsi"/>
          <w:lang w:val="en-GB"/>
        </w:rPr>
        <w:lastRenderedPageBreak/>
        <w:t>contamination risks at the earliest possible stage and can be applied simultaneously on both sides of the border.</w:t>
      </w:r>
      <w:r w:rsidR="00295DC1">
        <w:rPr>
          <w:rFonts w:cstheme="minorHAnsi"/>
          <w:lang w:val="en-GB"/>
        </w:rPr>
        <w:t xml:space="preserve"> </w:t>
      </w:r>
      <w:r w:rsidRPr="00033722">
        <w:rPr>
          <w:rFonts w:cstheme="minorHAnsi"/>
          <w:lang w:val="en-GB"/>
        </w:rPr>
        <w:t>The coordinated use of event</w:t>
      </w:r>
      <w:r w:rsidRPr="00033722">
        <w:rPr>
          <w:rFonts w:ascii="Cambria Math" w:hAnsi="Cambria Math" w:cs="Cambria Math"/>
          <w:lang w:val="en-GB"/>
        </w:rPr>
        <w:t>‑</w:t>
      </w:r>
      <w:r w:rsidRPr="00033722">
        <w:rPr>
          <w:rFonts w:cstheme="minorHAnsi"/>
          <w:lang w:val="en-GB"/>
        </w:rPr>
        <w:t xml:space="preserve">based triggers strengthens operational readiness and supports quicker, more aligned responses during periods of heightened vulnerability. </w:t>
      </w:r>
    </w:p>
    <w:p w14:paraId="7E17ED65" w14:textId="7399CBF0" w:rsidR="00033722" w:rsidRPr="00B26173" w:rsidRDefault="00295DC1" w:rsidP="00295DC1">
      <w:pPr>
        <w:pStyle w:val="Heading3"/>
        <w:rPr>
          <w:lang w:val="en-GB"/>
        </w:rPr>
      </w:pPr>
      <w:bookmarkStart w:id="37" w:name="_Toc225945287"/>
      <w:r w:rsidRPr="00B26173">
        <w:rPr>
          <w:lang w:val="en-GB"/>
        </w:rPr>
        <w:t>7.3.</w:t>
      </w:r>
      <w:r w:rsidR="00033722" w:rsidRPr="00B26173">
        <w:rPr>
          <w:lang w:val="en-GB"/>
        </w:rPr>
        <w:t>4 Spatial tools for identifying hotspots and prioritising interventions</w:t>
      </w:r>
      <w:bookmarkEnd w:id="37"/>
    </w:p>
    <w:p w14:paraId="41F7929E" w14:textId="461B3BD7" w:rsidR="00033722" w:rsidRPr="00033722" w:rsidRDefault="00033722" w:rsidP="00033722">
      <w:pPr>
        <w:jc w:val="both"/>
        <w:rPr>
          <w:rFonts w:cstheme="minorHAnsi"/>
          <w:lang w:val="en-GB"/>
        </w:rPr>
      </w:pPr>
      <w:r w:rsidRPr="00033722">
        <w:rPr>
          <w:rFonts w:cstheme="minorHAnsi"/>
          <w:lang w:val="en-GB"/>
        </w:rPr>
        <w:t>Shared GIS</w:t>
      </w:r>
      <w:r w:rsidRPr="00033722">
        <w:rPr>
          <w:rFonts w:ascii="Cambria Math" w:hAnsi="Cambria Math" w:cs="Cambria Math"/>
          <w:lang w:val="en-GB"/>
        </w:rPr>
        <w:t>‑</w:t>
      </w:r>
      <w:r w:rsidRPr="00033722">
        <w:rPr>
          <w:rFonts w:cstheme="minorHAnsi"/>
          <w:lang w:val="en-GB"/>
        </w:rPr>
        <w:t>based tools can help identify pollution hotspots by combining land</w:t>
      </w:r>
      <w:r w:rsidRPr="00033722">
        <w:rPr>
          <w:rFonts w:ascii="Cambria Math" w:hAnsi="Cambria Math" w:cs="Cambria Math"/>
          <w:lang w:val="en-GB"/>
        </w:rPr>
        <w:t>‑</w:t>
      </w:r>
      <w:r w:rsidRPr="00033722">
        <w:rPr>
          <w:rFonts w:cstheme="minorHAnsi"/>
          <w:lang w:val="en-GB"/>
        </w:rPr>
        <w:t xml:space="preserve">use information, infiltration features, known contaminant sources and monitoring results. Such tools </w:t>
      </w:r>
      <w:r w:rsidR="00295DC1">
        <w:rPr>
          <w:rFonts w:cstheme="minorHAnsi"/>
          <w:lang w:val="en-GB"/>
        </w:rPr>
        <w:t xml:space="preserve">would </w:t>
      </w:r>
      <w:r w:rsidRPr="00033722">
        <w:rPr>
          <w:rFonts w:cstheme="minorHAnsi"/>
          <w:lang w:val="en-GB"/>
        </w:rPr>
        <w:t>enable both countries to prioritise inspections, target sanitation improvements, design tourism</w:t>
      </w:r>
      <w:r w:rsidRPr="00033722">
        <w:rPr>
          <w:rFonts w:ascii="Cambria Math" w:hAnsi="Cambria Math" w:cs="Cambria Math"/>
          <w:lang w:val="en-GB"/>
        </w:rPr>
        <w:t>‑</w:t>
      </w:r>
      <w:r w:rsidRPr="00033722">
        <w:rPr>
          <w:rFonts w:cstheme="minorHAnsi"/>
          <w:lang w:val="en-GB"/>
        </w:rPr>
        <w:t>management measures, or plan agricultural outreach in high</w:t>
      </w:r>
      <w:r w:rsidRPr="00033722">
        <w:rPr>
          <w:rFonts w:ascii="Cambria Math" w:hAnsi="Cambria Math" w:cs="Cambria Math"/>
          <w:lang w:val="en-GB"/>
        </w:rPr>
        <w:t>‑</w:t>
      </w:r>
      <w:r w:rsidRPr="00033722">
        <w:rPr>
          <w:rFonts w:cstheme="minorHAnsi"/>
          <w:lang w:val="en-GB"/>
        </w:rPr>
        <w:t>risk areas.</w:t>
      </w:r>
      <w:r w:rsidR="00295DC1">
        <w:rPr>
          <w:rFonts w:cstheme="minorHAnsi"/>
          <w:lang w:val="en-GB"/>
        </w:rPr>
        <w:t xml:space="preserve"> </w:t>
      </w:r>
      <w:r w:rsidRPr="00033722">
        <w:rPr>
          <w:rFonts w:cstheme="minorHAnsi"/>
          <w:lang w:val="en-GB"/>
        </w:rPr>
        <w:t>Developing a common spatial logic for identifying hotspots will support future SPZ alignment by ensuring that interventions are guided by a comparable understanding of risk factors.</w:t>
      </w:r>
    </w:p>
    <w:p w14:paraId="51C07EE1" w14:textId="3FA10AEE" w:rsidR="00033722" w:rsidRPr="00B26173" w:rsidRDefault="00295DC1" w:rsidP="00295DC1">
      <w:pPr>
        <w:pStyle w:val="Heading3"/>
        <w:rPr>
          <w:lang w:val="en-GB"/>
        </w:rPr>
      </w:pPr>
      <w:bookmarkStart w:id="38" w:name="_Toc225945288"/>
      <w:r w:rsidRPr="00B26173">
        <w:rPr>
          <w:lang w:val="en-GB"/>
        </w:rPr>
        <w:t>7.3.</w:t>
      </w:r>
      <w:r w:rsidR="00033722" w:rsidRPr="00B26173">
        <w:rPr>
          <w:lang w:val="en-GB"/>
        </w:rPr>
        <w:t>5 Joint operational checklists and SPZ compliance tools</w:t>
      </w:r>
      <w:bookmarkEnd w:id="38"/>
    </w:p>
    <w:p w14:paraId="49A5F81D" w14:textId="49E22218" w:rsidR="00033722" w:rsidRPr="00033722" w:rsidRDefault="00033722" w:rsidP="00033722">
      <w:pPr>
        <w:jc w:val="both"/>
        <w:rPr>
          <w:rFonts w:cstheme="minorHAnsi"/>
          <w:lang w:val="en-GB"/>
        </w:rPr>
      </w:pPr>
      <w:r w:rsidRPr="00033722">
        <w:rPr>
          <w:rFonts w:cstheme="minorHAnsi"/>
          <w:lang w:val="en-GB"/>
        </w:rPr>
        <w:t>Standardised checklists, SPZ</w:t>
      </w:r>
      <w:r w:rsidRPr="00033722">
        <w:rPr>
          <w:rFonts w:ascii="Cambria Math" w:hAnsi="Cambria Math" w:cs="Cambria Math"/>
          <w:lang w:val="en-GB"/>
        </w:rPr>
        <w:t>‑</w:t>
      </w:r>
      <w:r w:rsidRPr="00033722">
        <w:rPr>
          <w:rFonts w:cstheme="minorHAnsi"/>
          <w:lang w:val="en-GB"/>
        </w:rPr>
        <w:t>operations logs and common reporting formats can help inspectorates and water</w:t>
      </w:r>
      <w:r w:rsidRPr="00033722">
        <w:rPr>
          <w:rFonts w:ascii="Cambria Math" w:hAnsi="Cambria Math" w:cs="Cambria Math"/>
          <w:lang w:val="en-GB"/>
        </w:rPr>
        <w:t>‑</w:t>
      </w:r>
      <w:r w:rsidRPr="00033722">
        <w:rPr>
          <w:rFonts w:cstheme="minorHAnsi"/>
          <w:lang w:val="en-GB"/>
        </w:rPr>
        <w:t xml:space="preserve">supply operators apply comparable procedures across borders. These tools </w:t>
      </w:r>
      <w:r w:rsidR="00295DC1">
        <w:rPr>
          <w:rFonts w:cstheme="minorHAnsi"/>
          <w:lang w:val="en-GB"/>
        </w:rPr>
        <w:t xml:space="preserve">would </w:t>
      </w:r>
      <w:r w:rsidRPr="00033722">
        <w:rPr>
          <w:rFonts w:cstheme="minorHAnsi"/>
          <w:lang w:val="en-GB"/>
        </w:rPr>
        <w:t>provide practical guidance for routine operations such as inspection scheduling, documentation of field findings, follow</w:t>
      </w:r>
      <w:r w:rsidRPr="00033722">
        <w:rPr>
          <w:rFonts w:ascii="Cambria Math" w:hAnsi="Cambria Math" w:cs="Cambria Math"/>
          <w:lang w:val="en-GB"/>
        </w:rPr>
        <w:t>‑</w:t>
      </w:r>
      <w:r w:rsidRPr="00033722">
        <w:rPr>
          <w:rFonts w:cstheme="minorHAnsi"/>
          <w:lang w:val="en-GB"/>
        </w:rPr>
        <w:t>up actions, or the handling of event</w:t>
      </w:r>
      <w:r w:rsidRPr="00033722">
        <w:rPr>
          <w:rFonts w:ascii="Cambria Math" w:hAnsi="Cambria Math" w:cs="Cambria Math"/>
          <w:lang w:val="en-GB"/>
        </w:rPr>
        <w:t>‑</w:t>
      </w:r>
      <w:r w:rsidRPr="00033722">
        <w:rPr>
          <w:rFonts w:cstheme="minorHAnsi"/>
          <w:lang w:val="en-GB"/>
        </w:rPr>
        <w:t>driven anomalies.</w:t>
      </w:r>
      <w:r w:rsidR="00295DC1">
        <w:rPr>
          <w:rFonts w:cstheme="minorHAnsi"/>
          <w:lang w:val="en-GB"/>
        </w:rPr>
        <w:t xml:space="preserve"> </w:t>
      </w:r>
      <w:r w:rsidRPr="00033722">
        <w:rPr>
          <w:rFonts w:cstheme="minorHAnsi"/>
          <w:lang w:val="en-GB"/>
        </w:rPr>
        <w:t xml:space="preserve">Such shared operational tools are simple yet powerful mechanisms for building consistency and </w:t>
      </w:r>
      <w:r w:rsidR="00295DC1">
        <w:rPr>
          <w:rFonts w:cstheme="minorHAnsi"/>
          <w:lang w:val="en-GB"/>
        </w:rPr>
        <w:t>would</w:t>
      </w:r>
      <w:r w:rsidRPr="00033722">
        <w:rPr>
          <w:rFonts w:cstheme="minorHAnsi"/>
          <w:lang w:val="en-GB"/>
        </w:rPr>
        <w:t xml:space="preserve"> serve as </w:t>
      </w:r>
      <w:r w:rsidR="00295DC1">
        <w:rPr>
          <w:rFonts w:cstheme="minorHAnsi"/>
          <w:lang w:val="en-GB"/>
        </w:rPr>
        <w:t>a step ahead</w:t>
      </w:r>
      <w:r w:rsidRPr="00033722">
        <w:rPr>
          <w:rFonts w:cstheme="minorHAnsi"/>
          <w:lang w:val="en-GB"/>
        </w:rPr>
        <w:t xml:space="preserve"> toward formal harmonisation of SPZ operational guidelines in later phases</w:t>
      </w:r>
      <w:r w:rsidR="00295DC1">
        <w:rPr>
          <w:rFonts w:cstheme="minorHAnsi"/>
          <w:lang w:val="en-GB"/>
        </w:rPr>
        <w:t xml:space="preserve"> of the DIKTAS II project</w:t>
      </w:r>
      <w:r w:rsidRPr="00033722">
        <w:rPr>
          <w:rFonts w:cstheme="minorHAnsi"/>
          <w:lang w:val="en-GB"/>
        </w:rPr>
        <w:t>.</w:t>
      </w:r>
    </w:p>
    <w:p w14:paraId="7F2C4F17" w14:textId="773D60B2" w:rsidR="00033722" w:rsidRPr="00B26173" w:rsidRDefault="00295DC1" w:rsidP="00295DC1">
      <w:pPr>
        <w:pStyle w:val="Heading3"/>
        <w:rPr>
          <w:lang w:val="en-GB"/>
        </w:rPr>
      </w:pPr>
      <w:bookmarkStart w:id="39" w:name="_Toc225945289"/>
      <w:r w:rsidRPr="00B26173">
        <w:rPr>
          <w:lang w:val="en-GB"/>
        </w:rPr>
        <w:t>7.3.</w:t>
      </w:r>
      <w:r w:rsidR="00033722" w:rsidRPr="00B26173">
        <w:rPr>
          <w:lang w:val="en-GB"/>
        </w:rPr>
        <w:t>6 Harmonised data</w:t>
      </w:r>
      <w:r w:rsidR="00033722" w:rsidRPr="00B26173">
        <w:rPr>
          <w:rFonts w:ascii="Cambria Math" w:hAnsi="Cambria Math" w:cs="Cambria Math"/>
          <w:lang w:val="en-GB"/>
        </w:rPr>
        <w:t>‑</w:t>
      </w:r>
      <w:r w:rsidR="00033722" w:rsidRPr="00B26173">
        <w:rPr>
          <w:lang w:val="en-GB"/>
        </w:rPr>
        <w:t>processing and visualisation tools</w:t>
      </w:r>
      <w:bookmarkEnd w:id="39"/>
    </w:p>
    <w:p w14:paraId="09104C20" w14:textId="4C4C316B" w:rsidR="00033722" w:rsidRPr="00033722" w:rsidRDefault="00033722" w:rsidP="00033722">
      <w:pPr>
        <w:jc w:val="both"/>
        <w:rPr>
          <w:rFonts w:cstheme="minorHAnsi"/>
          <w:lang w:val="en-GB"/>
        </w:rPr>
      </w:pPr>
      <w:r w:rsidRPr="00033722">
        <w:rPr>
          <w:rFonts w:cstheme="minorHAnsi"/>
          <w:lang w:val="en-GB"/>
        </w:rPr>
        <w:t>A future</w:t>
      </w:r>
      <w:r w:rsidRPr="00033722">
        <w:rPr>
          <w:rFonts w:ascii="Cambria Math" w:hAnsi="Cambria Math" w:cs="Cambria Math"/>
          <w:lang w:val="en-GB"/>
        </w:rPr>
        <w:t>‑</w:t>
      </w:r>
      <w:r w:rsidRPr="00033722">
        <w:rPr>
          <w:rFonts w:cstheme="minorHAnsi"/>
          <w:lang w:val="en-GB"/>
        </w:rPr>
        <w:t xml:space="preserve">oriented SPZ management system </w:t>
      </w:r>
      <w:r w:rsidR="00295DC1">
        <w:rPr>
          <w:rFonts w:cstheme="minorHAnsi"/>
          <w:lang w:val="en-GB"/>
        </w:rPr>
        <w:t>would</w:t>
      </w:r>
      <w:r w:rsidRPr="00033722">
        <w:rPr>
          <w:rFonts w:cstheme="minorHAnsi"/>
          <w:lang w:val="en-GB"/>
        </w:rPr>
        <w:t xml:space="preserve"> benefit from tools that ensure consistent processing of monitoring results and their integration into spatial and temporal analyses. These tools may include standardised templates for time</w:t>
      </w:r>
      <w:r w:rsidRPr="00033722">
        <w:rPr>
          <w:rFonts w:ascii="Cambria Math" w:hAnsi="Cambria Math" w:cs="Cambria Math"/>
          <w:lang w:val="en-GB"/>
        </w:rPr>
        <w:t>‑</w:t>
      </w:r>
      <w:r w:rsidRPr="00033722">
        <w:rPr>
          <w:rFonts w:cstheme="minorHAnsi"/>
          <w:lang w:val="en-GB"/>
        </w:rPr>
        <w:t>series analysis, shared GIS symbology, common metadata structures, and compatible approaches to summarising monitoring trends.</w:t>
      </w:r>
      <w:r w:rsidR="00295DC1">
        <w:rPr>
          <w:rFonts w:cstheme="minorHAnsi"/>
          <w:lang w:val="en-GB"/>
        </w:rPr>
        <w:t xml:space="preserve"> </w:t>
      </w:r>
      <w:r w:rsidRPr="00033722">
        <w:rPr>
          <w:rFonts w:cstheme="minorHAnsi"/>
          <w:lang w:val="en-GB"/>
        </w:rPr>
        <w:t xml:space="preserve">Consistent data processing methods </w:t>
      </w:r>
      <w:r w:rsidR="00295DC1">
        <w:rPr>
          <w:rFonts w:cstheme="minorHAnsi"/>
          <w:lang w:val="en-GB"/>
        </w:rPr>
        <w:t>would</w:t>
      </w:r>
      <w:r w:rsidRPr="00033722">
        <w:rPr>
          <w:rFonts w:cstheme="minorHAnsi"/>
          <w:lang w:val="en-GB"/>
        </w:rPr>
        <w:t xml:space="preserve"> later underpin the development of joint early</w:t>
      </w:r>
      <w:r w:rsidRPr="00033722">
        <w:rPr>
          <w:rFonts w:ascii="Cambria Math" w:hAnsi="Cambria Math" w:cs="Cambria Math"/>
          <w:lang w:val="en-GB"/>
        </w:rPr>
        <w:t>‑</w:t>
      </w:r>
      <w:r w:rsidRPr="00033722">
        <w:rPr>
          <w:rFonts w:cstheme="minorHAnsi"/>
          <w:lang w:val="en-GB"/>
        </w:rPr>
        <w:t>warning systems, shared risk maps and unified SPZ performance assessments.</w:t>
      </w:r>
    </w:p>
    <w:p w14:paraId="51451136" w14:textId="16022BE8" w:rsidR="00033722" w:rsidRPr="00103C70" w:rsidRDefault="00295DC1" w:rsidP="00295DC1">
      <w:pPr>
        <w:pStyle w:val="Heading3"/>
        <w:rPr>
          <w:lang w:val="en-GB"/>
        </w:rPr>
      </w:pPr>
      <w:bookmarkStart w:id="40" w:name="_Toc225945290"/>
      <w:r w:rsidRPr="00103C70">
        <w:rPr>
          <w:lang w:val="en-GB"/>
        </w:rPr>
        <w:t>7.3.</w:t>
      </w:r>
      <w:r w:rsidR="00033722" w:rsidRPr="00103C70">
        <w:rPr>
          <w:lang w:val="en-GB"/>
        </w:rPr>
        <w:t xml:space="preserve">7 </w:t>
      </w:r>
      <w:r w:rsidR="00521410" w:rsidRPr="00103C70">
        <w:rPr>
          <w:lang w:val="en-GB"/>
        </w:rPr>
        <w:t>T</w:t>
      </w:r>
      <w:r w:rsidR="00033722" w:rsidRPr="00103C70">
        <w:rPr>
          <w:lang w:val="en-GB"/>
        </w:rPr>
        <w:t>ools for supporting joint risk assessment</w:t>
      </w:r>
      <w:bookmarkEnd w:id="40"/>
    </w:p>
    <w:p w14:paraId="5F7BC357" w14:textId="16753461" w:rsidR="00CD78CD" w:rsidRDefault="00033722" w:rsidP="00CD78CD">
      <w:pPr>
        <w:jc w:val="both"/>
        <w:rPr>
          <w:rFonts w:cstheme="minorHAnsi"/>
        </w:rPr>
      </w:pPr>
      <w:r w:rsidRPr="00033722">
        <w:rPr>
          <w:rFonts w:cstheme="minorHAnsi"/>
          <w:lang w:val="en-GB"/>
        </w:rPr>
        <w:t>Shared risk</w:t>
      </w:r>
      <w:r w:rsidRPr="00033722">
        <w:rPr>
          <w:rFonts w:ascii="Cambria Math" w:hAnsi="Cambria Math" w:cs="Cambria Math"/>
          <w:lang w:val="en-GB"/>
        </w:rPr>
        <w:t>‑</w:t>
      </w:r>
      <w:r w:rsidRPr="00033722">
        <w:rPr>
          <w:rFonts w:cstheme="minorHAnsi"/>
          <w:lang w:val="en-GB"/>
        </w:rPr>
        <w:t>assessment tools can help both countries evaluate the combined influence of hazards, vulnerability and monitoring results. These may include multi</w:t>
      </w:r>
      <w:r w:rsidRPr="00033722">
        <w:rPr>
          <w:rFonts w:ascii="Cambria Math" w:hAnsi="Cambria Math" w:cs="Cambria Math"/>
          <w:lang w:val="en-GB"/>
        </w:rPr>
        <w:t>‑</w:t>
      </w:r>
      <w:r w:rsidRPr="00033722">
        <w:rPr>
          <w:rFonts w:cstheme="minorHAnsi"/>
          <w:lang w:val="en-GB"/>
        </w:rPr>
        <w:t>criteria risk matrices, event</w:t>
      </w:r>
      <w:r w:rsidRPr="00033722">
        <w:rPr>
          <w:rFonts w:ascii="Cambria Math" w:hAnsi="Cambria Math" w:cs="Cambria Math"/>
          <w:lang w:val="en-GB"/>
        </w:rPr>
        <w:t>‑</w:t>
      </w:r>
      <w:r w:rsidRPr="00033722">
        <w:rPr>
          <w:rFonts w:cstheme="minorHAnsi"/>
          <w:lang w:val="en-GB"/>
        </w:rPr>
        <w:t xml:space="preserve">trend correlation analyses, and overlay maps that integrate contamination pressures with recharge </w:t>
      </w:r>
      <w:r w:rsidR="00295DC1">
        <w:rPr>
          <w:rFonts w:cstheme="minorHAnsi"/>
          <w:lang w:val="en-GB"/>
        </w:rPr>
        <w:t>vulnerability</w:t>
      </w:r>
      <w:r w:rsidR="00521410">
        <w:rPr>
          <w:rFonts w:cstheme="minorHAnsi"/>
          <w:lang w:val="en-GB"/>
        </w:rPr>
        <w:t xml:space="preserve"> (Table 4)</w:t>
      </w:r>
      <w:r w:rsidRPr="00033722">
        <w:rPr>
          <w:rFonts w:cstheme="minorHAnsi"/>
          <w:lang w:val="en-GB"/>
        </w:rPr>
        <w:t>. As risk assessments become more aligned, both countries will be better equipped to prepare harmonised operational responses and prioritise preventive actions in cross</w:t>
      </w:r>
      <w:r w:rsidRPr="00033722">
        <w:rPr>
          <w:rFonts w:ascii="Cambria Math" w:hAnsi="Cambria Math" w:cs="Cambria Math"/>
          <w:lang w:val="en-GB"/>
        </w:rPr>
        <w:t>‑</w:t>
      </w:r>
      <w:r w:rsidRPr="00033722">
        <w:rPr>
          <w:rFonts w:cstheme="minorHAnsi"/>
          <w:lang w:val="en-GB"/>
        </w:rPr>
        <w:t>border sectors.</w:t>
      </w:r>
    </w:p>
    <w:p w14:paraId="675D640C" w14:textId="14C82258" w:rsidR="00521410" w:rsidRPr="00336FA1" w:rsidRDefault="00336FA1" w:rsidP="00336FA1">
      <w:pPr>
        <w:pStyle w:val="Caption"/>
        <w:rPr>
          <w:rFonts w:ascii="Calibri" w:hAnsi="Calibri" w:cs="Calibri"/>
          <w:i w:val="0"/>
          <w:iCs w:val="0"/>
          <w:szCs w:val="20"/>
          <w:lang w:val="en-GB"/>
        </w:rPr>
      </w:pPr>
      <w:bookmarkStart w:id="41" w:name="_Toc225943509"/>
      <w:r w:rsidRPr="00336FA1">
        <w:rPr>
          <w:lang w:val="en-GB"/>
        </w:rPr>
        <w:t xml:space="preserve">Table </w:t>
      </w:r>
      <w:r w:rsidRPr="00336FA1">
        <w:rPr>
          <w:lang w:val="en-GB"/>
        </w:rPr>
        <w:fldChar w:fldCharType="begin"/>
      </w:r>
      <w:r w:rsidRPr="00336FA1">
        <w:rPr>
          <w:lang w:val="en-GB"/>
        </w:rPr>
        <w:instrText xml:space="preserve"> SEQ Table \* ARABIC </w:instrText>
      </w:r>
      <w:r w:rsidRPr="00336FA1">
        <w:rPr>
          <w:lang w:val="en-GB"/>
        </w:rPr>
        <w:fldChar w:fldCharType="separate"/>
      </w:r>
      <w:r>
        <w:rPr>
          <w:noProof/>
          <w:lang w:val="en-GB"/>
        </w:rPr>
        <w:t>4</w:t>
      </w:r>
      <w:r w:rsidRPr="00336FA1">
        <w:rPr>
          <w:lang w:val="en-GB"/>
        </w:rPr>
        <w:fldChar w:fldCharType="end"/>
      </w:r>
      <w:r w:rsidRPr="00336FA1">
        <w:rPr>
          <w:lang w:val="en-GB"/>
        </w:rPr>
        <w:t xml:space="preserve"> Proposed shared tools for assessing and managing SPZ</w:t>
      </w:r>
      <w:bookmarkEnd w:id="41"/>
    </w:p>
    <w:tbl>
      <w:tblPr>
        <w:tblStyle w:val="Reetkatablice1"/>
        <w:tblW w:w="0" w:type="auto"/>
        <w:tblInd w:w="-23" w:type="dxa"/>
        <w:tblLayout w:type="fixed"/>
        <w:tblLook w:val="04A0" w:firstRow="1" w:lastRow="0" w:firstColumn="1" w:lastColumn="0" w:noHBand="0" w:noVBand="1"/>
      </w:tblPr>
      <w:tblGrid>
        <w:gridCol w:w="1733"/>
        <w:gridCol w:w="1209"/>
        <w:gridCol w:w="1397"/>
        <w:gridCol w:w="1398"/>
        <w:gridCol w:w="1031"/>
        <w:gridCol w:w="1057"/>
        <w:gridCol w:w="1178"/>
      </w:tblGrid>
      <w:tr w:rsidR="00521410" w:rsidRPr="00521410" w14:paraId="3CDE9DB9" w14:textId="77777777" w:rsidTr="00FF5968">
        <w:trPr>
          <w:tblHeader/>
        </w:trPr>
        <w:tc>
          <w:tcPr>
            <w:tcW w:w="1733" w:type="dxa"/>
            <w:shd w:val="clear" w:color="auto" w:fill="D9E2F3" w:themeFill="accent1" w:themeFillTint="33"/>
            <w:vAlign w:val="center"/>
          </w:tcPr>
          <w:p w14:paraId="04D4096A" w14:textId="07295DA3"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Tool / Criterion</w:t>
            </w:r>
          </w:p>
        </w:tc>
        <w:tc>
          <w:tcPr>
            <w:tcW w:w="1209" w:type="dxa"/>
            <w:shd w:val="clear" w:color="auto" w:fill="D9E2F3" w:themeFill="accent1" w:themeFillTint="33"/>
            <w:vAlign w:val="center"/>
          </w:tcPr>
          <w:p w14:paraId="68519F85" w14:textId="7BD24544"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 xml:space="preserve">Purpose </w:t>
            </w:r>
          </w:p>
        </w:tc>
        <w:tc>
          <w:tcPr>
            <w:tcW w:w="1397" w:type="dxa"/>
            <w:shd w:val="clear" w:color="auto" w:fill="D9E2F3" w:themeFill="accent1" w:themeFillTint="33"/>
            <w:vAlign w:val="center"/>
          </w:tcPr>
          <w:p w14:paraId="4FD0A35E" w14:textId="05A3E731"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Application in HR</w:t>
            </w:r>
          </w:p>
        </w:tc>
        <w:tc>
          <w:tcPr>
            <w:tcW w:w="1398" w:type="dxa"/>
            <w:shd w:val="clear" w:color="auto" w:fill="D9E2F3" w:themeFill="accent1" w:themeFillTint="33"/>
            <w:vAlign w:val="center"/>
          </w:tcPr>
          <w:p w14:paraId="6B68CB0D" w14:textId="7BE9087B"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Application in BiH</w:t>
            </w:r>
          </w:p>
        </w:tc>
        <w:tc>
          <w:tcPr>
            <w:tcW w:w="1031" w:type="dxa"/>
            <w:shd w:val="clear" w:color="auto" w:fill="D9E2F3" w:themeFill="accent1" w:themeFillTint="33"/>
            <w:vAlign w:val="center"/>
          </w:tcPr>
          <w:p w14:paraId="2AFCF54C" w14:textId="5C3D268C"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Data inputs (min)</w:t>
            </w:r>
          </w:p>
        </w:tc>
        <w:tc>
          <w:tcPr>
            <w:tcW w:w="1057" w:type="dxa"/>
            <w:shd w:val="clear" w:color="auto" w:fill="D9E2F3" w:themeFill="accent1" w:themeFillTint="33"/>
            <w:vAlign w:val="center"/>
          </w:tcPr>
          <w:p w14:paraId="054FC337" w14:textId="0BF5B365"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Output / Indicator</w:t>
            </w:r>
          </w:p>
        </w:tc>
        <w:tc>
          <w:tcPr>
            <w:tcW w:w="1178" w:type="dxa"/>
            <w:shd w:val="clear" w:color="auto" w:fill="D9E2F3" w:themeFill="accent1" w:themeFillTint="33"/>
            <w:vAlign w:val="center"/>
          </w:tcPr>
          <w:p w14:paraId="5579CDF2" w14:textId="00F6F682" w:rsidR="00521410" w:rsidRPr="00521410" w:rsidRDefault="00521410" w:rsidP="00521410">
            <w:pPr>
              <w:jc w:val="center"/>
              <w:rPr>
                <w:rFonts w:ascii="Calibri" w:hAnsi="Calibri" w:cs="Calibri"/>
                <w:b/>
                <w:bCs/>
                <w:sz w:val="16"/>
                <w:szCs w:val="16"/>
                <w:lang w:val="en-GB" w:eastAsia="en-GB"/>
              </w:rPr>
            </w:pPr>
            <w:proofErr w:type="gramStart"/>
            <w:r w:rsidRPr="00521410">
              <w:rPr>
                <w:rFonts w:ascii="Calibri" w:hAnsi="Calibri" w:cs="Calibri"/>
                <w:b/>
                <w:bCs/>
                <w:sz w:val="16"/>
                <w:szCs w:val="16"/>
              </w:rPr>
              <w:t>Use in</w:t>
            </w:r>
            <w:proofErr w:type="gramEnd"/>
            <w:r w:rsidRPr="00521410">
              <w:rPr>
                <w:rFonts w:ascii="Calibri" w:hAnsi="Calibri" w:cs="Calibri"/>
                <w:b/>
                <w:bCs/>
                <w:sz w:val="16"/>
                <w:szCs w:val="16"/>
              </w:rPr>
              <w:t xml:space="preserve"> SPZ management</w:t>
            </w:r>
          </w:p>
        </w:tc>
      </w:tr>
      <w:tr w:rsidR="00521410" w:rsidRPr="00521410" w14:paraId="6C191839" w14:textId="77777777" w:rsidTr="00FF5968">
        <w:tc>
          <w:tcPr>
            <w:tcW w:w="1733" w:type="dxa"/>
            <w:vAlign w:val="center"/>
          </w:tcPr>
          <w:p w14:paraId="43558FC2" w14:textId="3DE8D230" w:rsidR="00521410" w:rsidRPr="00521410" w:rsidRDefault="00FF5968" w:rsidP="00521410">
            <w:pPr>
              <w:rPr>
                <w:rFonts w:ascii="Calibri" w:hAnsi="Calibri" w:cs="Calibri"/>
                <w:sz w:val="16"/>
                <w:szCs w:val="16"/>
              </w:rPr>
            </w:pPr>
            <w:r w:rsidRPr="00521410">
              <w:rPr>
                <w:rFonts w:ascii="Calibri" w:hAnsi="Calibri" w:cs="Calibri"/>
                <w:sz w:val="16"/>
                <w:szCs w:val="16"/>
              </w:rPr>
              <w:t>Tracing area</w:t>
            </w:r>
            <w:r w:rsidR="00521410" w:rsidRPr="00521410">
              <w:rPr>
                <w:rFonts w:ascii="Calibri" w:hAnsi="Calibri" w:cs="Calibri"/>
                <w:sz w:val="16"/>
                <w:szCs w:val="16"/>
              </w:rPr>
              <w:t xml:space="preserve"> (</w:t>
            </w:r>
            <w:proofErr w:type="gramStart"/>
            <w:r w:rsidR="00521410" w:rsidRPr="00521410">
              <w:rPr>
                <w:rFonts w:ascii="Calibri" w:hAnsi="Calibri" w:cs="Calibri"/>
                <w:sz w:val="16"/>
                <w:szCs w:val="16"/>
              </w:rPr>
              <w:t>dye</w:t>
            </w:r>
            <w:proofErr w:type="gramEnd"/>
            <w:r w:rsidR="00521410" w:rsidRPr="00521410">
              <w:rPr>
                <w:rFonts w:ascii="Calibri" w:hAnsi="Calibri" w:cs="Calibri"/>
                <w:sz w:val="16"/>
                <w:szCs w:val="16"/>
              </w:rPr>
              <w:t xml:space="preserve"> tests)</w:t>
            </w:r>
          </w:p>
        </w:tc>
        <w:tc>
          <w:tcPr>
            <w:tcW w:w="1209" w:type="dxa"/>
            <w:vAlign w:val="center"/>
          </w:tcPr>
          <w:p w14:paraId="2099FE65" w14:textId="6A5D8D67" w:rsidR="00521410" w:rsidRPr="00521410" w:rsidRDefault="000176CD" w:rsidP="00521410">
            <w:pPr>
              <w:rPr>
                <w:rFonts w:ascii="Calibri" w:hAnsi="Calibri" w:cs="Calibri"/>
                <w:sz w:val="16"/>
                <w:szCs w:val="16"/>
              </w:rPr>
            </w:pPr>
            <w:r>
              <w:rPr>
                <w:rFonts w:ascii="Calibri" w:hAnsi="Calibri" w:cs="Calibri"/>
                <w:sz w:val="16"/>
                <w:szCs w:val="16"/>
              </w:rPr>
              <w:t>To i</w:t>
            </w:r>
            <w:r w:rsidR="00521410" w:rsidRPr="00521410">
              <w:rPr>
                <w:rFonts w:ascii="Calibri" w:hAnsi="Calibri" w:cs="Calibri"/>
                <w:sz w:val="16"/>
                <w:szCs w:val="16"/>
              </w:rPr>
              <w:t>dentify recharge connections and travel times</w:t>
            </w:r>
          </w:p>
        </w:tc>
        <w:tc>
          <w:tcPr>
            <w:tcW w:w="1397" w:type="dxa"/>
            <w:vAlign w:val="center"/>
          </w:tcPr>
          <w:p w14:paraId="41CDBE67" w14:textId="60377FBB" w:rsidR="00521410" w:rsidRPr="00521410" w:rsidRDefault="000176CD" w:rsidP="00521410">
            <w:pPr>
              <w:rPr>
                <w:rFonts w:ascii="Calibri" w:hAnsi="Calibri" w:cs="Calibri"/>
                <w:sz w:val="16"/>
                <w:szCs w:val="16"/>
              </w:rPr>
            </w:pPr>
            <w:r>
              <w:rPr>
                <w:rFonts w:ascii="Calibri" w:hAnsi="Calibri" w:cs="Calibri"/>
                <w:sz w:val="16"/>
                <w:szCs w:val="16"/>
              </w:rPr>
              <w:t>To s</w:t>
            </w:r>
            <w:r w:rsidR="00461DB0" w:rsidRPr="00461DB0">
              <w:rPr>
                <w:rFonts w:ascii="Calibri" w:hAnsi="Calibri" w:cs="Calibri"/>
                <w:sz w:val="16"/>
                <w:szCs w:val="16"/>
              </w:rPr>
              <w:t>upport refinement of recharge areas and monitoring priorities within existing SPZ practice</w:t>
            </w:r>
          </w:p>
        </w:tc>
        <w:tc>
          <w:tcPr>
            <w:tcW w:w="1398" w:type="dxa"/>
            <w:vAlign w:val="center"/>
          </w:tcPr>
          <w:p w14:paraId="4AD9BA82" w14:textId="4FADA4C1" w:rsidR="00521410" w:rsidRPr="00521410" w:rsidRDefault="00FF5968" w:rsidP="00521410">
            <w:pPr>
              <w:rPr>
                <w:rFonts w:ascii="Calibri" w:hAnsi="Calibri" w:cs="Calibri"/>
                <w:sz w:val="16"/>
                <w:szCs w:val="16"/>
              </w:rPr>
            </w:pPr>
            <w:r>
              <w:rPr>
                <w:rFonts w:ascii="Calibri" w:hAnsi="Calibri" w:cs="Calibri"/>
                <w:sz w:val="16"/>
                <w:szCs w:val="16"/>
              </w:rPr>
              <w:t>To s</w:t>
            </w:r>
            <w:r w:rsidRPr="00461DB0">
              <w:rPr>
                <w:rFonts w:ascii="Calibri" w:hAnsi="Calibri" w:cs="Calibri"/>
                <w:sz w:val="16"/>
                <w:szCs w:val="16"/>
              </w:rPr>
              <w:t>upport refinement of recharge areas and monitoring priorities within existing SPZ practice</w:t>
            </w:r>
          </w:p>
        </w:tc>
        <w:tc>
          <w:tcPr>
            <w:tcW w:w="1031" w:type="dxa"/>
            <w:vAlign w:val="center"/>
          </w:tcPr>
          <w:p w14:paraId="561BEE9B" w14:textId="05A10541" w:rsidR="00521410" w:rsidRPr="00521410" w:rsidRDefault="000176CD" w:rsidP="00521410">
            <w:pPr>
              <w:rPr>
                <w:rFonts w:ascii="Calibri" w:hAnsi="Calibri" w:cs="Calibri"/>
                <w:sz w:val="16"/>
                <w:szCs w:val="16"/>
              </w:rPr>
            </w:pPr>
            <w:r>
              <w:rPr>
                <w:rFonts w:ascii="Calibri" w:hAnsi="Calibri" w:cs="Calibri"/>
                <w:sz w:val="16"/>
                <w:szCs w:val="16"/>
              </w:rPr>
              <w:t>T</w:t>
            </w:r>
            <w:r w:rsidR="00521410" w:rsidRPr="00521410">
              <w:rPr>
                <w:rFonts w:ascii="Calibri" w:hAnsi="Calibri" w:cs="Calibri"/>
                <w:sz w:val="16"/>
                <w:szCs w:val="16"/>
              </w:rPr>
              <w:t>racer mass, detection logs, ponor/spring points (WGS84)</w:t>
            </w:r>
          </w:p>
        </w:tc>
        <w:tc>
          <w:tcPr>
            <w:tcW w:w="1057" w:type="dxa"/>
            <w:vAlign w:val="center"/>
          </w:tcPr>
          <w:p w14:paraId="1BD182C1" w14:textId="4BD0D869" w:rsidR="00521410" w:rsidRPr="00521410" w:rsidRDefault="000176CD" w:rsidP="00521410">
            <w:pPr>
              <w:rPr>
                <w:rFonts w:ascii="Calibri" w:hAnsi="Calibri" w:cs="Calibri"/>
                <w:sz w:val="16"/>
                <w:szCs w:val="16"/>
              </w:rPr>
            </w:pPr>
            <w:r>
              <w:rPr>
                <w:rFonts w:ascii="Calibri" w:hAnsi="Calibri" w:cs="Calibri"/>
                <w:sz w:val="16"/>
                <w:szCs w:val="16"/>
              </w:rPr>
              <w:t>T</w:t>
            </w:r>
            <w:r w:rsidR="00521410" w:rsidRPr="00521410">
              <w:rPr>
                <w:rFonts w:ascii="Calibri" w:hAnsi="Calibri" w:cs="Calibri"/>
                <w:sz w:val="16"/>
                <w:szCs w:val="16"/>
              </w:rPr>
              <w:t>ravel</w:t>
            </w:r>
            <w:r w:rsidR="00521410" w:rsidRPr="00521410">
              <w:rPr>
                <w:rFonts w:ascii="Calibri" w:hAnsi="Calibri" w:cs="Calibri"/>
                <w:sz w:val="16"/>
                <w:szCs w:val="16"/>
              </w:rPr>
              <w:noBreakHyphen/>
              <w:t>time class (hours–days)</w:t>
            </w:r>
          </w:p>
        </w:tc>
        <w:tc>
          <w:tcPr>
            <w:tcW w:w="1178" w:type="dxa"/>
            <w:vAlign w:val="center"/>
          </w:tcPr>
          <w:p w14:paraId="4478DF3E" w14:textId="0DE3FECC" w:rsidR="00521410" w:rsidRPr="00521410" w:rsidRDefault="00521410" w:rsidP="00521410">
            <w:pPr>
              <w:rPr>
                <w:rFonts w:ascii="Calibri" w:hAnsi="Calibri" w:cs="Calibri"/>
                <w:sz w:val="16"/>
                <w:szCs w:val="16"/>
              </w:rPr>
            </w:pPr>
            <w:r w:rsidRPr="00521410">
              <w:rPr>
                <w:rFonts w:ascii="Calibri" w:hAnsi="Calibri" w:cs="Calibri"/>
                <w:sz w:val="16"/>
                <w:szCs w:val="16"/>
              </w:rPr>
              <w:t>Adjust sampling frequency in Zones I–II; focus inspections after events</w:t>
            </w:r>
          </w:p>
        </w:tc>
      </w:tr>
      <w:tr w:rsidR="00521410" w:rsidRPr="00521410" w14:paraId="4CDB5F75" w14:textId="77777777" w:rsidTr="00FF5968">
        <w:tc>
          <w:tcPr>
            <w:tcW w:w="1733" w:type="dxa"/>
            <w:vAlign w:val="center"/>
          </w:tcPr>
          <w:p w14:paraId="19C34695" w14:textId="13D90904" w:rsidR="00521410" w:rsidRPr="00521410" w:rsidRDefault="00521410" w:rsidP="00521410">
            <w:pPr>
              <w:rPr>
                <w:rFonts w:ascii="Calibri" w:hAnsi="Calibri" w:cs="Calibri"/>
                <w:sz w:val="16"/>
                <w:szCs w:val="16"/>
              </w:rPr>
            </w:pPr>
            <w:r w:rsidRPr="00521410">
              <w:rPr>
                <w:rFonts w:ascii="Calibri" w:hAnsi="Calibri" w:cs="Calibri"/>
                <w:sz w:val="16"/>
                <w:szCs w:val="16"/>
              </w:rPr>
              <w:t>Karst vulnerability mapping (e.g. COP/EPIK/SINTACS</w:t>
            </w:r>
            <w:r w:rsidRPr="00521410">
              <w:rPr>
                <w:rFonts w:ascii="Calibri" w:hAnsi="Calibri" w:cs="Calibri"/>
                <w:sz w:val="16"/>
                <w:szCs w:val="16"/>
              </w:rPr>
              <w:noBreakHyphen/>
              <w:t>karst)</w:t>
            </w:r>
          </w:p>
        </w:tc>
        <w:tc>
          <w:tcPr>
            <w:tcW w:w="1209" w:type="dxa"/>
            <w:vAlign w:val="center"/>
          </w:tcPr>
          <w:p w14:paraId="6184EDBD" w14:textId="575F38FB" w:rsidR="00521410" w:rsidRPr="00521410" w:rsidRDefault="000176CD" w:rsidP="00521410">
            <w:pPr>
              <w:rPr>
                <w:rFonts w:ascii="Calibri" w:hAnsi="Calibri" w:cs="Calibri"/>
                <w:sz w:val="16"/>
                <w:szCs w:val="16"/>
              </w:rPr>
            </w:pPr>
            <w:r>
              <w:rPr>
                <w:rFonts w:ascii="Calibri" w:hAnsi="Calibri" w:cs="Calibri"/>
                <w:sz w:val="16"/>
                <w:szCs w:val="16"/>
              </w:rPr>
              <w:t>To c</w:t>
            </w:r>
            <w:r w:rsidR="00521410" w:rsidRPr="00521410">
              <w:rPr>
                <w:rFonts w:ascii="Calibri" w:hAnsi="Calibri" w:cs="Calibri"/>
                <w:sz w:val="16"/>
                <w:szCs w:val="16"/>
              </w:rPr>
              <w:t>lassify intrinsic vulnerability of recharge sectors</w:t>
            </w:r>
          </w:p>
        </w:tc>
        <w:tc>
          <w:tcPr>
            <w:tcW w:w="1397" w:type="dxa"/>
            <w:vAlign w:val="center"/>
          </w:tcPr>
          <w:p w14:paraId="7AA435E5" w14:textId="6690E17F" w:rsidR="00521410" w:rsidRPr="00521410" w:rsidRDefault="000176CD" w:rsidP="00521410">
            <w:pPr>
              <w:rPr>
                <w:rFonts w:ascii="Calibri" w:hAnsi="Calibri" w:cs="Calibri"/>
                <w:sz w:val="16"/>
                <w:szCs w:val="16"/>
              </w:rPr>
            </w:pPr>
            <w:r>
              <w:rPr>
                <w:rFonts w:ascii="Calibri" w:hAnsi="Calibri" w:cs="Calibri"/>
                <w:sz w:val="16"/>
                <w:szCs w:val="16"/>
              </w:rPr>
              <w:t>To s</w:t>
            </w:r>
            <w:r w:rsidR="00461DB0" w:rsidRPr="00461DB0">
              <w:rPr>
                <w:rFonts w:ascii="Calibri" w:hAnsi="Calibri" w:cs="Calibri"/>
                <w:sz w:val="16"/>
                <w:szCs w:val="16"/>
              </w:rPr>
              <w:t xml:space="preserve">upport identification of </w:t>
            </w:r>
            <w:r w:rsidR="00461DB0">
              <w:rPr>
                <w:rFonts w:ascii="Calibri" w:hAnsi="Calibri" w:cs="Calibri"/>
                <w:sz w:val="16"/>
                <w:szCs w:val="16"/>
              </w:rPr>
              <w:t>vulnerable</w:t>
            </w:r>
            <w:r w:rsidR="00461DB0" w:rsidRPr="00461DB0">
              <w:rPr>
                <w:rFonts w:ascii="Calibri" w:hAnsi="Calibri" w:cs="Calibri"/>
                <w:sz w:val="16"/>
                <w:szCs w:val="16"/>
              </w:rPr>
              <w:t xml:space="preserve"> zones and SPZ operational </w:t>
            </w:r>
            <w:r w:rsidR="00461DB0" w:rsidRPr="00461DB0">
              <w:rPr>
                <w:rFonts w:ascii="Calibri" w:hAnsi="Calibri" w:cs="Calibri"/>
                <w:sz w:val="16"/>
                <w:szCs w:val="16"/>
              </w:rPr>
              <w:lastRenderedPageBreak/>
              <w:t>priorities within existing practice</w:t>
            </w:r>
          </w:p>
        </w:tc>
        <w:tc>
          <w:tcPr>
            <w:tcW w:w="1398" w:type="dxa"/>
            <w:vAlign w:val="center"/>
          </w:tcPr>
          <w:p w14:paraId="0D57D5D7" w14:textId="22D2FA66" w:rsidR="00521410" w:rsidRPr="00521410" w:rsidRDefault="00FF5968" w:rsidP="00521410">
            <w:pPr>
              <w:rPr>
                <w:rFonts w:ascii="Calibri" w:hAnsi="Calibri" w:cs="Calibri"/>
                <w:sz w:val="16"/>
                <w:szCs w:val="16"/>
              </w:rPr>
            </w:pPr>
            <w:r>
              <w:rPr>
                <w:rFonts w:ascii="Calibri" w:hAnsi="Calibri" w:cs="Calibri"/>
                <w:sz w:val="16"/>
                <w:szCs w:val="16"/>
              </w:rPr>
              <w:lastRenderedPageBreak/>
              <w:t>Applying</w:t>
            </w:r>
            <w:r w:rsidR="00461DB0" w:rsidRPr="00461DB0">
              <w:rPr>
                <w:rFonts w:ascii="Calibri" w:hAnsi="Calibri" w:cs="Calibri"/>
                <w:sz w:val="16"/>
                <w:szCs w:val="16"/>
              </w:rPr>
              <w:t xml:space="preserve"> </w:t>
            </w:r>
            <w:r>
              <w:rPr>
                <w:rFonts w:ascii="Calibri" w:hAnsi="Calibri" w:cs="Calibri"/>
                <w:sz w:val="16"/>
                <w:szCs w:val="16"/>
              </w:rPr>
              <w:t>for vulnerability assessment</w:t>
            </w:r>
          </w:p>
        </w:tc>
        <w:tc>
          <w:tcPr>
            <w:tcW w:w="1031" w:type="dxa"/>
            <w:vAlign w:val="center"/>
          </w:tcPr>
          <w:p w14:paraId="21EE8144" w14:textId="109494B0" w:rsidR="00521410" w:rsidRPr="00521410" w:rsidRDefault="000176CD" w:rsidP="00521410">
            <w:pPr>
              <w:rPr>
                <w:rFonts w:ascii="Calibri" w:hAnsi="Calibri" w:cs="Calibri"/>
                <w:sz w:val="16"/>
                <w:szCs w:val="16"/>
              </w:rPr>
            </w:pPr>
            <w:r>
              <w:rPr>
                <w:rFonts w:ascii="Calibri" w:hAnsi="Calibri" w:cs="Calibri"/>
                <w:sz w:val="16"/>
                <w:szCs w:val="16"/>
              </w:rPr>
              <w:t>L</w:t>
            </w:r>
            <w:r w:rsidR="00521410" w:rsidRPr="00521410">
              <w:rPr>
                <w:rFonts w:ascii="Calibri" w:hAnsi="Calibri" w:cs="Calibri"/>
                <w:sz w:val="16"/>
                <w:szCs w:val="16"/>
              </w:rPr>
              <w:t xml:space="preserve">ithology raster (10–30 m), karst features, slope, </w:t>
            </w:r>
            <w:r w:rsidR="00521410" w:rsidRPr="00521410">
              <w:rPr>
                <w:rFonts w:ascii="Calibri" w:hAnsi="Calibri" w:cs="Calibri"/>
                <w:sz w:val="16"/>
                <w:szCs w:val="16"/>
              </w:rPr>
              <w:lastRenderedPageBreak/>
              <w:t>precipitation</w:t>
            </w:r>
            <w:r w:rsidR="00461DB0">
              <w:rPr>
                <w:rFonts w:ascii="Calibri" w:hAnsi="Calibri" w:cs="Calibri"/>
                <w:sz w:val="16"/>
                <w:szCs w:val="16"/>
              </w:rPr>
              <w:t xml:space="preserve"> etc.</w:t>
            </w:r>
          </w:p>
        </w:tc>
        <w:tc>
          <w:tcPr>
            <w:tcW w:w="1057" w:type="dxa"/>
            <w:vAlign w:val="center"/>
          </w:tcPr>
          <w:p w14:paraId="28ABAF29" w14:textId="691DB762" w:rsidR="00521410" w:rsidRPr="00521410" w:rsidRDefault="000176CD" w:rsidP="00521410">
            <w:pPr>
              <w:rPr>
                <w:rFonts w:ascii="Calibri" w:hAnsi="Calibri" w:cs="Calibri"/>
                <w:sz w:val="16"/>
                <w:szCs w:val="16"/>
              </w:rPr>
            </w:pPr>
            <w:r>
              <w:rPr>
                <w:rFonts w:ascii="Calibri" w:hAnsi="Calibri" w:cs="Calibri"/>
                <w:sz w:val="16"/>
                <w:szCs w:val="16"/>
              </w:rPr>
              <w:lastRenderedPageBreak/>
              <w:t>V</w:t>
            </w:r>
            <w:r w:rsidR="00521410" w:rsidRPr="00521410">
              <w:rPr>
                <w:rFonts w:ascii="Calibri" w:hAnsi="Calibri" w:cs="Calibri"/>
                <w:sz w:val="16"/>
                <w:szCs w:val="16"/>
              </w:rPr>
              <w:t>ulnerability class (low–very high)</w:t>
            </w:r>
          </w:p>
        </w:tc>
        <w:tc>
          <w:tcPr>
            <w:tcW w:w="1178" w:type="dxa"/>
            <w:vAlign w:val="center"/>
          </w:tcPr>
          <w:p w14:paraId="73778FFA" w14:textId="64F71D34" w:rsidR="00521410" w:rsidRPr="00521410" w:rsidRDefault="00461DB0" w:rsidP="00521410">
            <w:pPr>
              <w:rPr>
                <w:rFonts w:ascii="Calibri" w:hAnsi="Calibri" w:cs="Calibri"/>
                <w:sz w:val="16"/>
                <w:szCs w:val="16"/>
              </w:rPr>
            </w:pPr>
            <w:r>
              <w:rPr>
                <w:rFonts w:ascii="Calibri" w:hAnsi="Calibri" w:cs="Calibri"/>
                <w:sz w:val="16"/>
                <w:szCs w:val="16"/>
              </w:rPr>
              <w:t>P</w:t>
            </w:r>
            <w:r w:rsidRPr="00461DB0">
              <w:rPr>
                <w:rFonts w:ascii="Calibri" w:hAnsi="Calibri" w:cs="Calibri"/>
                <w:sz w:val="16"/>
                <w:szCs w:val="16"/>
              </w:rPr>
              <w:t xml:space="preserve">rioritize inspections in sensitive areas and direct outreach to </w:t>
            </w:r>
            <w:r w:rsidRPr="00461DB0">
              <w:rPr>
                <w:rFonts w:ascii="Calibri" w:hAnsi="Calibri" w:cs="Calibri"/>
                <w:sz w:val="16"/>
                <w:szCs w:val="16"/>
              </w:rPr>
              <w:lastRenderedPageBreak/>
              <w:t>high</w:t>
            </w:r>
            <w:r w:rsidRPr="00461DB0">
              <w:rPr>
                <w:rFonts w:ascii="Cambria Math" w:hAnsi="Cambria Math" w:cs="Cambria Math"/>
                <w:sz w:val="16"/>
                <w:szCs w:val="16"/>
              </w:rPr>
              <w:t>‑</w:t>
            </w:r>
            <w:r w:rsidRPr="00461DB0">
              <w:rPr>
                <w:rFonts w:ascii="Calibri" w:hAnsi="Calibri" w:cs="Calibri"/>
                <w:sz w:val="16"/>
                <w:szCs w:val="16"/>
              </w:rPr>
              <w:t>risk sectors</w:t>
            </w:r>
          </w:p>
        </w:tc>
      </w:tr>
      <w:tr w:rsidR="00521410" w:rsidRPr="00521410" w14:paraId="77C1A4E8" w14:textId="77777777" w:rsidTr="00FF5968">
        <w:tc>
          <w:tcPr>
            <w:tcW w:w="1733" w:type="dxa"/>
            <w:vAlign w:val="center"/>
          </w:tcPr>
          <w:p w14:paraId="16E9EC3D" w14:textId="6832C0A1" w:rsidR="00521410" w:rsidRPr="00521410" w:rsidRDefault="00521410" w:rsidP="00521410">
            <w:pPr>
              <w:rPr>
                <w:rFonts w:ascii="Calibri" w:hAnsi="Calibri" w:cs="Calibri"/>
                <w:sz w:val="16"/>
                <w:szCs w:val="16"/>
              </w:rPr>
            </w:pPr>
            <w:r w:rsidRPr="00521410">
              <w:rPr>
                <w:rFonts w:ascii="Calibri" w:hAnsi="Calibri" w:cs="Calibri"/>
                <w:sz w:val="16"/>
                <w:szCs w:val="16"/>
              </w:rPr>
              <w:lastRenderedPageBreak/>
              <w:t>Event</w:t>
            </w:r>
            <w:r w:rsidRPr="00521410">
              <w:rPr>
                <w:rFonts w:ascii="Calibri" w:hAnsi="Calibri" w:cs="Calibri"/>
                <w:sz w:val="16"/>
                <w:szCs w:val="16"/>
              </w:rPr>
              <w:noBreakHyphen/>
              <w:t>based spring monitoring</w:t>
            </w:r>
          </w:p>
        </w:tc>
        <w:tc>
          <w:tcPr>
            <w:tcW w:w="1209" w:type="dxa"/>
            <w:vAlign w:val="center"/>
          </w:tcPr>
          <w:p w14:paraId="20F922E0" w14:textId="4D424E04" w:rsidR="00521410" w:rsidRPr="00521410" w:rsidRDefault="000176CD" w:rsidP="00521410">
            <w:pPr>
              <w:rPr>
                <w:rFonts w:ascii="Calibri" w:hAnsi="Calibri" w:cs="Calibri"/>
                <w:sz w:val="16"/>
                <w:szCs w:val="16"/>
              </w:rPr>
            </w:pPr>
            <w:r>
              <w:rPr>
                <w:rFonts w:ascii="Calibri" w:hAnsi="Calibri" w:cs="Calibri"/>
                <w:sz w:val="16"/>
                <w:szCs w:val="16"/>
              </w:rPr>
              <w:t>To c</w:t>
            </w:r>
            <w:r w:rsidR="00521410" w:rsidRPr="00521410">
              <w:rPr>
                <w:rFonts w:ascii="Calibri" w:hAnsi="Calibri" w:cs="Calibri"/>
                <w:sz w:val="16"/>
                <w:szCs w:val="16"/>
              </w:rPr>
              <w:t>apture contamination peaks during hydrological events</w:t>
            </w:r>
          </w:p>
        </w:tc>
        <w:tc>
          <w:tcPr>
            <w:tcW w:w="1397" w:type="dxa"/>
            <w:vAlign w:val="center"/>
          </w:tcPr>
          <w:p w14:paraId="0EFFC572" w14:textId="3DCB02E3" w:rsidR="00521410" w:rsidRPr="00521410" w:rsidRDefault="000176CD" w:rsidP="00521410">
            <w:pPr>
              <w:rPr>
                <w:rFonts w:ascii="Calibri" w:hAnsi="Calibri" w:cs="Calibri"/>
                <w:sz w:val="16"/>
                <w:szCs w:val="16"/>
              </w:rPr>
            </w:pPr>
            <w:r>
              <w:rPr>
                <w:rFonts w:ascii="Calibri" w:hAnsi="Calibri" w:cs="Calibri"/>
                <w:sz w:val="16"/>
                <w:szCs w:val="16"/>
              </w:rPr>
              <w:t>To t</w:t>
            </w:r>
            <w:r w:rsidR="00521410" w:rsidRPr="00521410">
              <w:rPr>
                <w:rFonts w:ascii="Calibri" w:hAnsi="Calibri" w:cs="Calibri"/>
                <w:sz w:val="16"/>
                <w:szCs w:val="16"/>
              </w:rPr>
              <w:t>rigger intensified sampling within existing SPZ obligations</w:t>
            </w:r>
          </w:p>
        </w:tc>
        <w:tc>
          <w:tcPr>
            <w:tcW w:w="1398" w:type="dxa"/>
            <w:vAlign w:val="center"/>
          </w:tcPr>
          <w:p w14:paraId="63B014BD" w14:textId="363AE39E" w:rsidR="00521410" w:rsidRPr="00521410" w:rsidRDefault="00FF5968" w:rsidP="00521410">
            <w:pPr>
              <w:rPr>
                <w:rFonts w:ascii="Calibri" w:hAnsi="Calibri" w:cs="Calibri"/>
                <w:sz w:val="16"/>
                <w:szCs w:val="16"/>
              </w:rPr>
            </w:pPr>
            <w:r>
              <w:rPr>
                <w:rFonts w:ascii="Calibri" w:hAnsi="Calibri" w:cs="Calibri"/>
                <w:sz w:val="16"/>
                <w:szCs w:val="16"/>
              </w:rPr>
              <w:t>To t</w:t>
            </w:r>
            <w:r w:rsidRPr="00521410">
              <w:rPr>
                <w:rFonts w:ascii="Calibri" w:hAnsi="Calibri" w:cs="Calibri"/>
                <w:sz w:val="16"/>
                <w:szCs w:val="16"/>
              </w:rPr>
              <w:t>rigger intensified sampling within existing SPZ obligations</w:t>
            </w:r>
          </w:p>
        </w:tc>
        <w:tc>
          <w:tcPr>
            <w:tcW w:w="1031" w:type="dxa"/>
            <w:vAlign w:val="center"/>
          </w:tcPr>
          <w:p w14:paraId="55F8571E" w14:textId="0C66D147" w:rsidR="00521410" w:rsidRPr="00521410" w:rsidRDefault="000176CD" w:rsidP="00521410">
            <w:pPr>
              <w:rPr>
                <w:rFonts w:ascii="Calibri" w:hAnsi="Calibri" w:cs="Calibri"/>
                <w:sz w:val="16"/>
                <w:szCs w:val="16"/>
              </w:rPr>
            </w:pPr>
            <w:r>
              <w:rPr>
                <w:rFonts w:ascii="Calibri" w:hAnsi="Calibri" w:cs="Calibri"/>
                <w:sz w:val="16"/>
                <w:szCs w:val="16"/>
              </w:rPr>
              <w:t>T</w:t>
            </w:r>
            <w:r w:rsidR="00521410" w:rsidRPr="00521410">
              <w:rPr>
                <w:rFonts w:ascii="Calibri" w:hAnsi="Calibri" w:cs="Calibri"/>
                <w:sz w:val="16"/>
                <w:szCs w:val="16"/>
              </w:rPr>
              <w:t>urbidity (NTU), EC (mS/cm), microbiology (</w:t>
            </w:r>
            <w:proofErr w:type="spellStart"/>
            <w:r w:rsidR="00521410" w:rsidRPr="00521410">
              <w:rPr>
                <w:rFonts w:ascii="Calibri" w:hAnsi="Calibri" w:cs="Calibri"/>
                <w:sz w:val="16"/>
                <w:szCs w:val="16"/>
              </w:rPr>
              <w:t>cfu</w:t>
            </w:r>
            <w:proofErr w:type="spellEnd"/>
            <w:r w:rsidR="00521410" w:rsidRPr="00521410">
              <w:rPr>
                <w:rFonts w:ascii="Calibri" w:hAnsi="Calibri" w:cs="Calibri"/>
                <w:sz w:val="16"/>
                <w:szCs w:val="16"/>
              </w:rPr>
              <w:t>/100 mL), 15</w:t>
            </w:r>
            <w:r w:rsidR="00521410" w:rsidRPr="00521410">
              <w:rPr>
                <w:rFonts w:ascii="Calibri" w:hAnsi="Calibri" w:cs="Calibri"/>
                <w:sz w:val="16"/>
                <w:szCs w:val="16"/>
              </w:rPr>
              <w:noBreakHyphen/>
              <w:t>min/1</w:t>
            </w:r>
            <w:r w:rsidR="00521410" w:rsidRPr="00521410">
              <w:rPr>
                <w:rFonts w:ascii="Calibri" w:hAnsi="Calibri" w:cs="Calibri"/>
                <w:sz w:val="16"/>
                <w:szCs w:val="16"/>
              </w:rPr>
              <w:noBreakHyphen/>
              <w:t>h timeseries</w:t>
            </w:r>
          </w:p>
        </w:tc>
        <w:tc>
          <w:tcPr>
            <w:tcW w:w="1057" w:type="dxa"/>
            <w:vAlign w:val="center"/>
          </w:tcPr>
          <w:p w14:paraId="7EE2F795" w14:textId="005A1C06" w:rsidR="00521410" w:rsidRPr="00521410" w:rsidRDefault="000176CD" w:rsidP="00521410">
            <w:pPr>
              <w:rPr>
                <w:rFonts w:ascii="Calibri" w:hAnsi="Calibri" w:cs="Calibri"/>
                <w:sz w:val="16"/>
                <w:szCs w:val="16"/>
              </w:rPr>
            </w:pPr>
            <w:r>
              <w:rPr>
                <w:rFonts w:ascii="Calibri" w:hAnsi="Calibri" w:cs="Calibri"/>
                <w:sz w:val="16"/>
                <w:szCs w:val="16"/>
              </w:rPr>
              <w:t>E</w:t>
            </w:r>
            <w:r w:rsidR="00521410" w:rsidRPr="00521410">
              <w:rPr>
                <w:rFonts w:ascii="Calibri" w:hAnsi="Calibri" w:cs="Calibri"/>
                <w:sz w:val="16"/>
                <w:szCs w:val="16"/>
              </w:rPr>
              <w:t>xceedance of operational thresholds</w:t>
            </w:r>
          </w:p>
        </w:tc>
        <w:tc>
          <w:tcPr>
            <w:tcW w:w="1178" w:type="dxa"/>
            <w:vAlign w:val="center"/>
          </w:tcPr>
          <w:p w14:paraId="2718A6BF" w14:textId="3BF8C44C" w:rsidR="00521410" w:rsidRPr="00521410" w:rsidRDefault="00521410" w:rsidP="00521410">
            <w:pPr>
              <w:rPr>
                <w:rFonts w:ascii="Calibri" w:hAnsi="Calibri" w:cs="Calibri"/>
                <w:sz w:val="16"/>
                <w:szCs w:val="16"/>
              </w:rPr>
            </w:pPr>
            <w:r w:rsidRPr="00521410">
              <w:rPr>
                <w:rFonts w:ascii="Calibri" w:hAnsi="Calibri" w:cs="Calibri"/>
                <w:sz w:val="16"/>
                <w:szCs w:val="16"/>
              </w:rPr>
              <w:t>Initiate alert responses; increase temporary restrictions within SPZ</w:t>
            </w:r>
          </w:p>
        </w:tc>
      </w:tr>
      <w:tr w:rsidR="00521410" w:rsidRPr="00521410" w14:paraId="16E1F2DE" w14:textId="77777777" w:rsidTr="00FF5968">
        <w:tc>
          <w:tcPr>
            <w:tcW w:w="1733" w:type="dxa"/>
            <w:vAlign w:val="center"/>
          </w:tcPr>
          <w:p w14:paraId="5AE048F9" w14:textId="2C8DAE70" w:rsidR="00521410" w:rsidRPr="00521410" w:rsidRDefault="00521410" w:rsidP="00521410">
            <w:pPr>
              <w:rPr>
                <w:rFonts w:ascii="Calibri" w:hAnsi="Calibri" w:cs="Calibri"/>
                <w:sz w:val="16"/>
                <w:szCs w:val="16"/>
              </w:rPr>
            </w:pPr>
            <w:r w:rsidRPr="00521410">
              <w:rPr>
                <w:rFonts w:ascii="Calibri" w:hAnsi="Calibri" w:cs="Calibri"/>
                <w:sz w:val="16"/>
                <w:szCs w:val="16"/>
              </w:rPr>
              <w:t>Nitrate &amp; pesticide screening</w:t>
            </w:r>
          </w:p>
        </w:tc>
        <w:tc>
          <w:tcPr>
            <w:tcW w:w="1209" w:type="dxa"/>
            <w:vAlign w:val="center"/>
          </w:tcPr>
          <w:p w14:paraId="0BD7BFB2" w14:textId="321B1512" w:rsidR="00521410" w:rsidRPr="00521410" w:rsidRDefault="000176CD" w:rsidP="00521410">
            <w:pPr>
              <w:rPr>
                <w:rFonts w:ascii="Calibri" w:hAnsi="Calibri" w:cs="Calibri"/>
                <w:sz w:val="16"/>
                <w:szCs w:val="16"/>
              </w:rPr>
            </w:pPr>
            <w:r>
              <w:rPr>
                <w:rFonts w:ascii="Calibri" w:hAnsi="Calibri" w:cs="Calibri"/>
                <w:sz w:val="16"/>
                <w:szCs w:val="16"/>
              </w:rPr>
              <w:t>To i</w:t>
            </w:r>
            <w:r w:rsidR="00521410" w:rsidRPr="00521410">
              <w:rPr>
                <w:rFonts w:ascii="Calibri" w:hAnsi="Calibri" w:cs="Calibri"/>
                <w:sz w:val="16"/>
                <w:szCs w:val="16"/>
              </w:rPr>
              <w:t xml:space="preserve">dentify </w:t>
            </w:r>
            <w:proofErr w:type="gramStart"/>
            <w:r w:rsidR="00521410" w:rsidRPr="00521410">
              <w:rPr>
                <w:rFonts w:ascii="Calibri" w:hAnsi="Calibri" w:cs="Calibri"/>
                <w:sz w:val="16"/>
                <w:szCs w:val="16"/>
              </w:rPr>
              <w:t>diffuse</w:t>
            </w:r>
            <w:r w:rsidR="00521410" w:rsidRPr="00521410">
              <w:rPr>
                <w:rFonts w:ascii="Calibri" w:hAnsi="Calibri" w:cs="Calibri"/>
                <w:sz w:val="16"/>
                <w:szCs w:val="16"/>
              </w:rPr>
              <w:noBreakHyphen/>
              <w:t>pollution risk</w:t>
            </w:r>
            <w:proofErr w:type="gramEnd"/>
            <w:r w:rsidR="00521410" w:rsidRPr="00521410">
              <w:rPr>
                <w:rFonts w:ascii="Calibri" w:hAnsi="Calibri" w:cs="Calibri"/>
                <w:sz w:val="16"/>
                <w:szCs w:val="16"/>
              </w:rPr>
              <w:t xml:space="preserve"> areas</w:t>
            </w:r>
          </w:p>
        </w:tc>
        <w:tc>
          <w:tcPr>
            <w:tcW w:w="1397" w:type="dxa"/>
            <w:vAlign w:val="center"/>
          </w:tcPr>
          <w:p w14:paraId="75248652" w14:textId="30637455" w:rsidR="00521410" w:rsidRPr="00521410" w:rsidRDefault="000176CD" w:rsidP="00521410">
            <w:pPr>
              <w:rPr>
                <w:rFonts w:ascii="Calibri" w:hAnsi="Calibri" w:cs="Calibri"/>
                <w:sz w:val="16"/>
                <w:szCs w:val="16"/>
              </w:rPr>
            </w:pPr>
            <w:r>
              <w:rPr>
                <w:rFonts w:ascii="Calibri" w:hAnsi="Calibri" w:cs="Calibri"/>
                <w:sz w:val="16"/>
                <w:szCs w:val="16"/>
              </w:rPr>
              <w:t>To h</w:t>
            </w:r>
            <w:r w:rsidR="00521410" w:rsidRPr="00521410">
              <w:rPr>
                <w:rFonts w:ascii="Calibri" w:hAnsi="Calibri" w:cs="Calibri"/>
                <w:sz w:val="16"/>
                <w:szCs w:val="16"/>
              </w:rPr>
              <w:t>elp define sampling points in agricultural zones</w:t>
            </w:r>
          </w:p>
        </w:tc>
        <w:tc>
          <w:tcPr>
            <w:tcW w:w="1398" w:type="dxa"/>
            <w:vAlign w:val="center"/>
          </w:tcPr>
          <w:p w14:paraId="466FA6DC" w14:textId="304B1F3F" w:rsidR="00521410" w:rsidRPr="00521410" w:rsidRDefault="00FF5968" w:rsidP="00521410">
            <w:pPr>
              <w:rPr>
                <w:rFonts w:ascii="Calibri" w:hAnsi="Calibri" w:cs="Calibri"/>
                <w:sz w:val="16"/>
                <w:szCs w:val="16"/>
              </w:rPr>
            </w:pPr>
            <w:r>
              <w:rPr>
                <w:rFonts w:ascii="Calibri" w:hAnsi="Calibri" w:cs="Calibri"/>
                <w:sz w:val="16"/>
                <w:szCs w:val="16"/>
              </w:rPr>
              <w:t>To h</w:t>
            </w:r>
            <w:r w:rsidRPr="00521410">
              <w:rPr>
                <w:rFonts w:ascii="Calibri" w:hAnsi="Calibri" w:cs="Calibri"/>
                <w:sz w:val="16"/>
                <w:szCs w:val="16"/>
              </w:rPr>
              <w:t>elp define sampling points in agricultural zones</w:t>
            </w:r>
          </w:p>
        </w:tc>
        <w:tc>
          <w:tcPr>
            <w:tcW w:w="1031" w:type="dxa"/>
            <w:vAlign w:val="center"/>
          </w:tcPr>
          <w:p w14:paraId="4455EFFD" w14:textId="20E68A47" w:rsidR="00521410" w:rsidRPr="00521410" w:rsidRDefault="000176CD" w:rsidP="00521410">
            <w:pPr>
              <w:rPr>
                <w:rFonts w:ascii="Calibri" w:hAnsi="Calibri" w:cs="Calibri"/>
                <w:sz w:val="16"/>
                <w:szCs w:val="16"/>
              </w:rPr>
            </w:pPr>
            <w:r>
              <w:rPr>
                <w:rFonts w:ascii="Calibri" w:hAnsi="Calibri" w:cs="Calibri"/>
                <w:sz w:val="16"/>
                <w:szCs w:val="16"/>
              </w:rPr>
              <w:t>W</w:t>
            </w:r>
            <w:r w:rsidR="00521410" w:rsidRPr="00521410">
              <w:rPr>
                <w:rFonts w:ascii="Calibri" w:hAnsi="Calibri" w:cs="Calibri"/>
                <w:sz w:val="16"/>
                <w:szCs w:val="16"/>
              </w:rPr>
              <w:t>ater samples (mg/L, µg/L), land</w:t>
            </w:r>
            <w:r w:rsidR="00521410" w:rsidRPr="00521410">
              <w:rPr>
                <w:rFonts w:ascii="Calibri" w:hAnsi="Calibri" w:cs="Calibri"/>
                <w:sz w:val="16"/>
                <w:szCs w:val="16"/>
              </w:rPr>
              <w:noBreakHyphen/>
              <w:t>use GIS</w:t>
            </w:r>
          </w:p>
        </w:tc>
        <w:tc>
          <w:tcPr>
            <w:tcW w:w="1057" w:type="dxa"/>
            <w:vAlign w:val="center"/>
          </w:tcPr>
          <w:p w14:paraId="2F3DDE52" w14:textId="6D62240E" w:rsidR="00521410" w:rsidRPr="00521410" w:rsidRDefault="000176CD" w:rsidP="00521410">
            <w:pPr>
              <w:rPr>
                <w:rFonts w:ascii="Calibri" w:hAnsi="Calibri" w:cs="Calibri"/>
                <w:sz w:val="16"/>
                <w:szCs w:val="16"/>
              </w:rPr>
            </w:pPr>
            <w:r>
              <w:rPr>
                <w:rFonts w:ascii="Calibri" w:hAnsi="Calibri" w:cs="Calibri"/>
                <w:sz w:val="16"/>
                <w:szCs w:val="16"/>
              </w:rPr>
              <w:t>H</w:t>
            </w:r>
            <w:r w:rsidR="00521410" w:rsidRPr="00521410">
              <w:rPr>
                <w:rFonts w:ascii="Calibri" w:hAnsi="Calibri" w:cs="Calibri"/>
                <w:sz w:val="16"/>
                <w:szCs w:val="16"/>
              </w:rPr>
              <w:t>otspot ID, concentration trend</w:t>
            </w:r>
          </w:p>
        </w:tc>
        <w:tc>
          <w:tcPr>
            <w:tcW w:w="1178" w:type="dxa"/>
            <w:vAlign w:val="center"/>
          </w:tcPr>
          <w:p w14:paraId="695C597D" w14:textId="5C832430" w:rsidR="00521410" w:rsidRPr="00521410" w:rsidRDefault="00461DB0" w:rsidP="00521410">
            <w:pPr>
              <w:rPr>
                <w:rFonts w:ascii="Calibri" w:hAnsi="Calibri" w:cs="Calibri"/>
                <w:sz w:val="16"/>
                <w:szCs w:val="16"/>
              </w:rPr>
            </w:pPr>
            <w:r w:rsidRPr="00521410">
              <w:rPr>
                <w:rFonts w:ascii="Calibri" w:hAnsi="Calibri" w:cs="Calibri"/>
                <w:sz w:val="16"/>
                <w:szCs w:val="16"/>
              </w:rPr>
              <w:t>Prioritize</w:t>
            </w:r>
            <w:r w:rsidR="00521410" w:rsidRPr="00521410">
              <w:rPr>
                <w:rFonts w:ascii="Calibri" w:hAnsi="Calibri" w:cs="Calibri"/>
                <w:sz w:val="16"/>
                <w:szCs w:val="16"/>
              </w:rPr>
              <w:t xml:space="preserve"> field inspections; align farm</w:t>
            </w:r>
            <w:r w:rsidR="00521410" w:rsidRPr="00521410">
              <w:rPr>
                <w:rFonts w:ascii="Calibri" w:hAnsi="Calibri" w:cs="Calibri"/>
                <w:sz w:val="16"/>
                <w:szCs w:val="16"/>
              </w:rPr>
              <w:noBreakHyphen/>
              <w:t>advisory outreach</w:t>
            </w:r>
          </w:p>
        </w:tc>
      </w:tr>
      <w:tr w:rsidR="00521410" w:rsidRPr="00521410" w14:paraId="55A0D62B" w14:textId="77777777" w:rsidTr="00FF5968">
        <w:tc>
          <w:tcPr>
            <w:tcW w:w="1733" w:type="dxa"/>
            <w:vAlign w:val="center"/>
          </w:tcPr>
          <w:p w14:paraId="752EFC0C" w14:textId="7E5FB90A"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Spatial overlay: losing streams; land use; sources</w:t>
            </w:r>
          </w:p>
        </w:tc>
        <w:tc>
          <w:tcPr>
            <w:tcW w:w="1209" w:type="dxa"/>
            <w:vAlign w:val="center"/>
          </w:tcPr>
          <w:p w14:paraId="64B4DD02" w14:textId="63CE0513" w:rsidR="00521410" w:rsidRPr="00521410" w:rsidRDefault="000176CD" w:rsidP="00521410">
            <w:pPr>
              <w:rPr>
                <w:rFonts w:ascii="Calibri" w:hAnsi="Calibri" w:cs="Calibri"/>
                <w:sz w:val="16"/>
                <w:szCs w:val="16"/>
                <w:lang w:val="en-GB" w:eastAsia="en-GB"/>
              </w:rPr>
            </w:pPr>
            <w:r>
              <w:rPr>
                <w:rFonts w:ascii="Calibri" w:hAnsi="Calibri" w:cs="Calibri"/>
                <w:sz w:val="16"/>
                <w:szCs w:val="16"/>
              </w:rPr>
              <w:t>To r</w:t>
            </w:r>
            <w:r w:rsidR="00521410" w:rsidRPr="00521410">
              <w:rPr>
                <w:rFonts w:ascii="Calibri" w:hAnsi="Calibri" w:cs="Calibri"/>
                <w:sz w:val="16"/>
                <w:szCs w:val="16"/>
              </w:rPr>
              <w:t>eveal high</w:t>
            </w:r>
            <w:r w:rsidR="00521410" w:rsidRPr="00521410">
              <w:rPr>
                <w:rFonts w:ascii="Calibri" w:hAnsi="Calibri" w:cs="Calibri"/>
                <w:sz w:val="16"/>
                <w:szCs w:val="16"/>
              </w:rPr>
              <w:noBreakHyphen/>
              <w:t>risk infiltration spots</w:t>
            </w:r>
          </w:p>
        </w:tc>
        <w:tc>
          <w:tcPr>
            <w:tcW w:w="1397" w:type="dxa"/>
            <w:vAlign w:val="center"/>
          </w:tcPr>
          <w:p w14:paraId="1AB4AC69" w14:textId="4AF1F2C4" w:rsidR="00521410" w:rsidRPr="00521410" w:rsidRDefault="000176CD" w:rsidP="00521410">
            <w:pPr>
              <w:rPr>
                <w:rFonts w:ascii="Calibri" w:hAnsi="Calibri" w:cs="Calibri"/>
                <w:sz w:val="16"/>
                <w:szCs w:val="16"/>
                <w:lang w:val="en-GB" w:eastAsia="en-GB"/>
              </w:rPr>
            </w:pPr>
            <w:r>
              <w:rPr>
                <w:rFonts w:ascii="Calibri" w:hAnsi="Calibri" w:cs="Calibri"/>
                <w:sz w:val="16"/>
                <w:szCs w:val="16"/>
              </w:rPr>
              <w:t>To apply</w:t>
            </w:r>
            <w:r w:rsidR="00521410" w:rsidRPr="00521410">
              <w:rPr>
                <w:rFonts w:ascii="Calibri" w:hAnsi="Calibri" w:cs="Calibri"/>
                <w:sz w:val="16"/>
                <w:szCs w:val="16"/>
              </w:rPr>
              <w:t xml:space="preserve"> for spatial‐planning consultation</w:t>
            </w:r>
          </w:p>
        </w:tc>
        <w:tc>
          <w:tcPr>
            <w:tcW w:w="1398" w:type="dxa"/>
            <w:vAlign w:val="center"/>
          </w:tcPr>
          <w:p w14:paraId="5E87BC70" w14:textId="132E0428" w:rsidR="00521410" w:rsidRPr="00521410" w:rsidRDefault="000176CD" w:rsidP="00521410">
            <w:pPr>
              <w:rPr>
                <w:rFonts w:ascii="Calibri" w:hAnsi="Calibri" w:cs="Calibri"/>
                <w:sz w:val="16"/>
                <w:szCs w:val="16"/>
                <w:lang w:val="en-GB" w:eastAsia="en-GB"/>
              </w:rPr>
            </w:pPr>
            <w:r>
              <w:rPr>
                <w:rFonts w:ascii="Calibri" w:hAnsi="Calibri" w:cs="Calibri"/>
                <w:sz w:val="16"/>
                <w:szCs w:val="16"/>
              </w:rPr>
              <w:t>To s</w:t>
            </w:r>
            <w:r w:rsidR="00521410" w:rsidRPr="00521410">
              <w:rPr>
                <w:rFonts w:ascii="Calibri" w:hAnsi="Calibri" w:cs="Calibri"/>
                <w:sz w:val="16"/>
                <w:szCs w:val="16"/>
              </w:rPr>
              <w:t>upport municipal SPZ updates</w:t>
            </w:r>
          </w:p>
        </w:tc>
        <w:tc>
          <w:tcPr>
            <w:tcW w:w="1031" w:type="dxa"/>
            <w:vAlign w:val="center"/>
          </w:tcPr>
          <w:p w14:paraId="6EA35EFD" w14:textId="3DD42FD1" w:rsidR="00521410" w:rsidRPr="00521410" w:rsidRDefault="000176CD" w:rsidP="00521410">
            <w:pPr>
              <w:rPr>
                <w:rFonts w:ascii="Calibri" w:hAnsi="Calibri" w:cs="Calibri"/>
                <w:sz w:val="16"/>
                <w:szCs w:val="16"/>
                <w:lang w:val="en-GB" w:eastAsia="en-GB"/>
              </w:rPr>
            </w:pPr>
            <w:r>
              <w:rPr>
                <w:rFonts w:ascii="Calibri" w:hAnsi="Calibri" w:cs="Calibri"/>
                <w:sz w:val="16"/>
                <w:szCs w:val="16"/>
              </w:rPr>
              <w:t>L</w:t>
            </w:r>
            <w:r w:rsidR="00521410" w:rsidRPr="00521410">
              <w:rPr>
                <w:rFonts w:ascii="Calibri" w:hAnsi="Calibri" w:cs="Calibri"/>
                <w:sz w:val="16"/>
                <w:szCs w:val="16"/>
              </w:rPr>
              <w:t>and</w:t>
            </w:r>
            <w:r w:rsidR="00521410" w:rsidRPr="00521410">
              <w:rPr>
                <w:rFonts w:ascii="Calibri" w:hAnsi="Calibri" w:cs="Calibri"/>
                <w:sz w:val="16"/>
                <w:szCs w:val="16"/>
              </w:rPr>
              <w:noBreakHyphen/>
              <w:t>use raster, losing</w:t>
            </w:r>
            <w:r w:rsidR="00521410" w:rsidRPr="00521410">
              <w:rPr>
                <w:rFonts w:ascii="Calibri" w:hAnsi="Calibri" w:cs="Calibri"/>
                <w:sz w:val="16"/>
                <w:szCs w:val="16"/>
              </w:rPr>
              <w:noBreakHyphen/>
              <w:t>stream linework, point sources</w:t>
            </w:r>
          </w:p>
        </w:tc>
        <w:tc>
          <w:tcPr>
            <w:tcW w:w="1057" w:type="dxa"/>
            <w:vAlign w:val="center"/>
          </w:tcPr>
          <w:p w14:paraId="10EFC555" w14:textId="4D50C673" w:rsidR="00521410" w:rsidRPr="00521410" w:rsidRDefault="000176CD" w:rsidP="00521410">
            <w:pPr>
              <w:rPr>
                <w:rFonts w:ascii="Calibri" w:hAnsi="Calibri" w:cs="Calibri"/>
                <w:sz w:val="16"/>
                <w:szCs w:val="16"/>
                <w:lang w:val="en-GB" w:eastAsia="en-GB"/>
              </w:rPr>
            </w:pPr>
            <w:r>
              <w:rPr>
                <w:rFonts w:ascii="Calibri" w:hAnsi="Calibri" w:cs="Calibri"/>
                <w:sz w:val="16"/>
                <w:szCs w:val="16"/>
              </w:rPr>
              <w:t>R</w:t>
            </w:r>
            <w:r w:rsidR="00521410" w:rsidRPr="00521410">
              <w:rPr>
                <w:rFonts w:ascii="Calibri" w:hAnsi="Calibri" w:cs="Calibri"/>
                <w:sz w:val="16"/>
                <w:szCs w:val="16"/>
              </w:rPr>
              <w:t>isk overlay (H/M/L)</w:t>
            </w:r>
          </w:p>
        </w:tc>
        <w:tc>
          <w:tcPr>
            <w:tcW w:w="1178" w:type="dxa"/>
            <w:vAlign w:val="center"/>
          </w:tcPr>
          <w:p w14:paraId="26884A8D" w14:textId="72D6B430"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Focus inspections; recommend mitigation at critical recharge points</w:t>
            </w:r>
          </w:p>
        </w:tc>
      </w:tr>
      <w:tr w:rsidR="00521410" w:rsidRPr="00521410" w14:paraId="73C93A41" w14:textId="77777777" w:rsidTr="00FF5968">
        <w:tc>
          <w:tcPr>
            <w:tcW w:w="1733" w:type="dxa"/>
            <w:vAlign w:val="center"/>
          </w:tcPr>
          <w:p w14:paraId="16450C63" w14:textId="10127025"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Early</w:t>
            </w:r>
            <w:r w:rsidRPr="00521410">
              <w:rPr>
                <w:rFonts w:ascii="Calibri" w:hAnsi="Calibri" w:cs="Calibri"/>
                <w:sz w:val="16"/>
                <w:szCs w:val="16"/>
              </w:rPr>
              <w:noBreakHyphen/>
              <w:t>warning thresholds at springs</w:t>
            </w:r>
          </w:p>
        </w:tc>
        <w:tc>
          <w:tcPr>
            <w:tcW w:w="1209" w:type="dxa"/>
            <w:vAlign w:val="center"/>
          </w:tcPr>
          <w:p w14:paraId="62893360" w14:textId="3FC07CBE" w:rsidR="00521410" w:rsidRPr="00521410" w:rsidRDefault="000176CD" w:rsidP="00521410">
            <w:pPr>
              <w:rPr>
                <w:rFonts w:ascii="Calibri" w:hAnsi="Calibri" w:cs="Calibri"/>
                <w:sz w:val="16"/>
                <w:szCs w:val="16"/>
                <w:lang w:val="en-GB" w:eastAsia="en-GB"/>
              </w:rPr>
            </w:pPr>
            <w:r>
              <w:rPr>
                <w:rFonts w:ascii="Calibri" w:hAnsi="Calibri" w:cs="Calibri"/>
                <w:sz w:val="16"/>
                <w:szCs w:val="16"/>
              </w:rPr>
              <w:t>To d</w:t>
            </w:r>
            <w:r w:rsidR="00521410" w:rsidRPr="00521410">
              <w:rPr>
                <w:rFonts w:ascii="Calibri" w:hAnsi="Calibri" w:cs="Calibri"/>
                <w:sz w:val="16"/>
                <w:szCs w:val="16"/>
              </w:rPr>
              <w:t>etect rapid deterioration in water quality</w:t>
            </w:r>
          </w:p>
        </w:tc>
        <w:tc>
          <w:tcPr>
            <w:tcW w:w="1397" w:type="dxa"/>
            <w:vAlign w:val="center"/>
          </w:tcPr>
          <w:p w14:paraId="5E288925" w14:textId="4E23C948" w:rsidR="00521410" w:rsidRPr="00521410" w:rsidRDefault="000176CD" w:rsidP="00521410">
            <w:pPr>
              <w:rPr>
                <w:rFonts w:ascii="Calibri" w:hAnsi="Calibri" w:cs="Calibri"/>
                <w:sz w:val="16"/>
                <w:szCs w:val="16"/>
                <w:lang w:val="en-GB" w:eastAsia="en-GB"/>
              </w:rPr>
            </w:pPr>
            <w:r>
              <w:rPr>
                <w:rFonts w:ascii="Calibri" w:hAnsi="Calibri" w:cs="Calibri"/>
                <w:sz w:val="16"/>
                <w:szCs w:val="16"/>
              </w:rPr>
              <w:t>To i</w:t>
            </w:r>
            <w:r w:rsidR="00521410" w:rsidRPr="00521410">
              <w:rPr>
                <w:rFonts w:ascii="Calibri" w:hAnsi="Calibri" w:cs="Calibri"/>
                <w:sz w:val="16"/>
                <w:szCs w:val="16"/>
              </w:rPr>
              <w:t>ntegrate into operational practice of utilities</w:t>
            </w:r>
          </w:p>
        </w:tc>
        <w:tc>
          <w:tcPr>
            <w:tcW w:w="1398" w:type="dxa"/>
            <w:vAlign w:val="center"/>
          </w:tcPr>
          <w:p w14:paraId="11F58D2D" w14:textId="75903D15" w:rsidR="00521410" w:rsidRPr="00521410" w:rsidRDefault="00FF5968" w:rsidP="00521410">
            <w:pPr>
              <w:rPr>
                <w:rFonts w:ascii="Calibri" w:hAnsi="Calibri" w:cs="Calibri"/>
                <w:sz w:val="16"/>
                <w:szCs w:val="16"/>
                <w:lang w:val="en-GB" w:eastAsia="en-GB"/>
              </w:rPr>
            </w:pPr>
            <w:r>
              <w:rPr>
                <w:rFonts w:ascii="Calibri" w:hAnsi="Calibri" w:cs="Calibri"/>
                <w:sz w:val="16"/>
                <w:szCs w:val="16"/>
              </w:rPr>
              <w:t>To i</w:t>
            </w:r>
            <w:r w:rsidRPr="00521410">
              <w:rPr>
                <w:rFonts w:ascii="Calibri" w:hAnsi="Calibri" w:cs="Calibri"/>
                <w:sz w:val="16"/>
                <w:szCs w:val="16"/>
              </w:rPr>
              <w:t>ntegrate into operational practice of utilities</w:t>
            </w:r>
          </w:p>
        </w:tc>
        <w:tc>
          <w:tcPr>
            <w:tcW w:w="1031" w:type="dxa"/>
            <w:vAlign w:val="center"/>
          </w:tcPr>
          <w:p w14:paraId="279AFE6C" w14:textId="040A700A" w:rsidR="00521410" w:rsidRPr="00521410" w:rsidRDefault="000176CD" w:rsidP="00521410">
            <w:pPr>
              <w:rPr>
                <w:rFonts w:ascii="Calibri" w:hAnsi="Calibri" w:cs="Calibri"/>
                <w:sz w:val="16"/>
                <w:szCs w:val="16"/>
                <w:lang w:val="en-GB" w:eastAsia="en-GB"/>
              </w:rPr>
            </w:pPr>
            <w:r>
              <w:rPr>
                <w:rFonts w:ascii="Calibri" w:hAnsi="Calibri" w:cs="Calibri"/>
                <w:sz w:val="16"/>
                <w:szCs w:val="16"/>
              </w:rPr>
              <w:t>T</w:t>
            </w:r>
            <w:r w:rsidR="00521410" w:rsidRPr="00521410">
              <w:rPr>
                <w:rFonts w:ascii="Calibri" w:hAnsi="Calibri" w:cs="Calibri"/>
                <w:sz w:val="16"/>
                <w:szCs w:val="16"/>
              </w:rPr>
              <w:t>urbidity, EC, E. coli, rainfall intensity</w:t>
            </w:r>
          </w:p>
        </w:tc>
        <w:tc>
          <w:tcPr>
            <w:tcW w:w="1057" w:type="dxa"/>
            <w:vAlign w:val="center"/>
          </w:tcPr>
          <w:p w14:paraId="079EFB3B" w14:textId="7B5CFE76" w:rsidR="00521410" w:rsidRPr="00521410" w:rsidRDefault="000176CD" w:rsidP="00521410">
            <w:pPr>
              <w:rPr>
                <w:rFonts w:ascii="Calibri" w:hAnsi="Calibri" w:cs="Calibri"/>
                <w:sz w:val="16"/>
                <w:szCs w:val="16"/>
                <w:lang w:val="en-GB" w:eastAsia="en-GB"/>
              </w:rPr>
            </w:pPr>
            <w:r>
              <w:rPr>
                <w:rFonts w:ascii="Calibri" w:hAnsi="Calibri" w:cs="Calibri"/>
                <w:sz w:val="16"/>
                <w:szCs w:val="16"/>
              </w:rPr>
              <w:t>T</w:t>
            </w:r>
            <w:r w:rsidR="00521410" w:rsidRPr="00521410">
              <w:rPr>
                <w:rFonts w:ascii="Calibri" w:hAnsi="Calibri" w:cs="Calibri"/>
                <w:sz w:val="16"/>
                <w:szCs w:val="16"/>
              </w:rPr>
              <w:t>hreshold exceedance</w:t>
            </w:r>
          </w:p>
        </w:tc>
        <w:tc>
          <w:tcPr>
            <w:tcW w:w="1178" w:type="dxa"/>
            <w:vAlign w:val="center"/>
          </w:tcPr>
          <w:p w14:paraId="71F8E07E" w14:textId="578C1341"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Trigger event</w:t>
            </w:r>
            <w:r w:rsidRPr="00521410">
              <w:rPr>
                <w:rFonts w:ascii="Calibri" w:hAnsi="Calibri" w:cs="Calibri"/>
                <w:sz w:val="16"/>
                <w:szCs w:val="16"/>
              </w:rPr>
              <w:noBreakHyphen/>
              <w:t>sampling; activate communication with inspectorates</w:t>
            </w:r>
          </w:p>
        </w:tc>
      </w:tr>
      <w:tr w:rsidR="00521410" w:rsidRPr="00521410" w14:paraId="35DF5670" w14:textId="77777777" w:rsidTr="00FF5968">
        <w:tc>
          <w:tcPr>
            <w:tcW w:w="1733" w:type="dxa"/>
            <w:vAlign w:val="center"/>
          </w:tcPr>
          <w:p w14:paraId="71F03279" w14:textId="6DD52EED"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Risk</w:t>
            </w:r>
            <w:r w:rsidRPr="00521410">
              <w:rPr>
                <w:rFonts w:ascii="Calibri" w:hAnsi="Calibri" w:cs="Calibri"/>
                <w:sz w:val="16"/>
                <w:szCs w:val="16"/>
              </w:rPr>
              <w:noBreakHyphen/>
              <w:t xml:space="preserve">based inspection </w:t>
            </w:r>
          </w:p>
        </w:tc>
        <w:tc>
          <w:tcPr>
            <w:tcW w:w="1209" w:type="dxa"/>
            <w:vAlign w:val="center"/>
          </w:tcPr>
          <w:p w14:paraId="26CD33F6" w14:textId="51BB41DB" w:rsidR="00521410" w:rsidRPr="00521410" w:rsidRDefault="000176CD" w:rsidP="00521410">
            <w:pPr>
              <w:rPr>
                <w:rFonts w:ascii="Calibri" w:hAnsi="Calibri" w:cs="Calibri"/>
                <w:sz w:val="16"/>
                <w:szCs w:val="16"/>
                <w:lang w:val="en-GB" w:eastAsia="en-GB"/>
              </w:rPr>
            </w:pPr>
            <w:r>
              <w:rPr>
                <w:rFonts w:ascii="Calibri" w:hAnsi="Calibri" w:cs="Calibri"/>
                <w:sz w:val="16"/>
                <w:szCs w:val="16"/>
              </w:rPr>
              <w:t>To f</w:t>
            </w:r>
            <w:r w:rsidR="00521410" w:rsidRPr="00521410">
              <w:rPr>
                <w:rFonts w:ascii="Calibri" w:hAnsi="Calibri" w:cs="Calibri"/>
                <w:sz w:val="16"/>
                <w:szCs w:val="16"/>
              </w:rPr>
              <w:t>ocus inspections on high</w:t>
            </w:r>
            <w:r w:rsidR="00521410" w:rsidRPr="00521410">
              <w:rPr>
                <w:rFonts w:ascii="Calibri" w:hAnsi="Calibri" w:cs="Calibri"/>
                <w:sz w:val="16"/>
                <w:szCs w:val="16"/>
              </w:rPr>
              <w:noBreakHyphen/>
              <w:t>risk SPZ areas</w:t>
            </w:r>
          </w:p>
        </w:tc>
        <w:tc>
          <w:tcPr>
            <w:tcW w:w="1397" w:type="dxa"/>
            <w:vAlign w:val="center"/>
          </w:tcPr>
          <w:p w14:paraId="294F1C57" w14:textId="2ECE4AE4" w:rsidR="00521410" w:rsidRPr="00521410" w:rsidRDefault="000176CD" w:rsidP="00521410">
            <w:pPr>
              <w:rPr>
                <w:rFonts w:ascii="Calibri" w:hAnsi="Calibri" w:cs="Calibri"/>
                <w:sz w:val="16"/>
                <w:szCs w:val="16"/>
                <w:lang w:val="en-GB" w:eastAsia="en-GB"/>
              </w:rPr>
            </w:pPr>
            <w:r>
              <w:rPr>
                <w:rFonts w:ascii="Calibri" w:hAnsi="Calibri" w:cs="Calibri"/>
                <w:sz w:val="16"/>
                <w:szCs w:val="16"/>
              </w:rPr>
              <w:t>To s</w:t>
            </w:r>
            <w:r w:rsidR="00521410" w:rsidRPr="00521410">
              <w:rPr>
                <w:rFonts w:ascii="Calibri" w:hAnsi="Calibri" w:cs="Calibri"/>
                <w:sz w:val="16"/>
                <w:szCs w:val="16"/>
              </w:rPr>
              <w:t xml:space="preserve">upport enforcement </w:t>
            </w:r>
            <w:r w:rsidR="00461DB0" w:rsidRPr="00521410">
              <w:rPr>
                <w:rFonts w:ascii="Calibri" w:hAnsi="Calibri" w:cs="Calibri"/>
                <w:sz w:val="16"/>
                <w:szCs w:val="16"/>
              </w:rPr>
              <w:t>prioritization</w:t>
            </w:r>
          </w:p>
        </w:tc>
        <w:tc>
          <w:tcPr>
            <w:tcW w:w="1398" w:type="dxa"/>
            <w:vAlign w:val="center"/>
          </w:tcPr>
          <w:p w14:paraId="5AFF0361" w14:textId="0744DA07" w:rsidR="00521410" w:rsidRPr="00521410" w:rsidRDefault="000176CD" w:rsidP="00521410">
            <w:pPr>
              <w:rPr>
                <w:rFonts w:ascii="Calibri" w:hAnsi="Calibri" w:cs="Calibri"/>
                <w:sz w:val="16"/>
                <w:szCs w:val="16"/>
                <w:lang w:val="en-GB" w:eastAsia="en-GB"/>
              </w:rPr>
            </w:pPr>
            <w:r>
              <w:rPr>
                <w:rFonts w:ascii="Calibri" w:hAnsi="Calibri" w:cs="Calibri"/>
                <w:sz w:val="16"/>
                <w:szCs w:val="16"/>
              </w:rPr>
              <w:t>To a</w:t>
            </w:r>
            <w:r w:rsidR="00521410" w:rsidRPr="00521410">
              <w:rPr>
                <w:rFonts w:ascii="Calibri" w:hAnsi="Calibri" w:cs="Calibri"/>
                <w:sz w:val="16"/>
                <w:szCs w:val="16"/>
              </w:rPr>
              <w:t>ppl</w:t>
            </w:r>
            <w:r>
              <w:rPr>
                <w:rFonts w:ascii="Calibri" w:hAnsi="Calibri" w:cs="Calibri"/>
                <w:sz w:val="16"/>
                <w:szCs w:val="16"/>
              </w:rPr>
              <w:t>y</w:t>
            </w:r>
            <w:r w:rsidR="00521410" w:rsidRPr="00521410">
              <w:rPr>
                <w:rFonts w:ascii="Calibri" w:hAnsi="Calibri" w:cs="Calibri"/>
                <w:sz w:val="16"/>
                <w:szCs w:val="16"/>
              </w:rPr>
              <w:t xml:space="preserve"> by entity/cantonal</w:t>
            </w:r>
            <w:r w:rsidR="00522621">
              <w:rPr>
                <w:rFonts w:ascii="Calibri" w:hAnsi="Calibri" w:cs="Calibri"/>
                <w:sz w:val="16"/>
                <w:szCs w:val="16"/>
              </w:rPr>
              <w:t>/municipal</w:t>
            </w:r>
            <w:r w:rsidR="00521410" w:rsidRPr="00521410">
              <w:rPr>
                <w:rFonts w:ascii="Calibri" w:hAnsi="Calibri" w:cs="Calibri"/>
                <w:sz w:val="16"/>
                <w:szCs w:val="16"/>
              </w:rPr>
              <w:t xml:space="preserve"> inspectorates</w:t>
            </w:r>
          </w:p>
        </w:tc>
        <w:tc>
          <w:tcPr>
            <w:tcW w:w="1031" w:type="dxa"/>
            <w:vAlign w:val="center"/>
          </w:tcPr>
          <w:p w14:paraId="04318EE9" w14:textId="3976A2DE" w:rsidR="00521410" w:rsidRPr="00521410" w:rsidRDefault="000176CD" w:rsidP="00521410">
            <w:pPr>
              <w:rPr>
                <w:rFonts w:ascii="Calibri" w:hAnsi="Calibri" w:cs="Calibri"/>
                <w:sz w:val="16"/>
                <w:szCs w:val="16"/>
                <w:lang w:val="en-GB" w:eastAsia="en-GB"/>
              </w:rPr>
            </w:pPr>
            <w:r>
              <w:rPr>
                <w:rFonts w:ascii="Calibri" w:hAnsi="Calibri" w:cs="Calibri"/>
                <w:sz w:val="16"/>
                <w:szCs w:val="16"/>
              </w:rPr>
              <w:t>R</w:t>
            </w:r>
            <w:r w:rsidR="00521410" w:rsidRPr="00521410">
              <w:rPr>
                <w:rFonts w:ascii="Calibri" w:hAnsi="Calibri" w:cs="Calibri"/>
                <w:sz w:val="16"/>
                <w:szCs w:val="16"/>
              </w:rPr>
              <w:t>isk map, vulnerability classes, pollution inventory</w:t>
            </w:r>
          </w:p>
        </w:tc>
        <w:tc>
          <w:tcPr>
            <w:tcW w:w="1057" w:type="dxa"/>
            <w:vAlign w:val="center"/>
          </w:tcPr>
          <w:p w14:paraId="7C443EFB" w14:textId="00EB1686" w:rsidR="00521410" w:rsidRPr="00521410" w:rsidRDefault="000176CD" w:rsidP="00521410">
            <w:pPr>
              <w:rPr>
                <w:rFonts w:ascii="Calibri" w:hAnsi="Calibri" w:cs="Calibri"/>
                <w:sz w:val="16"/>
                <w:szCs w:val="16"/>
                <w:lang w:val="en-GB" w:eastAsia="en-GB"/>
              </w:rPr>
            </w:pPr>
            <w:r w:rsidRPr="000176CD">
              <w:rPr>
                <w:rFonts w:ascii="Calibri" w:hAnsi="Calibri" w:cs="Calibri"/>
                <w:sz w:val="16"/>
                <w:szCs w:val="16"/>
              </w:rPr>
              <w:t>Assign high / medium / low inspection priority</w:t>
            </w:r>
          </w:p>
        </w:tc>
        <w:tc>
          <w:tcPr>
            <w:tcW w:w="1178" w:type="dxa"/>
            <w:vAlign w:val="center"/>
          </w:tcPr>
          <w:p w14:paraId="6131282E" w14:textId="397C3A4B"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Allocate inspections to highest</w:t>
            </w:r>
            <w:r w:rsidRPr="00521410">
              <w:rPr>
                <w:rFonts w:ascii="Calibri" w:hAnsi="Calibri" w:cs="Calibri"/>
                <w:sz w:val="16"/>
                <w:szCs w:val="16"/>
              </w:rPr>
              <w:noBreakHyphen/>
              <w:t>risk recharge sectors</w:t>
            </w:r>
          </w:p>
        </w:tc>
      </w:tr>
      <w:tr w:rsidR="00521410" w:rsidRPr="00521410" w14:paraId="3B7141A3" w14:textId="77777777" w:rsidTr="00FF5968">
        <w:tc>
          <w:tcPr>
            <w:tcW w:w="1733" w:type="dxa"/>
            <w:vAlign w:val="center"/>
          </w:tcPr>
          <w:p w14:paraId="79F0683D" w14:textId="176286E8"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SPZ operations log &amp; compliance checklist</w:t>
            </w:r>
          </w:p>
        </w:tc>
        <w:tc>
          <w:tcPr>
            <w:tcW w:w="1209" w:type="dxa"/>
            <w:vAlign w:val="center"/>
          </w:tcPr>
          <w:p w14:paraId="16DBD450" w14:textId="23C13610" w:rsidR="00521410" w:rsidRPr="00521410" w:rsidRDefault="000176CD" w:rsidP="00521410">
            <w:pPr>
              <w:rPr>
                <w:rFonts w:ascii="Calibri" w:hAnsi="Calibri" w:cs="Calibri"/>
                <w:sz w:val="16"/>
                <w:szCs w:val="16"/>
                <w:lang w:val="en-GB" w:eastAsia="en-GB"/>
              </w:rPr>
            </w:pPr>
            <w:r>
              <w:rPr>
                <w:rFonts w:ascii="Calibri" w:hAnsi="Calibri" w:cs="Calibri"/>
                <w:sz w:val="16"/>
                <w:szCs w:val="16"/>
              </w:rPr>
              <w:t>To v</w:t>
            </w:r>
            <w:r w:rsidR="00521410" w:rsidRPr="00521410">
              <w:rPr>
                <w:rFonts w:ascii="Calibri" w:hAnsi="Calibri" w:cs="Calibri"/>
                <w:sz w:val="16"/>
                <w:szCs w:val="16"/>
              </w:rPr>
              <w:t>erify alignment of practices with protection measures</w:t>
            </w:r>
          </w:p>
        </w:tc>
        <w:tc>
          <w:tcPr>
            <w:tcW w:w="1397" w:type="dxa"/>
            <w:vAlign w:val="center"/>
          </w:tcPr>
          <w:p w14:paraId="0A6CC720" w14:textId="3BDD5628" w:rsidR="00521410" w:rsidRPr="00521410" w:rsidRDefault="000176CD" w:rsidP="00521410">
            <w:pPr>
              <w:rPr>
                <w:rFonts w:ascii="Calibri" w:hAnsi="Calibri" w:cs="Calibri"/>
                <w:sz w:val="16"/>
                <w:szCs w:val="16"/>
                <w:lang w:val="en-GB" w:eastAsia="en-GB"/>
              </w:rPr>
            </w:pPr>
            <w:r>
              <w:rPr>
                <w:rFonts w:ascii="Calibri" w:hAnsi="Calibri" w:cs="Calibri"/>
                <w:sz w:val="16"/>
                <w:szCs w:val="16"/>
              </w:rPr>
              <w:t>To apply</w:t>
            </w:r>
            <w:r w:rsidR="00521410" w:rsidRPr="00521410">
              <w:rPr>
                <w:rFonts w:ascii="Calibri" w:hAnsi="Calibri" w:cs="Calibri"/>
                <w:sz w:val="16"/>
                <w:szCs w:val="16"/>
              </w:rPr>
              <w:t xml:space="preserve"> for operational oversight</w:t>
            </w:r>
          </w:p>
        </w:tc>
        <w:tc>
          <w:tcPr>
            <w:tcW w:w="1398" w:type="dxa"/>
            <w:vAlign w:val="center"/>
          </w:tcPr>
          <w:p w14:paraId="0A1FC3BC" w14:textId="57E3800B" w:rsidR="00521410" w:rsidRPr="00521410" w:rsidRDefault="000176CD" w:rsidP="00521410">
            <w:pPr>
              <w:rPr>
                <w:rFonts w:ascii="Calibri" w:hAnsi="Calibri" w:cs="Calibri"/>
                <w:sz w:val="16"/>
                <w:szCs w:val="16"/>
                <w:lang w:val="en-GB" w:eastAsia="en-GB"/>
              </w:rPr>
            </w:pPr>
            <w:r>
              <w:rPr>
                <w:rFonts w:ascii="Calibri" w:hAnsi="Calibri" w:cs="Calibri"/>
                <w:sz w:val="16"/>
                <w:szCs w:val="16"/>
              </w:rPr>
              <w:t>To s</w:t>
            </w:r>
            <w:r w:rsidR="00521410" w:rsidRPr="00521410">
              <w:rPr>
                <w:rFonts w:ascii="Calibri" w:hAnsi="Calibri" w:cs="Calibri"/>
                <w:sz w:val="16"/>
                <w:szCs w:val="16"/>
              </w:rPr>
              <w:t xml:space="preserve">upport SPZ </w:t>
            </w:r>
            <w:proofErr w:type="spellStart"/>
            <w:r w:rsidR="00521410" w:rsidRPr="00521410">
              <w:rPr>
                <w:rFonts w:ascii="Calibri" w:hAnsi="Calibri" w:cs="Calibri"/>
                <w:sz w:val="16"/>
                <w:szCs w:val="16"/>
              </w:rPr>
              <w:t>programme</w:t>
            </w:r>
            <w:proofErr w:type="spellEnd"/>
            <w:r w:rsidR="00521410" w:rsidRPr="00521410">
              <w:rPr>
                <w:rFonts w:ascii="Calibri" w:hAnsi="Calibri" w:cs="Calibri"/>
                <w:sz w:val="16"/>
                <w:szCs w:val="16"/>
              </w:rPr>
              <w:t xml:space="preserve"> implementation</w:t>
            </w:r>
          </w:p>
        </w:tc>
        <w:tc>
          <w:tcPr>
            <w:tcW w:w="1031" w:type="dxa"/>
            <w:vAlign w:val="center"/>
          </w:tcPr>
          <w:p w14:paraId="7FA4C41B" w14:textId="0CF78B97" w:rsidR="00521410" w:rsidRPr="00521410" w:rsidRDefault="000176CD" w:rsidP="00521410">
            <w:pPr>
              <w:rPr>
                <w:rFonts w:ascii="Calibri" w:hAnsi="Calibri" w:cs="Calibri"/>
                <w:sz w:val="16"/>
                <w:szCs w:val="16"/>
                <w:lang w:val="en-GB" w:eastAsia="en-GB"/>
              </w:rPr>
            </w:pPr>
            <w:r>
              <w:rPr>
                <w:rFonts w:ascii="Calibri" w:hAnsi="Calibri" w:cs="Calibri"/>
                <w:sz w:val="16"/>
                <w:szCs w:val="16"/>
              </w:rPr>
              <w:t>A</w:t>
            </w:r>
            <w:r w:rsidR="00521410" w:rsidRPr="00521410">
              <w:rPr>
                <w:rFonts w:ascii="Calibri" w:hAnsi="Calibri" w:cs="Calibri"/>
                <w:sz w:val="16"/>
                <w:szCs w:val="16"/>
              </w:rPr>
              <w:t>ctivity logs, inspection results</w:t>
            </w:r>
          </w:p>
        </w:tc>
        <w:tc>
          <w:tcPr>
            <w:tcW w:w="1057" w:type="dxa"/>
            <w:vAlign w:val="center"/>
          </w:tcPr>
          <w:p w14:paraId="6F044494" w14:textId="1B2A44D9" w:rsidR="00521410" w:rsidRPr="00521410" w:rsidRDefault="000176CD" w:rsidP="00521410">
            <w:pPr>
              <w:rPr>
                <w:rFonts w:ascii="Calibri" w:hAnsi="Calibri" w:cs="Calibri"/>
                <w:sz w:val="16"/>
                <w:szCs w:val="16"/>
                <w:lang w:val="en-GB" w:eastAsia="en-GB"/>
              </w:rPr>
            </w:pPr>
            <w:r w:rsidRPr="000176CD">
              <w:rPr>
                <w:rFonts w:ascii="Calibri" w:hAnsi="Calibri" w:cs="Calibri"/>
                <w:sz w:val="16"/>
                <w:szCs w:val="16"/>
              </w:rPr>
              <w:t>Summary rating of compliance with SPZ requirements</w:t>
            </w:r>
          </w:p>
        </w:tc>
        <w:tc>
          <w:tcPr>
            <w:tcW w:w="1178" w:type="dxa"/>
            <w:vAlign w:val="center"/>
          </w:tcPr>
          <w:p w14:paraId="11C7DCE0" w14:textId="2D40E7A7"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Guide corrective actions within existing frameworks</w:t>
            </w:r>
          </w:p>
        </w:tc>
      </w:tr>
    </w:tbl>
    <w:p w14:paraId="22E389BF" w14:textId="77777777" w:rsidR="00CD78CD" w:rsidRDefault="00CD78CD" w:rsidP="00CD78CD">
      <w:pPr>
        <w:jc w:val="both"/>
        <w:rPr>
          <w:rFonts w:cstheme="minorHAnsi"/>
        </w:rPr>
      </w:pPr>
    </w:p>
    <w:p w14:paraId="48786D42" w14:textId="1A5288B8" w:rsidR="00103C70" w:rsidRPr="00103C70" w:rsidRDefault="00103C70" w:rsidP="00103C70">
      <w:pPr>
        <w:pStyle w:val="Heading1"/>
        <w:rPr>
          <w:lang w:val="en-GB"/>
        </w:rPr>
      </w:pPr>
      <w:bookmarkStart w:id="42" w:name="_Toc225945291"/>
      <w:r w:rsidRPr="00103C70">
        <w:rPr>
          <w:lang w:val="en-GB"/>
        </w:rPr>
        <w:t>8 Guidelines for updating the 1996 HR</w:t>
      </w:r>
      <w:r>
        <w:rPr>
          <w:lang w:val="en-GB"/>
        </w:rPr>
        <w:t>-</w:t>
      </w:r>
      <w:r w:rsidRPr="00103C70">
        <w:rPr>
          <w:lang w:val="en-GB"/>
        </w:rPr>
        <w:t>BiH Water Management Agreement</w:t>
      </w:r>
      <w:bookmarkEnd w:id="42"/>
    </w:p>
    <w:p w14:paraId="3E639E93" w14:textId="682850DF" w:rsidR="00103C70" w:rsidRPr="00103C70" w:rsidRDefault="00103C70" w:rsidP="00103C70">
      <w:pPr>
        <w:jc w:val="both"/>
        <w:rPr>
          <w:rFonts w:cstheme="minorHAnsi"/>
          <w:lang w:val="en-GB"/>
        </w:rPr>
      </w:pPr>
      <w:r w:rsidRPr="00103C70">
        <w:rPr>
          <w:rFonts w:cstheme="minorHAnsi"/>
          <w:lang w:val="en-GB"/>
        </w:rPr>
        <w:t xml:space="preserve">The 1996 Agreement between Croatia and Bosnia and Herzegovina provides a broad foundation for cooperation on water management, but its scope does not explicitly extend to </w:t>
      </w:r>
      <w:r>
        <w:rPr>
          <w:rFonts w:cstheme="minorHAnsi"/>
          <w:lang w:val="en-GB"/>
        </w:rPr>
        <w:t>transboundary</w:t>
      </w:r>
      <w:r w:rsidRPr="00103C70">
        <w:rPr>
          <w:rFonts w:cstheme="minorHAnsi"/>
          <w:lang w:val="en-GB"/>
        </w:rPr>
        <w:t xml:space="preserve"> groundwater systems, karst aquifers or sanitary protection zones (SPZs). In transboundary karst settings</w:t>
      </w:r>
      <w:r>
        <w:rPr>
          <w:rFonts w:cstheme="minorHAnsi"/>
          <w:lang w:val="en-GB"/>
        </w:rPr>
        <w:t xml:space="preserve">, </w:t>
      </w:r>
      <w:r w:rsidRPr="00103C70">
        <w:rPr>
          <w:rFonts w:cstheme="minorHAnsi"/>
          <w:lang w:val="en-GB"/>
        </w:rPr>
        <w:t>where recharge areas, flow paths and spring catchments often cross borders</w:t>
      </w:r>
      <w:r>
        <w:rPr>
          <w:rFonts w:cstheme="minorHAnsi"/>
          <w:lang w:val="en-GB"/>
        </w:rPr>
        <w:t xml:space="preserve">, </w:t>
      </w:r>
      <w:r w:rsidRPr="00103C70">
        <w:rPr>
          <w:rFonts w:cstheme="minorHAnsi"/>
          <w:lang w:val="en-GB"/>
        </w:rPr>
        <w:t xml:space="preserve">there is added value in refining the Agreement to reflect contemporary needs in groundwater protection and SPZ management. Possible updates could enhance clarity on technical cooperation while keeping national legislation and SPZ delineation rules unchanged. </w:t>
      </w:r>
    </w:p>
    <w:p w14:paraId="0EC75628" w14:textId="7C3553EC" w:rsidR="00103C70" w:rsidRPr="00103C70" w:rsidRDefault="00103C70" w:rsidP="00103C70">
      <w:pPr>
        <w:jc w:val="both"/>
        <w:rPr>
          <w:rFonts w:cstheme="minorHAnsi"/>
          <w:lang w:val="en-GB"/>
        </w:rPr>
      </w:pPr>
      <w:r w:rsidRPr="00103C70">
        <w:rPr>
          <w:rFonts w:cstheme="minorHAnsi"/>
          <w:lang w:val="en-GB"/>
        </w:rPr>
        <w:t xml:space="preserve">A central area for improvement is the explicit recognition of </w:t>
      </w:r>
      <w:r>
        <w:rPr>
          <w:rFonts w:cstheme="minorHAnsi"/>
          <w:lang w:val="en-GB"/>
        </w:rPr>
        <w:t>transboundary</w:t>
      </w:r>
      <w:r w:rsidRPr="00103C70">
        <w:rPr>
          <w:rFonts w:cstheme="minorHAnsi"/>
          <w:lang w:val="en-GB"/>
        </w:rPr>
        <w:t xml:space="preserve"> groundwater bodies</w:t>
      </w:r>
      <w:r>
        <w:rPr>
          <w:rFonts w:cstheme="minorHAnsi"/>
          <w:lang w:val="en-GB"/>
        </w:rPr>
        <w:t xml:space="preserve"> (aquifers)</w:t>
      </w:r>
      <w:r w:rsidRPr="00103C70">
        <w:rPr>
          <w:rFonts w:cstheme="minorHAnsi"/>
          <w:lang w:val="en-GB"/>
        </w:rPr>
        <w:t xml:space="preserve"> and their relevance for drinking</w:t>
      </w:r>
      <w:r w:rsidRPr="00103C70">
        <w:rPr>
          <w:rFonts w:ascii="Cambria Math" w:hAnsi="Cambria Math" w:cs="Cambria Math"/>
          <w:lang w:val="en-GB"/>
        </w:rPr>
        <w:t>‑</w:t>
      </w:r>
      <w:r w:rsidRPr="00103C70">
        <w:rPr>
          <w:rFonts w:cstheme="minorHAnsi"/>
          <w:lang w:val="en-GB"/>
        </w:rPr>
        <w:t>water supply and public health. Acknowledging groundwater within the Agreement would provide clearer grounds for coordinated technical work on SPZs, recharge areas and cross</w:t>
      </w:r>
      <w:r w:rsidRPr="00103C70">
        <w:rPr>
          <w:rFonts w:ascii="Cambria Math" w:hAnsi="Cambria Math" w:cs="Cambria Math"/>
          <w:lang w:val="en-GB"/>
        </w:rPr>
        <w:t>‑</w:t>
      </w:r>
      <w:r w:rsidRPr="00103C70">
        <w:rPr>
          <w:rFonts w:cstheme="minorHAnsi"/>
          <w:lang w:val="en-GB"/>
        </w:rPr>
        <w:t>border aquifer behaviour, without affecting each country</w:t>
      </w:r>
      <w:r w:rsidRPr="00103C70">
        <w:rPr>
          <w:rFonts w:ascii="Calibri" w:hAnsi="Calibri" w:cs="Calibri"/>
          <w:lang w:val="en-GB"/>
        </w:rPr>
        <w:t>’</w:t>
      </w:r>
      <w:r w:rsidRPr="00103C70">
        <w:rPr>
          <w:rFonts w:cstheme="minorHAnsi"/>
          <w:lang w:val="en-GB"/>
        </w:rPr>
        <w:t xml:space="preserve">s regulatory autonomy. Such recognition could be supported by shared definitions for groundwater, aquifers, recharge zones and SPZs, aligned with modern hydrogeological practice. </w:t>
      </w:r>
    </w:p>
    <w:p w14:paraId="1040ED76" w14:textId="26B99C91" w:rsidR="00103C70" w:rsidRPr="00103C70" w:rsidRDefault="00103C70" w:rsidP="00103C70">
      <w:pPr>
        <w:jc w:val="both"/>
        <w:rPr>
          <w:rFonts w:cstheme="minorHAnsi"/>
          <w:lang w:val="en-GB"/>
        </w:rPr>
      </w:pPr>
      <w:r w:rsidRPr="00103C70">
        <w:rPr>
          <w:rFonts w:cstheme="minorHAnsi"/>
          <w:lang w:val="en-GB"/>
        </w:rPr>
        <w:lastRenderedPageBreak/>
        <w:t>Strengthening provisions for joint monitoring and data exchange would also directly benefit SPZ management. Future updates may outline principles for harmonised monitoring approaches</w:t>
      </w:r>
      <w:r>
        <w:rPr>
          <w:rFonts w:cstheme="minorHAnsi"/>
          <w:lang w:val="en-GB"/>
        </w:rPr>
        <w:t xml:space="preserve">, </w:t>
      </w:r>
      <w:r w:rsidRPr="00103C70">
        <w:rPr>
          <w:rFonts w:cstheme="minorHAnsi"/>
          <w:lang w:val="en-GB"/>
        </w:rPr>
        <w:t xml:space="preserve">covering </w:t>
      </w:r>
      <w:r>
        <w:rPr>
          <w:rFonts w:cstheme="minorHAnsi"/>
          <w:lang w:val="en-GB"/>
        </w:rPr>
        <w:t xml:space="preserve">or indicating the need to define adequate </w:t>
      </w:r>
      <w:r w:rsidRPr="00103C70">
        <w:rPr>
          <w:rFonts w:cstheme="minorHAnsi"/>
          <w:lang w:val="en-GB"/>
        </w:rPr>
        <w:t>parameters, minimum frequencies, event</w:t>
      </w:r>
      <w:r w:rsidRPr="00103C70">
        <w:rPr>
          <w:rFonts w:ascii="Cambria Math" w:hAnsi="Cambria Math" w:cs="Cambria Math"/>
          <w:lang w:val="en-GB"/>
        </w:rPr>
        <w:t>‑</w:t>
      </w:r>
      <w:r w:rsidRPr="00103C70">
        <w:rPr>
          <w:rFonts w:cstheme="minorHAnsi"/>
          <w:lang w:val="en-GB"/>
        </w:rPr>
        <w:t>based sampling, and groundwater</w:t>
      </w:r>
      <w:r w:rsidRPr="00103C70">
        <w:rPr>
          <w:rFonts w:ascii="Cambria Math" w:hAnsi="Cambria Math" w:cs="Cambria Math"/>
          <w:lang w:val="en-GB"/>
        </w:rPr>
        <w:t>‑</w:t>
      </w:r>
      <w:r w:rsidRPr="00103C70">
        <w:rPr>
          <w:rFonts w:cstheme="minorHAnsi"/>
          <w:lang w:val="en-GB"/>
        </w:rPr>
        <w:t xml:space="preserve">relevant indicators such as turbidity or microbiology in karst springs. The Agreement could also reference procedures for timely data exchange, including during hydrological events that are known to affect SPZ performance. Such provisions would enable both countries to interpret risks more consistently and to support coordinated groundwater protection measures. </w:t>
      </w:r>
    </w:p>
    <w:p w14:paraId="25E292CC" w14:textId="4898D721" w:rsidR="00103C70" w:rsidRPr="00103C70" w:rsidRDefault="00103C70" w:rsidP="00103C70">
      <w:pPr>
        <w:jc w:val="both"/>
        <w:rPr>
          <w:rFonts w:cstheme="minorHAnsi"/>
          <w:lang w:val="en-GB"/>
        </w:rPr>
      </w:pPr>
      <w:r>
        <w:rPr>
          <w:rFonts w:cstheme="minorHAnsi"/>
          <w:lang w:val="en-GB"/>
        </w:rPr>
        <w:t>A</w:t>
      </w:r>
      <w:r w:rsidRPr="00103C70">
        <w:rPr>
          <w:rFonts w:cstheme="minorHAnsi"/>
          <w:lang w:val="en-GB"/>
        </w:rPr>
        <w:t>n additional guideline concerns coordinated early</w:t>
      </w:r>
      <w:r w:rsidRPr="00103C70">
        <w:rPr>
          <w:rFonts w:ascii="Cambria Math" w:hAnsi="Cambria Math" w:cs="Cambria Math"/>
          <w:lang w:val="en-GB"/>
        </w:rPr>
        <w:t>‑</w:t>
      </w:r>
      <w:r w:rsidRPr="00103C70">
        <w:rPr>
          <w:rFonts w:cstheme="minorHAnsi"/>
          <w:lang w:val="en-GB"/>
        </w:rPr>
        <w:t>warning and incident</w:t>
      </w:r>
      <w:r w:rsidRPr="00103C70">
        <w:rPr>
          <w:rFonts w:ascii="Cambria Math" w:hAnsi="Cambria Math" w:cs="Cambria Math"/>
          <w:lang w:val="en-GB"/>
        </w:rPr>
        <w:t>‑</w:t>
      </w:r>
      <w:r w:rsidRPr="00103C70">
        <w:rPr>
          <w:rFonts w:cstheme="minorHAnsi"/>
          <w:lang w:val="en-GB"/>
        </w:rPr>
        <w:t>notification practices. Updates could specify high</w:t>
      </w:r>
      <w:r w:rsidRPr="00103C70">
        <w:rPr>
          <w:rFonts w:ascii="Cambria Math" w:hAnsi="Cambria Math" w:cs="Cambria Math"/>
          <w:lang w:val="en-GB"/>
        </w:rPr>
        <w:t>‑</w:t>
      </w:r>
      <w:r w:rsidRPr="00103C70">
        <w:rPr>
          <w:rFonts w:cstheme="minorHAnsi"/>
          <w:lang w:val="en-GB"/>
        </w:rPr>
        <w:t>level procedures for informing the neighbouring country about extraordinary or sudden pollution, technical failures, or other SPZ</w:t>
      </w:r>
      <w:r w:rsidRPr="00103C70">
        <w:rPr>
          <w:rFonts w:ascii="Cambria Math" w:hAnsi="Cambria Math" w:cs="Cambria Math"/>
          <w:lang w:val="en-GB"/>
        </w:rPr>
        <w:t>‑</w:t>
      </w:r>
      <w:r w:rsidRPr="00103C70">
        <w:rPr>
          <w:rFonts w:cstheme="minorHAnsi"/>
          <w:lang w:val="en-GB"/>
        </w:rPr>
        <w:t xml:space="preserve">relevant incidents. This would build on existing obligations in the 1996 Agreement but strengthen their operational clarity for groundwater systems. </w:t>
      </w:r>
    </w:p>
    <w:p w14:paraId="0026682A" w14:textId="4A2D91B4" w:rsidR="00103C70" w:rsidRPr="00103C70" w:rsidRDefault="00103C70" w:rsidP="00103C70">
      <w:pPr>
        <w:jc w:val="both"/>
        <w:rPr>
          <w:rFonts w:cstheme="minorHAnsi"/>
          <w:lang w:val="en-GB"/>
        </w:rPr>
      </w:pPr>
      <w:r w:rsidRPr="00103C70">
        <w:rPr>
          <w:rFonts w:cstheme="minorHAnsi"/>
          <w:lang w:val="en-GB"/>
        </w:rPr>
        <w:t>Another forward</w:t>
      </w:r>
      <w:r w:rsidRPr="00103C70">
        <w:rPr>
          <w:rFonts w:ascii="Cambria Math" w:hAnsi="Cambria Math" w:cs="Cambria Math"/>
          <w:lang w:val="en-GB"/>
        </w:rPr>
        <w:t>‑</w:t>
      </w:r>
      <w:r w:rsidRPr="00103C70">
        <w:rPr>
          <w:rFonts w:cstheme="minorHAnsi"/>
          <w:lang w:val="en-GB"/>
        </w:rPr>
        <w:t xml:space="preserve">looking element involves principles for mutual recognition and coordinated management of SPZs, focused on their operational relevance rather than legal harmonisation. The Agreement could encourage the use of comparable technical criteria for identifying </w:t>
      </w:r>
      <w:r>
        <w:rPr>
          <w:rFonts w:cstheme="minorHAnsi"/>
          <w:lang w:val="en-GB"/>
        </w:rPr>
        <w:t>vulnerable</w:t>
      </w:r>
      <w:r w:rsidRPr="00103C70">
        <w:rPr>
          <w:rFonts w:cstheme="minorHAnsi"/>
          <w:lang w:val="en-GB"/>
        </w:rPr>
        <w:t xml:space="preserve"> recharge areas, promote the exchange of SPZ</w:t>
      </w:r>
      <w:r w:rsidRPr="00103C70">
        <w:rPr>
          <w:rFonts w:ascii="Cambria Math" w:hAnsi="Cambria Math" w:cs="Cambria Math"/>
          <w:lang w:val="en-GB"/>
        </w:rPr>
        <w:t>‑</w:t>
      </w:r>
      <w:r w:rsidRPr="00103C70">
        <w:rPr>
          <w:rFonts w:cstheme="minorHAnsi"/>
          <w:lang w:val="en-GB"/>
        </w:rPr>
        <w:t>related datasets, and reference non</w:t>
      </w:r>
      <w:r w:rsidRPr="00103C70">
        <w:rPr>
          <w:rFonts w:ascii="Cambria Math" w:hAnsi="Cambria Math" w:cs="Cambria Math"/>
          <w:lang w:val="en-GB"/>
        </w:rPr>
        <w:t>‑</w:t>
      </w:r>
      <w:r w:rsidRPr="00103C70">
        <w:rPr>
          <w:rFonts w:cstheme="minorHAnsi"/>
          <w:lang w:val="en-GB"/>
        </w:rPr>
        <w:t>binding coordination principles for managing activities in high</w:t>
      </w:r>
      <w:r w:rsidRPr="00103C70">
        <w:rPr>
          <w:rFonts w:ascii="Cambria Math" w:hAnsi="Cambria Math" w:cs="Cambria Math"/>
          <w:lang w:val="en-GB"/>
        </w:rPr>
        <w:t>‑</w:t>
      </w:r>
      <w:r w:rsidRPr="00103C70">
        <w:rPr>
          <w:rFonts w:cstheme="minorHAnsi"/>
          <w:lang w:val="en-GB"/>
        </w:rPr>
        <w:t xml:space="preserve">risk karst zones. Such guidance would reinforce practical cooperation on groundwater protection while respecting national procedures for SPZ designation. </w:t>
      </w:r>
    </w:p>
    <w:p w14:paraId="5C76D4BE" w14:textId="513B8446" w:rsidR="00103C70" w:rsidRPr="00103C70" w:rsidRDefault="00103C70" w:rsidP="00103C70">
      <w:pPr>
        <w:jc w:val="both"/>
        <w:rPr>
          <w:rFonts w:cstheme="minorHAnsi"/>
          <w:lang w:val="en-GB"/>
        </w:rPr>
      </w:pPr>
      <w:r w:rsidRPr="00103C70">
        <w:rPr>
          <w:rFonts w:cstheme="minorHAnsi"/>
          <w:lang w:val="en-GB"/>
        </w:rPr>
        <w:t>To support these technical components, the Agreement may also benefit from clearer institutional arrangements for groundwater</w:t>
      </w:r>
      <w:r w:rsidRPr="00103C70">
        <w:rPr>
          <w:rFonts w:ascii="Cambria Math" w:hAnsi="Cambria Math" w:cs="Cambria Math"/>
          <w:lang w:val="en-GB"/>
        </w:rPr>
        <w:t>‑</w:t>
      </w:r>
      <w:r w:rsidRPr="00103C70">
        <w:rPr>
          <w:rFonts w:cstheme="minorHAnsi"/>
          <w:lang w:val="en-GB"/>
        </w:rPr>
        <w:t>related tasks within the existing Joint Water Management Commission. This could include establishing a technical subgroup dedicated to groundwater and SPZ coordination, promoting periodic joint reviews, and supporting the development of shared operational tools. These arrangements would work within the existing governance structure while facilitating more consistent application of SPZ</w:t>
      </w:r>
      <w:r w:rsidRPr="00103C70">
        <w:rPr>
          <w:rFonts w:ascii="Cambria Math" w:hAnsi="Cambria Math" w:cs="Cambria Math"/>
          <w:lang w:val="en-GB"/>
        </w:rPr>
        <w:t>‑</w:t>
      </w:r>
      <w:r w:rsidRPr="00103C70">
        <w:rPr>
          <w:rFonts w:cstheme="minorHAnsi"/>
          <w:lang w:val="en-GB"/>
        </w:rPr>
        <w:t xml:space="preserve">related practices. </w:t>
      </w:r>
    </w:p>
    <w:p w14:paraId="55CC73C9" w14:textId="2117204C" w:rsidR="00103C70" w:rsidRPr="00103C70" w:rsidRDefault="00103C70" w:rsidP="00103C70">
      <w:pPr>
        <w:jc w:val="both"/>
        <w:rPr>
          <w:rFonts w:cstheme="minorHAnsi"/>
          <w:lang w:val="en-GB"/>
        </w:rPr>
      </w:pPr>
      <w:r>
        <w:rPr>
          <w:rFonts w:cstheme="minorHAnsi"/>
          <w:lang w:val="en-GB"/>
        </w:rPr>
        <w:t>T</w:t>
      </w:r>
      <w:r w:rsidRPr="00103C70">
        <w:rPr>
          <w:rFonts w:cstheme="minorHAnsi"/>
          <w:lang w:val="en-GB"/>
        </w:rPr>
        <w:t>he Agreement could include provisions for periodic bilateral review and reporting, enabling both countries to reflect jointly on groundwater trends, SPZ</w:t>
      </w:r>
      <w:r w:rsidRPr="00103C70">
        <w:rPr>
          <w:rFonts w:ascii="Cambria Math" w:hAnsi="Cambria Math" w:cs="Cambria Math"/>
          <w:lang w:val="en-GB"/>
        </w:rPr>
        <w:t>‑</w:t>
      </w:r>
      <w:r w:rsidRPr="00103C70">
        <w:rPr>
          <w:rFonts w:cstheme="minorHAnsi"/>
          <w:lang w:val="en-GB"/>
        </w:rPr>
        <w:t>related measures, and monitoring outcomes. Regular review cycles would help identify evolving risks and shared priorities, contributing to long</w:t>
      </w:r>
      <w:r w:rsidRPr="00103C70">
        <w:rPr>
          <w:rFonts w:ascii="Cambria Math" w:hAnsi="Cambria Math" w:cs="Cambria Math"/>
          <w:lang w:val="en-GB"/>
        </w:rPr>
        <w:t>‑</w:t>
      </w:r>
      <w:r w:rsidRPr="00103C70">
        <w:rPr>
          <w:rFonts w:cstheme="minorHAnsi"/>
          <w:lang w:val="en-GB"/>
        </w:rPr>
        <w:t>term stability and transparency in cross</w:t>
      </w:r>
      <w:r w:rsidRPr="00103C70">
        <w:rPr>
          <w:rFonts w:ascii="Cambria Math" w:hAnsi="Cambria Math" w:cs="Cambria Math"/>
          <w:lang w:val="en-GB"/>
        </w:rPr>
        <w:t>‑</w:t>
      </w:r>
      <w:r w:rsidRPr="00103C70">
        <w:rPr>
          <w:rFonts w:cstheme="minorHAnsi"/>
          <w:lang w:val="en-GB"/>
        </w:rPr>
        <w:t>border groundwater management.</w:t>
      </w:r>
    </w:p>
    <w:p w14:paraId="22FFE148" w14:textId="21C15915" w:rsidR="00CD78CD" w:rsidRDefault="00103C70" w:rsidP="00CD78CD">
      <w:pPr>
        <w:jc w:val="both"/>
        <w:rPr>
          <w:rFonts w:cstheme="minorHAnsi"/>
          <w:lang w:val="en-GB"/>
        </w:rPr>
      </w:pPr>
      <w:r w:rsidRPr="00103C70">
        <w:rPr>
          <w:rFonts w:cstheme="minorHAnsi"/>
          <w:lang w:val="en-GB"/>
        </w:rPr>
        <w:t>These elements could be framed in a focused addendum or protocol to the 1996 Agreement. Presented as high</w:t>
      </w:r>
      <w:r w:rsidRPr="00103C70">
        <w:rPr>
          <w:rFonts w:ascii="Cambria Math" w:hAnsi="Cambria Math" w:cs="Cambria Math"/>
          <w:lang w:val="en-GB"/>
        </w:rPr>
        <w:t>‑</w:t>
      </w:r>
      <w:r w:rsidRPr="00103C70">
        <w:rPr>
          <w:rFonts w:cstheme="minorHAnsi"/>
          <w:lang w:val="en-GB"/>
        </w:rPr>
        <w:t>level, non</w:t>
      </w:r>
      <w:r w:rsidRPr="00103C70">
        <w:rPr>
          <w:rFonts w:ascii="Cambria Math" w:hAnsi="Cambria Math" w:cs="Cambria Math"/>
          <w:lang w:val="en-GB"/>
        </w:rPr>
        <w:t>‑</w:t>
      </w:r>
      <w:r w:rsidRPr="00103C70">
        <w:rPr>
          <w:rFonts w:cstheme="minorHAnsi"/>
          <w:lang w:val="en-GB"/>
        </w:rPr>
        <w:t>binding guidance, they would enhance the Agreement</w:t>
      </w:r>
      <w:r w:rsidRPr="00103C70">
        <w:rPr>
          <w:rFonts w:ascii="Calibri" w:hAnsi="Calibri" w:cs="Calibri"/>
          <w:lang w:val="en-GB"/>
        </w:rPr>
        <w:t>’</w:t>
      </w:r>
      <w:r w:rsidRPr="00103C70">
        <w:rPr>
          <w:rFonts w:cstheme="minorHAnsi"/>
          <w:lang w:val="en-GB"/>
        </w:rPr>
        <w:t>s relevance for groundwater and SPZ cooperation</w:t>
      </w:r>
      <w:r>
        <w:rPr>
          <w:rFonts w:cstheme="minorHAnsi"/>
          <w:lang w:val="en-GB"/>
        </w:rPr>
        <w:t xml:space="preserve"> </w:t>
      </w:r>
      <w:r w:rsidRPr="00103C70">
        <w:rPr>
          <w:rFonts w:cstheme="minorHAnsi"/>
          <w:lang w:val="en-GB"/>
        </w:rPr>
        <w:t xml:space="preserve">and support more coherent protection of </w:t>
      </w:r>
      <w:r>
        <w:rPr>
          <w:rFonts w:cstheme="minorHAnsi"/>
          <w:lang w:val="en-GB"/>
        </w:rPr>
        <w:t xml:space="preserve">transboundary </w:t>
      </w:r>
      <w:r w:rsidRPr="00103C70">
        <w:rPr>
          <w:rFonts w:cstheme="minorHAnsi"/>
          <w:lang w:val="en-GB"/>
        </w:rPr>
        <w:t>aquifers.</w:t>
      </w:r>
    </w:p>
    <w:p w14:paraId="75831A51" w14:textId="77777777" w:rsidR="00093EA3" w:rsidRDefault="00093EA3" w:rsidP="00CD78CD">
      <w:pPr>
        <w:jc w:val="both"/>
        <w:rPr>
          <w:rFonts w:cstheme="minorHAnsi"/>
        </w:rPr>
      </w:pPr>
    </w:p>
    <w:p w14:paraId="26B3DEF6" w14:textId="5C96B2E4" w:rsidR="00F247F3" w:rsidRPr="00103C70" w:rsidRDefault="00F247F3" w:rsidP="00F247F3">
      <w:pPr>
        <w:pStyle w:val="Heading1"/>
        <w:rPr>
          <w:lang w:val="en-GB"/>
        </w:rPr>
      </w:pPr>
      <w:bookmarkStart w:id="43" w:name="_Toc225945292"/>
      <w:r>
        <w:rPr>
          <w:lang w:val="en-GB"/>
        </w:rPr>
        <w:t>9</w:t>
      </w:r>
      <w:r w:rsidRPr="00103C70">
        <w:rPr>
          <w:lang w:val="en-GB"/>
        </w:rPr>
        <w:t xml:space="preserve"> </w:t>
      </w:r>
      <w:r w:rsidRPr="00F247F3">
        <w:rPr>
          <w:lang w:val="en-GB"/>
        </w:rPr>
        <w:t xml:space="preserve">Phased implementation </w:t>
      </w:r>
      <w:proofErr w:type="gramStart"/>
      <w:r w:rsidR="00B81AD8" w:rsidRPr="00F247F3">
        <w:rPr>
          <w:lang w:val="en-GB"/>
        </w:rPr>
        <w:t>roadmap</w:t>
      </w:r>
      <w:proofErr w:type="gramEnd"/>
      <w:r w:rsidR="00B81AD8" w:rsidRPr="00F247F3">
        <w:rPr>
          <w:lang w:val="en-GB"/>
        </w:rPr>
        <w:t xml:space="preserve"> of</w:t>
      </w:r>
      <w:r>
        <w:rPr>
          <w:lang w:val="en-GB"/>
        </w:rPr>
        <w:t xml:space="preserve"> the</w:t>
      </w:r>
      <w:r w:rsidRPr="00F247F3">
        <w:rPr>
          <w:lang w:val="en-GB"/>
        </w:rPr>
        <w:t xml:space="preserve"> </w:t>
      </w:r>
      <w:r>
        <w:rPr>
          <w:lang w:val="en-GB"/>
        </w:rPr>
        <w:t>J</w:t>
      </w:r>
      <w:r w:rsidRPr="00F247F3">
        <w:rPr>
          <w:lang w:val="en-GB"/>
        </w:rPr>
        <w:t>oint Framework document</w:t>
      </w:r>
      <w:bookmarkEnd w:id="43"/>
    </w:p>
    <w:p w14:paraId="6F9D1A61" w14:textId="48988484" w:rsidR="00F247F3" w:rsidRPr="00F247F3" w:rsidRDefault="00F247F3" w:rsidP="00F247F3">
      <w:pPr>
        <w:jc w:val="both"/>
        <w:rPr>
          <w:rFonts w:cstheme="minorHAnsi"/>
          <w:lang w:val="en-GB"/>
        </w:rPr>
      </w:pPr>
      <w:r>
        <w:rPr>
          <w:rFonts w:cstheme="minorHAnsi"/>
          <w:lang w:val="en-GB"/>
        </w:rPr>
        <w:t>A</w:t>
      </w:r>
      <w:r w:rsidRPr="00F247F3">
        <w:rPr>
          <w:rFonts w:cstheme="minorHAnsi"/>
          <w:lang w:val="en-GB"/>
        </w:rPr>
        <w:t xml:space="preserve"> pragmatic, capacity</w:t>
      </w:r>
      <w:r w:rsidRPr="00F247F3">
        <w:rPr>
          <w:rFonts w:ascii="Cambria Math" w:hAnsi="Cambria Math" w:cs="Cambria Math"/>
          <w:lang w:val="en-GB"/>
        </w:rPr>
        <w:t>‑</w:t>
      </w:r>
      <w:r w:rsidRPr="00F247F3">
        <w:rPr>
          <w:rFonts w:cstheme="minorHAnsi"/>
          <w:lang w:val="en-GB"/>
        </w:rPr>
        <w:t>realistic roadmap for operationalizing the Joint Framework through a three</w:t>
      </w:r>
      <w:r w:rsidRPr="00F247F3">
        <w:rPr>
          <w:rFonts w:ascii="Cambria Math" w:hAnsi="Cambria Math" w:cs="Cambria Math"/>
          <w:lang w:val="en-GB"/>
        </w:rPr>
        <w:t>‑</w:t>
      </w:r>
      <w:r w:rsidRPr="00F247F3">
        <w:rPr>
          <w:rFonts w:cstheme="minorHAnsi"/>
          <w:lang w:val="en-GB"/>
        </w:rPr>
        <w:t>phase sequence of actions</w:t>
      </w:r>
      <w:r>
        <w:rPr>
          <w:rFonts w:cstheme="minorHAnsi"/>
          <w:lang w:val="en-GB"/>
        </w:rPr>
        <w:t xml:space="preserve"> is proposed</w:t>
      </w:r>
      <w:r w:rsidRPr="00F247F3">
        <w:rPr>
          <w:rFonts w:cstheme="minorHAnsi"/>
          <w:lang w:val="en-GB"/>
        </w:rPr>
        <w:t xml:space="preserve">. The roadmap focuses on strengthening cooperation on sanitary protection zones (SPZs) in </w:t>
      </w:r>
      <w:r>
        <w:rPr>
          <w:rFonts w:cstheme="minorHAnsi"/>
          <w:lang w:val="en-GB"/>
        </w:rPr>
        <w:t xml:space="preserve">transboundary </w:t>
      </w:r>
      <w:r w:rsidRPr="00F247F3">
        <w:rPr>
          <w:rFonts w:cstheme="minorHAnsi"/>
          <w:lang w:val="en-GB"/>
        </w:rPr>
        <w:t>karst aquifers and preparing light</w:t>
      </w:r>
      <w:r w:rsidRPr="00F247F3">
        <w:rPr>
          <w:rFonts w:ascii="Cambria Math" w:hAnsi="Cambria Math" w:cs="Cambria Math"/>
          <w:lang w:val="en-GB"/>
        </w:rPr>
        <w:t>‑</w:t>
      </w:r>
      <w:r w:rsidRPr="00F247F3">
        <w:rPr>
          <w:rFonts w:cstheme="minorHAnsi"/>
          <w:lang w:val="en-GB"/>
        </w:rPr>
        <w:t>touch updates to the existing bilateral agreement, while fully respecting national legislation and without altering legally prescribed SPZ delineation rules. The sequence is structured to enable progressive alignment of operational practices, joint monitoring, and data exchange, using existing institutional mandates and simple coordination mechanisms.</w:t>
      </w:r>
    </w:p>
    <w:p w14:paraId="7909E4F5" w14:textId="77777777" w:rsidR="00F247F3" w:rsidRPr="00F247F3" w:rsidRDefault="00F247F3" w:rsidP="00F247F3">
      <w:pPr>
        <w:jc w:val="both"/>
        <w:rPr>
          <w:rFonts w:cstheme="minorHAnsi"/>
          <w:lang w:val="en-GB"/>
        </w:rPr>
      </w:pPr>
      <w:r w:rsidRPr="00F247F3">
        <w:rPr>
          <w:rFonts w:cstheme="minorHAnsi"/>
          <w:lang w:val="en-GB"/>
        </w:rPr>
        <w:lastRenderedPageBreak/>
        <w:t>The approach emphasizes feasibility: it relies on short, non</w:t>
      </w:r>
      <w:r w:rsidRPr="00F247F3">
        <w:rPr>
          <w:rFonts w:ascii="Cambria Math" w:hAnsi="Cambria Math" w:cs="Cambria Math"/>
          <w:lang w:val="en-GB"/>
        </w:rPr>
        <w:t>‑</w:t>
      </w:r>
      <w:r w:rsidRPr="00F247F3">
        <w:rPr>
          <w:rFonts w:cstheme="minorHAnsi"/>
          <w:lang w:val="en-GB"/>
        </w:rPr>
        <w:t>binding guidance, practical tools for SPZ operations, and improved coordination routines rather than regulatory changes. Each phase identifies expected outputs, responsible actors and verification milestones. Activities are sequenced to match the current institutional capacities of both countries, acknowledging the differing governance structures and implementation environments.</w:t>
      </w:r>
    </w:p>
    <w:p w14:paraId="474DC73E" w14:textId="08A0A35B" w:rsidR="00D33867" w:rsidRPr="00B81AD8" w:rsidRDefault="00D33867" w:rsidP="00B81AD8">
      <w:pPr>
        <w:jc w:val="both"/>
        <w:rPr>
          <w:rFonts w:cstheme="minorHAnsi"/>
        </w:rPr>
      </w:pPr>
      <w:r w:rsidRPr="00D33867">
        <w:rPr>
          <w:rFonts w:cstheme="minorHAnsi"/>
          <w:lang w:val="en-GB"/>
        </w:rPr>
        <w:t>A pilot area, Una Transboundary Aquifer (Una TBA), is here proposed for testing the operational elements of the Framework. Una TBA is suitable for piloting because it combines upstream recharge areas and downstream spring zones across the state border and demonstrates typical karst vulnerabilities relevant for SPZ management. All pilot</w:t>
      </w:r>
      <w:r w:rsidRPr="00D33867">
        <w:rPr>
          <w:rFonts w:ascii="Cambria Math" w:hAnsi="Cambria Math" w:cs="Cambria Math"/>
          <w:lang w:val="en-GB"/>
        </w:rPr>
        <w:t>‑</w:t>
      </w:r>
      <w:r w:rsidRPr="00D33867">
        <w:rPr>
          <w:rFonts w:cstheme="minorHAnsi"/>
          <w:lang w:val="en-GB"/>
        </w:rPr>
        <w:t>related activities will be carried out during the implementation of the DIKTAS</w:t>
      </w:r>
      <w:r w:rsidRPr="00D33867">
        <w:rPr>
          <w:rFonts w:ascii="Calibri" w:hAnsi="Calibri" w:cs="Calibri"/>
          <w:lang w:val="en-GB"/>
        </w:rPr>
        <w:t> </w:t>
      </w:r>
      <w:r w:rsidRPr="00D33867">
        <w:rPr>
          <w:rFonts w:cstheme="minorHAnsi"/>
          <w:lang w:val="en-GB"/>
        </w:rPr>
        <w:t>II project, ensuring that the testing of joint approaches is fully integrated into the project</w:t>
      </w:r>
      <w:r w:rsidRPr="00D33867">
        <w:rPr>
          <w:rFonts w:ascii="Calibri" w:hAnsi="Calibri" w:cs="Calibri"/>
          <w:lang w:val="en-GB"/>
        </w:rPr>
        <w:t>’</w:t>
      </w:r>
      <w:r w:rsidRPr="00D33867">
        <w:rPr>
          <w:rFonts w:cstheme="minorHAnsi"/>
          <w:lang w:val="en-GB"/>
        </w:rPr>
        <w:t>s work programme and supported by its technical, institutional and monitoring components. In addition, Una TBA has been selected under DIKTAS II as the pilot area for developing and implementing a multi</w:t>
      </w:r>
      <w:r w:rsidRPr="00D33867">
        <w:rPr>
          <w:rFonts w:ascii="Cambria Math" w:hAnsi="Cambria Math" w:cs="Cambria Math"/>
          <w:lang w:val="en-GB"/>
        </w:rPr>
        <w:t>‑</w:t>
      </w:r>
      <w:r w:rsidRPr="00D33867">
        <w:rPr>
          <w:rFonts w:cstheme="minorHAnsi"/>
          <w:lang w:val="en-GB"/>
        </w:rPr>
        <w:t>purpose monitoring network covering surface water, groundwater and groundwater</w:t>
      </w:r>
      <w:r w:rsidRPr="00D33867">
        <w:rPr>
          <w:rFonts w:ascii="Cambria Math" w:hAnsi="Cambria Math" w:cs="Cambria Math"/>
          <w:lang w:val="en-GB"/>
        </w:rPr>
        <w:t>‑</w:t>
      </w:r>
      <w:r w:rsidRPr="00D33867">
        <w:rPr>
          <w:rFonts w:cstheme="minorHAnsi"/>
          <w:lang w:val="en-GB"/>
        </w:rPr>
        <w:t>dependent ecosystems. This parallel piloting provides a unique opportunity to integrate SPZ</w:t>
      </w:r>
      <w:r w:rsidRPr="00D33867">
        <w:rPr>
          <w:rFonts w:ascii="Cambria Math" w:hAnsi="Cambria Math" w:cs="Cambria Math"/>
          <w:lang w:val="en-GB"/>
        </w:rPr>
        <w:t>‑</w:t>
      </w:r>
      <w:r w:rsidRPr="00D33867">
        <w:rPr>
          <w:rFonts w:cstheme="minorHAnsi"/>
          <w:lang w:val="en-GB"/>
        </w:rPr>
        <w:t>related operational tools with broader monitoring innovations, ensuring that lessons from Una TBA reflect both the protection needs of drinking</w:t>
      </w:r>
      <w:r w:rsidRPr="00D33867">
        <w:rPr>
          <w:rFonts w:ascii="Cambria Math" w:hAnsi="Cambria Math" w:cs="Cambria Math"/>
          <w:lang w:val="en-GB"/>
        </w:rPr>
        <w:t>‑</w:t>
      </w:r>
      <w:r w:rsidRPr="00D33867">
        <w:rPr>
          <w:rFonts w:cstheme="minorHAnsi"/>
          <w:lang w:val="en-GB"/>
        </w:rPr>
        <w:t>water sources and the wider environmental dynamics of the karst system. Lessons from this pilot may inform scaling up within both countries.</w:t>
      </w:r>
    </w:p>
    <w:p w14:paraId="17B2F826" w14:textId="77777777" w:rsidR="00FF5968" w:rsidRDefault="00FF5968" w:rsidP="00F247F3">
      <w:pPr>
        <w:pStyle w:val="Heading2"/>
        <w:rPr>
          <w:lang w:val="en-GB"/>
        </w:rPr>
      </w:pPr>
    </w:p>
    <w:p w14:paraId="26C4EF8B" w14:textId="27D4544E" w:rsidR="00F247F3" w:rsidRPr="00F247F3" w:rsidRDefault="00F247F3" w:rsidP="00F247F3">
      <w:pPr>
        <w:pStyle w:val="Heading2"/>
        <w:rPr>
          <w:lang w:val="en-GB"/>
        </w:rPr>
      </w:pPr>
      <w:bookmarkStart w:id="44" w:name="_Toc225945293"/>
      <w:r w:rsidRPr="00F247F3">
        <w:rPr>
          <w:lang w:val="en-GB"/>
        </w:rPr>
        <w:t>9.1 Phase 1 (Months 0–12): Establishing foundation and pilot launch</w:t>
      </w:r>
      <w:bookmarkEnd w:id="44"/>
    </w:p>
    <w:p w14:paraId="716692AD" w14:textId="3E371CB5" w:rsidR="00D33867" w:rsidRPr="00D33867" w:rsidRDefault="00D33867" w:rsidP="00D33867">
      <w:pPr>
        <w:jc w:val="both"/>
        <w:rPr>
          <w:rFonts w:cstheme="minorHAnsi"/>
          <w:lang w:val="en-GB"/>
        </w:rPr>
      </w:pPr>
      <w:r w:rsidRPr="00D33867">
        <w:rPr>
          <w:rFonts w:cstheme="minorHAnsi"/>
          <w:lang w:val="en-GB"/>
        </w:rPr>
        <w:t xml:space="preserve">Phase 1 focuses on activities that </w:t>
      </w:r>
      <w:r>
        <w:rPr>
          <w:rFonts w:cstheme="minorHAnsi"/>
          <w:lang w:val="en-GB"/>
        </w:rPr>
        <w:t>can</w:t>
      </w:r>
      <w:r w:rsidRPr="00D33867">
        <w:rPr>
          <w:rFonts w:cstheme="minorHAnsi"/>
          <w:lang w:val="en-GB"/>
        </w:rPr>
        <w:t xml:space="preserve"> be carried out with the objective of establishing a functional HR–BiH technical working arrangement, agreeing on a concise joint workplan, and initiating the pilot in Una TBA. </w:t>
      </w:r>
    </w:p>
    <w:p w14:paraId="0715E0A6" w14:textId="77777777" w:rsidR="00D33867" w:rsidRPr="00D33867" w:rsidRDefault="00D33867" w:rsidP="00D33867">
      <w:pPr>
        <w:jc w:val="both"/>
        <w:rPr>
          <w:rFonts w:cstheme="minorHAnsi"/>
          <w:lang w:val="en-GB"/>
        </w:rPr>
      </w:pPr>
      <w:r w:rsidRPr="00D33867">
        <w:rPr>
          <w:rFonts w:cstheme="minorHAnsi"/>
          <w:lang w:val="en-GB"/>
        </w:rPr>
        <w:t>Key actions include:</w:t>
      </w:r>
    </w:p>
    <w:p w14:paraId="64ED71C5" w14:textId="0F19C67A" w:rsidR="00D33867" w:rsidRPr="009537AA" w:rsidRDefault="00D33867" w:rsidP="009537AA">
      <w:pPr>
        <w:pStyle w:val="ListParagraph"/>
        <w:numPr>
          <w:ilvl w:val="0"/>
          <w:numId w:val="66"/>
        </w:numPr>
        <w:jc w:val="both"/>
        <w:rPr>
          <w:rFonts w:cstheme="minorHAnsi"/>
          <w:lang w:val="en-GB"/>
        </w:rPr>
      </w:pPr>
      <w:r w:rsidRPr="009537AA">
        <w:rPr>
          <w:rFonts w:cstheme="minorHAnsi"/>
          <w:lang w:val="en-GB"/>
        </w:rPr>
        <w:t>agreeing on a short, non</w:t>
      </w:r>
      <w:r w:rsidRPr="009537AA">
        <w:rPr>
          <w:rFonts w:ascii="Cambria Math" w:hAnsi="Cambria Math" w:cs="Cambria Math"/>
          <w:lang w:val="en-GB"/>
        </w:rPr>
        <w:t>‑</w:t>
      </w:r>
      <w:r w:rsidRPr="009537AA">
        <w:rPr>
          <w:rFonts w:cstheme="minorHAnsi"/>
          <w:lang w:val="en-GB"/>
        </w:rPr>
        <w:t>binding workplan with priority SPZ operational</w:t>
      </w:r>
      <w:r w:rsidRPr="009537AA">
        <w:rPr>
          <w:rFonts w:ascii="Cambria Math" w:hAnsi="Cambria Math" w:cs="Cambria Math"/>
          <w:lang w:val="en-GB"/>
        </w:rPr>
        <w:t>‑</w:t>
      </w:r>
      <w:r w:rsidRPr="009537AA">
        <w:rPr>
          <w:rFonts w:cstheme="minorHAnsi"/>
          <w:lang w:val="en-GB"/>
        </w:rPr>
        <w:t>support actions, preliminary joint monitoring parameters and a compatible data</w:t>
      </w:r>
      <w:r w:rsidRPr="009537AA">
        <w:rPr>
          <w:rFonts w:ascii="Cambria Math" w:hAnsi="Cambria Math" w:cs="Cambria Math"/>
          <w:lang w:val="en-GB"/>
        </w:rPr>
        <w:t>‑</w:t>
      </w:r>
      <w:r w:rsidRPr="009537AA">
        <w:rPr>
          <w:rFonts w:cstheme="minorHAnsi"/>
          <w:lang w:val="en-GB"/>
        </w:rPr>
        <w:t xml:space="preserve">exchange format, to be implemented during the project </w:t>
      </w:r>
      <w:proofErr w:type="gramStart"/>
      <w:r w:rsidRPr="009537AA">
        <w:rPr>
          <w:rFonts w:cstheme="minorHAnsi"/>
          <w:lang w:val="en-GB"/>
        </w:rPr>
        <w:t>timeline;</w:t>
      </w:r>
      <w:proofErr w:type="gramEnd"/>
    </w:p>
    <w:p w14:paraId="04328A61" w14:textId="47F7A9D8" w:rsidR="00D33867" w:rsidRPr="009537AA" w:rsidRDefault="009537AA" w:rsidP="009537AA">
      <w:pPr>
        <w:pStyle w:val="ListParagraph"/>
        <w:numPr>
          <w:ilvl w:val="0"/>
          <w:numId w:val="66"/>
        </w:numPr>
        <w:jc w:val="both"/>
        <w:rPr>
          <w:rFonts w:cstheme="minorHAnsi"/>
          <w:lang w:val="en-GB"/>
        </w:rPr>
      </w:pPr>
      <w:r w:rsidRPr="009537AA">
        <w:rPr>
          <w:rFonts w:cstheme="minorHAnsi"/>
          <w:lang w:val="en-GB"/>
        </w:rPr>
        <w:t>using</w:t>
      </w:r>
      <w:r w:rsidR="00D33867" w:rsidRPr="009537AA">
        <w:rPr>
          <w:rFonts w:cstheme="minorHAnsi"/>
          <w:lang w:val="en-GB"/>
        </w:rPr>
        <w:t xml:space="preserve"> Una TBA pilot during DIKTAS II implementation to test recharge</w:t>
      </w:r>
      <w:r w:rsidR="00D33867" w:rsidRPr="009537AA">
        <w:rPr>
          <w:rFonts w:ascii="Cambria Math" w:hAnsi="Cambria Math" w:cs="Cambria Math"/>
          <w:lang w:val="en-GB"/>
        </w:rPr>
        <w:t>‑</w:t>
      </w:r>
      <w:r w:rsidR="00D33867" w:rsidRPr="009537AA">
        <w:rPr>
          <w:rFonts w:cstheme="minorHAnsi"/>
          <w:lang w:val="en-GB"/>
        </w:rPr>
        <w:t>area investigations, vulnerability</w:t>
      </w:r>
      <w:r w:rsidR="00D33867" w:rsidRPr="009537AA">
        <w:rPr>
          <w:rFonts w:ascii="Cambria Math" w:hAnsi="Cambria Math" w:cs="Cambria Math"/>
          <w:lang w:val="en-GB"/>
        </w:rPr>
        <w:t>‑</w:t>
      </w:r>
      <w:r w:rsidR="00D33867" w:rsidRPr="009537AA">
        <w:rPr>
          <w:rFonts w:cstheme="minorHAnsi"/>
          <w:lang w:val="en-GB"/>
        </w:rPr>
        <w:t>mapping methods, event</w:t>
      </w:r>
      <w:r w:rsidR="00D33867" w:rsidRPr="009537AA">
        <w:rPr>
          <w:rFonts w:ascii="Cambria Math" w:hAnsi="Cambria Math" w:cs="Cambria Math"/>
          <w:lang w:val="en-GB"/>
        </w:rPr>
        <w:t>‑</w:t>
      </w:r>
      <w:r w:rsidR="00D33867" w:rsidRPr="009537AA">
        <w:rPr>
          <w:rFonts w:cstheme="minorHAnsi"/>
          <w:lang w:val="en-GB"/>
        </w:rPr>
        <w:t xml:space="preserve">based sampling and hotspot screening within existing SPZ </w:t>
      </w:r>
      <w:proofErr w:type="gramStart"/>
      <w:r w:rsidR="00D33867" w:rsidRPr="009537AA">
        <w:rPr>
          <w:rFonts w:cstheme="minorHAnsi"/>
          <w:lang w:val="en-GB"/>
        </w:rPr>
        <w:t>frameworks;</w:t>
      </w:r>
      <w:proofErr w:type="gramEnd"/>
    </w:p>
    <w:p w14:paraId="1311E6CC" w14:textId="7461A1A1" w:rsidR="00D33867" w:rsidRPr="009537AA" w:rsidRDefault="00D33867" w:rsidP="009537AA">
      <w:pPr>
        <w:pStyle w:val="ListParagraph"/>
        <w:numPr>
          <w:ilvl w:val="0"/>
          <w:numId w:val="66"/>
        </w:numPr>
        <w:jc w:val="both"/>
        <w:rPr>
          <w:rFonts w:cstheme="minorHAnsi"/>
          <w:lang w:val="en-GB"/>
        </w:rPr>
      </w:pPr>
      <w:r w:rsidRPr="009537AA">
        <w:rPr>
          <w:rFonts w:cstheme="minorHAnsi"/>
          <w:lang w:val="en-GB"/>
        </w:rPr>
        <w:t>drafting initial technical topics for a potential bilateral addendum or protocol (definitions, joint monitoring principles, SPZ coordination practices, incident/early</w:t>
      </w:r>
      <w:r w:rsidRPr="009537AA">
        <w:rPr>
          <w:rFonts w:ascii="Cambria Math" w:hAnsi="Cambria Math" w:cs="Cambria Math"/>
          <w:lang w:val="en-GB"/>
        </w:rPr>
        <w:t>‑</w:t>
      </w:r>
      <w:r w:rsidRPr="009537AA">
        <w:rPr>
          <w:rFonts w:cstheme="minorHAnsi"/>
          <w:lang w:val="en-GB"/>
        </w:rPr>
        <w:t>warning communication), based on work undertaken during DIKTAS</w:t>
      </w:r>
      <w:r w:rsidRPr="009537AA">
        <w:rPr>
          <w:rFonts w:ascii="Calibri" w:hAnsi="Calibri" w:cs="Calibri"/>
          <w:lang w:val="en-GB"/>
        </w:rPr>
        <w:t> </w:t>
      </w:r>
      <w:r w:rsidRPr="009537AA">
        <w:rPr>
          <w:rFonts w:cstheme="minorHAnsi"/>
          <w:lang w:val="en-GB"/>
        </w:rPr>
        <w:t>II.</w:t>
      </w:r>
    </w:p>
    <w:p w14:paraId="30CFEABD" w14:textId="77777777" w:rsidR="00D33867" w:rsidRPr="00D33867" w:rsidRDefault="00D33867" w:rsidP="00D33867">
      <w:pPr>
        <w:jc w:val="both"/>
        <w:rPr>
          <w:rFonts w:cstheme="minorHAnsi"/>
          <w:lang w:val="en-GB"/>
        </w:rPr>
      </w:pPr>
      <w:r w:rsidRPr="00D33867">
        <w:rPr>
          <w:rFonts w:cstheme="minorHAnsi"/>
          <w:lang w:val="en-GB"/>
        </w:rPr>
        <w:t>Expected outputs include:</w:t>
      </w:r>
    </w:p>
    <w:p w14:paraId="336D2B34" w14:textId="44AFF24D" w:rsidR="00D33867" w:rsidRPr="009537AA" w:rsidRDefault="00D33867" w:rsidP="009537AA">
      <w:pPr>
        <w:pStyle w:val="ListParagraph"/>
        <w:numPr>
          <w:ilvl w:val="0"/>
          <w:numId w:val="67"/>
        </w:numPr>
        <w:jc w:val="both"/>
        <w:rPr>
          <w:rFonts w:cstheme="minorHAnsi"/>
          <w:lang w:val="en-GB"/>
        </w:rPr>
      </w:pPr>
      <w:r w:rsidRPr="009537AA">
        <w:rPr>
          <w:rFonts w:cstheme="minorHAnsi"/>
          <w:lang w:val="en-GB"/>
        </w:rPr>
        <w:t>jointly approved</w:t>
      </w:r>
      <w:r w:rsidR="009537AA">
        <w:rPr>
          <w:rFonts w:cstheme="minorHAnsi"/>
          <w:lang w:val="en-GB"/>
        </w:rPr>
        <w:t xml:space="preserve"> (by DIKTAS II project team)</w:t>
      </w:r>
      <w:r w:rsidRPr="009537AA">
        <w:rPr>
          <w:rFonts w:cstheme="minorHAnsi"/>
          <w:lang w:val="en-GB"/>
        </w:rPr>
        <w:t xml:space="preserve"> workplan for SPZ operational </w:t>
      </w:r>
      <w:proofErr w:type="gramStart"/>
      <w:r w:rsidRPr="009537AA">
        <w:rPr>
          <w:rFonts w:cstheme="minorHAnsi"/>
          <w:lang w:val="en-GB"/>
        </w:rPr>
        <w:t>cooperation;</w:t>
      </w:r>
      <w:proofErr w:type="gramEnd"/>
    </w:p>
    <w:p w14:paraId="7E1F3BDC" w14:textId="67EEE640" w:rsidR="00D33867" w:rsidRPr="009537AA" w:rsidRDefault="00D33867" w:rsidP="009537AA">
      <w:pPr>
        <w:pStyle w:val="ListParagraph"/>
        <w:numPr>
          <w:ilvl w:val="0"/>
          <w:numId w:val="67"/>
        </w:numPr>
        <w:jc w:val="both"/>
        <w:rPr>
          <w:rFonts w:cstheme="minorHAnsi"/>
          <w:lang w:val="en-GB"/>
        </w:rPr>
      </w:pPr>
      <w:r w:rsidRPr="009537AA">
        <w:rPr>
          <w:rFonts w:cstheme="minorHAnsi"/>
          <w:lang w:val="en-GB"/>
        </w:rPr>
        <w:t>minimum set of shared monitoring parameters and indicative event</w:t>
      </w:r>
      <w:r w:rsidRPr="009537AA">
        <w:rPr>
          <w:rFonts w:ascii="Cambria Math" w:hAnsi="Cambria Math" w:cs="Cambria Math"/>
          <w:lang w:val="en-GB"/>
        </w:rPr>
        <w:t>‑</w:t>
      </w:r>
      <w:r w:rsidRPr="009537AA">
        <w:rPr>
          <w:rFonts w:cstheme="minorHAnsi"/>
          <w:lang w:val="en-GB"/>
        </w:rPr>
        <w:t xml:space="preserve">based </w:t>
      </w:r>
      <w:proofErr w:type="gramStart"/>
      <w:r w:rsidRPr="009537AA">
        <w:rPr>
          <w:rFonts w:cstheme="minorHAnsi"/>
          <w:lang w:val="en-GB"/>
        </w:rPr>
        <w:t>triggers;</w:t>
      </w:r>
      <w:proofErr w:type="gramEnd"/>
    </w:p>
    <w:p w14:paraId="0F485C30" w14:textId="60BBE935" w:rsidR="00D33867" w:rsidRPr="009537AA" w:rsidRDefault="00D33867" w:rsidP="009537AA">
      <w:pPr>
        <w:pStyle w:val="ListParagraph"/>
        <w:numPr>
          <w:ilvl w:val="0"/>
          <w:numId w:val="67"/>
        </w:numPr>
        <w:jc w:val="both"/>
        <w:rPr>
          <w:rFonts w:cstheme="minorHAnsi"/>
          <w:lang w:val="en-GB"/>
        </w:rPr>
      </w:pPr>
      <w:r w:rsidRPr="009537AA">
        <w:rPr>
          <w:rFonts w:cstheme="minorHAnsi"/>
          <w:lang w:val="en-GB"/>
        </w:rPr>
        <w:t xml:space="preserve">pilot methodology and implementation note for Una </w:t>
      </w:r>
      <w:proofErr w:type="gramStart"/>
      <w:r w:rsidRPr="009537AA">
        <w:rPr>
          <w:rFonts w:cstheme="minorHAnsi"/>
          <w:lang w:val="en-GB"/>
        </w:rPr>
        <w:t>TBA;</w:t>
      </w:r>
      <w:proofErr w:type="gramEnd"/>
    </w:p>
    <w:p w14:paraId="66055B40" w14:textId="10FDEFFA" w:rsidR="00D33867" w:rsidRPr="009537AA" w:rsidRDefault="00D33867" w:rsidP="009537AA">
      <w:pPr>
        <w:pStyle w:val="ListParagraph"/>
        <w:numPr>
          <w:ilvl w:val="0"/>
          <w:numId w:val="67"/>
        </w:numPr>
        <w:jc w:val="both"/>
        <w:rPr>
          <w:rFonts w:cstheme="minorHAnsi"/>
          <w:lang w:val="en-GB"/>
        </w:rPr>
      </w:pPr>
      <w:r w:rsidRPr="009537AA">
        <w:rPr>
          <w:rFonts w:cstheme="minorHAnsi"/>
          <w:lang w:val="en-GB"/>
        </w:rPr>
        <w:t>preliminary outline of addendum/protocol components.</w:t>
      </w:r>
    </w:p>
    <w:p w14:paraId="08CFB002" w14:textId="77777777" w:rsidR="00B97860" w:rsidRPr="00F247F3" w:rsidRDefault="00B97860" w:rsidP="00963906">
      <w:pPr>
        <w:rPr>
          <w:lang w:val="en-GB"/>
        </w:rPr>
      </w:pPr>
    </w:p>
    <w:p w14:paraId="1389A7D1" w14:textId="6A76BDF4" w:rsidR="009537AA" w:rsidRPr="009537AA" w:rsidRDefault="009537AA" w:rsidP="009537AA">
      <w:pPr>
        <w:pStyle w:val="Heading2"/>
        <w:rPr>
          <w:rFonts w:eastAsia="Times New Roman"/>
          <w:lang w:val="en-GB" w:eastAsia="hr-HR"/>
        </w:rPr>
      </w:pPr>
      <w:bookmarkStart w:id="45" w:name="_Toc225945294"/>
      <w:r w:rsidRPr="009537AA">
        <w:rPr>
          <w:rFonts w:eastAsia="Times New Roman"/>
          <w:lang w:val="en-GB" w:eastAsia="hr-HR"/>
        </w:rPr>
        <w:lastRenderedPageBreak/>
        <w:t>9.2 Phase 2 (Months 12–24): Systematization and operational integration</w:t>
      </w:r>
      <w:bookmarkEnd w:id="45"/>
    </w:p>
    <w:p w14:paraId="1907EFDE" w14:textId="6DADC3A2" w:rsidR="009537AA" w:rsidRPr="009537AA" w:rsidRDefault="009537AA" w:rsidP="009537AA">
      <w:pPr>
        <w:jc w:val="both"/>
        <w:rPr>
          <w:rFonts w:cstheme="minorHAnsi"/>
          <w:lang w:val="en-GB"/>
        </w:rPr>
      </w:pPr>
      <w:r w:rsidRPr="009537AA">
        <w:rPr>
          <w:rFonts w:cstheme="minorHAnsi"/>
          <w:lang w:val="en-GB"/>
        </w:rPr>
        <w:t>Phase 2 consists of activities, focusing on systematizing the approaches tested in Phase 1 and translating pilot results into structured operational practices. The emphasis is on improving data interoperability, supporting joint interpretation of monitoring results, and preparing the technical foundations for a potential bilateral addendum or protocol.</w:t>
      </w:r>
    </w:p>
    <w:p w14:paraId="6089E473" w14:textId="77777777" w:rsidR="009537AA" w:rsidRPr="009537AA" w:rsidRDefault="009537AA" w:rsidP="009537AA">
      <w:pPr>
        <w:jc w:val="both"/>
        <w:rPr>
          <w:rFonts w:cstheme="minorHAnsi"/>
          <w:lang w:val="en-GB"/>
        </w:rPr>
      </w:pPr>
      <w:r w:rsidRPr="009537AA">
        <w:rPr>
          <w:rFonts w:cstheme="minorHAnsi"/>
          <w:lang w:val="en-GB"/>
        </w:rPr>
        <w:t>Key actions include:</w:t>
      </w:r>
    </w:p>
    <w:p w14:paraId="250DF096" w14:textId="719080F6" w:rsidR="009537AA" w:rsidRPr="00367D34" w:rsidRDefault="009537AA" w:rsidP="00367D34">
      <w:pPr>
        <w:pStyle w:val="ListParagraph"/>
        <w:numPr>
          <w:ilvl w:val="0"/>
          <w:numId w:val="68"/>
        </w:numPr>
        <w:jc w:val="both"/>
        <w:rPr>
          <w:rFonts w:cstheme="minorHAnsi"/>
          <w:lang w:val="en-GB"/>
        </w:rPr>
      </w:pPr>
      <w:r w:rsidRPr="00367D34">
        <w:rPr>
          <w:rFonts w:cstheme="minorHAnsi"/>
          <w:lang w:val="en-GB"/>
        </w:rPr>
        <w:t>setting up a shared, easy</w:t>
      </w:r>
      <w:r w:rsidRPr="00367D34">
        <w:rPr>
          <w:rFonts w:ascii="Cambria Math" w:hAnsi="Cambria Math" w:cs="Cambria Math"/>
          <w:lang w:val="en-GB"/>
        </w:rPr>
        <w:t>‑</w:t>
      </w:r>
      <w:r w:rsidRPr="00367D34">
        <w:rPr>
          <w:rFonts w:cstheme="minorHAnsi"/>
          <w:lang w:val="en-GB"/>
        </w:rPr>
        <w:t>to</w:t>
      </w:r>
      <w:r w:rsidRPr="00367D34">
        <w:rPr>
          <w:rFonts w:ascii="Cambria Math" w:hAnsi="Cambria Math" w:cs="Cambria Math"/>
          <w:lang w:val="en-GB"/>
        </w:rPr>
        <w:t>‑</w:t>
      </w:r>
      <w:r w:rsidRPr="00367D34">
        <w:rPr>
          <w:rFonts w:cstheme="minorHAnsi"/>
          <w:lang w:val="en-GB"/>
        </w:rPr>
        <w:t>use GIS system for exchanging data, using common metadata rules and simple quality</w:t>
      </w:r>
      <w:r w:rsidRPr="00367D34">
        <w:rPr>
          <w:rFonts w:ascii="Cambria Math" w:hAnsi="Cambria Math" w:cs="Cambria Math"/>
          <w:lang w:val="en-GB"/>
        </w:rPr>
        <w:t>‑</w:t>
      </w:r>
      <w:r w:rsidRPr="00367D34">
        <w:rPr>
          <w:rFonts w:cstheme="minorHAnsi"/>
          <w:lang w:val="en-GB"/>
        </w:rPr>
        <w:t>control checks throughout the DIKTAS</w:t>
      </w:r>
      <w:r w:rsidRPr="00367D34">
        <w:rPr>
          <w:rFonts w:ascii="Calibri" w:hAnsi="Calibri" w:cs="Calibri"/>
          <w:lang w:val="en-GB"/>
        </w:rPr>
        <w:t> </w:t>
      </w:r>
      <w:r w:rsidRPr="00367D34">
        <w:rPr>
          <w:rFonts w:cstheme="minorHAnsi"/>
          <w:lang w:val="en-GB"/>
        </w:rPr>
        <w:t xml:space="preserve">II </w:t>
      </w:r>
      <w:proofErr w:type="gramStart"/>
      <w:r w:rsidRPr="00367D34">
        <w:rPr>
          <w:rFonts w:cstheme="minorHAnsi"/>
          <w:lang w:val="en-GB"/>
        </w:rPr>
        <w:t>project;</w:t>
      </w:r>
      <w:proofErr w:type="gramEnd"/>
    </w:p>
    <w:p w14:paraId="22D3780C" w14:textId="102E4DEC" w:rsidR="009537AA" w:rsidRPr="00367D34" w:rsidRDefault="009537AA" w:rsidP="00367D34">
      <w:pPr>
        <w:pStyle w:val="ListParagraph"/>
        <w:numPr>
          <w:ilvl w:val="0"/>
          <w:numId w:val="68"/>
        </w:numPr>
        <w:jc w:val="both"/>
        <w:rPr>
          <w:rFonts w:cstheme="minorHAnsi"/>
          <w:lang w:val="en-GB"/>
        </w:rPr>
      </w:pPr>
      <w:r w:rsidRPr="00367D34">
        <w:rPr>
          <w:rFonts w:cstheme="minorHAnsi"/>
          <w:lang w:val="en-GB"/>
        </w:rPr>
        <w:t>preparing short, easy</w:t>
      </w:r>
      <w:r w:rsidRPr="00367D34">
        <w:rPr>
          <w:rFonts w:ascii="Cambria Math" w:hAnsi="Cambria Math" w:cs="Cambria Math"/>
          <w:lang w:val="en-GB"/>
        </w:rPr>
        <w:t>‑</w:t>
      </w:r>
      <w:r w:rsidRPr="00367D34">
        <w:rPr>
          <w:rFonts w:cstheme="minorHAnsi"/>
          <w:lang w:val="en-GB"/>
        </w:rPr>
        <w:t>to</w:t>
      </w:r>
      <w:r w:rsidRPr="00367D34">
        <w:rPr>
          <w:rFonts w:ascii="Cambria Math" w:hAnsi="Cambria Math" w:cs="Cambria Math"/>
          <w:lang w:val="en-GB"/>
        </w:rPr>
        <w:t>‑</w:t>
      </w:r>
      <w:r w:rsidRPr="00367D34">
        <w:rPr>
          <w:rFonts w:cstheme="minorHAnsi"/>
          <w:lang w:val="en-GB"/>
        </w:rPr>
        <w:t>understand summaries of SPZ</w:t>
      </w:r>
      <w:r w:rsidRPr="00367D34">
        <w:rPr>
          <w:rFonts w:ascii="Cambria Math" w:hAnsi="Cambria Math" w:cs="Cambria Math"/>
          <w:lang w:val="en-GB"/>
        </w:rPr>
        <w:t>‑</w:t>
      </w:r>
      <w:r w:rsidRPr="00367D34">
        <w:rPr>
          <w:rFonts w:cstheme="minorHAnsi"/>
          <w:lang w:val="en-GB"/>
        </w:rPr>
        <w:t xml:space="preserve">related findings from the pilot </w:t>
      </w:r>
      <w:r w:rsidRPr="00367D34">
        <w:rPr>
          <w:rFonts w:ascii="Calibri" w:hAnsi="Calibri" w:cs="Calibri"/>
          <w:lang w:val="en-GB"/>
        </w:rPr>
        <w:t>-</w:t>
      </w:r>
      <w:r w:rsidRPr="00367D34">
        <w:rPr>
          <w:rFonts w:cstheme="minorHAnsi"/>
          <w:lang w:val="en-GB"/>
        </w:rPr>
        <w:t xml:space="preserve"> for example on nitrates, pesticides, turbidity or microbiology after rainfall </w:t>
      </w:r>
      <w:r w:rsidRPr="00367D34">
        <w:rPr>
          <w:rFonts w:ascii="Calibri" w:hAnsi="Calibri" w:cs="Calibri"/>
          <w:lang w:val="en-GB"/>
        </w:rPr>
        <w:t>-</w:t>
      </w:r>
      <w:r w:rsidRPr="00367D34">
        <w:rPr>
          <w:rFonts w:cstheme="minorHAnsi"/>
          <w:lang w:val="en-GB"/>
        </w:rPr>
        <w:t xml:space="preserve"> based on data collected during the DIKTAS</w:t>
      </w:r>
      <w:r w:rsidRPr="00367D34">
        <w:rPr>
          <w:rFonts w:ascii="Calibri" w:hAnsi="Calibri" w:cs="Calibri"/>
          <w:lang w:val="en-GB"/>
        </w:rPr>
        <w:t> </w:t>
      </w:r>
      <w:r w:rsidRPr="00367D34">
        <w:rPr>
          <w:rFonts w:cstheme="minorHAnsi"/>
          <w:lang w:val="en-GB"/>
        </w:rPr>
        <w:t xml:space="preserve">II </w:t>
      </w:r>
      <w:proofErr w:type="gramStart"/>
      <w:r w:rsidRPr="00367D34">
        <w:rPr>
          <w:rFonts w:cstheme="minorHAnsi"/>
          <w:lang w:val="en-GB"/>
        </w:rPr>
        <w:t>project;</w:t>
      </w:r>
      <w:proofErr w:type="gramEnd"/>
    </w:p>
    <w:p w14:paraId="25B117C3" w14:textId="037B292E" w:rsidR="009537AA" w:rsidRPr="00367D34" w:rsidRDefault="009537AA" w:rsidP="00367D34">
      <w:pPr>
        <w:pStyle w:val="ListParagraph"/>
        <w:numPr>
          <w:ilvl w:val="0"/>
          <w:numId w:val="68"/>
        </w:numPr>
        <w:jc w:val="both"/>
        <w:rPr>
          <w:rFonts w:cstheme="minorHAnsi"/>
          <w:lang w:val="en-GB"/>
        </w:rPr>
      </w:pPr>
      <w:r w:rsidRPr="00367D34">
        <w:rPr>
          <w:rFonts w:cstheme="minorHAnsi"/>
          <w:lang w:val="en-GB"/>
        </w:rPr>
        <w:t>putting into practice a simple way for both countries to share SPZ maps and data, and to agree on coordinated day</w:t>
      </w:r>
      <w:r w:rsidRPr="00367D34">
        <w:rPr>
          <w:rFonts w:ascii="Cambria Math" w:hAnsi="Cambria Math" w:cs="Cambria Math"/>
          <w:lang w:val="en-GB"/>
        </w:rPr>
        <w:t>‑</w:t>
      </w:r>
      <w:r w:rsidRPr="00367D34">
        <w:rPr>
          <w:rFonts w:cstheme="minorHAnsi"/>
          <w:lang w:val="en-GB"/>
        </w:rPr>
        <w:t>to</w:t>
      </w:r>
      <w:r w:rsidRPr="00367D34">
        <w:rPr>
          <w:rFonts w:ascii="Cambria Math" w:hAnsi="Cambria Math" w:cs="Cambria Math"/>
          <w:lang w:val="en-GB"/>
        </w:rPr>
        <w:t>‑</w:t>
      </w:r>
      <w:r w:rsidRPr="00367D34">
        <w:rPr>
          <w:rFonts w:cstheme="minorHAnsi"/>
          <w:lang w:val="en-GB"/>
        </w:rPr>
        <w:t xml:space="preserve">day actions </w:t>
      </w:r>
      <w:r w:rsidR="00367D34" w:rsidRPr="00367D34">
        <w:rPr>
          <w:rFonts w:ascii="Calibri" w:hAnsi="Calibri" w:cs="Calibri"/>
          <w:lang w:val="en-GB"/>
        </w:rPr>
        <w:t>-</w:t>
      </w:r>
      <w:r w:rsidRPr="00367D34">
        <w:rPr>
          <w:rFonts w:cstheme="minorHAnsi"/>
          <w:lang w:val="en-GB"/>
        </w:rPr>
        <w:t xml:space="preserve"> without changing national SPZ </w:t>
      </w:r>
      <w:proofErr w:type="gramStart"/>
      <w:r w:rsidRPr="00367D34">
        <w:rPr>
          <w:rFonts w:cstheme="minorHAnsi"/>
          <w:lang w:val="en-GB"/>
        </w:rPr>
        <w:t>rules;</w:t>
      </w:r>
      <w:proofErr w:type="gramEnd"/>
    </w:p>
    <w:p w14:paraId="15E95E8C" w14:textId="51ADBB6C" w:rsidR="009537AA" w:rsidRPr="00367D34" w:rsidRDefault="00367D34" w:rsidP="00367D34">
      <w:pPr>
        <w:pStyle w:val="ListParagraph"/>
        <w:numPr>
          <w:ilvl w:val="0"/>
          <w:numId w:val="68"/>
        </w:numPr>
        <w:jc w:val="both"/>
        <w:rPr>
          <w:rFonts w:cstheme="minorHAnsi"/>
          <w:lang w:val="en-GB"/>
        </w:rPr>
      </w:pPr>
      <w:r w:rsidRPr="00367D34">
        <w:rPr>
          <w:rFonts w:cstheme="minorHAnsi"/>
          <w:lang w:val="en-GB"/>
        </w:rPr>
        <w:t>preparing a clear legal</w:t>
      </w:r>
      <w:r w:rsidRPr="00367D34">
        <w:rPr>
          <w:rFonts w:ascii="Cambria Math" w:hAnsi="Cambria Math" w:cs="Cambria Math"/>
          <w:lang w:val="en-GB"/>
        </w:rPr>
        <w:t>‑</w:t>
      </w:r>
      <w:r w:rsidRPr="00367D34">
        <w:rPr>
          <w:rFonts w:cstheme="minorHAnsi"/>
          <w:lang w:val="en-GB"/>
        </w:rPr>
        <w:t xml:space="preserve">technical brief and structured technical annexes that could support a future addendum or </w:t>
      </w:r>
      <w:proofErr w:type="gramStart"/>
      <w:r w:rsidRPr="00367D34">
        <w:rPr>
          <w:rFonts w:cstheme="minorHAnsi"/>
          <w:lang w:val="en-GB"/>
        </w:rPr>
        <w:t>protocol</w:t>
      </w:r>
      <w:r w:rsidR="009537AA" w:rsidRPr="00367D34">
        <w:rPr>
          <w:rFonts w:cstheme="minorHAnsi"/>
          <w:lang w:val="en-GB"/>
        </w:rPr>
        <w:t>;</w:t>
      </w:r>
      <w:proofErr w:type="gramEnd"/>
    </w:p>
    <w:p w14:paraId="34DCD802" w14:textId="0C7D2CA9" w:rsidR="009537AA" w:rsidRPr="00367D34" w:rsidRDefault="00367D34" w:rsidP="00367D34">
      <w:pPr>
        <w:pStyle w:val="ListParagraph"/>
        <w:numPr>
          <w:ilvl w:val="0"/>
          <w:numId w:val="68"/>
        </w:numPr>
        <w:jc w:val="both"/>
        <w:rPr>
          <w:rFonts w:cstheme="minorHAnsi"/>
          <w:lang w:val="en-GB"/>
        </w:rPr>
      </w:pPr>
      <w:r w:rsidRPr="00367D34">
        <w:rPr>
          <w:rFonts w:cstheme="minorHAnsi"/>
          <w:lang w:val="en-GB"/>
        </w:rPr>
        <w:t>strengthening local and cross</w:t>
      </w:r>
      <w:r w:rsidRPr="00367D34">
        <w:rPr>
          <w:rFonts w:ascii="Cambria Math" w:hAnsi="Cambria Math" w:cs="Cambria Math"/>
          <w:lang w:val="en-GB"/>
        </w:rPr>
        <w:t>‑</w:t>
      </w:r>
      <w:r w:rsidRPr="00367D34">
        <w:rPr>
          <w:rFonts w:cstheme="minorHAnsi"/>
          <w:lang w:val="en-GB"/>
        </w:rPr>
        <w:t>border capacity by providing targeted DIKTAS</w:t>
      </w:r>
      <w:r w:rsidRPr="00367D34">
        <w:rPr>
          <w:rFonts w:ascii="Calibri" w:hAnsi="Calibri" w:cs="Calibri"/>
          <w:lang w:val="en-GB"/>
        </w:rPr>
        <w:t> </w:t>
      </w:r>
      <w:r w:rsidRPr="00367D34">
        <w:rPr>
          <w:rFonts w:cstheme="minorHAnsi"/>
          <w:lang w:val="en-GB"/>
        </w:rPr>
        <w:t>II training for utilities, inspectorates, local authorities and technical services</w:t>
      </w:r>
      <w:r w:rsidR="009537AA" w:rsidRPr="00367D34">
        <w:rPr>
          <w:rFonts w:cstheme="minorHAnsi"/>
          <w:lang w:val="en-GB"/>
        </w:rPr>
        <w:t>.</w:t>
      </w:r>
    </w:p>
    <w:p w14:paraId="17579294" w14:textId="77777777" w:rsidR="009537AA" w:rsidRPr="009537AA" w:rsidRDefault="009537AA" w:rsidP="009537AA">
      <w:pPr>
        <w:jc w:val="both"/>
        <w:rPr>
          <w:rFonts w:cstheme="minorHAnsi"/>
          <w:lang w:val="en-GB"/>
        </w:rPr>
      </w:pPr>
      <w:r w:rsidRPr="009537AA">
        <w:rPr>
          <w:rFonts w:cstheme="minorHAnsi"/>
          <w:lang w:val="en-GB"/>
        </w:rPr>
        <w:t>Expected outputs include:</w:t>
      </w:r>
    </w:p>
    <w:p w14:paraId="159F070B" w14:textId="5376CFF5" w:rsidR="009537AA" w:rsidRPr="00367D34" w:rsidRDefault="00367D34" w:rsidP="00367D34">
      <w:pPr>
        <w:pStyle w:val="ListParagraph"/>
        <w:numPr>
          <w:ilvl w:val="0"/>
          <w:numId w:val="69"/>
        </w:numPr>
        <w:jc w:val="both"/>
        <w:rPr>
          <w:rFonts w:cstheme="minorHAnsi"/>
          <w:lang w:val="en-GB"/>
        </w:rPr>
      </w:pPr>
      <w:r>
        <w:rPr>
          <w:rFonts w:cstheme="minorHAnsi"/>
          <w:lang w:val="en-GB"/>
        </w:rPr>
        <w:t xml:space="preserve">a </w:t>
      </w:r>
      <w:r w:rsidRPr="00367D34">
        <w:rPr>
          <w:rFonts w:cstheme="minorHAnsi"/>
          <w:lang w:val="en-GB"/>
        </w:rPr>
        <w:t xml:space="preserve">functioning workflow for exchanging </w:t>
      </w:r>
      <w:proofErr w:type="gramStart"/>
      <w:r w:rsidRPr="00367D34">
        <w:rPr>
          <w:rFonts w:cstheme="minorHAnsi"/>
          <w:lang w:val="en-GB"/>
        </w:rPr>
        <w:t>data</w:t>
      </w:r>
      <w:r w:rsidR="009537AA" w:rsidRPr="00367D34">
        <w:rPr>
          <w:rFonts w:cstheme="minorHAnsi"/>
          <w:lang w:val="en-GB"/>
        </w:rPr>
        <w:t>;</w:t>
      </w:r>
      <w:proofErr w:type="gramEnd"/>
    </w:p>
    <w:p w14:paraId="10DDEB38" w14:textId="1AD5ABA0" w:rsidR="009537AA" w:rsidRPr="00367D34" w:rsidRDefault="00367D34" w:rsidP="00367D34">
      <w:pPr>
        <w:pStyle w:val="ListParagraph"/>
        <w:numPr>
          <w:ilvl w:val="0"/>
          <w:numId w:val="69"/>
        </w:numPr>
        <w:jc w:val="both"/>
        <w:rPr>
          <w:rFonts w:cstheme="minorHAnsi"/>
          <w:lang w:val="en-GB"/>
        </w:rPr>
      </w:pPr>
      <w:r w:rsidRPr="00367D34">
        <w:rPr>
          <w:rFonts w:cstheme="minorHAnsi"/>
          <w:lang w:val="en-GB"/>
        </w:rPr>
        <w:t xml:space="preserve">the first joint note on SPZ operations based on DIKTAS II pilot </w:t>
      </w:r>
      <w:proofErr w:type="gramStart"/>
      <w:r w:rsidRPr="00367D34">
        <w:rPr>
          <w:rFonts w:cstheme="minorHAnsi"/>
          <w:lang w:val="en-GB"/>
        </w:rPr>
        <w:t>results</w:t>
      </w:r>
      <w:r w:rsidR="009537AA" w:rsidRPr="00367D34">
        <w:rPr>
          <w:rFonts w:cstheme="minorHAnsi"/>
          <w:lang w:val="en-GB"/>
        </w:rPr>
        <w:t>;</w:t>
      </w:r>
      <w:proofErr w:type="gramEnd"/>
    </w:p>
    <w:p w14:paraId="2C957BFE" w14:textId="0C17B4BC" w:rsidR="009537AA" w:rsidRPr="00367D34" w:rsidRDefault="00367D34" w:rsidP="00367D34">
      <w:pPr>
        <w:pStyle w:val="ListParagraph"/>
        <w:numPr>
          <w:ilvl w:val="0"/>
          <w:numId w:val="69"/>
        </w:numPr>
        <w:jc w:val="both"/>
        <w:rPr>
          <w:rFonts w:cstheme="minorHAnsi"/>
          <w:lang w:val="en-GB"/>
        </w:rPr>
      </w:pPr>
      <w:r w:rsidRPr="00367D34">
        <w:rPr>
          <w:rFonts w:cstheme="minorHAnsi"/>
          <w:lang w:val="en-GB"/>
        </w:rPr>
        <w:t>a legal</w:t>
      </w:r>
      <w:r w:rsidRPr="00367D34">
        <w:rPr>
          <w:rFonts w:ascii="Cambria Math" w:hAnsi="Cambria Math" w:cs="Cambria Math"/>
          <w:lang w:val="en-GB"/>
        </w:rPr>
        <w:t>‑</w:t>
      </w:r>
      <w:r w:rsidRPr="00367D34">
        <w:rPr>
          <w:rFonts w:cstheme="minorHAnsi"/>
          <w:lang w:val="en-GB"/>
        </w:rPr>
        <w:t xml:space="preserve">technical brief with draft outlines of the </w:t>
      </w:r>
      <w:proofErr w:type="gramStart"/>
      <w:r w:rsidRPr="00367D34">
        <w:rPr>
          <w:rFonts w:cstheme="minorHAnsi"/>
          <w:lang w:val="en-GB"/>
        </w:rPr>
        <w:t>annexes</w:t>
      </w:r>
      <w:r w:rsidR="009537AA" w:rsidRPr="00367D34">
        <w:rPr>
          <w:rFonts w:cstheme="minorHAnsi"/>
          <w:lang w:val="en-GB"/>
        </w:rPr>
        <w:t>;</w:t>
      </w:r>
      <w:proofErr w:type="gramEnd"/>
    </w:p>
    <w:p w14:paraId="1F565AF6" w14:textId="1B514D89" w:rsidR="009537AA" w:rsidRPr="00B81AD8" w:rsidRDefault="00367D34" w:rsidP="00963906">
      <w:pPr>
        <w:pStyle w:val="ListParagraph"/>
        <w:numPr>
          <w:ilvl w:val="0"/>
          <w:numId w:val="69"/>
        </w:numPr>
        <w:jc w:val="both"/>
        <w:rPr>
          <w:rFonts w:cstheme="minorHAnsi"/>
          <w:lang w:val="en-GB"/>
        </w:rPr>
      </w:pPr>
      <w:r w:rsidRPr="00367D34">
        <w:rPr>
          <w:rFonts w:cstheme="minorHAnsi"/>
          <w:lang w:val="en-GB"/>
        </w:rPr>
        <w:t>updated guidance materials for implementing the agreed SPZ</w:t>
      </w:r>
      <w:r w:rsidRPr="00367D34">
        <w:rPr>
          <w:rFonts w:ascii="Cambria Math" w:hAnsi="Cambria Math" w:cs="Cambria Math"/>
          <w:lang w:val="en-GB"/>
        </w:rPr>
        <w:t>‑</w:t>
      </w:r>
      <w:r w:rsidRPr="00367D34">
        <w:rPr>
          <w:rFonts w:cstheme="minorHAnsi"/>
          <w:lang w:val="en-GB"/>
        </w:rPr>
        <w:t>related procedures</w:t>
      </w:r>
      <w:r w:rsidR="009537AA" w:rsidRPr="00367D34">
        <w:rPr>
          <w:rFonts w:cstheme="minorHAnsi"/>
          <w:lang w:val="en-GB"/>
        </w:rPr>
        <w:t>.</w:t>
      </w:r>
    </w:p>
    <w:p w14:paraId="72974B59" w14:textId="77777777" w:rsidR="00FF5968" w:rsidRDefault="00FF5968" w:rsidP="009537AA">
      <w:pPr>
        <w:pStyle w:val="Heading2"/>
        <w:rPr>
          <w:rFonts w:eastAsia="Times New Roman"/>
          <w:lang w:val="en-GB" w:eastAsia="hr-HR"/>
        </w:rPr>
      </w:pPr>
    </w:p>
    <w:p w14:paraId="515A485D" w14:textId="47E68C0B" w:rsidR="009537AA" w:rsidRPr="009537AA" w:rsidRDefault="009537AA" w:rsidP="009537AA">
      <w:pPr>
        <w:pStyle w:val="Heading2"/>
        <w:rPr>
          <w:rFonts w:eastAsia="Times New Roman"/>
          <w:lang w:val="en-GB" w:eastAsia="hr-HR"/>
        </w:rPr>
      </w:pPr>
      <w:bookmarkStart w:id="46" w:name="_Toc225945295"/>
      <w:r w:rsidRPr="009537AA">
        <w:rPr>
          <w:rFonts w:eastAsia="Times New Roman"/>
          <w:lang w:val="en-GB" w:eastAsia="hr-HR"/>
        </w:rPr>
        <w:t>9.3 Phase 3 (Months 24–36): Consolidation, scaling and reporting</w:t>
      </w:r>
      <w:bookmarkEnd w:id="46"/>
    </w:p>
    <w:p w14:paraId="33186B50" w14:textId="5E03DC93" w:rsidR="00367D34" w:rsidRPr="00367D34" w:rsidRDefault="00367D34" w:rsidP="00367D34">
      <w:pPr>
        <w:jc w:val="both"/>
        <w:rPr>
          <w:rFonts w:ascii="Calibri" w:hAnsi="Calibri" w:cs="Calibri"/>
          <w:lang w:val="en-GB"/>
        </w:rPr>
      </w:pPr>
      <w:r w:rsidRPr="00367D34">
        <w:rPr>
          <w:rFonts w:ascii="Calibri" w:hAnsi="Calibri" w:cs="Calibri"/>
          <w:lang w:val="en-GB"/>
        </w:rPr>
        <w:t>Phase 3 covers the consolidation and scaling activities, using the experience gained from the pilot and building the basis for long</w:t>
      </w:r>
      <w:r w:rsidRPr="00367D34">
        <w:rPr>
          <w:rFonts w:ascii="Cambria Math" w:hAnsi="Cambria Math" w:cs="Cambria Math"/>
          <w:lang w:val="en-GB"/>
        </w:rPr>
        <w:t>‑</w:t>
      </w:r>
      <w:r w:rsidRPr="00367D34">
        <w:rPr>
          <w:rFonts w:ascii="Calibri" w:hAnsi="Calibri" w:cs="Calibri"/>
          <w:lang w:val="en-GB"/>
        </w:rPr>
        <w:t>term cooperation beyond the project’s duration. This phase focuses on broader operational uptake, joint reporting and, where endorsed by competent authorities, preparation of materials for formal governmental consideration.</w:t>
      </w:r>
    </w:p>
    <w:p w14:paraId="4AD9B933" w14:textId="77777777" w:rsidR="00367D34" w:rsidRPr="00367D34" w:rsidRDefault="00367D34" w:rsidP="00367D34">
      <w:pPr>
        <w:jc w:val="both"/>
        <w:rPr>
          <w:rFonts w:ascii="Calibri" w:hAnsi="Calibri" w:cs="Calibri"/>
          <w:lang w:val="en-GB"/>
        </w:rPr>
      </w:pPr>
      <w:r w:rsidRPr="00367D34">
        <w:rPr>
          <w:rFonts w:ascii="Calibri" w:hAnsi="Calibri" w:cs="Calibri"/>
          <w:lang w:val="en-GB"/>
        </w:rPr>
        <w:t>Key actions include:</w:t>
      </w:r>
    </w:p>
    <w:p w14:paraId="1DA2AAE7" w14:textId="23E9FDB5" w:rsidR="00367D34" w:rsidRPr="00773B18" w:rsidRDefault="00367D34" w:rsidP="00773B18">
      <w:pPr>
        <w:pStyle w:val="ListParagraph"/>
        <w:numPr>
          <w:ilvl w:val="0"/>
          <w:numId w:val="71"/>
        </w:numPr>
        <w:jc w:val="both"/>
        <w:rPr>
          <w:rFonts w:ascii="Calibri" w:hAnsi="Calibri" w:cs="Calibri"/>
          <w:lang w:val="en-GB"/>
        </w:rPr>
      </w:pPr>
      <w:r w:rsidRPr="00773B18">
        <w:rPr>
          <w:rFonts w:ascii="Calibri" w:hAnsi="Calibri" w:cs="Calibri"/>
          <w:lang w:val="en-GB"/>
        </w:rPr>
        <w:t>scaling up the DIKTAS II</w:t>
      </w:r>
      <w:r w:rsidRPr="00773B18">
        <w:rPr>
          <w:rFonts w:ascii="Cambria Math" w:hAnsi="Cambria Math" w:cs="Cambria Math"/>
          <w:lang w:val="en-GB"/>
        </w:rPr>
        <w:t>‑</w:t>
      </w:r>
      <w:r w:rsidRPr="00773B18">
        <w:rPr>
          <w:rFonts w:ascii="Calibri" w:hAnsi="Calibri" w:cs="Calibri"/>
          <w:lang w:val="en-GB"/>
        </w:rPr>
        <w:t>tested tools and methods (vulnerability</w:t>
      </w:r>
      <w:r w:rsidRPr="00773B18">
        <w:rPr>
          <w:rFonts w:ascii="Cambria Math" w:hAnsi="Cambria Math" w:cs="Cambria Math"/>
          <w:lang w:val="en-GB"/>
        </w:rPr>
        <w:t>‑</w:t>
      </w:r>
      <w:r w:rsidRPr="00773B18">
        <w:rPr>
          <w:rFonts w:ascii="Calibri" w:hAnsi="Calibri" w:cs="Calibri"/>
          <w:lang w:val="en-GB"/>
        </w:rPr>
        <w:t>based inspection priorities, event</w:t>
      </w:r>
      <w:r w:rsidRPr="00773B18">
        <w:rPr>
          <w:rFonts w:ascii="Cambria Math" w:hAnsi="Cambria Math" w:cs="Cambria Math"/>
          <w:lang w:val="en-GB"/>
        </w:rPr>
        <w:t>‑</w:t>
      </w:r>
      <w:r w:rsidRPr="00773B18">
        <w:rPr>
          <w:rFonts w:ascii="Calibri" w:hAnsi="Calibri" w:cs="Calibri"/>
          <w:lang w:val="en-GB"/>
        </w:rPr>
        <w:t>based monitoring routines, shared data workflows) to all TBAs (HR-BiH</w:t>
      </w:r>
      <w:proofErr w:type="gramStart"/>
      <w:r w:rsidRPr="00773B18">
        <w:rPr>
          <w:rFonts w:ascii="Calibri" w:hAnsi="Calibri" w:cs="Calibri"/>
          <w:lang w:val="en-GB"/>
        </w:rPr>
        <w:t>);</w:t>
      </w:r>
      <w:proofErr w:type="gramEnd"/>
    </w:p>
    <w:p w14:paraId="04831D70" w14:textId="62B6DAF3" w:rsidR="00367D34" w:rsidRPr="00773B18" w:rsidRDefault="00367D34" w:rsidP="00773B18">
      <w:pPr>
        <w:pStyle w:val="ListParagraph"/>
        <w:numPr>
          <w:ilvl w:val="0"/>
          <w:numId w:val="71"/>
        </w:numPr>
        <w:jc w:val="both"/>
        <w:rPr>
          <w:rFonts w:ascii="Calibri" w:hAnsi="Calibri" w:cs="Calibri"/>
          <w:lang w:val="en-GB"/>
        </w:rPr>
      </w:pPr>
      <w:r w:rsidRPr="00773B18">
        <w:rPr>
          <w:rFonts w:ascii="Calibri" w:hAnsi="Calibri" w:cs="Calibri"/>
          <w:lang w:val="en-GB"/>
        </w:rPr>
        <w:t xml:space="preserve">aligning selected operational templates, inspection schedules and monitoring practices where feasible, with all alignment work occurring during DIKTAS II </w:t>
      </w:r>
      <w:proofErr w:type="gramStart"/>
      <w:r w:rsidRPr="00773B18">
        <w:rPr>
          <w:rFonts w:ascii="Calibri" w:hAnsi="Calibri" w:cs="Calibri"/>
          <w:lang w:val="en-GB"/>
        </w:rPr>
        <w:t>implementation;</w:t>
      </w:r>
      <w:proofErr w:type="gramEnd"/>
    </w:p>
    <w:p w14:paraId="5046C586" w14:textId="51A05CE0" w:rsidR="00367D34" w:rsidRPr="00773B18" w:rsidRDefault="00367D34" w:rsidP="00773B18">
      <w:pPr>
        <w:pStyle w:val="ListParagraph"/>
        <w:numPr>
          <w:ilvl w:val="0"/>
          <w:numId w:val="71"/>
        </w:numPr>
        <w:jc w:val="both"/>
        <w:rPr>
          <w:rFonts w:ascii="Calibri" w:hAnsi="Calibri" w:cs="Calibri"/>
          <w:lang w:val="en-GB"/>
        </w:rPr>
      </w:pPr>
      <w:r w:rsidRPr="00773B18">
        <w:rPr>
          <w:rFonts w:ascii="Calibri" w:hAnsi="Calibri" w:cs="Calibri"/>
          <w:lang w:val="en-GB"/>
        </w:rPr>
        <w:t>preparing and submitting the addendum/protocol package developed during DIKTAS II for inter</w:t>
      </w:r>
      <w:r w:rsidRPr="00773B18">
        <w:rPr>
          <w:rFonts w:ascii="Cambria Math" w:hAnsi="Cambria Math" w:cs="Cambria Math"/>
          <w:lang w:val="en-GB"/>
        </w:rPr>
        <w:t>‑</w:t>
      </w:r>
      <w:r w:rsidRPr="00773B18">
        <w:rPr>
          <w:rFonts w:ascii="Calibri" w:hAnsi="Calibri" w:cs="Calibri"/>
          <w:lang w:val="en-GB"/>
        </w:rPr>
        <w:t xml:space="preserve">ministerial or governmental </w:t>
      </w:r>
      <w:proofErr w:type="gramStart"/>
      <w:r w:rsidRPr="00773B18">
        <w:rPr>
          <w:rFonts w:ascii="Calibri" w:hAnsi="Calibri" w:cs="Calibri"/>
          <w:lang w:val="en-GB"/>
        </w:rPr>
        <w:t>review;</w:t>
      </w:r>
      <w:proofErr w:type="gramEnd"/>
    </w:p>
    <w:p w14:paraId="46147FBE" w14:textId="16054E88" w:rsidR="00367D34" w:rsidRPr="00773B18" w:rsidRDefault="00773B18" w:rsidP="00773B18">
      <w:pPr>
        <w:pStyle w:val="ListParagraph"/>
        <w:numPr>
          <w:ilvl w:val="0"/>
          <w:numId w:val="71"/>
        </w:numPr>
        <w:jc w:val="both"/>
        <w:rPr>
          <w:rFonts w:ascii="Calibri" w:hAnsi="Calibri" w:cs="Calibri"/>
          <w:lang w:val="en-GB"/>
        </w:rPr>
      </w:pPr>
      <w:r w:rsidRPr="00773B18">
        <w:rPr>
          <w:rFonts w:ascii="Calibri" w:hAnsi="Calibri" w:cs="Calibri"/>
          <w:lang w:val="en-GB"/>
        </w:rPr>
        <w:t>drafting a plan that sets out the basic future roles, resources, and the format of annual bilateral review meetings, based on DIKTAS II results</w:t>
      </w:r>
      <w:r w:rsidR="00367D34" w:rsidRPr="00773B18">
        <w:rPr>
          <w:rFonts w:ascii="Calibri" w:hAnsi="Calibri" w:cs="Calibri"/>
          <w:lang w:val="en-GB"/>
        </w:rPr>
        <w:t>.</w:t>
      </w:r>
    </w:p>
    <w:p w14:paraId="1B75829A" w14:textId="77777777" w:rsidR="00367D34" w:rsidRPr="00367D34" w:rsidRDefault="00367D34" w:rsidP="00367D34">
      <w:pPr>
        <w:jc w:val="both"/>
        <w:rPr>
          <w:rFonts w:ascii="Calibri" w:hAnsi="Calibri" w:cs="Calibri"/>
          <w:lang w:val="en-GB"/>
        </w:rPr>
      </w:pPr>
      <w:r w:rsidRPr="00367D34">
        <w:rPr>
          <w:rFonts w:ascii="Calibri" w:hAnsi="Calibri" w:cs="Calibri"/>
          <w:lang w:val="en-GB"/>
        </w:rPr>
        <w:t>Expected outputs include:</w:t>
      </w:r>
    </w:p>
    <w:p w14:paraId="06201AFA" w14:textId="321A1EA6" w:rsidR="00367D34" w:rsidRPr="00773B18" w:rsidRDefault="00773B18" w:rsidP="00773B18">
      <w:pPr>
        <w:pStyle w:val="ListParagraph"/>
        <w:numPr>
          <w:ilvl w:val="0"/>
          <w:numId w:val="70"/>
        </w:numPr>
        <w:jc w:val="both"/>
        <w:rPr>
          <w:rFonts w:ascii="Calibri" w:hAnsi="Calibri" w:cs="Calibri"/>
          <w:lang w:val="en-GB"/>
        </w:rPr>
      </w:pPr>
      <w:r w:rsidRPr="00773B18">
        <w:rPr>
          <w:rFonts w:ascii="Calibri" w:hAnsi="Calibri" w:cs="Calibri"/>
          <w:lang w:val="en-GB"/>
        </w:rPr>
        <w:t>a plan for expanding the tested methods, prepared within DIKTAS II</w:t>
      </w:r>
      <w:r>
        <w:rPr>
          <w:rFonts w:ascii="Calibri" w:hAnsi="Calibri" w:cs="Calibri"/>
          <w:lang w:val="en-GB"/>
        </w:rPr>
        <w:t>, to other TBAs (HR-BiH</w:t>
      </w:r>
      <w:proofErr w:type="gramStart"/>
      <w:r>
        <w:rPr>
          <w:rFonts w:ascii="Calibri" w:hAnsi="Calibri" w:cs="Calibri"/>
          <w:lang w:val="en-GB"/>
        </w:rPr>
        <w:t>)</w:t>
      </w:r>
      <w:r w:rsidR="00367D34" w:rsidRPr="00773B18">
        <w:rPr>
          <w:rFonts w:ascii="Calibri" w:hAnsi="Calibri" w:cs="Calibri"/>
          <w:lang w:val="en-GB"/>
        </w:rPr>
        <w:t>;</w:t>
      </w:r>
      <w:proofErr w:type="gramEnd"/>
    </w:p>
    <w:p w14:paraId="18B791CF" w14:textId="1298950F" w:rsidR="00367D34" w:rsidRPr="00773B18" w:rsidRDefault="00367D34" w:rsidP="00773B18">
      <w:pPr>
        <w:pStyle w:val="ListParagraph"/>
        <w:numPr>
          <w:ilvl w:val="0"/>
          <w:numId w:val="70"/>
        </w:numPr>
        <w:jc w:val="both"/>
        <w:rPr>
          <w:rFonts w:ascii="Calibri" w:hAnsi="Calibri" w:cs="Calibri"/>
          <w:lang w:val="en-GB"/>
        </w:rPr>
      </w:pPr>
      <w:r w:rsidRPr="00773B18">
        <w:rPr>
          <w:rFonts w:ascii="Calibri" w:hAnsi="Calibri" w:cs="Calibri"/>
          <w:lang w:val="en-GB"/>
        </w:rPr>
        <w:t xml:space="preserve">joint implementation report produced using DIKTAS II data and </w:t>
      </w:r>
      <w:proofErr w:type="gramStart"/>
      <w:r w:rsidRPr="00773B18">
        <w:rPr>
          <w:rFonts w:ascii="Calibri" w:hAnsi="Calibri" w:cs="Calibri"/>
          <w:lang w:val="en-GB"/>
        </w:rPr>
        <w:t>experience;</w:t>
      </w:r>
      <w:proofErr w:type="gramEnd"/>
    </w:p>
    <w:p w14:paraId="55617363" w14:textId="129051CC" w:rsidR="00367D34" w:rsidRPr="00773B18" w:rsidRDefault="00773B18" w:rsidP="00773B18">
      <w:pPr>
        <w:pStyle w:val="ListParagraph"/>
        <w:numPr>
          <w:ilvl w:val="0"/>
          <w:numId w:val="70"/>
        </w:numPr>
        <w:jc w:val="both"/>
        <w:rPr>
          <w:rFonts w:ascii="Calibri" w:hAnsi="Calibri" w:cs="Calibri"/>
          <w:lang w:val="en-GB"/>
        </w:rPr>
      </w:pPr>
      <w:r>
        <w:rPr>
          <w:rFonts w:ascii="Calibri" w:hAnsi="Calibri" w:cs="Calibri"/>
          <w:lang w:val="en-GB"/>
        </w:rPr>
        <w:lastRenderedPageBreak/>
        <w:t xml:space="preserve">information package </w:t>
      </w:r>
      <w:r w:rsidRPr="00773B18">
        <w:rPr>
          <w:rFonts w:ascii="Calibri" w:hAnsi="Calibri" w:cs="Calibri"/>
          <w:lang w:val="en-GB"/>
        </w:rPr>
        <w:t xml:space="preserve">required to submit the addendum/protocol, if </w:t>
      </w:r>
      <w:proofErr w:type="gramStart"/>
      <w:r w:rsidRPr="00773B18">
        <w:rPr>
          <w:rFonts w:ascii="Calibri" w:hAnsi="Calibri" w:cs="Calibri"/>
          <w:lang w:val="en-GB"/>
        </w:rPr>
        <w:t>agreed</w:t>
      </w:r>
      <w:r w:rsidR="00367D34" w:rsidRPr="00773B18">
        <w:rPr>
          <w:rFonts w:ascii="Calibri" w:hAnsi="Calibri" w:cs="Calibri"/>
          <w:lang w:val="en-GB"/>
        </w:rPr>
        <w:t>;</w:t>
      </w:r>
      <w:proofErr w:type="gramEnd"/>
    </w:p>
    <w:p w14:paraId="014FA484" w14:textId="5B7E93A8" w:rsidR="00266B84" w:rsidRDefault="00773B18" w:rsidP="00963906">
      <w:pPr>
        <w:pStyle w:val="ListParagraph"/>
        <w:numPr>
          <w:ilvl w:val="0"/>
          <w:numId w:val="70"/>
        </w:numPr>
        <w:jc w:val="both"/>
        <w:rPr>
          <w:rFonts w:ascii="Calibri" w:hAnsi="Calibri" w:cs="Calibri"/>
          <w:lang w:val="en-GB"/>
        </w:rPr>
      </w:pPr>
      <w:r w:rsidRPr="00773B18">
        <w:rPr>
          <w:rFonts w:ascii="Calibri" w:hAnsi="Calibri" w:cs="Calibri"/>
          <w:lang w:val="en-GB"/>
        </w:rPr>
        <w:t>a plan that outlines how cooperation will continue after the</w:t>
      </w:r>
      <w:r>
        <w:rPr>
          <w:rFonts w:ascii="Calibri" w:hAnsi="Calibri" w:cs="Calibri"/>
          <w:lang w:val="en-GB"/>
        </w:rPr>
        <w:t xml:space="preserve"> DIKTAS II</w:t>
      </w:r>
      <w:r w:rsidRPr="00773B18">
        <w:rPr>
          <w:rFonts w:ascii="Calibri" w:hAnsi="Calibri" w:cs="Calibri"/>
          <w:lang w:val="en-GB"/>
        </w:rPr>
        <w:t xml:space="preserve"> project</w:t>
      </w:r>
      <w:r w:rsidR="00367D34" w:rsidRPr="00773B18">
        <w:rPr>
          <w:rFonts w:ascii="Calibri" w:hAnsi="Calibri" w:cs="Calibri"/>
          <w:lang w:val="en-GB"/>
        </w:rPr>
        <w:t>.</w:t>
      </w:r>
    </w:p>
    <w:p w14:paraId="1FC5B3D4" w14:textId="77777777" w:rsidR="00093EA3" w:rsidRPr="00093EA3" w:rsidRDefault="00093EA3" w:rsidP="00093EA3">
      <w:pPr>
        <w:ind w:left="360"/>
        <w:jc w:val="both"/>
        <w:rPr>
          <w:rFonts w:ascii="Calibri" w:hAnsi="Calibri" w:cs="Calibri"/>
          <w:lang w:val="en-GB"/>
        </w:rPr>
      </w:pPr>
    </w:p>
    <w:p w14:paraId="0C052F3A" w14:textId="695183D6" w:rsidR="00A87291" w:rsidRPr="00103C70" w:rsidRDefault="00A87291" w:rsidP="00A87291">
      <w:pPr>
        <w:pStyle w:val="Heading1"/>
        <w:rPr>
          <w:lang w:val="en-GB"/>
        </w:rPr>
      </w:pPr>
      <w:bookmarkStart w:id="47" w:name="_Toc225945296"/>
      <w:r>
        <w:rPr>
          <w:lang w:val="en-GB"/>
        </w:rPr>
        <w:t>10</w:t>
      </w:r>
      <w:r w:rsidRPr="00103C70">
        <w:rPr>
          <w:lang w:val="en-GB"/>
        </w:rPr>
        <w:t xml:space="preserve"> </w:t>
      </w:r>
      <w:r w:rsidRPr="00A87291">
        <w:rPr>
          <w:lang w:val="en-GB"/>
        </w:rPr>
        <w:t>Performance tracking for output 2.2: indicators and verification</w:t>
      </w:r>
      <w:bookmarkEnd w:id="47"/>
    </w:p>
    <w:p w14:paraId="2E9B37B3" w14:textId="6ADF3FC2" w:rsidR="008A783B" w:rsidRPr="008A783B" w:rsidRDefault="005A4488" w:rsidP="008A783B">
      <w:pPr>
        <w:jc w:val="both"/>
        <w:rPr>
          <w:rFonts w:cstheme="minorHAnsi"/>
          <w:lang w:val="en-GB"/>
        </w:rPr>
      </w:pPr>
      <w:r>
        <w:rPr>
          <w:rFonts w:cstheme="minorHAnsi"/>
          <w:lang w:val="en-GB"/>
        </w:rPr>
        <w:t>A</w:t>
      </w:r>
      <w:r w:rsidR="008A783B" w:rsidRPr="008A783B">
        <w:rPr>
          <w:rFonts w:cstheme="minorHAnsi"/>
          <w:lang w:val="en-GB"/>
        </w:rPr>
        <w:t xml:space="preserve"> simple, project</w:t>
      </w:r>
      <w:r w:rsidR="008A783B" w:rsidRPr="008A783B">
        <w:rPr>
          <w:rFonts w:ascii="Cambria Math" w:hAnsi="Cambria Math" w:cs="Cambria Math"/>
          <w:lang w:val="en-GB"/>
        </w:rPr>
        <w:t>‑</w:t>
      </w:r>
      <w:r w:rsidR="008A783B" w:rsidRPr="008A783B">
        <w:rPr>
          <w:rFonts w:cstheme="minorHAnsi"/>
          <w:lang w:val="en-GB"/>
        </w:rPr>
        <w:t>focused system for tracking progress on Output</w:t>
      </w:r>
      <w:r w:rsidR="008A783B" w:rsidRPr="008A783B">
        <w:rPr>
          <w:rFonts w:ascii="Calibri" w:hAnsi="Calibri" w:cs="Calibri"/>
          <w:lang w:val="en-GB"/>
        </w:rPr>
        <w:t> </w:t>
      </w:r>
      <w:r w:rsidR="008A783B" w:rsidRPr="008A783B">
        <w:rPr>
          <w:rFonts w:cstheme="minorHAnsi"/>
          <w:lang w:val="en-GB"/>
        </w:rPr>
        <w:t>2.2 during the DIKTAS</w:t>
      </w:r>
      <w:r w:rsidR="008A783B" w:rsidRPr="008A783B">
        <w:rPr>
          <w:rFonts w:ascii="Calibri" w:hAnsi="Calibri" w:cs="Calibri"/>
          <w:lang w:val="en-GB"/>
        </w:rPr>
        <w:t> </w:t>
      </w:r>
      <w:r w:rsidR="008A783B" w:rsidRPr="008A783B">
        <w:rPr>
          <w:rFonts w:cstheme="minorHAnsi"/>
          <w:lang w:val="en-GB"/>
        </w:rPr>
        <w:t>II project</w:t>
      </w:r>
      <w:r>
        <w:rPr>
          <w:rFonts w:cstheme="minorHAnsi"/>
          <w:lang w:val="en-GB"/>
        </w:rPr>
        <w:t xml:space="preserve"> is envisaged</w:t>
      </w:r>
      <w:r w:rsidR="008A783B" w:rsidRPr="008A783B">
        <w:rPr>
          <w:rFonts w:cstheme="minorHAnsi"/>
          <w:lang w:val="en-GB"/>
        </w:rPr>
        <w:t xml:space="preserve">. The indicators are </w:t>
      </w:r>
      <w:r>
        <w:rPr>
          <w:rFonts w:cstheme="minorHAnsi"/>
          <w:lang w:val="en-GB"/>
        </w:rPr>
        <w:t>proposed</w:t>
      </w:r>
      <w:r w:rsidR="008A783B" w:rsidRPr="008A783B">
        <w:rPr>
          <w:rFonts w:cstheme="minorHAnsi"/>
          <w:lang w:val="en-GB"/>
        </w:rPr>
        <w:t xml:space="preserve"> to reflect how work is actually carried out and to monitor three areas: (</w:t>
      </w:r>
      <w:proofErr w:type="spellStart"/>
      <w:r w:rsidR="008A783B" w:rsidRPr="008A783B">
        <w:rPr>
          <w:rFonts w:cstheme="minorHAnsi"/>
          <w:lang w:val="en-GB"/>
        </w:rPr>
        <w:t>i</w:t>
      </w:r>
      <w:proofErr w:type="spellEnd"/>
      <w:r w:rsidR="008A783B" w:rsidRPr="008A783B">
        <w:rPr>
          <w:rFonts w:cstheme="minorHAnsi"/>
          <w:lang w:val="en-GB"/>
        </w:rPr>
        <w:t>) how the Joint Framework is being put into practice, including work products, pilot activities and coordination routines; (ii) how SPZ</w:t>
      </w:r>
      <w:r w:rsidR="008A783B" w:rsidRPr="008A783B">
        <w:rPr>
          <w:rFonts w:ascii="Cambria Math" w:hAnsi="Cambria Math" w:cs="Cambria Math"/>
          <w:lang w:val="en-GB"/>
        </w:rPr>
        <w:t>‑</w:t>
      </w:r>
      <w:r w:rsidR="008A783B" w:rsidRPr="008A783B">
        <w:rPr>
          <w:rFonts w:cstheme="minorHAnsi"/>
          <w:lang w:val="en-GB"/>
        </w:rPr>
        <w:t>related practices are being applied in monitoring, data sharing and coordinated field actions; and (iii) how work is advancing toward a possible light</w:t>
      </w:r>
      <w:r w:rsidR="008A783B" w:rsidRPr="008A783B">
        <w:rPr>
          <w:rFonts w:ascii="Cambria Math" w:hAnsi="Cambria Math" w:cs="Cambria Math"/>
          <w:lang w:val="en-GB"/>
        </w:rPr>
        <w:t>‑</w:t>
      </w:r>
      <w:r w:rsidR="008A783B" w:rsidRPr="008A783B">
        <w:rPr>
          <w:rFonts w:cstheme="minorHAnsi"/>
          <w:lang w:val="en-GB"/>
        </w:rPr>
        <w:t>touch bilateral addendum or protocol, without changing national SPZ delineation rules.</w:t>
      </w:r>
    </w:p>
    <w:p w14:paraId="4D6F0E47" w14:textId="344AD853" w:rsidR="008A783B" w:rsidRPr="008A783B" w:rsidRDefault="008A783B" w:rsidP="008A783B">
      <w:pPr>
        <w:jc w:val="both"/>
        <w:rPr>
          <w:rFonts w:cstheme="minorHAnsi"/>
          <w:lang w:val="en-GB"/>
        </w:rPr>
      </w:pPr>
      <w:r w:rsidRPr="008A783B">
        <w:rPr>
          <w:rFonts w:cstheme="minorHAnsi"/>
          <w:lang w:val="en-GB"/>
        </w:rPr>
        <w:t xml:space="preserve">Indicators are grouped into three practical categories: institutional coordination, technical implementation, and planning and reporting. Each indicator has a clear and simple verification point so that monitoring remains easy to apply within existing administrative capacities. Checks </w:t>
      </w:r>
      <w:r>
        <w:rPr>
          <w:rFonts w:cstheme="minorHAnsi"/>
          <w:lang w:val="en-GB"/>
        </w:rPr>
        <w:t>can</w:t>
      </w:r>
      <w:r w:rsidRPr="008A783B">
        <w:rPr>
          <w:rFonts w:cstheme="minorHAnsi"/>
          <w:lang w:val="en-GB"/>
        </w:rPr>
        <w:t xml:space="preserve"> be carried out regularly during the project, with one yearly summary aligned with the DIKTAS II reporting cycle.</w:t>
      </w:r>
    </w:p>
    <w:p w14:paraId="31EBFEA8" w14:textId="60EF443B" w:rsidR="00E74B48" w:rsidRPr="008A783B" w:rsidRDefault="008A783B" w:rsidP="008A783B">
      <w:pPr>
        <w:jc w:val="both"/>
        <w:rPr>
          <w:rFonts w:cstheme="minorHAnsi"/>
          <w:lang w:val="en-GB"/>
        </w:rPr>
      </w:pPr>
      <w:r w:rsidRPr="008A783B">
        <w:rPr>
          <w:rFonts w:cstheme="minorHAnsi"/>
          <w:lang w:val="en-GB"/>
        </w:rPr>
        <w:t>The system is designed to stay compact. It uses only a small number of measurable indicators, allowing the project team to focus on the most important parts of implementation. As project activities progress</w:t>
      </w:r>
      <w:r w:rsidR="00E74B48">
        <w:rPr>
          <w:rFonts w:cstheme="minorHAnsi"/>
          <w:lang w:val="en-GB"/>
        </w:rPr>
        <w:t xml:space="preserve">, </w:t>
      </w:r>
      <w:r w:rsidRPr="008A783B">
        <w:rPr>
          <w:rFonts w:cstheme="minorHAnsi"/>
          <w:lang w:val="en-GB"/>
        </w:rPr>
        <w:t xml:space="preserve">including the pilot work in the Una </w:t>
      </w:r>
      <w:r w:rsidR="00E74B48">
        <w:rPr>
          <w:rFonts w:cstheme="minorHAnsi"/>
          <w:lang w:val="en-GB"/>
        </w:rPr>
        <w:t xml:space="preserve">TBA, </w:t>
      </w:r>
      <w:r w:rsidRPr="008A783B">
        <w:rPr>
          <w:rFonts w:cstheme="minorHAnsi"/>
          <w:lang w:val="en-GB"/>
        </w:rPr>
        <w:t>they will generate the data needed to verify each indicator.</w:t>
      </w:r>
    </w:p>
    <w:p w14:paraId="7B9FA619" w14:textId="77777777" w:rsidR="00FF5968" w:rsidRDefault="00FF5968" w:rsidP="00E74B48">
      <w:pPr>
        <w:pStyle w:val="Heading2"/>
        <w:rPr>
          <w:rFonts w:eastAsia="Times New Roman"/>
          <w:lang w:val="en-GB" w:eastAsia="hr-HR"/>
        </w:rPr>
      </w:pPr>
    </w:p>
    <w:p w14:paraId="24B86B48" w14:textId="31328EDE" w:rsidR="00E74B48" w:rsidRPr="00B26173" w:rsidRDefault="00E74B48" w:rsidP="00E74B48">
      <w:pPr>
        <w:pStyle w:val="Heading2"/>
        <w:rPr>
          <w:rFonts w:eastAsia="Times New Roman"/>
          <w:lang w:val="en-GB" w:eastAsia="hr-HR"/>
        </w:rPr>
      </w:pPr>
      <w:bookmarkStart w:id="48" w:name="_Toc225945297"/>
      <w:r w:rsidRPr="00B26173">
        <w:rPr>
          <w:rFonts w:eastAsia="Times New Roman"/>
          <w:lang w:val="en-GB" w:eastAsia="hr-HR"/>
        </w:rPr>
        <w:t>10.1 Indicator structure and purpose</w:t>
      </w:r>
      <w:bookmarkEnd w:id="48"/>
    </w:p>
    <w:p w14:paraId="51F86A58" w14:textId="4562AA5F" w:rsidR="00E74B48" w:rsidRPr="00E74B48" w:rsidRDefault="00E74B48" w:rsidP="00E74B48">
      <w:pPr>
        <w:jc w:val="both"/>
        <w:rPr>
          <w:rFonts w:eastAsia="Times New Roman" w:cstheme="minorHAnsi"/>
          <w:lang w:val="en-GB" w:eastAsia="hr-HR"/>
        </w:rPr>
      </w:pPr>
      <w:r w:rsidRPr="00E74B48">
        <w:rPr>
          <w:rFonts w:eastAsia="Times New Roman" w:cstheme="minorHAnsi"/>
          <w:lang w:val="en-GB" w:eastAsia="hr-HR"/>
        </w:rPr>
        <w:t xml:space="preserve">The proposed indicator structure </w:t>
      </w:r>
      <w:r w:rsidR="005A4488">
        <w:rPr>
          <w:rFonts w:eastAsia="Times New Roman" w:cstheme="minorHAnsi"/>
          <w:lang w:val="en-GB" w:eastAsia="hr-HR"/>
        </w:rPr>
        <w:t xml:space="preserve">could </w:t>
      </w:r>
      <w:r w:rsidRPr="00E74B48">
        <w:rPr>
          <w:rFonts w:eastAsia="Times New Roman" w:cstheme="minorHAnsi"/>
          <w:lang w:val="en-GB" w:eastAsia="hr-HR"/>
        </w:rPr>
        <w:t>serve several functions:</w:t>
      </w:r>
    </w:p>
    <w:p w14:paraId="42148CDB" w14:textId="035212A3" w:rsidR="00E74B48" w:rsidRPr="00E74B48" w:rsidRDefault="00E74B48" w:rsidP="00E74B48">
      <w:pPr>
        <w:pStyle w:val="ListParagraph"/>
        <w:numPr>
          <w:ilvl w:val="0"/>
          <w:numId w:val="74"/>
        </w:numPr>
        <w:jc w:val="both"/>
        <w:rPr>
          <w:lang w:val="en-GB" w:eastAsia="hr-HR"/>
        </w:rPr>
      </w:pPr>
      <w:r>
        <w:rPr>
          <w:lang w:val="en-GB" w:eastAsia="hr-HR"/>
        </w:rPr>
        <w:t>t</w:t>
      </w:r>
      <w:r w:rsidRPr="00E74B48">
        <w:rPr>
          <w:lang w:val="en-GB" w:eastAsia="hr-HR"/>
        </w:rPr>
        <w:t>racking the operationalization of the Joint Framework</w:t>
      </w:r>
      <w:r>
        <w:rPr>
          <w:lang w:val="en-GB" w:eastAsia="hr-HR"/>
        </w:rPr>
        <w:t xml:space="preserve"> - t</w:t>
      </w:r>
      <w:r w:rsidRPr="00E74B48">
        <w:rPr>
          <w:lang w:val="en-GB" w:eastAsia="hr-HR"/>
        </w:rPr>
        <w:t>his includes monitoring whether the project team produces planned work products, activates coordination mechanisms, delivers guidance materials and applies pilot methodologies in the field</w:t>
      </w:r>
      <w:r>
        <w:rPr>
          <w:lang w:val="en-GB" w:eastAsia="hr-HR"/>
        </w:rPr>
        <w:t>;</w:t>
      </w:r>
      <w:r w:rsidRPr="00E74B48">
        <w:rPr>
          <w:lang w:val="en-GB" w:eastAsia="hr-HR"/>
        </w:rPr>
        <w:t xml:space="preserve"> </w:t>
      </w:r>
      <w:r>
        <w:rPr>
          <w:lang w:val="en-GB" w:eastAsia="hr-HR"/>
        </w:rPr>
        <w:t>i</w:t>
      </w:r>
      <w:r w:rsidRPr="00E74B48">
        <w:rPr>
          <w:lang w:val="en-GB" w:eastAsia="hr-HR"/>
        </w:rPr>
        <w:t xml:space="preserve">ndicators highlight whether activities are being executed as planned during the DIKTAS II project </w:t>
      </w:r>
      <w:proofErr w:type="gramStart"/>
      <w:r w:rsidRPr="00E74B48">
        <w:rPr>
          <w:lang w:val="en-GB" w:eastAsia="hr-HR"/>
        </w:rPr>
        <w:t>period</w:t>
      </w:r>
      <w:r>
        <w:rPr>
          <w:lang w:val="en-GB" w:eastAsia="hr-HR"/>
        </w:rPr>
        <w:t>;</w:t>
      </w:r>
      <w:proofErr w:type="gramEnd"/>
    </w:p>
    <w:p w14:paraId="296C9410" w14:textId="5A44966C" w:rsidR="00E74B48" w:rsidRPr="00E74B48" w:rsidRDefault="00E74B48" w:rsidP="00E74B48">
      <w:pPr>
        <w:pStyle w:val="ListParagraph"/>
        <w:numPr>
          <w:ilvl w:val="0"/>
          <w:numId w:val="74"/>
        </w:numPr>
        <w:jc w:val="both"/>
        <w:rPr>
          <w:lang w:val="en-GB" w:eastAsia="hr-HR"/>
        </w:rPr>
      </w:pPr>
      <w:r>
        <w:rPr>
          <w:lang w:val="en-GB" w:eastAsia="hr-HR"/>
        </w:rPr>
        <w:t>m</w:t>
      </w:r>
      <w:r w:rsidRPr="00E74B48">
        <w:rPr>
          <w:lang w:val="en-GB" w:eastAsia="hr-HR"/>
        </w:rPr>
        <w:t>easuring practical uptake of SPZ</w:t>
      </w:r>
      <w:r w:rsidRPr="00E74B48">
        <w:rPr>
          <w:lang w:val="en-GB" w:eastAsia="hr-HR"/>
        </w:rPr>
        <w:noBreakHyphen/>
        <w:t>related actions</w:t>
      </w:r>
      <w:r>
        <w:rPr>
          <w:lang w:val="en-GB" w:eastAsia="hr-HR"/>
        </w:rPr>
        <w:t xml:space="preserve"> -</w:t>
      </w:r>
      <w:r w:rsidRPr="00E74B48">
        <w:rPr>
          <w:lang w:val="en-GB" w:eastAsia="hr-HR"/>
        </w:rPr>
        <w:t xml:space="preserve"> indicators focus on real</w:t>
      </w:r>
      <w:r w:rsidRPr="00E74B48">
        <w:rPr>
          <w:lang w:val="en-GB" w:eastAsia="hr-HR"/>
        </w:rPr>
        <w:noBreakHyphen/>
        <w:t>world application: event</w:t>
      </w:r>
      <w:r w:rsidRPr="00E74B48">
        <w:rPr>
          <w:lang w:val="en-GB" w:eastAsia="hr-HR"/>
        </w:rPr>
        <w:noBreakHyphen/>
        <w:t>based sampling, data exchange timeliness, joint interpretation of results, and early steps towards harmonized operational procedures</w:t>
      </w:r>
      <w:r>
        <w:rPr>
          <w:lang w:val="en-GB" w:eastAsia="hr-HR"/>
        </w:rPr>
        <w:t xml:space="preserve"> - </w:t>
      </w:r>
      <w:r w:rsidRPr="00E74B48">
        <w:rPr>
          <w:lang w:val="en-GB" w:eastAsia="hr-HR"/>
        </w:rPr>
        <w:t xml:space="preserve">always within existing national legal </w:t>
      </w:r>
      <w:proofErr w:type="gramStart"/>
      <w:r w:rsidRPr="00E74B48">
        <w:rPr>
          <w:lang w:val="en-GB" w:eastAsia="hr-HR"/>
        </w:rPr>
        <w:t>frameworks</w:t>
      </w:r>
      <w:r>
        <w:rPr>
          <w:lang w:val="en-GB" w:eastAsia="hr-HR"/>
        </w:rPr>
        <w:t>;</w:t>
      </w:r>
      <w:proofErr w:type="gramEnd"/>
    </w:p>
    <w:p w14:paraId="4578EFDF" w14:textId="73DCBEFC" w:rsidR="00E74B48" w:rsidRPr="00E74B48" w:rsidRDefault="00E74B48" w:rsidP="00E74B48">
      <w:pPr>
        <w:pStyle w:val="ListParagraph"/>
        <w:numPr>
          <w:ilvl w:val="0"/>
          <w:numId w:val="74"/>
        </w:numPr>
        <w:jc w:val="both"/>
        <w:rPr>
          <w:lang w:val="en-GB" w:eastAsia="hr-HR"/>
        </w:rPr>
      </w:pPr>
      <w:r>
        <w:rPr>
          <w:lang w:val="en-GB" w:eastAsia="hr-HR"/>
        </w:rPr>
        <w:t>a</w:t>
      </w:r>
      <w:r w:rsidRPr="00E74B48">
        <w:rPr>
          <w:lang w:val="en-GB" w:eastAsia="hr-HR"/>
        </w:rPr>
        <w:t>ssessing progress toward a possible bilateral addendum or protocol</w:t>
      </w:r>
      <w:r>
        <w:rPr>
          <w:lang w:val="en-GB" w:eastAsia="hr-HR"/>
        </w:rPr>
        <w:t xml:space="preserve"> - i</w:t>
      </w:r>
      <w:r w:rsidRPr="00E74B48">
        <w:rPr>
          <w:lang w:val="en-GB" w:eastAsia="hr-HR"/>
        </w:rPr>
        <w:t>ndicators capture the preparation of supporting legal</w:t>
      </w:r>
      <w:r w:rsidRPr="00E74B48">
        <w:rPr>
          <w:lang w:val="en-GB" w:eastAsia="hr-HR"/>
        </w:rPr>
        <w:noBreakHyphen/>
        <w:t>technical materials, the degree of institutional engagement, and the readiness of both sides to consider proposals, without implying formal commitments or changes to national SPZ rules.</w:t>
      </w:r>
    </w:p>
    <w:p w14:paraId="090AB1AA" w14:textId="0887B321" w:rsidR="00E74B48" w:rsidRDefault="00E74B48" w:rsidP="00B81AD8">
      <w:pPr>
        <w:jc w:val="both"/>
        <w:rPr>
          <w:rFonts w:eastAsia="Times New Roman" w:cstheme="minorHAnsi"/>
          <w:lang w:val="en-GB" w:eastAsia="hr-HR"/>
        </w:rPr>
      </w:pPr>
      <w:r w:rsidRPr="00E74B48">
        <w:rPr>
          <w:rFonts w:eastAsia="Times New Roman" w:cstheme="minorHAnsi"/>
          <w:lang w:val="en-GB" w:eastAsia="hr-HR"/>
        </w:rPr>
        <w:t>These three dimensions</w:t>
      </w:r>
      <w:r>
        <w:rPr>
          <w:rFonts w:eastAsia="Times New Roman" w:cstheme="minorHAnsi"/>
          <w:lang w:val="en-GB" w:eastAsia="hr-HR"/>
        </w:rPr>
        <w:t xml:space="preserve"> may</w:t>
      </w:r>
      <w:r w:rsidRPr="00E74B48">
        <w:rPr>
          <w:rFonts w:eastAsia="Times New Roman" w:cstheme="minorHAnsi"/>
          <w:lang w:val="en-GB" w:eastAsia="hr-HR"/>
        </w:rPr>
        <w:t xml:space="preserve"> collectively provide a balanced view of progress. They</w:t>
      </w:r>
      <w:r>
        <w:rPr>
          <w:rFonts w:eastAsia="Times New Roman" w:cstheme="minorHAnsi"/>
          <w:lang w:val="en-GB" w:eastAsia="hr-HR"/>
        </w:rPr>
        <w:t xml:space="preserve"> may</w:t>
      </w:r>
      <w:r w:rsidRPr="00E74B48">
        <w:rPr>
          <w:rFonts w:eastAsia="Times New Roman" w:cstheme="minorHAnsi"/>
          <w:lang w:val="en-GB" w:eastAsia="hr-HR"/>
        </w:rPr>
        <w:t xml:space="preserve"> ensure that both technical and institutional aspects are monitored and that cross</w:t>
      </w:r>
      <w:r w:rsidRPr="00E74B48">
        <w:rPr>
          <w:rFonts w:eastAsia="Times New Roman" w:cstheme="minorHAnsi"/>
          <w:lang w:val="en-GB" w:eastAsia="hr-HR"/>
        </w:rPr>
        <w:noBreakHyphen/>
        <w:t>border coordination remains practical and results</w:t>
      </w:r>
      <w:r w:rsidRPr="00E74B48">
        <w:rPr>
          <w:rFonts w:eastAsia="Times New Roman" w:cstheme="minorHAnsi"/>
          <w:lang w:val="en-GB" w:eastAsia="hr-HR"/>
        </w:rPr>
        <w:noBreakHyphen/>
        <w:t>oriented.</w:t>
      </w:r>
    </w:p>
    <w:p w14:paraId="33ED2129" w14:textId="77777777" w:rsidR="00FF5968" w:rsidRDefault="00FF5968" w:rsidP="00E74B48">
      <w:pPr>
        <w:pStyle w:val="Heading2"/>
        <w:rPr>
          <w:rFonts w:eastAsia="Times New Roman"/>
          <w:lang w:val="en-GB" w:eastAsia="hr-HR"/>
        </w:rPr>
      </w:pPr>
    </w:p>
    <w:p w14:paraId="7D8682DB" w14:textId="36B409EA" w:rsidR="00E74B48" w:rsidRPr="00B26173" w:rsidRDefault="00E74B48" w:rsidP="00E74B48">
      <w:pPr>
        <w:pStyle w:val="Heading2"/>
        <w:rPr>
          <w:rFonts w:eastAsia="Times New Roman"/>
          <w:lang w:val="en-GB" w:eastAsia="hr-HR"/>
        </w:rPr>
      </w:pPr>
      <w:bookmarkStart w:id="49" w:name="_Toc225945298"/>
      <w:r w:rsidRPr="00B26173">
        <w:rPr>
          <w:rFonts w:eastAsia="Times New Roman"/>
          <w:lang w:val="en-GB" w:eastAsia="hr-HR"/>
        </w:rPr>
        <w:t>10.2 Verification approach</w:t>
      </w:r>
      <w:bookmarkEnd w:id="49"/>
    </w:p>
    <w:p w14:paraId="5271ADF3" w14:textId="564EA291" w:rsidR="00E74B48" w:rsidRDefault="00E74B48" w:rsidP="00E74B48">
      <w:pPr>
        <w:jc w:val="both"/>
        <w:rPr>
          <w:rFonts w:eastAsia="Times New Roman" w:cstheme="minorHAnsi"/>
          <w:lang w:val="en-GB" w:eastAsia="hr-HR"/>
        </w:rPr>
      </w:pPr>
      <w:r w:rsidRPr="00E74B48">
        <w:rPr>
          <w:rFonts w:eastAsia="Times New Roman" w:cstheme="minorHAnsi"/>
          <w:lang w:val="en-GB" w:eastAsia="hr-HR"/>
        </w:rPr>
        <w:t xml:space="preserve">Verification </w:t>
      </w:r>
      <w:r>
        <w:rPr>
          <w:rFonts w:eastAsia="Times New Roman" w:cstheme="minorHAnsi"/>
          <w:lang w:val="en-GB" w:eastAsia="hr-HR"/>
        </w:rPr>
        <w:t>would</w:t>
      </w:r>
      <w:r w:rsidRPr="00E74B48">
        <w:rPr>
          <w:rFonts w:eastAsia="Times New Roman" w:cstheme="minorHAnsi"/>
          <w:lang w:val="en-GB" w:eastAsia="hr-HR"/>
        </w:rPr>
        <w:t xml:space="preserve"> rely on a limited number of sources:</w:t>
      </w:r>
    </w:p>
    <w:p w14:paraId="41303FAC" w14:textId="77777777" w:rsidR="00E74B48" w:rsidRDefault="00E74B48" w:rsidP="00E74B48">
      <w:pPr>
        <w:pStyle w:val="ListParagraph"/>
        <w:numPr>
          <w:ilvl w:val="0"/>
          <w:numId w:val="75"/>
        </w:numPr>
        <w:rPr>
          <w:lang w:val="en-GB" w:eastAsia="hr-HR"/>
        </w:rPr>
      </w:pPr>
      <w:r w:rsidRPr="00E74B48">
        <w:rPr>
          <w:lang w:val="en-GB" w:eastAsia="hr-HR"/>
        </w:rPr>
        <w:lastRenderedPageBreak/>
        <w:t xml:space="preserve">completed and approved </w:t>
      </w:r>
      <w:proofErr w:type="gramStart"/>
      <w:r w:rsidRPr="00E74B48">
        <w:rPr>
          <w:lang w:val="en-GB" w:eastAsia="hr-HR"/>
        </w:rPr>
        <w:t>documents;</w:t>
      </w:r>
      <w:proofErr w:type="gramEnd"/>
    </w:p>
    <w:p w14:paraId="01F3231C" w14:textId="77777777" w:rsidR="00E74B48" w:rsidRDefault="00E74B48" w:rsidP="00E74B48">
      <w:pPr>
        <w:pStyle w:val="ListParagraph"/>
        <w:numPr>
          <w:ilvl w:val="0"/>
          <w:numId w:val="75"/>
        </w:numPr>
        <w:rPr>
          <w:lang w:val="en-GB" w:eastAsia="hr-HR"/>
        </w:rPr>
      </w:pPr>
      <w:r w:rsidRPr="00E74B48">
        <w:rPr>
          <w:lang w:val="en-GB" w:eastAsia="hr-HR"/>
        </w:rPr>
        <w:t xml:space="preserve">records of pilot activities and joint </w:t>
      </w:r>
      <w:proofErr w:type="gramStart"/>
      <w:r w:rsidRPr="00E74B48">
        <w:rPr>
          <w:lang w:val="en-GB" w:eastAsia="hr-HR"/>
        </w:rPr>
        <w:t>fieldwork;</w:t>
      </w:r>
      <w:proofErr w:type="gramEnd"/>
    </w:p>
    <w:p w14:paraId="1200927C" w14:textId="77777777" w:rsidR="00E74B48" w:rsidRDefault="00E74B48" w:rsidP="00E74B48">
      <w:pPr>
        <w:pStyle w:val="ListParagraph"/>
        <w:numPr>
          <w:ilvl w:val="0"/>
          <w:numId w:val="75"/>
        </w:numPr>
        <w:rPr>
          <w:lang w:val="en-GB" w:eastAsia="hr-HR"/>
        </w:rPr>
      </w:pPr>
      <w:r w:rsidRPr="00E74B48">
        <w:rPr>
          <w:lang w:val="en-GB" w:eastAsia="hr-HR"/>
        </w:rPr>
        <w:t>data</w:t>
      </w:r>
      <w:r w:rsidRPr="00E74B48">
        <w:rPr>
          <w:lang w:val="en-GB" w:eastAsia="hr-HR"/>
        </w:rPr>
        <w:noBreakHyphen/>
        <w:t xml:space="preserve">exchange logs and monitoring </w:t>
      </w:r>
      <w:proofErr w:type="gramStart"/>
      <w:r w:rsidRPr="00E74B48">
        <w:rPr>
          <w:lang w:val="en-GB" w:eastAsia="hr-HR"/>
        </w:rPr>
        <w:t>outputs;</w:t>
      </w:r>
      <w:proofErr w:type="gramEnd"/>
    </w:p>
    <w:p w14:paraId="6C8B03F4" w14:textId="77777777" w:rsidR="00E74B48" w:rsidRDefault="00E74B48" w:rsidP="00E74B48">
      <w:pPr>
        <w:pStyle w:val="ListParagraph"/>
        <w:numPr>
          <w:ilvl w:val="0"/>
          <w:numId w:val="75"/>
        </w:numPr>
        <w:rPr>
          <w:lang w:val="en-GB" w:eastAsia="hr-HR"/>
        </w:rPr>
      </w:pPr>
      <w:r w:rsidRPr="00E74B48">
        <w:rPr>
          <w:lang w:val="en-GB" w:eastAsia="hr-HR"/>
        </w:rPr>
        <w:t xml:space="preserve">meeting notes, communication records and jointly issued </w:t>
      </w:r>
      <w:proofErr w:type="gramStart"/>
      <w:r w:rsidRPr="00E74B48">
        <w:rPr>
          <w:lang w:val="en-GB" w:eastAsia="hr-HR"/>
        </w:rPr>
        <w:t>summaries;</w:t>
      </w:r>
      <w:proofErr w:type="gramEnd"/>
    </w:p>
    <w:p w14:paraId="5AD6E46A" w14:textId="77777777" w:rsidR="00E74B48" w:rsidRDefault="00E74B48" w:rsidP="00E74B48">
      <w:pPr>
        <w:pStyle w:val="ListParagraph"/>
        <w:numPr>
          <w:ilvl w:val="0"/>
          <w:numId w:val="75"/>
        </w:numPr>
        <w:rPr>
          <w:lang w:val="en-GB" w:eastAsia="hr-HR"/>
        </w:rPr>
      </w:pPr>
      <w:r w:rsidRPr="00E74B48">
        <w:rPr>
          <w:lang w:val="en-GB" w:eastAsia="hr-HR"/>
        </w:rPr>
        <w:t>internal DIKTAS II project documentation and annual progress reports.</w:t>
      </w:r>
    </w:p>
    <w:p w14:paraId="231A61A0" w14:textId="6E55CECA" w:rsidR="00E74B48" w:rsidRPr="00E74B48" w:rsidRDefault="00E74B48" w:rsidP="00E74B48">
      <w:pPr>
        <w:jc w:val="both"/>
        <w:rPr>
          <w:lang w:val="en-GB" w:eastAsia="hr-HR"/>
        </w:rPr>
      </w:pPr>
      <w:r w:rsidRPr="00E74B48">
        <w:rPr>
          <w:rFonts w:eastAsia="Times New Roman" w:cstheme="minorHAnsi"/>
          <w:lang w:val="en-GB" w:eastAsia="hr-HR"/>
        </w:rPr>
        <w:t>Verification checks are intentionally simple</w:t>
      </w:r>
      <w:r>
        <w:rPr>
          <w:rFonts w:eastAsia="Times New Roman" w:cstheme="minorHAnsi"/>
          <w:lang w:val="en-GB" w:eastAsia="hr-HR"/>
        </w:rPr>
        <w:t xml:space="preserve">, </w:t>
      </w:r>
      <w:r w:rsidRPr="00E74B48">
        <w:rPr>
          <w:rFonts w:eastAsia="Times New Roman" w:cstheme="minorHAnsi"/>
          <w:lang w:val="en-GB" w:eastAsia="hr-HR"/>
        </w:rPr>
        <w:t>e.g., “dataset shared within agreed timeframe”, “guidance note published”, or “joint note issued”</w:t>
      </w:r>
      <w:r>
        <w:rPr>
          <w:rFonts w:eastAsia="Times New Roman" w:cstheme="minorHAnsi"/>
          <w:lang w:val="en-GB" w:eastAsia="hr-HR"/>
        </w:rPr>
        <w:t xml:space="preserve">, </w:t>
      </w:r>
      <w:r w:rsidRPr="00E74B48">
        <w:rPr>
          <w:rFonts w:eastAsia="Times New Roman" w:cstheme="minorHAnsi"/>
          <w:lang w:val="en-GB" w:eastAsia="hr-HR"/>
        </w:rPr>
        <w:t xml:space="preserve">ensuring that progress can be </w:t>
      </w:r>
      <w:r w:rsidR="005A4488">
        <w:rPr>
          <w:rFonts w:eastAsia="Times New Roman" w:cstheme="minorHAnsi"/>
          <w:lang w:val="en-GB" w:eastAsia="hr-HR"/>
        </w:rPr>
        <w:t xml:space="preserve">easily </w:t>
      </w:r>
      <w:r w:rsidRPr="00E74B48">
        <w:rPr>
          <w:rFonts w:eastAsia="Times New Roman" w:cstheme="minorHAnsi"/>
          <w:lang w:val="en-GB" w:eastAsia="hr-HR"/>
        </w:rPr>
        <w:t>tracked</w:t>
      </w:r>
      <w:r w:rsidR="005A4488">
        <w:rPr>
          <w:rFonts w:eastAsia="Times New Roman" w:cstheme="minorHAnsi"/>
          <w:lang w:val="en-GB" w:eastAsia="hr-HR"/>
        </w:rPr>
        <w:t xml:space="preserve"> (Table 5)</w:t>
      </w:r>
      <w:r w:rsidRPr="00E74B48">
        <w:rPr>
          <w:rFonts w:eastAsia="Times New Roman" w:cstheme="minorHAnsi"/>
          <w:lang w:val="en-GB" w:eastAsia="hr-HR"/>
        </w:rPr>
        <w:t>.</w:t>
      </w:r>
    </w:p>
    <w:p w14:paraId="461FFB4F" w14:textId="4B8391AD" w:rsidR="00E74B48" w:rsidRPr="00E74B48" w:rsidRDefault="00E74B48" w:rsidP="00E74B48">
      <w:pPr>
        <w:jc w:val="both"/>
        <w:rPr>
          <w:rFonts w:eastAsia="Times New Roman" w:cstheme="minorHAnsi"/>
          <w:lang w:val="en-GB" w:eastAsia="hr-HR"/>
        </w:rPr>
      </w:pPr>
      <w:r w:rsidRPr="00E74B48">
        <w:rPr>
          <w:rFonts w:eastAsia="Times New Roman" w:cstheme="minorHAnsi"/>
          <w:lang w:val="en-GB" w:eastAsia="hr-HR"/>
        </w:rPr>
        <w:t xml:space="preserve">Annual reviews </w:t>
      </w:r>
      <w:r w:rsidR="005A4488">
        <w:rPr>
          <w:rFonts w:eastAsia="Times New Roman" w:cstheme="minorHAnsi"/>
          <w:lang w:val="en-GB" w:eastAsia="hr-HR"/>
        </w:rPr>
        <w:t>would</w:t>
      </w:r>
      <w:r w:rsidRPr="00E74B48">
        <w:rPr>
          <w:rFonts w:eastAsia="Times New Roman" w:cstheme="minorHAnsi"/>
          <w:lang w:val="en-GB" w:eastAsia="hr-HR"/>
        </w:rPr>
        <w:t xml:space="preserve"> consolidate indicator performance and </w:t>
      </w:r>
      <w:r w:rsidR="005A4488">
        <w:rPr>
          <w:rFonts w:eastAsia="Times New Roman" w:cstheme="minorHAnsi"/>
          <w:lang w:val="en-GB" w:eastAsia="hr-HR"/>
        </w:rPr>
        <w:t>would</w:t>
      </w:r>
      <w:r w:rsidRPr="00E74B48">
        <w:rPr>
          <w:rFonts w:eastAsia="Times New Roman" w:cstheme="minorHAnsi"/>
          <w:lang w:val="en-GB" w:eastAsia="hr-HR"/>
        </w:rPr>
        <w:t xml:space="preserve"> provide an opportunity to adjust implementation steps, ensuring that Output 2.2 remains on track throughout DIKTAS II implementation.</w:t>
      </w:r>
    </w:p>
    <w:p w14:paraId="03C7F216" w14:textId="2A751E7A" w:rsidR="005A4488" w:rsidRPr="00336FA1" w:rsidRDefault="00336FA1" w:rsidP="00336FA1">
      <w:pPr>
        <w:pStyle w:val="Caption"/>
        <w:rPr>
          <w:rFonts w:ascii="Calibri" w:hAnsi="Calibri" w:cs="Calibri"/>
          <w:i w:val="0"/>
          <w:iCs w:val="0"/>
          <w:szCs w:val="20"/>
          <w:lang w:val="en-GB"/>
        </w:rPr>
      </w:pPr>
      <w:bookmarkStart w:id="50" w:name="_Toc225943510"/>
      <w:r w:rsidRPr="00336FA1">
        <w:rPr>
          <w:lang w:val="en-GB"/>
        </w:rPr>
        <w:t xml:space="preserve">Table </w:t>
      </w:r>
      <w:r w:rsidRPr="00336FA1">
        <w:rPr>
          <w:lang w:val="en-GB"/>
        </w:rPr>
        <w:fldChar w:fldCharType="begin"/>
      </w:r>
      <w:r w:rsidRPr="00336FA1">
        <w:rPr>
          <w:lang w:val="en-GB"/>
        </w:rPr>
        <w:instrText xml:space="preserve"> SEQ Table \* ARABIC </w:instrText>
      </w:r>
      <w:r w:rsidRPr="00336FA1">
        <w:rPr>
          <w:lang w:val="en-GB"/>
        </w:rPr>
        <w:fldChar w:fldCharType="separate"/>
      </w:r>
      <w:r w:rsidRPr="00336FA1">
        <w:rPr>
          <w:noProof/>
          <w:lang w:val="en-GB"/>
        </w:rPr>
        <w:t>5</w:t>
      </w:r>
      <w:r w:rsidRPr="00336FA1">
        <w:rPr>
          <w:lang w:val="en-GB"/>
        </w:rPr>
        <w:fldChar w:fldCharType="end"/>
      </w:r>
      <w:r w:rsidRPr="00336FA1">
        <w:rPr>
          <w:lang w:val="en-GB"/>
        </w:rPr>
        <w:t xml:space="preserve"> Output 2.2 indicator plan: activities, targets and checks</w:t>
      </w:r>
      <w:bookmarkEnd w:id="50"/>
    </w:p>
    <w:tbl>
      <w:tblPr>
        <w:tblStyle w:val="Reetkatablice1"/>
        <w:tblW w:w="9072" w:type="dxa"/>
        <w:tblInd w:w="-23" w:type="dxa"/>
        <w:tblLayout w:type="fixed"/>
        <w:tblLook w:val="04A0" w:firstRow="1" w:lastRow="0" w:firstColumn="1" w:lastColumn="0" w:noHBand="0" w:noVBand="1"/>
      </w:tblPr>
      <w:tblGrid>
        <w:gridCol w:w="2268"/>
        <w:gridCol w:w="2268"/>
        <w:gridCol w:w="2268"/>
        <w:gridCol w:w="2268"/>
      </w:tblGrid>
      <w:tr w:rsidR="0019774C" w:rsidRPr="00521410" w14:paraId="32615802" w14:textId="77777777" w:rsidTr="0019774C">
        <w:trPr>
          <w:tblHeader/>
        </w:trPr>
        <w:tc>
          <w:tcPr>
            <w:tcW w:w="2268" w:type="dxa"/>
            <w:shd w:val="clear" w:color="auto" w:fill="D9E2F3" w:themeFill="accent1" w:themeFillTint="33"/>
            <w:vAlign w:val="center"/>
          </w:tcPr>
          <w:p w14:paraId="289EF8D4" w14:textId="7F636323" w:rsidR="0019774C" w:rsidRPr="005A4488" w:rsidRDefault="0019774C" w:rsidP="005A4488">
            <w:pPr>
              <w:jc w:val="center"/>
              <w:rPr>
                <w:rFonts w:ascii="Calibri" w:hAnsi="Calibri" w:cs="Calibri"/>
                <w:b/>
                <w:bCs/>
                <w:sz w:val="16"/>
                <w:szCs w:val="16"/>
                <w:lang w:val="en-GB" w:eastAsia="en-GB"/>
              </w:rPr>
            </w:pPr>
            <w:r w:rsidRPr="005A4488">
              <w:rPr>
                <w:rStyle w:val="Strong"/>
                <w:sz w:val="16"/>
                <w:szCs w:val="16"/>
              </w:rPr>
              <w:t xml:space="preserve">Indicator </w:t>
            </w:r>
          </w:p>
        </w:tc>
        <w:tc>
          <w:tcPr>
            <w:tcW w:w="2268" w:type="dxa"/>
            <w:shd w:val="clear" w:color="auto" w:fill="D9E2F3" w:themeFill="accent1" w:themeFillTint="33"/>
            <w:vAlign w:val="center"/>
          </w:tcPr>
          <w:p w14:paraId="75BCB7C0" w14:textId="2B02DE6D" w:rsidR="0019774C" w:rsidRPr="005A4488" w:rsidRDefault="0019774C" w:rsidP="005A4488">
            <w:pPr>
              <w:jc w:val="center"/>
              <w:rPr>
                <w:rFonts w:ascii="Calibri" w:hAnsi="Calibri" w:cs="Calibri"/>
                <w:b/>
                <w:bCs/>
                <w:sz w:val="16"/>
                <w:szCs w:val="16"/>
                <w:lang w:val="en-GB" w:eastAsia="en-GB"/>
              </w:rPr>
            </w:pPr>
            <w:r w:rsidRPr="005A4488">
              <w:rPr>
                <w:rStyle w:val="Strong"/>
                <w:sz w:val="16"/>
                <w:szCs w:val="16"/>
              </w:rPr>
              <w:t>Relevance to Output 2.2</w:t>
            </w:r>
          </w:p>
        </w:tc>
        <w:tc>
          <w:tcPr>
            <w:tcW w:w="2268" w:type="dxa"/>
            <w:shd w:val="clear" w:color="auto" w:fill="D9E2F3" w:themeFill="accent1" w:themeFillTint="33"/>
            <w:vAlign w:val="center"/>
          </w:tcPr>
          <w:p w14:paraId="63E23FAD" w14:textId="4CAD3452" w:rsidR="0019774C" w:rsidRPr="005A4488" w:rsidRDefault="0019774C" w:rsidP="005A4488">
            <w:pPr>
              <w:jc w:val="center"/>
              <w:rPr>
                <w:rFonts w:ascii="Calibri" w:hAnsi="Calibri" w:cs="Calibri"/>
                <w:b/>
                <w:bCs/>
                <w:sz w:val="16"/>
                <w:szCs w:val="16"/>
                <w:lang w:val="en-GB" w:eastAsia="en-GB"/>
              </w:rPr>
            </w:pPr>
            <w:r w:rsidRPr="005A4488">
              <w:rPr>
                <w:rStyle w:val="Strong"/>
                <w:sz w:val="16"/>
                <w:szCs w:val="16"/>
              </w:rPr>
              <w:t>Baseline / Target (per project year)</w:t>
            </w:r>
          </w:p>
        </w:tc>
        <w:tc>
          <w:tcPr>
            <w:tcW w:w="2268" w:type="dxa"/>
            <w:shd w:val="clear" w:color="auto" w:fill="D9E2F3" w:themeFill="accent1" w:themeFillTint="33"/>
            <w:vAlign w:val="center"/>
          </w:tcPr>
          <w:p w14:paraId="79B1C4A8" w14:textId="0C3F6FA8" w:rsidR="0019774C" w:rsidRPr="005A4488" w:rsidRDefault="0019774C" w:rsidP="005A4488">
            <w:pPr>
              <w:jc w:val="center"/>
              <w:rPr>
                <w:rFonts w:ascii="Calibri" w:hAnsi="Calibri" w:cs="Calibri"/>
                <w:b/>
                <w:bCs/>
                <w:sz w:val="16"/>
                <w:szCs w:val="16"/>
                <w:lang w:val="en-GB" w:eastAsia="en-GB"/>
              </w:rPr>
            </w:pPr>
            <w:r w:rsidRPr="005A4488">
              <w:rPr>
                <w:rStyle w:val="Strong"/>
                <w:sz w:val="16"/>
                <w:szCs w:val="16"/>
              </w:rPr>
              <w:t>Verification check</w:t>
            </w:r>
          </w:p>
        </w:tc>
      </w:tr>
      <w:tr w:rsidR="0019774C" w:rsidRPr="00521410" w14:paraId="56299DA5" w14:textId="77777777" w:rsidTr="0019774C">
        <w:tc>
          <w:tcPr>
            <w:tcW w:w="2268" w:type="dxa"/>
            <w:vAlign w:val="center"/>
          </w:tcPr>
          <w:p w14:paraId="5B7A03AA" w14:textId="145F66E1" w:rsidR="0019774C" w:rsidRPr="0019774C" w:rsidRDefault="0019774C" w:rsidP="0019774C">
            <w:pPr>
              <w:rPr>
                <w:rFonts w:ascii="Calibri" w:hAnsi="Calibri" w:cs="Calibri"/>
                <w:sz w:val="16"/>
                <w:szCs w:val="16"/>
              </w:rPr>
            </w:pPr>
            <w:r w:rsidRPr="0019774C">
              <w:rPr>
                <w:sz w:val="16"/>
                <w:szCs w:val="16"/>
              </w:rPr>
              <w:t xml:space="preserve">Number of joint </w:t>
            </w:r>
            <w:r>
              <w:rPr>
                <w:sz w:val="16"/>
                <w:szCs w:val="16"/>
              </w:rPr>
              <w:t xml:space="preserve">(on-line or on-site) </w:t>
            </w:r>
            <w:r w:rsidRPr="0019774C">
              <w:rPr>
                <w:sz w:val="16"/>
                <w:szCs w:val="16"/>
              </w:rPr>
              <w:t>technical sessions held annually</w:t>
            </w:r>
          </w:p>
        </w:tc>
        <w:tc>
          <w:tcPr>
            <w:tcW w:w="2268" w:type="dxa"/>
            <w:vAlign w:val="center"/>
          </w:tcPr>
          <w:p w14:paraId="72EB80C6" w14:textId="1F087539" w:rsidR="0019774C" w:rsidRPr="0019774C" w:rsidRDefault="0019774C" w:rsidP="0019774C">
            <w:pPr>
              <w:rPr>
                <w:rFonts w:ascii="Calibri" w:hAnsi="Calibri" w:cs="Calibri"/>
                <w:sz w:val="16"/>
                <w:szCs w:val="16"/>
              </w:rPr>
            </w:pPr>
            <w:r w:rsidRPr="0019774C">
              <w:rPr>
                <w:sz w:val="16"/>
                <w:szCs w:val="16"/>
              </w:rPr>
              <w:t>Supports implementation of the Joint Framework and operational coordination</w:t>
            </w:r>
          </w:p>
        </w:tc>
        <w:tc>
          <w:tcPr>
            <w:tcW w:w="2268" w:type="dxa"/>
            <w:vAlign w:val="center"/>
          </w:tcPr>
          <w:p w14:paraId="4FB81AF9" w14:textId="16E463B9" w:rsidR="0019774C" w:rsidRPr="0019774C" w:rsidRDefault="0019774C" w:rsidP="0019774C">
            <w:pPr>
              <w:rPr>
                <w:rFonts w:ascii="Calibri" w:hAnsi="Calibri" w:cs="Calibri"/>
                <w:sz w:val="16"/>
                <w:szCs w:val="16"/>
              </w:rPr>
            </w:pPr>
            <w:r w:rsidRPr="0019774C">
              <w:rPr>
                <w:sz w:val="16"/>
                <w:szCs w:val="16"/>
              </w:rPr>
              <w:t xml:space="preserve">Baseline: none; </w:t>
            </w:r>
            <w:r>
              <w:rPr>
                <w:sz w:val="16"/>
                <w:szCs w:val="16"/>
              </w:rPr>
              <w:t>t</w:t>
            </w:r>
            <w:r w:rsidRPr="0019774C">
              <w:rPr>
                <w:sz w:val="16"/>
                <w:szCs w:val="16"/>
              </w:rPr>
              <w:t>arget: 2</w:t>
            </w:r>
            <w:r>
              <w:rPr>
                <w:sz w:val="16"/>
                <w:szCs w:val="16"/>
              </w:rPr>
              <w:t>-</w:t>
            </w:r>
            <w:r w:rsidRPr="0019774C">
              <w:rPr>
                <w:sz w:val="16"/>
                <w:szCs w:val="16"/>
              </w:rPr>
              <w:t>3 per year</w:t>
            </w:r>
          </w:p>
        </w:tc>
        <w:tc>
          <w:tcPr>
            <w:tcW w:w="2268" w:type="dxa"/>
            <w:vAlign w:val="center"/>
          </w:tcPr>
          <w:p w14:paraId="64EFA3C9" w14:textId="571BCBD5" w:rsidR="0019774C" w:rsidRPr="0019774C" w:rsidRDefault="0019774C" w:rsidP="0019774C">
            <w:pPr>
              <w:rPr>
                <w:rFonts w:ascii="Calibri" w:hAnsi="Calibri" w:cs="Calibri"/>
                <w:sz w:val="16"/>
                <w:szCs w:val="16"/>
              </w:rPr>
            </w:pPr>
            <w:r w:rsidRPr="0019774C">
              <w:rPr>
                <w:sz w:val="16"/>
                <w:szCs w:val="16"/>
              </w:rPr>
              <w:t>Meeting notes</w:t>
            </w:r>
          </w:p>
        </w:tc>
      </w:tr>
      <w:tr w:rsidR="0019774C" w:rsidRPr="00521410" w14:paraId="20FFC3A9" w14:textId="77777777" w:rsidTr="0019774C">
        <w:tc>
          <w:tcPr>
            <w:tcW w:w="2268" w:type="dxa"/>
            <w:vAlign w:val="center"/>
          </w:tcPr>
          <w:p w14:paraId="15919A03" w14:textId="28E9CE1C" w:rsidR="0019774C" w:rsidRPr="0019774C" w:rsidRDefault="0019774C" w:rsidP="0019774C">
            <w:pPr>
              <w:rPr>
                <w:rFonts w:ascii="Calibri" w:hAnsi="Calibri" w:cs="Calibri"/>
                <w:sz w:val="16"/>
                <w:szCs w:val="16"/>
              </w:rPr>
            </w:pPr>
            <w:r w:rsidRPr="0019774C">
              <w:rPr>
                <w:sz w:val="16"/>
                <w:szCs w:val="16"/>
              </w:rPr>
              <w:t>Approval of joint workplan and guidance notes</w:t>
            </w:r>
          </w:p>
        </w:tc>
        <w:tc>
          <w:tcPr>
            <w:tcW w:w="2268" w:type="dxa"/>
            <w:vAlign w:val="center"/>
          </w:tcPr>
          <w:p w14:paraId="0DCE1B1E" w14:textId="2C94BFC5" w:rsidR="0019774C" w:rsidRPr="0019774C" w:rsidRDefault="0019774C" w:rsidP="0019774C">
            <w:pPr>
              <w:rPr>
                <w:rFonts w:ascii="Calibri" w:hAnsi="Calibri" w:cs="Calibri"/>
                <w:sz w:val="16"/>
                <w:szCs w:val="16"/>
              </w:rPr>
            </w:pPr>
            <w:r w:rsidRPr="0019774C">
              <w:rPr>
                <w:sz w:val="16"/>
                <w:szCs w:val="16"/>
              </w:rPr>
              <w:t>Confirms activation of coordination mechanisms and operational alignment</w:t>
            </w:r>
          </w:p>
        </w:tc>
        <w:tc>
          <w:tcPr>
            <w:tcW w:w="2268" w:type="dxa"/>
            <w:vAlign w:val="center"/>
          </w:tcPr>
          <w:p w14:paraId="36F2FFF4" w14:textId="5B2C71C3" w:rsidR="0019774C" w:rsidRPr="0019774C" w:rsidRDefault="0019774C" w:rsidP="0019774C">
            <w:pPr>
              <w:rPr>
                <w:rFonts w:ascii="Calibri" w:hAnsi="Calibri" w:cs="Calibri"/>
                <w:sz w:val="16"/>
                <w:szCs w:val="16"/>
              </w:rPr>
            </w:pPr>
            <w:r w:rsidRPr="0019774C">
              <w:rPr>
                <w:sz w:val="16"/>
                <w:szCs w:val="16"/>
              </w:rPr>
              <w:t xml:space="preserve">Baseline: none; </w:t>
            </w:r>
            <w:r>
              <w:rPr>
                <w:sz w:val="16"/>
                <w:szCs w:val="16"/>
              </w:rPr>
              <w:t>t</w:t>
            </w:r>
            <w:r w:rsidRPr="0019774C">
              <w:rPr>
                <w:sz w:val="16"/>
                <w:szCs w:val="16"/>
              </w:rPr>
              <w:t>arget: documents approved in Year 1</w:t>
            </w:r>
          </w:p>
        </w:tc>
        <w:tc>
          <w:tcPr>
            <w:tcW w:w="2268" w:type="dxa"/>
            <w:vAlign w:val="center"/>
          </w:tcPr>
          <w:p w14:paraId="2351F402" w14:textId="15203033" w:rsidR="0019774C" w:rsidRPr="0019774C" w:rsidRDefault="0019774C" w:rsidP="0019774C">
            <w:pPr>
              <w:rPr>
                <w:rFonts w:ascii="Calibri" w:hAnsi="Calibri" w:cs="Calibri"/>
                <w:sz w:val="16"/>
                <w:szCs w:val="16"/>
              </w:rPr>
            </w:pPr>
            <w:r w:rsidRPr="0019774C">
              <w:rPr>
                <w:sz w:val="16"/>
                <w:szCs w:val="16"/>
              </w:rPr>
              <w:t>Published workplan/guidance</w:t>
            </w:r>
          </w:p>
        </w:tc>
      </w:tr>
      <w:tr w:rsidR="00C53AA5" w:rsidRPr="00521410" w14:paraId="3814AEA0" w14:textId="77777777" w:rsidTr="0019774C">
        <w:tc>
          <w:tcPr>
            <w:tcW w:w="2268" w:type="dxa"/>
            <w:vAlign w:val="center"/>
          </w:tcPr>
          <w:p w14:paraId="0F01E7B0" w14:textId="7763F296" w:rsidR="00C53AA5" w:rsidRPr="00C53AA5" w:rsidRDefault="00C53AA5" w:rsidP="00C53AA5">
            <w:pPr>
              <w:rPr>
                <w:rFonts w:ascii="Calibri" w:hAnsi="Calibri" w:cs="Calibri"/>
                <w:sz w:val="16"/>
                <w:szCs w:val="16"/>
              </w:rPr>
            </w:pPr>
            <w:r w:rsidRPr="00C53AA5">
              <w:rPr>
                <w:sz w:val="16"/>
                <w:szCs w:val="16"/>
              </w:rPr>
              <w:t>Timeliness of data exchange (SPZ</w:t>
            </w:r>
            <w:r w:rsidRPr="00C53AA5">
              <w:rPr>
                <w:sz w:val="16"/>
                <w:szCs w:val="16"/>
              </w:rPr>
              <w:noBreakHyphen/>
              <w:t>related monitoring)</w:t>
            </w:r>
          </w:p>
        </w:tc>
        <w:tc>
          <w:tcPr>
            <w:tcW w:w="2268" w:type="dxa"/>
            <w:vAlign w:val="center"/>
          </w:tcPr>
          <w:p w14:paraId="572214BE" w14:textId="6F35A722" w:rsidR="00C53AA5" w:rsidRPr="00C53AA5" w:rsidRDefault="00C53AA5" w:rsidP="00C53AA5">
            <w:pPr>
              <w:rPr>
                <w:rFonts w:ascii="Calibri" w:hAnsi="Calibri" w:cs="Calibri"/>
                <w:sz w:val="16"/>
                <w:szCs w:val="16"/>
              </w:rPr>
            </w:pPr>
            <w:r w:rsidRPr="00C53AA5">
              <w:rPr>
                <w:sz w:val="16"/>
                <w:szCs w:val="16"/>
              </w:rPr>
              <w:t>Reflects practical implementation of joint monitoring/</w:t>
            </w:r>
            <w:r>
              <w:rPr>
                <w:sz w:val="16"/>
                <w:szCs w:val="16"/>
              </w:rPr>
              <w:t>d</w:t>
            </w:r>
            <w:r w:rsidRPr="00C53AA5">
              <w:rPr>
                <w:sz w:val="16"/>
                <w:szCs w:val="16"/>
              </w:rPr>
              <w:t>ata sharing</w:t>
            </w:r>
          </w:p>
        </w:tc>
        <w:tc>
          <w:tcPr>
            <w:tcW w:w="2268" w:type="dxa"/>
            <w:vAlign w:val="center"/>
          </w:tcPr>
          <w:p w14:paraId="518293A4" w14:textId="2628D657" w:rsidR="00C53AA5" w:rsidRPr="00C53AA5" w:rsidRDefault="00C53AA5" w:rsidP="00C53AA5">
            <w:pPr>
              <w:rPr>
                <w:rFonts w:ascii="Calibri" w:hAnsi="Calibri" w:cs="Calibri"/>
                <w:sz w:val="16"/>
                <w:szCs w:val="16"/>
              </w:rPr>
            </w:pPr>
            <w:r w:rsidRPr="00C53AA5">
              <w:rPr>
                <w:sz w:val="16"/>
                <w:szCs w:val="16"/>
              </w:rPr>
              <w:t xml:space="preserve">Baseline: ad hoc; </w:t>
            </w:r>
            <w:r>
              <w:rPr>
                <w:sz w:val="16"/>
                <w:szCs w:val="16"/>
              </w:rPr>
              <w:t>t</w:t>
            </w:r>
            <w:r w:rsidRPr="00C53AA5">
              <w:rPr>
                <w:sz w:val="16"/>
                <w:szCs w:val="16"/>
              </w:rPr>
              <w:t>arget: datasets shared within agreed timeframe</w:t>
            </w:r>
          </w:p>
        </w:tc>
        <w:tc>
          <w:tcPr>
            <w:tcW w:w="2268" w:type="dxa"/>
            <w:vAlign w:val="center"/>
          </w:tcPr>
          <w:p w14:paraId="1966D385" w14:textId="6F9789AD" w:rsidR="00C53AA5" w:rsidRPr="00C53AA5" w:rsidRDefault="00C53AA5" w:rsidP="00C53AA5">
            <w:pPr>
              <w:rPr>
                <w:rFonts w:ascii="Calibri" w:hAnsi="Calibri" w:cs="Calibri"/>
                <w:sz w:val="16"/>
                <w:szCs w:val="16"/>
              </w:rPr>
            </w:pPr>
            <w:r>
              <w:rPr>
                <w:sz w:val="16"/>
                <w:szCs w:val="16"/>
              </w:rPr>
              <w:t>R</w:t>
            </w:r>
            <w:r w:rsidRPr="00C53AA5">
              <w:rPr>
                <w:sz w:val="16"/>
                <w:szCs w:val="16"/>
              </w:rPr>
              <w:t>ecord of when data were shared</w:t>
            </w:r>
          </w:p>
        </w:tc>
      </w:tr>
      <w:tr w:rsidR="00C53AA5" w:rsidRPr="00521410" w14:paraId="509E9390" w14:textId="77777777" w:rsidTr="0019774C">
        <w:tc>
          <w:tcPr>
            <w:tcW w:w="2268" w:type="dxa"/>
            <w:vAlign w:val="center"/>
          </w:tcPr>
          <w:p w14:paraId="0C7C0D30" w14:textId="5A75F099" w:rsidR="00C53AA5" w:rsidRPr="00C53AA5" w:rsidRDefault="00C53AA5" w:rsidP="00C53AA5">
            <w:pPr>
              <w:rPr>
                <w:rFonts w:ascii="Calibri" w:hAnsi="Calibri" w:cs="Calibri"/>
                <w:sz w:val="16"/>
                <w:szCs w:val="16"/>
              </w:rPr>
            </w:pPr>
            <w:r w:rsidRPr="00C53AA5">
              <w:rPr>
                <w:sz w:val="16"/>
                <w:szCs w:val="16"/>
              </w:rPr>
              <w:t>Coverage of event</w:t>
            </w:r>
            <w:r w:rsidRPr="00C53AA5">
              <w:rPr>
                <w:sz w:val="16"/>
                <w:szCs w:val="16"/>
              </w:rPr>
              <w:noBreakHyphen/>
              <w:t xml:space="preserve">based sampling at </w:t>
            </w:r>
            <w:r>
              <w:rPr>
                <w:sz w:val="16"/>
                <w:szCs w:val="16"/>
              </w:rPr>
              <w:t xml:space="preserve">Una TBA </w:t>
            </w:r>
            <w:r w:rsidRPr="00C53AA5">
              <w:rPr>
                <w:sz w:val="16"/>
                <w:szCs w:val="16"/>
              </w:rPr>
              <w:t>springs</w:t>
            </w:r>
          </w:p>
        </w:tc>
        <w:tc>
          <w:tcPr>
            <w:tcW w:w="2268" w:type="dxa"/>
            <w:vAlign w:val="center"/>
          </w:tcPr>
          <w:p w14:paraId="0E12B4D8" w14:textId="7F0EA0A0" w:rsidR="00C53AA5" w:rsidRPr="00C53AA5" w:rsidRDefault="00C53AA5" w:rsidP="00C53AA5">
            <w:pPr>
              <w:rPr>
                <w:rFonts w:ascii="Calibri" w:hAnsi="Calibri" w:cs="Calibri"/>
                <w:sz w:val="16"/>
                <w:szCs w:val="16"/>
              </w:rPr>
            </w:pPr>
            <w:r w:rsidRPr="00C53AA5">
              <w:rPr>
                <w:sz w:val="16"/>
                <w:szCs w:val="16"/>
              </w:rPr>
              <w:t>Shows progress of technical work</w:t>
            </w:r>
          </w:p>
        </w:tc>
        <w:tc>
          <w:tcPr>
            <w:tcW w:w="2268" w:type="dxa"/>
            <w:vAlign w:val="center"/>
          </w:tcPr>
          <w:p w14:paraId="7EB0841A" w14:textId="6148D0D1" w:rsidR="00C53AA5" w:rsidRPr="00C53AA5" w:rsidRDefault="00C53AA5" w:rsidP="00C53AA5">
            <w:pPr>
              <w:rPr>
                <w:rFonts w:ascii="Calibri" w:hAnsi="Calibri" w:cs="Calibri"/>
                <w:sz w:val="16"/>
                <w:szCs w:val="16"/>
              </w:rPr>
            </w:pPr>
            <w:r w:rsidRPr="00C53AA5">
              <w:rPr>
                <w:sz w:val="16"/>
                <w:szCs w:val="16"/>
              </w:rPr>
              <w:t xml:space="preserve">Baseline: limited; </w:t>
            </w:r>
            <w:r>
              <w:rPr>
                <w:sz w:val="16"/>
                <w:szCs w:val="16"/>
              </w:rPr>
              <w:t>t</w:t>
            </w:r>
            <w:r w:rsidRPr="00C53AA5">
              <w:rPr>
                <w:sz w:val="16"/>
                <w:szCs w:val="16"/>
              </w:rPr>
              <w:t>arget: event</w:t>
            </w:r>
            <w:r w:rsidRPr="00C53AA5">
              <w:rPr>
                <w:sz w:val="16"/>
                <w:szCs w:val="16"/>
              </w:rPr>
              <w:noBreakHyphen/>
              <w:t>based sampling active at priority springs by Year 2</w:t>
            </w:r>
          </w:p>
        </w:tc>
        <w:tc>
          <w:tcPr>
            <w:tcW w:w="2268" w:type="dxa"/>
            <w:vAlign w:val="center"/>
          </w:tcPr>
          <w:p w14:paraId="54C8DE24" w14:textId="5B7CE33A" w:rsidR="00C53AA5" w:rsidRPr="00C53AA5" w:rsidRDefault="00C53AA5" w:rsidP="00C53AA5">
            <w:pPr>
              <w:rPr>
                <w:rFonts w:ascii="Calibri" w:hAnsi="Calibri" w:cs="Calibri"/>
                <w:sz w:val="16"/>
                <w:szCs w:val="16"/>
              </w:rPr>
            </w:pPr>
            <w:r w:rsidRPr="00C53AA5">
              <w:rPr>
                <w:sz w:val="16"/>
                <w:szCs w:val="16"/>
              </w:rPr>
              <w:t>Joint monitoring summary</w:t>
            </w:r>
          </w:p>
        </w:tc>
      </w:tr>
      <w:tr w:rsidR="00C53AA5" w:rsidRPr="00521410" w14:paraId="362169B3" w14:textId="77777777" w:rsidTr="0019774C">
        <w:tc>
          <w:tcPr>
            <w:tcW w:w="2268" w:type="dxa"/>
            <w:vAlign w:val="center"/>
          </w:tcPr>
          <w:p w14:paraId="6E8FE170" w14:textId="377A70E3" w:rsidR="00C53AA5" w:rsidRPr="00C53AA5" w:rsidRDefault="00C53AA5" w:rsidP="00C53AA5">
            <w:pPr>
              <w:rPr>
                <w:rFonts w:ascii="Calibri" w:hAnsi="Calibri" w:cs="Calibri"/>
                <w:sz w:val="16"/>
                <w:szCs w:val="16"/>
                <w:lang w:val="en-GB" w:eastAsia="en-GB"/>
              </w:rPr>
            </w:pPr>
            <w:r w:rsidRPr="00C53AA5">
              <w:rPr>
                <w:sz w:val="16"/>
                <w:szCs w:val="16"/>
              </w:rPr>
              <w:t>Joint SPZ operations report issued</w:t>
            </w:r>
          </w:p>
        </w:tc>
        <w:tc>
          <w:tcPr>
            <w:tcW w:w="2268" w:type="dxa"/>
            <w:vAlign w:val="center"/>
          </w:tcPr>
          <w:p w14:paraId="20C875A2" w14:textId="157B4D14" w:rsidR="00C53AA5" w:rsidRPr="00C53AA5" w:rsidRDefault="00C53AA5" w:rsidP="00C53AA5">
            <w:pPr>
              <w:rPr>
                <w:rFonts w:ascii="Calibri" w:hAnsi="Calibri" w:cs="Calibri"/>
                <w:sz w:val="16"/>
                <w:szCs w:val="16"/>
                <w:lang w:val="en-GB" w:eastAsia="en-GB"/>
              </w:rPr>
            </w:pPr>
            <w:r w:rsidRPr="00C53AA5">
              <w:rPr>
                <w:sz w:val="16"/>
                <w:szCs w:val="16"/>
              </w:rPr>
              <w:t>Shows jointly interpreted SPZ</w:t>
            </w:r>
            <w:r w:rsidRPr="00C53AA5">
              <w:rPr>
                <w:rFonts w:ascii="Cambria Math" w:hAnsi="Cambria Math" w:cs="Cambria Math"/>
                <w:sz w:val="16"/>
                <w:szCs w:val="16"/>
              </w:rPr>
              <w:t>‑</w:t>
            </w:r>
            <w:r w:rsidRPr="00C53AA5">
              <w:rPr>
                <w:sz w:val="16"/>
                <w:szCs w:val="16"/>
              </w:rPr>
              <w:t>related results</w:t>
            </w:r>
          </w:p>
        </w:tc>
        <w:tc>
          <w:tcPr>
            <w:tcW w:w="2268" w:type="dxa"/>
            <w:vAlign w:val="center"/>
          </w:tcPr>
          <w:p w14:paraId="455589B7" w14:textId="0E31AA74" w:rsidR="00C53AA5" w:rsidRPr="00C53AA5" w:rsidRDefault="00C53AA5" w:rsidP="00C53AA5">
            <w:pPr>
              <w:rPr>
                <w:rFonts w:ascii="Calibri" w:hAnsi="Calibri" w:cs="Calibri"/>
                <w:sz w:val="16"/>
                <w:szCs w:val="16"/>
                <w:lang w:val="en-GB" w:eastAsia="en-GB"/>
              </w:rPr>
            </w:pPr>
            <w:r w:rsidRPr="00C53AA5">
              <w:rPr>
                <w:sz w:val="16"/>
                <w:szCs w:val="16"/>
              </w:rPr>
              <w:t xml:space="preserve">Baseline: none; </w:t>
            </w:r>
            <w:r>
              <w:rPr>
                <w:sz w:val="16"/>
                <w:szCs w:val="16"/>
              </w:rPr>
              <w:t>t</w:t>
            </w:r>
            <w:r w:rsidRPr="00C53AA5">
              <w:rPr>
                <w:sz w:val="16"/>
                <w:szCs w:val="16"/>
              </w:rPr>
              <w:t>arget: one report in Year 2</w:t>
            </w:r>
          </w:p>
        </w:tc>
        <w:tc>
          <w:tcPr>
            <w:tcW w:w="2268" w:type="dxa"/>
            <w:vAlign w:val="center"/>
          </w:tcPr>
          <w:p w14:paraId="7D90FE5A" w14:textId="372ABCE4" w:rsidR="00C53AA5" w:rsidRPr="00C53AA5" w:rsidRDefault="00C53AA5" w:rsidP="00C53AA5">
            <w:pPr>
              <w:rPr>
                <w:rFonts w:ascii="Calibri" w:hAnsi="Calibri" w:cs="Calibri"/>
                <w:sz w:val="16"/>
                <w:szCs w:val="16"/>
                <w:lang w:val="en-GB" w:eastAsia="en-GB"/>
              </w:rPr>
            </w:pPr>
            <w:r w:rsidRPr="00C53AA5">
              <w:rPr>
                <w:sz w:val="16"/>
                <w:szCs w:val="16"/>
              </w:rPr>
              <w:t>Published joint note</w:t>
            </w:r>
          </w:p>
        </w:tc>
      </w:tr>
      <w:tr w:rsidR="00C53AA5" w:rsidRPr="00521410" w14:paraId="3F9C9E9C" w14:textId="77777777" w:rsidTr="0019774C">
        <w:tc>
          <w:tcPr>
            <w:tcW w:w="2268" w:type="dxa"/>
            <w:vAlign w:val="center"/>
          </w:tcPr>
          <w:p w14:paraId="3AE0C14F" w14:textId="114F844F" w:rsidR="00C53AA5" w:rsidRPr="00C53AA5" w:rsidRDefault="00C53AA5" w:rsidP="00C53AA5">
            <w:pPr>
              <w:rPr>
                <w:rFonts w:ascii="Calibri" w:hAnsi="Calibri" w:cs="Calibri"/>
                <w:sz w:val="16"/>
                <w:szCs w:val="16"/>
                <w:lang w:val="en-GB" w:eastAsia="en-GB"/>
              </w:rPr>
            </w:pPr>
            <w:r w:rsidRPr="00C53AA5">
              <w:rPr>
                <w:sz w:val="16"/>
                <w:szCs w:val="16"/>
              </w:rPr>
              <w:t>Operational use of shared GIS layers (SPZ</w:t>
            </w:r>
            <w:r w:rsidRPr="00C53AA5">
              <w:rPr>
                <w:sz w:val="16"/>
                <w:szCs w:val="16"/>
              </w:rPr>
              <w:noBreakHyphen/>
              <w:t>related)</w:t>
            </w:r>
          </w:p>
        </w:tc>
        <w:tc>
          <w:tcPr>
            <w:tcW w:w="2268" w:type="dxa"/>
            <w:vAlign w:val="center"/>
          </w:tcPr>
          <w:p w14:paraId="5B64BFE6" w14:textId="32937DE0" w:rsidR="00C53AA5" w:rsidRPr="00C53AA5" w:rsidRDefault="00C53AA5" w:rsidP="00C53AA5">
            <w:pPr>
              <w:rPr>
                <w:rFonts w:ascii="Calibri" w:hAnsi="Calibri" w:cs="Calibri"/>
                <w:sz w:val="16"/>
                <w:szCs w:val="16"/>
                <w:lang w:val="en-GB" w:eastAsia="en-GB"/>
              </w:rPr>
            </w:pPr>
            <w:r w:rsidRPr="00C53AA5">
              <w:rPr>
                <w:sz w:val="16"/>
                <w:szCs w:val="16"/>
              </w:rPr>
              <w:t>Tracks practical uptake of shared spatial tools</w:t>
            </w:r>
          </w:p>
        </w:tc>
        <w:tc>
          <w:tcPr>
            <w:tcW w:w="2268" w:type="dxa"/>
            <w:vAlign w:val="center"/>
          </w:tcPr>
          <w:p w14:paraId="4322D058" w14:textId="7A5C2F11" w:rsidR="00C53AA5" w:rsidRPr="00C53AA5" w:rsidRDefault="00C53AA5" w:rsidP="00C53AA5">
            <w:pPr>
              <w:rPr>
                <w:rFonts w:ascii="Calibri" w:hAnsi="Calibri" w:cs="Calibri"/>
                <w:sz w:val="16"/>
                <w:szCs w:val="16"/>
                <w:lang w:val="en-GB" w:eastAsia="en-GB"/>
              </w:rPr>
            </w:pPr>
            <w:r w:rsidRPr="00C53AA5">
              <w:rPr>
                <w:sz w:val="16"/>
                <w:szCs w:val="16"/>
              </w:rPr>
              <w:t xml:space="preserve">Baseline: fragmented; </w:t>
            </w:r>
            <w:r>
              <w:rPr>
                <w:sz w:val="16"/>
                <w:szCs w:val="16"/>
              </w:rPr>
              <w:t>t</w:t>
            </w:r>
            <w:r w:rsidRPr="00C53AA5">
              <w:rPr>
                <w:sz w:val="16"/>
                <w:szCs w:val="16"/>
              </w:rPr>
              <w:t xml:space="preserve">arget: shared layers used in pilot </w:t>
            </w:r>
            <w:r>
              <w:rPr>
                <w:sz w:val="16"/>
                <w:szCs w:val="16"/>
              </w:rPr>
              <w:t>Una TBA</w:t>
            </w:r>
            <w:r w:rsidRPr="00C53AA5">
              <w:rPr>
                <w:sz w:val="16"/>
                <w:szCs w:val="16"/>
              </w:rPr>
              <w:t xml:space="preserve"> by Year 2</w:t>
            </w:r>
          </w:p>
        </w:tc>
        <w:tc>
          <w:tcPr>
            <w:tcW w:w="2268" w:type="dxa"/>
            <w:vAlign w:val="center"/>
          </w:tcPr>
          <w:p w14:paraId="299F8820" w14:textId="3B432FA5" w:rsidR="00C53AA5" w:rsidRPr="00C53AA5" w:rsidRDefault="00C53AA5" w:rsidP="00C53AA5">
            <w:pPr>
              <w:rPr>
                <w:rFonts w:ascii="Calibri" w:hAnsi="Calibri" w:cs="Calibri"/>
                <w:sz w:val="16"/>
                <w:szCs w:val="16"/>
                <w:lang w:val="en-GB" w:eastAsia="en-GB"/>
              </w:rPr>
            </w:pPr>
            <w:r w:rsidRPr="00C53AA5">
              <w:rPr>
                <w:sz w:val="16"/>
                <w:szCs w:val="16"/>
              </w:rPr>
              <w:t>Shared GIS workspace log</w:t>
            </w:r>
          </w:p>
        </w:tc>
      </w:tr>
      <w:tr w:rsidR="00C53AA5" w:rsidRPr="00521410" w14:paraId="611B2772" w14:textId="77777777" w:rsidTr="0019774C">
        <w:tc>
          <w:tcPr>
            <w:tcW w:w="2268" w:type="dxa"/>
            <w:vAlign w:val="center"/>
          </w:tcPr>
          <w:p w14:paraId="767DAFB8" w14:textId="7417F550" w:rsidR="00C53AA5" w:rsidRPr="00C53AA5" w:rsidRDefault="00C53AA5" w:rsidP="00C53AA5">
            <w:pPr>
              <w:rPr>
                <w:rFonts w:ascii="Calibri" w:hAnsi="Calibri" w:cs="Calibri"/>
                <w:sz w:val="16"/>
                <w:szCs w:val="16"/>
                <w:lang w:val="en-GB" w:eastAsia="en-GB"/>
              </w:rPr>
            </w:pPr>
            <w:r w:rsidRPr="00C53AA5">
              <w:rPr>
                <w:sz w:val="16"/>
                <w:szCs w:val="16"/>
              </w:rPr>
              <w:t>Completion of legal</w:t>
            </w:r>
            <w:r w:rsidRPr="00C53AA5">
              <w:rPr>
                <w:sz w:val="16"/>
                <w:szCs w:val="16"/>
              </w:rPr>
              <w:noBreakHyphen/>
              <w:t>technical brief and annex outlines</w:t>
            </w:r>
          </w:p>
        </w:tc>
        <w:tc>
          <w:tcPr>
            <w:tcW w:w="2268" w:type="dxa"/>
            <w:vAlign w:val="center"/>
          </w:tcPr>
          <w:p w14:paraId="4ECB1902" w14:textId="562B0289" w:rsidR="00C53AA5" w:rsidRPr="00C53AA5" w:rsidRDefault="00C53AA5" w:rsidP="00C53AA5">
            <w:pPr>
              <w:rPr>
                <w:rFonts w:ascii="Calibri" w:hAnsi="Calibri" w:cs="Calibri"/>
                <w:sz w:val="16"/>
                <w:szCs w:val="16"/>
                <w:lang w:val="en-GB" w:eastAsia="en-GB"/>
              </w:rPr>
            </w:pPr>
            <w:r w:rsidRPr="00C53AA5">
              <w:rPr>
                <w:sz w:val="16"/>
                <w:szCs w:val="16"/>
              </w:rPr>
              <w:t>Supports preparation for potential addendum/protocol</w:t>
            </w:r>
          </w:p>
        </w:tc>
        <w:tc>
          <w:tcPr>
            <w:tcW w:w="2268" w:type="dxa"/>
            <w:vAlign w:val="center"/>
          </w:tcPr>
          <w:p w14:paraId="608B429B" w14:textId="3E3BBD77" w:rsidR="00C53AA5" w:rsidRPr="00C53AA5" w:rsidRDefault="00C53AA5" w:rsidP="00C53AA5">
            <w:pPr>
              <w:rPr>
                <w:rFonts w:ascii="Calibri" w:hAnsi="Calibri" w:cs="Calibri"/>
                <w:sz w:val="16"/>
                <w:szCs w:val="16"/>
                <w:lang w:val="en-GB" w:eastAsia="en-GB"/>
              </w:rPr>
            </w:pPr>
            <w:r w:rsidRPr="00C53AA5">
              <w:rPr>
                <w:sz w:val="16"/>
                <w:szCs w:val="16"/>
              </w:rPr>
              <w:t xml:space="preserve">Baseline: none; </w:t>
            </w:r>
            <w:r>
              <w:rPr>
                <w:sz w:val="16"/>
                <w:szCs w:val="16"/>
              </w:rPr>
              <w:t>t</w:t>
            </w:r>
            <w:r w:rsidRPr="00C53AA5">
              <w:rPr>
                <w:sz w:val="16"/>
                <w:szCs w:val="16"/>
              </w:rPr>
              <w:t>arget: completed by Year 2</w:t>
            </w:r>
          </w:p>
        </w:tc>
        <w:tc>
          <w:tcPr>
            <w:tcW w:w="2268" w:type="dxa"/>
            <w:vAlign w:val="center"/>
          </w:tcPr>
          <w:p w14:paraId="59872F31" w14:textId="51B7F808" w:rsidR="00C53AA5" w:rsidRPr="00C53AA5" w:rsidRDefault="00C53AA5" w:rsidP="00C53AA5">
            <w:pPr>
              <w:rPr>
                <w:rFonts w:ascii="Calibri" w:hAnsi="Calibri" w:cs="Calibri"/>
                <w:sz w:val="16"/>
                <w:szCs w:val="16"/>
                <w:lang w:val="en-GB" w:eastAsia="en-GB"/>
              </w:rPr>
            </w:pPr>
            <w:r w:rsidRPr="00C53AA5">
              <w:rPr>
                <w:sz w:val="16"/>
                <w:szCs w:val="16"/>
              </w:rPr>
              <w:t>Finalized briefing documents</w:t>
            </w:r>
          </w:p>
        </w:tc>
      </w:tr>
      <w:tr w:rsidR="00C53AA5" w:rsidRPr="00521410" w14:paraId="7FF4E149" w14:textId="77777777" w:rsidTr="0019774C">
        <w:tc>
          <w:tcPr>
            <w:tcW w:w="2268" w:type="dxa"/>
            <w:vAlign w:val="center"/>
          </w:tcPr>
          <w:p w14:paraId="69C537EC" w14:textId="1406D6F3" w:rsidR="00C53AA5" w:rsidRPr="00C53AA5" w:rsidRDefault="00C53AA5" w:rsidP="00C53AA5">
            <w:pPr>
              <w:rPr>
                <w:rFonts w:ascii="Calibri" w:hAnsi="Calibri" w:cs="Calibri"/>
                <w:sz w:val="16"/>
                <w:szCs w:val="16"/>
                <w:lang w:val="en-GB" w:eastAsia="en-GB"/>
              </w:rPr>
            </w:pPr>
            <w:r w:rsidRPr="00C53AA5">
              <w:rPr>
                <w:sz w:val="16"/>
                <w:szCs w:val="16"/>
              </w:rPr>
              <w:t>Drafting of documents for addendum/protocol submission (if agreed)</w:t>
            </w:r>
          </w:p>
        </w:tc>
        <w:tc>
          <w:tcPr>
            <w:tcW w:w="2268" w:type="dxa"/>
            <w:vAlign w:val="center"/>
          </w:tcPr>
          <w:p w14:paraId="4DFF4E12" w14:textId="6570E0EC" w:rsidR="00C53AA5" w:rsidRPr="00C53AA5" w:rsidRDefault="00C53AA5" w:rsidP="00C53AA5">
            <w:pPr>
              <w:rPr>
                <w:rFonts w:ascii="Calibri" w:hAnsi="Calibri" w:cs="Calibri"/>
                <w:sz w:val="16"/>
                <w:szCs w:val="16"/>
                <w:lang w:val="en-GB" w:eastAsia="en-GB"/>
              </w:rPr>
            </w:pPr>
            <w:r w:rsidRPr="00C53AA5">
              <w:rPr>
                <w:sz w:val="16"/>
                <w:szCs w:val="16"/>
              </w:rPr>
              <w:t>Tracks progress on the bilateral pathway</w:t>
            </w:r>
          </w:p>
        </w:tc>
        <w:tc>
          <w:tcPr>
            <w:tcW w:w="2268" w:type="dxa"/>
            <w:vAlign w:val="center"/>
          </w:tcPr>
          <w:p w14:paraId="5662F39C" w14:textId="735698A9" w:rsidR="00C53AA5" w:rsidRPr="00C53AA5" w:rsidRDefault="00C53AA5" w:rsidP="00C53AA5">
            <w:pPr>
              <w:rPr>
                <w:rFonts w:ascii="Calibri" w:hAnsi="Calibri" w:cs="Calibri"/>
                <w:sz w:val="16"/>
                <w:szCs w:val="16"/>
                <w:lang w:val="en-GB" w:eastAsia="en-GB"/>
              </w:rPr>
            </w:pPr>
            <w:r w:rsidRPr="00C53AA5">
              <w:rPr>
                <w:sz w:val="16"/>
                <w:szCs w:val="16"/>
              </w:rPr>
              <w:t xml:space="preserve">Baseline: none; </w:t>
            </w:r>
            <w:r>
              <w:rPr>
                <w:sz w:val="16"/>
                <w:szCs w:val="16"/>
              </w:rPr>
              <w:t>t</w:t>
            </w:r>
            <w:r w:rsidRPr="00C53AA5">
              <w:rPr>
                <w:sz w:val="16"/>
                <w:szCs w:val="16"/>
              </w:rPr>
              <w:t>arget: draft materials ready by Year 3</w:t>
            </w:r>
          </w:p>
        </w:tc>
        <w:tc>
          <w:tcPr>
            <w:tcW w:w="2268" w:type="dxa"/>
            <w:vAlign w:val="center"/>
          </w:tcPr>
          <w:p w14:paraId="2D28972B" w14:textId="40A81EDD" w:rsidR="00C53AA5" w:rsidRPr="00C53AA5" w:rsidRDefault="00C53AA5" w:rsidP="00C53AA5">
            <w:pPr>
              <w:rPr>
                <w:rFonts w:ascii="Calibri" w:hAnsi="Calibri" w:cs="Calibri"/>
                <w:sz w:val="16"/>
                <w:szCs w:val="16"/>
                <w:lang w:val="en-GB" w:eastAsia="en-GB"/>
              </w:rPr>
            </w:pPr>
            <w:r w:rsidRPr="00C53AA5">
              <w:rPr>
                <w:sz w:val="16"/>
                <w:szCs w:val="16"/>
              </w:rPr>
              <w:t>Completed draft</w:t>
            </w:r>
          </w:p>
        </w:tc>
      </w:tr>
      <w:tr w:rsidR="00C53AA5" w:rsidRPr="00521410" w14:paraId="3C0ADC64" w14:textId="77777777" w:rsidTr="0019774C">
        <w:tc>
          <w:tcPr>
            <w:tcW w:w="2268" w:type="dxa"/>
            <w:vAlign w:val="center"/>
          </w:tcPr>
          <w:p w14:paraId="33966891" w14:textId="728ECE6E" w:rsidR="00C53AA5" w:rsidRPr="00C53AA5" w:rsidRDefault="00C53AA5" w:rsidP="00C53AA5">
            <w:pPr>
              <w:rPr>
                <w:sz w:val="16"/>
                <w:szCs w:val="16"/>
              </w:rPr>
            </w:pPr>
            <w:r w:rsidRPr="00C53AA5">
              <w:rPr>
                <w:sz w:val="16"/>
                <w:szCs w:val="16"/>
              </w:rPr>
              <w:t xml:space="preserve">Plan for continued </w:t>
            </w:r>
            <w:r>
              <w:rPr>
                <w:sz w:val="16"/>
                <w:szCs w:val="16"/>
              </w:rPr>
              <w:t>work</w:t>
            </w:r>
            <w:r w:rsidRPr="00C53AA5">
              <w:rPr>
                <w:sz w:val="16"/>
                <w:szCs w:val="16"/>
              </w:rPr>
              <w:t xml:space="preserve"> after DIKTAS II</w:t>
            </w:r>
            <w:r>
              <w:rPr>
                <w:sz w:val="16"/>
                <w:szCs w:val="16"/>
              </w:rPr>
              <w:t xml:space="preserve"> project</w:t>
            </w:r>
          </w:p>
        </w:tc>
        <w:tc>
          <w:tcPr>
            <w:tcW w:w="2268" w:type="dxa"/>
            <w:vAlign w:val="center"/>
          </w:tcPr>
          <w:p w14:paraId="2C36576C" w14:textId="09F0C706" w:rsidR="00C53AA5" w:rsidRPr="00C53AA5" w:rsidRDefault="00C53AA5" w:rsidP="00C53AA5">
            <w:pPr>
              <w:rPr>
                <w:sz w:val="16"/>
                <w:szCs w:val="16"/>
              </w:rPr>
            </w:pPr>
            <w:r w:rsidRPr="00C53AA5">
              <w:rPr>
                <w:sz w:val="16"/>
                <w:szCs w:val="16"/>
              </w:rPr>
              <w:t>Supports transition toward longer</w:t>
            </w:r>
            <w:r w:rsidRPr="00C53AA5">
              <w:rPr>
                <w:sz w:val="16"/>
                <w:szCs w:val="16"/>
              </w:rPr>
              <w:noBreakHyphen/>
              <w:t>term collaboration</w:t>
            </w:r>
          </w:p>
        </w:tc>
        <w:tc>
          <w:tcPr>
            <w:tcW w:w="2268" w:type="dxa"/>
            <w:vAlign w:val="center"/>
          </w:tcPr>
          <w:p w14:paraId="3BC48E6B" w14:textId="6727A9D9" w:rsidR="00C53AA5" w:rsidRPr="00C53AA5" w:rsidRDefault="00C53AA5" w:rsidP="00C53AA5">
            <w:pPr>
              <w:rPr>
                <w:sz w:val="16"/>
                <w:szCs w:val="16"/>
              </w:rPr>
            </w:pPr>
            <w:r w:rsidRPr="00C53AA5">
              <w:rPr>
                <w:sz w:val="16"/>
                <w:szCs w:val="16"/>
              </w:rPr>
              <w:t xml:space="preserve">Baseline: none; </w:t>
            </w:r>
            <w:r>
              <w:rPr>
                <w:sz w:val="16"/>
                <w:szCs w:val="16"/>
              </w:rPr>
              <w:t>t</w:t>
            </w:r>
            <w:r w:rsidRPr="00C53AA5">
              <w:rPr>
                <w:sz w:val="16"/>
                <w:szCs w:val="16"/>
              </w:rPr>
              <w:t xml:space="preserve">arget: plan prepared </w:t>
            </w:r>
            <w:proofErr w:type="gramStart"/>
            <w:r w:rsidRPr="00C53AA5">
              <w:rPr>
                <w:sz w:val="16"/>
                <w:szCs w:val="16"/>
              </w:rPr>
              <w:t>in</w:t>
            </w:r>
            <w:proofErr w:type="gramEnd"/>
            <w:r w:rsidRPr="00C53AA5">
              <w:rPr>
                <w:sz w:val="16"/>
                <w:szCs w:val="16"/>
              </w:rPr>
              <w:t xml:space="preserve"> Year 3</w:t>
            </w:r>
          </w:p>
        </w:tc>
        <w:tc>
          <w:tcPr>
            <w:tcW w:w="2268" w:type="dxa"/>
            <w:vAlign w:val="center"/>
          </w:tcPr>
          <w:p w14:paraId="7E9883F2" w14:textId="004D757B" w:rsidR="00C53AA5" w:rsidRPr="00C53AA5" w:rsidRDefault="00C53AA5" w:rsidP="00C53AA5">
            <w:pPr>
              <w:rPr>
                <w:sz w:val="16"/>
                <w:szCs w:val="16"/>
              </w:rPr>
            </w:pPr>
            <w:r w:rsidRPr="00C53AA5">
              <w:rPr>
                <w:sz w:val="16"/>
                <w:szCs w:val="16"/>
              </w:rPr>
              <w:t>Final plan</w:t>
            </w:r>
          </w:p>
        </w:tc>
      </w:tr>
    </w:tbl>
    <w:p w14:paraId="0807E1B7" w14:textId="77777777" w:rsidR="005A4488" w:rsidRDefault="005A4488" w:rsidP="00E74B48">
      <w:pPr>
        <w:jc w:val="both"/>
        <w:outlineLvl w:val="2"/>
        <w:rPr>
          <w:rFonts w:eastAsia="Times New Roman" w:cstheme="minorHAnsi"/>
          <w:lang w:val="en-GB" w:eastAsia="hr-HR"/>
        </w:rPr>
      </w:pPr>
    </w:p>
    <w:p w14:paraId="187CFDD4" w14:textId="16920BB9" w:rsidR="00E74B48" w:rsidRPr="00B26173" w:rsidRDefault="00E74B48" w:rsidP="00C53AA5">
      <w:pPr>
        <w:pStyle w:val="Heading2"/>
        <w:rPr>
          <w:rFonts w:eastAsia="Times New Roman"/>
          <w:lang w:val="en-GB" w:eastAsia="hr-HR"/>
        </w:rPr>
      </w:pPr>
      <w:bookmarkStart w:id="51" w:name="_Toc225945299"/>
      <w:r w:rsidRPr="00B26173">
        <w:rPr>
          <w:rFonts w:eastAsia="Times New Roman"/>
          <w:lang w:val="en-GB" w:eastAsia="hr-HR"/>
        </w:rPr>
        <w:t>10.</w:t>
      </w:r>
      <w:r w:rsidR="00C53AA5" w:rsidRPr="00B26173">
        <w:rPr>
          <w:rFonts w:eastAsia="Times New Roman"/>
          <w:lang w:val="en-GB" w:eastAsia="hr-HR"/>
        </w:rPr>
        <w:t>3</w:t>
      </w:r>
      <w:r w:rsidRPr="00B26173">
        <w:rPr>
          <w:rFonts w:eastAsia="Times New Roman"/>
          <w:lang w:val="en-GB" w:eastAsia="hr-HR"/>
        </w:rPr>
        <w:t xml:space="preserve"> Use of indicators in project management</w:t>
      </w:r>
      <w:bookmarkEnd w:id="51"/>
    </w:p>
    <w:p w14:paraId="0E2267B7" w14:textId="21CB4173" w:rsidR="00E74B48" w:rsidRPr="00E74B48" w:rsidRDefault="006E3490" w:rsidP="00E74B48">
      <w:pPr>
        <w:jc w:val="both"/>
        <w:rPr>
          <w:rFonts w:eastAsia="Times New Roman" w:cstheme="minorHAnsi"/>
          <w:lang w:val="en-GB" w:eastAsia="hr-HR"/>
        </w:rPr>
      </w:pPr>
      <w:r w:rsidRPr="006E3490">
        <w:rPr>
          <w:rFonts w:eastAsia="Times New Roman" w:cstheme="minorHAnsi"/>
          <w:lang w:val="en-GB" w:eastAsia="hr-HR"/>
        </w:rPr>
        <w:t>The indicator set is designed to support practical decision</w:t>
      </w:r>
      <w:r w:rsidRPr="006E3490">
        <w:rPr>
          <w:rFonts w:ascii="Cambria Math" w:eastAsia="Times New Roman" w:hAnsi="Cambria Math" w:cs="Cambria Math"/>
          <w:lang w:val="en-GB" w:eastAsia="hr-HR"/>
        </w:rPr>
        <w:t>‑</w:t>
      </w:r>
      <w:r w:rsidRPr="006E3490">
        <w:rPr>
          <w:rFonts w:eastAsia="Times New Roman" w:cstheme="minorHAnsi"/>
          <w:lang w:val="en-GB" w:eastAsia="hr-HR"/>
        </w:rPr>
        <w:t>making. It</w:t>
      </w:r>
      <w:r>
        <w:rPr>
          <w:rFonts w:eastAsia="Times New Roman" w:cstheme="minorHAnsi"/>
          <w:lang w:val="en-GB" w:eastAsia="hr-HR"/>
        </w:rPr>
        <w:t xml:space="preserve"> can</w:t>
      </w:r>
      <w:r w:rsidRPr="006E3490">
        <w:rPr>
          <w:rFonts w:eastAsia="Times New Roman" w:cstheme="minorHAnsi"/>
          <w:lang w:val="en-GB" w:eastAsia="hr-HR"/>
        </w:rPr>
        <w:t xml:space="preserve"> help the project team see where additional coordination is needed, where technical work is progressing well, and</w:t>
      </w:r>
      <w:r>
        <w:rPr>
          <w:rFonts w:eastAsia="Times New Roman" w:cstheme="minorHAnsi"/>
          <w:lang w:val="en-GB" w:eastAsia="hr-HR"/>
        </w:rPr>
        <w:t xml:space="preserve"> can</w:t>
      </w:r>
      <w:r w:rsidRPr="006E3490">
        <w:rPr>
          <w:rFonts w:eastAsia="Times New Roman" w:cstheme="minorHAnsi"/>
          <w:lang w:val="en-GB" w:eastAsia="hr-HR"/>
        </w:rPr>
        <w:t xml:space="preserve"> point to areas where legal</w:t>
      </w:r>
      <w:r w:rsidRPr="006E3490">
        <w:rPr>
          <w:rFonts w:ascii="Cambria Math" w:eastAsia="Times New Roman" w:hAnsi="Cambria Math" w:cs="Cambria Math"/>
          <w:lang w:val="en-GB" w:eastAsia="hr-HR"/>
        </w:rPr>
        <w:t>‑</w:t>
      </w:r>
      <w:r w:rsidRPr="006E3490">
        <w:rPr>
          <w:rFonts w:eastAsia="Times New Roman" w:cstheme="minorHAnsi"/>
          <w:lang w:val="en-GB" w:eastAsia="hr-HR"/>
        </w:rPr>
        <w:t xml:space="preserve">technical preparation needs more attention. The indicators </w:t>
      </w:r>
      <w:r>
        <w:rPr>
          <w:rFonts w:eastAsia="Times New Roman" w:cstheme="minorHAnsi"/>
          <w:lang w:val="en-GB" w:eastAsia="hr-HR"/>
        </w:rPr>
        <w:t xml:space="preserve">could </w:t>
      </w:r>
      <w:r w:rsidRPr="006E3490">
        <w:rPr>
          <w:rFonts w:eastAsia="Times New Roman" w:cstheme="minorHAnsi"/>
          <w:lang w:val="en-GB" w:eastAsia="hr-HR"/>
        </w:rPr>
        <w:t xml:space="preserve">also improve transparency by allowing </w:t>
      </w:r>
      <w:r>
        <w:rPr>
          <w:rFonts w:eastAsia="Times New Roman" w:cstheme="minorHAnsi"/>
          <w:lang w:val="en-GB" w:eastAsia="hr-HR"/>
        </w:rPr>
        <w:t>HR and BiH</w:t>
      </w:r>
      <w:r w:rsidRPr="006E3490">
        <w:rPr>
          <w:rFonts w:eastAsia="Times New Roman" w:cstheme="minorHAnsi"/>
          <w:lang w:val="en-GB" w:eastAsia="hr-HR"/>
        </w:rPr>
        <w:t xml:space="preserve"> to follow how joint project commitments are being turned into on</w:t>
      </w:r>
      <w:r w:rsidRPr="006E3490">
        <w:rPr>
          <w:rFonts w:ascii="Cambria Math" w:eastAsia="Times New Roman" w:hAnsi="Cambria Math" w:cs="Cambria Math"/>
          <w:lang w:val="en-GB" w:eastAsia="hr-HR"/>
        </w:rPr>
        <w:t>‑</w:t>
      </w:r>
      <w:r w:rsidRPr="006E3490">
        <w:rPr>
          <w:rFonts w:eastAsia="Times New Roman" w:cstheme="minorHAnsi"/>
          <w:lang w:val="en-GB" w:eastAsia="hr-HR"/>
        </w:rPr>
        <w:t>the</w:t>
      </w:r>
      <w:r w:rsidRPr="006E3490">
        <w:rPr>
          <w:rFonts w:ascii="Cambria Math" w:eastAsia="Times New Roman" w:hAnsi="Cambria Math" w:cs="Cambria Math"/>
          <w:lang w:val="en-GB" w:eastAsia="hr-HR"/>
        </w:rPr>
        <w:t>‑</w:t>
      </w:r>
      <w:r w:rsidRPr="006E3490">
        <w:rPr>
          <w:rFonts w:eastAsia="Times New Roman" w:cstheme="minorHAnsi"/>
          <w:lang w:val="en-GB" w:eastAsia="hr-HR"/>
        </w:rPr>
        <w:t>ground activities, analytical outputs and day</w:t>
      </w:r>
      <w:r w:rsidRPr="006E3490">
        <w:rPr>
          <w:rFonts w:ascii="Cambria Math" w:eastAsia="Times New Roman" w:hAnsi="Cambria Math" w:cs="Cambria Math"/>
          <w:lang w:val="en-GB" w:eastAsia="hr-HR"/>
        </w:rPr>
        <w:t>‑</w:t>
      </w:r>
      <w:r w:rsidRPr="006E3490">
        <w:rPr>
          <w:rFonts w:eastAsia="Times New Roman" w:cstheme="minorHAnsi"/>
          <w:lang w:val="en-GB" w:eastAsia="hr-HR"/>
        </w:rPr>
        <w:t>to</w:t>
      </w:r>
      <w:r w:rsidRPr="006E3490">
        <w:rPr>
          <w:rFonts w:ascii="Cambria Math" w:eastAsia="Times New Roman" w:hAnsi="Cambria Math" w:cs="Cambria Math"/>
          <w:lang w:val="en-GB" w:eastAsia="hr-HR"/>
        </w:rPr>
        <w:t>‑</w:t>
      </w:r>
      <w:r w:rsidRPr="006E3490">
        <w:rPr>
          <w:rFonts w:eastAsia="Times New Roman" w:cstheme="minorHAnsi"/>
          <w:lang w:val="en-GB" w:eastAsia="hr-HR"/>
        </w:rPr>
        <w:t>day operational practices</w:t>
      </w:r>
      <w:r>
        <w:rPr>
          <w:rFonts w:eastAsia="Times New Roman" w:cstheme="minorHAnsi"/>
          <w:lang w:val="en-GB" w:eastAsia="hr-HR"/>
        </w:rPr>
        <w:t>.</w:t>
      </w:r>
    </w:p>
    <w:p w14:paraId="0E88D7A0" w14:textId="01C862D7" w:rsidR="00A87291" w:rsidRPr="0008396B" w:rsidRDefault="00E74B48" w:rsidP="0008396B">
      <w:pPr>
        <w:jc w:val="both"/>
        <w:rPr>
          <w:rFonts w:eastAsia="Times New Roman" w:cstheme="minorHAnsi"/>
          <w:lang w:val="en-GB" w:eastAsia="hr-HR"/>
        </w:rPr>
      </w:pPr>
      <w:r w:rsidRPr="00E74B48">
        <w:rPr>
          <w:rFonts w:eastAsia="Times New Roman" w:cstheme="minorHAnsi"/>
          <w:lang w:val="en-GB" w:eastAsia="hr-HR"/>
        </w:rPr>
        <w:t>Because the indicators are closely tied to the project’s pilot work</w:t>
      </w:r>
      <w:r w:rsidR="006E3490">
        <w:rPr>
          <w:rFonts w:eastAsia="Times New Roman" w:cstheme="minorHAnsi"/>
          <w:lang w:val="en-GB" w:eastAsia="hr-HR"/>
        </w:rPr>
        <w:t xml:space="preserve"> </w:t>
      </w:r>
      <w:r w:rsidRPr="00E74B48">
        <w:rPr>
          <w:rFonts w:eastAsia="Times New Roman" w:cstheme="minorHAnsi"/>
          <w:lang w:val="en-GB" w:eastAsia="hr-HR"/>
        </w:rPr>
        <w:t xml:space="preserve">in the Una </w:t>
      </w:r>
      <w:r w:rsidR="006E3490">
        <w:rPr>
          <w:rFonts w:eastAsia="Times New Roman" w:cstheme="minorHAnsi"/>
          <w:lang w:val="en-GB" w:eastAsia="hr-HR"/>
        </w:rPr>
        <w:t>TBA</w:t>
      </w:r>
      <w:r w:rsidRPr="00E74B48">
        <w:rPr>
          <w:rFonts w:eastAsia="Times New Roman" w:cstheme="minorHAnsi"/>
          <w:lang w:val="en-GB" w:eastAsia="hr-HR"/>
        </w:rPr>
        <w:t>, they will also support the scaling</w:t>
      </w:r>
      <w:r w:rsidRPr="00E74B48">
        <w:rPr>
          <w:rFonts w:eastAsia="Times New Roman" w:cstheme="minorHAnsi"/>
          <w:lang w:val="en-GB" w:eastAsia="hr-HR"/>
        </w:rPr>
        <w:noBreakHyphen/>
        <w:t xml:space="preserve">up of joint approaches. Lessons learned during DIKTAS II </w:t>
      </w:r>
      <w:r w:rsidR="006E3490">
        <w:rPr>
          <w:rFonts w:eastAsia="Times New Roman" w:cstheme="minorHAnsi"/>
          <w:lang w:val="en-GB" w:eastAsia="hr-HR"/>
        </w:rPr>
        <w:t>project would</w:t>
      </w:r>
      <w:r w:rsidRPr="00E74B48">
        <w:rPr>
          <w:rFonts w:eastAsia="Times New Roman" w:cstheme="minorHAnsi"/>
          <w:lang w:val="en-GB" w:eastAsia="hr-HR"/>
        </w:rPr>
        <w:t xml:space="preserve"> inform whether indicators should be expanded, revised or incorporated into longer</w:t>
      </w:r>
      <w:r w:rsidRPr="00E74B48">
        <w:rPr>
          <w:rFonts w:eastAsia="Times New Roman" w:cstheme="minorHAnsi"/>
          <w:lang w:val="en-GB" w:eastAsia="hr-HR"/>
        </w:rPr>
        <w:noBreakHyphen/>
        <w:t>term cooperation arrangements beyond the project.</w:t>
      </w:r>
    </w:p>
    <w:p w14:paraId="0D96D52D" w14:textId="0AAC4968" w:rsidR="00115718" w:rsidRPr="00F54E67" w:rsidRDefault="00F54E67" w:rsidP="00F54E67">
      <w:pPr>
        <w:pStyle w:val="Heading1"/>
        <w:rPr>
          <w:lang w:val="en-GB"/>
        </w:rPr>
      </w:pPr>
      <w:bookmarkStart w:id="52" w:name="_Toc225945300"/>
      <w:r w:rsidRPr="00F54E67">
        <w:rPr>
          <w:lang w:val="en-GB"/>
        </w:rPr>
        <w:lastRenderedPageBreak/>
        <w:t>11</w:t>
      </w:r>
      <w:r w:rsidR="00115718" w:rsidRPr="00F54E67">
        <w:rPr>
          <w:lang w:val="en-GB"/>
        </w:rPr>
        <w:t xml:space="preserve"> </w:t>
      </w:r>
      <w:bookmarkStart w:id="53" w:name="_Hlk218683887"/>
      <w:r w:rsidR="00115718" w:rsidRPr="00F54E67">
        <w:rPr>
          <w:lang w:val="en-GB"/>
        </w:rPr>
        <w:t>References</w:t>
      </w:r>
      <w:bookmarkEnd w:id="8"/>
      <w:bookmarkEnd w:id="52"/>
      <w:r w:rsidR="00115718" w:rsidRPr="00F54E67">
        <w:rPr>
          <w:lang w:val="en-GB"/>
        </w:rPr>
        <w:t xml:space="preserve"> </w:t>
      </w:r>
      <w:bookmarkEnd w:id="53"/>
    </w:p>
    <w:p w14:paraId="70FD323D" w14:textId="2B8C77D9" w:rsidR="002E11BE" w:rsidRPr="00EC3F16" w:rsidRDefault="00F54E67" w:rsidP="00F54E67">
      <w:pPr>
        <w:pStyle w:val="Heading2"/>
        <w:rPr>
          <w:rFonts w:eastAsia="Calibri"/>
          <w:lang w:val="en-GB"/>
        </w:rPr>
      </w:pPr>
      <w:bookmarkStart w:id="54" w:name="_Toc225945301"/>
      <w:bookmarkStart w:id="55" w:name="_Hlk218509080"/>
      <w:r w:rsidRPr="00EC3F16">
        <w:rPr>
          <w:rFonts w:eastAsia="Calibri"/>
          <w:lang w:val="en-GB"/>
        </w:rPr>
        <w:t>11.1</w:t>
      </w:r>
      <w:r w:rsidR="002E11BE" w:rsidRPr="00EC3F16">
        <w:rPr>
          <w:rFonts w:eastAsia="Calibri"/>
          <w:lang w:val="en-GB"/>
        </w:rPr>
        <w:t xml:space="preserve"> Policy, </w:t>
      </w:r>
      <w:r w:rsidR="009A49C6" w:rsidRPr="00EC3F16">
        <w:rPr>
          <w:rFonts w:eastAsia="Calibri"/>
          <w:lang w:val="en-GB"/>
        </w:rPr>
        <w:t>l</w:t>
      </w:r>
      <w:r w:rsidR="002E11BE" w:rsidRPr="00EC3F16">
        <w:rPr>
          <w:rFonts w:eastAsia="Calibri"/>
          <w:lang w:val="en-GB"/>
        </w:rPr>
        <w:t xml:space="preserve">egal and </w:t>
      </w:r>
      <w:r w:rsidR="009A49C6" w:rsidRPr="00EC3F16">
        <w:rPr>
          <w:rFonts w:eastAsia="Calibri"/>
          <w:lang w:val="en-GB"/>
        </w:rPr>
        <w:t>r</w:t>
      </w:r>
      <w:r w:rsidR="002E11BE" w:rsidRPr="00EC3F16">
        <w:rPr>
          <w:rFonts w:eastAsia="Calibri"/>
          <w:lang w:val="en-GB"/>
        </w:rPr>
        <w:t xml:space="preserve">egulatory </w:t>
      </w:r>
      <w:r w:rsidR="009A49C6" w:rsidRPr="00EC3F16">
        <w:rPr>
          <w:rFonts w:eastAsia="Calibri"/>
          <w:lang w:val="en-GB"/>
        </w:rPr>
        <w:t>f</w:t>
      </w:r>
      <w:r w:rsidR="002E11BE" w:rsidRPr="00EC3F16">
        <w:rPr>
          <w:rFonts w:eastAsia="Calibri"/>
          <w:lang w:val="en-GB"/>
        </w:rPr>
        <w:t>ramework in Croatia</w:t>
      </w:r>
      <w:bookmarkEnd w:id="54"/>
    </w:p>
    <w:bookmarkEnd w:id="55"/>
    <w:p w14:paraId="3C43B190" w14:textId="6CEA9BAE"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Environmental Protection Act, Official Gazette No. 80/2013, 153/2013, 78/2015, 12/2018, 118/2018.</w:t>
      </w:r>
    </w:p>
    <w:p w14:paraId="6962FF60" w14:textId="7F6346D6"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Regulation on Conformity Parameters, Analytical Methods, and Monitoring of Water Intended for Human Consumption, Official Gazette No. 64/2023, 88/2023.</w:t>
      </w:r>
    </w:p>
    <w:p w14:paraId="1AB1FEF1" w14:textId="1EA17DD9"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Regulation on Emission Limit Values for Wastewater, Official Gazette No. 26/2020.</w:t>
      </w:r>
    </w:p>
    <w:p w14:paraId="1B04F9FE" w14:textId="3465BC48"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Regulation on Water Quality Standards, Official Gazette No. 96/2019, 20/2023, 50/2023.</w:t>
      </w:r>
    </w:p>
    <w:p w14:paraId="32EC4585" w14:textId="3DF4F6D0"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River Basin Management Plan of the Republic of Croatia until 2027, Official Gazette No. 84/2023.</w:t>
      </w:r>
    </w:p>
    <w:p w14:paraId="3A2CD90C" w14:textId="79AD6F89"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Rulebook on Conditions for Establishing Sanitary Protection Zones of Water Sources, Official Gazette No. 66/2011, 47/2013.</w:t>
      </w:r>
    </w:p>
    <w:p w14:paraId="4BD52C71" w14:textId="0D9CE324"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Rulebook on Technical Requirements for Drainage Structures, Official Gazette No. 3/2011.</w:t>
      </w:r>
    </w:p>
    <w:p w14:paraId="2091F03E" w14:textId="56C2A608"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Rulebook on the Issuance of Water Acts, Official Gazette No. 9/2020, 39/2022.</w:t>
      </w:r>
    </w:p>
    <w:p w14:paraId="1AF5D476" w14:textId="04686577"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Spatial Development Strategy of the Republic of Croatia, Official Gazette No. 106/2017.</w:t>
      </w:r>
    </w:p>
    <w:p w14:paraId="4ECC31E5" w14:textId="34093091"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Waste Management Act, Official Gazette No. 84/2021.</w:t>
      </w:r>
    </w:p>
    <w:p w14:paraId="2AB009F5" w14:textId="5F98F634"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Water Act, Official Gazette No. 66/2019, 84/2021, 47/2023.</w:t>
      </w:r>
    </w:p>
    <w:p w14:paraId="68805980" w14:textId="0AA302D3" w:rsidR="00EC3F16" w:rsidRPr="00EC3F16" w:rsidRDefault="00EC3F16" w:rsidP="00EC3F16">
      <w:pPr>
        <w:pStyle w:val="ListParagraph"/>
        <w:numPr>
          <w:ilvl w:val="0"/>
          <w:numId w:val="76"/>
        </w:numPr>
        <w:ind w:left="714" w:hanging="357"/>
        <w:jc w:val="both"/>
        <w:rPr>
          <w:rFonts w:ascii="Calibri" w:eastAsia="Times New Roman" w:hAnsi="Calibri" w:cs="Calibri"/>
          <w:lang w:val="en-GB" w:eastAsia="hr-HR"/>
        </w:rPr>
      </w:pPr>
      <w:r w:rsidRPr="00EC3F16">
        <w:rPr>
          <w:rFonts w:ascii="Calibri" w:eastAsia="Times New Roman" w:hAnsi="Calibri" w:cs="Calibri"/>
          <w:lang w:val="en-GB" w:eastAsia="hr-HR"/>
        </w:rPr>
        <w:t>Water for Human Consumption Act, Official Gazette No. 30/2023.</w:t>
      </w:r>
    </w:p>
    <w:p w14:paraId="21A347A3" w14:textId="77777777" w:rsidR="002E11BE" w:rsidRPr="002E11BE" w:rsidRDefault="002E11BE" w:rsidP="002E11BE">
      <w:pPr>
        <w:spacing w:line="256" w:lineRule="auto"/>
        <w:rPr>
          <w:rFonts w:ascii="Calibri" w:eastAsia="Calibri" w:hAnsi="Calibri" w:cs="Calibri"/>
          <w:b/>
          <w:bCs/>
          <w:color w:val="0070C0"/>
          <w:sz w:val="24"/>
          <w:szCs w:val="24"/>
          <w:lang w:val="en-GB"/>
        </w:rPr>
      </w:pPr>
    </w:p>
    <w:p w14:paraId="0FFFF80F" w14:textId="4BFD1CA1" w:rsidR="002E11BE" w:rsidRDefault="00F54E67" w:rsidP="00F54E67">
      <w:pPr>
        <w:pStyle w:val="Heading2"/>
        <w:rPr>
          <w:rFonts w:eastAsia="Calibri"/>
          <w:lang w:val="en-GB"/>
        </w:rPr>
      </w:pPr>
      <w:bookmarkStart w:id="56" w:name="_Toc225945302"/>
      <w:bookmarkStart w:id="57" w:name="_Hlk218509722"/>
      <w:r w:rsidRPr="00EC3F16">
        <w:rPr>
          <w:rFonts w:eastAsia="Calibri"/>
          <w:lang w:val="en-GB"/>
        </w:rPr>
        <w:t>11.2</w:t>
      </w:r>
      <w:r w:rsidR="002E11BE" w:rsidRPr="00EC3F16">
        <w:rPr>
          <w:rFonts w:eastAsia="Calibri"/>
          <w:lang w:val="en-GB"/>
        </w:rPr>
        <w:t xml:space="preserve"> Policy, </w:t>
      </w:r>
      <w:r w:rsidR="009A49C6" w:rsidRPr="00EC3F16">
        <w:rPr>
          <w:rFonts w:eastAsia="Calibri"/>
          <w:lang w:val="en-GB"/>
        </w:rPr>
        <w:t>l</w:t>
      </w:r>
      <w:r w:rsidR="002E11BE" w:rsidRPr="00EC3F16">
        <w:rPr>
          <w:rFonts w:eastAsia="Calibri"/>
          <w:lang w:val="en-GB"/>
        </w:rPr>
        <w:t xml:space="preserve">egal and </w:t>
      </w:r>
      <w:r w:rsidR="009A49C6" w:rsidRPr="00EC3F16">
        <w:rPr>
          <w:rFonts w:eastAsia="Calibri"/>
          <w:lang w:val="en-GB"/>
        </w:rPr>
        <w:t>r</w:t>
      </w:r>
      <w:r w:rsidR="002E11BE" w:rsidRPr="00EC3F16">
        <w:rPr>
          <w:rFonts w:eastAsia="Calibri"/>
          <w:lang w:val="en-GB"/>
        </w:rPr>
        <w:t xml:space="preserve">egulatory </w:t>
      </w:r>
      <w:r w:rsidR="009A49C6" w:rsidRPr="00EC3F16">
        <w:rPr>
          <w:rFonts w:eastAsia="Calibri"/>
          <w:lang w:val="en-GB"/>
        </w:rPr>
        <w:t>f</w:t>
      </w:r>
      <w:r w:rsidR="002E11BE" w:rsidRPr="00EC3F16">
        <w:rPr>
          <w:rFonts w:eastAsia="Calibri"/>
          <w:lang w:val="en-GB"/>
        </w:rPr>
        <w:t>ramework in Bosnia and Herzegovina</w:t>
      </w:r>
      <w:bookmarkEnd w:id="56"/>
    </w:p>
    <w:p w14:paraId="40B7573B" w14:textId="1A3567DC" w:rsidR="00EC3F16" w:rsidRPr="00FF5968" w:rsidRDefault="00EC3F16" w:rsidP="00EC3F16">
      <w:pPr>
        <w:pStyle w:val="Heading3"/>
        <w:rPr>
          <w:lang w:val="en-GB"/>
        </w:rPr>
      </w:pPr>
      <w:bookmarkStart w:id="58" w:name="_Toc225945303"/>
      <w:r w:rsidRPr="00FF5968">
        <w:rPr>
          <w:lang w:val="en-GB"/>
        </w:rPr>
        <w:t>11.2.1 Federation of Bosnia and Herzegovina (FBiH)</w:t>
      </w:r>
      <w:bookmarkEnd w:id="58"/>
    </w:p>
    <w:p w14:paraId="2C7BDC1C" w14:textId="77777777" w:rsidR="00EC3F16" w:rsidRPr="00EC3F16" w:rsidRDefault="00EC3F16" w:rsidP="00EC3F16">
      <w:pPr>
        <w:pStyle w:val="ListParagraph"/>
        <w:numPr>
          <w:ilvl w:val="0"/>
          <w:numId w:val="77"/>
        </w:numPr>
        <w:rPr>
          <w:lang w:val="en-GB"/>
        </w:rPr>
      </w:pPr>
      <w:r w:rsidRPr="00EC3F16">
        <w:rPr>
          <w:lang w:val="en-GB"/>
        </w:rPr>
        <w:t>Decision on the Characterization of Surface and Groundwater, Reference Conditions and Parameters for Assessing Water Status and Monitoring, Official Gazette FBiH No. 1/14.</w:t>
      </w:r>
    </w:p>
    <w:p w14:paraId="26B7E222" w14:textId="77777777" w:rsidR="00EC3F16" w:rsidRPr="00EC3F16" w:rsidRDefault="00EC3F16" w:rsidP="00EC3F16">
      <w:pPr>
        <w:pStyle w:val="ListParagraph"/>
        <w:numPr>
          <w:ilvl w:val="0"/>
          <w:numId w:val="77"/>
        </w:numPr>
        <w:rPr>
          <w:lang w:val="en-GB"/>
        </w:rPr>
      </w:pPr>
      <w:r w:rsidRPr="00EC3F16">
        <w:rPr>
          <w:lang w:val="en-GB"/>
        </w:rPr>
        <w:t>Law on Spatial Planning and Land Use of the Federation of BiH, Official Gazette Nos. 2/06, 72/07, 32/08, 4/10, 13/10, 45/10, 85/21, 92/21, 72/24.</w:t>
      </w:r>
    </w:p>
    <w:p w14:paraId="776B0286" w14:textId="77777777" w:rsidR="00EC3F16" w:rsidRPr="00EC3F16" w:rsidRDefault="00EC3F16" w:rsidP="00EC3F16">
      <w:pPr>
        <w:pStyle w:val="ListParagraph"/>
        <w:numPr>
          <w:ilvl w:val="0"/>
          <w:numId w:val="77"/>
        </w:numPr>
        <w:rPr>
          <w:lang w:val="en-GB"/>
        </w:rPr>
      </w:pPr>
      <w:r w:rsidRPr="00EC3F16">
        <w:rPr>
          <w:lang w:val="en-GB"/>
        </w:rPr>
        <w:t>Regulation on Conditions for Discharge of Wastewater into the Environment and Public Sewerage Systems, Official Gazette FBiH No. 01/24.</w:t>
      </w:r>
    </w:p>
    <w:p w14:paraId="5F4CB627" w14:textId="77777777" w:rsidR="00EC3F16" w:rsidRPr="00EC3F16" w:rsidRDefault="00EC3F16" w:rsidP="00EC3F16">
      <w:pPr>
        <w:pStyle w:val="ListParagraph"/>
        <w:numPr>
          <w:ilvl w:val="0"/>
          <w:numId w:val="77"/>
        </w:numPr>
        <w:rPr>
          <w:lang w:val="en-GB"/>
        </w:rPr>
      </w:pPr>
      <w:r w:rsidRPr="00EC3F16">
        <w:rPr>
          <w:lang w:val="en-GB"/>
        </w:rPr>
        <w:t>Rulebook on Monitoring of Surface and Groundwater, Official Gazette FBiH No. 71/09.</w:t>
      </w:r>
    </w:p>
    <w:p w14:paraId="1CF4F087" w14:textId="77777777" w:rsidR="00EC3F16" w:rsidRPr="00EC3F16" w:rsidRDefault="00EC3F16" w:rsidP="00EC3F16">
      <w:pPr>
        <w:pStyle w:val="ListParagraph"/>
        <w:numPr>
          <w:ilvl w:val="0"/>
          <w:numId w:val="77"/>
        </w:numPr>
        <w:rPr>
          <w:lang w:val="en-GB"/>
        </w:rPr>
      </w:pPr>
      <w:r w:rsidRPr="00EC3F16">
        <w:rPr>
          <w:lang w:val="en-GB"/>
        </w:rPr>
        <w:t>Rulebook on the Method of Determining Conditions for Establishing Sanitary Protection Zones, Official Gazette FBiH No. 88/12.</w:t>
      </w:r>
    </w:p>
    <w:p w14:paraId="3EA66884" w14:textId="7BBC3645" w:rsidR="00EC3F16" w:rsidRDefault="00EC3F16" w:rsidP="00EC3F16">
      <w:pPr>
        <w:pStyle w:val="ListParagraph"/>
        <w:numPr>
          <w:ilvl w:val="0"/>
          <w:numId w:val="77"/>
        </w:numPr>
        <w:rPr>
          <w:lang w:val="en-GB"/>
        </w:rPr>
      </w:pPr>
      <w:r w:rsidRPr="00EC3F16">
        <w:rPr>
          <w:lang w:val="en-GB"/>
        </w:rPr>
        <w:t>Water Law of FBiH, Official Gazette No. 70/06, 01/12, 70/20.</w:t>
      </w:r>
    </w:p>
    <w:p w14:paraId="3F80257D" w14:textId="787D030A" w:rsidR="00EC3F16" w:rsidRPr="00EC3F16" w:rsidRDefault="00EC3F16" w:rsidP="00EC3F16">
      <w:pPr>
        <w:pStyle w:val="ListParagraph"/>
        <w:numPr>
          <w:ilvl w:val="0"/>
          <w:numId w:val="77"/>
        </w:numPr>
        <w:rPr>
          <w:lang w:val="en-GB"/>
        </w:rPr>
      </w:pPr>
      <w:r w:rsidRPr="00EC3F16">
        <w:rPr>
          <w:lang w:val="en-GB"/>
        </w:rPr>
        <w:t>Regulation on the Classification of Waters and Categorization of Watercourses, Official Gazette FBiH No. 18/99</w:t>
      </w:r>
      <w:r>
        <w:rPr>
          <w:lang w:val="en-GB"/>
        </w:rPr>
        <w:t>.</w:t>
      </w:r>
    </w:p>
    <w:p w14:paraId="338A775E" w14:textId="5135578D" w:rsidR="00EC3F16" w:rsidRDefault="00EC3F16" w:rsidP="00EC3F16">
      <w:pPr>
        <w:pStyle w:val="Heading3"/>
      </w:pPr>
      <w:bookmarkStart w:id="59" w:name="_Toc225945304"/>
      <w:r>
        <w:t xml:space="preserve">11.2.2 </w:t>
      </w:r>
      <w:r w:rsidRPr="00EC3F16">
        <w:t>Republika Srpska (RS)</w:t>
      </w:r>
      <w:bookmarkEnd w:id="59"/>
    </w:p>
    <w:p w14:paraId="596E099D" w14:textId="77777777" w:rsidR="00EC3F16" w:rsidRPr="00EC3F16" w:rsidRDefault="00EC3F16" w:rsidP="00EC3F16">
      <w:pPr>
        <w:pStyle w:val="ListParagraph"/>
        <w:numPr>
          <w:ilvl w:val="0"/>
          <w:numId w:val="78"/>
        </w:numPr>
        <w:jc w:val="both"/>
        <w:rPr>
          <w:lang w:val="en-GB"/>
        </w:rPr>
      </w:pPr>
      <w:r w:rsidRPr="00EC3F16">
        <w:rPr>
          <w:lang w:val="en-GB"/>
        </w:rPr>
        <w:t>Law on Spatial Planning and Construction of the Republic of Srpska, Official Gazette RS No. 40/13.</w:t>
      </w:r>
    </w:p>
    <w:p w14:paraId="6D73A6B2" w14:textId="77777777" w:rsidR="00EC3F16" w:rsidRPr="00EC3F16" w:rsidRDefault="00EC3F16" w:rsidP="00EC3F16">
      <w:pPr>
        <w:pStyle w:val="ListParagraph"/>
        <w:numPr>
          <w:ilvl w:val="0"/>
          <w:numId w:val="78"/>
        </w:numPr>
        <w:jc w:val="both"/>
        <w:rPr>
          <w:lang w:val="en-GB"/>
        </w:rPr>
      </w:pPr>
      <w:r w:rsidRPr="00EC3F16">
        <w:rPr>
          <w:lang w:val="en-GB"/>
        </w:rPr>
        <w:t>Regulation on the Characterization of Surface and Groundwater, Reference Conditions and Parameters for Assessing Water Status and Monitoring, Official Gazette RS No. 1/14.</w:t>
      </w:r>
    </w:p>
    <w:p w14:paraId="08CEF2A1" w14:textId="59EF6919" w:rsidR="00EC3F16" w:rsidRPr="00EC3F16" w:rsidRDefault="00BE5A55" w:rsidP="00EC3F16">
      <w:pPr>
        <w:pStyle w:val="ListParagraph"/>
        <w:numPr>
          <w:ilvl w:val="0"/>
          <w:numId w:val="78"/>
        </w:numPr>
        <w:jc w:val="both"/>
        <w:rPr>
          <w:lang w:val="en-GB"/>
        </w:rPr>
      </w:pPr>
      <w:r w:rsidRPr="00BE5A55">
        <w:rPr>
          <w:lang w:val="en-GB"/>
        </w:rPr>
        <w:t>Rulebook on Protection Measures, the Method of Determining, Maintaining, and Marking Sanitary Protection Zones (“Official Gazette of RS” No. 76/16)</w:t>
      </w:r>
      <w:r w:rsidR="00EC3F16" w:rsidRPr="00EC3F16">
        <w:rPr>
          <w:lang w:val="en-GB"/>
        </w:rPr>
        <w:t>.</w:t>
      </w:r>
    </w:p>
    <w:p w14:paraId="063EB6A0" w14:textId="77777777" w:rsidR="00EC3F16" w:rsidRPr="00EC3F16" w:rsidRDefault="00EC3F16" w:rsidP="00EC3F16">
      <w:pPr>
        <w:pStyle w:val="ListParagraph"/>
        <w:numPr>
          <w:ilvl w:val="0"/>
          <w:numId w:val="78"/>
        </w:numPr>
        <w:jc w:val="both"/>
        <w:rPr>
          <w:lang w:val="en-GB"/>
        </w:rPr>
      </w:pPr>
      <w:r w:rsidRPr="00EC3F16">
        <w:rPr>
          <w:lang w:val="en-GB"/>
        </w:rPr>
        <w:t>Rulebook on the Treatment and Drainage of Wastewater for Urban Areas and Settlements without Public Sewerage Systems, Official Gazette RS No. 68/01.</w:t>
      </w:r>
    </w:p>
    <w:p w14:paraId="1A00EA2E" w14:textId="2EF0CB14" w:rsidR="00EC3F16" w:rsidRDefault="00EC3F16" w:rsidP="00EC3F16">
      <w:pPr>
        <w:pStyle w:val="ListParagraph"/>
        <w:numPr>
          <w:ilvl w:val="0"/>
          <w:numId w:val="78"/>
        </w:numPr>
        <w:jc w:val="both"/>
        <w:rPr>
          <w:lang w:val="en-GB"/>
        </w:rPr>
      </w:pPr>
      <w:r w:rsidRPr="00EC3F16">
        <w:rPr>
          <w:lang w:val="en-GB"/>
        </w:rPr>
        <w:t>Water Law of RS, Official Gazette No. 50/06, 92/09, 121/12, 39/13, 44/15, 01/20.</w:t>
      </w:r>
    </w:p>
    <w:p w14:paraId="38C62032" w14:textId="45822AA7" w:rsidR="00EC3F16" w:rsidRPr="00EC3F16" w:rsidRDefault="00EC3F16" w:rsidP="00EC3F16">
      <w:pPr>
        <w:pStyle w:val="ListParagraph"/>
        <w:numPr>
          <w:ilvl w:val="0"/>
          <w:numId w:val="78"/>
        </w:numPr>
        <w:jc w:val="both"/>
        <w:rPr>
          <w:lang w:val="en-GB"/>
        </w:rPr>
      </w:pPr>
      <w:r w:rsidRPr="00EC3F16">
        <w:rPr>
          <w:lang w:val="en-GB"/>
        </w:rPr>
        <w:lastRenderedPageBreak/>
        <w:t>Regulation on the Classification of Waters and Categorization of Watercourses,</w:t>
      </w:r>
      <w:r>
        <w:rPr>
          <w:lang w:val="en-GB"/>
        </w:rPr>
        <w:t xml:space="preserve"> </w:t>
      </w:r>
      <w:r w:rsidRPr="00EC3F16">
        <w:rPr>
          <w:lang w:val="en-GB"/>
        </w:rPr>
        <w:t>Official Gazette RS No. 42/01.</w:t>
      </w:r>
    </w:p>
    <w:p w14:paraId="0D578928" w14:textId="77777777" w:rsidR="00EC3F16" w:rsidRPr="00EC3F16" w:rsidRDefault="00EC3F16" w:rsidP="00EC3F16">
      <w:pPr>
        <w:rPr>
          <w:lang w:val="hr-HR"/>
        </w:rPr>
      </w:pPr>
    </w:p>
    <w:p w14:paraId="66C2BD2D" w14:textId="4FAB8A3C" w:rsidR="002E11BE" w:rsidRPr="00093EA3" w:rsidRDefault="009A49C6" w:rsidP="009A49C6">
      <w:pPr>
        <w:pStyle w:val="Heading2"/>
        <w:rPr>
          <w:rFonts w:eastAsia="Calibri"/>
          <w:lang w:val="en-GB"/>
        </w:rPr>
      </w:pPr>
      <w:bookmarkStart w:id="60" w:name="_Toc225945305"/>
      <w:bookmarkEnd w:id="57"/>
      <w:r w:rsidRPr="00093EA3">
        <w:rPr>
          <w:rFonts w:eastAsia="Calibri"/>
          <w:lang w:val="en-GB"/>
        </w:rPr>
        <w:t>11.3</w:t>
      </w:r>
      <w:r w:rsidR="002E11BE" w:rsidRPr="00093EA3">
        <w:rPr>
          <w:rFonts w:eastAsia="Calibri"/>
          <w:lang w:val="en-GB"/>
        </w:rPr>
        <w:t xml:space="preserve">. International </w:t>
      </w:r>
      <w:r w:rsidRPr="00093EA3">
        <w:rPr>
          <w:rFonts w:eastAsia="Calibri"/>
          <w:lang w:val="en-GB"/>
        </w:rPr>
        <w:t>l</w:t>
      </w:r>
      <w:r w:rsidR="002E11BE" w:rsidRPr="00093EA3">
        <w:rPr>
          <w:rFonts w:eastAsia="Calibri"/>
          <w:lang w:val="en-GB"/>
        </w:rPr>
        <w:t xml:space="preserve">aws, </w:t>
      </w:r>
      <w:r w:rsidRPr="00093EA3">
        <w:rPr>
          <w:rFonts w:eastAsia="Calibri"/>
          <w:lang w:val="en-GB"/>
        </w:rPr>
        <w:t>c</w:t>
      </w:r>
      <w:r w:rsidR="002E11BE" w:rsidRPr="00093EA3">
        <w:rPr>
          <w:rFonts w:eastAsia="Calibri"/>
          <w:lang w:val="en-GB"/>
        </w:rPr>
        <w:t xml:space="preserve">ontracts and </w:t>
      </w:r>
      <w:r w:rsidRPr="00093EA3">
        <w:rPr>
          <w:rFonts w:eastAsia="Calibri"/>
          <w:lang w:val="en-GB"/>
        </w:rPr>
        <w:t>a</w:t>
      </w:r>
      <w:r w:rsidR="002E11BE" w:rsidRPr="00093EA3">
        <w:rPr>
          <w:rFonts w:eastAsia="Calibri"/>
          <w:lang w:val="en-GB"/>
        </w:rPr>
        <w:t>greements, EU directives</w:t>
      </w:r>
      <w:r w:rsidR="00011CA4" w:rsidRPr="00093EA3">
        <w:rPr>
          <w:rFonts w:eastAsia="Calibri"/>
          <w:lang w:val="en-GB"/>
        </w:rPr>
        <w:t xml:space="preserve">, </w:t>
      </w:r>
      <w:r w:rsidR="00EC3F16" w:rsidRPr="00093EA3">
        <w:rPr>
          <w:rFonts w:eastAsia="Calibri"/>
          <w:lang w:val="en-GB"/>
        </w:rPr>
        <w:t>technical sources</w:t>
      </w:r>
      <w:bookmarkEnd w:id="60"/>
    </w:p>
    <w:p w14:paraId="73FD1FDF" w14:textId="554D814B" w:rsidR="00EC3F16" w:rsidRPr="00093EA3" w:rsidRDefault="00EC3F16" w:rsidP="00EC3F16">
      <w:pPr>
        <w:pStyle w:val="Heading3"/>
        <w:rPr>
          <w:lang w:val="fr-FR"/>
        </w:rPr>
      </w:pPr>
      <w:bookmarkStart w:id="61" w:name="_Toc225945306"/>
      <w:r w:rsidRPr="00093EA3">
        <w:rPr>
          <w:lang w:val="fr-FR"/>
        </w:rPr>
        <w:t>11.3.1 EU Directives</w:t>
      </w:r>
      <w:bookmarkEnd w:id="61"/>
    </w:p>
    <w:p w14:paraId="4461A9EA" w14:textId="77777777" w:rsidR="00EC3F16" w:rsidRPr="00EC3F16" w:rsidRDefault="00EC3F16" w:rsidP="00EC3F16">
      <w:pPr>
        <w:pStyle w:val="ListParagraph"/>
        <w:numPr>
          <w:ilvl w:val="0"/>
          <w:numId w:val="79"/>
        </w:numPr>
        <w:rPr>
          <w:lang w:val="en-GB"/>
        </w:rPr>
      </w:pPr>
      <w:r w:rsidRPr="00EC3F16">
        <w:rPr>
          <w:lang w:val="en-GB"/>
        </w:rPr>
        <w:t>Drinking Water Directive (EU) 2020/2184.</w:t>
      </w:r>
    </w:p>
    <w:p w14:paraId="71C048BA" w14:textId="77777777" w:rsidR="00EC3F16" w:rsidRPr="00EC3F16" w:rsidRDefault="00EC3F16" w:rsidP="00EC3F16">
      <w:pPr>
        <w:pStyle w:val="ListParagraph"/>
        <w:numPr>
          <w:ilvl w:val="0"/>
          <w:numId w:val="79"/>
        </w:numPr>
        <w:rPr>
          <w:lang w:val="en-GB"/>
        </w:rPr>
      </w:pPr>
      <w:r w:rsidRPr="00EC3F16">
        <w:rPr>
          <w:lang w:val="en-GB"/>
        </w:rPr>
        <w:t>Groundwater Directive (2006/118/EC, amended by 2014/80/EU).</w:t>
      </w:r>
    </w:p>
    <w:p w14:paraId="78B2F5C9" w14:textId="77777777" w:rsidR="00EC3F16" w:rsidRPr="00EC3F16" w:rsidRDefault="00EC3F16" w:rsidP="00EC3F16">
      <w:pPr>
        <w:pStyle w:val="ListParagraph"/>
        <w:numPr>
          <w:ilvl w:val="0"/>
          <w:numId w:val="79"/>
        </w:numPr>
        <w:rPr>
          <w:lang w:val="en-GB"/>
        </w:rPr>
      </w:pPr>
      <w:r w:rsidRPr="00EC3F16">
        <w:rPr>
          <w:lang w:val="en-GB"/>
        </w:rPr>
        <w:t>Habitats Directive (92/43/EEC).</w:t>
      </w:r>
    </w:p>
    <w:p w14:paraId="048C27B8" w14:textId="77777777" w:rsidR="00EC3F16" w:rsidRPr="00EC3F16" w:rsidRDefault="00EC3F16" w:rsidP="00EC3F16">
      <w:pPr>
        <w:pStyle w:val="ListParagraph"/>
        <w:numPr>
          <w:ilvl w:val="0"/>
          <w:numId w:val="79"/>
        </w:numPr>
        <w:rPr>
          <w:lang w:val="en-GB"/>
        </w:rPr>
      </w:pPr>
      <w:r w:rsidRPr="00EC3F16">
        <w:rPr>
          <w:lang w:val="en-GB"/>
        </w:rPr>
        <w:t>Nitrates Directive (91/676/EEC).</w:t>
      </w:r>
    </w:p>
    <w:p w14:paraId="0FDC6F86" w14:textId="77777777" w:rsidR="00EC3F16" w:rsidRPr="00EC3F16" w:rsidRDefault="00EC3F16" w:rsidP="00EC3F16">
      <w:pPr>
        <w:pStyle w:val="ListParagraph"/>
        <w:numPr>
          <w:ilvl w:val="0"/>
          <w:numId w:val="79"/>
        </w:numPr>
        <w:rPr>
          <w:lang w:val="en-GB"/>
        </w:rPr>
      </w:pPr>
      <w:r w:rsidRPr="00EC3F16">
        <w:rPr>
          <w:lang w:val="en-GB"/>
        </w:rPr>
        <w:t>Urban Wastewater Treatment Directive (91/271/EEC).</w:t>
      </w:r>
    </w:p>
    <w:p w14:paraId="77F87A29" w14:textId="16AF2B91" w:rsidR="00EC3F16" w:rsidRPr="00EC3F16" w:rsidRDefault="00EC3F16" w:rsidP="00EC3F16">
      <w:pPr>
        <w:pStyle w:val="ListParagraph"/>
        <w:numPr>
          <w:ilvl w:val="0"/>
          <w:numId w:val="79"/>
        </w:numPr>
        <w:rPr>
          <w:lang w:val="en-GB"/>
        </w:rPr>
      </w:pPr>
      <w:r w:rsidRPr="00EC3F16">
        <w:rPr>
          <w:lang w:val="en-GB"/>
        </w:rPr>
        <w:t>Water Framework Directive (2000/60/EC).</w:t>
      </w:r>
    </w:p>
    <w:p w14:paraId="71485BDD" w14:textId="630E913A" w:rsidR="00EC3F16" w:rsidRPr="009E1736" w:rsidRDefault="00EC3F16" w:rsidP="00EC3F16">
      <w:pPr>
        <w:pStyle w:val="Heading3"/>
        <w:rPr>
          <w:lang w:val="en-GB"/>
        </w:rPr>
      </w:pPr>
      <w:bookmarkStart w:id="62" w:name="_Toc225945307"/>
      <w:r w:rsidRPr="009E1736">
        <w:rPr>
          <w:lang w:val="en-GB"/>
        </w:rPr>
        <w:t>11.3.2 International conventions and agreements</w:t>
      </w:r>
      <w:bookmarkEnd w:id="62"/>
    </w:p>
    <w:p w14:paraId="1941C36D" w14:textId="77777777" w:rsidR="00EC3F16" w:rsidRPr="00EC3F16" w:rsidRDefault="00EC3F16" w:rsidP="00EC3F16">
      <w:pPr>
        <w:pStyle w:val="ListParagraph"/>
        <w:numPr>
          <w:ilvl w:val="0"/>
          <w:numId w:val="80"/>
        </w:numPr>
        <w:rPr>
          <w:lang w:val="en-GB"/>
        </w:rPr>
      </w:pPr>
      <w:r w:rsidRPr="00EC3F16">
        <w:rPr>
          <w:lang w:val="en-GB"/>
        </w:rPr>
        <w:t>Convention for the Protection of the Marine Environment and the Coastal Region of the Mediterranean (Barcelona Convention, 1976; revised 1995).</w:t>
      </w:r>
    </w:p>
    <w:p w14:paraId="0AF2F4D5" w14:textId="77777777" w:rsidR="00EC3F16" w:rsidRPr="00EC3F16" w:rsidRDefault="00EC3F16" w:rsidP="00EC3F16">
      <w:pPr>
        <w:pStyle w:val="ListParagraph"/>
        <w:numPr>
          <w:ilvl w:val="0"/>
          <w:numId w:val="80"/>
        </w:numPr>
        <w:rPr>
          <w:lang w:val="en-GB"/>
        </w:rPr>
      </w:pPr>
      <w:r w:rsidRPr="00EC3F16">
        <w:rPr>
          <w:lang w:val="en-GB"/>
        </w:rPr>
        <w:t>Convention on the Protection and Use of Transboundary Watercourses and International Lakes (Helsinki, 1992).</w:t>
      </w:r>
    </w:p>
    <w:p w14:paraId="25A746C1" w14:textId="77777777" w:rsidR="00EC3F16" w:rsidRPr="00EC3F16" w:rsidRDefault="00EC3F16" w:rsidP="00EC3F16">
      <w:pPr>
        <w:pStyle w:val="ListParagraph"/>
        <w:numPr>
          <w:ilvl w:val="0"/>
          <w:numId w:val="80"/>
        </w:numPr>
        <w:rPr>
          <w:lang w:val="en-GB"/>
        </w:rPr>
      </w:pPr>
      <w:r w:rsidRPr="00EC3F16">
        <w:rPr>
          <w:lang w:val="en-GB"/>
        </w:rPr>
        <w:t>Convention on the Transboundary Effects of Industrial Accidents (Helsinki, 1992).</w:t>
      </w:r>
    </w:p>
    <w:p w14:paraId="1D521682" w14:textId="77777777" w:rsidR="00EC3F16" w:rsidRPr="00EC3F16" w:rsidRDefault="00EC3F16" w:rsidP="00EC3F16">
      <w:pPr>
        <w:pStyle w:val="ListParagraph"/>
        <w:numPr>
          <w:ilvl w:val="0"/>
          <w:numId w:val="80"/>
        </w:numPr>
        <w:rPr>
          <w:lang w:val="en-GB"/>
        </w:rPr>
      </w:pPr>
      <w:r w:rsidRPr="00EC3F16">
        <w:rPr>
          <w:lang w:val="en-GB"/>
        </w:rPr>
        <w:t>Contract between the Government of the Republic of Croatia and the Government of Bosnia and Herzegovina on Water Management Relations, Dubrovnik, 1996.</w:t>
      </w:r>
    </w:p>
    <w:p w14:paraId="71363C23" w14:textId="77777777" w:rsidR="00EC3F16" w:rsidRPr="00EC3F16" w:rsidRDefault="00EC3F16" w:rsidP="00EC3F16">
      <w:pPr>
        <w:pStyle w:val="ListParagraph"/>
        <w:numPr>
          <w:ilvl w:val="0"/>
          <w:numId w:val="80"/>
        </w:numPr>
        <w:rPr>
          <w:lang w:val="en-GB"/>
        </w:rPr>
      </w:pPr>
      <w:r w:rsidRPr="00EC3F16">
        <w:rPr>
          <w:lang w:val="en-GB"/>
        </w:rPr>
        <w:t>Framework Agreement on the Sava River Basin, Kranjska Gora, 2002.</w:t>
      </w:r>
    </w:p>
    <w:p w14:paraId="1264A7FD" w14:textId="48ADEC6C" w:rsidR="00EC3F16" w:rsidRPr="00EC3F16" w:rsidRDefault="00EC3F16" w:rsidP="00EC3F16">
      <w:pPr>
        <w:pStyle w:val="ListParagraph"/>
        <w:numPr>
          <w:ilvl w:val="0"/>
          <w:numId w:val="80"/>
        </w:numPr>
        <w:rPr>
          <w:lang w:val="en-GB"/>
        </w:rPr>
      </w:pPr>
      <w:r w:rsidRPr="00EC3F16">
        <w:rPr>
          <w:lang w:val="en-GB"/>
        </w:rPr>
        <w:t>UN General Assembly Resolution A/RES/63/124: The Law of Transboundary Aquifers (2008).</w:t>
      </w:r>
    </w:p>
    <w:p w14:paraId="4EED44E3" w14:textId="43A17D5F" w:rsidR="00EC3F16" w:rsidRPr="009E1736" w:rsidRDefault="00EC3F16" w:rsidP="00EC3F16">
      <w:pPr>
        <w:pStyle w:val="Heading3"/>
        <w:rPr>
          <w:lang w:val="en-GB"/>
        </w:rPr>
      </w:pPr>
      <w:bookmarkStart w:id="63" w:name="_Toc225945308"/>
      <w:r w:rsidRPr="009E1736">
        <w:rPr>
          <w:lang w:val="en-GB"/>
        </w:rPr>
        <w:t>11.3.3 Technical and scientific sources</w:t>
      </w:r>
      <w:bookmarkEnd w:id="63"/>
    </w:p>
    <w:p w14:paraId="6CBF7AF9" w14:textId="69C7EE08" w:rsidR="00EC3F16" w:rsidRPr="00EC3F16" w:rsidRDefault="007B180E" w:rsidP="007B180E">
      <w:pPr>
        <w:pStyle w:val="ListParagraph"/>
        <w:numPr>
          <w:ilvl w:val="0"/>
          <w:numId w:val="81"/>
        </w:numPr>
        <w:jc w:val="both"/>
        <w:rPr>
          <w:lang w:val="en-GB"/>
        </w:rPr>
      </w:pPr>
      <w:r>
        <w:rPr>
          <w:lang w:val="en-GB"/>
        </w:rPr>
        <w:t xml:space="preserve">DIKTAS II project Team (2026): </w:t>
      </w:r>
      <w:r w:rsidR="00EC3F16" w:rsidRPr="00EC3F16">
        <w:rPr>
          <w:lang w:val="en-GB"/>
        </w:rPr>
        <w:t xml:space="preserve">BGGDA – </w:t>
      </w:r>
      <w:r>
        <w:rPr>
          <w:lang w:val="en-GB"/>
        </w:rPr>
        <w:t xml:space="preserve">Bilateral Groundwater Governance Diagnostic Analysis for </w:t>
      </w:r>
      <w:r w:rsidR="00032B26">
        <w:rPr>
          <w:lang w:val="en-GB"/>
        </w:rPr>
        <w:t>Una &amp;</w:t>
      </w:r>
      <w:r>
        <w:rPr>
          <w:lang w:val="en-GB"/>
        </w:rPr>
        <w:t>Neretva TBA</w:t>
      </w:r>
      <w:r w:rsidR="00EC3F16" w:rsidRPr="00EC3F16">
        <w:rPr>
          <w:lang w:val="en-GB"/>
        </w:rPr>
        <w:t>.</w:t>
      </w:r>
    </w:p>
    <w:p w14:paraId="08DD9939" w14:textId="6C38C73D" w:rsidR="00EC3F16" w:rsidRDefault="007B180E" w:rsidP="007B180E">
      <w:pPr>
        <w:pStyle w:val="ListParagraph"/>
        <w:numPr>
          <w:ilvl w:val="0"/>
          <w:numId w:val="81"/>
        </w:numPr>
        <w:jc w:val="both"/>
        <w:rPr>
          <w:lang w:val="en-GB"/>
        </w:rPr>
      </w:pPr>
      <w:r>
        <w:rPr>
          <w:lang w:val="en-GB"/>
        </w:rPr>
        <w:t xml:space="preserve">DIKTAS II project Team (2026): </w:t>
      </w:r>
      <w:r w:rsidR="00EC3F16" w:rsidRPr="00EC3F16">
        <w:rPr>
          <w:lang w:val="en-GB"/>
        </w:rPr>
        <w:t xml:space="preserve">BGGDA – </w:t>
      </w:r>
      <w:r>
        <w:rPr>
          <w:lang w:val="en-GB"/>
        </w:rPr>
        <w:t>Bilateral Groundwater Governance Diagnostic Analysis for Una TBA</w:t>
      </w:r>
      <w:r w:rsidR="00EC3F16" w:rsidRPr="00EC3F16">
        <w:rPr>
          <w:lang w:val="en-GB"/>
        </w:rPr>
        <w:t>.</w:t>
      </w:r>
    </w:p>
    <w:p w14:paraId="6378B66A" w14:textId="7A92455E" w:rsidR="007B180E" w:rsidRPr="00EC3F16" w:rsidRDefault="007B180E" w:rsidP="007B180E">
      <w:pPr>
        <w:pStyle w:val="ListParagraph"/>
        <w:numPr>
          <w:ilvl w:val="0"/>
          <w:numId w:val="81"/>
        </w:numPr>
        <w:jc w:val="both"/>
        <w:rPr>
          <w:lang w:val="en-GB"/>
        </w:rPr>
      </w:pPr>
      <w:r>
        <w:rPr>
          <w:lang w:val="en-GB"/>
        </w:rPr>
        <w:t>DIKTAS II project Team (2026): Joint Action Programme for Una TBA</w:t>
      </w:r>
    </w:p>
    <w:p w14:paraId="384BCF70" w14:textId="6149A813" w:rsidR="00EC3F16" w:rsidRPr="00EC3F16" w:rsidRDefault="007B180E" w:rsidP="00EC3F16">
      <w:pPr>
        <w:pStyle w:val="ListParagraph"/>
        <w:numPr>
          <w:ilvl w:val="0"/>
          <w:numId w:val="81"/>
        </w:numPr>
        <w:rPr>
          <w:lang w:val="en-GB"/>
        </w:rPr>
      </w:pPr>
      <w:r w:rsidRPr="007B180E">
        <w:rPr>
          <w:lang w:val="en-GB"/>
        </w:rPr>
        <w:t>DIKTAS II - Inception Workshop report</w:t>
      </w:r>
      <w:r>
        <w:rPr>
          <w:lang w:val="en-GB"/>
        </w:rPr>
        <w:t xml:space="preserve"> (2024)</w:t>
      </w:r>
      <w:r w:rsidR="00EC3F16" w:rsidRPr="00EC3F16">
        <w:rPr>
          <w:lang w:val="en-GB"/>
        </w:rPr>
        <w:t>.</w:t>
      </w:r>
    </w:p>
    <w:p w14:paraId="4DF95E5F" w14:textId="4E036BCF" w:rsidR="00EC3F16" w:rsidRPr="00EC3F16" w:rsidRDefault="00EC3F16" w:rsidP="00EC3F16">
      <w:pPr>
        <w:pStyle w:val="ListParagraph"/>
        <w:numPr>
          <w:ilvl w:val="0"/>
          <w:numId w:val="81"/>
        </w:numPr>
        <w:rPr>
          <w:lang w:val="en-GB"/>
        </w:rPr>
      </w:pPr>
      <w:r w:rsidRPr="00EC3F16">
        <w:rPr>
          <w:lang w:val="en-GB"/>
        </w:rPr>
        <w:t>Zwahlen, F. (Ed.) (2004): Vulnerability and Risk Mapping for the Protection of Carbonate (Karst) Aquifers; Final report COST 620; Directorate General Science, Research and Development, European Commission: Brussels, Belgium; 297p.</w:t>
      </w:r>
    </w:p>
    <w:sectPr w:rsidR="00EC3F16" w:rsidRPr="00EC3F16" w:rsidSect="00336FA1">
      <w:footerReference w:type="default" r:id="rId16"/>
      <w:pgSz w:w="11906" w:h="16838"/>
      <w:pgMar w:top="1701" w:right="1440" w:bottom="1440" w:left="1440"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9021B" w14:textId="77777777" w:rsidR="00505714" w:rsidRDefault="00505714" w:rsidP="005833C2">
      <w:pPr>
        <w:spacing w:after="0" w:line="240" w:lineRule="auto"/>
      </w:pPr>
      <w:r>
        <w:separator/>
      </w:r>
    </w:p>
  </w:endnote>
  <w:endnote w:type="continuationSeparator" w:id="0">
    <w:p w14:paraId="29F37F61" w14:textId="77777777" w:rsidR="00505714" w:rsidRDefault="00505714" w:rsidP="00583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0681364"/>
      <w:docPartObj>
        <w:docPartGallery w:val="Page Numbers (Bottom of Page)"/>
        <w:docPartUnique/>
      </w:docPartObj>
    </w:sdtPr>
    <w:sdtEndPr>
      <w:rPr>
        <w:i/>
        <w:iCs/>
        <w:sz w:val="20"/>
        <w:szCs w:val="20"/>
      </w:rPr>
    </w:sdtEndPr>
    <w:sdtContent>
      <w:p w14:paraId="72D7C25D" w14:textId="655C35BD" w:rsidR="00044875" w:rsidRPr="00044875" w:rsidRDefault="00044875">
        <w:pPr>
          <w:pStyle w:val="Footer"/>
          <w:jc w:val="right"/>
          <w:rPr>
            <w:i/>
            <w:iCs/>
            <w:sz w:val="20"/>
            <w:szCs w:val="20"/>
          </w:rPr>
        </w:pPr>
        <w:r w:rsidRPr="00044875">
          <w:rPr>
            <w:i/>
            <w:iCs/>
            <w:sz w:val="20"/>
            <w:szCs w:val="20"/>
          </w:rPr>
          <w:fldChar w:fldCharType="begin"/>
        </w:r>
        <w:r w:rsidRPr="00044875">
          <w:rPr>
            <w:i/>
            <w:iCs/>
            <w:sz w:val="20"/>
            <w:szCs w:val="20"/>
          </w:rPr>
          <w:instrText>PAGE   \* MERGEFORMAT</w:instrText>
        </w:r>
        <w:r w:rsidRPr="00044875">
          <w:rPr>
            <w:i/>
            <w:iCs/>
            <w:sz w:val="20"/>
            <w:szCs w:val="20"/>
          </w:rPr>
          <w:fldChar w:fldCharType="separate"/>
        </w:r>
        <w:r w:rsidRPr="00044875">
          <w:rPr>
            <w:i/>
            <w:iCs/>
            <w:sz w:val="20"/>
            <w:szCs w:val="20"/>
            <w:lang w:val="en-GB"/>
          </w:rPr>
          <w:t>2</w:t>
        </w:r>
        <w:r w:rsidRPr="00044875">
          <w:rPr>
            <w:i/>
            <w:iCs/>
            <w:sz w:val="20"/>
            <w:szCs w:val="20"/>
          </w:rPr>
          <w:fldChar w:fldCharType="end"/>
        </w:r>
      </w:p>
    </w:sdtContent>
  </w:sdt>
  <w:p w14:paraId="4BBE15F0" w14:textId="77777777" w:rsidR="00AB60DA" w:rsidRDefault="00AB60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8FC8" w14:textId="247615EA" w:rsidR="0017209D" w:rsidRDefault="0017209D">
    <w:pPr>
      <w:pStyle w:val="Footer"/>
      <w:jc w:val="right"/>
    </w:pPr>
  </w:p>
  <w:p w14:paraId="031442E4" w14:textId="77777777" w:rsidR="001D2F82" w:rsidRDefault="001D2F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4936906"/>
      <w:docPartObj>
        <w:docPartGallery w:val="Page Numbers (Bottom of Page)"/>
        <w:docPartUnique/>
      </w:docPartObj>
    </w:sdtPr>
    <w:sdtContent>
      <w:p w14:paraId="7D05B4D8" w14:textId="100C2AEB" w:rsidR="00336FA1" w:rsidRDefault="00336FA1">
        <w:pPr>
          <w:pStyle w:val="Footer"/>
          <w:jc w:val="right"/>
        </w:pPr>
        <w:r>
          <w:fldChar w:fldCharType="begin"/>
        </w:r>
        <w:r>
          <w:instrText>PAGE   \* MERGEFORMAT</w:instrText>
        </w:r>
        <w:r>
          <w:fldChar w:fldCharType="separate"/>
        </w:r>
        <w:r>
          <w:rPr>
            <w:lang w:val="hr-HR"/>
          </w:rPr>
          <w:t>2</w:t>
        </w:r>
        <w:r>
          <w:fldChar w:fldCharType="end"/>
        </w:r>
      </w:p>
    </w:sdtContent>
  </w:sdt>
  <w:p w14:paraId="1E576174" w14:textId="77777777" w:rsidR="00E01435" w:rsidRDefault="00E014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486B9" w14:textId="77777777" w:rsidR="00505714" w:rsidRDefault="00505714" w:rsidP="005833C2">
      <w:pPr>
        <w:spacing w:after="0" w:line="240" w:lineRule="auto"/>
      </w:pPr>
      <w:r>
        <w:separator/>
      </w:r>
    </w:p>
  </w:footnote>
  <w:footnote w:type="continuationSeparator" w:id="0">
    <w:p w14:paraId="7753BB9A" w14:textId="77777777" w:rsidR="00505714" w:rsidRDefault="00505714" w:rsidP="00583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55349" w14:textId="77777777" w:rsidR="00AB60DA" w:rsidRDefault="00AB60DA">
    <w:pPr>
      <w:pStyle w:val="Header"/>
    </w:pPr>
    <w:r>
      <w:rPr>
        <w:noProof/>
        <w:lang w:val="en-US"/>
      </w:rPr>
      <mc:AlternateContent>
        <mc:Choice Requires="wps">
          <w:drawing>
            <wp:anchor distT="0" distB="0" distL="114300" distR="114300" simplePos="0" relativeHeight="251663360" behindDoc="0" locked="0" layoutInCell="1" allowOverlap="1" wp14:anchorId="71012B0D" wp14:editId="54DD961F">
              <wp:simplePos x="0" y="0"/>
              <wp:positionH relativeFrom="column">
                <wp:posOffset>1076325</wp:posOffset>
              </wp:positionH>
              <wp:positionV relativeFrom="paragraph">
                <wp:posOffset>345440</wp:posOffset>
              </wp:positionV>
              <wp:extent cx="5257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7540E8"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4.75pt,27.2pt" to="498.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" strokecolor="#4472c4 [3204]" strokeweight=".5pt">
              <v:stroke joinstyle="miter"/>
            </v:line>
          </w:pict>
        </mc:Fallback>
      </mc:AlternateContent>
    </w:r>
    <w:r w:rsidRPr="00E36ECF">
      <w:rPr>
        <w:noProof/>
        <w:lang w:val="en-US"/>
      </w:rPr>
      <w:drawing>
        <wp:anchor distT="0" distB="0" distL="114300" distR="114300" simplePos="0" relativeHeight="251656192" behindDoc="0" locked="0" layoutInCell="1" allowOverlap="1" wp14:anchorId="53D4FB9A" wp14:editId="2CC522B5">
          <wp:simplePos x="0" y="0"/>
          <wp:positionH relativeFrom="column">
            <wp:posOffset>-57150</wp:posOffset>
          </wp:positionH>
          <wp:positionV relativeFrom="paragraph">
            <wp:posOffset>-254635</wp:posOffset>
          </wp:positionV>
          <wp:extent cx="1099997" cy="619125"/>
          <wp:effectExtent l="0" t="0" r="5080" b="0"/>
          <wp:wrapNone/>
          <wp:docPr id="415051435" name="Picture 41505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C2E"/>
    <w:multiLevelType w:val="hybridMultilevel"/>
    <w:tmpl w:val="E548BECE"/>
    <w:lvl w:ilvl="0" w:tplc="DAB8506C">
      <w:start w:val="4"/>
      <w:numFmt w:val="bullet"/>
      <w:lvlText w:val="-"/>
      <w:lvlJc w:val="left"/>
      <w:pPr>
        <w:ind w:left="36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2B5167F"/>
    <w:multiLevelType w:val="hybridMultilevel"/>
    <w:tmpl w:val="5AB42C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75862B8"/>
    <w:multiLevelType w:val="multilevel"/>
    <w:tmpl w:val="5248EE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D5A4D"/>
    <w:multiLevelType w:val="hybridMultilevel"/>
    <w:tmpl w:val="15049E74"/>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7E747B4"/>
    <w:multiLevelType w:val="hybridMultilevel"/>
    <w:tmpl w:val="F9F4871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A8D0686"/>
    <w:multiLevelType w:val="multilevel"/>
    <w:tmpl w:val="FF60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C43A3B"/>
    <w:multiLevelType w:val="hybridMultilevel"/>
    <w:tmpl w:val="739E076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EC975EE"/>
    <w:multiLevelType w:val="hybridMultilevel"/>
    <w:tmpl w:val="1B32B86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3B64F25"/>
    <w:multiLevelType w:val="hybridMultilevel"/>
    <w:tmpl w:val="EE62BD6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3FE36C1"/>
    <w:multiLevelType w:val="hybridMultilevel"/>
    <w:tmpl w:val="985475D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62D6DA4"/>
    <w:multiLevelType w:val="multilevel"/>
    <w:tmpl w:val="D57A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A2149F"/>
    <w:multiLevelType w:val="multilevel"/>
    <w:tmpl w:val="7A267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11089F"/>
    <w:multiLevelType w:val="hybridMultilevel"/>
    <w:tmpl w:val="CB6ECF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D7D09B3"/>
    <w:multiLevelType w:val="hybridMultilevel"/>
    <w:tmpl w:val="D092EF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DC963F8"/>
    <w:multiLevelType w:val="multilevel"/>
    <w:tmpl w:val="D828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5E3611"/>
    <w:multiLevelType w:val="hybridMultilevel"/>
    <w:tmpl w:val="CCAC6EBC"/>
    <w:lvl w:ilvl="0" w:tplc="FFFFFFFF">
      <w:start w:val="1"/>
      <w:numFmt w:val="decimal"/>
      <w:lvlText w:val="%1."/>
      <w:lvlJc w:val="left"/>
      <w:pPr>
        <w:ind w:left="785"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E683346"/>
    <w:multiLevelType w:val="hybridMultilevel"/>
    <w:tmpl w:val="CCAC6EBC"/>
    <w:lvl w:ilvl="0" w:tplc="FFFFFFFF">
      <w:start w:val="1"/>
      <w:numFmt w:val="decimal"/>
      <w:lvlText w:val="%1."/>
      <w:lvlJc w:val="left"/>
      <w:pPr>
        <w:ind w:left="785"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31F037A"/>
    <w:multiLevelType w:val="hybridMultilevel"/>
    <w:tmpl w:val="064275A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3E07E43"/>
    <w:multiLevelType w:val="hybridMultilevel"/>
    <w:tmpl w:val="6B04137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24330348"/>
    <w:multiLevelType w:val="hybridMultilevel"/>
    <w:tmpl w:val="03485B6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4F9232D"/>
    <w:multiLevelType w:val="multilevel"/>
    <w:tmpl w:val="386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E80C6F"/>
    <w:multiLevelType w:val="hybridMultilevel"/>
    <w:tmpl w:val="484AD4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2E70443B"/>
    <w:multiLevelType w:val="hybridMultilevel"/>
    <w:tmpl w:val="AF1EC6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2EFF3539"/>
    <w:multiLevelType w:val="multilevel"/>
    <w:tmpl w:val="FA4A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A75396"/>
    <w:multiLevelType w:val="hybridMultilevel"/>
    <w:tmpl w:val="E9CE181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304D27E9"/>
    <w:multiLevelType w:val="hybridMultilevel"/>
    <w:tmpl w:val="EE76E824"/>
    <w:lvl w:ilvl="0" w:tplc="5A3AD876">
      <w:start w:val="1"/>
      <w:numFmt w:val="bullet"/>
      <w:lvlText w:val=""/>
      <w:lvlJc w:val="left"/>
      <w:pPr>
        <w:ind w:left="720" w:hanging="360"/>
      </w:pPr>
      <w:rPr>
        <w:rFonts w:ascii="Wingdings" w:hAnsi="Wingdings"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33C308DD"/>
    <w:multiLevelType w:val="hybridMultilevel"/>
    <w:tmpl w:val="CCAC6EBC"/>
    <w:lvl w:ilvl="0" w:tplc="FFFFFFFF">
      <w:start w:val="1"/>
      <w:numFmt w:val="decimal"/>
      <w:lvlText w:val="%1."/>
      <w:lvlJc w:val="left"/>
      <w:pPr>
        <w:ind w:left="785"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4044B9C"/>
    <w:multiLevelType w:val="hybridMultilevel"/>
    <w:tmpl w:val="A45012DE"/>
    <w:lvl w:ilvl="0" w:tplc="DAB8506C">
      <w:start w:val="4"/>
      <w:numFmt w:val="bullet"/>
      <w:lvlText w:val="-"/>
      <w:lvlJc w:val="left"/>
      <w:pPr>
        <w:ind w:left="36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6C309FC"/>
    <w:multiLevelType w:val="multilevel"/>
    <w:tmpl w:val="976C7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E75425"/>
    <w:multiLevelType w:val="multilevel"/>
    <w:tmpl w:val="B71A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9D061B"/>
    <w:multiLevelType w:val="hybridMultilevel"/>
    <w:tmpl w:val="B194F4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3A80078E"/>
    <w:multiLevelType w:val="multilevel"/>
    <w:tmpl w:val="1A2A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07141A"/>
    <w:multiLevelType w:val="hybridMultilevel"/>
    <w:tmpl w:val="B54818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3C9A1156"/>
    <w:multiLevelType w:val="multilevel"/>
    <w:tmpl w:val="754E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E83F46"/>
    <w:multiLevelType w:val="hybridMultilevel"/>
    <w:tmpl w:val="BC7445EA"/>
    <w:lvl w:ilvl="0" w:tplc="DAB8506C">
      <w:start w:val="4"/>
      <w:numFmt w:val="bullet"/>
      <w:lvlText w:val="-"/>
      <w:lvlJc w:val="left"/>
      <w:pPr>
        <w:ind w:left="360" w:hanging="360"/>
      </w:pPr>
      <w:rPr>
        <w:rFonts w:ascii="Calibri" w:eastAsia="Times New Roman"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5" w15:restartNumberingAfterBreak="0">
    <w:nsid w:val="3DE960C2"/>
    <w:multiLevelType w:val="hybridMultilevel"/>
    <w:tmpl w:val="800231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42155B87"/>
    <w:multiLevelType w:val="hybridMultilevel"/>
    <w:tmpl w:val="0B40E9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456B6344"/>
    <w:multiLevelType w:val="hybridMultilevel"/>
    <w:tmpl w:val="CCAC6EBC"/>
    <w:lvl w:ilvl="0" w:tplc="041A000F">
      <w:start w:val="1"/>
      <w:numFmt w:val="decimal"/>
      <w:lvlText w:val="%1."/>
      <w:lvlJc w:val="left"/>
      <w:pPr>
        <w:ind w:left="785"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5A87A4C"/>
    <w:multiLevelType w:val="hybridMultilevel"/>
    <w:tmpl w:val="1F3A78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45F03873"/>
    <w:multiLevelType w:val="multilevel"/>
    <w:tmpl w:val="84788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845B7C"/>
    <w:multiLevelType w:val="multilevel"/>
    <w:tmpl w:val="F27C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53286F"/>
    <w:multiLevelType w:val="hybridMultilevel"/>
    <w:tmpl w:val="E30E3B5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4BB3537E"/>
    <w:multiLevelType w:val="hybridMultilevel"/>
    <w:tmpl w:val="C00C3C8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4C243CB0"/>
    <w:multiLevelType w:val="hybridMultilevel"/>
    <w:tmpl w:val="D5AA8A00"/>
    <w:lvl w:ilvl="0" w:tplc="8A68356C">
      <w:numFmt w:val="bullet"/>
      <w:lvlText w:val="•"/>
      <w:lvlJc w:val="left"/>
      <w:pPr>
        <w:ind w:left="1068" w:hanging="708"/>
      </w:pPr>
      <w:rPr>
        <w:rFonts w:ascii="Aptos" w:eastAsiaTheme="minorHAnsi" w:hAnsi="Aptos"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4C4F26CA"/>
    <w:multiLevelType w:val="hybridMultilevel"/>
    <w:tmpl w:val="BFD0251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4D754D13"/>
    <w:multiLevelType w:val="hybridMultilevel"/>
    <w:tmpl w:val="68F0611A"/>
    <w:lvl w:ilvl="0" w:tplc="8A68356C">
      <w:numFmt w:val="bullet"/>
      <w:lvlText w:val="•"/>
      <w:lvlJc w:val="left"/>
      <w:pPr>
        <w:ind w:left="1068" w:hanging="708"/>
      </w:pPr>
      <w:rPr>
        <w:rFonts w:ascii="Aptos" w:eastAsiaTheme="minorHAnsi" w:hAnsi="Aptos"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4E960880"/>
    <w:multiLevelType w:val="hybridMultilevel"/>
    <w:tmpl w:val="69D6C5A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4F0706E9"/>
    <w:multiLevelType w:val="hybridMultilevel"/>
    <w:tmpl w:val="9E603EF6"/>
    <w:lvl w:ilvl="0" w:tplc="8A68356C">
      <w:numFmt w:val="bullet"/>
      <w:lvlText w:val="•"/>
      <w:lvlJc w:val="left"/>
      <w:pPr>
        <w:ind w:left="1068" w:hanging="708"/>
      </w:pPr>
      <w:rPr>
        <w:rFonts w:ascii="Aptos" w:eastAsiaTheme="minorHAnsi" w:hAnsi="Aptos"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4F0D6945"/>
    <w:multiLevelType w:val="hybridMultilevel"/>
    <w:tmpl w:val="9DB8421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9" w15:restartNumberingAfterBreak="0">
    <w:nsid w:val="51840A20"/>
    <w:multiLevelType w:val="hybridMultilevel"/>
    <w:tmpl w:val="3326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3AA5E1D"/>
    <w:multiLevelType w:val="hybridMultilevel"/>
    <w:tmpl w:val="94921CC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1" w15:restartNumberingAfterBreak="0">
    <w:nsid w:val="542B3C16"/>
    <w:multiLevelType w:val="hybridMultilevel"/>
    <w:tmpl w:val="CCAC6EBC"/>
    <w:lvl w:ilvl="0" w:tplc="FFFFFFFF">
      <w:start w:val="1"/>
      <w:numFmt w:val="decimal"/>
      <w:lvlText w:val="%1."/>
      <w:lvlJc w:val="left"/>
      <w:pPr>
        <w:ind w:left="785"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77F779A"/>
    <w:multiLevelType w:val="hybridMultilevel"/>
    <w:tmpl w:val="34A2B7F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57B16B3F"/>
    <w:multiLevelType w:val="hybridMultilevel"/>
    <w:tmpl w:val="422AD9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59A27490"/>
    <w:multiLevelType w:val="hybridMultilevel"/>
    <w:tmpl w:val="F1EECA6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5A135C09"/>
    <w:multiLevelType w:val="hybridMultilevel"/>
    <w:tmpl w:val="202A55D2"/>
    <w:lvl w:ilvl="0" w:tplc="FFFFFFFF">
      <w:start w:val="1"/>
      <w:numFmt w:val="decimal"/>
      <w:lvlText w:val="%1."/>
      <w:lvlJc w:val="left"/>
      <w:pPr>
        <w:ind w:left="1068" w:hanging="360"/>
      </w:pPr>
      <w:rPr>
        <w:b w:val="0"/>
        <w:bCs w:val="0"/>
      </w:rPr>
    </w:lvl>
    <w:lvl w:ilvl="1" w:tplc="041A0019" w:tentative="1">
      <w:start w:val="1"/>
      <w:numFmt w:val="lowerLetter"/>
      <w:lvlText w:val="%2."/>
      <w:lvlJc w:val="left"/>
      <w:pPr>
        <w:ind w:left="1723" w:hanging="360"/>
      </w:pPr>
    </w:lvl>
    <w:lvl w:ilvl="2" w:tplc="041A001B" w:tentative="1">
      <w:start w:val="1"/>
      <w:numFmt w:val="lowerRoman"/>
      <w:lvlText w:val="%3."/>
      <w:lvlJc w:val="right"/>
      <w:pPr>
        <w:ind w:left="2443" w:hanging="180"/>
      </w:pPr>
    </w:lvl>
    <w:lvl w:ilvl="3" w:tplc="041A000F" w:tentative="1">
      <w:start w:val="1"/>
      <w:numFmt w:val="decimal"/>
      <w:lvlText w:val="%4."/>
      <w:lvlJc w:val="left"/>
      <w:pPr>
        <w:ind w:left="3163" w:hanging="360"/>
      </w:pPr>
    </w:lvl>
    <w:lvl w:ilvl="4" w:tplc="041A0019" w:tentative="1">
      <w:start w:val="1"/>
      <w:numFmt w:val="lowerLetter"/>
      <w:lvlText w:val="%5."/>
      <w:lvlJc w:val="left"/>
      <w:pPr>
        <w:ind w:left="3883" w:hanging="360"/>
      </w:pPr>
    </w:lvl>
    <w:lvl w:ilvl="5" w:tplc="041A001B" w:tentative="1">
      <w:start w:val="1"/>
      <w:numFmt w:val="lowerRoman"/>
      <w:lvlText w:val="%6."/>
      <w:lvlJc w:val="right"/>
      <w:pPr>
        <w:ind w:left="4603" w:hanging="180"/>
      </w:pPr>
    </w:lvl>
    <w:lvl w:ilvl="6" w:tplc="041A000F" w:tentative="1">
      <w:start w:val="1"/>
      <w:numFmt w:val="decimal"/>
      <w:lvlText w:val="%7."/>
      <w:lvlJc w:val="left"/>
      <w:pPr>
        <w:ind w:left="5323" w:hanging="360"/>
      </w:pPr>
    </w:lvl>
    <w:lvl w:ilvl="7" w:tplc="041A0019" w:tentative="1">
      <w:start w:val="1"/>
      <w:numFmt w:val="lowerLetter"/>
      <w:lvlText w:val="%8."/>
      <w:lvlJc w:val="left"/>
      <w:pPr>
        <w:ind w:left="6043" w:hanging="360"/>
      </w:pPr>
    </w:lvl>
    <w:lvl w:ilvl="8" w:tplc="041A001B" w:tentative="1">
      <w:start w:val="1"/>
      <w:numFmt w:val="lowerRoman"/>
      <w:lvlText w:val="%9."/>
      <w:lvlJc w:val="right"/>
      <w:pPr>
        <w:ind w:left="6763" w:hanging="180"/>
      </w:pPr>
    </w:lvl>
  </w:abstractNum>
  <w:abstractNum w:abstractNumId="56" w15:restartNumberingAfterBreak="0">
    <w:nsid w:val="5A56672C"/>
    <w:multiLevelType w:val="hybridMultilevel"/>
    <w:tmpl w:val="3ABC9104"/>
    <w:lvl w:ilvl="0" w:tplc="E242AD26">
      <w:start w:val="2"/>
      <w:numFmt w:val="bullet"/>
      <w:lvlText w:val="-"/>
      <w:lvlJc w:val="left"/>
      <w:pPr>
        <w:ind w:left="720" w:hanging="360"/>
      </w:pPr>
      <w:rPr>
        <w:rFonts w:ascii="Aptos" w:eastAsiaTheme="minorHAnsi" w:hAnsi="Aptos"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7" w15:restartNumberingAfterBreak="0">
    <w:nsid w:val="5B477C66"/>
    <w:multiLevelType w:val="hybridMultilevel"/>
    <w:tmpl w:val="58D0AF04"/>
    <w:lvl w:ilvl="0" w:tplc="8A68356C">
      <w:numFmt w:val="bullet"/>
      <w:lvlText w:val="•"/>
      <w:lvlJc w:val="left"/>
      <w:pPr>
        <w:ind w:left="1068" w:hanging="708"/>
      </w:pPr>
      <w:rPr>
        <w:rFonts w:ascii="Aptos" w:eastAsiaTheme="minorHAnsi" w:hAnsi="Aptos"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8" w15:restartNumberingAfterBreak="0">
    <w:nsid w:val="5B8556AC"/>
    <w:multiLevelType w:val="hybridMultilevel"/>
    <w:tmpl w:val="26C6D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C92287B"/>
    <w:multiLevelType w:val="hybridMultilevel"/>
    <w:tmpl w:val="6B4A874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0" w15:restartNumberingAfterBreak="0">
    <w:nsid w:val="5F325305"/>
    <w:multiLevelType w:val="hybridMultilevel"/>
    <w:tmpl w:val="D1FEB82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1" w15:restartNumberingAfterBreak="0">
    <w:nsid w:val="60AB54F4"/>
    <w:multiLevelType w:val="hybridMultilevel"/>
    <w:tmpl w:val="A9FCAC4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2" w15:restartNumberingAfterBreak="0">
    <w:nsid w:val="61C915B9"/>
    <w:multiLevelType w:val="hybridMultilevel"/>
    <w:tmpl w:val="2146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4736703"/>
    <w:multiLevelType w:val="hybridMultilevel"/>
    <w:tmpl w:val="6B3A2E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6B9A3A9A"/>
    <w:multiLevelType w:val="hybridMultilevel"/>
    <w:tmpl w:val="B930049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5" w15:restartNumberingAfterBreak="0">
    <w:nsid w:val="6D471575"/>
    <w:multiLevelType w:val="hybridMultilevel"/>
    <w:tmpl w:val="DBD280C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6" w15:restartNumberingAfterBreak="0">
    <w:nsid w:val="71325FE1"/>
    <w:multiLevelType w:val="hybridMultilevel"/>
    <w:tmpl w:val="FC6C49A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7" w15:restartNumberingAfterBreak="0">
    <w:nsid w:val="71BE4559"/>
    <w:multiLevelType w:val="hybridMultilevel"/>
    <w:tmpl w:val="F58A4BC6"/>
    <w:lvl w:ilvl="0" w:tplc="08090001">
      <w:start w:val="1"/>
      <w:numFmt w:val="bullet"/>
      <w:lvlText w:val=""/>
      <w:lvlJc w:val="left"/>
      <w:pPr>
        <w:ind w:left="720" w:hanging="360"/>
      </w:pPr>
      <w:rPr>
        <w:rFonts w:ascii="Symbol" w:hAnsi="Symbol" w:hint="default"/>
      </w:rPr>
    </w:lvl>
    <w:lvl w:ilvl="1" w:tplc="59767F68">
      <w:numFmt w:val="bullet"/>
      <w:lvlText w:val="•"/>
      <w:lvlJc w:val="left"/>
      <w:pPr>
        <w:ind w:left="1788" w:hanging="708"/>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2045AE1"/>
    <w:multiLevelType w:val="multilevel"/>
    <w:tmpl w:val="5E347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462348D"/>
    <w:multiLevelType w:val="hybridMultilevel"/>
    <w:tmpl w:val="99EC5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59A7322"/>
    <w:multiLevelType w:val="hybridMultilevel"/>
    <w:tmpl w:val="50E842B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1" w15:restartNumberingAfterBreak="0">
    <w:nsid w:val="76376C42"/>
    <w:multiLevelType w:val="hybridMultilevel"/>
    <w:tmpl w:val="9C029F6E"/>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79EA5068"/>
    <w:multiLevelType w:val="hybridMultilevel"/>
    <w:tmpl w:val="E0BC1D5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3" w15:restartNumberingAfterBreak="0">
    <w:nsid w:val="7A543980"/>
    <w:multiLevelType w:val="hybridMultilevel"/>
    <w:tmpl w:val="5B3A3D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4" w15:restartNumberingAfterBreak="0">
    <w:nsid w:val="7B24619F"/>
    <w:multiLevelType w:val="hybridMultilevel"/>
    <w:tmpl w:val="D28E44E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5" w15:restartNumberingAfterBreak="0">
    <w:nsid w:val="7BCF0080"/>
    <w:multiLevelType w:val="hybridMultilevel"/>
    <w:tmpl w:val="DC064B50"/>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7F0C3E7F"/>
    <w:multiLevelType w:val="hybridMultilevel"/>
    <w:tmpl w:val="A790B0E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42775240">
    <w:abstractNumId w:val="61"/>
  </w:num>
  <w:num w:numId="2" w16cid:durableId="1982079632">
    <w:abstractNumId w:val="22"/>
  </w:num>
  <w:num w:numId="3" w16cid:durableId="1811511433">
    <w:abstractNumId w:val="74"/>
  </w:num>
  <w:num w:numId="4" w16cid:durableId="2145075120">
    <w:abstractNumId w:val="70"/>
  </w:num>
  <w:num w:numId="5" w16cid:durableId="1180925359">
    <w:abstractNumId w:val="66"/>
  </w:num>
  <w:num w:numId="6" w16cid:durableId="1557009439">
    <w:abstractNumId w:val="6"/>
  </w:num>
  <w:num w:numId="7" w16cid:durableId="354039699">
    <w:abstractNumId w:val="48"/>
  </w:num>
  <w:num w:numId="8" w16cid:durableId="2046639105">
    <w:abstractNumId w:val="18"/>
  </w:num>
  <w:num w:numId="9" w16cid:durableId="829179321">
    <w:abstractNumId w:val="7"/>
  </w:num>
  <w:num w:numId="10" w16cid:durableId="2056196511">
    <w:abstractNumId w:val="17"/>
  </w:num>
  <w:num w:numId="11" w16cid:durableId="717048483">
    <w:abstractNumId w:val="9"/>
  </w:num>
  <w:num w:numId="12" w16cid:durableId="514733185">
    <w:abstractNumId w:val="65"/>
  </w:num>
  <w:num w:numId="13" w16cid:durableId="1994992125">
    <w:abstractNumId w:val="3"/>
  </w:num>
  <w:num w:numId="14" w16cid:durableId="1970698912">
    <w:abstractNumId w:val="25"/>
  </w:num>
  <w:num w:numId="15" w16cid:durableId="1531068340">
    <w:abstractNumId w:val="29"/>
  </w:num>
  <w:num w:numId="16" w16cid:durableId="1688553267">
    <w:abstractNumId w:val="23"/>
  </w:num>
  <w:num w:numId="17" w16cid:durableId="167528683">
    <w:abstractNumId w:val="28"/>
  </w:num>
  <w:num w:numId="18" w16cid:durableId="1763606169">
    <w:abstractNumId w:val="10"/>
  </w:num>
  <w:num w:numId="19" w16cid:durableId="1698382588">
    <w:abstractNumId w:val="5"/>
  </w:num>
  <w:num w:numId="20" w16cid:durableId="525408977">
    <w:abstractNumId w:val="75"/>
  </w:num>
  <w:num w:numId="21" w16cid:durableId="2057775157">
    <w:abstractNumId w:val="2"/>
  </w:num>
  <w:num w:numId="22" w16cid:durableId="441727249">
    <w:abstractNumId w:val="1"/>
  </w:num>
  <w:num w:numId="23" w16cid:durableId="1983383746">
    <w:abstractNumId w:val="21"/>
  </w:num>
  <w:num w:numId="24" w16cid:durableId="1445537668">
    <w:abstractNumId w:val="11"/>
  </w:num>
  <w:num w:numId="25" w16cid:durableId="1165585708">
    <w:abstractNumId w:val="56"/>
  </w:num>
  <w:num w:numId="26" w16cid:durableId="1820614649">
    <w:abstractNumId w:val="39"/>
  </w:num>
  <w:num w:numId="27" w16cid:durableId="1017390988">
    <w:abstractNumId w:val="67"/>
  </w:num>
  <w:num w:numId="28" w16cid:durableId="554047995">
    <w:abstractNumId w:val="58"/>
  </w:num>
  <w:num w:numId="29" w16cid:durableId="2032685900">
    <w:abstractNumId w:val="62"/>
  </w:num>
  <w:num w:numId="30" w16cid:durableId="999624146">
    <w:abstractNumId w:val="69"/>
  </w:num>
  <w:num w:numId="31" w16cid:durableId="2008751947">
    <w:abstractNumId w:val="35"/>
  </w:num>
  <w:num w:numId="32" w16cid:durableId="1458260060">
    <w:abstractNumId w:val="45"/>
  </w:num>
  <w:num w:numId="33" w16cid:durableId="1912229798">
    <w:abstractNumId w:val="57"/>
  </w:num>
  <w:num w:numId="34" w16cid:durableId="243035908">
    <w:abstractNumId w:val="43"/>
  </w:num>
  <w:num w:numId="35" w16cid:durableId="805775520">
    <w:abstractNumId w:val="47"/>
  </w:num>
  <w:num w:numId="36" w16cid:durableId="1167089314">
    <w:abstractNumId w:val="14"/>
  </w:num>
  <w:num w:numId="37" w16cid:durableId="320083125">
    <w:abstractNumId w:val="68"/>
  </w:num>
  <w:num w:numId="38" w16cid:durableId="1577932303">
    <w:abstractNumId w:val="20"/>
  </w:num>
  <w:num w:numId="39" w16cid:durableId="57477585">
    <w:abstractNumId w:val="31"/>
  </w:num>
  <w:num w:numId="40" w16cid:durableId="1691954983">
    <w:abstractNumId w:val="33"/>
  </w:num>
  <w:num w:numId="41" w16cid:durableId="1976131786">
    <w:abstractNumId w:val="37"/>
  </w:num>
  <w:num w:numId="42" w16cid:durableId="1515340371">
    <w:abstractNumId w:val="51"/>
  </w:num>
  <w:num w:numId="43" w16cid:durableId="1046413752">
    <w:abstractNumId w:val="26"/>
  </w:num>
  <w:num w:numId="44" w16cid:durableId="1997417773">
    <w:abstractNumId w:val="55"/>
  </w:num>
  <w:num w:numId="45" w16cid:durableId="1661078812">
    <w:abstractNumId w:val="15"/>
  </w:num>
  <w:num w:numId="46" w16cid:durableId="1328633236">
    <w:abstractNumId w:val="16"/>
  </w:num>
  <w:num w:numId="47" w16cid:durableId="164562185">
    <w:abstractNumId w:val="49"/>
  </w:num>
  <w:num w:numId="48" w16cid:durableId="1634210611">
    <w:abstractNumId w:val="71"/>
  </w:num>
  <w:num w:numId="49" w16cid:durableId="1438451059">
    <w:abstractNumId w:val="42"/>
  </w:num>
  <w:num w:numId="50" w16cid:durableId="1077440151">
    <w:abstractNumId w:val="13"/>
  </w:num>
  <w:num w:numId="51" w16cid:durableId="609045533">
    <w:abstractNumId w:val="38"/>
  </w:num>
  <w:num w:numId="52" w16cid:durableId="524372377">
    <w:abstractNumId w:val="19"/>
  </w:num>
  <w:num w:numId="53" w16cid:durableId="917906075">
    <w:abstractNumId w:val="40"/>
  </w:num>
  <w:num w:numId="54" w16cid:durableId="7908280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8777661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0105918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6738068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712922983">
    <w:abstractNumId w:val="44"/>
  </w:num>
  <w:num w:numId="59" w16cid:durableId="1094008065">
    <w:abstractNumId w:val="12"/>
  </w:num>
  <w:num w:numId="60" w16cid:durableId="343939299">
    <w:abstractNumId w:val="60"/>
  </w:num>
  <w:num w:numId="61" w16cid:durableId="442309828">
    <w:abstractNumId w:val="32"/>
  </w:num>
  <w:num w:numId="62" w16cid:durableId="107286394">
    <w:abstractNumId w:val="59"/>
  </w:num>
  <w:num w:numId="63" w16cid:durableId="352996418">
    <w:abstractNumId w:val="41"/>
  </w:num>
  <w:num w:numId="64" w16cid:durableId="639769336">
    <w:abstractNumId w:val="36"/>
  </w:num>
  <w:num w:numId="65" w16cid:durableId="1165167978">
    <w:abstractNumId w:val="46"/>
  </w:num>
  <w:num w:numId="66" w16cid:durableId="1466116057">
    <w:abstractNumId w:val="54"/>
  </w:num>
  <w:num w:numId="67" w16cid:durableId="2069721188">
    <w:abstractNumId w:val="76"/>
  </w:num>
  <w:num w:numId="68" w16cid:durableId="77871277">
    <w:abstractNumId w:val="73"/>
  </w:num>
  <w:num w:numId="69" w16cid:durableId="817769363">
    <w:abstractNumId w:val="53"/>
  </w:num>
  <w:num w:numId="70" w16cid:durableId="386228449">
    <w:abstractNumId w:val="63"/>
  </w:num>
  <w:num w:numId="71" w16cid:durableId="1519545025">
    <w:abstractNumId w:val="30"/>
  </w:num>
  <w:num w:numId="72" w16cid:durableId="1472405371">
    <w:abstractNumId w:val="34"/>
  </w:num>
  <w:num w:numId="73" w16cid:durableId="1080178936">
    <w:abstractNumId w:val="27"/>
  </w:num>
  <w:num w:numId="74" w16cid:durableId="370349143">
    <w:abstractNumId w:val="0"/>
  </w:num>
  <w:num w:numId="75" w16cid:durableId="2058813924">
    <w:abstractNumId w:val="24"/>
  </w:num>
  <w:num w:numId="76" w16cid:durableId="2088384113">
    <w:abstractNumId w:val="50"/>
  </w:num>
  <w:num w:numId="77" w16cid:durableId="430589839">
    <w:abstractNumId w:val="4"/>
  </w:num>
  <w:num w:numId="78" w16cid:durableId="1315793813">
    <w:abstractNumId w:val="72"/>
  </w:num>
  <w:num w:numId="79" w16cid:durableId="1484155243">
    <w:abstractNumId w:val="64"/>
  </w:num>
  <w:num w:numId="80" w16cid:durableId="239145706">
    <w:abstractNumId w:val="52"/>
  </w:num>
  <w:num w:numId="81" w16cid:durableId="13755468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3C2"/>
    <w:rsid w:val="0000243E"/>
    <w:rsid w:val="0000320F"/>
    <w:rsid w:val="00011924"/>
    <w:rsid w:val="00011CA4"/>
    <w:rsid w:val="0001208C"/>
    <w:rsid w:val="0001221F"/>
    <w:rsid w:val="00014D3C"/>
    <w:rsid w:val="00014E2F"/>
    <w:rsid w:val="00015CDD"/>
    <w:rsid w:val="000176CD"/>
    <w:rsid w:val="0001796C"/>
    <w:rsid w:val="00017DE5"/>
    <w:rsid w:val="00020389"/>
    <w:rsid w:val="0002039F"/>
    <w:rsid w:val="00021EC4"/>
    <w:rsid w:val="00021F64"/>
    <w:rsid w:val="000226F4"/>
    <w:rsid w:val="00023730"/>
    <w:rsid w:val="000251CF"/>
    <w:rsid w:val="00027BDA"/>
    <w:rsid w:val="00031F63"/>
    <w:rsid w:val="00032B25"/>
    <w:rsid w:val="00032B26"/>
    <w:rsid w:val="00033083"/>
    <w:rsid w:val="00033722"/>
    <w:rsid w:val="00033AA0"/>
    <w:rsid w:val="00040FE7"/>
    <w:rsid w:val="00041157"/>
    <w:rsid w:val="00044875"/>
    <w:rsid w:val="0004719F"/>
    <w:rsid w:val="00047440"/>
    <w:rsid w:val="00047DD0"/>
    <w:rsid w:val="00054B5E"/>
    <w:rsid w:val="00057249"/>
    <w:rsid w:val="000573B2"/>
    <w:rsid w:val="00060A20"/>
    <w:rsid w:val="00063F8C"/>
    <w:rsid w:val="00064AE8"/>
    <w:rsid w:val="00065619"/>
    <w:rsid w:val="00065CA0"/>
    <w:rsid w:val="000704D0"/>
    <w:rsid w:val="00071736"/>
    <w:rsid w:val="00074638"/>
    <w:rsid w:val="00074A8B"/>
    <w:rsid w:val="000778C1"/>
    <w:rsid w:val="00077E7A"/>
    <w:rsid w:val="00080D0C"/>
    <w:rsid w:val="000817F4"/>
    <w:rsid w:val="00082477"/>
    <w:rsid w:val="00083305"/>
    <w:rsid w:val="0008396B"/>
    <w:rsid w:val="00084AAD"/>
    <w:rsid w:val="00090D61"/>
    <w:rsid w:val="00092830"/>
    <w:rsid w:val="00093EA3"/>
    <w:rsid w:val="00093F3B"/>
    <w:rsid w:val="00094843"/>
    <w:rsid w:val="000971C3"/>
    <w:rsid w:val="000A3AA7"/>
    <w:rsid w:val="000A4582"/>
    <w:rsid w:val="000A4AAC"/>
    <w:rsid w:val="000A59AD"/>
    <w:rsid w:val="000B00B4"/>
    <w:rsid w:val="000B0D77"/>
    <w:rsid w:val="000B4994"/>
    <w:rsid w:val="000B5AE9"/>
    <w:rsid w:val="000C2FA2"/>
    <w:rsid w:val="000C4ABB"/>
    <w:rsid w:val="000C54AB"/>
    <w:rsid w:val="000C6ACE"/>
    <w:rsid w:val="000D198E"/>
    <w:rsid w:val="000D2CAD"/>
    <w:rsid w:val="000D665C"/>
    <w:rsid w:val="000E0345"/>
    <w:rsid w:val="000E2C3F"/>
    <w:rsid w:val="000E469F"/>
    <w:rsid w:val="000E54EA"/>
    <w:rsid w:val="000F2928"/>
    <w:rsid w:val="000F34E4"/>
    <w:rsid w:val="000F3914"/>
    <w:rsid w:val="000F3F68"/>
    <w:rsid w:val="000F53A6"/>
    <w:rsid w:val="000F5575"/>
    <w:rsid w:val="000F6109"/>
    <w:rsid w:val="000F725F"/>
    <w:rsid w:val="00100D7C"/>
    <w:rsid w:val="00103163"/>
    <w:rsid w:val="00103C70"/>
    <w:rsid w:val="00103CF4"/>
    <w:rsid w:val="00104294"/>
    <w:rsid w:val="001048ED"/>
    <w:rsid w:val="00106AE3"/>
    <w:rsid w:val="00106F33"/>
    <w:rsid w:val="001078A8"/>
    <w:rsid w:val="00111F79"/>
    <w:rsid w:val="00115064"/>
    <w:rsid w:val="00115694"/>
    <w:rsid w:val="00115718"/>
    <w:rsid w:val="00116DCE"/>
    <w:rsid w:val="0012270F"/>
    <w:rsid w:val="00122EF0"/>
    <w:rsid w:val="00124FEF"/>
    <w:rsid w:val="001253A7"/>
    <w:rsid w:val="00126199"/>
    <w:rsid w:val="00126841"/>
    <w:rsid w:val="001310D1"/>
    <w:rsid w:val="00131424"/>
    <w:rsid w:val="00131A26"/>
    <w:rsid w:val="00134460"/>
    <w:rsid w:val="00134724"/>
    <w:rsid w:val="001356C3"/>
    <w:rsid w:val="00140C88"/>
    <w:rsid w:val="00142B89"/>
    <w:rsid w:val="001430FF"/>
    <w:rsid w:val="001439B4"/>
    <w:rsid w:val="00146195"/>
    <w:rsid w:val="001505C0"/>
    <w:rsid w:val="00155013"/>
    <w:rsid w:val="001555DC"/>
    <w:rsid w:val="001566BC"/>
    <w:rsid w:val="001616B5"/>
    <w:rsid w:val="0016414D"/>
    <w:rsid w:val="00166BA8"/>
    <w:rsid w:val="001708FB"/>
    <w:rsid w:val="001709F5"/>
    <w:rsid w:val="00171CA3"/>
    <w:rsid w:val="0017209D"/>
    <w:rsid w:val="00172145"/>
    <w:rsid w:val="00176877"/>
    <w:rsid w:val="00180E65"/>
    <w:rsid w:val="00182509"/>
    <w:rsid w:val="0018265A"/>
    <w:rsid w:val="001827BF"/>
    <w:rsid w:val="00184125"/>
    <w:rsid w:val="00185914"/>
    <w:rsid w:val="001860BF"/>
    <w:rsid w:val="001913A1"/>
    <w:rsid w:val="00193323"/>
    <w:rsid w:val="001958A8"/>
    <w:rsid w:val="00195D24"/>
    <w:rsid w:val="0019774C"/>
    <w:rsid w:val="00197FDF"/>
    <w:rsid w:val="001A0C84"/>
    <w:rsid w:val="001A232C"/>
    <w:rsid w:val="001A244B"/>
    <w:rsid w:val="001A32A3"/>
    <w:rsid w:val="001A4AA2"/>
    <w:rsid w:val="001A4B13"/>
    <w:rsid w:val="001A66E6"/>
    <w:rsid w:val="001A71F4"/>
    <w:rsid w:val="001A7317"/>
    <w:rsid w:val="001A75EB"/>
    <w:rsid w:val="001A7B1B"/>
    <w:rsid w:val="001B2A3F"/>
    <w:rsid w:val="001B2EDF"/>
    <w:rsid w:val="001B3435"/>
    <w:rsid w:val="001B3D48"/>
    <w:rsid w:val="001B526E"/>
    <w:rsid w:val="001B5628"/>
    <w:rsid w:val="001B7410"/>
    <w:rsid w:val="001C15FD"/>
    <w:rsid w:val="001C290D"/>
    <w:rsid w:val="001C2F52"/>
    <w:rsid w:val="001C369C"/>
    <w:rsid w:val="001C441F"/>
    <w:rsid w:val="001C4529"/>
    <w:rsid w:val="001C4CFB"/>
    <w:rsid w:val="001C5E7E"/>
    <w:rsid w:val="001C604A"/>
    <w:rsid w:val="001C682F"/>
    <w:rsid w:val="001D1555"/>
    <w:rsid w:val="001D1D2D"/>
    <w:rsid w:val="001D2F82"/>
    <w:rsid w:val="001D35DD"/>
    <w:rsid w:val="001D3793"/>
    <w:rsid w:val="001D3E0B"/>
    <w:rsid w:val="001D48E7"/>
    <w:rsid w:val="001D4E24"/>
    <w:rsid w:val="001D545E"/>
    <w:rsid w:val="001D61AB"/>
    <w:rsid w:val="001E2B04"/>
    <w:rsid w:val="001E2B6A"/>
    <w:rsid w:val="001E4052"/>
    <w:rsid w:val="001E4561"/>
    <w:rsid w:val="001E69EC"/>
    <w:rsid w:val="001F15EE"/>
    <w:rsid w:val="001F36BB"/>
    <w:rsid w:val="001F4170"/>
    <w:rsid w:val="001F4F9E"/>
    <w:rsid w:val="001F71AD"/>
    <w:rsid w:val="001F7D8C"/>
    <w:rsid w:val="002016D4"/>
    <w:rsid w:val="00205147"/>
    <w:rsid w:val="00211892"/>
    <w:rsid w:val="00211895"/>
    <w:rsid w:val="00214336"/>
    <w:rsid w:val="002166E1"/>
    <w:rsid w:val="0021723B"/>
    <w:rsid w:val="00217729"/>
    <w:rsid w:val="00220156"/>
    <w:rsid w:val="00221243"/>
    <w:rsid w:val="002219AD"/>
    <w:rsid w:val="002228B0"/>
    <w:rsid w:val="0022421A"/>
    <w:rsid w:val="00225612"/>
    <w:rsid w:val="002314EA"/>
    <w:rsid w:val="00233352"/>
    <w:rsid w:val="0023501E"/>
    <w:rsid w:val="0024178E"/>
    <w:rsid w:val="0024361E"/>
    <w:rsid w:val="00243D6E"/>
    <w:rsid w:val="002440C2"/>
    <w:rsid w:val="0024600B"/>
    <w:rsid w:val="002465E9"/>
    <w:rsid w:val="00251474"/>
    <w:rsid w:val="0025343D"/>
    <w:rsid w:val="00254298"/>
    <w:rsid w:val="002544CE"/>
    <w:rsid w:val="00254730"/>
    <w:rsid w:val="00256556"/>
    <w:rsid w:val="0025799E"/>
    <w:rsid w:val="00260CC2"/>
    <w:rsid w:val="00266B84"/>
    <w:rsid w:val="002701E9"/>
    <w:rsid w:val="00272299"/>
    <w:rsid w:val="00274660"/>
    <w:rsid w:val="002751D9"/>
    <w:rsid w:val="00276CA5"/>
    <w:rsid w:val="002771AC"/>
    <w:rsid w:val="002801A4"/>
    <w:rsid w:val="00281499"/>
    <w:rsid w:val="00282D29"/>
    <w:rsid w:val="00291758"/>
    <w:rsid w:val="00293943"/>
    <w:rsid w:val="0029484B"/>
    <w:rsid w:val="00294FCF"/>
    <w:rsid w:val="002954BB"/>
    <w:rsid w:val="00295DC1"/>
    <w:rsid w:val="00296E7C"/>
    <w:rsid w:val="002B08E1"/>
    <w:rsid w:val="002B3F38"/>
    <w:rsid w:val="002B4026"/>
    <w:rsid w:val="002B45C3"/>
    <w:rsid w:val="002B4FEE"/>
    <w:rsid w:val="002B761E"/>
    <w:rsid w:val="002B7F8A"/>
    <w:rsid w:val="002C08BB"/>
    <w:rsid w:val="002C128B"/>
    <w:rsid w:val="002C2D40"/>
    <w:rsid w:val="002C3A16"/>
    <w:rsid w:val="002C47D8"/>
    <w:rsid w:val="002C7B7A"/>
    <w:rsid w:val="002D0EB7"/>
    <w:rsid w:val="002D2925"/>
    <w:rsid w:val="002D5537"/>
    <w:rsid w:val="002D7BF5"/>
    <w:rsid w:val="002E0DB2"/>
    <w:rsid w:val="002E11BE"/>
    <w:rsid w:val="002E12FB"/>
    <w:rsid w:val="002E2E1F"/>
    <w:rsid w:val="002E2F73"/>
    <w:rsid w:val="002E38CE"/>
    <w:rsid w:val="002E4C6D"/>
    <w:rsid w:val="002E6A3D"/>
    <w:rsid w:val="002E7653"/>
    <w:rsid w:val="002F153D"/>
    <w:rsid w:val="0030016A"/>
    <w:rsid w:val="00300344"/>
    <w:rsid w:val="0030271B"/>
    <w:rsid w:val="00302BD2"/>
    <w:rsid w:val="00303A1A"/>
    <w:rsid w:val="00305E63"/>
    <w:rsid w:val="003110A8"/>
    <w:rsid w:val="003119E3"/>
    <w:rsid w:val="00313122"/>
    <w:rsid w:val="0031441D"/>
    <w:rsid w:val="00315357"/>
    <w:rsid w:val="00317474"/>
    <w:rsid w:val="00322AFF"/>
    <w:rsid w:val="00324257"/>
    <w:rsid w:val="00326127"/>
    <w:rsid w:val="003262FE"/>
    <w:rsid w:val="003279BC"/>
    <w:rsid w:val="0033141E"/>
    <w:rsid w:val="003319A5"/>
    <w:rsid w:val="00332E09"/>
    <w:rsid w:val="00336FA1"/>
    <w:rsid w:val="00337AAF"/>
    <w:rsid w:val="00340087"/>
    <w:rsid w:val="00342ABC"/>
    <w:rsid w:val="0034338A"/>
    <w:rsid w:val="00343A92"/>
    <w:rsid w:val="003443F7"/>
    <w:rsid w:val="003459F0"/>
    <w:rsid w:val="00350AC3"/>
    <w:rsid w:val="003523D7"/>
    <w:rsid w:val="0035658C"/>
    <w:rsid w:val="0035726D"/>
    <w:rsid w:val="0036025D"/>
    <w:rsid w:val="00361067"/>
    <w:rsid w:val="003611FD"/>
    <w:rsid w:val="00362F74"/>
    <w:rsid w:val="00364B01"/>
    <w:rsid w:val="00367D34"/>
    <w:rsid w:val="003711BC"/>
    <w:rsid w:val="0037132C"/>
    <w:rsid w:val="00372859"/>
    <w:rsid w:val="003735E1"/>
    <w:rsid w:val="00373CF4"/>
    <w:rsid w:val="00375603"/>
    <w:rsid w:val="00375B79"/>
    <w:rsid w:val="00376158"/>
    <w:rsid w:val="00376267"/>
    <w:rsid w:val="00377496"/>
    <w:rsid w:val="00377606"/>
    <w:rsid w:val="00377941"/>
    <w:rsid w:val="003826A0"/>
    <w:rsid w:val="00390720"/>
    <w:rsid w:val="00390D6A"/>
    <w:rsid w:val="0039191C"/>
    <w:rsid w:val="0039498B"/>
    <w:rsid w:val="00396D19"/>
    <w:rsid w:val="00397EAB"/>
    <w:rsid w:val="003A4641"/>
    <w:rsid w:val="003A4A1A"/>
    <w:rsid w:val="003A6810"/>
    <w:rsid w:val="003B035A"/>
    <w:rsid w:val="003B1D46"/>
    <w:rsid w:val="003C22B7"/>
    <w:rsid w:val="003C3DE0"/>
    <w:rsid w:val="003C3E54"/>
    <w:rsid w:val="003C46B0"/>
    <w:rsid w:val="003C68DA"/>
    <w:rsid w:val="003D08F2"/>
    <w:rsid w:val="003D3418"/>
    <w:rsid w:val="003D7C2C"/>
    <w:rsid w:val="003D7F86"/>
    <w:rsid w:val="003E0522"/>
    <w:rsid w:val="003E055D"/>
    <w:rsid w:val="003E3017"/>
    <w:rsid w:val="003E3F27"/>
    <w:rsid w:val="003F0113"/>
    <w:rsid w:val="003F0363"/>
    <w:rsid w:val="003F04B7"/>
    <w:rsid w:val="003F4A02"/>
    <w:rsid w:val="003F4F2B"/>
    <w:rsid w:val="003F52A3"/>
    <w:rsid w:val="004021E8"/>
    <w:rsid w:val="00403045"/>
    <w:rsid w:val="0040434E"/>
    <w:rsid w:val="00404487"/>
    <w:rsid w:val="00404B02"/>
    <w:rsid w:val="0041348C"/>
    <w:rsid w:val="0041441C"/>
    <w:rsid w:val="0042086D"/>
    <w:rsid w:val="00422844"/>
    <w:rsid w:val="004274AC"/>
    <w:rsid w:val="0043078F"/>
    <w:rsid w:val="00432237"/>
    <w:rsid w:val="004337B3"/>
    <w:rsid w:val="00433ABA"/>
    <w:rsid w:val="00442620"/>
    <w:rsid w:val="00444926"/>
    <w:rsid w:val="00445ADE"/>
    <w:rsid w:val="004462A0"/>
    <w:rsid w:val="00446DC3"/>
    <w:rsid w:val="00447DE9"/>
    <w:rsid w:val="00450500"/>
    <w:rsid w:val="00450E18"/>
    <w:rsid w:val="004534C9"/>
    <w:rsid w:val="0045447B"/>
    <w:rsid w:val="00461A8D"/>
    <w:rsid w:val="00461DB0"/>
    <w:rsid w:val="004633B1"/>
    <w:rsid w:val="00463A12"/>
    <w:rsid w:val="00464C1F"/>
    <w:rsid w:val="00470CA6"/>
    <w:rsid w:val="004726F3"/>
    <w:rsid w:val="00472707"/>
    <w:rsid w:val="004727D7"/>
    <w:rsid w:val="004739DE"/>
    <w:rsid w:val="00475AE0"/>
    <w:rsid w:val="00476548"/>
    <w:rsid w:val="00480CEA"/>
    <w:rsid w:val="00481C73"/>
    <w:rsid w:val="00486741"/>
    <w:rsid w:val="00487CDA"/>
    <w:rsid w:val="004909F9"/>
    <w:rsid w:val="00490A65"/>
    <w:rsid w:val="00492427"/>
    <w:rsid w:val="00492DAC"/>
    <w:rsid w:val="0049331A"/>
    <w:rsid w:val="004A0D87"/>
    <w:rsid w:val="004A113D"/>
    <w:rsid w:val="004A162F"/>
    <w:rsid w:val="004A185F"/>
    <w:rsid w:val="004A2730"/>
    <w:rsid w:val="004A3198"/>
    <w:rsid w:val="004A38CA"/>
    <w:rsid w:val="004A4240"/>
    <w:rsid w:val="004A4F8E"/>
    <w:rsid w:val="004B0275"/>
    <w:rsid w:val="004B1BF4"/>
    <w:rsid w:val="004B1DD4"/>
    <w:rsid w:val="004B2ADB"/>
    <w:rsid w:val="004C1027"/>
    <w:rsid w:val="004C3130"/>
    <w:rsid w:val="004C3604"/>
    <w:rsid w:val="004C4070"/>
    <w:rsid w:val="004C4D6E"/>
    <w:rsid w:val="004C5C6D"/>
    <w:rsid w:val="004C6A9F"/>
    <w:rsid w:val="004D0F87"/>
    <w:rsid w:val="004D1A18"/>
    <w:rsid w:val="004D33AB"/>
    <w:rsid w:val="004D53CA"/>
    <w:rsid w:val="004D65FE"/>
    <w:rsid w:val="004D78C8"/>
    <w:rsid w:val="004E2187"/>
    <w:rsid w:val="004E2FA5"/>
    <w:rsid w:val="004F13BA"/>
    <w:rsid w:val="004F18E7"/>
    <w:rsid w:val="004F1B07"/>
    <w:rsid w:val="004F2A8F"/>
    <w:rsid w:val="004F3217"/>
    <w:rsid w:val="004F41C2"/>
    <w:rsid w:val="004F4AAC"/>
    <w:rsid w:val="004F5DFC"/>
    <w:rsid w:val="00501468"/>
    <w:rsid w:val="00501850"/>
    <w:rsid w:val="005022D3"/>
    <w:rsid w:val="005032B5"/>
    <w:rsid w:val="005052BF"/>
    <w:rsid w:val="005054AD"/>
    <w:rsid w:val="00505714"/>
    <w:rsid w:val="005065E9"/>
    <w:rsid w:val="00510574"/>
    <w:rsid w:val="00510740"/>
    <w:rsid w:val="00512A02"/>
    <w:rsid w:val="00517A6E"/>
    <w:rsid w:val="00521410"/>
    <w:rsid w:val="00522621"/>
    <w:rsid w:val="00523A77"/>
    <w:rsid w:val="00524113"/>
    <w:rsid w:val="0052440B"/>
    <w:rsid w:val="0053269A"/>
    <w:rsid w:val="00532E08"/>
    <w:rsid w:val="0053397F"/>
    <w:rsid w:val="00534B85"/>
    <w:rsid w:val="005375C8"/>
    <w:rsid w:val="00540869"/>
    <w:rsid w:val="00541778"/>
    <w:rsid w:val="0054209A"/>
    <w:rsid w:val="005437BF"/>
    <w:rsid w:val="00544C78"/>
    <w:rsid w:val="005455C8"/>
    <w:rsid w:val="00547CA1"/>
    <w:rsid w:val="00550961"/>
    <w:rsid w:val="00554516"/>
    <w:rsid w:val="00555896"/>
    <w:rsid w:val="00560059"/>
    <w:rsid w:val="0056080D"/>
    <w:rsid w:val="00560CCD"/>
    <w:rsid w:val="0056275A"/>
    <w:rsid w:val="0056476D"/>
    <w:rsid w:val="00565046"/>
    <w:rsid w:val="005672F0"/>
    <w:rsid w:val="00571869"/>
    <w:rsid w:val="0057349E"/>
    <w:rsid w:val="0057544A"/>
    <w:rsid w:val="00577973"/>
    <w:rsid w:val="00581AAD"/>
    <w:rsid w:val="00581FCB"/>
    <w:rsid w:val="005833C2"/>
    <w:rsid w:val="0058488A"/>
    <w:rsid w:val="005857A2"/>
    <w:rsid w:val="0059050A"/>
    <w:rsid w:val="00593D57"/>
    <w:rsid w:val="00595204"/>
    <w:rsid w:val="005952EE"/>
    <w:rsid w:val="00596F9D"/>
    <w:rsid w:val="005A2045"/>
    <w:rsid w:val="005A24C3"/>
    <w:rsid w:val="005A4488"/>
    <w:rsid w:val="005A4652"/>
    <w:rsid w:val="005A640E"/>
    <w:rsid w:val="005A78B7"/>
    <w:rsid w:val="005B4DC0"/>
    <w:rsid w:val="005B5209"/>
    <w:rsid w:val="005B7143"/>
    <w:rsid w:val="005B7927"/>
    <w:rsid w:val="005C3827"/>
    <w:rsid w:val="005C6FE8"/>
    <w:rsid w:val="005D0FED"/>
    <w:rsid w:val="005D1300"/>
    <w:rsid w:val="005D1A45"/>
    <w:rsid w:val="005D4349"/>
    <w:rsid w:val="005D4E78"/>
    <w:rsid w:val="005D6982"/>
    <w:rsid w:val="005D6BFC"/>
    <w:rsid w:val="005D710C"/>
    <w:rsid w:val="005D7559"/>
    <w:rsid w:val="005D7BC7"/>
    <w:rsid w:val="005E0003"/>
    <w:rsid w:val="005E059F"/>
    <w:rsid w:val="005E0A02"/>
    <w:rsid w:val="005E1CCA"/>
    <w:rsid w:val="005F4A54"/>
    <w:rsid w:val="005F4A5E"/>
    <w:rsid w:val="005F50FD"/>
    <w:rsid w:val="00600F1E"/>
    <w:rsid w:val="00602654"/>
    <w:rsid w:val="00603DCA"/>
    <w:rsid w:val="00607790"/>
    <w:rsid w:val="006100D3"/>
    <w:rsid w:val="00613747"/>
    <w:rsid w:val="00613D1B"/>
    <w:rsid w:val="006169DB"/>
    <w:rsid w:val="00620E49"/>
    <w:rsid w:val="00621839"/>
    <w:rsid w:val="00622EEE"/>
    <w:rsid w:val="00624097"/>
    <w:rsid w:val="006246DD"/>
    <w:rsid w:val="00624C0D"/>
    <w:rsid w:val="00625165"/>
    <w:rsid w:val="00625965"/>
    <w:rsid w:val="00625DB3"/>
    <w:rsid w:val="0062722C"/>
    <w:rsid w:val="006302B0"/>
    <w:rsid w:val="006302FE"/>
    <w:rsid w:val="0063249E"/>
    <w:rsid w:val="00632FEE"/>
    <w:rsid w:val="006334DF"/>
    <w:rsid w:val="00634499"/>
    <w:rsid w:val="006358AF"/>
    <w:rsid w:val="00635B6D"/>
    <w:rsid w:val="006361F3"/>
    <w:rsid w:val="006377DC"/>
    <w:rsid w:val="0064132F"/>
    <w:rsid w:val="0064158D"/>
    <w:rsid w:val="00641B1A"/>
    <w:rsid w:val="006429FD"/>
    <w:rsid w:val="00643638"/>
    <w:rsid w:val="00645F4C"/>
    <w:rsid w:val="00650293"/>
    <w:rsid w:val="00651476"/>
    <w:rsid w:val="00652E10"/>
    <w:rsid w:val="00655122"/>
    <w:rsid w:val="0065518B"/>
    <w:rsid w:val="006576E1"/>
    <w:rsid w:val="0066148B"/>
    <w:rsid w:val="006623BB"/>
    <w:rsid w:val="00663795"/>
    <w:rsid w:val="006656CF"/>
    <w:rsid w:val="00665BA9"/>
    <w:rsid w:val="0067066A"/>
    <w:rsid w:val="00670D23"/>
    <w:rsid w:val="00670E7D"/>
    <w:rsid w:val="0067103B"/>
    <w:rsid w:val="00674C0D"/>
    <w:rsid w:val="0068075B"/>
    <w:rsid w:val="00682E18"/>
    <w:rsid w:val="00683D66"/>
    <w:rsid w:val="00684AA0"/>
    <w:rsid w:val="00686325"/>
    <w:rsid w:val="00690688"/>
    <w:rsid w:val="00691DC2"/>
    <w:rsid w:val="00692DE1"/>
    <w:rsid w:val="006959AD"/>
    <w:rsid w:val="006959C6"/>
    <w:rsid w:val="00696044"/>
    <w:rsid w:val="006968B5"/>
    <w:rsid w:val="006A10CD"/>
    <w:rsid w:val="006A19B6"/>
    <w:rsid w:val="006A4E57"/>
    <w:rsid w:val="006A59F9"/>
    <w:rsid w:val="006A5C6D"/>
    <w:rsid w:val="006A67B1"/>
    <w:rsid w:val="006B0582"/>
    <w:rsid w:val="006B228E"/>
    <w:rsid w:val="006B3877"/>
    <w:rsid w:val="006B42BB"/>
    <w:rsid w:val="006B4340"/>
    <w:rsid w:val="006B48C7"/>
    <w:rsid w:val="006B5B13"/>
    <w:rsid w:val="006C2BCB"/>
    <w:rsid w:val="006C31FE"/>
    <w:rsid w:val="006C3C35"/>
    <w:rsid w:val="006C3CFF"/>
    <w:rsid w:val="006C5729"/>
    <w:rsid w:val="006C61CE"/>
    <w:rsid w:val="006D12E7"/>
    <w:rsid w:val="006D15AC"/>
    <w:rsid w:val="006D2B58"/>
    <w:rsid w:val="006D2ED0"/>
    <w:rsid w:val="006D3FEE"/>
    <w:rsid w:val="006D46DA"/>
    <w:rsid w:val="006D4EE8"/>
    <w:rsid w:val="006D52D7"/>
    <w:rsid w:val="006D6347"/>
    <w:rsid w:val="006E08B3"/>
    <w:rsid w:val="006E0F2D"/>
    <w:rsid w:val="006E1F59"/>
    <w:rsid w:val="006E2584"/>
    <w:rsid w:val="006E268E"/>
    <w:rsid w:val="006E3490"/>
    <w:rsid w:val="006E3BE2"/>
    <w:rsid w:val="006E4A59"/>
    <w:rsid w:val="006E5E90"/>
    <w:rsid w:val="006F0F15"/>
    <w:rsid w:val="006F2571"/>
    <w:rsid w:val="006F28AE"/>
    <w:rsid w:val="006F366F"/>
    <w:rsid w:val="006F41E9"/>
    <w:rsid w:val="006F51B9"/>
    <w:rsid w:val="006F699F"/>
    <w:rsid w:val="006F7182"/>
    <w:rsid w:val="00704123"/>
    <w:rsid w:val="00705625"/>
    <w:rsid w:val="00707B7A"/>
    <w:rsid w:val="00710B2E"/>
    <w:rsid w:val="00710D1F"/>
    <w:rsid w:val="0071143C"/>
    <w:rsid w:val="00714873"/>
    <w:rsid w:val="00714C56"/>
    <w:rsid w:val="00715515"/>
    <w:rsid w:val="007160A6"/>
    <w:rsid w:val="007207B4"/>
    <w:rsid w:val="00721020"/>
    <w:rsid w:val="007223CC"/>
    <w:rsid w:val="00722AEC"/>
    <w:rsid w:val="00722BBE"/>
    <w:rsid w:val="0072308F"/>
    <w:rsid w:val="007263FA"/>
    <w:rsid w:val="007267AE"/>
    <w:rsid w:val="00730E2E"/>
    <w:rsid w:val="007340BC"/>
    <w:rsid w:val="00735AE8"/>
    <w:rsid w:val="007369FF"/>
    <w:rsid w:val="00736C17"/>
    <w:rsid w:val="00741688"/>
    <w:rsid w:val="0074216F"/>
    <w:rsid w:val="00742BB8"/>
    <w:rsid w:val="00742D9F"/>
    <w:rsid w:val="00745448"/>
    <w:rsid w:val="00745F36"/>
    <w:rsid w:val="0074680E"/>
    <w:rsid w:val="00746C38"/>
    <w:rsid w:val="00747715"/>
    <w:rsid w:val="00753D8E"/>
    <w:rsid w:val="00754E63"/>
    <w:rsid w:val="007555C0"/>
    <w:rsid w:val="00756318"/>
    <w:rsid w:val="00762D91"/>
    <w:rsid w:val="007637D9"/>
    <w:rsid w:val="00764ED2"/>
    <w:rsid w:val="007653D4"/>
    <w:rsid w:val="00770A27"/>
    <w:rsid w:val="00770B84"/>
    <w:rsid w:val="00773824"/>
    <w:rsid w:val="00773B18"/>
    <w:rsid w:val="00774E8D"/>
    <w:rsid w:val="00776676"/>
    <w:rsid w:val="0077686E"/>
    <w:rsid w:val="007771D5"/>
    <w:rsid w:val="007771F4"/>
    <w:rsid w:val="007778E0"/>
    <w:rsid w:val="00777BA6"/>
    <w:rsid w:val="00780216"/>
    <w:rsid w:val="00780474"/>
    <w:rsid w:val="0078136A"/>
    <w:rsid w:val="007815C0"/>
    <w:rsid w:val="00781C59"/>
    <w:rsid w:val="00782495"/>
    <w:rsid w:val="007826CC"/>
    <w:rsid w:val="0078613C"/>
    <w:rsid w:val="00786758"/>
    <w:rsid w:val="00786E85"/>
    <w:rsid w:val="00790DDA"/>
    <w:rsid w:val="00792D2D"/>
    <w:rsid w:val="00794245"/>
    <w:rsid w:val="00796B77"/>
    <w:rsid w:val="007971C4"/>
    <w:rsid w:val="007A04BB"/>
    <w:rsid w:val="007A0E35"/>
    <w:rsid w:val="007A33DA"/>
    <w:rsid w:val="007A3A3E"/>
    <w:rsid w:val="007A3B9A"/>
    <w:rsid w:val="007A4C14"/>
    <w:rsid w:val="007A62FE"/>
    <w:rsid w:val="007A7096"/>
    <w:rsid w:val="007B05A6"/>
    <w:rsid w:val="007B180E"/>
    <w:rsid w:val="007B304A"/>
    <w:rsid w:val="007B5361"/>
    <w:rsid w:val="007B6A64"/>
    <w:rsid w:val="007B7690"/>
    <w:rsid w:val="007C02B8"/>
    <w:rsid w:val="007C37A3"/>
    <w:rsid w:val="007C37B7"/>
    <w:rsid w:val="007C40DF"/>
    <w:rsid w:val="007C48BA"/>
    <w:rsid w:val="007C49E2"/>
    <w:rsid w:val="007C60E5"/>
    <w:rsid w:val="007D0862"/>
    <w:rsid w:val="007D0BA4"/>
    <w:rsid w:val="007D291E"/>
    <w:rsid w:val="007D3DC8"/>
    <w:rsid w:val="007D560B"/>
    <w:rsid w:val="007D6720"/>
    <w:rsid w:val="007D7F9E"/>
    <w:rsid w:val="007E05A8"/>
    <w:rsid w:val="007E2065"/>
    <w:rsid w:val="007E226E"/>
    <w:rsid w:val="007F0094"/>
    <w:rsid w:val="007F0BFE"/>
    <w:rsid w:val="007F19F1"/>
    <w:rsid w:val="007F24EA"/>
    <w:rsid w:val="007F48F3"/>
    <w:rsid w:val="007F5CDE"/>
    <w:rsid w:val="007F6BD8"/>
    <w:rsid w:val="00805748"/>
    <w:rsid w:val="00806465"/>
    <w:rsid w:val="008114CE"/>
    <w:rsid w:val="008140D4"/>
    <w:rsid w:val="00815E0F"/>
    <w:rsid w:val="008167F5"/>
    <w:rsid w:val="00817548"/>
    <w:rsid w:val="0081773C"/>
    <w:rsid w:val="00817BE0"/>
    <w:rsid w:val="00820795"/>
    <w:rsid w:val="00820C2C"/>
    <w:rsid w:val="00821309"/>
    <w:rsid w:val="00823A19"/>
    <w:rsid w:val="0082580E"/>
    <w:rsid w:val="008269C7"/>
    <w:rsid w:val="00832DCE"/>
    <w:rsid w:val="00833A39"/>
    <w:rsid w:val="00835DE0"/>
    <w:rsid w:val="00836E52"/>
    <w:rsid w:val="00842DE1"/>
    <w:rsid w:val="00847AD4"/>
    <w:rsid w:val="00851619"/>
    <w:rsid w:val="00852081"/>
    <w:rsid w:val="0085386D"/>
    <w:rsid w:val="00855024"/>
    <w:rsid w:val="008560B1"/>
    <w:rsid w:val="00863A1D"/>
    <w:rsid w:val="008660E5"/>
    <w:rsid w:val="0086635F"/>
    <w:rsid w:val="008712D4"/>
    <w:rsid w:val="00871CF4"/>
    <w:rsid w:val="00871D2A"/>
    <w:rsid w:val="00876CF3"/>
    <w:rsid w:val="00876DE8"/>
    <w:rsid w:val="00880AB1"/>
    <w:rsid w:val="008811E1"/>
    <w:rsid w:val="00881D3F"/>
    <w:rsid w:val="00884CB9"/>
    <w:rsid w:val="00885185"/>
    <w:rsid w:val="008910F1"/>
    <w:rsid w:val="0089133C"/>
    <w:rsid w:val="008976A8"/>
    <w:rsid w:val="008A3EF4"/>
    <w:rsid w:val="008A783B"/>
    <w:rsid w:val="008B20AE"/>
    <w:rsid w:val="008B29A2"/>
    <w:rsid w:val="008B4B1B"/>
    <w:rsid w:val="008B4EBA"/>
    <w:rsid w:val="008B640B"/>
    <w:rsid w:val="008B6F89"/>
    <w:rsid w:val="008B70EE"/>
    <w:rsid w:val="008C05E5"/>
    <w:rsid w:val="008C24CB"/>
    <w:rsid w:val="008C2C82"/>
    <w:rsid w:val="008C2DA3"/>
    <w:rsid w:val="008C4BCC"/>
    <w:rsid w:val="008C4CE6"/>
    <w:rsid w:val="008C6645"/>
    <w:rsid w:val="008C6C9D"/>
    <w:rsid w:val="008D1F20"/>
    <w:rsid w:val="008D21E8"/>
    <w:rsid w:val="008D4ED0"/>
    <w:rsid w:val="008D68FC"/>
    <w:rsid w:val="008E36D4"/>
    <w:rsid w:val="008E37FB"/>
    <w:rsid w:val="008E58EA"/>
    <w:rsid w:val="008E63AD"/>
    <w:rsid w:val="008F0365"/>
    <w:rsid w:val="008F15E8"/>
    <w:rsid w:val="008F21C7"/>
    <w:rsid w:val="008F3B63"/>
    <w:rsid w:val="008F429E"/>
    <w:rsid w:val="008F60E8"/>
    <w:rsid w:val="008F7206"/>
    <w:rsid w:val="008F7DF6"/>
    <w:rsid w:val="00900F25"/>
    <w:rsid w:val="009013B2"/>
    <w:rsid w:val="00901B7D"/>
    <w:rsid w:val="00905AB6"/>
    <w:rsid w:val="0090697C"/>
    <w:rsid w:val="00907B85"/>
    <w:rsid w:val="00915372"/>
    <w:rsid w:val="00916A03"/>
    <w:rsid w:val="00917C44"/>
    <w:rsid w:val="0092125D"/>
    <w:rsid w:val="00921FB0"/>
    <w:rsid w:val="009223B1"/>
    <w:rsid w:val="00930F26"/>
    <w:rsid w:val="00935930"/>
    <w:rsid w:val="00936AEF"/>
    <w:rsid w:val="00937691"/>
    <w:rsid w:val="009404F7"/>
    <w:rsid w:val="00940C73"/>
    <w:rsid w:val="00940EC5"/>
    <w:rsid w:val="00942FCC"/>
    <w:rsid w:val="0094337B"/>
    <w:rsid w:val="00945FDD"/>
    <w:rsid w:val="009506E4"/>
    <w:rsid w:val="009515BB"/>
    <w:rsid w:val="00951872"/>
    <w:rsid w:val="00952366"/>
    <w:rsid w:val="009523C1"/>
    <w:rsid w:val="009537AA"/>
    <w:rsid w:val="00953C39"/>
    <w:rsid w:val="00954B19"/>
    <w:rsid w:val="00955014"/>
    <w:rsid w:val="009575BC"/>
    <w:rsid w:val="00960D20"/>
    <w:rsid w:val="009611CA"/>
    <w:rsid w:val="0096358A"/>
    <w:rsid w:val="00963906"/>
    <w:rsid w:val="00964122"/>
    <w:rsid w:val="009665DF"/>
    <w:rsid w:val="00966F81"/>
    <w:rsid w:val="00970ABA"/>
    <w:rsid w:val="00972C05"/>
    <w:rsid w:val="00972CB7"/>
    <w:rsid w:val="00973CAB"/>
    <w:rsid w:val="009750E7"/>
    <w:rsid w:val="0097739B"/>
    <w:rsid w:val="00980941"/>
    <w:rsid w:val="00981C91"/>
    <w:rsid w:val="009827C4"/>
    <w:rsid w:val="00985AA5"/>
    <w:rsid w:val="009901E8"/>
    <w:rsid w:val="00990B44"/>
    <w:rsid w:val="00994FB0"/>
    <w:rsid w:val="00995976"/>
    <w:rsid w:val="00996F1C"/>
    <w:rsid w:val="009A0BFD"/>
    <w:rsid w:val="009A1084"/>
    <w:rsid w:val="009A2471"/>
    <w:rsid w:val="009A24B3"/>
    <w:rsid w:val="009A2F41"/>
    <w:rsid w:val="009A3683"/>
    <w:rsid w:val="009A49C6"/>
    <w:rsid w:val="009A559B"/>
    <w:rsid w:val="009A5B7B"/>
    <w:rsid w:val="009B07C8"/>
    <w:rsid w:val="009B20DF"/>
    <w:rsid w:val="009B2133"/>
    <w:rsid w:val="009B22AB"/>
    <w:rsid w:val="009B23F1"/>
    <w:rsid w:val="009B535D"/>
    <w:rsid w:val="009B6CEA"/>
    <w:rsid w:val="009B6FF2"/>
    <w:rsid w:val="009B74C3"/>
    <w:rsid w:val="009C10B9"/>
    <w:rsid w:val="009C25F8"/>
    <w:rsid w:val="009C34B1"/>
    <w:rsid w:val="009C6848"/>
    <w:rsid w:val="009D022F"/>
    <w:rsid w:val="009D0756"/>
    <w:rsid w:val="009D0763"/>
    <w:rsid w:val="009D3854"/>
    <w:rsid w:val="009D3C75"/>
    <w:rsid w:val="009D57E1"/>
    <w:rsid w:val="009D586F"/>
    <w:rsid w:val="009D655B"/>
    <w:rsid w:val="009D716D"/>
    <w:rsid w:val="009E1736"/>
    <w:rsid w:val="009E2CFF"/>
    <w:rsid w:val="009E61EF"/>
    <w:rsid w:val="009F0861"/>
    <w:rsid w:val="009F090A"/>
    <w:rsid w:val="009F13A8"/>
    <w:rsid w:val="009F1C5F"/>
    <w:rsid w:val="009F1D27"/>
    <w:rsid w:val="009F2D97"/>
    <w:rsid w:val="009F2E9A"/>
    <w:rsid w:val="009F3025"/>
    <w:rsid w:val="009F515D"/>
    <w:rsid w:val="009F5F38"/>
    <w:rsid w:val="009F6CE1"/>
    <w:rsid w:val="009F6E39"/>
    <w:rsid w:val="009F7E7A"/>
    <w:rsid w:val="00A00F2B"/>
    <w:rsid w:val="00A01A00"/>
    <w:rsid w:val="00A04651"/>
    <w:rsid w:val="00A06245"/>
    <w:rsid w:val="00A06CC3"/>
    <w:rsid w:val="00A11504"/>
    <w:rsid w:val="00A1237E"/>
    <w:rsid w:val="00A12D92"/>
    <w:rsid w:val="00A153C6"/>
    <w:rsid w:val="00A16AD7"/>
    <w:rsid w:val="00A17154"/>
    <w:rsid w:val="00A21F3B"/>
    <w:rsid w:val="00A221A9"/>
    <w:rsid w:val="00A23D89"/>
    <w:rsid w:val="00A24ED6"/>
    <w:rsid w:val="00A25CBC"/>
    <w:rsid w:val="00A304BE"/>
    <w:rsid w:val="00A3102E"/>
    <w:rsid w:val="00A310AC"/>
    <w:rsid w:val="00A31CD4"/>
    <w:rsid w:val="00A33FB3"/>
    <w:rsid w:val="00A351C4"/>
    <w:rsid w:val="00A362BF"/>
    <w:rsid w:val="00A37699"/>
    <w:rsid w:val="00A37BB4"/>
    <w:rsid w:val="00A4272E"/>
    <w:rsid w:val="00A42A49"/>
    <w:rsid w:val="00A430A1"/>
    <w:rsid w:val="00A438C3"/>
    <w:rsid w:val="00A4659B"/>
    <w:rsid w:val="00A468BF"/>
    <w:rsid w:val="00A52142"/>
    <w:rsid w:val="00A54467"/>
    <w:rsid w:val="00A54D36"/>
    <w:rsid w:val="00A56060"/>
    <w:rsid w:val="00A56104"/>
    <w:rsid w:val="00A57E78"/>
    <w:rsid w:val="00A613EE"/>
    <w:rsid w:val="00A6173C"/>
    <w:rsid w:val="00A61AE9"/>
    <w:rsid w:val="00A62712"/>
    <w:rsid w:val="00A64713"/>
    <w:rsid w:val="00A67FF5"/>
    <w:rsid w:val="00A70244"/>
    <w:rsid w:val="00A702B9"/>
    <w:rsid w:val="00A703B4"/>
    <w:rsid w:val="00A70FFA"/>
    <w:rsid w:val="00A71C1E"/>
    <w:rsid w:val="00A72775"/>
    <w:rsid w:val="00A74A87"/>
    <w:rsid w:val="00A7624C"/>
    <w:rsid w:val="00A76424"/>
    <w:rsid w:val="00A82F4B"/>
    <w:rsid w:val="00A836BD"/>
    <w:rsid w:val="00A83CE6"/>
    <w:rsid w:val="00A84FC3"/>
    <w:rsid w:val="00A86072"/>
    <w:rsid w:val="00A87291"/>
    <w:rsid w:val="00A907B4"/>
    <w:rsid w:val="00A9421D"/>
    <w:rsid w:val="00A954BB"/>
    <w:rsid w:val="00A95CBD"/>
    <w:rsid w:val="00AA0074"/>
    <w:rsid w:val="00AA0D49"/>
    <w:rsid w:val="00AA6F2F"/>
    <w:rsid w:val="00AA78E3"/>
    <w:rsid w:val="00AB47BE"/>
    <w:rsid w:val="00AB4B38"/>
    <w:rsid w:val="00AB60DA"/>
    <w:rsid w:val="00AC502C"/>
    <w:rsid w:val="00AC6FAB"/>
    <w:rsid w:val="00AC710F"/>
    <w:rsid w:val="00AC7655"/>
    <w:rsid w:val="00AD6039"/>
    <w:rsid w:val="00AE13AE"/>
    <w:rsid w:val="00AE24B8"/>
    <w:rsid w:val="00AE2D20"/>
    <w:rsid w:val="00AE323E"/>
    <w:rsid w:val="00AE5B5E"/>
    <w:rsid w:val="00AE61B7"/>
    <w:rsid w:val="00AF0243"/>
    <w:rsid w:val="00AF1FDE"/>
    <w:rsid w:val="00AF1FF7"/>
    <w:rsid w:val="00AF2501"/>
    <w:rsid w:val="00AF427E"/>
    <w:rsid w:val="00B01A34"/>
    <w:rsid w:val="00B03161"/>
    <w:rsid w:val="00B05DF7"/>
    <w:rsid w:val="00B07E8B"/>
    <w:rsid w:val="00B1391B"/>
    <w:rsid w:val="00B14176"/>
    <w:rsid w:val="00B17E37"/>
    <w:rsid w:val="00B20015"/>
    <w:rsid w:val="00B21E35"/>
    <w:rsid w:val="00B2307C"/>
    <w:rsid w:val="00B26173"/>
    <w:rsid w:val="00B273E5"/>
    <w:rsid w:val="00B27BB9"/>
    <w:rsid w:val="00B27F89"/>
    <w:rsid w:val="00B3161F"/>
    <w:rsid w:val="00B3341C"/>
    <w:rsid w:val="00B334A5"/>
    <w:rsid w:val="00B341E4"/>
    <w:rsid w:val="00B34D4E"/>
    <w:rsid w:val="00B3506F"/>
    <w:rsid w:val="00B3632F"/>
    <w:rsid w:val="00B40D19"/>
    <w:rsid w:val="00B447AB"/>
    <w:rsid w:val="00B45A7E"/>
    <w:rsid w:val="00B4612E"/>
    <w:rsid w:val="00B46A55"/>
    <w:rsid w:val="00B47082"/>
    <w:rsid w:val="00B50E20"/>
    <w:rsid w:val="00B510D7"/>
    <w:rsid w:val="00B61259"/>
    <w:rsid w:val="00B61839"/>
    <w:rsid w:val="00B62C36"/>
    <w:rsid w:val="00B633F9"/>
    <w:rsid w:val="00B63501"/>
    <w:rsid w:val="00B64A97"/>
    <w:rsid w:val="00B656F3"/>
    <w:rsid w:val="00B65B95"/>
    <w:rsid w:val="00B66E25"/>
    <w:rsid w:val="00B675BE"/>
    <w:rsid w:val="00B70116"/>
    <w:rsid w:val="00B70D22"/>
    <w:rsid w:val="00B71CFC"/>
    <w:rsid w:val="00B720B3"/>
    <w:rsid w:val="00B722EA"/>
    <w:rsid w:val="00B72C28"/>
    <w:rsid w:val="00B765DE"/>
    <w:rsid w:val="00B77397"/>
    <w:rsid w:val="00B81AD8"/>
    <w:rsid w:val="00B84128"/>
    <w:rsid w:val="00B84211"/>
    <w:rsid w:val="00B860C1"/>
    <w:rsid w:val="00B86677"/>
    <w:rsid w:val="00B90831"/>
    <w:rsid w:val="00B92230"/>
    <w:rsid w:val="00B92E6D"/>
    <w:rsid w:val="00B94F87"/>
    <w:rsid w:val="00B9637F"/>
    <w:rsid w:val="00B97860"/>
    <w:rsid w:val="00BA0579"/>
    <w:rsid w:val="00BA143F"/>
    <w:rsid w:val="00BA185F"/>
    <w:rsid w:val="00BA1E62"/>
    <w:rsid w:val="00BA7BB5"/>
    <w:rsid w:val="00BB3FBB"/>
    <w:rsid w:val="00BB47C9"/>
    <w:rsid w:val="00BB52C2"/>
    <w:rsid w:val="00BB6CAE"/>
    <w:rsid w:val="00BB7082"/>
    <w:rsid w:val="00BC0E00"/>
    <w:rsid w:val="00BC1658"/>
    <w:rsid w:val="00BC16F0"/>
    <w:rsid w:val="00BC23BE"/>
    <w:rsid w:val="00BC2CA9"/>
    <w:rsid w:val="00BC5848"/>
    <w:rsid w:val="00BC603F"/>
    <w:rsid w:val="00BC6187"/>
    <w:rsid w:val="00BD07FE"/>
    <w:rsid w:val="00BD22B3"/>
    <w:rsid w:val="00BD28B7"/>
    <w:rsid w:val="00BD3225"/>
    <w:rsid w:val="00BD412F"/>
    <w:rsid w:val="00BD45B6"/>
    <w:rsid w:val="00BD6187"/>
    <w:rsid w:val="00BD6344"/>
    <w:rsid w:val="00BD6F28"/>
    <w:rsid w:val="00BD6FD6"/>
    <w:rsid w:val="00BD75C1"/>
    <w:rsid w:val="00BE2877"/>
    <w:rsid w:val="00BE2E23"/>
    <w:rsid w:val="00BE5A55"/>
    <w:rsid w:val="00BE6A3F"/>
    <w:rsid w:val="00BE72B8"/>
    <w:rsid w:val="00BF0F26"/>
    <w:rsid w:val="00BF3D20"/>
    <w:rsid w:val="00BF3EA5"/>
    <w:rsid w:val="00BF6250"/>
    <w:rsid w:val="00C0330F"/>
    <w:rsid w:val="00C04A06"/>
    <w:rsid w:val="00C04AE4"/>
    <w:rsid w:val="00C06221"/>
    <w:rsid w:val="00C0709B"/>
    <w:rsid w:val="00C10445"/>
    <w:rsid w:val="00C105AC"/>
    <w:rsid w:val="00C117BE"/>
    <w:rsid w:val="00C122DB"/>
    <w:rsid w:val="00C130A2"/>
    <w:rsid w:val="00C154C5"/>
    <w:rsid w:val="00C159BB"/>
    <w:rsid w:val="00C16778"/>
    <w:rsid w:val="00C20491"/>
    <w:rsid w:val="00C21343"/>
    <w:rsid w:val="00C21E89"/>
    <w:rsid w:val="00C22276"/>
    <w:rsid w:val="00C23EC5"/>
    <w:rsid w:val="00C24CCA"/>
    <w:rsid w:val="00C24EA0"/>
    <w:rsid w:val="00C25085"/>
    <w:rsid w:val="00C25D96"/>
    <w:rsid w:val="00C26B89"/>
    <w:rsid w:val="00C26F41"/>
    <w:rsid w:val="00C32602"/>
    <w:rsid w:val="00C327B7"/>
    <w:rsid w:val="00C35F7B"/>
    <w:rsid w:val="00C3616C"/>
    <w:rsid w:val="00C36E85"/>
    <w:rsid w:val="00C41057"/>
    <w:rsid w:val="00C4189F"/>
    <w:rsid w:val="00C42EBC"/>
    <w:rsid w:val="00C44737"/>
    <w:rsid w:val="00C501BE"/>
    <w:rsid w:val="00C50938"/>
    <w:rsid w:val="00C53AA5"/>
    <w:rsid w:val="00C5496A"/>
    <w:rsid w:val="00C56909"/>
    <w:rsid w:val="00C62C27"/>
    <w:rsid w:val="00C6433F"/>
    <w:rsid w:val="00C643C7"/>
    <w:rsid w:val="00C6609F"/>
    <w:rsid w:val="00C73F31"/>
    <w:rsid w:val="00C75153"/>
    <w:rsid w:val="00C772F9"/>
    <w:rsid w:val="00C81692"/>
    <w:rsid w:val="00C838AF"/>
    <w:rsid w:val="00C84307"/>
    <w:rsid w:val="00C859F6"/>
    <w:rsid w:val="00C85EB3"/>
    <w:rsid w:val="00C87F96"/>
    <w:rsid w:val="00C90395"/>
    <w:rsid w:val="00C92E57"/>
    <w:rsid w:val="00C94859"/>
    <w:rsid w:val="00C95A23"/>
    <w:rsid w:val="00C967B5"/>
    <w:rsid w:val="00CA1D02"/>
    <w:rsid w:val="00CA1E68"/>
    <w:rsid w:val="00CA2BE9"/>
    <w:rsid w:val="00CA2EC1"/>
    <w:rsid w:val="00CA4855"/>
    <w:rsid w:val="00CA6862"/>
    <w:rsid w:val="00CA6CD9"/>
    <w:rsid w:val="00CA7D6D"/>
    <w:rsid w:val="00CB071A"/>
    <w:rsid w:val="00CB07C1"/>
    <w:rsid w:val="00CB37AC"/>
    <w:rsid w:val="00CB55B0"/>
    <w:rsid w:val="00CB6DD9"/>
    <w:rsid w:val="00CB7A3F"/>
    <w:rsid w:val="00CB7B68"/>
    <w:rsid w:val="00CC126D"/>
    <w:rsid w:val="00CC1A37"/>
    <w:rsid w:val="00CC3D21"/>
    <w:rsid w:val="00CC3D99"/>
    <w:rsid w:val="00CC5A8A"/>
    <w:rsid w:val="00CC639A"/>
    <w:rsid w:val="00CC66AB"/>
    <w:rsid w:val="00CC7BEF"/>
    <w:rsid w:val="00CD55EE"/>
    <w:rsid w:val="00CD6C1B"/>
    <w:rsid w:val="00CD6E7A"/>
    <w:rsid w:val="00CD78CD"/>
    <w:rsid w:val="00CE0453"/>
    <w:rsid w:val="00CE304C"/>
    <w:rsid w:val="00CE5D88"/>
    <w:rsid w:val="00CF07C2"/>
    <w:rsid w:val="00CF0ED7"/>
    <w:rsid w:val="00CF21AE"/>
    <w:rsid w:val="00CF37A2"/>
    <w:rsid w:val="00CF3B13"/>
    <w:rsid w:val="00CF3B72"/>
    <w:rsid w:val="00CF3E90"/>
    <w:rsid w:val="00CF68B5"/>
    <w:rsid w:val="00D02BC6"/>
    <w:rsid w:val="00D03578"/>
    <w:rsid w:val="00D03D73"/>
    <w:rsid w:val="00D06DDC"/>
    <w:rsid w:val="00D07DB0"/>
    <w:rsid w:val="00D14628"/>
    <w:rsid w:val="00D15B77"/>
    <w:rsid w:val="00D1763B"/>
    <w:rsid w:val="00D17A2F"/>
    <w:rsid w:val="00D20462"/>
    <w:rsid w:val="00D20521"/>
    <w:rsid w:val="00D2062B"/>
    <w:rsid w:val="00D21452"/>
    <w:rsid w:val="00D21C66"/>
    <w:rsid w:val="00D24574"/>
    <w:rsid w:val="00D24BCE"/>
    <w:rsid w:val="00D2594D"/>
    <w:rsid w:val="00D264C7"/>
    <w:rsid w:val="00D279C7"/>
    <w:rsid w:val="00D31A67"/>
    <w:rsid w:val="00D33867"/>
    <w:rsid w:val="00D3418B"/>
    <w:rsid w:val="00D34508"/>
    <w:rsid w:val="00D34513"/>
    <w:rsid w:val="00D3734D"/>
    <w:rsid w:val="00D41CC0"/>
    <w:rsid w:val="00D423EA"/>
    <w:rsid w:val="00D43A04"/>
    <w:rsid w:val="00D455B9"/>
    <w:rsid w:val="00D45A1E"/>
    <w:rsid w:val="00D45B06"/>
    <w:rsid w:val="00D463FE"/>
    <w:rsid w:val="00D471BD"/>
    <w:rsid w:val="00D50584"/>
    <w:rsid w:val="00D5105C"/>
    <w:rsid w:val="00D511D6"/>
    <w:rsid w:val="00D52A64"/>
    <w:rsid w:val="00D52DB5"/>
    <w:rsid w:val="00D53E33"/>
    <w:rsid w:val="00D5414C"/>
    <w:rsid w:val="00D55624"/>
    <w:rsid w:val="00D579FB"/>
    <w:rsid w:val="00D64FAD"/>
    <w:rsid w:val="00D65697"/>
    <w:rsid w:val="00D65D69"/>
    <w:rsid w:val="00D67A17"/>
    <w:rsid w:val="00D725A8"/>
    <w:rsid w:val="00D72A9E"/>
    <w:rsid w:val="00D72B45"/>
    <w:rsid w:val="00D73FF4"/>
    <w:rsid w:val="00D742CD"/>
    <w:rsid w:val="00D7440C"/>
    <w:rsid w:val="00D754E9"/>
    <w:rsid w:val="00D767C7"/>
    <w:rsid w:val="00D76924"/>
    <w:rsid w:val="00D76F04"/>
    <w:rsid w:val="00D80532"/>
    <w:rsid w:val="00D827CF"/>
    <w:rsid w:val="00D82D34"/>
    <w:rsid w:val="00D82FBD"/>
    <w:rsid w:val="00D85828"/>
    <w:rsid w:val="00D92A18"/>
    <w:rsid w:val="00D94030"/>
    <w:rsid w:val="00D9452C"/>
    <w:rsid w:val="00D947FC"/>
    <w:rsid w:val="00D951F5"/>
    <w:rsid w:val="00D95FCC"/>
    <w:rsid w:val="00D960F3"/>
    <w:rsid w:val="00D96AF1"/>
    <w:rsid w:val="00DA0C0A"/>
    <w:rsid w:val="00DA75AB"/>
    <w:rsid w:val="00DB1A8D"/>
    <w:rsid w:val="00DB2E48"/>
    <w:rsid w:val="00DB2F00"/>
    <w:rsid w:val="00DB3360"/>
    <w:rsid w:val="00DB6053"/>
    <w:rsid w:val="00DC0762"/>
    <w:rsid w:val="00DC0EAC"/>
    <w:rsid w:val="00DC355E"/>
    <w:rsid w:val="00DC4316"/>
    <w:rsid w:val="00DC4484"/>
    <w:rsid w:val="00DC4BE4"/>
    <w:rsid w:val="00DC6A33"/>
    <w:rsid w:val="00DC7FA4"/>
    <w:rsid w:val="00DD07B2"/>
    <w:rsid w:val="00DD16C5"/>
    <w:rsid w:val="00DD75FC"/>
    <w:rsid w:val="00DD7EAE"/>
    <w:rsid w:val="00DE3143"/>
    <w:rsid w:val="00DE4C08"/>
    <w:rsid w:val="00DE50EB"/>
    <w:rsid w:val="00DE598B"/>
    <w:rsid w:val="00DE6134"/>
    <w:rsid w:val="00DE71C1"/>
    <w:rsid w:val="00DE71FC"/>
    <w:rsid w:val="00DE7638"/>
    <w:rsid w:val="00DF1AAD"/>
    <w:rsid w:val="00DF1CFA"/>
    <w:rsid w:val="00DF1F3A"/>
    <w:rsid w:val="00DF3808"/>
    <w:rsid w:val="00DF5898"/>
    <w:rsid w:val="00E0064B"/>
    <w:rsid w:val="00E00E40"/>
    <w:rsid w:val="00E010D3"/>
    <w:rsid w:val="00E01435"/>
    <w:rsid w:val="00E06B9F"/>
    <w:rsid w:val="00E10A5F"/>
    <w:rsid w:val="00E12B00"/>
    <w:rsid w:val="00E157A8"/>
    <w:rsid w:val="00E15D97"/>
    <w:rsid w:val="00E162FB"/>
    <w:rsid w:val="00E16B03"/>
    <w:rsid w:val="00E17157"/>
    <w:rsid w:val="00E20247"/>
    <w:rsid w:val="00E20575"/>
    <w:rsid w:val="00E21F95"/>
    <w:rsid w:val="00E234E3"/>
    <w:rsid w:val="00E241F5"/>
    <w:rsid w:val="00E247C1"/>
    <w:rsid w:val="00E24F84"/>
    <w:rsid w:val="00E26F0D"/>
    <w:rsid w:val="00E309AD"/>
    <w:rsid w:val="00E30F9F"/>
    <w:rsid w:val="00E32824"/>
    <w:rsid w:val="00E356C1"/>
    <w:rsid w:val="00E3641D"/>
    <w:rsid w:val="00E409AE"/>
    <w:rsid w:val="00E40B90"/>
    <w:rsid w:val="00E4117D"/>
    <w:rsid w:val="00E41D32"/>
    <w:rsid w:val="00E422B7"/>
    <w:rsid w:val="00E449DF"/>
    <w:rsid w:val="00E45249"/>
    <w:rsid w:val="00E45D27"/>
    <w:rsid w:val="00E509CB"/>
    <w:rsid w:val="00E51260"/>
    <w:rsid w:val="00E51465"/>
    <w:rsid w:val="00E51D79"/>
    <w:rsid w:val="00E52301"/>
    <w:rsid w:val="00E52C58"/>
    <w:rsid w:val="00E535E9"/>
    <w:rsid w:val="00E53D58"/>
    <w:rsid w:val="00E5435F"/>
    <w:rsid w:val="00E55750"/>
    <w:rsid w:val="00E56192"/>
    <w:rsid w:val="00E57485"/>
    <w:rsid w:val="00E6243A"/>
    <w:rsid w:val="00E66108"/>
    <w:rsid w:val="00E71971"/>
    <w:rsid w:val="00E74B48"/>
    <w:rsid w:val="00E80F3F"/>
    <w:rsid w:val="00E81B23"/>
    <w:rsid w:val="00E83944"/>
    <w:rsid w:val="00E839A8"/>
    <w:rsid w:val="00E83BD5"/>
    <w:rsid w:val="00E86BF6"/>
    <w:rsid w:val="00E875EF"/>
    <w:rsid w:val="00E87B71"/>
    <w:rsid w:val="00E90A98"/>
    <w:rsid w:val="00E90BAC"/>
    <w:rsid w:val="00E95B49"/>
    <w:rsid w:val="00E95E5F"/>
    <w:rsid w:val="00E97800"/>
    <w:rsid w:val="00EA00BC"/>
    <w:rsid w:val="00EA092E"/>
    <w:rsid w:val="00EA30F2"/>
    <w:rsid w:val="00EA451C"/>
    <w:rsid w:val="00EA7409"/>
    <w:rsid w:val="00EB1AF5"/>
    <w:rsid w:val="00EB5F97"/>
    <w:rsid w:val="00EB647E"/>
    <w:rsid w:val="00EB6B85"/>
    <w:rsid w:val="00EC02AB"/>
    <w:rsid w:val="00EC198D"/>
    <w:rsid w:val="00EC1D4F"/>
    <w:rsid w:val="00EC311B"/>
    <w:rsid w:val="00EC3F16"/>
    <w:rsid w:val="00EC4045"/>
    <w:rsid w:val="00EC573C"/>
    <w:rsid w:val="00EC6C0D"/>
    <w:rsid w:val="00ED039F"/>
    <w:rsid w:val="00ED139C"/>
    <w:rsid w:val="00ED3707"/>
    <w:rsid w:val="00ED5CA4"/>
    <w:rsid w:val="00ED7ABB"/>
    <w:rsid w:val="00EE017C"/>
    <w:rsid w:val="00EE0A80"/>
    <w:rsid w:val="00EE6691"/>
    <w:rsid w:val="00EF043A"/>
    <w:rsid w:val="00EF2FD9"/>
    <w:rsid w:val="00EF376D"/>
    <w:rsid w:val="00EF3C6B"/>
    <w:rsid w:val="00EF3DDE"/>
    <w:rsid w:val="00EF7604"/>
    <w:rsid w:val="00EF7886"/>
    <w:rsid w:val="00F00818"/>
    <w:rsid w:val="00F01FAD"/>
    <w:rsid w:val="00F045E4"/>
    <w:rsid w:val="00F04AD3"/>
    <w:rsid w:val="00F06A86"/>
    <w:rsid w:val="00F11712"/>
    <w:rsid w:val="00F11E7E"/>
    <w:rsid w:val="00F1485B"/>
    <w:rsid w:val="00F15A3B"/>
    <w:rsid w:val="00F17482"/>
    <w:rsid w:val="00F17605"/>
    <w:rsid w:val="00F17E38"/>
    <w:rsid w:val="00F21ACC"/>
    <w:rsid w:val="00F224CE"/>
    <w:rsid w:val="00F247F3"/>
    <w:rsid w:val="00F251C6"/>
    <w:rsid w:val="00F259BC"/>
    <w:rsid w:val="00F26451"/>
    <w:rsid w:val="00F26510"/>
    <w:rsid w:val="00F27B5F"/>
    <w:rsid w:val="00F3106E"/>
    <w:rsid w:val="00F32B1B"/>
    <w:rsid w:val="00F34184"/>
    <w:rsid w:val="00F346E7"/>
    <w:rsid w:val="00F36260"/>
    <w:rsid w:val="00F37E62"/>
    <w:rsid w:val="00F400EC"/>
    <w:rsid w:val="00F43CD1"/>
    <w:rsid w:val="00F45650"/>
    <w:rsid w:val="00F45C82"/>
    <w:rsid w:val="00F46BF4"/>
    <w:rsid w:val="00F4721E"/>
    <w:rsid w:val="00F50EE2"/>
    <w:rsid w:val="00F54E67"/>
    <w:rsid w:val="00F552BC"/>
    <w:rsid w:val="00F55BD5"/>
    <w:rsid w:val="00F576E1"/>
    <w:rsid w:val="00F60CB1"/>
    <w:rsid w:val="00F61E6A"/>
    <w:rsid w:val="00F627CB"/>
    <w:rsid w:val="00F643D6"/>
    <w:rsid w:val="00F659B6"/>
    <w:rsid w:val="00F72F26"/>
    <w:rsid w:val="00F754FB"/>
    <w:rsid w:val="00F80E21"/>
    <w:rsid w:val="00F814DB"/>
    <w:rsid w:val="00F81DFC"/>
    <w:rsid w:val="00F855D8"/>
    <w:rsid w:val="00F85A91"/>
    <w:rsid w:val="00F864BC"/>
    <w:rsid w:val="00F923F3"/>
    <w:rsid w:val="00F928F2"/>
    <w:rsid w:val="00F92B19"/>
    <w:rsid w:val="00F931CC"/>
    <w:rsid w:val="00F93889"/>
    <w:rsid w:val="00F971D2"/>
    <w:rsid w:val="00F97AC6"/>
    <w:rsid w:val="00FA1ACD"/>
    <w:rsid w:val="00FA267C"/>
    <w:rsid w:val="00FA3741"/>
    <w:rsid w:val="00FA4930"/>
    <w:rsid w:val="00FA5341"/>
    <w:rsid w:val="00FB003D"/>
    <w:rsid w:val="00FB0298"/>
    <w:rsid w:val="00FB3D65"/>
    <w:rsid w:val="00FB5DBD"/>
    <w:rsid w:val="00FB792A"/>
    <w:rsid w:val="00FC00CE"/>
    <w:rsid w:val="00FC1028"/>
    <w:rsid w:val="00FC159C"/>
    <w:rsid w:val="00FC2596"/>
    <w:rsid w:val="00FC2604"/>
    <w:rsid w:val="00FC2869"/>
    <w:rsid w:val="00FC2BC4"/>
    <w:rsid w:val="00FC4718"/>
    <w:rsid w:val="00FC4996"/>
    <w:rsid w:val="00FC54B3"/>
    <w:rsid w:val="00FC5EC4"/>
    <w:rsid w:val="00FD117E"/>
    <w:rsid w:val="00FD31CB"/>
    <w:rsid w:val="00FD43D9"/>
    <w:rsid w:val="00FD48F7"/>
    <w:rsid w:val="00FD4C21"/>
    <w:rsid w:val="00FD6CDA"/>
    <w:rsid w:val="00FD7E3E"/>
    <w:rsid w:val="00FE0C93"/>
    <w:rsid w:val="00FE2297"/>
    <w:rsid w:val="00FE4AFD"/>
    <w:rsid w:val="00FF4C7F"/>
    <w:rsid w:val="00FF5968"/>
    <w:rsid w:val="00FF5CD5"/>
    <w:rsid w:val="00FF68B1"/>
    <w:rsid w:val="00FF777D"/>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390D"/>
  <w15:chartTrackingRefBased/>
  <w15:docId w15:val="{0D132191-4564-4229-8855-DE60763A1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E6D"/>
  </w:style>
  <w:style w:type="paragraph" w:styleId="Heading1">
    <w:name w:val="heading 1"/>
    <w:basedOn w:val="Normal"/>
    <w:next w:val="Normal"/>
    <w:link w:val="Heading1Char"/>
    <w:uiPriority w:val="9"/>
    <w:qFormat/>
    <w:rsid w:val="00960D20"/>
    <w:pPr>
      <w:keepNext/>
      <w:keepLines/>
      <w:spacing w:before="360" w:after="80"/>
      <w:outlineLvl w:val="0"/>
    </w:pPr>
    <w:rPr>
      <w:rFonts w:asciiTheme="majorHAnsi" w:eastAsiaTheme="majorEastAsia" w:hAnsiTheme="majorHAnsi" w:cstheme="majorBidi"/>
      <w:b/>
      <w:color w:val="2F5496" w:themeColor="accent1" w:themeShade="BF"/>
      <w:kern w:val="2"/>
      <w:sz w:val="28"/>
      <w:szCs w:val="40"/>
      <w:lang w:val="hr-HR"/>
      <w14:ligatures w14:val="standardContextual"/>
    </w:rPr>
  </w:style>
  <w:style w:type="paragraph" w:styleId="Heading2">
    <w:name w:val="heading 2"/>
    <w:basedOn w:val="Normal"/>
    <w:next w:val="Normal"/>
    <w:link w:val="Heading2Char"/>
    <w:uiPriority w:val="9"/>
    <w:unhideWhenUsed/>
    <w:qFormat/>
    <w:rsid w:val="00011924"/>
    <w:pPr>
      <w:keepNext/>
      <w:keepLines/>
      <w:spacing w:before="160" w:after="80"/>
      <w:outlineLvl w:val="1"/>
    </w:pPr>
    <w:rPr>
      <w:rFonts w:asciiTheme="majorHAnsi" w:eastAsiaTheme="majorEastAsia" w:hAnsiTheme="majorHAnsi" w:cstheme="majorBidi"/>
      <w:b/>
      <w:color w:val="2F5496" w:themeColor="accent1" w:themeShade="BF"/>
      <w:kern w:val="2"/>
      <w:sz w:val="24"/>
      <w:szCs w:val="32"/>
      <w:lang w:val="hr-HR"/>
      <w14:ligatures w14:val="standardContextual"/>
    </w:rPr>
  </w:style>
  <w:style w:type="paragraph" w:styleId="Heading3">
    <w:name w:val="heading 3"/>
    <w:basedOn w:val="Normal"/>
    <w:next w:val="Normal"/>
    <w:link w:val="Heading3Char"/>
    <w:uiPriority w:val="9"/>
    <w:unhideWhenUsed/>
    <w:qFormat/>
    <w:rsid w:val="006C3CFF"/>
    <w:pPr>
      <w:keepNext/>
      <w:keepLines/>
      <w:spacing w:before="160" w:after="80"/>
      <w:outlineLvl w:val="2"/>
    </w:pPr>
    <w:rPr>
      <w:rFonts w:ascii="Calibri Light" w:eastAsiaTheme="majorEastAsia" w:hAnsi="Calibri Light" w:cstheme="majorBidi"/>
      <w:b/>
      <w:color w:val="2F5496" w:themeColor="accent1" w:themeShade="BF"/>
      <w:kern w:val="2"/>
      <w:szCs w:val="28"/>
      <w:lang w:val="hr-HR"/>
      <w14:ligatures w14:val="standardContextual"/>
    </w:rPr>
  </w:style>
  <w:style w:type="paragraph" w:styleId="Heading4">
    <w:name w:val="heading 4"/>
    <w:basedOn w:val="Normal"/>
    <w:next w:val="Normal"/>
    <w:link w:val="Heading4Char"/>
    <w:uiPriority w:val="9"/>
    <w:unhideWhenUsed/>
    <w:qFormat/>
    <w:rsid w:val="00115718"/>
    <w:pPr>
      <w:keepNext/>
      <w:keepLines/>
      <w:spacing w:before="80" w:after="40"/>
      <w:outlineLvl w:val="3"/>
    </w:pPr>
    <w:rPr>
      <w:rFonts w:eastAsiaTheme="majorEastAsia" w:cstheme="majorBidi"/>
      <w:i/>
      <w:iCs/>
      <w:color w:val="2F5496" w:themeColor="accent1" w:themeShade="BF"/>
      <w:kern w:val="2"/>
      <w:lang w:val="hr-HR"/>
      <w14:ligatures w14:val="standardContextual"/>
    </w:rPr>
  </w:style>
  <w:style w:type="paragraph" w:styleId="Heading5">
    <w:name w:val="heading 5"/>
    <w:basedOn w:val="Normal"/>
    <w:next w:val="Normal"/>
    <w:link w:val="Heading5Char"/>
    <w:uiPriority w:val="9"/>
    <w:semiHidden/>
    <w:unhideWhenUsed/>
    <w:qFormat/>
    <w:rsid w:val="00115718"/>
    <w:pPr>
      <w:keepNext/>
      <w:keepLines/>
      <w:spacing w:before="80" w:after="40"/>
      <w:outlineLvl w:val="4"/>
    </w:pPr>
    <w:rPr>
      <w:rFonts w:eastAsiaTheme="majorEastAsia" w:cstheme="majorBidi"/>
      <w:color w:val="2F5496" w:themeColor="accent1" w:themeShade="BF"/>
      <w:kern w:val="2"/>
      <w:lang w:val="hr-HR"/>
      <w14:ligatures w14:val="standardContextual"/>
    </w:rPr>
  </w:style>
  <w:style w:type="paragraph" w:styleId="Heading6">
    <w:name w:val="heading 6"/>
    <w:basedOn w:val="Normal"/>
    <w:next w:val="Normal"/>
    <w:link w:val="Heading6Char"/>
    <w:uiPriority w:val="9"/>
    <w:semiHidden/>
    <w:unhideWhenUsed/>
    <w:qFormat/>
    <w:rsid w:val="00115718"/>
    <w:pPr>
      <w:keepNext/>
      <w:keepLines/>
      <w:spacing w:before="40" w:after="0"/>
      <w:outlineLvl w:val="5"/>
    </w:pPr>
    <w:rPr>
      <w:rFonts w:eastAsiaTheme="majorEastAsia" w:cstheme="majorBidi"/>
      <w:i/>
      <w:iCs/>
      <w:color w:val="595959" w:themeColor="text1" w:themeTint="A6"/>
      <w:kern w:val="2"/>
      <w:lang w:val="hr-HR"/>
      <w14:ligatures w14:val="standardContextual"/>
    </w:rPr>
  </w:style>
  <w:style w:type="paragraph" w:styleId="Heading7">
    <w:name w:val="heading 7"/>
    <w:basedOn w:val="Normal"/>
    <w:next w:val="Normal"/>
    <w:link w:val="Heading7Char"/>
    <w:uiPriority w:val="9"/>
    <w:semiHidden/>
    <w:unhideWhenUsed/>
    <w:qFormat/>
    <w:rsid w:val="00115718"/>
    <w:pPr>
      <w:keepNext/>
      <w:keepLines/>
      <w:spacing w:before="40" w:after="0"/>
      <w:outlineLvl w:val="6"/>
    </w:pPr>
    <w:rPr>
      <w:rFonts w:eastAsiaTheme="majorEastAsia" w:cstheme="majorBidi"/>
      <w:color w:val="595959" w:themeColor="text1" w:themeTint="A6"/>
      <w:kern w:val="2"/>
      <w:lang w:val="hr-HR"/>
      <w14:ligatures w14:val="standardContextual"/>
    </w:rPr>
  </w:style>
  <w:style w:type="paragraph" w:styleId="Heading8">
    <w:name w:val="heading 8"/>
    <w:basedOn w:val="Normal"/>
    <w:next w:val="Normal"/>
    <w:link w:val="Heading8Char"/>
    <w:uiPriority w:val="9"/>
    <w:semiHidden/>
    <w:unhideWhenUsed/>
    <w:qFormat/>
    <w:rsid w:val="00115718"/>
    <w:pPr>
      <w:keepNext/>
      <w:keepLines/>
      <w:spacing w:after="0"/>
      <w:outlineLvl w:val="7"/>
    </w:pPr>
    <w:rPr>
      <w:rFonts w:eastAsiaTheme="majorEastAsia" w:cstheme="majorBidi"/>
      <w:i/>
      <w:iCs/>
      <w:color w:val="272727" w:themeColor="text1" w:themeTint="D8"/>
      <w:kern w:val="2"/>
      <w:lang w:val="hr-HR"/>
      <w14:ligatures w14:val="standardContextual"/>
    </w:rPr>
  </w:style>
  <w:style w:type="paragraph" w:styleId="Heading9">
    <w:name w:val="heading 9"/>
    <w:basedOn w:val="Normal"/>
    <w:next w:val="Normal"/>
    <w:link w:val="Heading9Char"/>
    <w:uiPriority w:val="9"/>
    <w:semiHidden/>
    <w:unhideWhenUsed/>
    <w:qFormat/>
    <w:rsid w:val="00115718"/>
    <w:pPr>
      <w:keepNext/>
      <w:keepLines/>
      <w:spacing w:after="0"/>
      <w:outlineLvl w:val="8"/>
    </w:pPr>
    <w:rPr>
      <w:rFonts w:eastAsiaTheme="majorEastAsia" w:cstheme="majorBidi"/>
      <w:color w:val="272727" w:themeColor="text1" w:themeTint="D8"/>
      <w:kern w:val="2"/>
      <w:lang w:val="hr-HR"/>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33C2"/>
    <w:pPr>
      <w:autoSpaceDE w:val="0"/>
      <w:autoSpaceDN w:val="0"/>
      <w:adjustRightInd w:val="0"/>
      <w:spacing w:after="0" w:line="240" w:lineRule="auto"/>
    </w:pPr>
    <w:rPr>
      <w:rFonts w:ascii="Cambria" w:hAnsi="Cambria" w:cs="Cambria"/>
      <w:color w:val="000000"/>
      <w:sz w:val="24"/>
      <w:szCs w:val="24"/>
    </w:rPr>
  </w:style>
  <w:style w:type="paragraph" w:styleId="Header">
    <w:name w:val="header"/>
    <w:basedOn w:val="Normal"/>
    <w:link w:val="HeaderChar"/>
    <w:uiPriority w:val="99"/>
    <w:unhideWhenUsed/>
    <w:rsid w:val="00583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3C2"/>
  </w:style>
  <w:style w:type="paragraph" w:styleId="Footer">
    <w:name w:val="footer"/>
    <w:basedOn w:val="Normal"/>
    <w:link w:val="FooterChar"/>
    <w:uiPriority w:val="99"/>
    <w:unhideWhenUsed/>
    <w:rsid w:val="00583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3C2"/>
  </w:style>
  <w:style w:type="paragraph" w:styleId="ListParagraph">
    <w:name w:val="List Paragraph"/>
    <w:basedOn w:val="Normal"/>
    <w:uiPriority w:val="34"/>
    <w:qFormat/>
    <w:rsid w:val="00CD55EE"/>
    <w:pPr>
      <w:ind w:left="720"/>
      <w:contextualSpacing/>
    </w:pPr>
  </w:style>
  <w:style w:type="paragraph" w:styleId="NoSpacing">
    <w:name w:val="No Spacing"/>
    <w:uiPriority w:val="1"/>
    <w:qFormat/>
    <w:rsid w:val="0017209D"/>
    <w:pPr>
      <w:spacing w:after="0" w:line="240" w:lineRule="auto"/>
    </w:pPr>
    <w:rPr>
      <w:kern w:val="2"/>
      <w:sz w:val="24"/>
      <w:szCs w:val="24"/>
      <w:lang w:val="hr-HR"/>
      <w14:ligatures w14:val="standardContextual"/>
    </w:rPr>
  </w:style>
  <w:style w:type="character" w:customStyle="1" w:styleId="Heading1Char">
    <w:name w:val="Heading 1 Char"/>
    <w:basedOn w:val="DefaultParagraphFont"/>
    <w:link w:val="Heading1"/>
    <w:uiPriority w:val="9"/>
    <w:rsid w:val="00960D20"/>
    <w:rPr>
      <w:rFonts w:asciiTheme="majorHAnsi" w:eastAsiaTheme="majorEastAsia" w:hAnsiTheme="majorHAnsi" w:cstheme="majorBidi"/>
      <w:b/>
      <w:color w:val="2F5496" w:themeColor="accent1" w:themeShade="BF"/>
      <w:kern w:val="2"/>
      <w:sz w:val="28"/>
      <w:szCs w:val="40"/>
      <w:lang w:val="hr-HR"/>
      <w14:ligatures w14:val="standardContextual"/>
    </w:rPr>
  </w:style>
  <w:style w:type="character" w:customStyle="1" w:styleId="Heading2Char">
    <w:name w:val="Heading 2 Char"/>
    <w:basedOn w:val="DefaultParagraphFont"/>
    <w:link w:val="Heading2"/>
    <w:uiPriority w:val="9"/>
    <w:rsid w:val="00011924"/>
    <w:rPr>
      <w:rFonts w:asciiTheme="majorHAnsi" w:eastAsiaTheme="majorEastAsia" w:hAnsiTheme="majorHAnsi" w:cstheme="majorBidi"/>
      <w:b/>
      <w:color w:val="2F5496" w:themeColor="accent1" w:themeShade="BF"/>
      <w:kern w:val="2"/>
      <w:sz w:val="24"/>
      <w:szCs w:val="32"/>
      <w:lang w:val="hr-HR"/>
      <w14:ligatures w14:val="standardContextual"/>
    </w:rPr>
  </w:style>
  <w:style w:type="character" w:customStyle="1" w:styleId="Heading3Char">
    <w:name w:val="Heading 3 Char"/>
    <w:basedOn w:val="DefaultParagraphFont"/>
    <w:link w:val="Heading3"/>
    <w:uiPriority w:val="9"/>
    <w:rsid w:val="006C3CFF"/>
    <w:rPr>
      <w:rFonts w:ascii="Calibri Light" w:eastAsiaTheme="majorEastAsia" w:hAnsi="Calibri Light" w:cstheme="majorBidi"/>
      <w:b/>
      <w:color w:val="2F5496" w:themeColor="accent1" w:themeShade="BF"/>
      <w:kern w:val="2"/>
      <w:szCs w:val="28"/>
      <w:lang w:val="hr-HR"/>
      <w14:ligatures w14:val="standardContextual"/>
    </w:rPr>
  </w:style>
  <w:style w:type="character" w:customStyle="1" w:styleId="Heading4Char">
    <w:name w:val="Heading 4 Char"/>
    <w:basedOn w:val="DefaultParagraphFont"/>
    <w:link w:val="Heading4"/>
    <w:uiPriority w:val="9"/>
    <w:rsid w:val="00115718"/>
    <w:rPr>
      <w:rFonts w:eastAsiaTheme="majorEastAsia" w:cstheme="majorBidi"/>
      <w:i/>
      <w:iCs/>
      <w:color w:val="2F5496" w:themeColor="accent1" w:themeShade="BF"/>
      <w:kern w:val="2"/>
      <w:lang w:val="hr-HR"/>
      <w14:ligatures w14:val="standardContextual"/>
    </w:rPr>
  </w:style>
  <w:style w:type="character" w:customStyle="1" w:styleId="Heading5Char">
    <w:name w:val="Heading 5 Char"/>
    <w:basedOn w:val="DefaultParagraphFont"/>
    <w:link w:val="Heading5"/>
    <w:uiPriority w:val="9"/>
    <w:semiHidden/>
    <w:rsid w:val="00115718"/>
    <w:rPr>
      <w:rFonts w:eastAsiaTheme="majorEastAsia" w:cstheme="majorBidi"/>
      <w:color w:val="2F5496" w:themeColor="accent1" w:themeShade="BF"/>
      <w:kern w:val="2"/>
      <w:lang w:val="hr-HR"/>
      <w14:ligatures w14:val="standardContextual"/>
    </w:rPr>
  </w:style>
  <w:style w:type="character" w:customStyle="1" w:styleId="Heading6Char">
    <w:name w:val="Heading 6 Char"/>
    <w:basedOn w:val="DefaultParagraphFont"/>
    <w:link w:val="Heading6"/>
    <w:uiPriority w:val="9"/>
    <w:semiHidden/>
    <w:rsid w:val="00115718"/>
    <w:rPr>
      <w:rFonts w:eastAsiaTheme="majorEastAsia" w:cstheme="majorBidi"/>
      <w:i/>
      <w:iCs/>
      <w:color w:val="595959" w:themeColor="text1" w:themeTint="A6"/>
      <w:kern w:val="2"/>
      <w:lang w:val="hr-HR"/>
      <w14:ligatures w14:val="standardContextual"/>
    </w:rPr>
  </w:style>
  <w:style w:type="character" w:customStyle="1" w:styleId="Heading7Char">
    <w:name w:val="Heading 7 Char"/>
    <w:basedOn w:val="DefaultParagraphFont"/>
    <w:link w:val="Heading7"/>
    <w:uiPriority w:val="9"/>
    <w:semiHidden/>
    <w:rsid w:val="00115718"/>
    <w:rPr>
      <w:rFonts w:eastAsiaTheme="majorEastAsia" w:cstheme="majorBidi"/>
      <w:color w:val="595959" w:themeColor="text1" w:themeTint="A6"/>
      <w:kern w:val="2"/>
      <w:lang w:val="hr-HR"/>
      <w14:ligatures w14:val="standardContextual"/>
    </w:rPr>
  </w:style>
  <w:style w:type="character" w:customStyle="1" w:styleId="Heading8Char">
    <w:name w:val="Heading 8 Char"/>
    <w:basedOn w:val="DefaultParagraphFont"/>
    <w:link w:val="Heading8"/>
    <w:uiPriority w:val="9"/>
    <w:semiHidden/>
    <w:rsid w:val="00115718"/>
    <w:rPr>
      <w:rFonts w:eastAsiaTheme="majorEastAsia" w:cstheme="majorBidi"/>
      <w:i/>
      <w:iCs/>
      <w:color w:val="272727" w:themeColor="text1" w:themeTint="D8"/>
      <w:kern w:val="2"/>
      <w:lang w:val="hr-HR"/>
      <w14:ligatures w14:val="standardContextual"/>
    </w:rPr>
  </w:style>
  <w:style w:type="character" w:customStyle="1" w:styleId="Heading9Char">
    <w:name w:val="Heading 9 Char"/>
    <w:basedOn w:val="DefaultParagraphFont"/>
    <w:link w:val="Heading9"/>
    <w:uiPriority w:val="9"/>
    <w:semiHidden/>
    <w:rsid w:val="00115718"/>
    <w:rPr>
      <w:rFonts w:eastAsiaTheme="majorEastAsia" w:cstheme="majorBidi"/>
      <w:color w:val="272727" w:themeColor="text1" w:themeTint="D8"/>
      <w:kern w:val="2"/>
      <w:lang w:val="hr-HR"/>
      <w14:ligatures w14:val="standardContextual"/>
    </w:rPr>
  </w:style>
  <w:style w:type="paragraph" w:styleId="Title">
    <w:name w:val="Title"/>
    <w:basedOn w:val="Normal"/>
    <w:next w:val="Normal"/>
    <w:link w:val="TitleChar"/>
    <w:uiPriority w:val="10"/>
    <w:qFormat/>
    <w:rsid w:val="00115718"/>
    <w:pPr>
      <w:spacing w:after="80" w:line="240" w:lineRule="auto"/>
      <w:contextualSpacing/>
    </w:pPr>
    <w:rPr>
      <w:rFonts w:asciiTheme="majorHAnsi" w:eastAsiaTheme="majorEastAsia" w:hAnsiTheme="majorHAnsi" w:cstheme="majorBidi"/>
      <w:spacing w:val="-10"/>
      <w:kern w:val="28"/>
      <w:sz w:val="56"/>
      <w:szCs w:val="56"/>
      <w:lang w:val="hr-HR"/>
      <w14:ligatures w14:val="standardContextual"/>
    </w:rPr>
  </w:style>
  <w:style w:type="character" w:customStyle="1" w:styleId="TitleChar">
    <w:name w:val="Title Char"/>
    <w:basedOn w:val="DefaultParagraphFont"/>
    <w:link w:val="Title"/>
    <w:uiPriority w:val="10"/>
    <w:rsid w:val="00115718"/>
    <w:rPr>
      <w:rFonts w:asciiTheme="majorHAnsi" w:eastAsiaTheme="majorEastAsia" w:hAnsiTheme="majorHAnsi" w:cstheme="majorBidi"/>
      <w:spacing w:val="-10"/>
      <w:kern w:val="28"/>
      <w:sz w:val="56"/>
      <w:szCs w:val="56"/>
      <w:lang w:val="hr-HR"/>
      <w14:ligatures w14:val="standardContextual"/>
    </w:rPr>
  </w:style>
  <w:style w:type="paragraph" w:styleId="Subtitle">
    <w:name w:val="Subtitle"/>
    <w:basedOn w:val="Normal"/>
    <w:next w:val="Normal"/>
    <w:link w:val="SubtitleChar"/>
    <w:uiPriority w:val="11"/>
    <w:qFormat/>
    <w:rsid w:val="00115718"/>
    <w:pPr>
      <w:numPr>
        <w:ilvl w:val="1"/>
      </w:numPr>
    </w:pPr>
    <w:rPr>
      <w:rFonts w:eastAsiaTheme="majorEastAsia" w:cstheme="majorBidi"/>
      <w:color w:val="595959" w:themeColor="text1" w:themeTint="A6"/>
      <w:spacing w:val="15"/>
      <w:kern w:val="2"/>
      <w:sz w:val="28"/>
      <w:szCs w:val="28"/>
      <w:lang w:val="hr-HR"/>
      <w14:ligatures w14:val="standardContextual"/>
    </w:rPr>
  </w:style>
  <w:style w:type="character" w:customStyle="1" w:styleId="SubtitleChar">
    <w:name w:val="Subtitle Char"/>
    <w:basedOn w:val="DefaultParagraphFont"/>
    <w:link w:val="Subtitle"/>
    <w:uiPriority w:val="11"/>
    <w:rsid w:val="00115718"/>
    <w:rPr>
      <w:rFonts w:eastAsiaTheme="majorEastAsia" w:cstheme="majorBidi"/>
      <w:color w:val="595959" w:themeColor="text1" w:themeTint="A6"/>
      <w:spacing w:val="15"/>
      <w:kern w:val="2"/>
      <w:sz w:val="28"/>
      <w:szCs w:val="28"/>
      <w:lang w:val="hr-HR"/>
      <w14:ligatures w14:val="standardContextual"/>
    </w:rPr>
  </w:style>
  <w:style w:type="paragraph" w:styleId="Quote">
    <w:name w:val="Quote"/>
    <w:basedOn w:val="Normal"/>
    <w:next w:val="Normal"/>
    <w:link w:val="QuoteChar"/>
    <w:uiPriority w:val="29"/>
    <w:qFormat/>
    <w:rsid w:val="00115718"/>
    <w:pPr>
      <w:spacing w:before="160"/>
      <w:jc w:val="center"/>
    </w:pPr>
    <w:rPr>
      <w:i/>
      <w:iCs/>
      <w:color w:val="404040" w:themeColor="text1" w:themeTint="BF"/>
      <w:kern w:val="2"/>
      <w:lang w:val="hr-HR"/>
      <w14:ligatures w14:val="standardContextual"/>
    </w:rPr>
  </w:style>
  <w:style w:type="character" w:customStyle="1" w:styleId="QuoteChar">
    <w:name w:val="Quote Char"/>
    <w:basedOn w:val="DefaultParagraphFont"/>
    <w:link w:val="Quote"/>
    <w:uiPriority w:val="29"/>
    <w:rsid w:val="00115718"/>
    <w:rPr>
      <w:i/>
      <w:iCs/>
      <w:color w:val="404040" w:themeColor="text1" w:themeTint="BF"/>
      <w:kern w:val="2"/>
      <w:lang w:val="hr-HR"/>
      <w14:ligatures w14:val="standardContextual"/>
    </w:rPr>
  </w:style>
  <w:style w:type="character" w:styleId="IntenseEmphasis">
    <w:name w:val="Intense Emphasis"/>
    <w:basedOn w:val="DefaultParagraphFont"/>
    <w:uiPriority w:val="21"/>
    <w:qFormat/>
    <w:rsid w:val="00115718"/>
    <w:rPr>
      <w:i/>
      <w:iCs/>
      <w:color w:val="2F5496" w:themeColor="accent1" w:themeShade="BF"/>
    </w:rPr>
  </w:style>
  <w:style w:type="paragraph" w:styleId="IntenseQuote">
    <w:name w:val="Intense Quote"/>
    <w:basedOn w:val="Normal"/>
    <w:next w:val="Normal"/>
    <w:link w:val="IntenseQuoteChar"/>
    <w:uiPriority w:val="30"/>
    <w:qFormat/>
    <w:rsid w:val="001157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lang w:val="hr-HR"/>
      <w14:ligatures w14:val="standardContextual"/>
    </w:rPr>
  </w:style>
  <w:style w:type="character" w:customStyle="1" w:styleId="IntenseQuoteChar">
    <w:name w:val="Intense Quote Char"/>
    <w:basedOn w:val="DefaultParagraphFont"/>
    <w:link w:val="IntenseQuote"/>
    <w:uiPriority w:val="30"/>
    <w:rsid w:val="00115718"/>
    <w:rPr>
      <w:i/>
      <w:iCs/>
      <w:color w:val="2F5496" w:themeColor="accent1" w:themeShade="BF"/>
      <w:kern w:val="2"/>
      <w:lang w:val="hr-HR"/>
      <w14:ligatures w14:val="standardContextual"/>
    </w:rPr>
  </w:style>
  <w:style w:type="character" w:styleId="IntenseReference">
    <w:name w:val="Intense Reference"/>
    <w:basedOn w:val="DefaultParagraphFont"/>
    <w:uiPriority w:val="32"/>
    <w:qFormat/>
    <w:rsid w:val="00115718"/>
    <w:rPr>
      <w:b/>
      <w:bCs/>
      <w:smallCaps/>
      <w:color w:val="2F5496" w:themeColor="accent1" w:themeShade="BF"/>
      <w:spacing w:val="5"/>
    </w:rPr>
  </w:style>
  <w:style w:type="character" w:styleId="CommentReference">
    <w:name w:val="annotation reference"/>
    <w:basedOn w:val="DefaultParagraphFont"/>
    <w:uiPriority w:val="99"/>
    <w:semiHidden/>
    <w:unhideWhenUsed/>
    <w:rsid w:val="00115718"/>
    <w:rPr>
      <w:sz w:val="16"/>
      <w:szCs w:val="16"/>
    </w:rPr>
  </w:style>
  <w:style w:type="paragraph" w:styleId="CommentText">
    <w:name w:val="annotation text"/>
    <w:basedOn w:val="Normal"/>
    <w:link w:val="CommentTextChar"/>
    <w:uiPriority w:val="99"/>
    <w:unhideWhenUsed/>
    <w:rsid w:val="00115718"/>
    <w:pPr>
      <w:spacing w:line="240" w:lineRule="auto"/>
    </w:pPr>
    <w:rPr>
      <w:kern w:val="2"/>
      <w:sz w:val="20"/>
      <w:szCs w:val="20"/>
      <w:lang w:val="hr-HR"/>
      <w14:ligatures w14:val="standardContextual"/>
    </w:rPr>
  </w:style>
  <w:style w:type="character" w:customStyle="1" w:styleId="CommentTextChar">
    <w:name w:val="Comment Text Char"/>
    <w:basedOn w:val="DefaultParagraphFont"/>
    <w:link w:val="CommentText"/>
    <w:uiPriority w:val="99"/>
    <w:rsid w:val="00115718"/>
    <w:rPr>
      <w:kern w:val="2"/>
      <w:sz w:val="20"/>
      <w:szCs w:val="20"/>
      <w:lang w:val="hr-HR"/>
      <w14:ligatures w14:val="standardContextual"/>
    </w:rPr>
  </w:style>
  <w:style w:type="paragraph" w:styleId="CommentSubject">
    <w:name w:val="annotation subject"/>
    <w:basedOn w:val="CommentText"/>
    <w:next w:val="CommentText"/>
    <w:link w:val="CommentSubjectChar"/>
    <w:uiPriority w:val="99"/>
    <w:semiHidden/>
    <w:unhideWhenUsed/>
    <w:rsid w:val="00115718"/>
    <w:rPr>
      <w:b/>
      <w:bCs/>
    </w:rPr>
  </w:style>
  <w:style w:type="character" w:customStyle="1" w:styleId="CommentSubjectChar">
    <w:name w:val="Comment Subject Char"/>
    <w:basedOn w:val="CommentTextChar"/>
    <w:link w:val="CommentSubject"/>
    <w:uiPriority w:val="99"/>
    <w:semiHidden/>
    <w:rsid w:val="00115718"/>
    <w:rPr>
      <w:b/>
      <w:bCs/>
      <w:kern w:val="2"/>
      <w:sz w:val="20"/>
      <w:szCs w:val="20"/>
      <w:lang w:val="hr-HR"/>
      <w14:ligatures w14:val="standardContextual"/>
    </w:rPr>
  </w:style>
  <w:style w:type="paragraph" w:styleId="Revision">
    <w:name w:val="Revision"/>
    <w:hidden/>
    <w:uiPriority w:val="99"/>
    <w:semiHidden/>
    <w:rsid w:val="00115718"/>
    <w:pPr>
      <w:spacing w:after="0" w:line="240" w:lineRule="auto"/>
    </w:pPr>
    <w:rPr>
      <w:kern w:val="2"/>
      <w:lang w:val="hr-HR"/>
      <w14:ligatures w14:val="standardContextual"/>
    </w:rPr>
  </w:style>
  <w:style w:type="paragraph" w:styleId="NormalWeb">
    <w:name w:val="Normal (Web)"/>
    <w:basedOn w:val="Normal"/>
    <w:uiPriority w:val="99"/>
    <w:unhideWhenUsed/>
    <w:rsid w:val="0011571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15718"/>
    <w:rPr>
      <w:b/>
      <w:bCs/>
    </w:rPr>
  </w:style>
  <w:style w:type="table" w:styleId="PlainTable2">
    <w:name w:val="Plain Table 2"/>
    <w:basedOn w:val="TableNormal"/>
    <w:uiPriority w:val="42"/>
    <w:rsid w:val="00115718"/>
    <w:pPr>
      <w:spacing w:after="0" w:line="240" w:lineRule="auto"/>
    </w:pPr>
    <w:rPr>
      <w:kern w:val="2"/>
      <w:lang w:val="hr-HR"/>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115718"/>
    <w:rPr>
      <w:color w:val="0563C1" w:themeColor="hyperlink"/>
      <w:u w:val="single"/>
    </w:rPr>
  </w:style>
  <w:style w:type="character" w:styleId="UnresolvedMention">
    <w:name w:val="Unresolved Mention"/>
    <w:basedOn w:val="DefaultParagraphFont"/>
    <w:uiPriority w:val="99"/>
    <w:semiHidden/>
    <w:unhideWhenUsed/>
    <w:rsid w:val="00115718"/>
    <w:rPr>
      <w:color w:val="605E5C"/>
      <w:shd w:val="clear" w:color="auto" w:fill="E1DFDD"/>
    </w:rPr>
  </w:style>
  <w:style w:type="paragraph" w:styleId="TOCHeading">
    <w:name w:val="TOC Heading"/>
    <w:basedOn w:val="Heading1"/>
    <w:next w:val="Normal"/>
    <w:uiPriority w:val="39"/>
    <w:unhideWhenUsed/>
    <w:qFormat/>
    <w:rsid w:val="00721020"/>
    <w:pPr>
      <w:spacing w:before="240" w:after="0"/>
      <w:outlineLvl w:val="9"/>
    </w:pPr>
    <w:rPr>
      <w:kern w:val="0"/>
      <w:sz w:val="32"/>
      <w:szCs w:val="32"/>
      <w:lang w:val="en-GB" w:eastAsia="en-GB"/>
      <w14:ligatures w14:val="none"/>
    </w:rPr>
  </w:style>
  <w:style w:type="paragraph" w:styleId="TOC1">
    <w:name w:val="toc 1"/>
    <w:basedOn w:val="Normal"/>
    <w:next w:val="Normal"/>
    <w:autoRedefine/>
    <w:uiPriority w:val="39"/>
    <w:unhideWhenUsed/>
    <w:rsid w:val="00622EEE"/>
    <w:pPr>
      <w:tabs>
        <w:tab w:val="right" w:leader="dot" w:pos="9016"/>
      </w:tabs>
      <w:spacing w:before="20" w:after="20"/>
    </w:pPr>
  </w:style>
  <w:style w:type="paragraph" w:styleId="TOC2">
    <w:name w:val="toc 2"/>
    <w:basedOn w:val="Normal"/>
    <w:next w:val="Normal"/>
    <w:autoRedefine/>
    <w:uiPriority w:val="39"/>
    <w:unhideWhenUsed/>
    <w:rsid w:val="00721020"/>
    <w:pPr>
      <w:spacing w:after="100"/>
      <w:ind w:left="220"/>
    </w:pPr>
  </w:style>
  <w:style w:type="paragraph" w:styleId="TOC3">
    <w:name w:val="toc 3"/>
    <w:basedOn w:val="Normal"/>
    <w:next w:val="Normal"/>
    <w:autoRedefine/>
    <w:uiPriority w:val="39"/>
    <w:unhideWhenUsed/>
    <w:rsid w:val="00463A12"/>
    <w:pPr>
      <w:spacing w:after="100"/>
      <w:ind w:left="440"/>
    </w:pPr>
  </w:style>
  <w:style w:type="paragraph" w:styleId="TOC4">
    <w:name w:val="toc 4"/>
    <w:basedOn w:val="Normal"/>
    <w:next w:val="Normal"/>
    <w:autoRedefine/>
    <w:uiPriority w:val="39"/>
    <w:unhideWhenUsed/>
    <w:rsid w:val="00463A12"/>
    <w:pPr>
      <w:spacing w:after="100" w:line="278" w:lineRule="auto"/>
      <w:ind w:left="720"/>
    </w:pPr>
    <w:rPr>
      <w:rFonts w:eastAsiaTheme="minorEastAsia"/>
      <w:kern w:val="2"/>
      <w:sz w:val="24"/>
      <w:szCs w:val="24"/>
      <w:lang w:val="en-GB" w:eastAsia="en-GB"/>
      <w14:ligatures w14:val="standardContextual"/>
    </w:rPr>
  </w:style>
  <w:style w:type="paragraph" w:styleId="TOC5">
    <w:name w:val="toc 5"/>
    <w:basedOn w:val="Normal"/>
    <w:next w:val="Normal"/>
    <w:autoRedefine/>
    <w:uiPriority w:val="39"/>
    <w:unhideWhenUsed/>
    <w:rsid w:val="00463A12"/>
    <w:pPr>
      <w:spacing w:after="100" w:line="278" w:lineRule="auto"/>
      <w:ind w:left="960"/>
    </w:pPr>
    <w:rPr>
      <w:rFonts w:eastAsiaTheme="minorEastAsia"/>
      <w:kern w:val="2"/>
      <w:sz w:val="24"/>
      <w:szCs w:val="24"/>
      <w:lang w:val="en-GB" w:eastAsia="en-GB"/>
      <w14:ligatures w14:val="standardContextual"/>
    </w:rPr>
  </w:style>
  <w:style w:type="paragraph" w:styleId="TOC6">
    <w:name w:val="toc 6"/>
    <w:basedOn w:val="Normal"/>
    <w:next w:val="Normal"/>
    <w:autoRedefine/>
    <w:uiPriority w:val="39"/>
    <w:unhideWhenUsed/>
    <w:rsid w:val="00463A12"/>
    <w:pPr>
      <w:spacing w:after="100" w:line="278" w:lineRule="auto"/>
      <w:ind w:left="1200"/>
    </w:pPr>
    <w:rPr>
      <w:rFonts w:eastAsiaTheme="minorEastAsia"/>
      <w:kern w:val="2"/>
      <w:sz w:val="24"/>
      <w:szCs w:val="24"/>
      <w:lang w:val="en-GB" w:eastAsia="en-GB"/>
      <w14:ligatures w14:val="standardContextual"/>
    </w:rPr>
  </w:style>
  <w:style w:type="paragraph" w:styleId="TOC7">
    <w:name w:val="toc 7"/>
    <w:basedOn w:val="Normal"/>
    <w:next w:val="Normal"/>
    <w:autoRedefine/>
    <w:uiPriority w:val="39"/>
    <w:unhideWhenUsed/>
    <w:rsid w:val="00463A12"/>
    <w:pPr>
      <w:spacing w:after="100" w:line="278" w:lineRule="auto"/>
      <w:ind w:left="1440"/>
    </w:pPr>
    <w:rPr>
      <w:rFonts w:eastAsiaTheme="minorEastAsia"/>
      <w:kern w:val="2"/>
      <w:sz w:val="24"/>
      <w:szCs w:val="24"/>
      <w:lang w:val="en-GB" w:eastAsia="en-GB"/>
      <w14:ligatures w14:val="standardContextual"/>
    </w:rPr>
  </w:style>
  <w:style w:type="paragraph" w:styleId="TOC8">
    <w:name w:val="toc 8"/>
    <w:basedOn w:val="Normal"/>
    <w:next w:val="Normal"/>
    <w:autoRedefine/>
    <w:uiPriority w:val="39"/>
    <w:unhideWhenUsed/>
    <w:rsid w:val="00463A12"/>
    <w:pPr>
      <w:spacing w:after="100" w:line="278" w:lineRule="auto"/>
      <w:ind w:left="1680"/>
    </w:pPr>
    <w:rPr>
      <w:rFonts w:eastAsiaTheme="minorEastAsia"/>
      <w:kern w:val="2"/>
      <w:sz w:val="24"/>
      <w:szCs w:val="24"/>
      <w:lang w:val="en-GB" w:eastAsia="en-GB"/>
      <w14:ligatures w14:val="standardContextual"/>
    </w:rPr>
  </w:style>
  <w:style w:type="paragraph" w:styleId="TOC9">
    <w:name w:val="toc 9"/>
    <w:basedOn w:val="Normal"/>
    <w:next w:val="Normal"/>
    <w:autoRedefine/>
    <w:uiPriority w:val="39"/>
    <w:unhideWhenUsed/>
    <w:rsid w:val="00463A12"/>
    <w:pPr>
      <w:spacing w:after="100" w:line="278" w:lineRule="auto"/>
      <w:ind w:left="1920"/>
    </w:pPr>
    <w:rPr>
      <w:rFonts w:eastAsiaTheme="minorEastAsia"/>
      <w:kern w:val="2"/>
      <w:sz w:val="24"/>
      <w:szCs w:val="24"/>
      <w:lang w:val="en-GB" w:eastAsia="en-GB"/>
      <w14:ligatures w14:val="standardContextual"/>
    </w:rPr>
  </w:style>
  <w:style w:type="paragraph" w:styleId="Caption">
    <w:name w:val="caption"/>
    <w:basedOn w:val="Normal"/>
    <w:next w:val="Normal"/>
    <w:uiPriority w:val="35"/>
    <w:unhideWhenUsed/>
    <w:qFormat/>
    <w:rsid w:val="007C60E5"/>
    <w:pPr>
      <w:spacing w:after="200" w:line="240" w:lineRule="auto"/>
    </w:pPr>
    <w:rPr>
      <w:i/>
      <w:iCs/>
      <w:color w:val="44546A" w:themeColor="text2"/>
      <w:sz w:val="20"/>
      <w:szCs w:val="18"/>
    </w:rPr>
  </w:style>
  <w:style w:type="paragraph" w:styleId="TableofFigures">
    <w:name w:val="table of figures"/>
    <w:basedOn w:val="Normal"/>
    <w:next w:val="Normal"/>
    <w:uiPriority w:val="99"/>
    <w:unhideWhenUsed/>
    <w:rsid w:val="00AC710F"/>
    <w:pPr>
      <w:spacing w:after="0"/>
    </w:pPr>
  </w:style>
  <w:style w:type="table" w:customStyle="1" w:styleId="Reetkatablice1">
    <w:name w:val="Rešetka tablice1"/>
    <w:basedOn w:val="TableNormal"/>
    <w:next w:val="TableGrid"/>
    <w:uiPriority w:val="59"/>
    <w:rsid w:val="00714873"/>
    <w:pPr>
      <w:spacing w:after="0" w:line="240" w:lineRule="auto"/>
    </w:pPr>
    <w:rPr>
      <w:rFonts w:eastAsia="Times New Roman"/>
      <w:lang w:val="en-US"/>
    </w:rPr>
    <w:tblPr>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
    <w:tcPr>
      <w:shd w:val="clear" w:color="auto" w:fill="FFFFFF"/>
    </w:tcPr>
  </w:style>
  <w:style w:type="table" w:styleId="TableGrid">
    <w:name w:val="Table Grid"/>
    <w:basedOn w:val="TableNormal"/>
    <w:uiPriority w:val="39"/>
    <w:rsid w:val="007148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148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6B6E5-E2F3-47E7-B57E-F678BCDC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12720</Words>
  <Characters>84594</Characters>
  <Application>Microsoft Office Word</Application>
  <DocSecurity>0</DocSecurity>
  <Lines>1658</Lines>
  <Paragraphs>627</Paragraphs>
  <ScaleCrop>false</ScaleCrop>
  <HeadingPairs>
    <vt:vector size="6" baseType="variant">
      <vt:variant>
        <vt:lpstr>Title</vt:lpstr>
      </vt:variant>
      <vt:variant>
        <vt:i4>1</vt:i4>
      </vt:variant>
      <vt:variant>
        <vt:lpstr>Titre</vt:lpstr>
      </vt:variant>
      <vt:variant>
        <vt:i4>1</vt:i4>
      </vt:variant>
      <vt:variant>
        <vt:lpstr>Naslov</vt:lpstr>
      </vt:variant>
      <vt:variant>
        <vt:i4>1</vt:i4>
      </vt:variant>
    </vt:vector>
  </HeadingPairs>
  <TitlesOfParts>
    <vt:vector size="3" baseType="lpstr">
      <vt:lpstr/>
      <vt:lpstr/>
      <vt:lpstr/>
    </vt:vector>
  </TitlesOfParts>
  <Company>Vlada Republike Srpske</Company>
  <LinksUpToDate>false</LinksUpToDate>
  <CharactersWithSpaces>96687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Zoran Nakić</cp:lastModifiedBy>
  <cp:revision>2</cp:revision>
  <dcterms:created xsi:type="dcterms:W3CDTF">2026-04-09T12:15:00Z</dcterms:created>
  <dcterms:modified xsi:type="dcterms:W3CDTF">2026-04-09T12:15:00Z</dcterms:modified>
</cp:coreProperties>
</file>