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CBC17F" w14:textId="77777777" w:rsidR="005833C2" w:rsidRDefault="00375603">
      <w:r w:rsidRPr="00375603">
        <w:rPr>
          <w:noProof/>
        </w:rPr>
        <w:drawing>
          <wp:anchor distT="0" distB="0" distL="114300" distR="114300" simplePos="0" relativeHeight="251662336" behindDoc="0" locked="0" layoutInCell="1" allowOverlap="1" wp14:anchorId="5560C4D2" wp14:editId="7C6B8AC5">
            <wp:simplePos x="0" y="0"/>
            <wp:positionH relativeFrom="margin">
              <wp:posOffset>2537460</wp:posOffset>
            </wp:positionH>
            <wp:positionV relativeFrom="paragraph">
              <wp:posOffset>107950</wp:posOffset>
            </wp:positionV>
            <wp:extent cx="1018540" cy="718820"/>
            <wp:effectExtent l="0" t="0" r="0" b="5080"/>
            <wp:wrapSquare wrapText="bothSides"/>
            <wp:docPr id="115013395" name="Picture 1" descr="A blue and green circle with a green loop around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13395" name="Picture 1" descr="A blue and green circle with a green loop around it&#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18540" cy="718820"/>
                    </a:xfrm>
                    <a:prstGeom prst="rect">
                      <a:avLst/>
                    </a:prstGeom>
                  </pic:spPr>
                </pic:pic>
              </a:graphicData>
            </a:graphic>
            <wp14:sizeRelH relativeFrom="margin">
              <wp14:pctWidth>0</wp14:pctWidth>
            </wp14:sizeRelH>
            <wp14:sizeRelV relativeFrom="margin">
              <wp14:pctHeight>0</wp14:pctHeight>
            </wp14:sizeRelV>
          </wp:anchor>
        </w:drawing>
      </w:r>
      <w:r w:rsidRPr="00375603">
        <w:rPr>
          <w:noProof/>
        </w:rPr>
        <w:drawing>
          <wp:anchor distT="0" distB="0" distL="114300" distR="114300" simplePos="0" relativeHeight="251661312" behindDoc="1" locked="0" layoutInCell="1" allowOverlap="1" wp14:anchorId="4317DEF0" wp14:editId="05D0729C">
            <wp:simplePos x="0" y="0"/>
            <wp:positionH relativeFrom="margin">
              <wp:posOffset>5362575</wp:posOffset>
            </wp:positionH>
            <wp:positionV relativeFrom="margin">
              <wp:align>top</wp:align>
            </wp:positionV>
            <wp:extent cx="441325" cy="1000125"/>
            <wp:effectExtent l="0" t="0" r="0" b="9525"/>
            <wp:wrapTight wrapText="bothSides">
              <wp:wrapPolygon edited="0">
                <wp:start x="0" y="0"/>
                <wp:lineTo x="0" y="21394"/>
                <wp:lineTo x="20512" y="21394"/>
                <wp:lineTo x="20512" y="0"/>
                <wp:lineTo x="0" y="0"/>
              </wp:wrapPolygon>
            </wp:wrapTight>
            <wp:docPr id="44992384" name="Picture 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92384" name="Picture 1" descr="A blue and white logo&#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441325" cy="1000125"/>
                    </a:xfrm>
                    <a:prstGeom prst="rect">
                      <a:avLst/>
                    </a:prstGeom>
                  </pic:spPr>
                </pic:pic>
              </a:graphicData>
            </a:graphic>
            <wp14:sizeRelH relativeFrom="margin">
              <wp14:pctWidth>0</wp14:pctWidth>
            </wp14:sizeRelH>
            <wp14:sizeRelV relativeFrom="margin">
              <wp14:pctHeight>0</wp14:pctHeight>
            </wp14:sizeRelV>
          </wp:anchor>
        </w:drawing>
      </w:r>
      <w:r w:rsidRPr="00375603">
        <w:rPr>
          <w:noProof/>
        </w:rPr>
        <w:drawing>
          <wp:anchor distT="0" distB="0" distL="114300" distR="114300" simplePos="0" relativeHeight="251663360" behindDoc="0" locked="0" layoutInCell="1" allowOverlap="1" wp14:anchorId="54F3DF01" wp14:editId="2ABF0ED1">
            <wp:simplePos x="0" y="0"/>
            <wp:positionH relativeFrom="column">
              <wp:posOffset>0</wp:posOffset>
            </wp:positionH>
            <wp:positionV relativeFrom="paragraph">
              <wp:posOffset>222885</wp:posOffset>
            </wp:positionV>
            <wp:extent cx="1024890" cy="619125"/>
            <wp:effectExtent l="0" t="0" r="3810" b="9525"/>
            <wp:wrapSquare wrapText="bothSides"/>
            <wp:docPr id="883982370" name="Picture 2"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982370" name="Picture 2" descr="A blue and white logo&#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24890" cy="619125"/>
                    </a:xfrm>
                    <a:prstGeom prst="rect">
                      <a:avLst/>
                    </a:prstGeom>
                  </pic:spPr>
                </pic:pic>
              </a:graphicData>
            </a:graphic>
            <wp14:sizeRelH relativeFrom="margin">
              <wp14:pctWidth>0</wp14:pctWidth>
            </wp14:sizeRelH>
            <wp14:sizeRelV relativeFrom="margin">
              <wp14:pctHeight>0</wp14:pctHeight>
            </wp14:sizeRelV>
          </wp:anchor>
        </w:drawing>
      </w:r>
    </w:p>
    <w:p w14:paraId="62CAF29C" w14:textId="77777777" w:rsidR="005833C2" w:rsidRDefault="005833C2"/>
    <w:p w14:paraId="1ECA43D5" w14:textId="77777777" w:rsidR="005833C2" w:rsidRDefault="005833C2"/>
    <w:p w14:paraId="50991134" w14:textId="77777777" w:rsidR="005833C2" w:rsidRDefault="005833C2"/>
    <w:p w14:paraId="048C7AE4" w14:textId="164EC889" w:rsidR="00CF3B13" w:rsidRDefault="00CF3B13" w:rsidP="176F6A0C"/>
    <w:p w14:paraId="1C533540" w14:textId="77777777" w:rsidR="005833C2" w:rsidRDefault="005833C2"/>
    <w:p w14:paraId="3F2EA979" w14:textId="77777777" w:rsidR="005833C2" w:rsidRDefault="30A6216D" w:rsidP="00D264C7">
      <w:pPr>
        <w:tabs>
          <w:tab w:val="left" w:pos="3540"/>
        </w:tabs>
        <w:jc w:val="center"/>
      </w:pPr>
      <w:r>
        <w:rPr>
          <w:noProof/>
        </w:rPr>
        <w:drawing>
          <wp:inline distT="0" distB="0" distL="0" distR="0" wp14:anchorId="185D36E9" wp14:editId="5007D0C4">
            <wp:extent cx="2927547" cy="1647747"/>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2990778" cy="1683336"/>
                    </a:xfrm>
                    <a:prstGeom prst="rect">
                      <a:avLst/>
                    </a:prstGeom>
                  </pic:spPr>
                </pic:pic>
              </a:graphicData>
            </a:graphic>
          </wp:inline>
        </w:drawing>
      </w:r>
    </w:p>
    <w:p w14:paraId="7C285CE5" w14:textId="77777777" w:rsidR="00D67A17" w:rsidRPr="00B34D4E" w:rsidRDefault="1712E2DB" w:rsidP="176F6A0C">
      <w:pPr>
        <w:jc w:val="center"/>
        <w:rPr>
          <w:b/>
          <w:bCs/>
          <w:color w:val="2F5496" w:themeColor="accent1" w:themeShade="BF"/>
          <w:sz w:val="28"/>
          <w:szCs w:val="28"/>
        </w:rPr>
      </w:pPr>
      <w:r w:rsidRPr="176F6A0C">
        <w:rPr>
          <w:b/>
          <w:bCs/>
          <w:color w:val="2F5496" w:themeColor="accent1" w:themeShade="BF"/>
          <w:sz w:val="28"/>
          <w:szCs w:val="28"/>
        </w:rPr>
        <w:t>IMPLEMENTATION OF THE STRATEGIC ACTION PROGRAMME (SAP) OF THE DINARIC KARST AQUIFER SYSTEM: IMPROVING GROUNDWATER GOVERNANCE AND SUSTAINABILITY OF RELATED ECOSYSTEMS</w:t>
      </w:r>
    </w:p>
    <w:p w14:paraId="3380CA82" w14:textId="77777777" w:rsidR="005833C2" w:rsidRDefault="005833C2"/>
    <w:p w14:paraId="6EE5A6E1" w14:textId="74E88564" w:rsidR="00CF0ED7" w:rsidRPr="001A244B" w:rsidRDefault="1D0CBA35" w:rsidP="176F6A0C">
      <w:pPr>
        <w:pStyle w:val="Default"/>
        <w:jc w:val="center"/>
        <w:rPr>
          <w:rFonts w:asciiTheme="minorHAnsi" w:hAnsiTheme="minorHAnsi" w:cstheme="minorBidi"/>
          <w:b/>
          <w:bCs/>
          <w:color w:val="2F5496" w:themeColor="accent1" w:themeShade="BF"/>
          <w:sz w:val="36"/>
          <w:szCs w:val="36"/>
        </w:rPr>
      </w:pPr>
      <w:r w:rsidRPr="176F6A0C">
        <w:rPr>
          <w:rFonts w:asciiTheme="minorHAnsi" w:hAnsiTheme="minorHAnsi" w:cstheme="minorBidi"/>
          <w:b/>
          <w:bCs/>
          <w:color w:val="2F5496" w:themeColor="accent1" w:themeShade="BF"/>
          <w:sz w:val="36"/>
          <w:szCs w:val="36"/>
        </w:rPr>
        <w:t xml:space="preserve">OUTPUT </w:t>
      </w:r>
      <w:r w:rsidR="02CB4A7D" w:rsidRPr="176F6A0C">
        <w:rPr>
          <w:rFonts w:asciiTheme="minorHAnsi" w:hAnsiTheme="minorHAnsi" w:cstheme="minorBidi"/>
          <w:b/>
          <w:bCs/>
          <w:color w:val="2F5496" w:themeColor="accent1" w:themeShade="BF"/>
          <w:sz w:val="36"/>
          <w:szCs w:val="36"/>
        </w:rPr>
        <w:t>6</w:t>
      </w:r>
      <w:r w:rsidRPr="176F6A0C">
        <w:rPr>
          <w:rFonts w:asciiTheme="minorHAnsi" w:hAnsiTheme="minorHAnsi" w:cstheme="minorBidi"/>
          <w:b/>
          <w:bCs/>
          <w:color w:val="2F5496" w:themeColor="accent1" w:themeShade="BF"/>
          <w:sz w:val="36"/>
          <w:szCs w:val="36"/>
        </w:rPr>
        <w:t>.1</w:t>
      </w:r>
    </w:p>
    <w:p w14:paraId="7B3FF4C7" w14:textId="77777777" w:rsidR="00CF0ED7" w:rsidRPr="001A244B" w:rsidRDefault="00CF0ED7" w:rsidP="176F6A0C">
      <w:pPr>
        <w:pStyle w:val="Default"/>
        <w:jc w:val="center"/>
        <w:rPr>
          <w:rFonts w:asciiTheme="minorHAnsi" w:hAnsiTheme="minorHAnsi" w:cstheme="minorBidi"/>
          <w:b/>
          <w:bCs/>
          <w:color w:val="2F5496" w:themeColor="accent1" w:themeShade="BF"/>
          <w:sz w:val="28"/>
          <w:szCs w:val="28"/>
        </w:rPr>
      </w:pPr>
    </w:p>
    <w:p w14:paraId="5E542AF3" w14:textId="1A1598EA" w:rsidR="00CF0ED7" w:rsidRPr="00FF46B6" w:rsidRDefault="02CB4A7D" w:rsidP="176F6A0C">
      <w:pPr>
        <w:pStyle w:val="Default"/>
        <w:jc w:val="center"/>
        <w:rPr>
          <w:rFonts w:asciiTheme="minorHAnsi" w:hAnsiTheme="minorHAnsi" w:cstheme="minorBidi"/>
          <w:b/>
          <w:bCs/>
          <w:color w:val="2F5496" w:themeColor="accent1" w:themeShade="BF"/>
          <w:sz w:val="36"/>
          <w:szCs w:val="36"/>
        </w:rPr>
      </w:pPr>
      <w:r w:rsidRPr="176F6A0C">
        <w:rPr>
          <w:rFonts w:asciiTheme="minorHAnsi" w:hAnsiTheme="minorHAnsi" w:cstheme="minorBidi"/>
          <w:b/>
          <w:bCs/>
          <w:color w:val="2F5496" w:themeColor="accent1" w:themeShade="BF"/>
          <w:sz w:val="36"/>
          <w:szCs w:val="36"/>
        </w:rPr>
        <w:t>C</w:t>
      </w:r>
      <w:r w:rsidR="03133E3D" w:rsidRPr="176F6A0C">
        <w:rPr>
          <w:rFonts w:asciiTheme="minorHAnsi" w:hAnsiTheme="minorHAnsi" w:cstheme="minorBidi"/>
          <w:b/>
          <w:bCs/>
          <w:color w:val="2F5496" w:themeColor="accent1" w:themeShade="BF"/>
          <w:sz w:val="36"/>
          <w:szCs w:val="36"/>
        </w:rPr>
        <w:t>OMMUNICATION</w:t>
      </w:r>
      <w:r w:rsidRPr="176F6A0C">
        <w:rPr>
          <w:rFonts w:asciiTheme="minorHAnsi" w:hAnsiTheme="minorHAnsi" w:cstheme="minorBidi"/>
          <w:b/>
          <w:bCs/>
          <w:color w:val="2F5496" w:themeColor="accent1" w:themeShade="BF"/>
          <w:sz w:val="36"/>
          <w:szCs w:val="36"/>
        </w:rPr>
        <w:t xml:space="preserve"> </w:t>
      </w:r>
      <w:r w:rsidR="18E9FF5F" w:rsidRPr="176F6A0C">
        <w:rPr>
          <w:rFonts w:asciiTheme="minorHAnsi" w:hAnsiTheme="minorHAnsi" w:cstheme="minorBidi"/>
          <w:b/>
          <w:bCs/>
          <w:color w:val="2F5496" w:themeColor="accent1" w:themeShade="BF"/>
          <w:sz w:val="36"/>
          <w:szCs w:val="36"/>
        </w:rPr>
        <w:t>STRATEGY</w:t>
      </w:r>
    </w:p>
    <w:p w14:paraId="59F9E697" w14:textId="377D3A96" w:rsidR="005833C2" w:rsidRDefault="005833C2" w:rsidP="176F6A0C"/>
    <w:p w14:paraId="7A9F680F" w14:textId="77777777" w:rsidR="00A358A7" w:rsidRDefault="00A358A7" w:rsidP="176F6A0C"/>
    <w:p w14:paraId="41E084A7" w14:textId="77777777" w:rsidR="00A358A7" w:rsidRDefault="00A358A7" w:rsidP="176F6A0C"/>
    <w:p w14:paraId="0FB2DBD2" w14:textId="77777777" w:rsidR="00A358A7" w:rsidRDefault="00A358A7" w:rsidP="176F6A0C"/>
    <w:p w14:paraId="4F750331" w14:textId="77777777" w:rsidR="00A358A7" w:rsidRDefault="00A358A7" w:rsidP="176F6A0C"/>
    <w:p w14:paraId="2EA7857E" w14:textId="2E751493" w:rsidR="005833C2" w:rsidRPr="007C40DF" w:rsidRDefault="005833C2" w:rsidP="176F6A0C"/>
    <w:p w14:paraId="0BC01F75" w14:textId="2AA8B9A2" w:rsidR="005833C2" w:rsidRPr="007C40DF" w:rsidRDefault="005833C2" w:rsidP="176F6A0C"/>
    <w:p w14:paraId="63101D00" w14:textId="686697BD" w:rsidR="005833C2" w:rsidRPr="007C40DF" w:rsidRDefault="18E9FF5F" w:rsidP="176F6A0C">
      <w:pPr>
        <w:jc w:val="center"/>
        <w:rPr>
          <w:color w:val="002060"/>
        </w:rPr>
      </w:pPr>
      <w:r w:rsidRPr="176F6A0C">
        <w:rPr>
          <w:color w:val="002060"/>
        </w:rPr>
        <w:t xml:space="preserve">June </w:t>
      </w:r>
      <w:r w:rsidR="0EE4857D" w:rsidRPr="176F6A0C">
        <w:rPr>
          <w:color w:val="002060"/>
        </w:rPr>
        <w:t>202</w:t>
      </w:r>
      <w:r w:rsidR="7ED409BC" w:rsidRPr="176F6A0C">
        <w:rPr>
          <w:color w:val="002060"/>
        </w:rPr>
        <w:t>6</w:t>
      </w:r>
    </w:p>
    <w:p w14:paraId="7C356349" w14:textId="77777777" w:rsidR="005833C2" w:rsidRDefault="005833C2"/>
    <w:p w14:paraId="272EE301" w14:textId="77777777" w:rsidR="005833C2" w:rsidRDefault="68B65E27" w:rsidP="00CF3B13">
      <w:pPr>
        <w:jc w:val="center"/>
      </w:pPr>
      <w:r>
        <w:rPr>
          <w:noProof/>
        </w:rPr>
        <w:drawing>
          <wp:inline distT="0" distB="0" distL="0" distR="0" wp14:anchorId="47D77F84" wp14:editId="5BB36627">
            <wp:extent cx="3734435" cy="609600"/>
            <wp:effectExtent l="0" t="0" r="0" b="0"/>
            <wp:docPr id="1814883663" name="Picture 2" descr="A yellow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883663" name="Picture 2" descr="A yellow and white logo&#10;&#10;AI-generated content may be incorrect."/>
                    <pic:cNvPicPr>
                      <a:picLocks noChangeAspect="1" noChangeArrowheads="1"/>
                    </pic:cNvPicPr>
                  </pic:nvPicPr>
                  <pic:blipFill rotWithShape="1">
                    <a:blip r:embed="rId12">
                      <a:extLst>
                        <a:ext uri="{28A0092B-C50C-407E-A947-70E740481C1C}">
                          <a14:useLocalDpi xmlns:a14="http://schemas.microsoft.com/office/drawing/2010/main" val="0"/>
                        </a:ext>
                      </a:extLst>
                    </a:blip>
                    <a:srcRect t="15466"/>
                    <a:stretch/>
                  </pic:blipFill>
                  <pic:spPr bwMode="auto">
                    <a:xfrm>
                      <a:off x="0" y="0"/>
                      <a:ext cx="3734435" cy="609600"/>
                    </a:xfrm>
                    <a:prstGeom prst="rect">
                      <a:avLst/>
                    </a:prstGeom>
                    <a:noFill/>
                    <a:ln>
                      <a:noFill/>
                    </a:ln>
                    <a:effectLst/>
                  </pic:spPr>
                </pic:pic>
              </a:graphicData>
            </a:graphic>
          </wp:inline>
        </w:drawing>
      </w:r>
    </w:p>
    <w:p w14:paraId="176F0305" w14:textId="3D9EE612" w:rsidR="005833C2" w:rsidRDefault="5F7D33A0" w:rsidP="176F6A0C">
      <w:pPr>
        <w:rPr>
          <w:b/>
          <w:bCs/>
          <w:color w:val="365F91"/>
          <w:sz w:val="28"/>
          <w:szCs w:val="28"/>
        </w:rPr>
      </w:pPr>
      <w:r w:rsidRPr="176F6A0C">
        <w:rPr>
          <w:b/>
          <w:bCs/>
          <w:color w:val="365F91"/>
          <w:sz w:val="28"/>
          <w:szCs w:val="28"/>
        </w:rPr>
        <w:lastRenderedPageBreak/>
        <w:t xml:space="preserve">Content </w:t>
      </w:r>
    </w:p>
    <w:p w14:paraId="18D38D71" w14:textId="60396E9A" w:rsidR="005833C2" w:rsidRDefault="600393CF" w:rsidP="00042275">
      <w:pPr>
        <w:pStyle w:val="Pasussalistom"/>
        <w:numPr>
          <w:ilvl w:val="0"/>
          <w:numId w:val="36"/>
        </w:numPr>
        <w:rPr>
          <w:rFonts w:ascii="Calibri" w:hAnsi="Calibri" w:cs="Calibri"/>
        </w:rPr>
      </w:pPr>
      <w:r w:rsidRPr="176F6A0C">
        <w:rPr>
          <w:rFonts w:ascii="Calibri" w:hAnsi="Calibri" w:cs="Calibri"/>
        </w:rPr>
        <w:t xml:space="preserve">Executive </w:t>
      </w:r>
      <w:r w:rsidR="060473E6" w:rsidRPr="176F6A0C">
        <w:rPr>
          <w:rFonts w:ascii="Calibri" w:hAnsi="Calibri" w:cs="Calibri"/>
        </w:rPr>
        <w:t>s</w:t>
      </w:r>
      <w:r w:rsidRPr="176F6A0C">
        <w:rPr>
          <w:rFonts w:ascii="Calibri" w:hAnsi="Calibri" w:cs="Calibri"/>
        </w:rPr>
        <w:t>ummary</w:t>
      </w:r>
      <w:r w:rsidR="5F7D33A0" w:rsidRPr="176F6A0C">
        <w:rPr>
          <w:rFonts w:ascii="Calibri" w:hAnsi="Calibri" w:cs="Calibri"/>
        </w:rPr>
        <w:t xml:space="preserve"> .................................................................................................................</w:t>
      </w:r>
      <w:r w:rsidR="3AC12339" w:rsidRPr="176F6A0C">
        <w:rPr>
          <w:rFonts w:ascii="Calibri" w:hAnsi="Calibri" w:cs="Calibri"/>
        </w:rPr>
        <w:t>......</w:t>
      </w:r>
      <w:r w:rsidR="5F7D33A0" w:rsidRPr="176F6A0C">
        <w:rPr>
          <w:rFonts w:ascii="Calibri" w:hAnsi="Calibri" w:cs="Calibri"/>
        </w:rPr>
        <w:t>.</w:t>
      </w:r>
      <w:r w:rsidR="35B84B80" w:rsidRPr="176F6A0C">
        <w:rPr>
          <w:rFonts w:ascii="Calibri" w:hAnsi="Calibri" w:cs="Calibri"/>
        </w:rPr>
        <w:t>8</w:t>
      </w:r>
    </w:p>
    <w:p w14:paraId="06E5EB7D" w14:textId="127E5A26" w:rsidR="005833C2" w:rsidRPr="00ED3707" w:rsidRDefault="5B3FA103" w:rsidP="00042275">
      <w:pPr>
        <w:pStyle w:val="Pasussalistom"/>
        <w:numPr>
          <w:ilvl w:val="0"/>
          <w:numId w:val="36"/>
        </w:numPr>
      </w:pPr>
      <w:r w:rsidRPr="176F6A0C">
        <w:t xml:space="preserve">Purpose and scope </w:t>
      </w:r>
      <w:r w:rsidR="5F7D33A0" w:rsidRPr="176F6A0C">
        <w:t>.................................</w:t>
      </w:r>
      <w:r w:rsidR="12CD3DD8" w:rsidRPr="176F6A0C">
        <w:t>.................................................................................</w:t>
      </w:r>
      <w:r w:rsidR="6F5D2FC2" w:rsidRPr="176F6A0C">
        <w:t>.....</w:t>
      </w:r>
      <w:r w:rsidR="12CD3DD8" w:rsidRPr="176F6A0C">
        <w:t>..9</w:t>
      </w:r>
    </w:p>
    <w:p w14:paraId="0D74DFB7" w14:textId="09ACC42B" w:rsidR="25748BCA" w:rsidRDefault="25748BCA" w:rsidP="00042275">
      <w:pPr>
        <w:pStyle w:val="Pasussalistom"/>
        <w:numPr>
          <w:ilvl w:val="1"/>
          <w:numId w:val="36"/>
        </w:numPr>
      </w:pPr>
      <w:r w:rsidRPr="176F6A0C">
        <w:t>Document structure</w:t>
      </w:r>
      <w:r w:rsidR="35615E97" w:rsidRPr="176F6A0C">
        <w:t>.........................................................................................................</w:t>
      </w:r>
      <w:r w:rsidR="66950E7E" w:rsidRPr="176F6A0C">
        <w:t>..9</w:t>
      </w:r>
    </w:p>
    <w:p w14:paraId="05CA70AB" w14:textId="78E3CF24" w:rsidR="25748BCA" w:rsidRDefault="25748BCA" w:rsidP="00042275">
      <w:pPr>
        <w:pStyle w:val="Pasussalistom"/>
        <w:numPr>
          <w:ilvl w:val="0"/>
          <w:numId w:val="36"/>
        </w:numPr>
      </w:pPr>
      <w:r w:rsidRPr="176F6A0C">
        <w:t>Context and constraints</w:t>
      </w:r>
      <w:r w:rsidR="2A8B030D" w:rsidRPr="176F6A0C">
        <w:t>..................................................................................................................9</w:t>
      </w:r>
    </w:p>
    <w:p w14:paraId="1CB9EF5B" w14:textId="7B0E9A66" w:rsidR="25748BCA" w:rsidRDefault="25748BCA" w:rsidP="00042275">
      <w:pPr>
        <w:pStyle w:val="Pasussalistom"/>
        <w:numPr>
          <w:ilvl w:val="0"/>
          <w:numId w:val="36"/>
        </w:numPr>
      </w:pPr>
      <w:r w:rsidRPr="176F6A0C">
        <w:t>Communication objectives and outcomes</w:t>
      </w:r>
      <w:r w:rsidR="5D365DD9" w:rsidRPr="176F6A0C">
        <w:t>....................................................................................10</w:t>
      </w:r>
    </w:p>
    <w:p w14:paraId="1FE5F8FA" w14:textId="1E3183FB" w:rsidR="79BE8811" w:rsidRDefault="79BE8811" w:rsidP="00042275">
      <w:pPr>
        <w:pStyle w:val="Pasussalistom"/>
        <w:numPr>
          <w:ilvl w:val="0"/>
          <w:numId w:val="36"/>
        </w:numPr>
      </w:pPr>
      <w:r w:rsidRPr="176F6A0C">
        <w:t>Audiences and stakeholder logic</w:t>
      </w:r>
      <w:r w:rsidR="6489F3B3" w:rsidRPr="176F6A0C">
        <w:t>...................................................................................................11</w:t>
      </w:r>
    </w:p>
    <w:p w14:paraId="1E73D834" w14:textId="77AB729A" w:rsidR="52A8C9E3" w:rsidRDefault="52A8C9E3" w:rsidP="00042275">
      <w:pPr>
        <w:pStyle w:val="Pasussalistom"/>
        <w:numPr>
          <w:ilvl w:val="0"/>
          <w:numId w:val="36"/>
        </w:numPr>
      </w:pPr>
      <w:r w:rsidRPr="176F6A0C">
        <w:t>Narrative and message architecture</w:t>
      </w:r>
      <w:r w:rsidR="13D17590" w:rsidRPr="176F6A0C">
        <w:t>.............................................................................................12</w:t>
      </w:r>
    </w:p>
    <w:p w14:paraId="7829FB93" w14:textId="28F9B13C" w:rsidR="79BE8811" w:rsidRDefault="79BE8811" w:rsidP="00042275">
      <w:pPr>
        <w:pStyle w:val="Pasussalistom"/>
        <w:numPr>
          <w:ilvl w:val="0"/>
          <w:numId w:val="36"/>
        </w:numPr>
      </w:pPr>
      <w:r w:rsidRPr="176F6A0C">
        <w:t>Channels, formats and content packages</w:t>
      </w:r>
      <w:r w:rsidR="2A0269F1" w:rsidRPr="176F6A0C">
        <w:t>.....................................................................................13</w:t>
      </w:r>
    </w:p>
    <w:p w14:paraId="4476E568" w14:textId="0C3D6B42" w:rsidR="79BE8811" w:rsidRDefault="79BE8811" w:rsidP="00042275">
      <w:pPr>
        <w:pStyle w:val="Pasussalistom"/>
        <w:numPr>
          <w:ilvl w:val="1"/>
          <w:numId w:val="36"/>
        </w:numPr>
      </w:pPr>
      <w:r w:rsidRPr="176F6A0C">
        <w:t>UNESCO IHP and UNESCO network amplification</w:t>
      </w:r>
      <w:r w:rsidR="1DDBAFCA" w:rsidRPr="176F6A0C">
        <w:t>............................................................14</w:t>
      </w:r>
    </w:p>
    <w:p w14:paraId="6E6AE240" w14:textId="1FB7306F" w:rsidR="79BE8811" w:rsidRDefault="79BE8811" w:rsidP="00042275">
      <w:pPr>
        <w:pStyle w:val="Pasussalistom"/>
        <w:numPr>
          <w:ilvl w:val="0"/>
          <w:numId w:val="36"/>
        </w:numPr>
      </w:pPr>
      <w:r w:rsidRPr="176F6A0C">
        <w:t>Editorial approach and cadence</w:t>
      </w:r>
      <w:r w:rsidR="024453D1" w:rsidRPr="176F6A0C">
        <w:t>....................................................................................................15</w:t>
      </w:r>
    </w:p>
    <w:p w14:paraId="5E021268" w14:textId="2162893C" w:rsidR="79BE8811" w:rsidRDefault="79BE8811" w:rsidP="00042275">
      <w:pPr>
        <w:pStyle w:val="Pasussalistom"/>
        <w:numPr>
          <w:ilvl w:val="0"/>
          <w:numId w:val="36"/>
        </w:numPr>
      </w:pPr>
      <w:r w:rsidRPr="176F6A0C">
        <w:t>Dissemination plan</w:t>
      </w:r>
      <w:r w:rsidR="5214AAEC" w:rsidRPr="176F6A0C">
        <w:t>........................................................................................................................16</w:t>
      </w:r>
    </w:p>
    <w:p w14:paraId="664D5B2D" w14:textId="43FEE55B" w:rsidR="79BE8811" w:rsidRDefault="79BE8811" w:rsidP="00042275">
      <w:pPr>
        <w:pStyle w:val="Pasussalistom"/>
        <w:numPr>
          <w:ilvl w:val="0"/>
          <w:numId w:val="36"/>
        </w:numPr>
      </w:pPr>
      <w:r w:rsidRPr="176F6A0C">
        <w:t>Operating model, roles and approvals</w:t>
      </w:r>
      <w:r w:rsidR="2052D407" w:rsidRPr="176F6A0C">
        <w:t>..........................................................................................17</w:t>
      </w:r>
    </w:p>
    <w:p w14:paraId="01E7CF6A" w14:textId="537E3999" w:rsidR="79BE8811" w:rsidRDefault="79BE8811" w:rsidP="00042275">
      <w:pPr>
        <w:pStyle w:val="Pasussalistom"/>
        <w:numPr>
          <w:ilvl w:val="0"/>
          <w:numId w:val="36"/>
        </w:numPr>
      </w:pPr>
      <w:r w:rsidRPr="176F6A0C">
        <w:t>Deliverables</w:t>
      </w:r>
      <w:r w:rsidR="4D67D9CD" w:rsidRPr="176F6A0C">
        <w:t>...................................................................................................................................19</w:t>
      </w:r>
    </w:p>
    <w:p w14:paraId="7CBE2A4B" w14:textId="414822B4" w:rsidR="79BE8811" w:rsidRDefault="79BE8811" w:rsidP="00042275">
      <w:pPr>
        <w:pStyle w:val="Pasussalistom"/>
        <w:numPr>
          <w:ilvl w:val="0"/>
          <w:numId w:val="36"/>
        </w:numPr>
      </w:pPr>
      <w:r w:rsidRPr="176F6A0C">
        <w:t>Measurement and learning loop (KPIs)</w:t>
      </w:r>
      <w:r w:rsidR="0A0CDF30" w:rsidRPr="176F6A0C">
        <w:t>.........................................................................................20</w:t>
      </w:r>
    </w:p>
    <w:p w14:paraId="31973EF5" w14:textId="385FFCDB" w:rsidR="79BE8811" w:rsidRDefault="79BE8811" w:rsidP="00042275">
      <w:pPr>
        <w:pStyle w:val="Pasussalistom"/>
        <w:numPr>
          <w:ilvl w:val="0"/>
          <w:numId w:val="36"/>
        </w:numPr>
      </w:pPr>
      <w:r w:rsidRPr="176F6A0C">
        <w:t>Risks, assumptions and guardrails</w:t>
      </w:r>
      <w:r w:rsidR="101A3AC6" w:rsidRPr="176F6A0C">
        <w:t>.................................................................................................21</w:t>
      </w:r>
    </w:p>
    <w:p w14:paraId="3D87E02B" w14:textId="77777777" w:rsidR="005833C2" w:rsidRPr="005833C2" w:rsidRDefault="005833C2" w:rsidP="005833C2"/>
    <w:p w14:paraId="20AFAF95" w14:textId="77777777" w:rsidR="005833C2" w:rsidRPr="005833C2" w:rsidRDefault="005833C2" w:rsidP="005833C2"/>
    <w:p w14:paraId="0EEFB86E" w14:textId="77777777" w:rsidR="005833C2" w:rsidRPr="005833C2" w:rsidRDefault="005833C2" w:rsidP="005833C2"/>
    <w:p w14:paraId="1D830A83" w14:textId="77777777" w:rsidR="005833C2" w:rsidRPr="005833C2" w:rsidRDefault="005833C2" w:rsidP="005833C2"/>
    <w:p w14:paraId="4737000F" w14:textId="77777777" w:rsidR="005833C2" w:rsidRDefault="005833C2" w:rsidP="005833C2"/>
    <w:p w14:paraId="240A0955" w14:textId="77777777" w:rsidR="00ED3707" w:rsidRDefault="00ED3707" w:rsidP="005833C2"/>
    <w:p w14:paraId="3014B91A" w14:textId="77777777" w:rsidR="00ED3707" w:rsidRDefault="00ED3707" w:rsidP="005833C2"/>
    <w:p w14:paraId="260DEF44" w14:textId="77777777" w:rsidR="00ED3707" w:rsidRDefault="00ED3707" w:rsidP="005833C2"/>
    <w:p w14:paraId="7FA0CEDA" w14:textId="77777777" w:rsidR="00ED3707" w:rsidRDefault="00ED3707" w:rsidP="005833C2"/>
    <w:p w14:paraId="572C8884" w14:textId="77777777" w:rsidR="00ED3707" w:rsidRDefault="00ED3707" w:rsidP="005833C2"/>
    <w:p w14:paraId="4544D636" w14:textId="6080C612" w:rsidR="00ED3707" w:rsidRDefault="00ED3707" w:rsidP="176F6A0C"/>
    <w:p w14:paraId="7CDAC03D" w14:textId="77777777" w:rsidR="00ED3707" w:rsidRDefault="00ED3707" w:rsidP="005833C2"/>
    <w:p w14:paraId="6F0DD034" w14:textId="77777777" w:rsidR="00ED3707" w:rsidRDefault="00ED3707" w:rsidP="005833C2"/>
    <w:p w14:paraId="7FF95864" w14:textId="77777777" w:rsidR="00ED3707" w:rsidRDefault="00ED3707" w:rsidP="005833C2"/>
    <w:p w14:paraId="1BC0FE20" w14:textId="77777777" w:rsidR="00ED3707" w:rsidRDefault="00ED3707" w:rsidP="005833C2"/>
    <w:p w14:paraId="00809CA1" w14:textId="73C8D871" w:rsidR="00D32C5E" w:rsidRDefault="00D32C5E" w:rsidP="176F6A0C"/>
    <w:p w14:paraId="283698FF" w14:textId="77777777" w:rsidR="00D32C5E" w:rsidRDefault="00D32C5E" w:rsidP="005833C2"/>
    <w:p w14:paraId="1B1AE7B9" w14:textId="6AFDEEA6" w:rsidR="176F6A0C" w:rsidRDefault="176F6A0C"/>
    <w:p w14:paraId="7E9A44E4" w14:textId="1CD03C0D" w:rsidR="176F6A0C" w:rsidRDefault="176F6A0C" w:rsidP="176F6A0C"/>
    <w:p w14:paraId="38C4824E" w14:textId="77777777" w:rsidR="005833C2" w:rsidRDefault="5F7D33A0" w:rsidP="005833C2">
      <w:pPr>
        <w:autoSpaceDE w:val="0"/>
        <w:autoSpaceDN w:val="0"/>
        <w:adjustRightInd w:val="0"/>
        <w:spacing w:after="0" w:line="240" w:lineRule="auto"/>
        <w:rPr>
          <w:rFonts w:ascii="Calibri" w:hAnsi="Calibri" w:cs="Calibri"/>
          <w:b/>
          <w:bCs/>
          <w:color w:val="000000"/>
        </w:rPr>
      </w:pPr>
      <w:r w:rsidRPr="176F6A0C">
        <w:rPr>
          <w:rFonts w:ascii="Calibri" w:hAnsi="Calibri" w:cs="Calibri"/>
          <w:b/>
          <w:bCs/>
          <w:color w:val="000000" w:themeColor="text1"/>
        </w:rPr>
        <w:lastRenderedPageBreak/>
        <w:t xml:space="preserve">LIST OF TABLES </w:t>
      </w:r>
    </w:p>
    <w:p w14:paraId="65C7C034" w14:textId="77777777" w:rsidR="005833C2" w:rsidRPr="005833C2" w:rsidRDefault="005833C2" w:rsidP="005833C2">
      <w:pPr>
        <w:autoSpaceDE w:val="0"/>
        <w:autoSpaceDN w:val="0"/>
        <w:adjustRightInd w:val="0"/>
        <w:spacing w:after="0" w:line="240" w:lineRule="auto"/>
        <w:rPr>
          <w:rFonts w:ascii="Calibri" w:hAnsi="Calibri" w:cs="Calibri"/>
          <w:color w:val="000000"/>
        </w:rPr>
      </w:pPr>
    </w:p>
    <w:p w14:paraId="3B256AE0" w14:textId="2CBC2B4C" w:rsidR="005833C2" w:rsidRDefault="5F7D33A0" w:rsidP="176F6A0C">
      <w:pPr>
        <w:tabs>
          <w:tab w:val="left" w:pos="1515"/>
        </w:tabs>
      </w:pPr>
      <w:r>
        <w:t xml:space="preserve">Table </w:t>
      </w:r>
      <w:r w:rsidR="5579A686">
        <w:t>1</w:t>
      </w:r>
      <w:r w:rsidR="11E02EA0">
        <w:t xml:space="preserve">: </w:t>
      </w:r>
      <w:r w:rsidR="7690017A">
        <w:t>Indicative frequency of communication activities..................................................................24</w:t>
      </w:r>
    </w:p>
    <w:p w14:paraId="720382E4" w14:textId="151E8DAA" w:rsidR="11E02EA0" w:rsidRDefault="11E02EA0" w:rsidP="176F6A0C">
      <w:pPr>
        <w:tabs>
          <w:tab w:val="left" w:pos="1515"/>
        </w:tabs>
        <w:rPr>
          <w:rFonts w:ascii="Calibri" w:hAnsi="Calibri" w:cs="Calibri"/>
          <w:color w:val="000000" w:themeColor="text1"/>
        </w:rPr>
      </w:pPr>
      <w:r>
        <w:t xml:space="preserve">Table 2: </w:t>
      </w:r>
      <w:r w:rsidR="259A9D12">
        <w:t>Indicative communication focus for the period May to October 2026...................................25</w:t>
      </w:r>
    </w:p>
    <w:p w14:paraId="698D18F7" w14:textId="07DF7DAD" w:rsidR="11E02EA0" w:rsidRDefault="11E02EA0" w:rsidP="176F6A0C">
      <w:pPr>
        <w:tabs>
          <w:tab w:val="left" w:pos="1515"/>
        </w:tabs>
      </w:pPr>
      <w:r>
        <w:t xml:space="preserve">Table 3: </w:t>
      </w:r>
      <w:r w:rsidR="4D9E625A">
        <w:t>RACI chart for external-facing outputs (RED lane)..................................................................26</w:t>
      </w:r>
    </w:p>
    <w:p w14:paraId="2581E101" w14:textId="3E990A52" w:rsidR="005833C2" w:rsidRPr="005833C2" w:rsidRDefault="4D9E625A" w:rsidP="005833C2">
      <w:r>
        <w:t>Table 4: Coordination cadence of the communication system............................................................27</w:t>
      </w:r>
    </w:p>
    <w:p w14:paraId="02A19DBD" w14:textId="77777777" w:rsidR="005833C2" w:rsidRPr="005833C2" w:rsidRDefault="005833C2" w:rsidP="005833C2"/>
    <w:p w14:paraId="0D2CFBE2" w14:textId="77777777" w:rsidR="005833C2" w:rsidRPr="005833C2" w:rsidRDefault="005833C2" w:rsidP="005833C2"/>
    <w:p w14:paraId="11C7C4A1" w14:textId="77777777" w:rsidR="005833C2" w:rsidRPr="005833C2" w:rsidRDefault="005833C2" w:rsidP="005833C2"/>
    <w:p w14:paraId="37CF0F73" w14:textId="77777777" w:rsidR="005833C2" w:rsidRPr="005833C2" w:rsidRDefault="005833C2" w:rsidP="005833C2"/>
    <w:p w14:paraId="1D90777F" w14:textId="77777777" w:rsidR="005833C2" w:rsidRPr="005833C2" w:rsidRDefault="005833C2" w:rsidP="005833C2"/>
    <w:p w14:paraId="4A4514A9" w14:textId="77777777" w:rsidR="005833C2" w:rsidRPr="005833C2" w:rsidRDefault="005833C2" w:rsidP="005833C2"/>
    <w:p w14:paraId="573662D9" w14:textId="77777777" w:rsidR="005833C2" w:rsidRPr="005833C2" w:rsidRDefault="005833C2" w:rsidP="005833C2"/>
    <w:p w14:paraId="5C7AF54C" w14:textId="77777777" w:rsidR="005833C2" w:rsidRPr="005833C2" w:rsidRDefault="005833C2" w:rsidP="005833C2"/>
    <w:p w14:paraId="742155F9" w14:textId="77777777" w:rsidR="005833C2" w:rsidRPr="005833C2" w:rsidRDefault="005833C2" w:rsidP="005833C2"/>
    <w:p w14:paraId="3DEC2AD7" w14:textId="77777777" w:rsidR="005833C2" w:rsidRPr="005833C2" w:rsidRDefault="005833C2" w:rsidP="005833C2"/>
    <w:p w14:paraId="28345DD6" w14:textId="77777777" w:rsidR="005833C2" w:rsidRPr="005833C2" w:rsidRDefault="005833C2" w:rsidP="005833C2"/>
    <w:p w14:paraId="7C00AB83" w14:textId="77777777" w:rsidR="005833C2" w:rsidRPr="005833C2" w:rsidRDefault="005833C2" w:rsidP="005833C2"/>
    <w:p w14:paraId="40C0B973" w14:textId="77777777" w:rsidR="005833C2" w:rsidRPr="005833C2" w:rsidRDefault="005833C2" w:rsidP="005833C2"/>
    <w:p w14:paraId="3C974A2B" w14:textId="77777777" w:rsidR="005833C2" w:rsidRPr="005833C2" w:rsidRDefault="005833C2" w:rsidP="005833C2"/>
    <w:p w14:paraId="130521D9" w14:textId="77777777" w:rsidR="005833C2" w:rsidRPr="005833C2" w:rsidRDefault="005833C2" w:rsidP="005833C2"/>
    <w:p w14:paraId="46F04D96" w14:textId="77777777" w:rsidR="005833C2" w:rsidRPr="005833C2" w:rsidRDefault="005833C2" w:rsidP="005833C2"/>
    <w:p w14:paraId="0BDD3F79" w14:textId="77777777" w:rsidR="005833C2" w:rsidRPr="005833C2" w:rsidRDefault="005833C2" w:rsidP="005833C2"/>
    <w:p w14:paraId="41D8BF7A" w14:textId="77777777" w:rsidR="005833C2" w:rsidRPr="005833C2" w:rsidRDefault="005833C2" w:rsidP="005833C2"/>
    <w:p w14:paraId="33367FD7" w14:textId="77777777" w:rsidR="005833C2" w:rsidRPr="005833C2" w:rsidRDefault="005833C2" w:rsidP="005833C2"/>
    <w:p w14:paraId="4CD330C0" w14:textId="77777777" w:rsidR="005833C2" w:rsidRPr="005833C2" w:rsidRDefault="005833C2" w:rsidP="005833C2"/>
    <w:p w14:paraId="5D0200D4" w14:textId="77777777" w:rsidR="005833C2" w:rsidRPr="005833C2" w:rsidRDefault="005833C2" w:rsidP="005833C2"/>
    <w:p w14:paraId="30E69F01" w14:textId="77777777" w:rsidR="005833C2" w:rsidRPr="005833C2" w:rsidRDefault="005833C2" w:rsidP="005833C2"/>
    <w:p w14:paraId="1A6EC8F9" w14:textId="77777777" w:rsidR="005833C2" w:rsidRDefault="005833C2" w:rsidP="005833C2"/>
    <w:p w14:paraId="2720C99B" w14:textId="77777777" w:rsidR="005833C2" w:rsidRDefault="005833C2" w:rsidP="005833C2"/>
    <w:p w14:paraId="105BDA16" w14:textId="2782A761" w:rsidR="176F6A0C" w:rsidRDefault="176F6A0C" w:rsidP="176F6A0C"/>
    <w:p w14:paraId="555AFBF1" w14:textId="77777777" w:rsidR="005833C2" w:rsidRDefault="5F7D33A0" w:rsidP="005833C2">
      <w:pPr>
        <w:autoSpaceDE w:val="0"/>
        <w:autoSpaceDN w:val="0"/>
        <w:adjustRightInd w:val="0"/>
        <w:spacing w:after="0" w:line="240" w:lineRule="auto"/>
        <w:rPr>
          <w:rFonts w:ascii="Calibri" w:hAnsi="Calibri" w:cs="Calibri"/>
          <w:b/>
          <w:bCs/>
          <w:color w:val="000000"/>
        </w:rPr>
      </w:pPr>
      <w:r w:rsidRPr="176F6A0C">
        <w:rPr>
          <w:rFonts w:ascii="Calibri" w:hAnsi="Calibri" w:cs="Calibri"/>
          <w:b/>
          <w:bCs/>
          <w:color w:val="000000" w:themeColor="text1"/>
        </w:rPr>
        <w:lastRenderedPageBreak/>
        <w:t xml:space="preserve">LIST OF FIGURES </w:t>
      </w:r>
    </w:p>
    <w:p w14:paraId="1E802438" w14:textId="77777777" w:rsidR="005833C2" w:rsidRPr="005833C2" w:rsidRDefault="005833C2" w:rsidP="005833C2">
      <w:pPr>
        <w:autoSpaceDE w:val="0"/>
        <w:autoSpaceDN w:val="0"/>
        <w:adjustRightInd w:val="0"/>
        <w:spacing w:after="0" w:line="240" w:lineRule="auto"/>
        <w:rPr>
          <w:rFonts w:ascii="Calibri" w:hAnsi="Calibri" w:cs="Calibri"/>
          <w:color w:val="000000"/>
        </w:rPr>
      </w:pPr>
    </w:p>
    <w:p w14:paraId="34FA3FC0" w14:textId="7DBF87FF" w:rsidR="005833C2" w:rsidRDefault="5F7D33A0" w:rsidP="005833C2">
      <w:r w:rsidRPr="176F6A0C">
        <w:rPr>
          <w:rFonts w:ascii="Calibri" w:hAnsi="Calibri" w:cs="Calibri"/>
          <w:color w:val="000000" w:themeColor="text1"/>
        </w:rPr>
        <w:t>Figure 1</w:t>
      </w:r>
      <w:r w:rsidR="6A1286D8" w:rsidRPr="176F6A0C">
        <w:rPr>
          <w:rFonts w:ascii="Calibri" w:hAnsi="Calibri" w:cs="Calibri"/>
          <w:color w:val="000000" w:themeColor="text1"/>
        </w:rPr>
        <w:t>:</w:t>
      </w:r>
      <w:r w:rsidR="6D4435E5" w:rsidRPr="176F6A0C">
        <w:rPr>
          <w:rFonts w:ascii="Calibri" w:hAnsi="Calibri" w:cs="Calibri"/>
          <w:color w:val="000000" w:themeColor="text1"/>
        </w:rPr>
        <w:t xml:space="preserve"> DIKTAS II communication system maturity pathway</w:t>
      </w:r>
      <w:r w:rsidR="18CB73CB" w:rsidRPr="176F6A0C">
        <w:rPr>
          <w:rFonts w:ascii="Calibri" w:hAnsi="Calibri" w:cs="Calibri"/>
          <w:color w:val="000000" w:themeColor="text1"/>
        </w:rPr>
        <w:t>.............................................................11</w:t>
      </w:r>
    </w:p>
    <w:p w14:paraId="7CBF621D" w14:textId="49E82829" w:rsidR="6A1286D8" w:rsidRDefault="6A1286D8" w:rsidP="176F6A0C">
      <w:pPr>
        <w:rPr>
          <w:rFonts w:ascii="Calibri" w:hAnsi="Calibri" w:cs="Calibri"/>
          <w:color w:val="000000" w:themeColor="text1"/>
        </w:rPr>
      </w:pPr>
      <w:r w:rsidRPr="176F6A0C">
        <w:rPr>
          <w:rFonts w:ascii="Calibri" w:hAnsi="Calibri" w:cs="Calibri"/>
          <w:color w:val="000000" w:themeColor="text1"/>
        </w:rPr>
        <w:t>Figure 2:</w:t>
      </w:r>
      <w:r w:rsidR="1CF52A68" w:rsidRPr="176F6A0C">
        <w:rPr>
          <w:rFonts w:ascii="Calibri" w:hAnsi="Calibri" w:cs="Calibri"/>
          <w:color w:val="000000" w:themeColor="text1"/>
        </w:rPr>
        <w:t xml:space="preserve"> Indicative pathway for UNESCO IHP amplification................................................................15</w:t>
      </w:r>
    </w:p>
    <w:p w14:paraId="365979D4" w14:textId="29F80362" w:rsidR="6A1286D8" w:rsidRDefault="6A1286D8" w:rsidP="176F6A0C">
      <w:pPr>
        <w:rPr>
          <w:rFonts w:ascii="Calibri" w:hAnsi="Calibri" w:cs="Calibri"/>
          <w:color w:val="000000" w:themeColor="text1"/>
        </w:rPr>
      </w:pPr>
      <w:r w:rsidRPr="176F6A0C">
        <w:rPr>
          <w:rFonts w:ascii="Calibri" w:hAnsi="Calibri" w:cs="Calibri"/>
          <w:color w:val="000000" w:themeColor="text1"/>
        </w:rPr>
        <w:t>Figure 3:</w:t>
      </w:r>
      <w:r w:rsidR="7145A65D" w:rsidRPr="176F6A0C">
        <w:rPr>
          <w:rFonts w:ascii="Calibri" w:hAnsi="Calibri" w:cs="Calibri"/>
          <w:color w:val="000000" w:themeColor="text1"/>
        </w:rPr>
        <w:t xml:space="preserve"> DIKTAS II communication production and clearance workflow............................................18</w:t>
      </w:r>
    </w:p>
    <w:p w14:paraId="7F6C868F" w14:textId="77777777" w:rsidR="005833C2" w:rsidRDefault="005833C2" w:rsidP="005833C2"/>
    <w:p w14:paraId="017305AD" w14:textId="77777777" w:rsidR="005833C2" w:rsidRDefault="005833C2" w:rsidP="005833C2"/>
    <w:p w14:paraId="34AD7CB7" w14:textId="77777777" w:rsidR="005833C2" w:rsidRDefault="005833C2" w:rsidP="005833C2"/>
    <w:p w14:paraId="7E963B2A" w14:textId="77777777" w:rsidR="00375603" w:rsidRDefault="00375603" w:rsidP="005833C2"/>
    <w:p w14:paraId="6468B8EC" w14:textId="77777777" w:rsidR="00375603" w:rsidRPr="00375603" w:rsidRDefault="00375603" w:rsidP="00375603"/>
    <w:p w14:paraId="208B254E" w14:textId="77777777" w:rsidR="00375603" w:rsidRPr="00375603" w:rsidRDefault="00375603" w:rsidP="00375603"/>
    <w:p w14:paraId="1522E693" w14:textId="77777777" w:rsidR="00375603" w:rsidRPr="00375603" w:rsidRDefault="00375603" w:rsidP="00375603"/>
    <w:p w14:paraId="76F44295" w14:textId="77777777" w:rsidR="00375603" w:rsidRPr="00375603" w:rsidRDefault="00375603" w:rsidP="00375603"/>
    <w:p w14:paraId="13AB3C47" w14:textId="77777777" w:rsidR="00375603" w:rsidRPr="00375603" w:rsidRDefault="00375603" w:rsidP="00375603"/>
    <w:p w14:paraId="2B3423DF" w14:textId="77777777" w:rsidR="00375603" w:rsidRPr="00375603" w:rsidRDefault="00375603" w:rsidP="00375603"/>
    <w:p w14:paraId="0A50DEB5" w14:textId="77777777" w:rsidR="00375603" w:rsidRPr="00375603" w:rsidRDefault="00375603" w:rsidP="00375603"/>
    <w:p w14:paraId="5B7C7E2C" w14:textId="77777777" w:rsidR="00375603" w:rsidRPr="00375603" w:rsidRDefault="00375603" w:rsidP="00375603"/>
    <w:p w14:paraId="52015592" w14:textId="77777777" w:rsidR="00375603" w:rsidRPr="00375603" w:rsidRDefault="00375603" w:rsidP="00375603"/>
    <w:p w14:paraId="183C97FC" w14:textId="77777777" w:rsidR="00375603" w:rsidRPr="00375603" w:rsidRDefault="00375603" w:rsidP="00375603"/>
    <w:p w14:paraId="679F5F22" w14:textId="77777777" w:rsidR="00375603" w:rsidRPr="00375603" w:rsidRDefault="00375603" w:rsidP="00375603"/>
    <w:p w14:paraId="68118B38" w14:textId="77777777" w:rsidR="00375603" w:rsidRPr="00375603" w:rsidRDefault="00375603" w:rsidP="00375603"/>
    <w:p w14:paraId="0416C474" w14:textId="77777777" w:rsidR="00375603" w:rsidRPr="00375603" w:rsidRDefault="00375603" w:rsidP="00375603"/>
    <w:p w14:paraId="787B5933" w14:textId="77777777" w:rsidR="00375603" w:rsidRPr="00375603" w:rsidRDefault="00375603" w:rsidP="00375603"/>
    <w:p w14:paraId="2F19E92C" w14:textId="77777777" w:rsidR="00375603" w:rsidRPr="00375603" w:rsidRDefault="00375603" w:rsidP="00375603"/>
    <w:p w14:paraId="10130957" w14:textId="77777777" w:rsidR="00375603" w:rsidRPr="00375603" w:rsidRDefault="00375603" w:rsidP="00375603"/>
    <w:p w14:paraId="455A059A" w14:textId="77777777" w:rsidR="00375603" w:rsidRPr="00375603" w:rsidRDefault="00375603" w:rsidP="00375603"/>
    <w:p w14:paraId="2995CB39" w14:textId="77777777" w:rsidR="00375603" w:rsidRPr="00375603" w:rsidRDefault="00375603" w:rsidP="00375603"/>
    <w:p w14:paraId="72A22138" w14:textId="77777777" w:rsidR="00375603" w:rsidRPr="00375603" w:rsidRDefault="00375603" w:rsidP="00375603"/>
    <w:p w14:paraId="50E1678A" w14:textId="77777777" w:rsidR="00375603" w:rsidRPr="00375603" w:rsidRDefault="00375603" w:rsidP="00375603"/>
    <w:p w14:paraId="724DFF42" w14:textId="77777777" w:rsidR="00375603" w:rsidRDefault="00375603" w:rsidP="00375603"/>
    <w:p w14:paraId="03A9A376" w14:textId="77777777" w:rsidR="005833C2" w:rsidRDefault="00375603" w:rsidP="176F6A0C">
      <w:pPr>
        <w:tabs>
          <w:tab w:val="left" w:pos="1890"/>
        </w:tabs>
      </w:pPr>
      <w:r>
        <w:tab/>
      </w:r>
    </w:p>
    <w:p w14:paraId="1DF0A76F" w14:textId="77777777" w:rsidR="00375603" w:rsidRDefault="0C020F91" w:rsidP="00375603">
      <w:pPr>
        <w:autoSpaceDE w:val="0"/>
        <w:autoSpaceDN w:val="0"/>
        <w:adjustRightInd w:val="0"/>
        <w:spacing w:after="0" w:line="240" w:lineRule="auto"/>
        <w:rPr>
          <w:rFonts w:ascii="Calibri" w:hAnsi="Calibri" w:cs="Calibri"/>
          <w:b/>
          <w:bCs/>
          <w:color w:val="000000"/>
        </w:rPr>
      </w:pPr>
      <w:r w:rsidRPr="176F6A0C">
        <w:rPr>
          <w:rFonts w:ascii="Calibri" w:hAnsi="Calibri" w:cs="Calibri"/>
          <w:b/>
          <w:bCs/>
          <w:color w:val="000000" w:themeColor="text1"/>
        </w:rPr>
        <w:lastRenderedPageBreak/>
        <w:t xml:space="preserve">LIST OF ANNEXES </w:t>
      </w:r>
    </w:p>
    <w:p w14:paraId="3453FE54" w14:textId="77777777" w:rsidR="00375603" w:rsidRPr="00375603" w:rsidRDefault="00375603" w:rsidP="00375603">
      <w:pPr>
        <w:autoSpaceDE w:val="0"/>
        <w:autoSpaceDN w:val="0"/>
        <w:adjustRightInd w:val="0"/>
        <w:spacing w:after="0" w:line="240" w:lineRule="auto"/>
        <w:rPr>
          <w:rFonts w:ascii="Calibri" w:hAnsi="Calibri" w:cs="Calibri"/>
          <w:color w:val="000000"/>
        </w:rPr>
      </w:pPr>
    </w:p>
    <w:p w14:paraId="1550AE6A" w14:textId="5F8C6312" w:rsidR="00375603" w:rsidRDefault="0C020F91" w:rsidP="176F6A0C">
      <w:pPr>
        <w:tabs>
          <w:tab w:val="left" w:pos="1890"/>
        </w:tabs>
        <w:rPr>
          <w:rFonts w:ascii="Calibri" w:hAnsi="Calibri" w:cs="Calibri"/>
          <w:color w:val="000000" w:themeColor="text1"/>
        </w:rPr>
      </w:pPr>
      <w:r w:rsidRPr="176F6A0C">
        <w:rPr>
          <w:rFonts w:ascii="Calibri" w:hAnsi="Calibri" w:cs="Calibri"/>
          <w:color w:val="000000" w:themeColor="text1"/>
        </w:rPr>
        <w:t xml:space="preserve">Annex </w:t>
      </w:r>
      <w:r w:rsidR="07603FFF" w:rsidRPr="176F6A0C">
        <w:rPr>
          <w:rFonts w:ascii="Calibri" w:hAnsi="Calibri" w:cs="Calibri"/>
          <w:color w:val="000000" w:themeColor="text1"/>
        </w:rPr>
        <w:t>A</w:t>
      </w:r>
      <w:r w:rsidRPr="176F6A0C">
        <w:rPr>
          <w:rFonts w:ascii="Calibri" w:hAnsi="Calibri" w:cs="Calibri"/>
          <w:color w:val="000000" w:themeColor="text1"/>
        </w:rPr>
        <w:t>:</w:t>
      </w:r>
      <w:r w:rsidR="0E1EA7FF" w:rsidRPr="176F6A0C">
        <w:rPr>
          <w:rFonts w:ascii="Calibri" w:hAnsi="Calibri" w:cs="Calibri"/>
          <w:color w:val="000000" w:themeColor="text1"/>
        </w:rPr>
        <w:t xml:space="preserve"> </w:t>
      </w:r>
      <w:r w:rsidR="0D834F6D" w:rsidRPr="176F6A0C">
        <w:rPr>
          <w:rFonts w:ascii="Calibri" w:hAnsi="Calibri" w:cs="Calibri"/>
          <w:color w:val="000000" w:themeColor="text1"/>
        </w:rPr>
        <w:t>Editorial planning approach and indicative calendar............................................................23</w:t>
      </w:r>
    </w:p>
    <w:p w14:paraId="6486E428" w14:textId="3D4EEE58" w:rsidR="76BB2747" w:rsidRDefault="76BB2747" w:rsidP="176F6A0C">
      <w:pPr>
        <w:tabs>
          <w:tab w:val="left" w:pos="1890"/>
        </w:tabs>
        <w:rPr>
          <w:rFonts w:ascii="Calibri" w:hAnsi="Calibri" w:cs="Calibri"/>
          <w:color w:val="000000" w:themeColor="text1"/>
        </w:rPr>
      </w:pPr>
      <w:r w:rsidRPr="176F6A0C">
        <w:rPr>
          <w:rFonts w:ascii="Calibri" w:hAnsi="Calibri" w:cs="Calibri"/>
          <w:color w:val="000000" w:themeColor="text1"/>
        </w:rPr>
        <w:t>Annex B:</w:t>
      </w:r>
      <w:r w:rsidR="3EB048FF" w:rsidRPr="176F6A0C">
        <w:rPr>
          <w:rFonts w:ascii="Calibri" w:hAnsi="Calibri" w:cs="Calibri"/>
          <w:color w:val="000000" w:themeColor="text1"/>
        </w:rPr>
        <w:t xml:space="preserve"> Operating model...................................................................................................................26</w:t>
      </w:r>
    </w:p>
    <w:p w14:paraId="6B2F117C" w14:textId="6919CB54" w:rsidR="76BB2747" w:rsidRDefault="76BB2747" w:rsidP="176F6A0C">
      <w:pPr>
        <w:tabs>
          <w:tab w:val="left" w:pos="1890"/>
        </w:tabs>
        <w:rPr>
          <w:rFonts w:ascii="Calibri" w:hAnsi="Calibri" w:cs="Calibri"/>
          <w:color w:val="000000" w:themeColor="text1"/>
        </w:rPr>
      </w:pPr>
      <w:r w:rsidRPr="176F6A0C">
        <w:rPr>
          <w:rFonts w:ascii="Calibri" w:hAnsi="Calibri" w:cs="Calibri"/>
          <w:color w:val="000000" w:themeColor="text1"/>
        </w:rPr>
        <w:t>Annex C:</w:t>
      </w:r>
      <w:r w:rsidR="2D01C810" w:rsidRPr="176F6A0C">
        <w:rPr>
          <w:rFonts w:ascii="Calibri" w:hAnsi="Calibri" w:cs="Calibri"/>
          <w:color w:val="000000" w:themeColor="text1"/>
        </w:rPr>
        <w:t xml:space="preserve"> </w:t>
      </w:r>
      <w:r w:rsidR="1B1FCAF2" w:rsidRPr="176F6A0C">
        <w:rPr>
          <w:rFonts w:ascii="Calibri" w:hAnsi="Calibri" w:cs="Calibri"/>
          <w:color w:val="000000" w:themeColor="text1"/>
        </w:rPr>
        <w:t>Message framework and boilerplates...................................................................................29</w:t>
      </w:r>
    </w:p>
    <w:p w14:paraId="087A6A4A" w14:textId="7637F7B8" w:rsidR="1B1FCAF2" w:rsidRDefault="1B1FCAF2" w:rsidP="176F6A0C">
      <w:pPr>
        <w:tabs>
          <w:tab w:val="left" w:pos="1890"/>
        </w:tabs>
        <w:rPr>
          <w:rFonts w:ascii="Calibri" w:hAnsi="Calibri" w:cs="Calibri"/>
          <w:color w:val="000000" w:themeColor="text1"/>
        </w:rPr>
      </w:pPr>
      <w:r w:rsidRPr="176F6A0C">
        <w:rPr>
          <w:rFonts w:ascii="Calibri" w:hAnsi="Calibri" w:cs="Calibri"/>
          <w:color w:val="000000" w:themeColor="text1"/>
        </w:rPr>
        <w:t>Annex D: Communication input and content development templates................................................32</w:t>
      </w:r>
    </w:p>
    <w:p w14:paraId="1F4151E8" w14:textId="69AEBC50" w:rsidR="76BB2747" w:rsidRDefault="76BB2747" w:rsidP="176F6A0C">
      <w:pPr>
        <w:tabs>
          <w:tab w:val="left" w:pos="1890"/>
        </w:tabs>
        <w:rPr>
          <w:rFonts w:ascii="Calibri" w:hAnsi="Calibri" w:cs="Calibri"/>
          <w:color w:val="000000" w:themeColor="text1"/>
        </w:rPr>
      </w:pPr>
      <w:r w:rsidRPr="176F6A0C">
        <w:rPr>
          <w:rFonts w:ascii="Calibri" w:hAnsi="Calibri" w:cs="Calibri"/>
          <w:color w:val="000000" w:themeColor="text1"/>
        </w:rPr>
        <w:t>Annex E:</w:t>
      </w:r>
      <w:r w:rsidR="5BC97103" w:rsidRPr="176F6A0C">
        <w:rPr>
          <w:rFonts w:ascii="Calibri" w:hAnsi="Calibri" w:cs="Calibri"/>
          <w:color w:val="000000" w:themeColor="text1"/>
        </w:rPr>
        <w:t xml:space="preserve"> Partner dissemination package template..............................................................................35</w:t>
      </w:r>
    </w:p>
    <w:p w14:paraId="3AC7C148" w14:textId="08DFA059" w:rsidR="76BB2747" w:rsidRDefault="76BB2747" w:rsidP="176F6A0C">
      <w:pPr>
        <w:tabs>
          <w:tab w:val="left" w:pos="1890"/>
        </w:tabs>
        <w:rPr>
          <w:rFonts w:ascii="Calibri" w:hAnsi="Calibri" w:cs="Calibri"/>
          <w:color w:val="000000" w:themeColor="text1"/>
        </w:rPr>
      </w:pPr>
      <w:r w:rsidRPr="176F6A0C">
        <w:rPr>
          <w:rFonts w:ascii="Calibri" w:hAnsi="Calibri" w:cs="Calibri"/>
          <w:color w:val="000000" w:themeColor="text1"/>
        </w:rPr>
        <w:t>Annex F:</w:t>
      </w:r>
      <w:r w:rsidR="0C204FC9" w:rsidRPr="176F6A0C">
        <w:rPr>
          <w:rFonts w:ascii="Calibri" w:hAnsi="Calibri" w:cs="Calibri"/>
          <w:color w:val="000000" w:themeColor="text1"/>
        </w:rPr>
        <w:t xml:space="preserve"> Dissemination considerations by level..................................................................................37</w:t>
      </w:r>
    </w:p>
    <w:p w14:paraId="533FE070" w14:textId="77777777" w:rsidR="00375603" w:rsidRPr="00375603" w:rsidRDefault="00375603" w:rsidP="00375603"/>
    <w:p w14:paraId="549210E9" w14:textId="77777777" w:rsidR="00375603" w:rsidRPr="00375603" w:rsidRDefault="00375603" w:rsidP="00375603"/>
    <w:p w14:paraId="029FADE3" w14:textId="77777777" w:rsidR="00375603" w:rsidRPr="00375603" w:rsidRDefault="00375603" w:rsidP="00375603"/>
    <w:p w14:paraId="42DE9EE1" w14:textId="77777777" w:rsidR="00375603" w:rsidRPr="00375603" w:rsidRDefault="00375603" w:rsidP="00375603"/>
    <w:p w14:paraId="7181E72B" w14:textId="77777777" w:rsidR="00375603" w:rsidRPr="00375603" w:rsidRDefault="00375603" w:rsidP="00375603"/>
    <w:p w14:paraId="1F8E4DC4" w14:textId="77777777" w:rsidR="00375603" w:rsidRPr="00375603" w:rsidRDefault="00375603" w:rsidP="00375603"/>
    <w:p w14:paraId="314A1678" w14:textId="77777777" w:rsidR="00375603" w:rsidRPr="00375603" w:rsidRDefault="00375603" w:rsidP="00375603"/>
    <w:p w14:paraId="024CD144" w14:textId="77777777" w:rsidR="00375603" w:rsidRPr="00375603" w:rsidRDefault="00375603" w:rsidP="00375603"/>
    <w:p w14:paraId="5804BEBF" w14:textId="77777777" w:rsidR="00375603" w:rsidRPr="00375603" w:rsidRDefault="00375603" w:rsidP="00375603"/>
    <w:p w14:paraId="49168333" w14:textId="77777777" w:rsidR="00375603" w:rsidRPr="00375603" w:rsidRDefault="00375603" w:rsidP="00375603"/>
    <w:p w14:paraId="7FB415E3" w14:textId="77777777" w:rsidR="00375603" w:rsidRPr="00375603" w:rsidRDefault="00375603" w:rsidP="00375603"/>
    <w:p w14:paraId="3AB8A7EA" w14:textId="77777777" w:rsidR="00375603" w:rsidRPr="00375603" w:rsidRDefault="00375603" w:rsidP="00375603"/>
    <w:p w14:paraId="590E9EFD" w14:textId="77777777" w:rsidR="00375603" w:rsidRPr="00375603" w:rsidRDefault="00375603" w:rsidP="00375603"/>
    <w:p w14:paraId="20F627BA" w14:textId="77777777" w:rsidR="00375603" w:rsidRPr="00375603" w:rsidRDefault="00375603" w:rsidP="00375603"/>
    <w:p w14:paraId="1E5EDFEB" w14:textId="77777777" w:rsidR="00375603" w:rsidRPr="00375603" w:rsidRDefault="00375603" w:rsidP="00375603"/>
    <w:p w14:paraId="38C0E994" w14:textId="77777777" w:rsidR="00375603" w:rsidRPr="00375603" w:rsidRDefault="00375603" w:rsidP="00375603"/>
    <w:p w14:paraId="5BCD96E0" w14:textId="77777777" w:rsidR="00375603" w:rsidRPr="00375603" w:rsidRDefault="00375603" w:rsidP="00375603"/>
    <w:p w14:paraId="7921ED7B" w14:textId="77777777" w:rsidR="00375603" w:rsidRPr="00375603" w:rsidRDefault="00375603" w:rsidP="00375603"/>
    <w:p w14:paraId="25A08D48" w14:textId="77777777" w:rsidR="00375603" w:rsidRPr="00375603" w:rsidRDefault="00375603" w:rsidP="00375603"/>
    <w:p w14:paraId="1B58D7E7" w14:textId="77777777" w:rsidR="00375603" w:rsidRPr="00375603" w:rsidRDefault="00375603" w:rsidP="00375603"/>
    <w:p w14:paraId="3A5F7D1A" w14:textId="77777777" w:rsidR="00375603" w:rsidRDefault="00375603" w:rsidP="00375603"/>
    <w:p w14:paraId="7C4F3385" w14:textId="77777777" w:rsidR="00375603" w:rsidRDefault="00375603" w:rsidP="00375603">
      <w:pPr>
        <w:tabs>
          <w:tab w:val="left" w:pos="1485"/>
        </w:tabs>
      </w:pPr>
      <w:r>
        <w:tab/>
      </w:r>
    </w:p>
    <w:p w14:paraId="34EBB253" w14:textId="533B0798" w:rsidR="00375603" w:rsidRDefault="00375603" w:rsidP="176F6A0C">
      <w:pPr>
        <w:tabs>
          <w:tab w:val="left" w:pos="1485"/>
        </w:tabs>
      </w:pPr>
    </w:p>
    <w:p w14:paraId="5124F557" w14:textId="77777777" w:rsidR="00375603" w:rsidRDefault="0C020F91" w:rsidP="00375603">
      <w:pPr>
        <w:tabs>
          <w:tab w:val="left" w:pos="1485"/>
        </w:tabs>
      </w:pPr>
      <w:r w:rsidRPr="176F6A0C">
        <w:rPr>
          <w:b/>
          <w:bCs/>
        </w:rPr>
        <w:lastRenderedPageBreak/>
        <w:t xml:space="preserve">ACRONYMS </w:t>
      </w:r>
      <w:r>
        <w:t>(a selection)</w:t>
      </w:r>
    </w:p>
    <w:p w14:paraId="39EC6309" w14:textId="72B768B0" w:rsidR="0E7EA62A" w:rsidRDefault="0E7EA62A" w:rsidP="176F6A0C">
      <w:r w:rsidRPr="176F6A0C">
        <w:t>DIKTAS II – Protection and Sustainable Use of the Dinaric Karst Transboundary Aquifer System, Phase II</w:t>
      </w:r>
    </w:p>
    <w:p w14:paraId="3CE5AC8F" w14:textId="15670A00" w:rsidR="0E7EA62A" w:rsidRDefault="0E7EA62A" w:rsidP="176F6A0C">
      <w:r w:rsidRPr="176F6A0C">
        <w:t>GEF – Global Environment Facility</w:t>
      </w:r>
    </w:p>
    <w:p w14:paraId="4272E659" w14:textId="51C1653D" w:rsidR="0E7EA62A" w:rsidRDefault="0E7EA62A" w:rsidP="176F6A0C">
      <w:r w:rsidRPr="176F6A0C">
        <w:t>IW – International Waters</w:t>
      </w:r>
    </w:p>
    <w:p w14:paraId="660A7B68" w14:textId="7F578BEC" w:rsidR="0E7EA62A" w:rsidRDefault="0E7EA62A" w:rsidP="176F6A0C">
      <w:r w:rsidRPr="176F6A0C">
        <w:t>IW:LEARN – International Waters Learning Exchange and Resource Network</w:t>
      </w:r>
    </w:p>
    <w:p w14:paraId="238109A6" w14:textId="211C2825" w:rsidR="0E7EA62A" w:rsidRDefault="0E7EA62A" w:rsidP="176F6A0C">
      <w:r w:rsidRPr="176F6A0C">
        <w:t>JAP – Joint Action Programme</w:t>
      </w:r>
    </w:p>
    <w:p w14:paraId="7BB9EBE7" w14:textId="32EB4A5B" w:rsidR="0E7EA62A" w:rsidRDefault="0E7EA62A" w:rsidP="176F6A0C">
      <w:r w:rsidRPr="176F6A0C">
        <w:t>MEL – Monitoring, Evaluation and Learning</w:t>
      </w:r>
    </w:p>
    <w:p w14:paraId="337323C5" w14:textId="1D4EDFDD" w:rsidR="0E7EA62A" w:rsidRDefault="0E7EA62A" w:rsidP="176F6A0C">
      <w:r w:rsidRPr="176F6A0C">
        <w:t>SAP – Strategic Action Programme</w:t>
      </w:r>
    </w:p>
    <w:p w14:paraId="4F998AD0" w14:textId="5B671D0A" w:rsidR="0E7EA62A" w:rsidRDefault="0E7EA62A" w:rsidP="176F6A0C">
      <w:r w:rsidRPr="176F6A0C">
        <w:t>SIP – Stakeholder Involvement Plan</w:t>
      </w:r>
    </w:p>
    <w:p w14:paraId="02F16056" w14:textId="7CBAF49D" w:rsidR="0E7EA62A" w:rsidRDefault="0E7EA62A" w:rsidP="176F6A0C">
      <w:r w:rsidRPr="176F6A0C">
        <w:t>TDA – Transboundary Diagnostic Analysis</w:t>
      </w:r>
    </w:p>
    <w:p w14:paraId="7D4F556F" w14:textId="203C8774" w:rsidR="0E7EA62A" w:rsidRDefault="0E7EA62A" w:rsidP="176F6A0C">
      <w:r w:rsidRPr="176F6A0C">
        <w:t>UN – United Nations</w:t>
      </w:r>
    </w:p>
    <w:p w14:paraId="62A0D179" w14:textId="71AA4459" w:rsidR="0E7EA62A" w:rsidRDefault="0E7EA62A" w:rsidP="176F6A0C">
      <w:r w:rsidRPr="176F6A0C">
        <w:t>UNDP – United Nations Development Programme</w:t>
      </w:r>
    </w:p>
    <w:p w14:paraId="3EDE2416" w14:textId="4ED04ABA" w:rsidR="0E7EA62A" w:rsidRDefault="0E7EA62A" w:rsidP="176F6A0C">
      <w:r w:rsidRPr="176F6A0C">
        <w:t>UNESCO – United Nations Educational, Scientific and Cultural Organization</w:t>
      </w:r>
    </w:p>
    <w:p w14:paraId="4AE1C86A" w14:textId="1CA2B283" w:rsidR="0E7EA62A" w:rsidRDefault="0E7EA62A" w:rsidP="176F6A0C">
      <w:r w:rsidRPr="176F6A0C">
        <w:t>UNESCO IHP – UNESCO Intergovernmental Hydrological Programme</w:t>
      </w:r>
    </w:p>
    <w:p w14:paraId="5E4067AE" w14:textId="566B24D9" w:rsidR="0E7EA62A" w:rsidRDefault="0E7EA62A" w:rsidP="176F6A0C">
      <w:r w:rsidRPr="176F6A0C">
        <w:t>WWAP – World Water Assessment Programme</w:t>
      </w:r>
    </w:p>
    <w:p w14:paraId="15701757" w14:textId="77777777" w:rsidR="00375603" w:rsidRPr="00375603" w:rsidRDefault="00375603" w:rsidP="176F6A0C"/>
    <w:p w14:paraId="083C1337" w14:textId="77777777" w:rsidR="00375603" w:rsidRPr="00375603" w:rsidRDefault="00375603" w:rsidP="00375603"/>
    <w:p w14:paraId="03B9D7B6" w14:textId="77777777" w:rsidR="00375603" w:rsidRPr="00375603" w:rsidRDefault="00375603" w:rsidP="00375603"/>
    <w:p w14:paraId="0B951379" w14:textId="77777777" w:rsidR="00375603" w:rsidRPr="00375603" w:rsidRDefault="00375603" w:rsidP="00375603"/>
    <w:p w14:paraId="7118BED4" w14:textId="77777777" w:rsidR="00375603" w:rsidRPr="00375603" w:rsidRDefault="00375603" w:rsidP="00375603"/>
    <w:p w14:paraId="5D5DBBDB" w14:textId="77777777" w:rsidR="00375603" w:rsidRPr="00375603" w:rsidRDefault="00375603" w:rsidP="00375603"/>
    <w:p w14:paraId="284B6310" w14:textId="719FFFC5" w:rsidR="00375603" w:rsidRDefault="00375603" w:rsidP="176F6A0C"/>
    <w:p w14:paraId="6F243560" w14:textId="77777777" w:rsidR="00375603" w:rsidRDefault="00375603" w:rsidP="00375603">
      <w:pPr>
        <w:ind w:firstLine="708"/>
      </w:pPr>
    </w:p>
    <w:p w14:paraId="5B209889" w14:textId="77777777" w:rsidR="00375603" w:rsidRDefault="00375603" w:rsidP="00375603">
      <w:pPr>
        <w:ind w:firstLine="708"/>
      </w:pPr>
    </w:p>
    <w:p w14:paraId="0C88B8EF" w14:textId="77777777" w:rsidR="00375603" w:rsidRDefault="00375603" w:rsidP="00375603">
      <w:pPr>
        <w:ind w:firstLine="708"/>
      </w:pPr>
    </w:p>
    <w:p w14:paraId="742B5148" w14:textId="77777777" w:rsidR="00375603" w:rsidRDefault="00375603" w:rsidP="00375603">
      <w:pPr>
        <w:ind w:firstLine="708"/>
      </w:pPr>
    </w:p>
    <w:p w14:paraId="3CDA3AA8" w14:textId="77777777" w:rsidR="00375603" w:rsidRDefault="00375603" w:rsidP="00375603">
      <w:pPr>
        <w:ind w:firstLine="708"/>
      </w:pPr>
    </w:p>
    <w:p w14:paraId="1B09107B" w14:textId="77777777" w:rsidR="00375603" w:rsidRDefault="00375603" w:rsidP="00375603">
      <w:pPr>
        <w:ind w:firstLine="708"/>
      </w:pPr>
    </w:p>
    <w:p w14:paraId="45CA032B" w14:textId="77777777" w:rsidR="00375603" w:rsidRDefault="00375603" w:rsidP="00375603">
      <w:pPr>
        <w:ind w:firstLine="708"/>
      </w:pPr>
    </w:p>
    <w:p w14:paraId="71E86335" w14:textId="77777777" w:rsidR="00375603" w:rsidRDefault="00375603" w:rsidP="00375603">
      <w:pPr>
        <w:ind w:firstLine="708"/>
      </w:pPr>
    </w:p>
    <w:p w14:paraId="7B32D93E" w14:textId="77777777" w:rsidR="00375603" w:rsidRDefault="0C020F91" w:rsidP="00375603">
      <w:pPr>
        <w:ind w:firstLine="708"/>
        <w:rPr>
          <w:b/>
          <w:bCs/>
        </w:rPr>
      </w:pPr>
      <w:bookmarkStart w:id="0" w:name="_Hlk215063336"/>
      <w:r w:rsidRPr="176F6A0C">
        <w:rPr>
          <w:b/>
          <w:bCs/>
        </w:rPr>
        <w:lastRenderedPageBreak/>
        <w:t>PREPARED BY DIKTAS II PROJECT TEAM</w:t>
      </w:r>
    </w:p>
    <w:p w14:paraId="6CE07A01" w14:textId="4493B8DD" w:rsidR="00375603" w:rsidRDefault="7A4036DC" w:rsidP="00375603">
      <w:pPr>
        <w:ind w:firstLine="708"/>
      </w:pPr>
      <w:r>
        <w:t>Pomeline Decottignies</w:t>
      </w:r>
      <w:r w:rsidR="48FBE147">
        <w:t xml:space="preserve"> - </w:t>
      </w:r>
      <w:r>
        <w:t>International Communication Expert</w:t>
      </w:r>
    </w:p>
    <w:p w14:paraId="7AB57497" w14:textId="77777777" w:rsidR="00375603" w:rsidRDefault="00375603" w:rsidP="00375603">
      <w:pPr>
        <w:ind w:firstLine="708"/>
      </w:pPr>
    </w:p>
    <w:p w14:paraId="1E46CB5B" w14:textId="77777777" w:rsidR="00375603" w:rsidRDefault="0C020F91" w:rsidP="176F6A0C">
      <w:pPr>
        <w:ind w:firstLine="708"/>
        <w:rPr>
          <w:b/>
          <w:bCs/>
        </w:rPr>
      </w:pPr>
      <w:r w:rsidRPr="176F6A0C">
        <w:rPr>
          <w:b/>
          <w:bCs/>
        </w:rPr>
        <w:t>SUPPORT</w:t>
      </w:r>
    </w:p>
    <w:p w14:paraId="1CF41756" w14:textId="22316DF5" w:rsidR="00375603" w:rsidRDefault="7D63FDB2" w:rsidP="00375603">
      <w:pPr>
        <w:ind w:firstLine="708"/>
      </w:pPr>
      <w:r>
        <w:t xml:space="preserve">Ermal </w:t>
      </w:r>
      <w:r w:rsidR="1DBA5D94">
        <w:t>Gjinaj – National Communication Expert</w:t>
      </w:r>
    </w:p>
    <w:bookmarkEnd w:id="0"/>
    <w:p w14:paraId="26620603" w14:textId="412EA47A" w:rsidR="7D63FDB2" w:rsidRDefault="7D63FDB2" w:rsidP="176F6A0C">
      <w:pPr>
        <w:ind w:firstLine="708"/>
      </w:pPr>
      <w:r>
        <w:t>Francesca Bampa</w:t>
      </w:r>
      <w:r w:rsidR="7B1FCD19">
        <w:t xml:space="preserve"> – Regional Communication Expert</w:t>
      </w:r>
    </w:p>
    <w:p w14:paraId="5A3087D1" w14:textId="77777777" w:rsidR="00E509CB" w:rsidRPr="00E509CB" w:rsidRDefault="00E509CB" w:rsidP="00E509CB"/>
    <w:p w14:paraId="12D73425" w14:textId="77777777" w:rsidR="00E509CB" w:rsidRPr="00E509CB" w:rsidRDefault="00E509CB" w:rsidP="00E509CB"/>
    <w:p w14:paraId="64F83366" w14:textId="77777777" w:rsidR="00E509CB" w:rsidRPr="00E509CB" w:rsidRDefault="00E509CB" w:rsidP="00E509CB"/>
    <w:p w14:paraId="20D8C698" w14:textId="77777777" w:rsidR="00E509CB" w:rsidRPr="00E509CB" w:rsidRDefault="00E509CB" w:rsidP="00E509CB"/>
    <w:p w14:paraId="37477655" w14:textId="77777777" w:rsidR="00E509CB" w:rsidRPr="00E509CB" w:rsidRDefault="00E509CB" w:rsidP="00E509CB"/>
    <w:p w14:paraId="4B936ECC" w14:textId="77777777" w:rsidR="00E509CB" w:rsidRPr="00E509CB" w:rsidRDefault="00E509CB" w:rsidP="00E509CB"/>
    <w:p w14:paraId="720E72BB" w14:textId="77777777" w:rsidR="00E509CB" w:rsidRPr="00E509CB" w:rsidRDefault="00E509CB" w:rsidP="00E509CB"/>
    <w:p w14:paraId="2F545BFB" w14:textId="77777777" w:rsidR="00E509CB" w:rsidRPr="00E509CB" w:rsidRDefault="00E509CB" w:rsidP="00E509CB"/>
    <w:p w14:paraId="52598353" w14:textId="77777777" w:rsidR="00E509CB" w:rsidRPr="00E509CB" w:rsidRDefault="00E509CB" w:rsidP="00E509CB"/>
    <w:p w14:paraId="4F0FEA82" w14:textId="77777777" w:rsidR="00E509CB" w:rsidRPr="00E509CB" w:rsidRDefault="00E509CB" w:rsidP="00E509CB"/>
    <w:p w14:paraId="30A45186" w14:textId="77777777" w:rsidR="00E509CB" w:rsidRPr="00E509CB" w:rsidRDefault="00E509CB" w:rsidP="00E509CB"/>
    <w:p w14:paraId="2AD8426B" w14:textId="77777777" w:rsidR="00E509CB" w:rsidRPr="00E509CB" w:rsidRDefault="00E509CB" w:rsidP="00E509CB"/>
    <w:p w14:paraId="4578DA50" w14:textId="77777777" w:rsidR="00E509CB" w:rsidRPr="00E509CB" w:rsidRDefault="00E509CB" w:rsidP="00E509CB"/>
    <w:p w14:paraId="485C07ED" w14:textId="77777777" w:rsidR="00E509CB" w:rsidRPr="00E509CB" w:rsidRDefault="00E509CB" w:rsidP="00E509CB"/>
    <w:p w14:paraId="0DA8F946" w14:textId="77777777" w:rsidR="00E509CB" w:rsidRPr="00E509CB" w:rsidRDefault="00E509CB" w:rsidP="00E509CB"/>
    <w:p w14:paraId="266FB4AB" w14:textId="77777777" w:rsidR="00E509CB" w:rsidRPr="00E509CB" w:rsidRDefault="00E509CB" w:rsidP="00E509CB"/>
    <w:p w14:paraId="2672CD7A" w14:textId="77777777" w:rsidR="00E509CB" w:rsidRPr="00E509CB" w:rsidRDefault="00E509CB" w:rsidP="00E509CB"/>
    <w:p w14:paraId="2BF7A438" w14:textId="007A134D" w:rsidR="00375603" w:rsidRDefault="00375603" w:rsidP="176F6A0C"/>
    <w:p w14:paraId="72C831C7" w14:textId="25B1F7A6" w:rsidR="00375603" w:rsidRDefault="00375603" w:rsidP="176F6A0C">
      <w:pPr>
        <w:tabs>
          <w:tab w:val="left" w:pos="1515"/>
        </w:tabs>
      </w:pPr>
    </w:p>
    <w:p w14:paraId="7D9CAC2A" w14:textId="49107302" w:rsidR="00375603" w:rsidRDefault="00375603" w:rsidP="176F6A0C">
      <w:pPr>
        <w:tabs>
          <w:tab w:val="left" w:pos="1515"/>
        </w:tabs>
      </w:pPr>
    </w:p>
    <w:p w14:paraId="3049F3B3" w14:textId="08949B9C" w:rsidR="00375603" w:rsidRDefault="00375603" w:rsidP="176F6A0C">
      <w:pPr>
        <w:tabs>
          <w:tab w:val="left" w:pos="1515"/>
        </w:tabs>
      </w:pPr>
    </w:p>
    <w:p w14:paraId="59212BE4" w14:textId="0C87D163" w:rsidR="00375603" w:rsidRDefault="00375603" w:rsidP="176F6A0C">
      <w:pPr>
        <w:tabs>
          <w:tab w:val="left" w:pos="1515"/>
        </w:tabs>
      </w:pPr>
    </w:p>
    <w:p w14:paraId="4637B19C" w14:textId="662D2BA3" w:rsidR="00375603" w:rsidRDefault="00375603" w:rsidP="176F6A0C">
      <w:pPr>
        <w:tabs>
          <w:tab w:val="left" w:pos="1515"/>
        </w:tabs>
      </w:pPr>
    </w:p>
    <w:p w14:paraId="7EFD0933" w14:textId="77777777" w:rsidR="00375603" w:rsidRDefault="00375603" w:rsidP="176F6A0C">
      <w:pPr>
        <w:tabs>
          <w:tab w:val="left" w:pos="1515"/>
        </w:tabs>
      </w:pPr>
    </w:p>
    <w:p w14:paraId="2D99F229" w14:textId="6D87AB9A" w:rsidR="00375603" w:rsidRDefault="57449F89" w:rsidP="176F6A0C">
      <w:pPr>
        <w:rPr>
          <w:rFonts w:ascii="Calibri" w:hAnsi="Calibri" w:cs="Calibri"/>
          <w:b/>
          <w:bCs/>
          <w:color w:val="2F5496" w:themeColor="accent1" w:themeShade="BF"/>
          <w:sz w:val="28"/>
          <w:szCs w:val="28"/>
        </w:rPr>
      </w:pPr>
      <w:r w:rsidRPr="176F6A0C">
        <w:rPr>
          <w:rFonts w:ascii="Calibri" w:hAnsi="Calibri" w:cs="Calibri"/>
          <w:b/>
          <w:bCs/>
          <w:color w:val="2F5496" w:themeColor="accent1" w:themeShade="BF"/>
          <w:sz w:val="28"/>
          <w:szCs w:val="28"/>
        </w:rPr>
        <w:lastRenderedPageBreak/>
        <w:t>1.</w:t>
      </w:r>
      <w:r w:rsidR="00E509CB">
        <w:tab/>
      </w:r>
      <w:r w:rsidRPr="176F6A0C">
        <w:rPr>
          <w:rFonts w:ascii="Calibri" w:hAnsi="Calibri" w:cs="Calibri"/>
          <w:b/>
          <w:bCs/>
          <w:color w:val="2F5496" w:themeColor="accent1" w:themeShade="BF"/>
          <w:sz w:val="28"/>
          <w:szCs w:val="28"/>
        </w:rPr>
        <w:t>Executive summary</w:t>
      </w:r>
    </w:p>
    <w:p w14:paraId="640186C4" w14:textId="58AC63DC" w:rsidR="00375603" w:rsidRDefault="57449F89" w:rsidP="176F6A0C">
      <w:r w:rsidRPr="176F6A0C">
        <w:rPr>
          <w:rFonts w:ascii="Calibri" w:eastAsia="Calibri" w:hAnsi="Calibri" w:cs="Calibri"/>
        </w:rPr>
        <w:t>The DIKTAS II Communication Strategy provides the framework for communication, dissemination, visibility, and stakeholder-facing information activities throughout the implementation of the Dinaric Karst Transboundary Aquifer System (DIKTAS II) project. It establishes a common approach for communicating project objectives, activities, results, and lessons learned across participating countries while supporting transparency, cooperation, and the uptake of project outputs.</w:t>
      </w:r>
    </w:p>
    <w:p w14:paraId="258C1B6C" w14:textId="5A63AFE6" w:rsidR="00375603" w:rsidRDefault="57449F89" w:rsidP="176F6A0C">
      <w:r w:rsidRPr="176F6A0C">
        <w:rPr>
          <w:rFonts w:ascii="Calibri" w:eastAsia="Calibri" w:hAnsi="Calibri" w:cs="Calibri"/>
        </w:rPr>
        <w:t>The strategy is based on the principle that communication is an enabling function rather than an end in itself. Its purpose is not only to increase awareness of project activities, but also to ensure that technical findings, governance processes, and implementation results are translated into accessible, credible, and actionable information for decision-makers, practitioners, stakeholders, partners, and the public. Communication is therefore closely linked to project implementation, stakeholder engagement, and institutional cooperation.</w:t>
      </w:r>
    </w:p>
    <w:p w14:paraId="6AC45A28" w14:textId="42C7F92F" w:rsidR="00375603" w:rsidRDefault="57449F89" w:rsidP="176F6A0C">
      <w:r w:rsidRPr="176F6A0C">
        <w:rPr>
          <w:rFonts w:ascii="Calibri" w:eastAsia="Calibri" w:hAnsi="Calibri" w:cs="Calibri"/>
        </w:rPr>
        <w:t>Recognising the project's limited communication capacity and the technical complexity of transboundary groundwater governance, the strategy adopts a deliberately focused approach. Priority is given to communication activities that support institutional decision-making, validated technical outputs, stakeholder engagement processes, and donor and partner visibility requirements. Rather than relying on high-volume communication, the strategy promotes a packaging model in which a limited number of flagship outputs are adapted into multiple communication products and dissemination formats.</w:t>
      </w:r>
    </w:p>
    <w:p w14:paraId="1C701732" w14:textId="52A532B3" w:rsidR="00375603" w:rsidRDefault="57449F89" w:rsidP="176F6A0C">
      <w:r w:rsidRPr="176F6A0C">
        <w:rPr>
          <w:rFonts w:ascii="Calibri" w:eastAsia="Calibri" w:hAnsi="Calibri" w:cs="Calibri"/>
        </w:rPr>
        <w:t>The strategy establishes a common narrative framework, audience segmentation approach, editorial planning process, channel mix, and approval workflow. It defines clear roles and responsibilities for communication staff, technical experts, national partners, and project management structures, while ensuring that communication products are supported by appropriate technical validation and institutional clearance procedures. The strategy also maintains a clear interface with the Stakeholder Involvement Plan, recognising stakeholder engagement and communication as complementary but distinct functions.</w:t>
      </w:r>
    </w:p>
    <w:p w14:paraId="26489E17" w14:textId="06CD7F73" w:rsidR="00375603" w:rsidRDefault="57449F89" w:rsidP="176F6A0C">
      <w:r w:rsidRPr="176F6A0C">
        <w:rPr>
          <w:rFonts w:ascii="Calibri" w:eastAsia="Calibri" w:hAnsi="Calibri" w:cs="Calibri"/>
        </w:rPr>
        <w:t>Communication delivery is centred on a core set of channels, including the project website, direct stakeholder outreach, newsletters, and selective use of social media. Additional dissemination opportunities may be pursued through UNESCO-IHP and other UNESCO networks where content aligns with relevant thematic priorities and offers clear added value. Throughout the strategy, emphasis is placed on consistency, reuse of communication assets, and efficient use of available resources.</w:t>
      </w:r>
    </w:p>
    <w:p w14:paraId="0142465D" w14:textId="4C07853A" w:rsidR="00375603" w:rsidRDefault="57449F89" w:rsidP="176F6A0C">
      <w:r w:rsidRPr="176F6A0C">
        <w:rPr>
          <w:rFonts w:ascii="Calibri" w:eastAsia="Calibri" w:hAnsi="Calibri" w:cs="Calibri"/>
        </w:rPr>
        <w:t>Success is defined progressively over the lifetime of the project. In the short term, success means establishing a functioning communication system and consistent communication practices. In the medium term, it involves regular dissemination of validated outputs, effective stakeholder engagement, and increased visibility of project results. Over the longer term, communication contributes to institutional memory, knowledge sharing, cooperation across borders, and the sustained accessibility and usability of project outputs beyond the lifetime of DIKTAS II.</w:t>
      </w:r>
    </w:p>
    <w:p w14:paraId="50956FB2" w14:textId="7AA1D76C" w:rsidR="00375603" w:rsidRDefault="57449F89" w:rsidP="176F6A0C">
      <w:r w:rsidRPr="176F6A0C">
        <w:rPr>
          <w:rFonts w:ascii="Calibri" w:eastAsia="Calibri" w:hAnsi="Calibri" w:cs="Calibri"/>
        </w:rPr>
        <w:t>Taken together, the strategy provides both a strategic framework and a practical operating model for ensuring that DIKTAS II communications remain credible, coordinated, proportionate, and aligned with project objectives throughout implementation.</w:t>
      </w:r>
    </w:p>
    <w:p w14:paraId="2CB7B893" w14:textId="114CAE31" w:rsidR="00375603" w:rsidRDefault="00375603" w:rsidP="176F6A0C">
      <w:pPr>
        <w:rPr>
          <w:rFonts w:ascii="Calibri" w:eastAsia="Calibri" w:hAnsi="Calibri" w:cs="Calibri"/>
        </w:rPr>
      </w:pPr>
    </w:p>
    <w:p w14:paraId="2EBB4F4E" w14:textId="49A4024D" w:rsidR="00375603" w:rsidRDefault="43D45539" w:rsidP="176F6A0C">
      <w:pPr>
        <w:rPr>
          <w:rFonts w:ascii="Calibri" w:hAnsi="Calibri" w:cs="Calibri"/>
          <w:b/>
          <w:bCs/>
          <w:color w:val="2F5496" w:themeColor="accent1" w:themeShade="BF"/>
          <w:sz w:val="28"/>
          <w:szCs w:val="28"/>
        </w:rPr>
      </w:pPr>
      <w:r w:rsidRPr="176F6A0C">
        <w:rPr>
          <w:rFonts w:ascii="Calibri" w:hAnsi="Calibri" w:cs="Calibri"/>
          <w:b/>
          <w:bCs/>
          <w:color w:val="2F5496" w:themeColor="accent1" w:themeShade="BF"/>
          <w:sz w:val="28"/>
          <w:szCs w:val="28"/>
        </w:rPr>
        <w:lastRenderedPageBreak/>
        <w:t>2.</w:t>
      </w:r>
      <w:r w:rsidR="00E509CB">
        <w:tab/>
      </w:r>
      <w:r w:rsidRPr="176F6A0C">
        <w:rPr>
          <w:rFonts w:ascii="Calibri" w:hAnsi="Calibri" w:cs="Calibri"/>
          <w:b/>
          <w:bCs/>
          <w:color w:val="2F5496" w:themeColor="accent1" w:themeShade="BF"/>
          <w:sz w:val="28"/>
          <w:szCs w:val="28"/>
        </w:rPr>
        <w:t>Purpose and scope</w:t>
      </w:r>
    </w:p>
    <w:p w14:paraId="415CADF5" w14:textId="39D4940D" w:rsidR="00375603" w:rsidRDefault="43D45539" w:rsidP="176F6A0C">
      <w:pPr>
        <w:rPr>
          <w:rFonts w:ascii="Calibri" w:eastAsia="Calibri" w:hAnsi="Calibri" w:cs="Calibri"/>
          <w:color w:val="000000" w:themeColor="text1"/>
          <w:sz w:val="24"/>
          <w:szCs w:val="24"/>
        </w:rPr>
      </w:pPr>
      <w:r w:rsidRPr="176F6A0C">
        <w:rPr>
          <w:lang w:val="en-US"/>
        </w:rPr>
        <w:t>This communication strategy is a project strategy for DIKTAS II. It provides a practical framework to plan, produce, clear, and disseminate project communications in a way that is consistent across countries and partners, proportionate to capacity, and credible for technical and institutional audiences. It positions DIKTAS II communications as a strategic instrument to support institutional coordination, decision-making, and credible dissemination of transboundary groundwater governance outcomes.</w:t>
      </w:r>
    </w:p>
    <w:p w14:paraId="73EF9E68" w14:textId="6181DA33" w:rsidR="00375603" w:rsidRDefault="43D45539" w:rsidP="176F6A0C">
      <w:pPr>
        <w:rPr>
          <w:rFonts w:ascii="Calibri" w:eastAsia="Calibri" w:hAnsi="Calibri" w:cs="Calibri"/>
          <w:color w:val="000000" w:themeColor="text1"/>
          <w:sz w:val="24"/>
          <w:szCs w:val="24"/>
        </w:rPr>
      </w:pPr>
      <w:r w:rsidRPr="176F6A0C">
        <w:rPr>
          <w:lang w:val="en-US"/>
        </w:rPr>
        <w:t>DIKTAS II communications serve one central task: to translate complex, multi-country groundwater governance work into decision-relevant meaning and clear engagement pathways, without compromising accuracy or pre-empting validation.</w:t>
      </w:r>
    </w:p>
    <w:p w14:paraId="696C5E7B" w14:textId="6C43A22D" w:rsidR="00375603" w:rsidRDefault="43D45539" w:rsidP="176F6A0C">
      <w:pPr>
        <w:rPr>
          <w:rFonts w:ascii="Calibri" w:eastAsia="Calibri" w:hAnsi="Calibri" w:cs="Calibri"/>
          <w:color w:val="000000" w:themeColor="text1"/>
          <w:sz w:val="24"/>
          <w:szCs w:val="24"/>
        </w:rPr>
      </w:pPr>
      <w:r w:rsidRPr="176F6A0C">
        <w:rPr>
          <w:lang w:val="en-US"/>
        </w:rPr>
        <w:t>The strategy applies a simple model across three levels—international, regional, and national—and two cross-cutting lenses: technical/scientific (expert-facing outputs and limitations) and impact/public (accessible narratives and stories). Local and community engagement mechanisms are governed by the Stakeholder Involvement Plan (SIP); this strategy defines the communications products and workflow that support them.</w:t>
      </w:r>
    </w:p>
    <w:p w14:paraId="194E1819" w14:textId="312E8CD6" w:rsidR="00375603" w:rsidRDefault="43D45539" w:rsidP="176F6A0C">
      <w:pPr>
        <w:rPr>
          <w:rFonts w:ascii="Calibri" w:eastAsia="Calibri" w:hAnsi="Calibri" w:cs="Calibri"/>
          <w:color w:val="000000" w:themeColor="text1"/>
          <w:sz w:val="24"/>
          <w:szCs w:val="24"/>
        </w:rPr>
      </w:pPr>
      <w:r w:rsidRPr="176F6A0C">
        <w:rPr>
          <w:lang w:val="en-US"/>
        </w:rPr>
        <w:t>In practice, the same message architecture is used at all three levels, while the depth, language, and channel mix are adapted (e.g., donor-facing milestone updates internationally, cooperation moments regionally, and uptake-focused briefs nationally).</w:t>
      </w:r>
    </w:p>
    <w:p w14:paraId="248F0058" w14:textId="0423CAC8" w:rsidR="00375603" w:rsidRDefault="43D45539" w:rsidP="00042275">
      <w:pPr>
        <w:pStyle w:val="Pasussalistom"/>
        <w:numPr>
          <w:ilvl w:val="0"/>
          <w:numId w:val="35"/>
        </w:numPr>
        <w:rPr>
          <w:rFonts w:ascii="Calibri" w:eastAsia="Calibri" w:hAnsi="Calibri" w:cs="Calibri"/>
          <w:color w:val="000000" w:themeColor="text1"/>
          <w:sz w:val="24"/>
          <w:szCs w:val="24"/>
        </w:rPr>
      </w:pPr>
      <w:r w:rsidRPr="176F6A0C">
        <w:rPr>
          <w:b/>
          <w:bCs/>
          <w:lang w:val="en-US"/>
        </w:rPr>
        <w:t>What this strategy covers</w:t>
      </w:r>
      <w:r w:rsidRPr="176F6A0C">
        <w:rPr>
          <w:lang w:val="en-US"/>
        </w:rPr>
        <w:t>: external project communications and the minimum internal coordination needed to deliver them.</w:t>
      </w:r>
    </w:p>
    <w:p w14:paraId="6D9557F7" w14:textId="55E9A0C4" w:rsidR="00375603" w:rsidRDefault="43D45539" w:rsidP="00042275">
      <w:pPr>
        <w:pStyle w:val="Pasussalistom"/>
        <w:numPr>
          <w:ilvl w:val="0"/>
          <w:numId w:val="35"/>
        </w:numPr>
        <w:rPr>
          <w:rFonts w:ascii="Calibri" w:eastAsia="Calibri" w:hAnsi="Calibri" w:cs="Calibri"/>
          <w:color w:val="000000" w:themeColor="text1"/>
          <w:sz w:val="24"/>
          <w:szCs w:val="24"/>
        </w:rPr>
      </w:pPr>
      <w:r w:rsidRPr="176F6A0C">
        <w:rPr>
          <w:b/>
          <w:bCs/>
          <w:lang w:val="en-US"/>
        </w:rPr>
        <w:t>Out of scope</w:t>
      </w:r>
      <w:r w:rsidRPr="176F6A0C">
        <w:rPr>
          <w:lang w:val="en-US"/>
        </w:rPr>
        <w:t>: partner corporate communications and branding strategies; stakeholder engagement mechanisms and grievance processes (covered in the SIP); day-by-day channel scheduling (covered in the editorial calendar); and formal reporting obligations.</w:t>
      </w:r>
    </w:p>
    <w:p w14:paraId="0BED6C6E" w14:textId="2D83F83A" w:rsidR="00375603" w:rsidRDefault="43D45539" w:rsidP="00042275">
      <w:pPr>
        <w:pStyle w:val="Pasussalistom"/>
        <w:numPr>
          <w:ilvl w:val="0"/>
          <w:numId w:val="35"/>
        </w:numPr>
        <w:rPr>
          <w:rFonts w:ascii="Calibri" w:eastAsia="Calibri" w:hAnsi="Calibri" w:cs="Calibri"/>
          <w:color w:val="000000" w:themeColor="text1"/>
          <w:sz w:val="24"/>
          <w:szCs w:val="24"/>
        </w:rPr>
      </w:pPr>
      <w:r w:rsidRPr="176F6A0C">
        <w:rPr>
          <w:b/>
          <w:bCs/>
          <w:lang w:val="en-US"/>
        </w:rPr>
        <w:t>How this strategy is used</w:t>
      </w:r>
      <w:r w:rsidRPr="176F6A0C">
        <w:rPr>
          <w:lang w:val="en-US"/>
        </w:rPr>
        <w:t>: align partners on messages and audiences; translate project milestones into communication packages; clarify clearance routes; standardise reusable assets; and make delivery and dissemination visible.</w:t>
      </w:r>
    </w:p>
    <w:p w14:paraId="7B8980B0" w14:textId="1679FCE7" w:rsidR="00375603" w:rsidRDefault="43D45539" w:rsidP="00042275">
      <w:pPr>
        <w:pStyle w:val="Pasussalistom"/>
        <w:numPr>
          <w:ilvl w:val="0"/>
          <w:numId w:val="35"/>
        </w:numPr>
        <w:rPr>
          <w:rFonts w:ascii="Calibri" w:eastAsia="Calibri" w:hAnsi="Calibri" w:cs="Calibri"/>
          <w:color w:val="000000" w:themeColor="text1"/>
          <w:sz w:val="24"/>
          <w:szCs w:val="24"/>
        </w:rPr>
      </w:pPr>
      <w:r w:rsidRPr="176F6A0C">
        <w:rPr>
          <w:b/>
          <w:bCs/>
          <w:lang w:val="en-US"/>
        </w:rPr>
        <w:t>Phasing priorities</w:t>
      </w:r>
      <w:r w:rsidRPr="176F6A0C">
        <w:rPr>
          <w:lang w:val="en-US"/>
        </w:rPr>
        <w:t>: in the first 0–3 months, establish core assets and a functioning workflow; in months 3–12, maintain a repeatable rhythm tied to project work; across the project duration, maintain coherence, preserve institutional memory, and ensure accountability.</w:t>
      </w:r>
    </w:p>
    <w:p w14:paraId="09AFA75A" w14:textId="76A17ABA" w:rsidR="00375603" w:rsidRDefault="00375603" w:rsidP="176F6A0C"/>
    <w:p w14:paraId="0F0B6F7A" w14:textId="4DD067A7" w:rsidR="00375603" w:rsidRDefault="6C741549" w:rsidP="176F6A0C">
      <w:pPr>
        <w:rPr>
          <w:rFonts w:ascii="Calibri" w:hAnsi="Calibri" w:cs="Calibri"/>
          <w:b/>
          <w:bCs/>
          <w:color w:val="2F5496" w:themeColor="accent1" w:themeShade="BF"/>
          <w:sz w:val="24"/>
          <w:szCs w:val="24"/>
        </w:rPr>
      </w:pPr>
      <w:r w:rsidRPr="176F6A0C">
        <w:rPr>
          <w:rFonts w:ascii="Calibri" w:hAnsi="Calibri" w:cs="Calibri"/>
          <w:b/>
          <w:bCs/>
          <w:color w:val="2F5496" w:themeColor="accent1" w:themeShade="BF"/>
          <w:sz w:val="24"/>
          <w:szCs w:val="24"/>
        </w:rPr>
        <w:t>2.a.</w:t>
      </w:r>
      <w:r w:rsidR="00E509CB">
        <w:tab/>
      </w:r>
      <w:r w:rsidRPr="176F6A0C">
        <w:rPr>
          <w:rFonts w:ascii="Calibri" w:hAnsi="Calibri" w:cs="Calibri"/>
          <w:b/>
          <w:bCs/>
          <w:color w:val="2F5496" w:themeColor="accent1" w:themeShade="BF"/>
          <w:sz w:val="24"/>
          <w:szCs w:val="24"/>
        </w:rPr>
        <w:t>Document structure</w:t>
      </w:r>
    </w:p>
    <w:p w14:paraId="5C8D1B66" w14:textId="7A44D84F" w:rsidR="00375603" w:rsidRDefault="2522A96B" w:rsidP="176F6A0C">
      <w:pPr>
        <w:rPr>
          <w:rFonts w:ascii="Calibri" w:eastAsia="Calibri" w:hAnsi="Calibri" w:cs="Calibri"/>
        </w:rPr>
      </w:pPr>
      <w:r w:rsidRPr="176F6A0C">
        <w:rPr>
          <w:lang w:val="en-US"/>
        </w:rPr>
        <w:t xml:space="preserve">This strategy is organised in two complementary parts. Sections </w:t>
      </w:r>
      <w:r w:rsidR="673C0D92" w:rsidRPr="176F6A0C">
        <w:rPr>
          <w:lang w:val="en-US"/>
        </w:rPr>
        <w:t>2</w:t>
      </w:r>
      <w:r w:rsidRPr="176F6A0C">
        <w:rPr>
          <w:lang w:val="en-US"/>
        </w:rPr>
        <w:t>–</w:t>
      </w:r>
      <w:r w:rsidR="6033826B" w:rsidRPr="176F6A0C">
        <w:rPr>
          <w:lang w:val="en-US"/>
        </w:rPr>
        <w:t>9</w:t>
      </w:r>
      <w:r w:rsidRPr="176F6A0C">
        <w:rPr>
          <w:lang w:val="en-US"/>
        </w:rPr>
        <w:t xml:space="preserve"> establish the strategic communication framework for DIKTAS II, including objectives, audiences, messaging, channels, editorial planning, and dissemination. Sections </w:t>
      </w:r>
      <w:r w:rsidR="0FECB282" w:rsidRPr="176F6A0C">
        <w:rPr>
          <w:lang w:val="en-US"/>
        </w:rPr>
        <w:t>10</w:t>
      </w:r>
      <w:r w:rsidRPr="176F6A0C">
        <w:rPr>
          <w:lang w:val="en-US"/>
        </w:rPr>
        <w:t>–1</w:t>
      </w:r>
      <w:r w:rsidR="33070363" w:rsidRPr="176F6A0C">
        <w:rPr>
          <w:lang w:val="en-US"/>
        </w:rPr>
        <w:t>3</w:t>
      </w:r>
      <w:r w:rsidRPr="176F6A0C">
        <w:rPr>
          <w:lang w:val="en-US"/>
        </w:rPr>
        <w:t xml:space="preserve"> provide the operational framework required to implement the strategy consistently, including governance arrangements, workflows, deliverables, monitoring, risk management, and supporting annexes.</w:t>
      </w:r>
    </w:p>
    <w:p w14:paraId="6E2706ED" w14:textId="1A3505E7" w:rsidR="00375603" w:rsidRDefault="00375603" w:rsidP="176F6A0C">
      <w:pPr>
        <w:rPr>
          <w:lang w:val="en-US"/>
        </w:rPr>
      </w:pPr>
    </w:p>
    <w:p w14:paraId="018C9E97" w14:textId="1DF2ED6D" w:rsidR="00375603" w:rsidRDefault="2522A96B" w:rsidP="176F6A0C">
      <w:pPr>
        <w:rPr>
          <w:rFonts w:ascii="Calibri" w:hAnsi="Calibri" w:cs="Calibri"/>
          <w:b/>
          <w:bCs/>
          <w:color w:val="2F5496" w:themeColor="accent1" w:themeShade="BF"/>
          <w:sz w:val="28"/>
          <w:szCs w:val="28"/>
        </w:rPr>
      </w:pPr>
      <w:r w:rsidRPr="176F6A0C">
        <w:rPr>
          <w:rFonts w:ascii="Calibri" w:hAnsi="Calibri" w:cs="Calibri"/>
          <w:b/>
          <w:bCs/>
          <w:color w:val="2F5496" w:themeColor="accent1" w:themeShade="BF"/>
          <w:sz w:val="28"/>
          <w:szCs w:val="28"/>
        </w:rPr>
        <w:t>3.</w:t>
      </w:r>
      <w:r w:rsidR="00E509CB">
        <w:tab/>
      </w:r>
      <w:r w:rsidRPr="176F6A0C">
        <w:rPr>
          <w:rFonts w:ascii="Calibri" w:hAnsi="Calibri" w:cs="Calibri"/>
          <w:b/>
          <w:bCs/>
          <w:color w:val="2F5496" w:themeColor="accent1" w:themeShade="BF"/>
          <w:sz w:val="28"/>
          <w:szCs w:val="28"/>
        </w:rPr>
        <w:t>Context and constraints</w:t>
      </w:r>
    </w:p>
    <w:p w14:paraId="5C19F6E1" w14:textId="04EC90BE" w:rsidR="00375603" w:rsidRDefault="2522A96B" w:rsidP="176F6A0C">
      <w:pPr>
        <w:rPr>
          <w:rFonts w:ascii="Calibri" w:eastAsia="Calibri" w:hAnsi="Calibri" w:cs="Calibri"/>
          <w:color w:val="000000" w:themeColor="text1"/>
          <w:sz w:val="24"/>
          <w:szCs w:val="24"/>
          <w:lang w:val="en-US"/>
        </w:rPr>
      </w:pPr>
      <w:r w:rsidRPr="176F6A0C">
        <w:rPr>
          <w:lang w:val="en-US"/>
        </w:rPr>
        <w:lastRenderedPageBreak/>
        <w:t>DIKTAS II communications operate in a technically demanding and institutionally sensitive environment. The project is transboundary by design, requiring transboundary coherence across Albania, Bosnia and Herzegovina, Montenegro, and Croatia while respecting national mandates and sensitivities. This includes communications linked to core DIKTAS II workstreams such as diagnostic outputs, monitoring missions, and cooperation moments (e.g., expert meetings and milestone events), where credibility and clearance discipline are essential.</w:t>
      </w:r>
    </w:p>
    <w:p w14:paraId="2EDF44F0" w14:textId="39439EB0" w:rsidR="00375603" w:rsidRDefault="2522A96B" w:rsidP="176F6A0C">
      <w:pPr>
        <w:rPr>
          <w:rFonts w:ascii="Calibri" w:eastAsia="Calibri" w:hAnsi="Calibri" w:cs="Calibri"/>
          <w:color w:val="000000" w:themeColor="text1"/>
          <w:sz w:val="24"/>
          <w:szCs w:val="24"/>
          <w:lang w:val="en-US"/>
        </w:rPr>
      </w:pPr>
      <w:r w:rsidRPr="176F6A0C">
        <w:rPr>
          <w:lang w:val="en-US"/>
        </w:rPr>
        <w:t>Most project outputs are technical by nature. Communications therefore prioritise a clear translation layer, evidence-based claims, and disciplined language that does not overstate results before validation.</w:t>
      </w:r>
    </w:p>
    <w:p w14:paraId="2AD44047" w14:textId="662ED1B4" w:rsidR="00375603" w:rsidRDefault="2522A96B" w:rsidP="176F6A0C">
      <w:pPr>
        <w:rPr>
          <w:rFonts w:ascii="Calibri" w:eastAsia="Calibri" w:hAnsi="Calibri" w:cs="Calibri"/>
          <w:color w:val="000000" w:themeColor="text1"/>
          <w:sz w:val="24"/>
          <w:szCs w:val="24"/>
          <w:lang w:val="en-US"/>
        </w:rPr>
      </w:pPr>
      <w:r w:rsidRPr="176F6A0C">
        <w:rPr>
          <w:lang w:val="en-US"/>
        </w:rPr>
        <w:t>Delivery is constrained by lean capacity and multi-country coordination. The strategy therefore follows a “few big rocks” approach (flagship assets with systematic repurposing) and depends on predictable review lanes, access to publication channels, and timely inputs from focal points and experts.</w:t>
      </w:r>
    </w:p>
    <w:p w14:paraId="74ECD5CA" w14:textId="513DAA94" w:rsidR="00375603" w:rsidRDefault="2522A96B" w:rsidP="176F6A0C">
      <w:pPr>
        <w:rPr>
          <w:rFonts w:ascii="Calibri" w:eastAsia="Calibri" w:hAnsi="Calibri" w:cs="Calibri"/>
          <w:color w:val="000000" w:themeColor="text1"/>
          <w:sz w:val="24"/>
          <w:szCs w:val="24"/>
          <w:lang w:val="en-US"/>
        </w:rPr>
      </w:pPr>
      <w:r w:rsidRPr="176F6A0C">
        <w:rPr>
          <w:lang w:val="en-US"/>
        </w:rPr>
        <w:t>DIKTAS II communications follow seven principles: transparency, inclusiveness, traceability (“you said / we did”), utility over volume, consistency across borders, validation before claims (do not pre-empt validation), and sustainability through reusable assets.</w:t>
      </w:r>
    </w:p>
    <w:p w14:paraId="7518614B" w14:textId="49CFBE04" w:rsidR="00375603" w:rsidRDefault="00375603" w:rsidP="176F6A0C">
      <w:pPr>
        <w:rPr>
          <w:lang w:val="en-US"/>
        </w:rPr>
      </w:pPr>
    </w:p>
    <w:p w14:paraId="409445D4" w14:textId="3A6DCAA1" w:rsidR="00375603" w:rsidRDefault="2522A96B" w:rsidP="176F6A0C">
      <w:pPr>
        <w:rPr>
          <w:rFonts w:ascii="Calibri" w:hAnsi="Calibri" w:cs="Calibri"/>
          <w:b/>
          <w:bCs/>
          <w:color w:val="2F5496" w:themeColor="accent1" w:themeShade="BF"/>
          <w:sz w:val="28"/>
          <w:szCs w:val="28"/>
        </w:rPr>
      </w:pPr>
      <w:r w:rsidRPr="176F6A0C">
        <w:rPr>
          <w:rFonts w:ascii="Calibri" w:hAnsi="Calibri" w:cs="Calibri"/>
          <w:b/>
          <w:bCs/>
          <w:color w:val="2F5496" w:themeColor="accent1" w:themeShade="BF"/>
          <w:sz w:val="28"/>
          <w:szCs w:val="28"/>
        </w:rPr>
        <w:t>4.</w:t>
      </w:r>
      <w:r w:rsidR="00E509CB">
        <w:tab/>
      </w:r>
      <w:r w:rsidRPr="176F6A0C">
        <w:rPr>
          <w:rFonts w:ascii="Calibri" w:hAnsi="Calibri" w:cs="Calibri"/>
          <w:b/>
          <w:bCs/>
          <w:color w:val="2F5496" w:themeColor="accent1" w:themeShade="BF"/>
          <w:sz w:val="28"/>
          <w:szCs w:val="28"/>
        </w:rPr>
        <w:t>Communication objectives and outcomes</w:t>
      </w:r>
    </w:p>
    <w:p w14:paraId="1FE563E9" w14:textId="4E65D8C5" w:rsidR="00375603" w:rsidRDefault="2522A96B" w:rsidP="176F6A0C">
      <w:pPr>
        <w:rPr>
          <w:rFonts w:ascii="Calibri" w:eastAsia="Calibri" w:hAnsi="Calibri" w:cs="Calibri"/>
          <w:color w:val="000000" w:themeColor="text1"/>
          <w:sz w:val="24"/>
          <w:szCs w:val="24"/>
        </w:rPr>
      </w:pPr>
      <w:r w:rsidRPr="176F6A0C">
        <w:rPr>
          <w:lang w:val="en-US"/>
        </w:rPr>
        <w:t>Section 4 sets out what DIKTAS II communications are expected to achieve. Objectives are split between strategic outcomes (why communications exist) and operational outcomes (what must be in place for predictable delivery). Communications are not treated as a support function alone, but as an enabling mechanism for coordination, uptake, and visibility of project results.</w:t>
      </w:r>
    </w:p>
    <w:p w14:paraId="0EAB3AE3" w14:textId="1C6399DA" w:rsidR="00375603" w:rsidRDefault="2522A96B" w:rsidP="176F6A0C">
      <w:pPr>
        <w:rPr>
          <w:rFonts w:ascii="Calibri" w:eastAsia="Calibri" w:hAnsi="Calibri" w:cs="Calibri"/>
          <w:color w:val="000000" w:themeColor="text1"/>
          <w:sz w:val="24"/>
          <w:szCs w:val="24"/>
        </w:rPr>
      </w:pPr>
      <w:r w:rsidRPr="176F6A0C">
        <w:rPr>
          <w:b/>
          <w:bCs/>
          <w:lang w:val="en-US"/>
        </w:rPr>
        <w:t>Strategic outcomes</w:t>
      </w:r>
      <w:r w:rsidRPr="176F6A0C">
        <w:rPr>
          <w:lang w:val="en-US"/>
        </w:rPr>
        <w:t>: (1) ensure continuity and credibility across phases; (2) provide clarity and usable takeaways for non-expert decision-makers; (3) enable participation and disclosure moments through SIP-aligned communications products; (4) maintain visibility and accountability consistent with partner and donor expectations; and (5) support strategic messaging and institutional positioning through cleared lines and ready-to-use materials. Communications also contribute to institutional credibility and legitimacy by ensuring that outputs are clearly explained, traceable, and aligned with validated evidence.</w:t>
      </w:r>
    </w:p>
    <w:p w14:paraId="485F8284" w14:textId="0C022894" w:rsidR="00375603" w:rsidRDefault="2522A96B" w:rsidP="176F6A0C">
      <w:pPr>
        <w:rPr>
          <w:rFonts w:ascii="Calibri" w:eastAsia="Calibri" w:hAnsi="Calibri" w:cs="Calibri"/>
          <w:color w:val="000000" w:themeColor="text1"/>
          <w:sz w:val="24"/>
          <w:szCs w:val="24"/>
        </w:rPr>
      </w:pPr>
      <w:r w:rsidRPr="176F6A0C">
        <w:rPr>
          <w:b/>
          <w:bCs/>
          <w:lang w:val="en-US"/>
        </w:rPr>
        <w:t>Operational outcomes</w:t>
      </w:r>
      <w:r w:rsidRPr="176F6A0C">
        <w:rPr>
          <w:lang w:val="en-US"/>
        </w:rPr>
        <w:t>: a baseline asset kit is in place; a single publication pipeline is applied end-to-end; inputs are collected through a lightweight intake system; and a story pipeline connects communications to real project work (monitoring, governance improvements, cooperation moments).</w:t>
      </w:r>
    </w:p>
    <w:p w14:paraId="3ACF7407" w14:textId="622D1A53" w:rsidR="00375603" w:rsidRDefault="2522A96B" w:rsidP="176F6A0C">
      <w:pPr>
        <w:rPr>
          <w:rFonts w:ascii="Calibri" w:eastAsia="Calibri" w:hAnsi="Calibri" w:cs="Calibri"/>
          <w:color w:val="000000" w:themeColor="text1"/>
          <w:sz w:val="24"/>
          <w:szCs w:val="24"/>
        </w:rPr>
      </w:pPr>
      <w:r w:rsidRPr="176F6A0C">
        <w:rPr>
          <w:lang w:val="en-US"/>
        </w:rPr>
        <w:t>Success is defined across three-time horizons. In the first 90 days, success means the minimum viable communication system is operating end-to-end (owners, templates, workflow), with 1–2 flagship pieces published or submitted, and at least one partner-pack cycle tested. Across months 3–12, success is a repeatable rhythm tied to monthly themes, with a small set of evergreen explainer pages kept current. Over the full project duration, success is sustained coherence, findability of outputs, and a demonstrable and traceable record of dissemination, engagement, and learning.</w:t>
      </w:r>
    </w:p>
    <w:p w14:paraId="2118E81A" w14:textId="6766D073" w:rsidR="00375603" w:rsidRDefault="2522A96B" w:rsidP="176F6A0C">
      <w:pPr>
        <w:rPr>
          <w:rFonts w:ascii="Calibri" w:hAnsi="Calibri" w:cs="Calibri"/>
          <w:b/>
          <w:bCs/>
          <w:color w:val="2F5496" w:themeColor="accent1" w:themeShade="BF"/>
          <w:sz w:val="28"/>
          <w:szCs w:val="28"/>
        </w:rPr>
      </w:pPr>
      <w:r>
        <w:rPr>
          <w:noProof/>
        </w:rPr>
        <w:lastRenderedPageBreak/>
        <w:drawing>
          <wp:inline distT="0" distB="0" distL="0" distR="0" wp14:anchorId="5DF75ACF" wp14:editId="6FC91173">
            <wp:extent cx="5724525" cy="3819525"/>
            <wp:effectExtent l="0" t="0" r="0" b="0"/>
            <wp:docPr id="183811423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114231" name="Picture 1838114231"/>
                    <pic:cNvPicPr/>
                  </pic:nvPicPr>
                  <pic:blipFill>
                    <a:blip r:embed="rId13">
                      <a:extLst>
                        <a:ext uri="{28A0092B-C50C-407E-A947-70E740481C1C}">
                          <a14:useLocalDpi xmlns:a14="http://schemas.microsoft.com/office/drawing/2010/main"/>
                        </a:ext>
                      </a:extLst>
                    </a:blip>
                    <a:stretch>
                      <a:fillRect/>
                    </a:stretch>
                  </pic:blipFill>
                  <pic:spPr>
                    <a:xfrm>
                      <a:off x="0" y="0"/>
                      <a:ext cx="5724525" cy="3819525"/>
                    </a:xfrm>
                    <a:prstGeom prst="rect">
                      <a:avLst/>
                    </a:prstGeom>
                  </pic:spPr>
                </pic:pic>
              </a:graphicData>
            </a:graphic>
          </wp:inline>
        </w:drawing>
      </w:r>
    </w:p>
    <w:p w14:paraId="55AB7810" w14:textId="007B4E84" w:rsidR="00375603" w:rsidRDefault="2522A96B" w:rsidP="176F6A0C">
      <w:pPr>
        <w:rPr>
          <w:rFonts w:ascii="Calibri" w:hAnsi="Calibri" w:cs="Calibri"/>
          <w:b/>
          <w:bCs/>
          <w:color w:val="2F5496" w:themeColor="accent1" w:themeShade="BF"/>
          <w:sz w:val="28"/>
          <w:szCs w:val="28"/>
        </w:rPr>
      </w:pPr>
      <w:r w:rsidRPr="176F6A0C">
        <w:rPr>
          <w:rFonts w:ascii="Calibri" w:hAnsi="Calibri" w:cs="Calibri"/>
          <w:b/>
          <w:bCs/>
          <w:color w:val="2F5496" w:themeColor="accent1" w:themeShade="BF"/>
          <w:sz w:val="28"/>
          <w:szCs w:val="28"/>
        </w:rPr>
        <w:t>5.</w:t>
      </w:r>
      <w:r w:rsidR="00E509CB">
        <w:tab/>
      </w:r>
      <w:r w:rsidRPr="176F6A0C">
        <w:rPr>
          <w:rFonts w:ascii="Calibri" w:hAnsi="Calibri" w:cs="Calibri"/>
          <w:b/>
          <w:bCs/>
          <w:color w:val="2F5496" w:themeColor="accent1" w:themeShade="BF"/>
          <w:sz w:val="28"/>
          <w:szCs w:val="28"/>
        </w:rPr>
        <w:t>Audiences and stakeholder logic</w:t>
      </w:r>
    </w:p>
    <w:p w14:paraId="2F31EA3A" w14:textId="5D130F96" w:rsidR="00375603" w:rsidRDefault="2522A96B" w:rsidP="176F6A0C">
      <w:pPr>
        <w:rPr>
          <w:rFonts w:ascii="Calibri" w:eastAsia="Calibri" w:hAnsi="Calibri" w:cs="Calibri"/>
          <w:color w:val="000000" w:themeColor="text1"/>
          <w:sz w:val="24"/>
          <w:szCs w:val="24"/>
        </w:rPr>
      </w:pPr>
      <w:r w:rsidRPr="176F6A0C">
        <w:rPr>
          <w:lang w:val="en-US"/>
        </w:rPr>
        <w:t xml:space="preserve">DIKTAS II communications prioritise audiences based on (1) decision role (who can change policy and practice), (2) information need (technical depth vs simplified translation), and (3) engagement potential along a spectrum from information to consultation to participation. A single message architecture (Section </w:t>
      </w:r>
      <w:r w:rsidR="381359EF" w:rsidRPr="176F6A0C">
        <w:rPr>
          <w:lang w:val="en-US"/>
        </w:rPr>
        <w:t>6</w:t>
      </w:r>
      <w:r w:rsidRPr="176F6A0C">
        <w:rPr>
          <w:lang w:val="en-US"/>
        </w:rPr>
        <w:t>) underpins all outreach; it is then adapted in depth, language, and channel choice depending on who needs to act and what they need to understand.</w:t>
      </w:r>
    </w:p>
    <w:p w14:paraId="5D55D85A" w14:textId="25508720" w:rsidR="00375603" w:rsidRDefault="2522A96B" w:rsidP="176F6A0C">
      <w:pPr>
        <w:rPr>
          <w:rFonts w:ascii="Calibri" w:eastAsia="Calibri" w:hAnsi="Calibri" w:cs="Calibri"/>
          <w:color w:val="000000" w:themeColor="text1"/>
          <w:sz w:val="24"/>
          <w:szCs w:val="24"/>
        </w:rPr>
      </w:pPr>
      <w:r w:rsidRPr="176F6A0C">
        <w:rPr>
          <w:lang w:val="en-US"/>
        </w:rPr>
        <w:t>The primary audiences are those whose decisions and day-to-day cooperation determine whether DIKTAS II outputs are used. This includes national ministries and competent authorities (water, environment, planning), relevant water agencies and river basin/protected area authorities, and the technical working groups and national coordination bodies that align methodologies, definitions, and priorities. Where DIKTAS II work has place-based implications, communications should also be usable for local authorities and stakeholders in areas of transboundary influence or special concern; however, the engagement mechanisms and participation formats for these groups remain governed by the Stakeholder Involvement Plan (SIP, Output 1.4).</w:t>
      </w:r>
    </w:p>
    <w:p w14:paraId="3FF365F5" w14:textId="641195D8" w:rsidR="00375603" w:rsidRDefault="2522A96B" w:rsidP="176F6A0C">
      <w:pPr>
        <w:rPr>
          <w:rFonts w:ascii="Calibri" w:eastAsia="Calibri" w:hAnsi="Calibri" w:cs="Calibri"/>
          <w:color w:val="000000" w:themeColor="text1"/>
          <w:sz w:val="24"/>
          <w:szCs w:val="24"/>
        </w:rPr>
      </w:pPr>
      <w:r w:rsidRPr="176F6A0C">
        <w:rPr>
          <w:lang w:val="en-US"/>
        </w:rPr>
        <w:t>The secondary audiences are those who provide legitimacy, validation, or amplification. This includes the scientific and technical community (credibility and peer-level dissemination), civil society and community groups (transparency and participation pathways), private sector stakeholders, where relevant to groundwater use or risk (risk framing and resource protection implications), and media at national and regional levels (simplified storylines, milestones, and access to experts and visuals). International partners and networks (including UN system actors, GEF/IW:LEARN, and regional initiatives) are also a key secondary audience for cross-project learning, visibility, and replication value.</w:t>
      </w:r>
    </w:p>
    <w:p w14:paraId="4A5DC8BD" w14:textId="5C837B2E" w:rsidR="00375603" w:rsidRDefault="2522A96B" w:rsidP="176F6A0C">
      <w:pPr>
        <w:rPr>
          <w:rFonts w:ascii="Calibri" w:eastAsia="Calibri" w:hAnsi="Calibri" w:cs="Calibri"/>
          <w:color w:val="000000" w:themeColor="text1"/>
          <w:sz w:val="24"/>
          <w:szCs w:val="24"/>
        </w:rPr>
      </w:pPr>
      <w:r w:rsidRPr="176F6A0C">
        <w:rPr>
          <w:lang w:val="en-US"/>
        </w:rPr>
        <w:lastRenderedPageBreak/>
        <w:t>Finally, the broad public acts as an awareness and support layer, particularly in the four participating countries. Public-facing communications should focus on clear, accessible explanations of why groundwater matters, what is changing through DIKTAS II, and how cross-border cooperation protects ecosystems and resilience—without displacing higher-priority outputs that enable institutional uptake.</w:t>
      </w:r>
    </w:p>
    <w:p w14:paraId="313E3EB9" w14:textId="2A61D6EE" w:rsidR="00375603" w:rsidRDefault="2522A96B" w:rsidP="176F6A0C">
      <w:pPr>
        <w:rPr>
          <w:rFonts w:ascii="Calibri" w:eastAsia="Calibri" w:hAnsi="Calibri" w:cs="Calibri"/>
          <w:color w:val="000000" w:themeColor="text1"/>
          <w:sz w:val="24"/>
          <w:szCs w:val="24"/>
        </w:rPr>
      </w:pPr>
      <w:r w:rsidRPr="176F6A0C">
        <w:rPr>
          <w:lang w:val="en-US"/>
        </w:rPr>
        <w:t>Across all audiences, DIKTAS II communications are expected to enable distinct outcomes: for decision-makers, uptake and decision-making (adopt, align, resource, coordinate); for implementers, operational alignment (how monitoring and governance changes translate into practice); for technical audiences, credibility and validation (methods, limitations, comparability); for civil society/communities/public, understanding and legitimacy (why it matters, what evidence exists, how to engage); and for partners/networks/media, consistent amplification using cleared lines and ready-to-use assets.</w:t>
      </w:r>
    </w:p>
    <w:p w14:paraId="201CA6AA" w14:textId="29A019A7" w:rsidR="00375603" w:rsidRDefault="2522A96B" w:rsidP="176F6A0C">
      <w:r w:rsidRPr="176F6A0C">
        <w:rPr>
          <w:lang w:val="en-US"/>
        </w:rPr>
        <w:t>Where capacity is constrained, DIKTAS II prioritises communications that support (1) institutional decision points, (2) validated technical milestones, and (3) mandated partner/donor visibility, before lower-priority awareness content. The strategy maintains a clear interface with the Stakeholder Involvement Plan (Output 1.4), which defines stakeholder identification, participation mechanisms, consultation processes, and engagement monitoring. This communication strategy complements those functions by providing the communication products, workflows, and dissemination approaches that support stakeholder engagement and uptake of project outputs.</w:t>
      </w:r>
    </w:p>
    <w:p w14:paraId="1AA907DF" w14:textId="67D10882" w:rsidR="00375603" w:rsidRDefault="00375603" w:rsidP="176F6A0C">
      <w:pPr>
        <w:rPr>
          <w:lang w:val="en-US"/>
        </w:rPr>
      </w:pPr>
    </w:p>
    <w:p w14:paraId="0133B7BC" w14:textId="1A94D78C" w:rsidR="00375603" w:rsidRDefault="2522A96B" w:rsidP="176F6A0C">
      <w:pPr>
        <w:rPr>
          <w:rFonts w:ascii="Calibri" w:hAnsi="Calibri" w:cs="Calibri"/>
          <w:b/>
          <w:bCs/>
          <w:color w:val="2F5496" w:themeColor="accent1" w:themeShade="BF"/>
          <w:sz w:val="28"/>
          <w:szCs w:val="28"/>
        </w:rPr>
      </w:pPr>
      <w:r w:rsidRPr="176F6A0C">
        <w:rPr>
          <w:rFonts w:ascii="Calibri" w:hAnsi="Calibri" w:cs="Calibri"/>
          <w:b/>
          <w:bCs/>
          <w:color w:val="2F5496" w:themeColor="accent1" w:themeShade="BF"/>
          <w:sz w:val="28"/>
          <w:szCs w:val="28"/>
        </w:rPr>
        <w:t>6.</w:t>
      </w:r>
      <w:r w:rsidR="00E509CB">
        <w:tab/>
      </w:r>
      <w:r w:rsidRPr="176F6A0C">
        <w:rPr>
          <w:rFonts w:ascii="Calibri" w:hAnsi="Calibri" w:cs="Calibri"/>
          <w:b/>
          <w:bCs/>
          <w:color w:val="2F5496" w:themeColor="accent1" w:themeShade="BF"/>
          <w:sz w:val="28"/>
          <w:szCs w:val="28"/>
        </w:rPr>
        <w:t>Narrative and message architecture</w:t>
      </w:r>
    </w:p>
    <w:p w14:paraId="540FC7AD" w14:textId="32D92DC9" w:rsidR="00375603" w:rsidRDefault="2522A96B" w:rsidP="176F6A0C">
      <w:pPr>
        <w:rPr>
          <w:rFonts w:ascii="Calibri" w:eastAsia="Calibri" w:hAnsi="Calibri" w:cs="Calibri"/>
          <w:color w:val="000000" w:themeColor="text1"/>
          <w:sz w:val="24"/>
          <w:szCs w:val="24"/>
        </w:rPr>
      </w:pPr>
      <w:r w:rsidRPr="176F6A0C">
        <w:rPr>
          <w:lang w:val="en-US"/>
        </w:rPr>
        <w:t>DIKTAS II uses a single narrative backbone to keep messaging coherent across countries, partners, and channels. The default storyline is that the Dinaric Karst Aquifer System is a shared resource that connects borders, ecosystems, and communities; that DIKTAS I established the evidence base (including the TDA → SAP pathway); and that DIKTAS II is the implementation chapter, focused on strengthening governance, building cooperation routines, improving monitoring, and enabling practical action. Benefits should be framed in concrete, decision-relevant terms—water security, ecosystem protection, resilience, and better coordination—while remaining disciplined about what is validated. Where relevant, communications link validated project outputs to broader outcomes (see Section 4).</w:t>
      </w:r>
    </w:p>
    <w:p w14:paraId="3601AC05" w14:textId="76CE8355" w:rsidR="00375603" w:rsidRDefault="2522A96B" w:rsidP="176F6A0C">
      <w:pPr>
        <w:rPr>
          <w:rFonts w:ascii="Calibri" w:eastAsia="Calibri" w:hAnsi="Calibri" w:cs="Calibri"/>
          <w:color w:val="000000" w:themeColor="text1"/>
          <w:sz w:val="24"/>
          <w:szCs w:val="24"/>
        </w:rPr>
      </w:pPr>
      <w:r w:rsidRPr="176F6A0C">
        <w:rPr>
          <w:lang w:val="en-US"/>
        </w:rPr>
        <w:t>Within this narrative, DIKTAS II communications are organised around five message pillars that remain consistent across channels and levels. First, cooperation across borders: cross-border coordination is necessary for shared aquifers. Second, evidence informing action: decisions are grounded in science, monitoring, and agreed frameworks. Third, governance for sustainability: stronger institutions and rules produce long-term outcomes. Fourth, people and ecosystems: outcomes protect communities and groundwater-dependent ecosystems. Fifth, participation and transparency: stakeholders can follow progress, contribute, and see how input is used.</w:t>
      </w:r>
    </w:p>
    <w:p w14:paraId="5C656CA3" w14:textId="6E51EA37" w:rsidR="00375603" w:rsidRDefault="2522A96B" w:rsidP="176F6A0C">
      <w:pPr>
        <w:rPr>
          <w:rFonts w:ascii="Calibri" w:eastAsia="Calibri" w:hAnsi="Calibri" w:cs="Calibri"/>
          <w:color w:val="000000" w:themeColor="text1"/>
          <w:sz w:val="24"/>
          <w:szCs w:val="24"/>
        </w:rPr>
      </w:pPr>
      <w:r w:rsidRPr="176F6A0C">
        <w:rPr>
          <w:lang w:val="en-US"/>
        </w:rPr>
        <w:t xml:space="preserve">To keep messages credible and usable, each pillar should be supported with proof points that are specific, current, and updateable as outputs mature. Examples include joint expert meetings and shared tools/definitions (cooperation), diagnostic and monitoring outputs that inform decision-making (evidence → action), improved coordination routines and processes that extend beyond single events (governance), groundwater-dependent ecosystems and resilience implications in the </w:t>
      </w:r>
      <w:r w:rsidRPr="176F6A0C">
        <w:rPr>
          <w:lang w:val="en-US"/>
        </w:rPr>
        <w:lastRenderedPageBreak/>
        <w:t>four countries (people and ecosystems), and documented “you said / we did” follow-ups and accessible summaries linked to SIP-aligned moments (participation and transparency).</w:t>
      </w:r>
    </w:p>
    <w:p w14:paraId="744136C8" w14:textId="2FFD93BF" w:rsidR="00375603" w:rsidRDefault="2522A96B" w:rsidP="176F6A0C">
      <w:pPr>
        <w:rPr>
          <w:rFonts w:ascii="Calibri" w:eastAsia="Calibri" w:hAnsi="Calibri" w:cs="Calibri"/>
          <w:color w:val="000000" w:themeColor="text1"/>
          <w:sz w:val="24"/>
          <w:szCs w:val="24"/>
        </w:rPr>
      </w:pPr>
      <w:r w:rsidRPr="176F6A0C">
        <w:rPr>
          <w:lang w:val="en-US"/>
        </w:rPr>
        <w:t>Message adaptation follows a simple adaptation map: for ministries and agencies, focus on what changes in practice, what decisions are needed, and what SAP/JAP implementation requires; for technical audiences, provide methods, definitions, monitoring design, limitations, and comparability; and for public-facing communications, prioritise clear metaphors, visuals, stories, and tangible impacts without compromising accuracy.</w:t>
      </w:r>
    </w:p>
    <w:p w14:paraId="1EA6CE3C" w14:textId="20D7B424" w:rsidR="00375603" w:rsidRDefault="2522A96B" w:rsidP="176F6A0C">
      <w:pPr>
        <w:rPr>
          <w:rFonts w:ascii="Calibri" w:eastAsia="Calibri" w:hAnsi="Calibri" w:cs="Calibri"/>
          <w:color w:val="000000" w:themeColor="text1"/>
          <w:sz w:val="24"/>
          <w:szCs w:val="24"/>
        </w:rPr>
      </w:pPr>
      <w:r w:rsidRPr="176F6A0C">
        <w:rPr>
          <w:lang w:val="en-US"/>
        </w:rPr>
        <w:t>Finally, DIKTAS II maintains guardrails to protect credibility and manage sensitivity. Use activity and process language until results are validated (e.g., “is being developed / is being tested / is being agreed” rather than “has improved / has reduced”). Make limitations and uncertainty explicit for technical outputs (scope, time horizon, preliminary vs validated). Avoid attributing policy commitments or institutional positions to governments unless formally confirmed. Maintain a single, approved set of boilerplates and donor visibility lines (Annex C) to prevent drift across partners and countries.</w:t>
      </w:r>
    </w:p>
    <w:p w14:paraId="2452C3F6" w14:textId="5D7CBF3F" w:rsidR="00375603" w:rsidRDefault="2522A96B" w:rsidP="176F6A0C">
      <w:r w:rsidRPr="176F6A0C">
        <w:rPr>
          <w:lang w:val="en-US"/>
        </w:rPr>
        <w:t>Storytelling should rely on repeatable formats that can be produced and repurposed efficiently: monitoring-to-decision stories (how data informs decisions); cross-border cooperation moments; governance improvements (“what changed”); field stories and photo essays; ecosystem stories; and “Groundwater 101” explainers and myth-busting content.</w:t>
      </w:r>
    </w:p>
    <w:p w14:paraId="0F0BDF08" w14:textId="35CB988A" w:rsidR="00375603" w:rsidRDefault="00375603" w:rsidP="176F6A0C">
      <w:pPr>
        <w:rPr>
          <w:lang w:val="en-US"/>
        </w:rPr>
      </w:pPr>
    </w:p>
    <w:p w14:paraId="5093604D" w14:textId="6F84BCE0" w:rsidR="00375603" w:rsidRDefault="7FADDC11" w:rsidP="176F6A0C">
      <w:pPr>
        <w:rPr>
          <w:rFonts w:ascii="Calibri" w:hAnsi="Calibri" w:cs="Calibri"/>
          <w:b/>
          <w:bCs/>
          <w:color w:val="2F5496" w:themeColor="accent1" w:themeShade="BF"/>
          <w:sz w:val="28"/>
          <w:szCs w:val="28"/>
        </w:rPr>
      </w:pPr>
      <w:r w:rsidRPr="176F6A0C">
        <w:rPr>
          <w:rFonts w:ascii="Calibri" w:hAnsi="Calibri" w:cs="Calibri"/>
          <w:b/>
          <w:bCs/>
          <w:color w:val="2F5496" w:themeColor="accent1" w:themeShade="BF"/>
          <w:sz w:val="28"/>
          <w:szCs w:val="28"/>
        </w:rPr>
        <w:t>7.</w:t>
      </w:r>
      <w:r w:rsidR="00E509CB">
        <w:tab/>
      </w:r>
      <w:r w:rsidRPr="176F6A0C">
        <w:rPr>
          <w:rFonts w:ascii="Calibri" w:hAnsi="Calibri" w:cs="Calibri"/>
          <w:b/>
          <w:bCs/>
          <w:color w:val="2F5496" w:themeColor="accent1" w:themeShade="BF"/>
          <w:sz w:val="28"/>
          <w:szCs w:val="28"/>
        </w:rPr>
        <w:t>Channels, formats and content packages</w:t>
      </w:r>
    </w:p>
    <w:p w14:paraId="16E461DF" w14:textId="48B5FEA6" w:rsidR="00375603" w:rsidRDefault="7FADDC11" w:rsidP="176F6A0C">
      <w:pPr>
        <w:rPr>
          <w:rFonts w:ascii="Calibri" w:eastAsia="Calibri" w:hAnsi="Calibri" w:cs="Calibri"/>
          <w:color w:val="000000" w:themeColor="text1"/>
          <w:sz w:val="24"/>
          <w:szCs w:val="24"/>
        </w:rPr>
      </w:pPr>
      <w:r w:rsidRPr="176F6A0C">
        <w:rPr>
          <w:lang w:val="en-US"/>
        </w:rPr>
        <w:t>This section defines the minimum viable channel system required for delivery; not all elements are activated simultaneously.</w:t>
      </w:r>
    </w:p>
    <w:p w14:paraId="36AB610A" w14:textId="3D18CCEC" w:rsidR="00375603" w:rsidRDefault="7FADDC11" w:rsidP="176F6A0C">
      <w:pPr>
        <w:rPr>
          <w:rFonts w:ascii="Calibri" w:eastAsia="Calibri" w:hAnsi="Calibri" w:cs="Calibri"/>
          <w:color w:val="000000" w:themeColor="text1"/>
          <w:sz w:val="24"/>
          <w:szCs w:val="24"/>
        </w:rPr>
      </w:pPr>
      <w:r w:rsidRPr="176F6A0C">
        <w:rPr>
          <w:lang w:val="en-US"/>
        </w:rPr>
        <w:t>DIKTAS II uses a deliberately constrained channel mix and a packaging approach that prioritises consistency and sustainability. Channels are organised into a core set that carries the bulk of delivery, and a secondary set that is used selectively when capacity and governance allow.</w:t>
      </w:r>
    </w:p>
    <w:p w14:paraId="60E00CC4" w14:textId="33216382" w:rsidR="00375603" w:rsidRDefault="7FADDC11" w:rsidP="176F6A0C">
      <w:pPr>
        <w:rPr>
          <w:rFonts w:ascii="Calibri" w:eastAsia="Calibri" w:hAnsi="Calibri" w:cs="Calibri"/>
          <w:color w:val="000000" w:themeColor="text1"/>
          <w:sz w:val="24"/>
          <w:szCs w:val="24"/>
        </w:rPr>
      </w:pPr>
      <w:r w:rsidRPr="176F6A0C">
        <w:rPr>
          <w:lang w:val="en-US"/>
        </w:rPr>
        <w:t>Core owned channels (default):</w:t>
      </w:r>
    </w:p>
    <w:p w14:paraId="51CA8048" w14:textId="0811391F" w:rsidR="00375603" w:rsidRDefault="7FADDC11" w:rsidP="00042275">
      <w:pPr>
        <w:pStyle w:val="Pasussalistom"/>
        <w:numPr>
          <w:ilvl w:val="0"/>
          <w:numId w:val="33"/>
        </w:numPr>
        <w:rPr>
          <w:rFonts w:ascii="Calibri" w:eastAsia="Calibri" w:hAnsi="Calibri" w:cs="Calibri"/>
          <w:color w:val="000000" w:themeColor="text1"/>
          <w:sz w:val="24"/>
          <w:szCs w:val="24"/>
        </w:rPr>
      </w:pPr>
      <w:r w:rsidRPr="176F6A0C">
        <w:rPr>
          <w:b/>
          <w:bCs/>
          <w:lang w:val="en-US"/>
        </w:rPr>
        <w:t>Website</w:t>
      </w:r>
      <w:r w:rsidRPr="176F6A0C">
        <w:rPr>
          <w:lang w:val="en-US"/>
        </w:rPr>
        <w:t xml:space="preserve">: the durable reference layer (definitions, milestones, documents, news, events, stories), structured for searchability and comprehensive project coverage rather than high posting volume. Because this will require a rewrite of existing pages and significant population of new content, it should be treated as a communications priority for May–June, and this upfront effort will affect the editorial </w:t>
      </w:r>
      <w:r w:rsidR="1489C5C5" w:rsidRPr="176F6A0C">
        <w:rPr>
          <w:lang w:val="en-US"/>
        </w:rPr>
        <w:t>calendar's</w:t>
      </w:r>
      <w:r w:rsidRPr="176F6A0C">
        <w:rPr>
          <w:lang w:val="en-US"/>
        </w:rPr>
        <w:t xml:space="preserve"> sequencing during that period. All public-facing website content and uploads (excluding expert documents) should be reviewed by the communication group’s relevant experts at minimum (international/regional expert and the relevant national expert) before publication, and documents should be uploaded in PDF format (not Word).</w:t>
      </w:r>
    </w:p>
    <w:p w14:paraId="224344CD" w14:textId="40D8C01A" w:rsidR="00375603" w:rsidRDefault="7FADDC11" w:rsidP="00042275">
      <w:pPr>
        <w:pStyle w:val="Pasussalistom"/>
        <w:numPr>
          <w:ilvl w:val="0"/>
          <w:numId w:val="33"/>
        </w:numPr>
        <w:rPr>
          <w:rFonts w:ascii="Calibri" w:eastAsia="Calibri" w:hAnsi="Calibri" w:cs="Calibri"/>
          <w:color w:val="000000" w:themeColor="text1"/>
          <w:sz w:val="24"/>
          <w:szCs w:val="24"/>
        </w:rPr>
      </w:pPr>
      <w:r w:rsidRPr="176F6A0C">
        <w:rPr>
          <w:b/>
          <w:bCs/>
          <w:lang w:val="en-US"/>
        </w:rPr>
        <w:t>Direct outreach</w:t>
      </w:r>
      <w:r w:rsidRPr="176F6A0C">
        <w:rPr>
          <w:lang w:val="en-US"/>
        </w:rPr>
        <w:t>: segmented email and targeted briefings for institutional stakeholders (especially at national level), supported by short attachments (briefs, slides) and explicit calls to action.</w:t>
      </w:r>
    </w:p>
    <w:p w14:paraId="58518764" w14:textId="190954B6" w:rsidR="00375603" w:rsidRDefault="7FADDC11" w:rsidP="00042275">
      <w:pPr>
        <w:pStyle w:val="Pasussalistom"/>
        <w:numPr>
          <w:ilvl w:val="0"/>
          <w:numId w:val="33"/>
        </w:numPr>
        <w:rPr>
          <w:rFonts w:ascii="Calibri" w:eastAsia="Calibri" w:hAnsi="Calibri" w:cs="Calibri"/>
          <w:color w:val="000000" w:themeColor="text1"/>
          <w:sz w:val="24"/>
          <w:szCs w:val="24"/>
        </w:rPr>
      </w:pPr>
      <w:r w:rsidRPr="176F6A0C">
        <w:rPr>
          <w:b/>
          <w:bCs/>
          <w:lang w:val="en-US"/>
        </w:rPr>
        <w:t>Social media (selective)</w:t>
      </w:r>
      <w:r w:rsidRPr="176F6A0C">
        <w:rPr>
          <w:lang w:val="en-US"/>
        </w:rPr>
        <w:t>: treated as thematic series rather than a high-frequency requirement; efficient at international and regional scale, and used more selectively at national level based on demonstrated reach and partner practices (see Annex F).</w:t>
      </w:r>
    </w:p>
    <w:p w14:paraId="06ED0F13" w14:textId="673B1CA2" w:rsidR="00375603" w:rsidRDefault="7FADDC11" w:rsidP="00042275">
      <w:pPr>
        <w:pStyle w:val="Pasussalistom"/>
        <w:numPr>
          <w:ilvl w:val="0"/>
          <w:numId w:val="33"/>
        </w:numPr>
        <w:rPr>
          <w:rFonts w:ascii="Calibri" w:eastAsia="Calibri" w:hAnsi="Calibri" w:cs="Calibri"/>
          <w:color w:val="000000" w:themeColor="text1"/>
          <w:sz w:val="24"/>
          <w:szCs w:val="24"/>
        </w:rPr>
      </w:pPr>
      <w:r w:rsidRPr="176F6A0C">
        <w:rPr>
          <w:b/>
          <w:bCs/>
          <w:lang w:val="en-US"/>
        </w:rPr>
        <w:lastRenderedPageBreak/>
        <w:t>Language and translation approach (operational rule)</w:t>
      </w:r>
      <w:r w:rsidRPr="176F6A0C">
        <w:rPr>
          <w:lang w:val="en-US"/>
        </w:rPr>
        <w:t xml:space="preserve">: by default, flagship assets and “single source” reference pages are maintained in English, while short derivative outputs (partner packs, email copy blocks, short briefs, and stakeholder-facing one-pagers) may be translated or localised for national use. Translation/localisation is treated as part of packaging (not an additional layer of content production) and is prioritised only when it directly supports institutional uptake. The communications coordinator confirms what must be translated and when, in coordination with national communication experts and relevant technical validators (see Section </w:t>
      </w:r>
      <w:r w:rsidR="4FDE875B" w:rsidRPr="176F6A0C">
        <w:rPr>
          <w:lang w:val="en-US"/>
        </w:rPr>
        <w:t>10</w:t>
      </w:r>
      <w:r w:rsidRPr="176F6A0C">
        <w:rPr>
          <w:lang w:val="en-US"/>
        </w:rPr>
        <w:t xml:space="preserve"> for workflow; Section </w:t>
      </w:r>
      <w:r w:rsidR="46E6584C" w:rsidRPr="176F6A0C">
        <w:rPr>
          <w:lang w:val="en-US"/>
        </w:rPr>
        <w:t>9</w:t>
      </w:r>
      <w:r w:rsidRPr="176F6A0C">
        <w:rPr>
          <w:lang w:val="en-US"/>
        </w:rPr>
        <w:t xml:space="preserve"> for partner packs).</w:t>
      </w:r>
    </w:p>
    <w:p w14:paraId="0581822D" w14:textId="21F14519" w:rsidR="00375603" w:rsidRDefault="7FADDC11" w:rsidP="00042275">
      <w:pPr>
        <w:pStyle w:val="Pasussalistom"/>
        <w:numPr>
          <w:ilvl w:val="0"/>
          <w:numId w:val="33"/>
        </w:numPr>
        <w:rPr>
          <w:rFonts w:ascii="Calibri" w:eastAsia="Calibri" w:hAnsi="Calibri" w:cs="Calibri"/>
          <w:color w:val="000000" w:themeColor="text1"/>
          <w:sz w:val="24"/>
          <w:szCs w:val="24"/>
        </w:rPr>
      </w:pPr>
      <w:r w:rsidRPr="176F6A0C">
        <w:rPr>
          <w:b/>
          <w:bCs/>
          <w:lang w:val="en-US"/>
        </w:rPr>
        <w:t>Bulletin/newsletter</w:t>
      </w:r>
      <w:r w:rsidRPr="176F6A0C">
        <w:rPr>
          <w:lang w:val="en-US"/>
        </w:rPr>
        <w:t>: curated updates focused on “what changed”, “what’s next”, and “how to engage”; can run as a segmented mailing rather than a single mass send.</w:t>
      </w:r>
    </w:p>
    <w:p w14:paraId="6CE13D9E" w14:textId="16893CFF" w:rsidR="00375603" w:rsidRDefault="7FADDC11" w:rsidP="176F6A0C">
      <w:pPr>
        <w:rPr>
          <w:rFonts w:ascii="Calibri" w:eastAsia="Calibri" w:hAnsi="Calibri" w:cs="Calibri"/>
          <w:color w:val="000000" w:themeColor="text1"/>
          <w:sz w:val="24"/>
          <w:szCs w:val="24"/>
        </w:rPr>
      </w:pPr>
      <w:r w:rsidRPr="176F6A0C">
        <w:rPr>
          <w:b/>
          <w:bCs/>
          <w:lang w:val="en-US"/>
        </w:rPr>
        <w:t>Secondary owned channels (selective)</w:t>
      </w:r>
      <w:r w:rsidRPr="176F6A0C">
        <w:rPr>
          <w:lang w:val="en-US"/>
        </w:rPr>
        <w:t>: webinars/expert talks (deferred until after September 2026), policy briefs/technical summaries (2–4 pages), fact sheets/infographics (downloadable; one topic per page), and selective interactive maps/data visualisations as flagship assets. Where webinars are introduced after September 2026, they should be treated as full packages (promotion → delivery → recap), not standalone events.</w:t>
      </w:r>
    </w:p>
    <w:p w14:paraId="3AC0F5DF" w14:textId="698DD42F" w:rsidR="00375603" w:rsidRDefault="7FADDC11" w:rsidP="176F6A0C">
      <w:pPr>
        <w:rPr>
          <w:rFonts w:ascii="Calibri" w:eastAsia="Calibri" w:hAnsi="Calibri" w:cs="Calibri"/>
          <w:color w:val="000000" w:themeColor="text1"/>
          <w:sz w:val="24"/>
          <w:szCs w:val="24"/>
        </w:rPr>
      </w:pPr>
      <w:r w:rsidRPr="176F6A0C">
        <w:rPr>
          <w:b/>
          <w:bCs/>
          <w:lang w:val="en-US"/>
        </w:rPr>
        <w:t>High-value formats (build once, reuse)</w:t>
      </w:r>
      <w:r w:rsidRPr="176F6A0C">
        <w:rPr>
          <w:lang w:val="en-US"/>
        </w:rPr>
        <w:t>: launch kit; core explainers; field stories/photo essays; event packages (before/during/after); stakeholder materials (consultation briefs, “you said / we did” summaries, participation calls); and selected partner submissions (e.g., IW:LEARN) aligned with the editorial calendar.</w:t>
      </w:r>
    </w:p>
    <w:p w14:paraId="689A91ED" w14:textId="7C36F73E" w:rsidR="00375603" w:rsidRDefault="7FADDC11" w:rsidP="176F6A0C">
      <w:pPr>
        <w:rPr>
          <w:rFonts w:ascii="Calibri" w:eastAsia="Calibri" w:hAnsi="Calibri" w:cs="Calibri"/>
          <w:color w:val="000000" w:themeColor="text1"/>
          <w:sz w:val="24"/>
          <w:szCs w:val="24"/>
        </w:rPr>
      </w:pPr>
      <w:r w:rsidRPr="176F6A0C">
        <w:rPr>
          <w:lang w:val="en-US"/>
        </w:rPr>
        <w:t>The default operating model is packaging: one flagship asset (website story, brief, webinar, or event recap) is adapted into a limited set of derivative outputs:</w:t>
      </w:r>
    </w:p>
    <w:p w14:paraId="50794899" w14:textId="7BFC3B48" w:rsidR="00375603" w:rsidRDefault="7FADDC11" w:rsidP="00042275">
      <w:pPr>
        <w:pStyle w:val="Pasussalistom"/>
        <w:numPr>
          <w:ilvl w:val="0"/>
          <w:numId w:val="34"/>
        </w:numPr>
        <w:rPr>
          <w:rFonts w:ascii="Calibri" w:eastAsia="Calibri" w:hAnsi="Calibri" w:cs="Calibri"/>
          <w:color w:val="000000" w:themeColor="text1"/>
          <w:sz w:val="24"/>
          <w:szCs w:val="24"/>
        </w:rPr>
      </w:pPr>
      <w:r w:rsidRPr="176F6A0C">
        <w:rPr>
          <w:lang w:val="en-US"/>
        </w:rPr>
        <w:t>2–4 social posts as a series</w:t>
      </w:r>
    </w:p>
    <w:p w14:paraId="4C8FEAC4" w14:textId="018237BE" w:rsidR="00375603" w:rsidRDefault="7FADDC11" w:rsidP="00042275">
      <w:pPr>
        <w:pStyle w:val="Pasussalistom"/>
        <w:numPr>
          <w:ilvl w:val="0"/>
          <w:numId w:val="34"/>
        </w:numPr>
        <w:rPr>
          <w:rFonts w:ascii="Calibri" w:eastAsia="Calibri" w:hAnsi="Calibri" w:cs="Calibri"/>
          <w:color w:val="000000" w:themeColor="text1"/>
          <w:sz w:val="24"/>
          <w:szCs w:val="24"/>
        </w:rPr>
      </w:pPr>
      <w:r w:rsidRPr="176F6A0C">
        <w:rPr>
          <w:lang w:val="en-US"/>
        </w:rPr>
        <w:t>One newsletter block</w:t>
      </w:r>
    </w:p>
    <w:p w14:paraId="44466FD9" w14:textId="6FB4A17F" w:rsidR="00375603" w:rsidRDefault="7FADDC11" w:rsidP="00042275">
      <w:pPr>
        <w:pStyle w:val="Pasussalistom"/>
        <w:numPr>
          <w:ilvl w:val="0"/>
          <w:numId w:val="34"/>
        </w:numPr>
        <w:rPr>
          <w:rFonts w:ascii="Calibri" w:eastAsia="Calibri" w:hAnsi="Calibri" w:cs="Calibri"/>
          <w:color w:val="000000" w:themeColor="text1"/>
          <w:sz w:val="24"/>
          <w:szCs w:val="24"/>
        </w:rPr>
      </w:pPr>
      <w:r w:rsidRPr="176F6A0C">
        <w:rPr>
          <w:lang w:val="en-US"/>
        </w:rPr>
        <w:t xml:space="preserve">One partner pack with ready-to-use copy and visuals (see Section </w:t>
      </w:r>
      <w:r w:rsidR="0C54E74C" w:rsidRPr="176F6A0C">
        <w:rPr>
          <w:lang w:val="en-US"/>
        </w:rPr>
        <w:t>9</w:t>
      </w:r>
      <w:r w:rsidRPr="176F6A0C">
        <w:rPr>
          <w:lang w:val="en-US"/>
        </w:rPr>
        <w:t>)</w:t>
      </w:r>
    </w:p>
    <w:p w14:paraId="7728A068" w14:textId="7E522948" w:rsidR="00375603" w:rsidRDefault="7FADDC11" w:rsidP="00042275">
      <w:pPr>
        <w:pStyle w:val="Pasussalistom"/>
        <w:numPr>
          <w:ilvl w:val="0"/>
          <w:numId w:val="34"/>
        </w:numPr>
        <w:rPr>
          <w:rFonts w:ascii="Calibri" w:eastAsia="Calibri" w:hAnsi="Calibri" w:cs="Calibri"/>
          <w:color w:val="000000" w:themeColor="text1"/>
          <w:sz w:val="24"/>
          <w:szCs w:val="24"/>
        </w:rPr>
      </w:pPr>
      <w:r w:rsidRPr="176F6A0C">
        <w:rPr>
          <w:lang w:val="en-US"/>
        </w:rPr>
        <w:t>Optionally, a short slide or one-page handout for institutional briefings</w:t>
      </w:r>
    </w:p>
    <w:p w14:paraId="5EBE2F80" w14:textId="323DB29C" w:rsidR="00375603" w:rsidRDefault="7FADDC11" w:rsidP="176F6A0C">
      <w:pPr>
        <w:rPr>
          <w:rFonts w:ascii="Calibri" w:eastAsia="Calibri" w:hAnsi="Calibri" w:cs="Calibri"/>
          <w:color w:val="000000" w:themeColor="text1"/>
          <w:sz w:val="24"/>
          <w:szCs w:val="24"/>
        </w:rPr>
      </w:pPr>
      <w:r w:rsidRPr="176F6A0C">
        <w:rPr>
          <w:lang w:val="en-US"/>
        </w:rPr>
        <w:t>To prevent drift, DIKTAS II maintains asset governance: a single “latest” location is maintained for boilerplates, key messages, templates, and approved visuals, and partner packs should reference that source to avoid parallel versions.</w:t>
      </w:r>
    </w:p>
    <w:p w14:paraId="276B1F09" w14:textId="57A7E78F" w:rsidR="00375603" w:rsidRDefault="00375603" w:rsidP="176F6A0C"/>
    <w:p w14:paraId="6805D7DA" w14:textId="7429EF07" w:rsidR="00375603" w:rsidRDefault="71159216" w:rsidP="176F6A0C">
      <w:pPr>
        <w:rPr>
          <w:rFonts w:ascii="Calibri" w:hAnsi="Calibri" w:cs="Calibri"/>
          <w:b/>
          <w:bCs/>
          <w:color w:val="2F5496" w:themeColor="accent1" w:themeShade="BF"/>
          <w:sz w:val="24"/>
          <w:szCs w:val="24"/>
        </w:rPr>
      </w:pPr>
      <w:r w:rsidRPr="176F6A0C">
        <w:rPr>
          <w:rFonts w:ascii="Calibri" w:hAnsi="Calibri" w:cs="Calibri"/>
          <w:b/>
          <w:bCs/>
          <w:color w:val="2F5496" w:themeColor="accent1" w:themeShade="BF"/>
          <w:sz w:val="24"/>
          <w:szCs w:val="24"/>
        </w:rPr>
        <w:t>7.a.</w:t>
      </w:r>
      <w:r w:rsidR="00E509CB">
        <w:tab/>
      </w:r>
      <w:r w:rsidRPr="176F6A0C">
        <w:rPr>
          <w:rFonts w:ascii="Calibri" w:hAnsi="Calibri" w:cs="Calibri"/>
          <w:b/>
          <w:bCs/>
          <w:color w:val="2F5496" w:themeColor="accent1" w:themeShade="BF"/>
          <w:sz w:val="24"/>
          <w:szCs w:val="24"/>
        </w:rPr>
        <w:t>UNESCO IHP and UNESCO network amplification</w:t>
      </w:r>
    </w:p>
    <w:p w14:paraId="55AB1E00" w14:textId="3F581DA7" w:rsidR="00375603" w:rsidRDefault="71159216" w:rsidP="176F6A0C">
      <w:pPr>
        <w:rPr>
          <w:rFonts w:ascii="Calibri" w:eastAsia="Calibri" w:hAnsi="Calibri" w:cs="Calibri"/>
          <w:color w:val="000000" w:themeColor="text1"/>
          <w:sz w:val="24"/>
          <w:szCs w:val="24"/>
          <w:lang w:val="en-US"/>
        </w:rPr>
      </w:pPr>
      <w:r w:rsidRPr="176F6A0C">
        <w:rPr>
          <w:lang w:val="en-US"/>
        </w:rPr>
        <w:t xml:space="preserve">In addition to the project's own channels, DIKTAS II may pursue targeted amplification through UNESCO IHP and other UNESCO programmes and networks where content aligns with their thematic mandates (for example </w:t>
      </w:r>
      <w:hyperlink r:id="rId14">
        <w:r w:rsidRPr="176F6A0C">
          <w:rPr>
            <w:rStyle w:val="Hiperveza"/>
            <w:lang w:val="en-US"/>
          </w:rPr>
          <w:t>biodiversity</w:t>
        </w:r>
      </w:hyperlink>
      <w:r w:rsidRPr="176F6A0C">
        <w:rPr>
          <w:lang w:val="en-US"/>
        </w:rPr>
        <w:t xml:space="preserve">, </w:t>
      </w:r>
      <w:hyperlink r:id="rId15">
        <w:r w:rsidRPr="176F6A0C">
          <w:rPr>
            <w:rStyle w:val="Hiperveza"/>
            <w:lang w:val="en-US"/>
          </w:rPr>
          <w:t>disaster risk reduction</w:t>
        </w:r>
      </w:hyperlink>
      <w:r w:rsidRPr="176F6A0C">
        <w:rPr>
          <w:lang w:val="en-US"/>
        </w:rPr>
        <w:t xml:space="preserve">, </w:t>
      </w:r>
      <w:hyperlink r:id="rId16">
        <w:r w:rsidRPr="176F6A0C">
          <w:rPr>
            <w:rStyle w:val="Hiperveza"/>
            <w:lang w:val="en-US"/>
          </w:rPr>
          <w:t>UNESCO Sites</w:t>
        </w:r>
      </w:hyperlink>
      <w:r w:rsidRPr="176F6A0C">
        <w:rPr>
          <w:lang w:val="en-US"/>
        </w:rPr>
        <w:t xml:space="preserve">, </w:t>
      </w:r>
      <w:hyperlink r:id="rId17" w:anchor="education">
        <w:r w:rsidRPr="176F6A0C">
          <w:rPr>
            <w:rStyle w:val="Hiperveza"/>
            <w:lang w:val="en-US"/>
          </w:rPr>
          <w:t>education</w:t>
        </w:r>
      </w:hyperlink>
      <w:r w:rsidRPr="176F6A0C">
        <w:rPr>
          <w:lang w:val="en-US"/>
        </w:rPr>
        <w:t xml:space="preserve">, </w:t>
      </w:r>
      <w:hyperlink r:id="rId18" w:anchor="culture">
        <w:r w:rsidRPr="176F6A0C">
          <w:rPr>
            <w:rStyle w:val="Hiperveza"/>
            <w:lang w:val="en-US"/>
          </w:rPr>
          <w:t>culture</w:t>
        </w:r>
      </w:hyperlink>
      <w:r w:rsidRPr="176F6A0C">
        <w:rPr>
          <w:lang w:val="en-US"/>
        </w:rPr>
        <w:t xml:space="preserve">, </w:t>
      </w:r>
      <w:hyperlink r:id="rId19" w:anchor="social-and-human-sciences">
        <w:r w:rsidRPr="176F6A0C">
          <w:rPr>
            <w:rStyle w:val="Hiperveza"/>
            <w:lang w:val="en-US"/>
          </w:rPr>
          <w:t>social and human sciences</w:t>
        </w:r>
      </w:hyperlink>
      <w:r w:rsidRPr="176F6A0C">
        <w:rPr>
          <w:lang w:val="en-US"/>
        </w:rPr>
        <w:t xml:space="preserve">, </w:t>
      </w:r>
      <w:hyperlink r:id="rId20" w:anchor="communication-and-information">
        <w:r w:rsidRPr="176F6A0C">
          <w:rPr>
            <w:rStyle w:val="Hiperveza"/>
            <w:lang w:val="en-US"/>
          </w:rPr>
          <w:t>communication and information</w:t>
        </w:r>
      </w:hyperlink>
      <w:r w:rsidRPr="176F6A0C">
        <w:rPr>
          <w:lang w:val="en-US"/>
        </w:rPr>
        <w:t xml:space="preserve">, and </w:t>
      </w:r>
      <w:hyperlink r:id="rId21" w:anchor="ocean">
        <w:r w:rsidRPr="176F6A0C">
          <w:rPr>
            <w:rStyle w:val="Hiperveza"/>
            <w:lang w:val="en-US"/>
          </w:rPr>
          <w:t>ocean-related</w:t>
        </w:r>
      </w:hyperlink>
      <w:r w:rsidRPr="176F6A0C">
        <w:rPr>
          <w:lang w:val="en-US"/>
        </w:rPr>
        <w:t xml:space="preserve"> initiatives). In such cases, the communications coordinator or regional communication expert may share cleared content and partner-ready assets with the relevant UNESCO teams and explore opportunities for reposting, adaptation, or dissemination through their channels.</w:t>
      </w:r>
    </w:p>
    <w:p w14:paraId="3F2261F5" w14:textId="0DEB2CAE" w:rsidR="00375603" w:rsidRDefault="71159216" w:rsidP="176F6A0C">
      <w:pPr>
        <w:rPr>
          <w:rFonts w:ascii="Calibri" w:eastAsia="Calibri" w:hAnsi="Calibri" w:cs="Calibri"/>
          <w:color w:val="000000" w:themeColor="text1"/>
          <w:sz w:val="24"/>
          <w:szCs w:val="24"/>
          <w:lang w:val="en-US"/>
        </w:rPr>
      </w:pPr>
      <w:r w:rsidRPr="176F6A0C">
        <w:rPr>
          <w:lang w:val="en-US"/>
        </w:rPr>
        <w:t>Priority remains the effective dissemination of validated project outputs through DIKTAS II, partner, and water-sector channels. Amplification through UNESCO networks should therefore be considered an optional pathway that is pursued where it offers clear added value, aligns with project objectives, and can be accommodated within available coordination capacity.</w:t>
      </w:r>
    </w:p>
    <w:p w14:paraId="19F8FCD3" w14:textId="604231C5" w:rsidR="00375603" w:rsidRDefault="71159216" w:rsidP="176F6A0C">
      <w:pPr>
        <w:rPr>
          <w:rFonts w:ascii="Calibri" w:eastAsia="Calibri" w:hAnsi="Calibri" w:cs="Calibri"/>
          <w:color w:val="000000" w:themeColor="text1"/>
          <w:sz w:val="24"/>
          <w:szCs w:val="24"/>
          <w:lang w:val="en-US"/>
        </w:rPr>
      </w:pPr>
      <w:r w:rsidRPr="176F6A0C">
        <w:rPr>
          <w:lang w:val="en-US"/>
        </w:rPr>
        <w:lastRenderedPageBreak/>
        <w:t xml:space="preserve">Where content aligns with UNESCO IHP priorities and thematic areas, DIKTAS II may seek amplification through relevant UNESCO IHP communication channels and associated networks. Potential pathways </w:t>
      </w:r>
      <w:r w:rsidR="7C08D8FB" w:rsidRPr="176F6A0C">
        <w:rPr>
          <w:lang w:val="en-US"/>
        </w:rPr>
        <w:t xml:space="preserve">may </w:t>
      </w:r>
      <w:r w:rsidRPr="176F6A0C">
        <w:rPr>
          <w:lang w:val="en-US"/>
        </w:rPr>
        <w:t xml:space="preserve">include UNESCO IHP professional and stakeholder networks, the </w:t>
      </w:r>
      <w:hyperlink r:id="rId22">
        <w:r w:rsidRPr="176F6A0C">
          <w:rPr>
            <w:rStyle w:val="Hiperveza"/>
            <w:lang w:val="en-US"/>
          </w:rPr>
          <w:t>UNESCO Groundwater Youth Network</w:t>
        </w:r>
      </w:hyperlink>
      <w:r w:rsidRPr="176F6A0C">
        <w:rPr>
          <w:lang w:val="en-US"/>
        </w:rPr>
        <w:t xml:space="preserve">, the </w:t>
      </w:r>
      <w:hyperlink r:id="rId23">
        <w:r w:rsidRPr="176F6A0C">
          <w:rPr>
            <w:rStyle w:val="Hiperveza"/>
            <w:lang w:val="en-US"/>
          </w:rPr>
          <w:t>IHP LinkedIn community</w:t>
        </w:r>
      </w:hyperlink>
      <w:r w:rsidRPr="176F6A0C">
        <w:rPr>
          <w:lang w:val="en-US"/>
        </w:rPr>
        <w:t xml:space="preserve">, the </w:t>
      </w:r>
      <w:hyperlink r:id="rId24">
        <w:r w:rsidRPr="176F6A0C">
          <w:rPr>
            <w:rStyle w:val="Hiperveza"/>
            <w:lang w:val="en-US"/>
          </w:rPr>
          <w:t>UNESCO Water Family</w:t>
        </w:r>
      </w:hyperlink>
      <w:r w:rsidRPr="176F6A0C">
        <w:rPr>
          <w:lang w:val="en-US"/>
        </w:rPr>
        <w:t xml:space="preserve">, the </w:t>
      </w:r>
      <w:hyperlink r:id="rId25">
        <w:r w:rsidRPr="176F6A0C">
          <w:rPr>
            <w:rStyle w:val="Hiperveza"/>
            <w:lang w:val="en-US"/>
          </w:rPr>
          <w:t>World Water Assessment Programme</w:t>
        </w:r>
      </w:hyperlink>
      <w:r w:rsidRPr="176F6A0C">
        <w:rPr>
          <w:lang w:val="en-US"/>
        </w:rPr>
        <w:t xml:space="preserve"> (WWAP), and UNESCO web platforms coordinated through the relevant Regional Office and IHP communication teams.</w:t>
      </w:r>
    </w:p>
    <w:p w14:paraId="171842E4" w14:textId="2A12B453" w:rsidR="00375603" w:rsidRDefault="71159216" w:rsidP="176F6A0C">
      <w:r w:rsidRPr="176F6A0C">
        <w:rPr>
          <w:lang w:val="en-US"/>
        </w:rPr>
        <w:t>The availability, suitability, and procedures associated with these channels may evolve over the lifetime of the project and should therefore be periodically reviewed and updated in coordination with UNESCO IHP communication focal points. The amplification pathway presented in Figure 2 provides an indicative process for assessing relevance, securing appropriate clearances, and pursuing dissemination through UNESCO IHP and, where relevant, other UNESCO thematic networks. newsletter opportunities, webinar series, thematic campaigns, and other dissemination mechanisms should be treated as potential amplification opportunities rather than guaranteed delivery channels.</w:t>
      </w:r>
    </w:p>
    <w:p w14:paraId="32F66C73" w14:textId="28EC0B62" w:rsidR="00375603" w:rsidRDefault="71159216" w:rsidP="176F6A0C">
      <w:pPr>
        <w:rPr>
          <w:rFonts w:ascii="Calibri" w:hAnsi="Calibri" w:cs="Calibri"/>
          <w:b/>
          <w:bCs/>
          <w:color w:val="2F5496" w:themeColor="accent1" w:themeShade="BF"/>
          <w:sz w:val="28"/>
          <w:szCs w:val="28"/>
        </w:rPr>
      </w:pPr>
      <w:r>
        <w:rPr>
          <w:noProof/>
        </w:rPr>
        <w:drawing>
          <wp:inline distT="0" distB="0" distL="0" distR="0" wp14:anchorId="27279BBF" wp14:editId="210C40E4">
            <wp:extent cx="5724525" cy="3819525"/>
            <wp:effectExtent l="0" t="0" r="0" b="0"/>
            <wp:docPr id="150803480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034805" name="Picture 1508034805"/>
                    <pic:cNvPicPr/>
                  </pic:nvPicPr>
                  <pic:blipFill>
                    <a:blip r:embed="rId26">
                      <a:extLst>
                        <a:ext uri="{28A0092B-C50C-407E-A947-70E740481C1C}">
                          <a14:useLocalDpi xmlns:a14="http://schemas.microsoft.com/office/drawing/2010/main"/>
                        </a:ext>
                      </a:extLst>
                    </a:blip>
                    <a:stretch>
                      <a:fillRect/>
                    </a:stretch>
                  </pic:blipFill>
                  <pic:spPr>
                    <a:xfrm>
                      <a:off x="0" y="0"/>
                      <a:ext cx="5724525" cy="3819525"/>
                    </a:xfrm>
                    <a:prstGeom prst="rect">
                      <a:avLst/>
                    </a:prstGeom>
                  </pic:spPr>
                </pic:pic>
              </a:graphicData>
            </a:graphic>
          </wp:inline>
        </w:drawing>
      </w:r>
    </w:p>
    <w:p w14:paraId="5A0C2633" w14:textId="2E2303E8" w:rsidR="00375603" w:rsidRDefault="445DC1A8" w:rsidP="176F6A0C">
      <w:pPr>
        <w:rPr>
          <w:rFonts w:ascii="Calibri" w:hAnsi="Calibri" w:cs="Calibri"/>
          <w:b/>
          <w:bCs/>
          <w:color w:val="2F5496" w:themeColor="accent1" w:themeShade="BF"/>
          <w:sz w:val="28"/>
          <w:szCs w:val="28"/>
        </w:rPr>
      </w:pPr>
      <w:r w:rsidRPr="176F6A0C">
        <w:rPr>
          <w:rFonts w:ascii="Calibri" w:hAnsi="Calibri" w:cs="Calibri"/>
          <w:b/>
          <w:bCs/>
          <w:color w:val="2F5496" w:themeColor="accent1" w:themeShade="BF"/>
          <w:sz w:val="28"/>
          <w:szCs w:val="28"/>
        </w:rPr>
        <w:t>8</w:t>
      </w:r>
      <w:r w:rsidR="0DC29541" w:rsidRPr="176F6A0C">
        <w:rPr>
          <w:rFonts w:ascii="Calibri" w:hAnsi="Calibri" w:cs="Calibri"/>
          <w:b/>
          <w:bCs/>
          <w:color w:val="2F5496" w:themeColor="accent1" w:themeShade="BF"/>
          <w:sz w:val="28"/>
          <w:szCs w:val="28"/>
        </w:rPr>
        <w:t>.</w:t>
      </w:r>
      <w:r w:rsidR="00E509CB">
        <w:tab/>
      </w:r>
      <w:r w:rsidR="0DC29541" w:rsidRPr="176F6A0C">
        <w:rPr>
          <w:rFonts w:ascii="Calibri" w:hAnsi="Calibri" w:cs="Calibri"/>
          <w:b/>
          <w:bCs/>
          <w:color w:val="2F5496" w:themeColor="accent1" w:themeShade="BF"/>
          <w:sz w:val="28"/>
          <w:szCs w:val="28"/>
        </w:rPr>
        <w:t>Editorial approach and cadence</w:t>
      </w:r>
    </w:p>
    <w:p w14:paraId="000D0427" w14:textId="262DA772" w:rsidR="00375603" w:rsidRDefault="0DC29541" w:rsidP="176F6A0C">
      <w:pPr>
        <w:rPr>
          <w:rFonts w:ascii="Calibri" w:eastAsia="Calibri" w:hAnsi="Calibri" w:cs="Calibri"/>
          <w:color w:val="000000" w:themeColor="text1"/>
          <w:sz w:val="24"/>
          <w:szCs w:val="24"/>
        </w:rPr>
      </w:pPr>
      <w:r w:rsidRPr="176F6A0C">
        <w:rPr>
          <w:lang w:val="en-US"/>
        </w:rPr>
        <w:t>DIKTAS II content is managed through a light editorial system designed to ensure coherence without creating an unmanageable production burden. Planning is organised around monthly themes that follow a clear progression (for example: understanding → cooperation → risks → ecosystems → stakeholders), with each theme anchored in one flagship output that can be packaged and repurposed across channels. The operational calendar, theme list, and anchor moments are maintained in Annex A — Editorial calendar.</w:t>
      </w:r>
    </w:p>
    <w:p w14:paraId="5457065C" w14:textId="6AB21508" w:rsidR="00375603" w:rsidRDefault="0DC29541" w:rsidP="176F6A0C">
      <w:pPr>
        <w:rPr>
          <w:rFonts w:ascii="Calibri" w:eastAsia="Calibri" w:hAnsi="Calibri" w:cs="Calibri"/>
          <w:color w:val="000000" w:themeColor="text1"/>
          <w:sz w:val="24"/>
          <w:szCs w:val="24"/>
        </w:rPr>
      </w:pPr>
      <w:r w:rsidRPr="176F6A0C">
        <w:rPr>
          <w:lang w:val="en-US"/>
        </w:rPr>
        <w:t xml:space="preserve">The editorial plan is intentionally split into two horizons: a committed plan for the next 6–8 weeks (a limited number of items that the team agrees to deliver), and a backlog of ideas and potential stories </w:t>
      </w:r>
      <w:r w:rsidRPr="176F6A0C">
        <w:rPr>
          <w:lang w:val="en-US"/>
        </w:rPr>
        <w:lastRenderedPageBreak/>
        <w:t>that can be activated when capacity and inputs allow. For April-September, proposed themes may include:</w:t>
      </w:r>
    </w:p>
    <w:p w14:paraId="035E17C7" w14:textId="5BDB2169" w:rsidR="00375603" w:rsidRDefault="0DC29541" w:rsidP="00042275">
      <w:pPr>
        <w:pStyle w:val="Pasussalistom"/>
        <w:numPr>
          <w:ilvl w:val="0"/>
          <w:numId w:val="32"/>
        </w:numPr>
        <w:rPr>
          <w:rFonts w:ascii="Calibri" w:eastAsia="Calibri" w:hAnsi="Calibri" w:cs="Calibri"/>
          <w:color w:val="000000" w:themeColor="text1"/>
          <w:sz w:val="24"/>
          <w:szCs w:val="24"/>
        </w:rPr>
      </w:pPr>
      <w:r w:rsidRPr="176F6A0C">
        <w:rPr>
          <w:lang w:val="en-US"/>
        </w:rPr>
        <w:t>Groundwater and awareness (Groundwater 101 layer),</w:t>
      </w:r>
    </w:p>
    <w:p w14:paraId="4BA3EBE1" w14:textId="0B30D541" w:rsidR="00375603" w:rsidRDefault="0DC29541" w:rsidP="00042275">
      <w:pPr>
        <w:pStyle w:val="Pasussalistom"/>
        <w:numPr>
          <w:ilvl w:val="0"/>
          <w:numId w:val="32"/>
        </w:numPr>
        <w:rPr>
          <w:rFonts w:ascii="Calibri" w:eastAsia="Calibri" w:hAnsi="Calibri" w:cs="Calibri"/>
          <w:color w:val="000000" w:themeColor="text1"/>
          <w:sz w:val="24"/>
          <w:szCs w:val="24"/>
        </w:rPr>
      </w:pPr>
      <w:r w:rsidRPr="176F6A0C">
        <w:rPr>
          <w:lang w:val="en-US"/>
        </w:rPr>
        <w:t>Governance and diagnostics (including biodiversity framing where relevant),</w:t>
      </w:r>
    </w:p>
    <w:p w14:paraId="7848EA03" w14:textId="2251C7F6" w:rsidR="00375603" w:rsidRDefault="0DC29541" w:rsidP="00042275">
      <w:pPr>
        <w:pStyle w:val="Pasussalistom"/>
        <w:numPr>
          <w:ilvl w:val="0"/>
          <w:numId w:val="32"/>
        </w:numPr>
        <w:rPr>
          <w:rFonts w:ascii="Calibri" w:eastAsia="Calibri" w:hAnsi="Calibri" w:cs="Calibri"/>
          <w:color w:val="000000" w:themeColor="text1"/>
          <w:sz w:val="24"/>
          <w:szCs w:val="24"/>
        </w:rPr>
      </w:pPr>
      <w:r w:rsidRPr="176F6A0C">
        <w:rPr>
          <w:lang w:val="en-US"/>
        </w:rPr>
        <w:t>Transboundary cooperation,</w:t>
      </w:r>
    </w:p>
    <w:p w14:paraId="311AB728" w14:textId="3011809D" w:rsidR="00375603" w:rsidRDefault="0DC29541" w:rsidP="00042275">
      <w:pPr>
        <w:pStyle w:val="Pasussalistom"/>
        <w:numPr>
          <w:ilvl w:val="0"/>
          <w:numId w:val="32"/>
        </w:numPr>
        <w:rPr>
          <w:rFonts w:ascii="Calibri" w:eastAsia="Calibri" w:hAnsi="Calibri" w:cs="Calibri"/>
          <w:color w:val="000000" w:themeColor="text1"/>
          <w:sz w:val="24"/>
          <w:szCs w:val="24"/>
        </w:rPr>
      </w:pPr>
      <w:r w:rsidRPr="176F6A0C">
        <w:rPr>
          <w:lang w:val="en-US"/>
        </w:rPr>
        <w:t>Pressures and risks (seasonal relevance),</w:t>
      </w:r>
    </w:p>
    <w:p w14:paraId="190D2D3D" w14:textId="7786DF13" w:rsidR="00375603" w:rsidRDefault="0DC29541" w:rsidP="00042275">
      <w:pPr>
        <w:pStyle w:val="Pasussalistom"/>
        <w:numPr>
          <w:ilvl w:val="0"/>
          <w:numId w:val="32"/>
        </w:numPr>
        <w:rPr>
          <w:rFonts w:ascii="Calibri" w:eastAsia="Calibri" w:hAnsi="Calibri" w:cs="Calibri"/>
          <w:color w:val="000000" w:themeColor="text1"/>
          <w:sz w:val="24"/>
          <w:szCs w:val="24"/>
        </w:rPr>
      </w:pPr>
      <w:r w:rsidRPr="176F6A0C">
        <w:rPr>
          <w:lang w:val="en-US"/>
        </w:rPr>
        <w:t>Ecosystems and biodiversity, and</w:t>
      </w:r>
    </w:p>
    <w:p w14:paraId="6A82C199" w14:textId="3F5CE741" w:rsidR="00375603" w:rsidRDefault="0DC29541" w:rsidP="00042275">
      <w:pPr>
        <w:pStyle w:val="Pasussalistom"/>
        <w:numPr>
          <w:ilvl w:val="0"/>
          <w:numId w:val="32"/>
        </w:numPr>
        <w:rPr>
          <w:rFonts w:ascii="Calibri" w:eastAsia="Calibri" w:hAnsi="Calibri" w:cs="Calibri"/>
          <w:color w:val="000000" w:themeColor="text1"/>
          <w:sz w:val="24"/>
          <w:szCs w:val="24"/>
        </w:rPr>
      </w:pPr>
      <w:r w:rsidRPr="176F6A0C">
        <w:rPr>
          <w:lang w:val="en-US"/>
        </w:rPr>
        <w:t>Stakeholders and knowledge exchange.</w:t>
      </w:r>
    </w:p>
    <w:p w14:paraId="6F74FA34" w14:textId="0952309B" w:rsidR="00375603" w:rsidRDefault="0DC29541" w:rsidP="176F6A0C">
      <w:pPr>
        <w:rPr>
          <w:rFonts w:ascii="Calibri" w:eastAsia="Calibri" w:hAnsi="Calibri" w:cs="Calibri"/>
          <w:color w:val="000000" w:themeColor="text1"/>
          <w:sz w:val="24"/>
          <w:szCs w:val="24"/>
        </w:rPr>
      </w:pPr>
      <w:r w:rsidRPr="176F6A0C">
        <w:rPr>
          <w:lang w:val="en-US"/>
        </w:rPr>
        <w:t>Cadence is set at a minimum viable level to ensure sustainability: approximately one substantive website item per month (with additional short updates as needed), 2–3 social posts per month as a thematic series (plus event-driven bursts), and a bulletin/newsletter on a quarterly cycle by default, with targeted special editions for major moments.</w:t>
      </w:r>
    </w:p>
    <w:p w14:paraId="2293EBA0" w14:textId="365FA395" w:rsidR="00375603" w:rsidRDefault="0DC29541" w:rsidP="176F6A0C">
      <w:pPr>
        <w:rPr>
          <w:rFonts w:ascii="Calibri" w:eastAsia="Calibri" w:hAnsi="Calibri" w:cs="Calibri"/>
          <w:color w:val="000000" w:themeColor="text1"/>
          <w:sz w:val="24"/>
          <w:szCs w:val="24"/>
        </w:rPr>
      </w:pPr>
      <w:r w:rsidRPr="176F6A0C">
        <w:rPr>
          <w:lang w:val="en-US"/>
        </w:rPr>
        <w:t>Events and meetings are treated as communication packages rather than standalone sessions. For each major workshop or meeting, DIKTAS II prepares a short “before / during / after” sequence (announcement and purpose; selected live updates if feasible and approved; recap with key takeaways, next steps, and resources). A small set of anchor moments can create visibility without increasing workload; these are to be confirmed and should be validated through the editorial calendar once governance and milestones are finalised. Candidate moments include selected project milestones (e.g., website launch, mid-term review, expert meetings) and a limited number of international days where DIKTAS II has a credible thematic link.</w:t>
      </w:r>
    </w:p>
    <w:p w14:paraId="06033D34" w14:textId="437CB8B7" w:rsidR="00375603" w:rsidRDefault="0DC29541" w:rsidP="176F6A0C">
      <w:r w:rsidRPr="176F6A0C">
        <w:rPr>
          <w:lang w:val="en-US"/>
        </w:rPr>
        <w:t>The editorial calendar remains the operational tool for scheduling and tracking; this strategy defines the governing principles (coherence, packaging, sustainability) that the calendar implements.</w:t>
      </w:r>
    </w:p>
    <w:p w14:paraId="55F2B719" w14:textId="70968E5C" w:rsidR="00375603" w:rsidRDefault="00375603" w:rsidP="176F6A0C">
      <w:pPr>
        <w:rPr>
          <w:lang w:val="en-US"/>
        </w:rPr>
      </w:pPr>
    </w:p>
    <w:p w14:paraId="11F190E5" w14:textId="571DC135" w:rsidR="00375603" w:rsidRDefault="6B99DF25" w:rsidP="176F6A0C">
      <w:pPr>
        <w:rPr>
          <w:rFonts w:ascii="Calibri" w:hAnsi="Calibri" w:cs="Calibri"/>
          <w:b/>
          <w:bCs/>
          <w:color w:val="2F5496" w:themeColor="accent1" w:themeShade="BF"/>
          <w:sz w:val="28"/>
          <w:szCs w:val="28"/>
        </w:rPr>
      </w:pPr>
      <w:r w:rsidRPr="176F6A0C">
        <w:rPr>
          <w:rFonts w:ascii="Calibri" w:hAnsi="Calibri" w:cs="Calibri"/>
          <w:b/>
          <w:bCs/>
          <w:color w:val="2F5496" w:themeColor="accent1" w:themeShade="BF"/>
          <w:sz w:val="28"/>
          <w:szCs w:val="28"/>
        </w:rPr>
        <w:t>9</w:t>
      </w:r>
      <w:r w:rsidR="1E55CF73" w:rsidRPr="176F6A0C">
        <w:rPr>
          <w:rFonts w:ascii="Calibri" w:hAnsi="Calibri" w:cs="Calibri"/>
          <w:b/>
          <w:bCs/>
          <w:color w:val="2F5496" w:themeColor="accent1" w:themeShade="BF"/>
          <w:sz w:val="28"/>
          <w:szCs w:val="28"/>
        </w:rPr>
        <w:t>.</w:t>
      </w:r>
      <w:r w:rsidR="00E509CB">
        <w:tab/>
      </w:r>
      <w:r w:rsidR="1E55CF73" w:rsidRPr="176F6A0C">
        <w:rPr>
          <w:rFonts w:ascii="Calibri" w:hAnsi="Calibri" w:cs="Calibri"/>
          <w:b/>
          <w:bCs/>
          <w:color w:val="2F5496" w:themeColor="accent1" w:themeShade="BF"/>
          <w:sz w:val="28"/>
          <w:szCs w:val="28"/>
        </w:rPr>
        <w:t>Dissemination plan</w:t>
      </w:r>
    </w:p>
    <w:p w14:paraId="3A42D1AF" w14:textId="19EB4B58" w:rsidR="00375603" w:rsidRDefault="1E55CF73" w:rsidP="176F6A0C">
      <w:pPr>
        <w:rPr>
          <w:rFonts w:ascii="Calibri" w:eastAsia="Calibri" w:hAnsi="Calibri" w:cs="Calibri"/>
          <w:color w:val="000000" w:themeColor="text1"/>
          <w:sz w:val="24"/>
          <w:szCs w:val="24"/>
        </w:rPr>
      </w:pPr>
      <w:r w:rsidRPr="176F6A0C">
        <w:rPr>
          <w:lang w:val="en-US"/>
        </w:rPr>
        <w:t>DIKTAS II dissemination ensures delivery is visible and repeatable across countries, while keeping messaging coherent. The plan relies on a small set of default distribution pathways—national dissemination through focal points and counterpart networks, regional dissemination through cross-border narratives and workshops, and international amplification through partner channels (including UNESCO/UNDP where available) and thematic networks such as IW:LEARN. Where relevant, the Regional Office can further amplify flagship items (milestones, monitoring missions, expert results) through its channels and periodic newsletters.</w:t>
      </w:r>
    </w:p>
    <w:p w14:paraId="0DF1F101" w14:textId="0B205F5C" w:rsidR="00375603" w:rsidRDefault="1E55CF73" w:rsidP="176F6A0C">
      <w:pPr>
        <w:rPr>
          <w:rFonts w:ascii="Calibri" w:eastAsia="Calibri" w:hAnsi="Calibri" w:cs="Calibri"/>
          <w:color w:val="000000" w:themeColor="text1"/>
          <w:sz w:val="24"/>
          <w:szCs w:val="24"/>
        </w:rPr>
      </w:pPr>
      <w:r w:rsidRPr="176F6A0C">
        <w:rPr>
          <w:lang w:val="en-US"/>
        </w:rPr>
        <w:t xml:space="preserve">To align with lean capacity and avoid duplication, DIKTAS II differentiates production, clearance, and dissemination by level for RED-lane outputs (see Section </w:t>
      </w:r>
      <w:r w:rsidR="081062C6" w:rsidRPr="176F6A0C">
        <w:rPr>
          <w:lang w:val="en-US"/>
        </w:rPr>
        <w:t>10</w:t>
      </w:r>
      <w:r w:rsidRPr="176F6A0C">
        <w:rPr>
          <w:lang w:val="en-US"/>
        </w:rPr>
        <w:t>). The communication coordinator (international level) maintains the core narrative, message map, and reusable flagship assets, and is responsible for editorial review of all public-facing outputs before they are submitted for Project Manager review and, where required, institutional clearance. National produces and localises content (within agreed templates and cleared lines) and leads targeted national dissemination. Regional focuses on cross-border dissemination and light packaging of agreed content rather than acting as a core production layer (see Annex F for region/country strategies; Annex A for the operational calendar).</w:t>
      </w:r>
    </w:p>
    <w:p w14:paraId="5E70808F" w14:textId="7548962A" w:rsidR="00375603" w:rsidRDefault="1E55CF73" w:rsidP="176F6A0C">
      <w:pPr>
        <w:rPr>
          <w:rFonts w:ascii="Calibri" w:eastAsia="Calibri" w:hAnsi="Calibri" w:cs="Calibri"/>
          <w:color w:val="000000" w:themeColor="text1"/>
          <w:sz w:val="24"/>
          <w:szCs w:val="24"/>
        </w:rPr>
      </w:pPr>
      <w:r w:rsidRPr="176F6A0C">
        <w:rPr>
          <w:lang w:val="en-US"/>
        </w:rPr>
        <w:lastRenderedPageBreak/>
        <w:t>To minimise rewriting and reduce message drift, dissemination should be executed through a single handoff object: the partner pack. The partner pack is the unit used across countries and partners; it allows each actor to amplify without re-authoring core lines, and it makes dissemination trackable.</w:t>
      </w:r>
    </w:p>
    <w:p w14:paraId="0D1C8C9E" w14:textId="7FBF6A21" w:rsidR="00375603" w:rsidRDefault="1E55CF73" w:rsidP="176F6A0C">
      <w:pPr>
        <w:rPr>
          <w:rFonts w:ascii="Calibri" w:eastAsia="Calibri" w:hAnsi="Calibri" w:cs="Calibri"/>
          <w:color w:val="000000" w:themeColor="text1"/>
          <w:sz w:val="24"/>
          <w:szCs w:val="24"/>
        </w:rPr>
      </w:pPr>
      <w:r w:rsidRPr="176F6A0C">
        <w:rPr>
          <w:lang w:val="en-US"/>
        </w:rPr>
        <w:t>The same story is adapted by level. At international level, dissemination focuses on credibility, accountability, and cross-project learning, using flagship website assets, partner submissions, and partner amplification with consistent donor visibility lines and clear links to validated outputs. At regional level, dissemination reinforces the value of transboundary cooperation and shared governance improvements, primarily through regional event packages and regional partner packs that can be re-shared in all countries without diverging terminology. At national level, dissemination prioritises practical uptake by competent institutions and meaningful stakeholder-facing activities, using direct targeted outreach (email and briefings), SIP-aligned events and face-to-face engagement where required, and national partner packs adapted for language and context. Where social media is low-yield at national level, segmented mailing and direct contact take precedence over posting frequency.</w:t>
      </w:r>
    </w:p>
    <w:p w14:paraId="30E04ADE" w14:textId="3AB4A9CE" w:rsidR="00375603" w:rsidRDefault="1E55CF73" w:rsidP="176F6A0C">
      <w:pPr>
        <w:rPr>
          <w:rFonts w:ascii="Calibri" w:eastAsia="Calibri" w:hAnsi="Calibri" w:cs="Calibri"/>
          <w:color w:val="000000" w:themeColor="text1"/>
          <w:sz w:val="24"/>
          <w:szCs w:val="24"/>
        </w:rPr>
      </w:pPr>
      <w:r w:rsidRPr="176F6A0C">
        <w:rPr>
          <w:lang w:val="en-US"/>
        </w:rPr>
        <w:t>The minimum viable partner pack contains:</w:t>
      </w:r>
    </w:p>
    <w:p w14:paraId="15C73FA9" w14:textId="267E0A41" w:rsidR="00375603" w:rsidRDefault="1E55CF73" w:rsidP="00042275">
      <w:pPr>
        <w:pStyle w:val="Pasussalistom"/>
        <w:numPr>
          <w:ilvl w:val="0"/>
          <w:numId w:val="31"/>
        </w:numPr>
        <w:rPr>
          <w:rFonts w:ascii="Calibri" w:eastAsia="Calibri" w:hAnsi="Calibri" w:cs="Calibri"/>
          <w:color w:val="000000" w:themeColor="text1"/>
          <w:sz w:val="24"/>
          <w:szCs w:val="24"/>
        </w:rPr>
      </w:pPr>
      <w:r w:rsidRPr="176F6A0C">
        <w:rPr>
          <w:lang w:val="en-US"/>
        </w:rPr>
        <w:t>Three caption options (short/medium/long),</w:t>
      </w:r>
    </w:p>
    <w:p w14:paraId="17D200C3" w14:textId="4FA876F0" w:rsidR="00375603" w:rsidRDefault="1E55CF73" w:rsidP="00042275">
      <w:pPr>
        <w:pStyle w:val="Pasussalistom"/>
        <w:numPr>
          <w:ilvl w:val="0"/>
          <w:numId w:val="31"/>
        </w:numPr>
        <w:rPr>
          <w:rFonts w:ascii="Calibri" w:eastAsia="Calibri" w:hAnsi="Calibri" w:cs="Calibri"/>
          <w:color w:val="000000" w:themeColor="text1"/>
          <w:sz w:val="24"/>
          <w:szCs w:val="24"/>
        </w:rPr>
      </w:pPr>
      <w:r w:rsidRPr="176F6A0C">
        <w:rPr>
          <w:lang w:val="en-US"/>
        </w:rPr>
        <w:t>Three key messages,</w:t>
      </w:r>
    </w:p>
    <w:p w14:paraId="2991D431" w14:textId="23985CC3" w:rsidR="00375603" w:rsidRDefault="1E55CF73" w:rsidP="00042275">
      <w:pPr>
        <w:pStyle w:val="Pasussalistom"/>
        <w:numPr>
          <w:ilvl w:val="0"/>
          <w:numId w:val="31"/>
        </w:numPr>
        <w:rPr>
          <w:rFonts w:ascii="Calibri" w:eastAsia="Calibri" w:hAnsi="Calibri" w:cs="Calibri"/>
          <w:color w:val="000000" w:themeColor="text1"/>
          <w:sz w:val="24"/>
          <w:szCs w:val="24"/>
        </w:rPr>
      </w:pPr>
      <w:r w:rsidRPr="176F6A0C">
        <w:rPr>
          <w:lang w:val="en-US"/>
        </w:rPr>
        <w:t>One to three visuals with credits,</w:t>
      </w:r>
    </w:p>
    <w:p w14:paraId="4B711EB6" w14:textId="2D7A7693" w:rsidR="00375603" w:rsidRDefault="1E55CF73" w:rsidP="00042275">
      <w:pPr>
        <w:pStyle w:val="Pasussalistom"/>
        <w:numPr>
          <w:ilvl w:val="0"/>
          <w:numId w:val="31"/>
        </w:numPr>
        <w:rPr>
          <w:rFonts w:ascii="Calibri" w:eastAsia="Calibri" w:hAnsi="Calibri" w:cs="Calibri"/>
          <w:color w:val="000000" w:themeColor="text1"/>
          <w:sz w:val="24"/>
          <w:szCs w:val="24"/>
        </w:rPr>
      </w:pPr>
      <w:r w:rsidRPr="176F6A0C">
        <w:rPr>
          <w:lang w:val="en-US"/>
        </w:rPr>
        <w:t>Links to the flagship asset,</w:t>
      </w:r>
    </w:p>
    <w:p w14:paraId="41143412" w14:textId="25438AD1" w:rsidR="00375603" w:rsidRDefault="1E55CF73" w:rsidP="00042275">
      <w:pPr>
        <w:pStyle w:val="Pasussalistom"/>
        <w:numPr>
          <w:ilvl w:val="0"/>
          <w:numId w:val="31"/>
        </w:numPr>
        <w:rPr>
          <w:rFonts w:ascii="Calibri" w:eastAsia="Calibri" w:hAnsi="Calibri" w:cs="Calibri"/>
          <w:color w:val="000000" w:themeColor="text1"/>
          <w:sz w:val="24"/>
          <w:szCs w:val="24"/>
        </w:rPr>
      </w:pPr>
      <w:r w:rsidRPr="176F6A0C">
        <w:rPr>
          <w:lang w:val="en-US"/>
        </w:rPr>
        <w:t>Optional tags/hashtags, and</w:t>
      </w:r>
    </w:p>
    <w:p w14:paraId="2860D657" w14:textId="7124BC5F" w:rsidR="00375603" w:rsidRDefault="1E55CF73" w:rsidP="00042275">
      <w:pPr>
        <w:pStyle w:val="Pasussalistom"/>
        <w:numPr>
          <w:ilvl w:val="0"/>
          <w:numId w:val="31"/>
        </w:numPr>
        <w:rPr>
          <w:rFonts w:ascii="Calibri" w:eastAsia="Calibri" w:hAnsi="Calibri" w:cs="Calibri"/>
          <w:color w:val="000000" w:themeColor="text1"/>
          <w:sz w:val="24"/>
          <w:szCs w:val="24"/>
        </w:rPr>
      </w:pPr>
      <w:r w:rsidRPr="176F6A0C">
        <w:rPr>
          <w:lang w:val="en-US"/>
        </w:rPr>
        <w:t>Approval status (including “publish after” date if needed).</w:t>
      </w:r>
    </w:p>
    <w:p w14:paraId="142E811A" w14:textId="71AA587F" w:rsidR="00375603" w:rsidRDefault="1E55CF73" w:rsidP="176F6A0C">
      <w:pPr>
        <w:rPr>
          <w:rFonts w:ascii="Calibri" w:eastAsia="Calibri" w:hAnsi="Calibri" w:cs="Calibri"/>
          <w:color w:val="000000" w:themeColor="text1"/>
          <w:sz w:val="24"/>
          <w:szCs w:val="24"/>
        </w:rPr>
      </w:pPr>
      <w:r w:rsidRPr="176F6A0C">
        <w:rPr>
          <w:lang w:val="en-US"/>
        </w:rPr>
        <w:t>For international and regional dissemination, packs should also include a short newsletter-ready copy block to reduce editing overhead.</w:t>
      </w:r>
    </w:p>
    <w:p w14:paraId="42633260" w14:textId="08FD8CE9" w:rsidR="00375603" w:rsidRDefault="1E55CF73" w:rsidP="176F6A0C">
      <w:pPr>
        <w:rPr>
          <w:rFonts w:ascii="Calibri" w:eastAsia="Calibri" w:hAnsi="Calibri" w:cs="Calibri"/>
          <w:color w:val="000000" w:themeColor="text1"/>
          <w:sz w:val="24"/>
          <w:szCs w:val="24"/>
        </w:rPr>
      </w:pPr>
      <w:r w:rsidRPr="176F6A0C">
        <w:rPr>
          <w:lang w:val="en-US"/>
        </w:rPr>
        <w:t>Dissemination should be logged in a simple format—what was shared, by whom, where (channel/partner), when, and available engagement signals (reposts, clicks, downloads, attendance)—to support the measurement and learning loop.</w:t>
      </w:r>
    </w:p>
    <w:p w14:paraId="2BF8EAEB" w14:textId="5C8F364B" w:rsidR="00375603" w:rsidRDefault="00375603" w:rsidP="176F6A0C"/>
    <w:p w14:paraId="68034A2D" w14:textId="17A8C134" w:rsidR="00375603" w:rsidRDefault="7F30EA2F" w:rsidP="176F6A0C">
      <w:pPr>
        <w:rPr>
          <w:rFonts w:ascii="Calibri" w:hAnsi="Calibri" w:cs="Calibri"/>
          <w:b/>
          <w:bCs/>
          <w:color w:val="2F5496" w:themeColor="accent1" w:themeShade="BF"/>
          <w:sz w:val="28"/>
          <w:szCs w:val="28"/>
        </w:rPr>
      </w:pPr>
      <w:r w:rsidRPr="176F6A0C">
        <w:rPr>
          <w:rFonts w:ascii="Calibri" w:hAnsi="Calibri" w:cs="Calibri"/>
          <w:b/>
          <w:bCs/>
          <w:color w:val="2F5496" w:themeColor="accent1" w:themeShade="BF"/>
          <w:sz w:val="28"/>
          <w:szCs w:val="28"/>
        </w:rPr>
        <w:t>10</w:t>
      </w:r>
      <w:r w:rsidR="1E55CF73" w:rsidRPr="176F6A0C">
        <w:rPr>
          <w:rFonts w:ascii="Calibri" w:hAnsi="Calibri" w:cs="Calibri"/>
          <w:b/>
          <w:bCs/>
          <w:color w:val="2F5496" w:themeColor="accent1" w:themeShade="BF"/>
          <w:sz w:val="28"/>
          <w:szCs w:val="28"/>
        </w:rPr>
        <w:t>.</w:t>
      </w:r>
      <w:r w:rsidR="00E509CB">
        <w:tab/>
      </w:r>
      <w:r w:rsidR="2389B4A4" w:rsidRPr="176F6A0C">
        <w:rPr>
          <w:rFonts w:ascii="Calibri" w:hAnsi="Calibri" w:cs="Calibri"/>
          <w:b/>
          <w:bCs/>
          <w:color w:val="2F5496" w:themeColor="accent1" w:themeShade="BF"/>
          <w:sz w:val="28"/>
          <w:szCs w:val="28"/>
        </w:rPr>
        <w:t>Operating model, roles and approvals</w:t>
      </w:r>
    </w:p>
    <w:p w14:paraId="3A16B601" w14:textId="64BFBF1B" w:rsidR="00375603" w:rsidRDefault="2389B4A4" w:rsidP="176F6A0C">
      <w:pPr>
        <w:rPr>
          <w:rFonts w:ascii="Calibri" w:eastAsia="Calibri" w:hAnsi="Calibri" w:cs="Calibri"/>
          <w:color w:val="000000" w:themeColor="text1"/>
          <w:sz w:val="24"/>
          <w:szCs w:val="24"/>
        </w:rPr>
      </w:pPr>
      <w:r w:rsidRPr="176F6A0C">
        <w:rPr>
          <w:lang w:val="en-US"/>
        </w:rPr>
        <w:t>DIKTAS II communications are delivered through a single, shared operating model designed to maintain quality and credibility without creating bottlenecks. The governance logic is based on three elements: clear roles and decision rights; defined review lane</w:t>
      </w:r>
      <w:r w:rsidR="29907367" w:rsidRPr="176F6A0C">
        <w:rPr>
          <w:lang w:val="en-US"/>
        </w:rPr>
        <w:t>s</w:t>
      </w:r>
      <w:r w:rsidRPr="176F6A0C">
        <w:rPr>
          <w:lang w:val="en-US"/>
        </w:rPr>
        <w:t>; and a lightweight operating cadence.</w:t>
      </w:r>
    </w:p>
    <w:p w14:paraId="309D0669" w14:textId="58D37780" w:rsidR="00375603" w:rsidRDefault="2389B4A4" w:rsidP="176F6A0C">
      <w:pPr>
        <w:rPr>
          <w:rFonts w:ascii="Calibri" w:eastAsia="Calibri" w:hAnsi="Calibri" w:cs="Calibri"/>
          <w:color w:val="000000" w:themeColor="text1"/>
          <w:sz w:val="24"/>
          <w:szCs w:val="24"/>
        </w:rPr>
      </w:pPr>
      <w:r w:rsidRPr="176F6A0C">
        <w:rPr>
          <w:lang w:val="en-US"/>
        </w:rPr>
        <w:t xml:space="preserve">Roles are defined as a light RACI. The </w:t>
      </w:r>
      <w:r w:rsidRPr="176F6A0C">
        <w:rPr>
          <w:b/>
          <w:bCs/>
          <w:lang w:val="en-US"/>
        </w:rPr>
        <w:t>Project Manager</w:t>
      </w:r>
      <w:r w:rsidRPr="176F6A0C">
        <w:rPr>
          <w:lang w:val="en-US"/>
        </w:rPr>
        <w:t xml:space="preserve"> confirms the governance approach and clearance route and retains final decision authority for sensitive outputs.</w:t>
      </w:r>
    </w:p>
    <w:p w14:paraId="1243B594" w14:textId="7719DFBC" w:rsidR="00375603" w:rsidRDefault="2389B4A4" w:rsidP="176F6A0C">
      <w:pPr>
        <w:rPr>
          <w:rFonts w:ascii="Calibri" w:eastAsia="Calibri" w:hAnsi="Calibri" w:cs="Calibri"/>
          <w:color w:val="000000" w:themeColor="text1"/>
          <w:sz w:val="24"/>
          <w:szCs w:val="24"/>
        </w:rPr>
      </w:pPr>
      <w:r w:rsidRPr="176F6A0C">
        <w:rPr>
          <w:b/>
          <w:bCs/>
          <w:lang w:val="en-US"/>
        </w:rPr>
        <w:t>The communications coordinator</w:t>
      </w:r>
      <w:r w:rsidRPr="176F6A0C">
        <w:rPr>
          <w:lang w:val="en-US"/>
        </w:rPr>
        <w:t xml:space="preserve"> is accountable for overall quality and coherence and plays a central role in content production. This includes drafting and consolidating flagship outputs, integrating inputs from national experts, editing for consistency, and ensuring that all materials are ready for validation and clearance.</w:t>
      </w:r>
    </w:p>
    <w:p w14:paraId="6DC4B953" w14:textId="72AB309B" w:rsidR="00375603" w:rsidRDefault="2389B4A4" w:rsidP="176F6A0C">
      <w:pPr>
        <w:rPr>
          <w:rFonts w:ascii="Calibri" w:eastAsia="Calibri" w:hAnsi="Calibri" w:cs="Calibri"/>
          <w:color w:val="000000" w:themeColor="text1"/>
          <w:sz w:val="24"/>
          <w:szCs w:val="24"/>
        </w:rPr>
      </w:pPr>
      <w:r w:rsidRPr="176F6A0C">
        <w:rPr>
          <w:b/>
          <w:bCs/>
          <w:lang w:val="en-US"/>
        </w:rPr>
        <w:t>National communication experts</w:t>
      </w:r>
      <w:r w:rsidRPr="176F6A0C">
        <w:rPr>
          <w:lang w:val="en-US"/>
        </w:rPr>
        <w:t xml:space="preserve"> (where in place) contribute to content production by developing and localising materials within agreed templates and cleared lines, proposing story angles, and preparing country-facing versions for inclusion in partner packs (see Section 8). They also support </w:t>
      </w:r>
      <w:r w:rsidRPr="176F6A0C">
        <w:rPr>
          <w:lang w:val="en-US"/>
        </w:rPr>
        <w:lastRenderedPageBreak/>
        <w:t>national dissemination through targeted outreach (emails and briefings), liaise with national media and communication networks where appropriate, and ensure that local sensitivities are reflected.</w:t>
      </w:r>
    </w:p>
    <w:p w14:paraId="24C28823" w14:textId="411D8F9E" w:rsidR="00375603" w:rsidRDefault="2389B4A4" w:rsidP="176F6A0C">
      <w:pPr>
        <w:rPr>
          <w:rFonts w:ascii="Calibri" w:eastAsia="Calibri" w:hAnsi="Calibri" w:cs="Calibri"/>
          <w:color w:val="000000" w:themeColor="text1"/>
          <w:sz w:val="24"/>
          <w:szCs w:val="24"/>
        </w:rPr>
      </w:pPr>
      <w:r w:rsidRPr="176F6A0C">
        <w:rPr>
          <w:lang w:val="en-US"/>
        </w:rPr>
        <w:t xml:space="preserve">The </w:t>
      </w:r>
      <w:r w:rsidRPr="176F6A0C">
        <w:rPr>
          <w:b/>
          <w:bCs/>
          <w:lang w:val="en-US"/>
        </w:rPr>
        <w:t>regional communication expert</w:t>
      </w:r>
      <w:r w:rsidRPr="176F6A0C">
        <w:rPr>
          <w:lang w:val="en-US"/>
        </w:rPr>
        <w:t xml:space="preserve"> focuses on dissemination and light packaging. This includes packaging and amplifying flagship milestones, selected missions and expert outcomes, and relevant UN Day hooks, as well as repurposing approved content into partner packs for redistribution across countries and partners (see Section </w:t>
      </w:r>
      <w:r w:rsidR="40CA19C8" w:rsidRPr="176F6A0C">
        <w:rPr>
          <w:lang w:val="en-US"/>
        </w:rPr>
        <w:t>9</w:t>
      </w:r>
      <w:r w:rsidRPr="176F6A0C">
        <w:rPr>
          <w:lang w:val="en-US"/>
        </w:rPr>
        <w:t>).</w:t>
      </w:r>
    </w:p>
    <w:p w14:paraId="66AE0C3A" w14:textId="139B3928" w:rsidR="00375603" w:rsidRDefault="2389B4A4" w:rsidP="176F6A0C">
      <w:pPr>
        <w:rPr>
          <w:rFonts w:ascii="Calibri" w:eastAsia="Calibri" w:hAnsi="Calibri" w:cs="Calibri"/>
          <w:color w:val="000000" w:themeColor="text1"/>
          <w:sz w:val="24"/>
          <w:szCs w:val="24"/>
        </w:rPr>
      </w:pPr>
      <w:r w:rsidRPr="176F6A0C">
        <w:rPr>
          <w:b/>
          <w:bCs/>
          <w:lang w:val="en-US"/>
        </w:rPr>
        <w:t>Technical validators</w:t>
      </w:r>
      <w:r w:rsidRPr="176F6A0C">
        <w:rPr>
          <w:lang w:val="en-US"/>
        </w:rPr>
        <w:t xml:space="preserve"> (designated experts within the relevant expert groups) confirm technical accuracy and clearly state limitations where outputs rely on scientific claims or methods. </w:t>
      </w:r>
      <w:r w:rsidRPr="176F6A0C">
        <w:rPr>
          <w:b/>
          <w:bCs/>
          <w:lang w:val="en-US"/>
        </w:rPr>
        <w:t xml:space="preserve">Institutional clearance </w:t>
      </w:r>
      <w:r w:rsidRPr="176F6A0C">
        <w:rPr>
          <w:lang w:val="en-US"/>
        </w:rPr>
        <w:t>(UNESCO/UNDP, as required) ensures branding and visibility compliance for high-stakes outputs. Optional amplification activities should follow the principles and pathways described in Section 7.1</w:t>
      </w:r>
    </w:p>
    <w:p w14:paraId="468E6E4F" w14:textId="0E9756D3" w:rsidR="00375603" w:rsidRDefault="2389B4A4" w:rsidP="176F6A0C">
      <w:r w:rsidRPr="176F6A0C">
        <w:rPr>
          <w:lang w:val="en-US"/>
        </w:rPr>
        <w:t>The workflow illustrated in Figure 3 summarises the standard pathway for developing, validating, clearing, publishing, and amplifying communication products under DIKTAS II. Detailed approval requirements are described in the RED and GREEN review lanes below.</w:t>
      </w:r>
    </w:p>
    <w:p w14:paraId="6C33478B" w14:textId="23D45900" w:rsidR="00375603" w:rsidRDefault="231980D5" w:rsidP="176F6A0C">
      <w:pPr>
        <w:rPr>
          <w:lang w:val="en-US"/>
        </w:rPr>
      </w:pPr>
      <w:r>
        <w:rPr>
          <w:noProof/>
        </w:rPr>
        <w:drawing>
          <wp:inline distT="0" distB="0" distL="0" distR="0" wp14:anchorId="16F8047E" wp14:editId="7487DCB3">
            <wp:extent cx="5724525" cy="3819525"/>
            <wp:effectExtent l="0" t="0" r="0" b="0"/>
            <wp:docPr id="155663657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636579" name="Picture 1556636579"/>
                    <pic:cNvPicPr/>
                  </pic:nvPicPr>
                  <pic:blipFill>
                    <a:blip r:embed="rId27">
                      <a:extLst>
                        <a:ext uri="{28A0092B-C50C-407E-A947-70E740481C1C}">
                          <a14:useLocalDpi xmlns:a14="http://schemas.microsoft.com/office/drawing/2010/main"/>
                        </a:ext>
                      </a:extLst>
                    </a:blip>
                    <a:stretch>
                      <a:fillRect/>
                    </a:stretch>
                  </pic:blipFill>
                  <pic:spPr>
                    <a:xfrm>
                      <a:off x="0" y="0"/>
                      <a:ext cx="5724525" cy="3819525"/>
                    </a:xfrm>
                    <a:prstGeom prst="rect">
                      <a:avLst/>
                    </a:prstGeom>
                  </pic:spPr>
                </pic:pic>
              </a:graphicData>
            </a:graphic>
          </wp:inline>
        </w:drawing>
      </w:r>
    </w:p>
    <w:p w14:paraId="383C3562" w14:textId="3BDBF937" w:rsidR="00375603" w:rsidRDefault="231980D5" w:rsidP="176F6A0C">
      <w:pPr>
        <w:rPr>
          <w:rFonts w:ascii="Calibri" w:eastAsia="Calibri" w:hAnsi="Calibri" w:cs="Calibri"/>
          <w:color w:val="000000" w:themeColor="text1"/>
          <w:sz w:val="24"/>
          <w:szCs w:val="24"/>
        </w:rPr>
      </w:pPr>
      <w:r w:rsidRPr="176F6A0C">
        <w:rPr>
          <w:lang w:val="en-US"/>
        </w:rPr>
        <w:t xml:space="preserve">To prevent delays and manage risk, DIKTAS II applies two review lanes. The </w:t>
      </w:r>
      <w:r w:rsidRPr="176F6A0C">
        <w:rPr>
          <w:b/>
          <w:bCs/>
          <w:lang w:val="en-US"/>
        </w:rPr>
        <w:t>RED lane</w:t>
      </w:r>
      <w:r w:rsidRPr="176F6A0C">
        <w:rPr>
          <w:lang w:val="en-US"/>
        </w:rPr>
        <w:t xml:space="preserve"> includes items that require review before publication or submission—website pages and updates, newsletters, external submissions under the DIKTAS name, social posts using official lines or logos, press lines, and speeches or speaking points. The </w:t>
      </w:r>
      <w:r w:rsidRPr="176F6A0C">
        <w:rPr>
          <w:b/>
          <w:bCs/>
          <w:lang w:val="en-US"/>
        </w:rPr>
        <w:t>GREEN lane</w:t>
      </w:r>
      <w:r w:rsidRPr="176F6A0C">
        <w:rPr>
          <w:lang w:val="en-US"/>
        </w:rPr>
        <w:t xml:space="preserve"> covers raw inputs and internal material that can circulate without prior review, such as drafts clearly marked DRAFT, working notes, and background documentation.</w:t>
      </w:r>
    </w:p>
    <w:p w14:paraId="26A42237" w14:textId="0C402226" w:rsidR="00375603" w:rsidRDefault="231980D5" w:rsidP="176F6A0C">
      <w:pPr>
        <w:rPr>
          <w:rFonts w:ascii="Calibri" w:eastAsia="Calibri" w:hAnsi="Calibri" w:cs="Calibri"/>
          <w:color w:val="000000" w:themeColor="text1"/>
          <w:sz w:val="24"/>
          <w:szCs w:val="24"/>
        </w:rPr>
      </w:pPr>
      <w:r w:rsidRPr="176F6A0C">
        <w:rPr>
          <w:lang w:val="en-US"/>
        </w:rPr>
        <w:t xml:space="preserve">The operating rhythm is intentionally lightweight: a weekly asynchronous update to track priorities, deadlines, blockers, and required inputs; a biweekly 30-minute call to confirm upcoming outputs and </w:t>
      </w:r>
      <w:r w:rsidRPr="176F6A0C">
        <w:rPr>
          <w:lang w:val="en-US"/>
        </w:rPr>
        <w:lastRenderedPageBreak/>
        <w:t>resolve blockers; and an optional monthly checkpoint to confirm the next month’s first wave and resourcing (see Annex B for working norms and planning caps).</w:t>
      </w:r>
    </w:p>
    <w:p w14:paraId="03724508" w14:textId="24D45D09" w:rsidR="00375603" w:rsidRDefault="231980D5" w:rsidP="176F6A0C">
      <w:pPr>
        <w:rPr>
          <w:rFonts w:ascii="Calibri" w:eastAsia="Calibri" w:hAnsi="Calibri" w:cs="Calibri"/>
          <w:color w:val="000000" w:themeColor="text1"/>
          <w:sz w:val="24"/>
          <w:szCs w:val="24"/>
        </w:rPr>
      </w:pPr>
      <w:r w:rsidRPr="176F6A0C">
        <w:rPr>
          <w:lang w:val="en-US"/>
        </w:rPr>
        <w:t>This workflow is applied consistently across channels and levels, with approval requirements determined by the RED and GREEN review lanes. This ensures that</w:t>
      </w:r>
      <w:r w:rsidR="278835F3" w:rsidRPr="176F6A0C">
        <w:rPr>
          <w:lang w:val="en-US"/>
        </w:rPr>
        <w:t xml:space="preserve"> </w:t>
      </w:r>
      <w:r w:rsidRPr="176F6A0C">
        <w:rPr>
          <w:lang w:val="en-US"/>
        </w:rPr>
        <w:t>responsibilities remain consistent regardless of channel or level.</w:t>
      </w:r>
    </w:p>
    <w:p w14:paraId="6E9E8E56" w14:textId="631D02D0" w:rsidR="00375603" w:rsidRDefault="231980D5" w:rsidP="176F6A0C">
      <w:pPr>
        <w:rPr>
          <w:rFonts w:ascii="Calibri" w:eastAsia="Calibri" w:hAnsi="Calibri" w:cs="Calibri"/>
          <w:color w:val="000000" w:themeColor="text1"/>
          <w:sz w:val="24"/>
          <w:szCs w:val="24"/>
        </w:rPr>
      </w:pPr>
      <w:r w:rsidRPr="176F6A0C">
        <w:rPr>
          <w:lang w:val="en-US"/>
        </w:rPr>
        <w:t>Service levels are defined, agreed, and periodically reviewed to maintain predictability, but are maintained in Annex B rather than in the main strategy text.</w:t>
      </w:r>
    </w:p>
    <w:p w14:paraId="70EF08FF" w14:textId="5631ED80" w:rsidR="00375603" w:rsidRDefault="00375603" w:rsidP="176F6A0C">
      <w:pPr>
        <w:rPr>
          <w:rFonts w:ascii="Calibri" w:hAnsi="Calibri" w:cs="Calibri"/>
          <w:b/>
          <w:bCs/>
          <w:color w:val="2F5496" w:themeColor="accent1" w:themeShade="BF"/>
          <w:sz w:val="28"/>
          <w:szCs w:val="28"/>
        </w:rPr>
      </w:pPr>
    </w:p>
    <w:p w14:paraId="1B5B882E" w14:textId="3CAEA331" w:rsidR="00375603" w:rsidRDefault="231980D5" w:rsidP="176F6A0C">
      <w:pPr>
        <w:rPr>
          <w:rFonts w:ascii="Calibri" w:hAnsi="Calibri" w:cs="Calibri"/>
          <w:b/>
          <w:bCs/>
          <w:color w:val="2F5496" w:themeColor="accent1" w:themeShade="BF"/>
          <w:sz w:val="28"/>
          <w:szCs w:val="28"/>
        </w:rPr>
      </w:pPr>
      <w:r w:rsidRPr="176F6A0C">
        <w:rPr>
          <w:rFonts w:ascii="Calibri" w:hAnsi="Calibri" w:cs="Calibri"/>
          <w:b/>
          <w:bCs/>
          <w:color w:val="2F5496" w:themeColor="accent1" w:themeShade="BF"/>
          <w:sz w:val="28"/>
          <w:szCs w:val="28"/>
        </w:rPr>
        <w:t>11.</w:t>
      </w:r>
      <w:r w:rsidR="00E509CB">
        <w:tab/>
      </w:r>
      <w:r w:rsidR="26E0DF73" w:rsidRPr="176F6A0C">
        <w:rPr>
          <w:rFonts w:ascii="Calibri" w:hAnsi="Calibri" w:cs="Calibri"/>
          <w:b/>
          <w:bCs/>
          <w:color w:val="2F5496" w:themeColor="accent1" w:themeShade="BF"/>
          <w:sz w:val="28"/>
          <w:szCs w:val="28"/>
        </w:rPr>
        <w:t>Deliverables</w:t>
      </w:r>
    </w:p>
    <w:p w14:paraId="46476B3D" w14:textId="4310D87E" w:rsidR="00375603" w:rsidRDefault="26E0DF73" w:rsidP="176F6A0C">
      <w:pPr>
        <w:rPr>
          <w:rFonts w:ascii="Calibri" w:eastAsia="Calibri" w:hAnsi="Calibri" w:cs="Calibri"/>
          <w:color w:val="000000" w:themeColor="text1"/>
          <w:sz w:val="24"/>
          <w:szCs w:val="24"/>
          <w:lang w:val="en-US"/>
        </w:rPr>
      </w:pPr>
      <w:r w:rsidRPr="176F6A0C">
        <w:rPr>
          <w:lang w:val="en-US"/>
        </w:rPr>
        <w:t>Section 11 defines the deliverables that make the strategy operational. It distinguishes between (1) strategy-level outputs, (2) a baseline communications asset kit, and (3) recurring outputs that sustain delivery over time. These deliverables represent a minimum viable baseline; they may be expanded only when capacity and governance explicitly allow, consistent with the “lean capacity” approach.</w:t>
      </w:r>
    </w:p>
    <w:p w14:paraId="034AAAB0" w14:textId="547F0D1C" w:rsidR="00375603" w:rsidRDefault="26E0DF73" w:rsidP="176F6A0C">
      <w:pPr>
        <w:rPr>
          <w:rFonts w:ascii="Calibri" w:eastAsia="Calibri" w:hAnsi="Calibri" w:cs="Calibri"/>
          <w:color w:val="000000" w:themeColor="text1"/>
          <w:sz w:val="24"/>
          <w:szCs w:val="24"/>
          <w:lang w:val="en-US"/>
        </w:rPr>
      </w:pPr>
      <w:r w:rsidRPr="176F6A0C">
        <w:rPr>
          <w:lang w:val="en-US"/>
        </w:rPr>
        <w:t xml:space="preserve">At strategy level, DIKTAS II maintains a strategy that consolidates the validated narrative, audiences, channels, operating model, measurement approach, and guardrails. The strategy is not treated as static: it </w:t>
      </w:r>
      <w:r w:rsidR="6B09B54E" w:rsidRPr="176F6A0C">
        <w:rPr>
          <w:lang w:val="en-US"/>
        </w:rPr>
        <w:t xml:space="preserve">may be </w:t>
      </w:r>
      <w:r w:rsidRPr="176F6A0C">
        <w:rPr>
          <w:lang w:val="en-US"/>
        </w:rPr>
        <w:t xml:space="preserve">complemented by </w:t>
      </w:r>
      <w:r w:rsidR="2F6B3A0C" w:rsidRPr="176F6A0C">
        <w:rPr>
          <w:lang w:val="en-US"/>
        </w:rPr>
        <w:t xml:space="preserve">periodic </w:t>
      </w:r>
      <w:r w:rsidRPr="176F6A0C">
        <w:rPr>
          <w:lang w:val="en-US"/>
        </w:rPr>
        <w:t>updates that capture changes, next steps, and lessons learned, ensuring alignment with evolving milestones and capacity.</w:t>
      </w:r>
    </w:p>
    <w:p w14:paraId="7E7CFE7A" w14:textId="160B6D2D" w:rsidR="00375603" w:rsidRDefault="26E0DF73" w:rsidP="176F6A0C">
      <w:pPr>
        <w:rPr>
          <w:rFonts w:ascii="Calibri" w:eastAsia="Calibri" w:hAnsi="Calibri" w:cs="Calibri"/>
          <w:color w:val="000000" w:themeColor="text1"/>
          <w:sz w:val="24"/>
          <w:szCs w:val="24"/>
          <w:lang w:val="en-US"/>
        </w:rPr>
      </w:pPr>
      <w:r w:rsidRPr="176F6A0C">
        <w:rPr>
          <w:lang w:val="en-US"/>
        </w:rPr>
        <w:t>To enable efficient and consistent production, DIKTAS II establishes a core communications asset kit (baseline), maintained as a “single latest” repository under the communications coordinator’s editorial control (Section 8). The kit is organised into three layers:</w:t>
      </w:r>
    </w:p>
    <w:p w14:paraId="00DE87C5" w14:textId="49AC9E44" w:rsidR="00375603" w:rsidRDefault="26E0DF73" w:rsidP="176F6A0C">
      <w:pPr>
        <w:rPr>
          <w:rFonts w:ascii="Calibri" w:eastAsia="Calibri" w:hAnsi="Calibri" w:cs="Calibri"/>
          <w:color w:val="000000" w:themeColor="text1"/>
          <w:sz w:val="24"/>
          <w:szCs w:val="24"/>
          <w:lang w:val="en-US"/>
        </w:rPr>
      </w:pPr>
      <w:r w:rsidRPr="176F6A0C">
        <w:rPr>
          <w:lang w:val="en-US"/>
        </w:rPr>
        <w:t>All shared assets (photos, visuals, documents, templates) are stored in the project’s agreed repository with clear ownership, version control, and crediting rules to protect traceability and re-use (see Annex B for working norms).</w:t>
      </w:r>
    </w:p>
    <w:p w14:paraId="7DD982C6" w14:textId="3D3A9C81" w:rsidR="00375603" w:rsidRDefault="26E0DF73" w:rsidP="176F6A0C">
      <w:pPr>
        <w:rPr>
          <w:rFonts w:ascii="Calibri" w:eastAsia="Calibri" w:hAnsi="Calibri" w:cs="Calibri"/>
          <w:color w:val="000000" w:themeColor="text1"/>
          <w:sz w:val="24"/>
          <w:szCs w:val="24"/>
          <w:lang w:val="en-US"/>
        </w:rPr>
      </w:pPr>
      <w:r w:rsidRPr="176F6A0C">
        <w:rPr>
          <w:lang w:val="en-US"/>
        </w:rPr>
        <w:t>The launch and outreach infrastructure includes:</w:t>
      </w:r>
    </w:p>
    <w:p w14:paraId="29634206" w14:textId="78CD232A" w:rsidR="00375603" w:rsidRDefault="26E0DF73" w:rsidP="00042275">
      <w:pPr>
        <w:pStyle w:val="Pasussalistom"/>
        <w:numPr>
          <w:ilvl w:val="0"/>
          <w:numId w:val="30"/>
        </w:numPr>
        <w:rPr>
          <w:rFonts w:ascii="Calibri" w:eastAsia="Calibri" w:hAnsi="Calibri" w:cs="Calibri"/>
          <w:color w:val="000000" w:themeColor="text1"/>
          <w:sz w:val="24"/>
          <w:szCs w:val="24"/>
          <w:lang w:val="en-US"/>
        </w:rPr>
      </w:pPr>
      <w:r w:rsidRPr="176F6A0C">
        <w:rPr>
          <w:lang w:val="en-US"/>
        </w:rPr>
        <w:t>A launch kit (one-pager, slide deck, Q&amp;A, boilerplates such as project description and donor visibility lines, and a partner pack template)</w:t>
      </w:r>
    </w:p>
    <w:p w14:paraId="58D43713" w14:textId="34206D27" w:rsidR="00375603" w:rsidRDefault="26E0DF73" w:rsidP="00042275">
      <w:pPr>
        <w:pStyle w:val="Pasussalistom"/>
        <w:numPr>
          <w:ilvl w:val="0"/>
          <w:numId w:val="30"/>
        </w:numPr>
        <w:rPr>
          <w:rFonts w:ascii="Calibri" w:eastAsia="Calibri" w:hAnsi="Calibri" w:cs="Calibri"/>
          <w:color w:val="000000" w:themeColor="text1"/>
          <w:sz w:val="24"/>
          <w:szCs w:val="24"/>
          <w:lang w:val="en-US"/>
        </w:rPr>
      </w:pPr>
      <w:r w:rsidRPr="176F6A0C">
        <w:rPr>
          <w:lang w:val="en-US"/>
        </w:rPr>
        <w:t>Segmented outreach lists at national and regional levels, organised by audience type (ministries/agencies, technical experts, municipalities/utilities, civil society), with clear ownership and update routines</w:t>
      </w:r>
    </w:p>
    <w:p w14:paraId="2F76B6DF" w14:textId="3DB3A396" w:rsidR="00375603" w:rsidRDefault="26E0DF73" w:rsidP="176F6A0C">
      <w:pPr>
        <w:rPr>
          <w:rFonts w:ascii="Calibri" w:eastAsia="Calibri" w:hAnsi="Calibri" w:cs="Calibri"/>
          <w:color w:val="000000" w:themeColor="text1"/>
          <w:sz w:val="24"/>
          <w:szCs w:val="24"/>
          <w:lang w:val="en-US"/>
        </w:rPr>
      </w:pPr>
      <w:r w:rsidRPr="176F6A0C">
        <w:rPr>
          <w:lang w:val="en-US"/>
        </w:rPr>
        <w:t>The translation layer provides non-technical formats that accompany technical outputs where relevant (see Section 2 for the translation principle; Section 7 for packaging rules). This includes:</w:t>
      </w:r>
    </w:p>
    <w:p w14:paraId="6DEAA625" w14:textId="05B5EC74" w:rsidR="00375603" w:rsidRDefault="26E0DF73" w:rsidP="00042275">
      <w:pPr>
        <w:pStyle w:val="Pasussalistom"/>
        <w:numPr>
          <w:ilvl w:val="0"/>
          <w:numId w:val="29"/>
        </w:numPr>
        <w:rPr>
          <w:rFonts w:ascii="Calibri" w:eastAsia="Calibri" w:hAnsi="Calibri" w:cs="Calibri"/>
          <w:color w:val="000000" w:themeColor="text1"/>
          <w:sz w:val="24"/>
          <w:szCs w:val="24"/>
          <w:lang w:val="en-US"/>
        </w:rPr>
      </w:pPr>
      <w:r w:rsidRPr="176F6A0C">
        <w:rPr>
          <w:lang w:val="en-US"/>
        </w:rPr>
        <w:t>Executive summaries or short policy briefs</w:t>
      </w:r>
    </w:p>
    <w:p w14:paraId="436D592F" w14:textId="0708C99D" w:rsidR="00375603" w:rsidRDefault="26E0DF73" w:rsidP="00042275">
      <w:pPr>
        <w:pStyle w:val="Pasussalistom"/>
        <w:numPr>
          <w:ilvl w:val="0"/>
          <w:numId w:val="29"/>
        </w:numPr>
        <w:rPr>
          <w:rFonts w:ascii="Calibri" w:eastAsia="Calibri" w:hAnsi="Calibri" w:cs="Calibri"/>
          <w:color w:val="000000" w:themeColor="text1"/>
          <w:sz w:val="24"/>
          <w:szCs w:val="24"/>
          <w:lang w:val="en-US"/>
        </w:rPr>
      </w:pPr>
      <w:r w:rsidRPr="176F6A0C">
        <w:rPr>
          <w:lang w:val="en-US"/>
        </w:rPr>
        <w:t>Infographics and fact sheets</w:t>
      </w:r>
    </w:p>
    <w:p w14:paraId="5CD7E6E7" w14:textId="7872755B" w:rsidR="00375603" w:rsidRDefault="26E0DF73" w:rsidP="00042275">
      <w:pPr>
        <w:pStyle w:val="Pasussalistom"/>
        <w:numPr>
          <w:ilvl w:val="0"/>
          <w:numId w:val="29"/>
        </w:numPr>
        <w:rPr>
          <w:rFonts w:ascii="Calibri" w:eastAsia="Calibri" w:hAnsi="Calibri" w:cs="Calibri"/>
          <w:color w:val="000000" w:themeColor="text1"/>
          <w:sz w:val="24"/>
          <w:szCs w:val="24"/>
          <w:lang w:val="en-US"/>
        </w:rPr>
      </w:pPr>
      <w:r w:rsidRPr="176F6A0C">
        <w:rPr>
          <w:lang w:val="en-US"/>
        </w:rPr>
        <w:t>Short videos</w:t>
      </w:r>
    </w:p>
    <w:p w14:paraId="75532135" w14:textId="3E88842F" w:rsidR="00375603" w:rsidRDefault="26E0DF73" w:rsidP="00042275">
      <w:pPr>
        <w:pStyle w:val="Pasussalistom"/>
        <w:numPr>
          <w:ilvl w:val="0"/>
          <w:numId w:val="29"/>
        </w:numPr>
        <w:rPr>
          <w:rFonts w:ascii="Calibri" w:eastAsia="Calibri" w:hAnsi="Calibri" w:cs="Calibri"/>
          <w:color w:val="000000" w:themeColor="text1"/>
          <w:sz w:val="24"/>
          <w:szCs w:val="24"/>
          <w:lang w:val="en-US"/>
        </w:rPr>
      </w:pPr>
      <w:r w:rsidRPr="176F6A0C">
        <w:rPr>
          <w:lang w:val="en-US"/>
        </w:rPr>
        <w:t>Country snapshots or case studies</w:t>
      </w:r>
    </w:p>
    <w:p w14:paraId="281CA401" w14:textId="72B465FF" w:rsidR="00375603" w:rsidRDefault="26E0DF73" w:rsidP="176F6A0C">
      <w:pPr>
        <w:rPr>
          <w:rFonts w:ascii="Calibri" w:eastAsia="Calibri" w:hAnsi="Calibri" w:cs="Calibri"/>
          <w:color w:val="000000" w:themeColor="text1"/>
          <w:sz w:val="24"/>
          <w:szCs w:val="24"/>
          <w:lang w:val="en-US"/>
        </w:rPr>
      </w:pPr>
      <w:r w:rsidRPr="176F6A0C">
        <w:rPr>
          <w:lang w:val="en-US"/>
        </w:rPr>
        <w:t xml:space="preserve">Video content should be used selectively and only where it adds clear value to understanding, engagement, or dissemination. Given the project's limited communication capacity, DIKTAS II does not assume regular video production as a baseline activity. Instead, video should focus on high-value </w:t>
      </w:r>
      <w:r w:rsidRPr="176F6A0C">
        <w:rPr>
          <w:lang w:val="en-US"/>
        </w:rPr>
        <w:lastRenderedPageBreak/>
        <w:t>opportunities such as short explainers, field-based stories, expert interviews, event recaps, simple animations, or clips demonstrating project activities and results. Wherever possible, video assets should be designed for reuse across channels and formats (website, social media, presentations, partner dissemination, and events) and should be integrated into the packaging approach described in this strategy rather than developed as standalone products.</w:t>
      </w:r>
    </w:p>
    <w:p w14:paraId="38B85AD3" w14:textId="08F122C5" w:rsidR="00375603" w:rsidRDefault="26E0DF73" w:rsidP="176F6A0C">
      <w:pPr>
        <w:rPr>
          <w:rFonts w:ascii="Calibri" w:eastAsia="Calibri" w:hAnsi="Calibri" w:cs="Calibri"/>
          <w:color w:val="000000" w:themeColor="text1"/>
          <w:sz w:val="24"/>
          <w:szCs w:val="24"/>
          <w:lang w:val="en-US"/>
        </w:rPr>
      </w:pPr>
      <w:r w:rsidRPr="176F6A0C">
        <w:rPr>
          <w:lang w:val="en-US"/>
        </w:rPr>
        <w:t>These formats prioritise clarity and accessibility, with a preference for visual presentation where feasible.</w:t>
      </w:r>
    </w:p>
    <w:p w14:paraId="6E428E84" w14:textId="252FEE4F" w:rsidR="00375603" w:rsidRDefault="26E0DF73" w:rsidP="176F6A0C">
      <w:pPr>
        <w:rPr>
          <w:rFonts w:ascii="Calibri" w:eastAsia="Calibri" w:hAnsi="Calibri" w:cs="Calibri"/>
          <w:color w:val="000000" w:themeColor="text1"/>
          <w:sz w:val="24"/>
          <w:szCs w:val="24"/>
          <w:lang w:val="en-US"/>
        </w:rPr>
      </w:pPr>
      <w:r w:rsidRPr="176F6A0C">
        <w:rPr>
          <w:lang w:val="en-US"/>
        </w:rPr>
        <w:t>The templates and identity layer ensures consistency across outputs and partners. This includes:</w:t>
      </w:r>
    </w:p>
    <w:p w14:paraId="145EC5C6" w14:textId="34D6836C" w:rsidR="00375603" w:rsidRDefault="26E0DF73" w:rsidP="00042275">
      <w:pPr>
        <w:pStyle w:val="Pasussalistom"/>
        <w:numPr>
          <w:ilvl w:val="0"/>
          <w:numId w:val="27"/>
        </w:numPr>
        <w:rPr>
          <w:rFonts w:ascii="Calibri" w:eastAsia="Calibri" w:hAnsi="Calibri" w:cs="Calibri"/>
          <w:color w:val="000000" w:themeColor="text1"/>
          <w:sz w:val="24"/>
          <w:szCs w:val="24"/>
          <w:lang w:val="en-US"/>
        </w:rPr>
      </w:pPr>
      <w:r w:rsidRPr="176F6A0C">
        <w:rPr>
          <w:lang w:val="en-US"/>
        </w:rPr>
        <w:t>Template set (event brief, recap, consultation brief, “you said / we did”, social cards)</w:t>
      </w:r>
    </w:p>
    <w:p w14:paraId="437D8E86" w14:textId="50BF04FB" w:rsidR="00375603" w:rsidRDefault="26E0DF73" w:rsidP="00042275">
      <w:pPr>
        <w:pStyle w:val="Pasussalistom"/>
        <w:numPr>
          <w:ilvl w:val="0"/>
          <w:numId w:val="27"/>
        </w:numPr>
        <w:rPr>
          <w:rFonts w:ascii="Calibri" w:eastAsia="Calibri" w:hAnsi="Calibri" w:cs="Calibri"/>
          <w:color w:val="000000" w:themeColor="text1"/>
          <w:sz w:val="24"/>
          <w:szCs w:val="24"/>
          <w:lang w:val="en-US"/>
        </w:rPr>
      </w:pPr>
      <w:r w:rsidRPr="176F6A0C">
        <w:rPr>
          <w:lang w:val="en-US"/>
        </w:rPr>
        <w:t>Basic visual identity guidelines (colours, typography, approved logo use, photo credits)</w:t>
      </w:r>
    </w:p>
    <w:p w14:paraId="72044149" w14:textId="28186F6F" w:rsidR="00375603" w:rsidRDefault="26E0DF73" w:rsidP="176F6A0C">
      <w:pPr>
        <w:rPr>
          <w:rFonts w:ascii="Calibri" w:eastAsia="Calibri" w:hAnsi="Calibri" w:cs="Calibri"/>
          <w:color w:val="000000" w:themeColor="text1"/>
          <w:sz w:val="24"/>
          <w:szCs w:val="24"/>
          <w:lang w:val="en-US"/>
        </w:rPr>
      </w:pPr>
      <w:r w:rsidRPr="176F6A0C">
        <w:rPr>
          <w:lang w:val="en-US"/>
        </w:rPr>
        <w:t>DIKTAS II operates with a limited set of recurring outputs, aligned with the editorial approach and scaled to capacity:</w:t>
      </w:r>
    </w:p>
    <w:p w14:paraId="0181B9C7" w14:textId="4BF83F2C" w:rsidR="00375603" w:rsidRDefault="26E0DF73" w:rsidP="00042275">
      <w:pPr>
        <w:pStyle w:val="Pasussalistom"/>
        <w:numPr>
          <w:ilvl w:val="0"/>
          <w:numId w:val="28"/>
        </w:numPr>
        <w:rPr>
          <w:rFonts w:ascii="Calibri" w:eastAsia="Calibri" w:hAnsi="Calibri" w:cs="Calibri"/>
          <w:color w:val="000000" w:themeColor="text1"/>
          <w:sz w:val="24"/>
          <w:szCs w:val="24"/>
          <w:lang w:val="en-US"/>
        </w:rPr>
      </w:pPr>
      <w:r w:rsidRPr="176F6A0C">
        <w:rPr>
          <w:lang w:val="en-US"/>
        </w:rPr>
        <w:t>Monthly website flagship piece (with additional short updates as needed)</w:t>
      </w:r>
    </w:p>
    <w:p w14:paraId="67CD5073" w14:textId="08E92AC2" w:rsidR="00375603" w:rsidRDefault="26E0DF73" w:rsidP="00042275">
      <w:pPr>
        <w:pStyle w:val="Pasussalistom"/>
        <w:numPr>
          <w:ilvl w:val="0"/>
          <w:numId w:val="28"/>
        </w:numPr>
        <w:rPr>
          <w:rFonts w:ascii="Calibri" w:eastAsia="Calibri" w:hAnsi="Calibri" w:cs="Calibri"/>
          <w:color w:val="000000" w:themeColor="text1"/>
          <w:sz w:val="24"/>
          <w:szCs w:val="24"/>
          <w:lang w:val="en-US"/>
        </w:rPr>
      </w:pPr>
      <w:r w:rsidRPr="176F6A0C">
        <w:rPr>
          <w:lang w:val="en-US"/>
        </w:rPr>
        <w:t>Social media thematic series (2–3 posts per month, plus event-driven bursts)</w:t>
      </w:r>
    </w:p>
    <w:p w14:paraId="0802D53D" w14:textId="556C2A3C" w:rsidR="00375603" w:rsidRDefault="26E0DF73" w:rsidP="00042275">
      <w:pPr>
        <w:pStyle w:val="Pasussalistom"/>
        <w:numPr>
          <w:ilvl w:val="0"/>
          <w:numId w:val="28"/>
        </w:numPr>
        <w:rPr>
          <w:rFonts w:ascii="Calibri" w:eastAsia="Calibri" w:hAnsi="Calibri" w:cs="Calibri"/>
          <w:color w:val="000000" w:themeColor="text1"/>
          <w:sz w:val="24"/>
          <w:szCs w:val="24"/>
          <w:lang w:val="en-US"/>
        </w:rPr>
      </w:pPr>
      <w:r w:rsidRPr="176F6A0C">
        <w:rPr>
          <w:lang w:val="en-US"/>
        </w:rPr>
        <w:t>Quarterly newsletter/bulletin, with targeted special editions for major moments</w:t>
      </w:r>
    </w:p>
    <w:p w14:paraId="2ACE86C8" w14:textId="562568EC" w:rsidR="00375603" w:rsidRDefault="26E0DF73" w:rsidP="00042275">
      <w:pPr>
        <w:pStyle w:val="Pasussalistom"/>
        <w:numPr>
          <w:ilvl w:val="0"/>
          <w:numId w:val="28"/>
        </w:numPr>
        <w:rPr>
          <w:rFonts w:ascii="Calibri" w:eastAsia="Calibri" w:hAnsi="Calibri" w:cs="Calibri"/>
          <w:color w:val="000000" w:themeColor="text1"/>
          <w:sz w:val="24"/>
          <w:szCs w:val="24"/>
          <w:lang w:val="en-US"/>
        </w:rPr>
      </w:pPr>
      <w:r w:rsidRPr="176F6A0C">
        <w:rPr>
          <w:lang w:val="en-US"/>
        </w:rPr>
        <w:t>Communication packages for key events and workshops (before/during/after)</w:t>
      </w:r>
    </w:p>
    <w:p w14:paraId="2BAF26AA" w14:textId="5CD3C4C7" w:rsidR="00375603" w:rsidRDefault="26E0DF73" w:rsidP="00042275">
      <w:pPr>
        <w:pStyle w:val="Pasussalistom"/>
        <w:numPr>
          <w:ilvl w:val="0"/>
          <w:numId w:val="28"/>
        </w:numPr>
        <w:rPr>
          <w:rFonts w:ascii="Calibri" w:eastAsia="Calibri" w:hAnsi="Calibri" w:cs="Calibri"/>
          <w:color w:val="000000" w:themeColor="text1"/>
          <w:sz w:val="24"/>
          <w:szCs w:val="24"/>
          <w:lang w:val="en-US"/>
        </w:rPr>
      </w:pPr>
      <w:r w:rsidRPr="176F6A0C">
        <w:rPr>
          <w:lang w:val="en-US"/>
        </w:rPr>
        <w:t>Selected partner submissions (e.g., IW:LEARN), where aligned with learning and visibility objectives and supported by cleared, reusable materials</w:t>
      </w:r>
    </w:p>
    <w:p w14:paraId="12DB309C" w14:textId="584D2B52" w:rsidR="00375603" w:rsidRDefault="00375603" w:rsidP="176F6A0C">
      <w:pPr>
        <w:rPr>
          <w:lang w:val="en-US"/>
        </w:rPr>
      </w:pPr>
    </w:p>
    <w:p w14:paraId="4344932C" w14:textId="0FD82B5E" w:rsidR="00375603" w:rsidRDefault="505ABB92" w:rsidP="176F6A0C">
      <w:pPr>
        <w:rPr>
          <w:rFonts w:ascii="Calibri" w:hAnsi="Calibri" w:cs="Calibri"/>
          <w:b/>
          <w:bCs/>
          <w:color w:val="2F5496" w:themeColor="accent1" w:themeShade="BF"/>
          <w:sz w:val="28"/>
          <w:szCs w:val="28"/>
        </w:rPr>
      </w:pPr>
      <w:r w:rsidRPr="176F6A0C">
        <w:rPr>
          <w:rFonts w:ascii="Calibri" w:hAnsi="Calibri" w:cs="Calibri"/>
          <w:b/>
          <w:bCs/>
          <w:color w:val="2F5496" w:themeColor="accent1" w:themeShade="BF"/>
          <w:sz w:val="28"/>
          <w:szCs w:val="28"/>
        </w:rPr>
        <w:t>12.</w:t>
      </w:r>
      <w:r w:rsidR="00E509CB">
        <w:tab/>
      </w:r>
      <w:r w:rsidRPr="176F6A0C">
        <w:rPr>
          <w:rFonts w:ascii="Calibri" w:hAnsi="Calibri" w:cs="Calibri"/>
          <w:b/>
          <w:bCs/>
          <w:color w:val="2F5496" w:themeColor="accent1" w:themeShade="BF"/>
          <w:sz w:val="28"/>
          <w:szCs w:val="28"/>
        </w:rPr>
        <w:t>Measurement and learning loop (KPIs)</w:t>
      </w:r>
    </w:p>
    <w:p w14:paraId="17AC5262" w14:textId="158B97B5" w:rsidR="00375603" w:rsidRDefault="505ABB92" w:rsidP="176F6A0C">
      <w:pPr>
        <w:rPr>
          <w:rFonts w:ascii="Calibri" w:eastAsia="Calibri" w:hAnsi="Calibri" w:cs="Calibri"/>
          <w:color w:val="000000" w:themeColor="text1"/>
          <w:sz w:val="24"/>
          <w:szCs w:val="24"/>
          <w:lang w:val="en-US"/>
        </w:rPr>
      </w:pPr>
      <w:r w:rsidRPr="176F6A0C">
        <w:rPr>
          <w:lang w:val="en-US"/>
        </w:rPr>
        <w:t>Section 11 defines a light measurement and learning loop that ensures accountability without creating an excessive reporting burden. The approach follows a single principle: measurement should be simple, useful, and proportional to available tracking data, and should inform decisions on what to continue, improve, or stop.</w:t>
      </w:r>
    </w:p>
    <w:p w14:paraId="68E6D6DB" w14:textId="28EEB145" w:rsidR="00375603" w:rsidRDefault="505ABB92" w:rsidP="176F6A0C">
      <w:pPr>
        <w:rPr>
          <w:rFonts w:ascii="Calibri" w:eastAsia="Calibri" w:hAnsi="Calibri" w:cs="Calibri"/>
          <w:color w:val="000000" w:themeColor="text1"/>
          <w:sz w:val="24"/>
          <w:szCs w:val="24"/>
          <w:lang w:val="en-US"/>
        </w:rPr>
      </w:pPr>
      <w:r w:rsidRPr="176F6A0C">
        <w:rPr>
          <w:lang w:val="en-US"/>
        </w:rPr>
        <w:t>Measurement is organised into two complementary sets of indicators. Output KPIs track delivery health and operational performance. These include:</w:t>
      </w:r>
    </w:p>
    <w:p w14:paraId="00821EBB" w14:textId="473A5B9C" w:rsidR="00375603" w:rsidRDefault="505ABB92" w:rsidP="00042275">
      <w:pPr>
        <w:pStyle w:val="Pasussalistom"/>
        <w:numPr>
          <w:ilvl w:val="0"/>
          <w:numId w:val="26"/>
        </w:numPr>
        <w:rPr>
          <w:rFonts w:ascii="Calibri" w:eastAsia="Calibri" w:hAnsi="Calibri" w:cs="Calibri"/>
          <w:color w:val="000000" w:themeColor="text1"/>
          <w:sz w:val="24"/>
          <w:szCs w:val="24"/>
          <w:lang w:val="en-US"/>
        </w:rPr>
      </w:pPr>
      <w:r w:rsidRPr="176F6A0C">
        <w:rPr>
          <w:lang w:val="en-US"/>
        </w:rPr>
        <w:t>The number of flagship assets produced, published, or submitted (by channel);</w:t>
      </w:r>
    </w:p>
    <w:p w14:paraId="71ACC2FA" w14:textId="3E75896C" w:rsidR="00375603" w:rsidRDefault="505ABB92" w:rsidP="00042275">
      <w:pPr>
        <w:pStyle w:val="Pasussalistom"/>
        <w:numPr>
          <w:ilvl w:val="0"/>
          <w:numId w:val="26"/>
        </w:numPr>
        <w:rPr>
          <w:rFonts w:ascii="Calibri" w:eastAsia="Calibri" w:hAnsi="Calibri" w:cs="Calibri"/>
          <w:color w:val="000000" w:themeColor="text1"/>
          <w:sz w:val="24"/>
          <w:szCs w:val="24"/>
          <w:lang w:val="en-US"/>
        </w:rPr>
      </w:pPr>
      <w:r w:rsidRPr="176F6A0C">
        <w:rPr>
          <w:lang w:val="en-US"/>
        </w:rPr>
        <w:t>The number of partner packs distributed and amplified by partners (to the extent amplification is observable);</w:t>
      </w:r>
    </w:p>
    <w:p w14:paraId="476D9341" w14:textId="4D6AB672" w:rsidR="00375603" w:rsidRDefault="505ABB92" w:rsidP="00042275">
      <w:pPr>
        <w:pStyle w:val="Pasussalistom"/>
        <w:numPr>
          <w:ilvl w:val="0"/>
          <w:numId w:val="26"/>
        </w:numPr>
        <w:rPr>
          <w:rFonts w:ascii="Calibri" w:eastAsia="Calibri" w:hAnsi="Calibri" w:cs="Calibri"/>
          <w:color w:val="000000" w:themeColor="text1"/>
          <w:sz w:val="24"/>
          <w:szCs w:val="24"/>
          <w:lang w:val="en-US"/>
        </w:rPr>
      </w:pPr>
      <w:r w:rsidRPr="176F6A0C">
        <w:rPr>
          <w:lang w:val="en-US"/>
        </w:rPr>
        <w:t>Timeliness against plan (on-time versus delayed delivery, with reasons such as inputs, clearance, or access constraints); and</w:t>
      </w:r>
    </w:p>
    <w:p w14:paraId="4E8EAA22" w14:textId="57315BF8" w:rsidR="00375603" w:rsidRDefault="505ABB92" w:rsidP="00042275">
      <w:pPr>
        <w:pStyle w:val="Pasussalistom"/>
        <w:numPr>
          <w:ilvl w:val="0"/>
          <w:numId w:val="26"/>
        </w:numPr>
        <w:rPr>
          <w:rFonts w:ascii="Calibri" w:eastAsia="Calibri" w:hAnsi="Calibri" w:cs="Calibri"/>
          <w:color w:val="000000" w:themeColor="text1"/>
          <w:sz w:val="24"/>
          <w:szCs w:val="24"/>
          <w:lang w:val="en-US"/>
        </w:rPr>
      </w:pPr>
      <w:r w:rsidRPr="176F6A0C">
        <w:rPr>
          <w:lang w:val="en-US"/>
        </w:rPr>
        <w:t>Turnaround time from draft to publication for RED-lane items.</w:t>
      </w:r>
    </w:p>
    <w:p w14:paraId="6063D617" w14:textId="6B294333" w:rsidR="00375603" w:rsidRDefault="505ABB92" w:rsidP="176F6A0C">
      <w:pPr>
        <w:rPr>
          <w:rFonts w:ascii="Calibri" w:eastAsia="Calibri" w:hAnsi="Calibri" w:cs="Calibri"/>
          <w:color w:val="000000" w:themeColor="text1"/>
          <w:sz w:val="24"/>
          <w:szCs w:val="24"/>
          <w:lang w:val="en-US"/>
        </w:rPr>
      </w:pPr>
      <w:r w:rsidRPr="176F6A0C">
        <w:rPr>
          <w:lang w:val="en-US"/>
        </w:rPr>
        <w:t>Outcome KPIs capture practical signals of reach, engagement, and participation, using available data. These include</w:t>
      </w:r>
    </w:p>
    <w:p w14:paraId="44888294" w14:textId="5F1F0BE9" w:rsidR="00375603" w:rsidRDefault="505ABB92" w:rsidP="00042275">
      <w:pPr>
        <w:pStyle w:val="Pasussalistom"/>
        <w:numPr>
          <w:ilvl w:val="0"/>
          <w:numId w:val="25"/>
        </w:numPr>
        <w:rPr>
          <w:rFonts w:ascii="Calibri" w:eastAsia="Calibri" w:hAnsi="Calibri" w:cs="Calibri"/>
          <w:color w:val="000000" w:themeColor="text1"/>
          <w:sz w:val="24"/>
          <w:szCs w:val="24"/>
          <w:lang w:val="en-US"/>
        </w:rPr>
      </w:pPr>
      <w:r w:rsidRPr="176F6A0C">
        <w:rPr>
          <w:lang w:val="en-US"/>
        </w:rPr>
        <w:t>Website: sessions to flagship pages, time on page, and document downloads (where available);</w:t>
      </w:r>
    </w:p>
    <w:p w14:paraId="4F9630AF" w14:textId="34833F01" w:rsidR="00375603" w:rsidRDefault="505ABB92" w:rsidP="00042275">
      <w:pPr>
        <w:pStyle w:val="Pasussalistom"/>
        <w:numPr>
          <w:ilvl w:val="0"/>
          <w:numId w:val="25"/>
        </w:numPr>
        <w:rPr>
          <w:rFonts w:ascii="Calibri" w:eastAsia="Calibri" w:hAnsi="Calibri" w:cs="Calibri"/>
          <w:color w:val="000000" w:themeColor="text1"/>
          <w:sz w:val="24"/>
          <w:szCs w:val="24"/>
          <w:lang w:val="en-US"/>
        </w:rPr>
      </w:pPr>
      <w:r w:rsidRPr="176F6A0C">
        <w:rPr>
          <w:lang w:val="en-US"/>
        </w:rPr>
        <w:t>Newsletter: subscribers, open rate, and click rate (where available);</w:t>
      </w:r>
    </w:p>
    <w:p w14:paraId="037ECC5C" w14:textId="1CDEDC96" w:rsidR="00375603" w:rsidRDefault="505ABB92" w:rsidP="00042275">
      <w:pPr>
        <w:pStyle w:val="Pasussalistom"/>
        <w:numPr>
          <w:ilvl w:val="0"/>
          <w:numId w:val="25"/>
        </w:numPr>
        <w:rPr>
          <w:rFonts w:ascii="Calibri" w:eastAsia="Calibri" w:hAnsi="Calibri" w:cs="Calibri"/>
          <w:color w:val="000000" w:themeColor="text1"/>
          <w:sz w:val="24"/>
          <w:szCs w:val="24"/>
          <w:lang w:val="en-US"/>
        </w:rPr>
      </w:pPr>
      <w:r w:rsidRPr="176F6A0C">
        <w:rPr>
          <w:lang w:val="en-US"/>
        </w:rPr>
        <w:t>Social media: reach, engagement rate, and link clicks (where available);</w:t>
      </w:r>
    </w:p>
    <w:p w14:paraId="151086E2" w14:textId="44D02318" w:rsidR="00375603" w:rsidRDefault="505ABB92" w:rsidP="00042275">
      <w:pPr>
        <w:pStyle w:val="Pasussalistom"/>
        <w:numPr>
          <w:ilvl w:val="0"/>
          <w:numId w:val="25"/>
        </w:numPr>
        <w:rPr>
          <w:rFonts w:ascii="Calibri" w:eastAsia="Calibri" w:hAnsi="Calibri" w:cs="Calibri"/>
          <w:color w:val="000000" w:themeColor="text1"/>
          <w:sz w:val="24"/>
          <w:szCs w:val="24"/>
          <w:lang w:val="en-US"/>
        </w:rPr>
      </w:pPr>
      <w:r w:rsidRPr="176F6A0C">
        <w:rPr>
          <w:lang w:val="en-US"/>
        </w:rPr>
        <w:lastRenderedPageBreak/>
        <w:t>Participation moments: attendance, feedback volume and quality (where structured feedback is collected), and follow-up actions triggered (where traceable); and</w:t>
      </w:r>
    </w:p>
    <w:p w14:paraId="2F0B2CA3" w14:textId="1CFAF3E5" w:rsidR="00375603" w:rsidRDefault="505ABB92" w:rsidP="00042275">
      <w:pPr>
        <w:pStyle w:val="Pasussalistom"/>
        <w:numPr>
          <w:ilvl w:val="0"/>
          <w:numId w:val="25"/>
        </w:numPr>
        <w:rPr>
          <w:rFonts w:ascii="Calibri" w:eastAsia="Calibri" w:hAnsi="Calibri" w:cs="Calibri"/>
          <w:color w:val="000000" w:themeColor="text1"/>
          <w:sz w:val="24"/>
          <w:szCs w:val="24"/>
          <w:lang w:val="en-US"/>
        </w:rPr>
      </w:pPr>
      <w:r w:rsidRPr="176F6A0C">
        <w:rPr>
          <w:lang w:val="en-US"/>
        </w:rPr>
        <w:t>Partner uptake: the number of partner reposts or mentions, including whether intended messages are accurately retained.</w:t>
      </w:r>
    </w:p>
    <w:p w14:paraId="1F2C13AD" w14:textId="47869717" w:rsidR="00375603" w:rsidRDefault="505ABB92" w:rsidP="176F6A0C">
      <w:r w:rsidRPr="176F6A0C">
        <w:rPr>
          <w:lang w:val="en-US"/>
        </w:rPr>
        <w:t>These indicators feed a lightweight learning loop. A quarterly 30–45 minute review, facilitated by the communications coordinator, is used to assess performance and drivers, identify audience feedback and requests, understand delays linked to inputs or clearance, and define adjustments for the next quarter’s plan (including updates to the editorial calendar where relevant).</w:t>
      </w:r>
    </w:p>
    <w:p w14:paraId="7FBD54D5" w14:textId="3579EC2D" w:rsidR="00375603" w:rsidRDefault="00375603" w:rsidP="176F6A0C">
      <w:pPr>
        <w:rPr>
          <w:lang w:val="en-US"/>
        </w:rPr>
      </w:pPr>
    </w:p>
    <w:p w14:paraId="5DFE423E" w14:textId="0B654E99" w:rsidR="00375603" w:rsidRDefault="7A6FCC38" w:rsidP="176F6A0C">
      <w:pPr>
        <w:rPr>
          <w:rFonts w:ascii="Calibri" w:hAnsi="Calibri" w:cs="Calibri"/>
          <w:b/>
          <w:bCs/>
          <w:color w:val="2F5496" w:themeColor="accent1" w:themeShade="BF"/>
          <w:sz w:val="28"/>
          <w:szCs w:val="28"/>
        </w:rPr>
      </w:pPr>
      <w:r w:rsidRPr="176F6A0C">
        <w:rPr>
          <w:rFonts w:ascii="Calibri" w:hAnsi="Calibri" w:cs="Calibri"/>
          <w:b/>
          <w:bCs/>
          <w:color w:val="2F5496" w:themeColor="accent1" w:themeShade="BF"/>
          <w:sz w:val="28"/>
          <w:szCs w:val="28"/>
        </w:rPr>
        <w:t>13.</w:t>
      </w:r>
      <w:r w:rsidR="00E509CB">
        <w:tab/>
      </w:r>
      <w:r w:rsidR="101035CA" w:rsidRPr="176F6A0C">
        <w:rPr>
          <w:rFonts w:ascii="Calibri" w:hAnsi="Calibri" w:cs="Calibri"/>
          <w:b/>
          <w:bCs/>
          <w:color w:val="2F5496" w:themeColor="accent1" w:themeShade="BF"/>
          <w:sz w:val="28"/>
          <w:szCs w:val="28"/>
        </w:rPr>
        <w:t>Risks, assumptions and guardrails</w:t>
      </w:r>
    </w:p>
    <w:p w14:paraId="51513BCC" w14:textId="37F5B4CC" w:rsidR="00375603" w:rsidRDefault="7A6FCC38" w:rsidP="176F6A0C">
      <w:pPr>
        <w:rPr>
          <w:rFonts w:ascii="Calibri" w:eastAsia="Calibri" w:hAnsi="Calibri" w:cs="Calibri"/>
          <w:color w:val="000000" w:themeColor="text1"/>
          <w:sz w:val="24"/>
          <w:szCs w:val="24"/>
          <w:lang w:val="en-US"/>
        </w:rPr>
      </w:pPr>
      <w:r w:rsidRPr="176F6A0C">
        <w:rPr>
          <w:lang w:val="en-US"/>
        </w:rPr>
        <w:t>Section 13 sets out the risks, assumptions, and guardrails that ensure DIKTAS II communications remain credible and feasible under lean capacity. It identifies predictable failure points early, clarifies what must be in place for delivery to function, and establishes simple constraints to prevent scope creep and message drift. These guardrails are operationalised through the governance and planning cadence defined in Section 10.</w:t>
      </w:r>
    </w:p>
    <w:p w14:paraId="5EE04398" w14:textId="78B2E017" w:rsidR="00375603" w:rsidRDefault="7A6FCC38" w:rsidP="176F6A0C">
      <w:pPr>
        <w:rPr>
          <w:rFonts w:ascii="Calibri" w:eastAsia="Calibri" w:hAnsi="Calibri" w:cs="Calibri"/>
          <w:color w:val="000000" w:themeColor="text1"/>
          <w:sz w:val="24"/>
          <w:szCs w:val="24"/>
          <w:lang w:val="en-US"/>
        </w:rPr>
      </w:pPr>
      <w:r w:rsidRPr="176F6A0C">
        <w:rPr>
          <w:lang w:val="en-US"/>
        </w:rPr>
        <w:t>The main delivery risks are practical and recurring. Communications stall when inputs are missing (facts, photos, quotes, or timely updates from focal points). Progress can be blocked by access and permissions constraints, including limited ability to publish or update channels and repositories (website/CMS access, social accounts, template folders). Unclear approvals create bottlenecks and increase institutional risk when outputs move through inconsistent clearance routes.</w:t>
      </w:r>
    </w:p>
    <w:p w14:paraId="3CACFB31" w14:textId="6DC6841C" w:rsidR="00375603" w:rsidRDefault="7A6FCC38" w:rsidP="176F6A0C">
      <w:pPr>
        <w:rPr>
          <w:rFonts w:ascii="Calibri" w:eastAsia="Calibri" w:hAnsi="Calibri" w:cs="Calibri"/>
          <w:color w:val="000000" w:themeColor="text1"/>
          <w:sz w:val="24"/>
          <w:szCs w:val="24"/>
          <w:lang w:val="en-US"/>
        </w:rPr>
      </w:pPr>
      <w:r w:rsidRPr="176F6A0C">
        <w:rPr>
          <w:lang w:val="en-US"/>
        </w:rPr>
        <w:t>Additional risks affect strategic alignment and resource allocation. Scope creep can arise when recurring expectations for newsletters, website updates, and social media expand beyond capacity unless explicitly capped. Channel misallocation occurs when effort is allocated to low-yield channels at national level (e.g., generic social posting with limited reach), at the expense of higher-impact direct outreach and stakeholder-facing activities; at international and regional levels, social media may be high-yield and should be resourced accordingly. DIKTAS II must also manage message fragmentation across partners and countries, and sensitivity risk, by avoiding unvalidated claims or politically sensitive framing that has not been cleared.</w:t>
      </w:r>
    </w:p>
    <w:p w14:paraId="6EEEE741" w14:textId="096BC4CA" w:rsidR="00375603" w:rsidRDefault="7A6FCC38" w:rsidP="176F6A0C">
      <w:pPr>
        <w:rPr>
          <w:rFonts w:ascii="Calibri" w:eastAsia="Calibri" w:hAnsi="Calibri" w:cs="Calibri"/>
          <w:color w:val="000000" w:themeColor="text1"/>
          <w:sz w:val="24"/>
          <w:szCs w:val="24"/>
          <w:lang w:val="en-US"/>
        </w:rPr>
      </w:pPr>
      <w:r w:rsidRPr="176F6A0C">
        <w:rPr>
          <w:lang w:val="en-US"/>
        </w:rPr>
        <w:t>In case of sensitive developments, misinformation, or external scrutiny, communications follow a controlled response approach: a single draft is coordinated through the communications coordinator, technically validated if needed, and cleared through the Project Manager and relevant institutional channels before any public response or partner amplification.</w:t>
      </w:r>
    </w:p>
    <w:p w14:paraId="7B4B082A" w14:textId="2DDC828D" w:rsidR="00375603" w:rsidRDefault="7A6FCC38" w:rsidP="176F6A0C">
      <w:pPr>
        <w:rPr>
          <w:rFonts w:ascii="Calibri" w:eastAsia="Calibri" w:hAnsi="Calibri" w:cs="Calibri"/>
          <w:color w:val="000000" w:themeColor="text1"/>
          <w:sz w:val="24"/>
          <w:szCs w:val="24"/>
          <w:lang w:val="en-US"/>
        </w:rPr>
      </w:pPr>
      <w:r w:rsidRPr="176F6A0C">
        <w:rPr>
          <w:lang w:val="en-US"/>
        </w:rPr>
        <w:t>The operating model depends on a small set of assumptions. A minimum governance agreement is expected to be in place, defining who clears which outputs and how review lanes operate. Partners are expected to contribute through a lightweight input cadence so delivery does not rely on a single source of content. A core set of boilerplates, templates, and reusable assets is expected to be approved early, enabling efficient and consistent production.</w:t>
      </w:r>
    </w:p>
    <w:p w14:paraId="5A8EB903" w14:textId="6B043604" w:rsidR="00375603" w:rsidRDefault="7A6FCC38" w:rsidP="176F6A0C">
      <w:r w:rsidRPr="176F6A0C">
        <w:rPr>
          <w:lang w:val="en-US"/>
        </w:rPr>
        <w:t xml:space="preserve">To keep workload aligned with capacity, DIKTAS II applies clear guardrails. The committed plan is capped monthly (flagship outputs with limited derivative content), with a separate backlog maintained for additional ideas. Each output has a defined “definition of done” to prevent uncontrolled expansion. New requests are managed through change control: additional tasks must </w:t>
      </w:r>
      <w:r w:rsidRPr="176F6A0C">
        <w:rPr>
          <w:lang w:val="en-US"/>
        </w:rPr>
        <w:lastRenderedPageBreak/>
        <w:t>displace existing priorities or be explicitly resourced. Partner packs are standardised and used as the default dissemination handoff to reduce rewriting and prevent message drift. Finally, a short communications risk register (maximum five items) is maintained, with a defined owner, mitigation actions, and a “decision needed by” date to ensure risks are actively managed.</w:t>
      </w:r>
    </w:p>
    <w:p w14:paraId="04E95BEB" w14:textId="3426989D" w:rsidR="00375603" w:rsidRDefault="00375603" w:rsidP="176F6A0C">
      <w:pPr>
        <w:rPr>
          <w:lang w:val="en-US"/>
        </w:rPr>
      </w:pPr>
    </w:p>
    <w:p w14:paraId="612AAE12" w14:textId="5530BA1F" w:rsidR="00375603" w:rsidRDefault="00375603" w:rsidP="176F6A0C">
      <w:pPr>
        <w:rPr>
          <w:lang w:val="en-US"/>
        </w:rPr>
      </w:pPr>
    </w:p>
    <w:p w14:paraId="587254F2" w14:textId="7E0B9998" w:rsidR="00375603" w:rsidRDefault="00375603" w:rsidP="176F6A0C">
      <w:pPr>
        <w:rPr>
          <w:lang w:val="en-US"/>
        </w:rPr>
      </w:pPr>
    </w:p>
    <w:p w14:paraId="64DEE9C7" w14:textId="7A62017D" w:rsidR="00375603" w:rsidRDefault="00375603" w:rsidP="176F6A0C">
      <w:pPr>
        <w:rPr>
          <w:lang w:val="en-US"/>
        </w:rPr>
      </w:pPr>
    </w:p>
    <w:p w14:paraId="24855BAF" w14:textId="48CA5225" w:rsidR="00375603" w:rsidRDefault="00375603" w:rsidP="176F6A0C">
      <w:pPr>
        <w:rPr>
          <w:lang w:val="en-US"/>
        </w:rPr>
      </w:pPr>
    </w:p>
    <w:p w14:paraId="35E9C108" w14:textId="438C73CA" w:rsidR="00375603" w:rsidRDefault="00375603" w:rsidP="176F6A0C">
      <w:pPr>
        <w:rPr>
          <w:lang w:val="en-US"/>
        </w:rPr>
      </w:pPr>
    </w:p>
    <w:p w14:paraId="5F394BA5" w14:textId="193E69F8" w:rsidR="00375603" w:rsidRDefault="00375603" w:rsidP="176F6A0C">
      <w:pPr>
        <w:rPr>
          <w:lang w:val="en-US"/>
        </w:rPr>
      </w:pPr>
    </w:p>
    <w:p w14:paraId="04B231C3" w14:textId="0665FB75" w:rsidR="00375603" w:rsidRDefault="00375603" w:rsidP="176F6A0C">
      <w:pPr>
        <w:rPr>
          <w:lang w:val="en-US"/>
        </w:rPr>
      </w:pPr>
    </w:p>
    <w:p w14:paraId="06072A12" w14:textId="2DC8F438" w:rsidR="00375603" w:rsidRDefault="00375603" w:rsidP="176F6A0C">
      <w:pPr>
        <w:rPr>
          <w:lang w:val="en-US"/>
        </w:rPr>
      </w:pPr>
    </w:p>
    <w:p w14:paraId="799216E2" w14:textId="794CF8F5" w:rsidR="00375603" w:rsidRDefault="00375603" w:rsidP="176F6A0C">
      <w:pPr>
        <w:rPr>
          <w:lang w:val="en-US"/>
        </w:rPr>
      </w:pPr>
    </w:p>
    <w:p w14:paraId="3A7F26A0" w14:textId="68087B7B" w:rsidR="00375603" w:rsidRDefault="00375603" w:rsidP="176F6A0C">
      <w:pPr>
        <w:rPr>
          <w:lang w:val="en-US"/>
        </w:rPr>
      </w:pPr>
    </w:p>
    <w:p w14:paraId="6F355CA3" w14:textId="28DD062F" w:rsidR="00375603" w:rsidRDefault="00375603" w:rsidP="176F6A0C">
      <w:pPr>
        <w:rPr>
          <w:lang w:val="en-US"/>
        </w:rPr>
      </w:pPr>
    </w:p>
    <w:p w14:paraId="033578D2" w14:textId="049080C0" w:rsidR="00375603" w:rsidRDefault="00375603" w:rsidP="176F6A0C">
      <w:pPr>
        <w:rPr>
          <w:lang w:val="en-US"/>
        </w:rPr>
      </w:pPr>
    </w:p>
    <w:p w14:paraId="28E9B0DE" w14:textId="35711EBF" w:rsidR="00375603" w:rsidRDefault="00375603" w:rsidP="176F6A0C">
      <w:pPr>
        <w:rPr>
          <w:lang w:val="en-US"/>
        </w:rPr>
      </w:pPr>
    </w:p>
    <w:p w14:paraId="182E7A9D" w14:textId="474E6A3F" w:rsidR="00375603" w:rsidRDefault="00375603" w:rsidP="176F6A0C">
      <w:pPr>
        <w:rPr>
          <w:lang w:val="en-US"/>
        </w:rPr>
      </w:pPr>
    </w:p>
    <w:p w14:paraId="5105DA06" w14:textId="1D471211" w:rsidR="00375603" w:rsidRDefault="00375603" w:rsidP="176F6A0C">
      <w:pPr>
        <w:rPr>
          <w:lang w:val="en-US"/>
        </w:rPr>
      </w:pPr>
    </w:p>
    <w:p w14:paraId="718E8A9A" w14:textId="0FF2FFF7" w:rsidR="00375603" w:rsidRDefault="00375603" w:rsidP="176F6A0C">
      <w:pPr>
        <w:rPr>
          <w:lang w:val="en-US"/>
        </w:rPr>
      </w:pPr>
    </w:p>
    <w:p w14:paraId="46BD824F" w14:textId="77777777" w:rsidR="00D34B86" w:rsidRDefault="00D34B86" w:rsidP="176F6A0C">
      <w:pPr>
        <w:rPr>
          <w:lang w:val="en-US"/>
        </w:rPr>
      </w:pPr>
    </w:p>
    <w:p w14:paraId="0EC7E444" w14:textId="77777777" w:rsidR="00D34B86" w:rsidRDefault="00D34B86" w:rsidP="176F6A0C">
      <w:pPr>
        <w:rPr>
          <w:lang w:val="en-US"/>
        </w:rPr>
      </w:pPr>
    </w:p>
    <w:p w14:paraId="22B08C51" w14:textId="77777777" w:rsidR="00D34B86" w:rsidRDefault="00D34B86" w:rsidP="176F6A0C">
      <w:pPr>
        <w:rPr>
          <w:lang w:val="en-US"/>
        </w:rPr>
      </w:pPr>
    </w:p>
    <w:p w14:paraId="2C7FC7BF" w14:textId="77777777" w:rsidR="00D34B86" w:rsidRDefault="00D34B86" w:rsidP="176F6A0C">
      <w:pPr>
        <w:rPr>
          <w:lang w:val="en-US"/>
        </w:rPr>
      </w:pPr>
    </w:p>
    <w:p w14:paraId="5B8C6E18" w14:textId="77777777" w:rsidR="00D34B86" w:rsidRDefault="00D34B86" w:rsidP="176F6A0C">
      <w:pPr>
        <w:rPr>
          <w:lang w:val="en-US"/>
        </w:rPr>
      </w:pPr>
    </w:p>
    <w:p w14:paraId="1C47D40F" w14:textId="44BB00F5" w:rsidR="00375603" w:rsidRDefault="00375603" w:rsidP="176F6A0C">
      <w:pPr>
        <w:rPr>
          <w:lang w:val="en-US"/>
        </w:rPr>
      </w:pPr>
    </w:p>
    <w:p w14:paraId="6937884F" w14:textId="3BE4D1D8" w:rsidR="00375603" w:rsidRDefault="00375603" w:rsidP="176F6A0C">
      <w:pPr>
        <w:rPr>
          <w:lang w:val="en-US"/>
        </w:rPr>
      </w:pPr>
    </w:p>
    <w:p w14:paraId="3A5BA509" w14:textId="7364B423" w:rsidR="00375603" w:rsidRDefault="00375603" w:rsidP="176F6A0C">
      <w:pPr>
        <w:rPr>
          <w:lang w:val="en-US"/>
        </w:rPr>
      </w:pPr>
    </w:p>
    <w:p w14:paraId="7B36BE0B" w14:textId="7C57D791" w:rsidR="00375603" w:rsidRDefault="00375603" w:rsidP="176F6A0C">
      <w:pPr>
        <w:rPr>
          <w:lang w:val="en-US"/>
        </w:rPr>
      </w:pPr>
    </w:p>
    <w:p w14:paraId="6349EA86" w14:textId="46720389" w:rsidR="00375603" w:rsidRDefault="00375603" w:rsidP="176F6A0C">
      <w:pPr>
        <w:rPr>
          <w:lang w:val="en-US"/>
        </w:rPr>
      </w:pPr>
    </w:p>
    <w:p w14:paraId="1A3301BA" w14:textId="311AC0F7" w:rsidR="00375603" w:rsidRDefault="39772882" w:rsidP="176F6A0C">
      <w:r w:rsidRPr="176F6A0C">
        <w:rPr>
          <w:rFonts w:ascii="Calibri" w:hAnsi="Calibri" w:cs="Calibri"/>
          <w:color w:val="2F5496" w:themeColor="accent1" w:themeShade="BF"/>
          <w:sz w:val="28"/>
          <w:szCs w:val="28"/>
        </w:rPr>
        <w:lastRenderedPageBreak/>
        <w:t xml:space="preserve">Annex A: </w:t>
      </w:r>
      <w:r w:rsidR="4947EA3D" w:rsidRPr="176F6A0C">
        <w:rPr>
          <w:rFonts w:ascii="Calibri" w:hAnsi="Calibri" w:cs="Calibri"/>
          <w:color w:val="2F5496" w:themeColor="accent1" w:themeShade="BF"/>
          <w:sz w:val="28"/>
          <w:szCs w:val="28"/>
        </w:rPr>
        <w:t>Editorial planning approach and indicative calendar</w:t>
      </w:r>
    </w:p>
    <w:p w14:paraId="3F1F0D17" w14:textId="3103C51C" w:rsidR="00375603" w:rsidRDefault="4947EA3D" w:rsidP="176F6A0C">
      <w:pPr>
        <w:rPr>
          <w:rFonts w:ascii="Calibri" w:hAnsi="Calibri" w:cs="Calibri"/>
          <w:b/>
          <w:bCs/>
          <w:color w:val="2F5496" w:themeColor="accent1" w:themeShade="BF"/>
          <w:sz w:val="24"/>
          <w:szCs w:val="24"/>
        </w:rPr>
      </w:pPr>
      <w:r w:rsidRPr="176F6A0C">
        <w:rPr>
          <w:rFonts w:ascii="Calibri" w:hAnsi="Calibri" w:cs="Calibri"/>
          <w:b/>
          <w:bCs/>
          <w:color w:val="2F5496" w:themeColor="accent1" w:themeShade="BF"/>
          <w:sz w:val="24"/>
          <w:szCs w:val="24"/>
        </w:rPr>
        <w:t>A.1.</w:t>
      </w:r>
      <w:r w:rsidR="00E509CB">
        <w:tab/>
      </w:r>
      <w:r w:rsidRPr="176F6A0C">
        <w:rPr>
          <w:rFonts w:ascii="Calibri" w:hAnsi="Calibri" w:cs="Calibri"/>
          <w:b/>
          <w:bCs/>
          <w:color w:val="2F5496" w:themeColor="accent1" w:themeShade="BF"/>
          <w:sz w:val="24"/>
          <w:szCs w:val="24"/>
        </w:rPr>
        <w:t>Editorial planning principles</w:t>
      </w:r>
    </w:p>
    <w:p w14:paraId="2EFE17EE" w14:textId="02E983F3" w:rsidR="00375603" w:rsidRDefault="4947EA3D" w:rsidP="176F6A0C">
      <w:r w:rsidRPr="176F6A0C">
        <w:rPr>
          <w:lang w:val="en-US"/>
        </w:rPr>
        <w:t>This annex translates the DIKTAS II Communication Strategy into an indicative planning framework for communication and dissemination activities. It provides a structured approach for sequencing outputs, maintaining visibility, supporting project milestones, and managing communication capacity throughout implementation.</w:t>
      </w:r>
    </w:p>
    <w:p w14:paraId="3A7792FE" w14:textId="0104AC6A" w:rsidR="00375603" w:rsidRDefault="4947EA3D" w:rsidP="176F6A0C">
      <w:r w:rsidRPr="176F6A0C">
        <w:rPr>
          <w:lang w:val="en-US"/>
        </w:rPr>
        <w:t>The calendar presented in this annex is indicative and should be reviewed periodically. Actual outputs, timing, and sequencing may be adjusted to reflect project progress, validation timelines, stakeholder engagement processes, institutional review requirements, and emerging communication opportunities.</w:t>
      </w:r>
    </w:p>
    <w:p w14:paraId="11914BCE" w14:textId="721152BA" w:rsidR="00375603" w:rsidRDefault="4947EA3D" w:rsidP="176F6A0C">
      <w:r w:rsidRPr="176F6A0C">
        <w:rPr>
          <w:lang w:val="en-US"/>
        </w:rPr>
        <w:t>The approach is designed to maintain communication continuity while ensuring that outputs remain proportionate to available capacity and aligned with validated project results.</w:t>
      </w:r>
    </w:p>
    <w:p w14:paraId="54BF6976" w14:textId="144BED4E" w:rsidR="00375603" w:rsidRDefault="4947EA3D" w:rsidP="176F6A0C">
      <w:pPr>
        <w:rPr>
          <w:rFonts w:ascii="Calibri" w:hAnsi="Calibri" w:cs="Calibri"/>
          <w:b/>
          <w:bCs/>
          <w:color w:val="2F5496" w:themeColor="accent1" w:themeShade="BF"/>
          <w:sz w:val="24"/>
          <w:szCs w:val="24"/>
        </w:rPr>
      </w:pPr>
      <w:r w:rsidRPr="176F6A0C">
        <w:rPr>
          <w:rFonts w:ascii="Calibri" w:hAnsi="Calibri" w:cs="Calibri"/>
          <w:b/>
          <w:bCs/>
          <w:color w:val="2F5496" w:themeColor="accent1" w:themeShade="BF"/>
          <w:sz w:val="24"/>
          <w:szCs w:val="24"/>
        </w:rPr>
        <w:t>A.2</w:t>
      </w:r>
      <w:r w:rsidR="39772882" w:rsidRPr="176F6A0C">
        <w:rPr>
          <w:rFonts w:ascii="Calibri" w:hAnsi="Calibri" w:cs="Calibri"/>
          <w:b/>
          <w:bCs/>
          <w:color w:val="2F5496" w:themeColor="accent1" w:themeShade="BF"/>
          <w:sz w:val="24"/>
          <w:szCs w:val="24"/>
        </w:rPr>
        <w:t>.</w:t>
      </w:r>
      <w:r w:rsidR="00E509CB">
        <w:tab/>
      </w:r>
      <w:r w:rsidR="7F99B196" w:rsidRPr="176F6A0C">
        <w:rPr>
          <w:rFonts w:ascii="Calibri" w:hAnsi="Calibri" w:cs="Calibri"/>
          <w:b/>
          <w:bCs/>
          <w:color w:val="2F5496" w:themeColor="accent1" w:themeShade="BF"/>
          <w:sz w:val="24"/>
          <w:szCs w:val="24"/>
        </w:rPr>
        <w:t>Core planning as</w:t>
      </w:r>
      <w:r w:rsidR="73FADCC6" w:rsidRPr="176F6A0C">
        <w:rPr>
          <w:rFonts w:ascii="Calibri" w:hAnsi="Calibri" w:cs="Calibri"/>
          <w:b/>
          <w:bCs/>
          <w:color w:val="2F5496" w:themeColor="accent1" w:themeShade="BF"/>
          <w:sz w:val="24"/>
          <w:szCs w:val="24"/>
        </w:rPr>
        <w:t>s</w:t>
      </w:r>
      <w:r w:rsidR="7F99B196" w:rsidRPr="176F6A0C">
        <w:rPr>
          <w:rFonts w:ascii="Calibri" w:hAnsi="Calibri" w:cs="Calibri"/>
          <w:b/>
          <w:bCs/>
          <w:color w:val="2F5496" w:themeColor="accent1" w:themeShade="BF"/>
          <w:sz w:val="24"/>
          <w:szCs w:val="24"/>
        </w:rPr>
        <w:t>umptions</w:t>
      </w:r>
    </w:p>
    <w:p w14:paraId="2C0F0E06" w14:textId="43190981" w:rsidR="00375603" w:rsidRDefault="7F99B196" w:rsidP="176F6A0C">
      <w:r w:rsidRPr="176F6A0C">
        <w:t>The editorial calendar is based on the following assumptions:</w:t>
      </w:r>
    </w:p>
    <w:p w14:paraId="1EAD760A" w14:textId="59D51D53" w:rsidR="00375603" w:rsidRDefault="7F99B196" w:rsidP="00042275">
      <w:pPr>
        <w:pStyle w:val="Pasussalistom"/>
        <w:numPr>
          <w:ilvl w:val="0"/>
          <w:numId w:val="23"/>
        </w:numPr>
        <w:rPr>
          <w:rFonts w:ascii="Calibri" w:eastAsia="Calibri" w:hAnsi="Calibri" w:cs="Calibri"/>
          <w:sz w:val="24"/>
          <w:szCs w:val="24"/>
        </w:rPr>
      </w:pPr>
      <w:r w:rsidRPr="176F6A0C">
        <w:t>Communication capacity remains limited and must be used strategically.</w:t>
      </w:r>
    </w:p>
    <w:p w14:paraId="4FA0F3E1" w14:textId="6C143EBF" w:rsidR="00375603" w:rsidRDefault="7F99B196" w:rsidP="00042275">
      <w:pPr>
        <w:pStyle w:val="Pasussalistom"/>
        <w:numPr>
          <w:ilvl w:val="0"/>
          <w:numId w:val="23"/>
        </w:numPr>
        <w:rPr>
          <w:rFonts w:ascii="Calibri" w:eastAsia="Calibri" w:hAnsi="Calibri" w:cs="Calibri"/>
          <w:sz w:val="24"/>
          <w:szCs w:val="24"/>
        </w:rPr>
      </w:pPr>
      <w:r w:rsidRPr="176F6A0C">
        <w:t>Technical validation and institutional review processes influence publication timelines.</w:t>
      </w:r>
    </w:p>
    <w:p w14:paraId="0BDE4CB7" w14:textId="6E25B7C2" w:rsidR="00375603" w:rsidRDefault="7F99B196" w:rsidP="00042275">
      <w:pPr>
        <w:pStyle w:val="Pasussalistom"/>
        <w:numPr>
          <w:ilvl w:val="0"/>
          <w:numId w:val="23"/>
        </w:numPr>
        <w:rPr>
          <w:rFonts w:ascii="Calibri" w:eastAsia="Calibri" w:hAnsi="Calibri" w:cs="Calibri"/>
          <w:sz w:val="24"/>
          <w:szCs w:val="24"/>
        </w:rPr>
      </w:pPr>
      <w:r w:rsidRPr="176F6A0C">
        <w:t>Communication outputs should prioritise quality, relevance, and usability over volume.</w:t>
      </w:r>
    </w:p>
    <w:p w14:paraId="3FFC9912" w14:textId="56D21495" w:rsidR="00375603" w:rsidRDefault="7F99B196" w:rsidP="00042275">
      <w:pPr>
        <w:pStyle w:val="Pasussalistom"/>
        <w:numPr>
          <w:ilvl w:val="0"/>
          <w:numId w:val="23"/>
        </w:numPr>
        <w:rPr>
          <w:rFonts w:ascii="Calibri" w:eastAsia="Calibri" w:hAnsi="Calibri" w:cs="Calibri"/>
          <w:sz w:val="24"/>
          <w:szCs w:val="24"/>
        </w:rPr>
      </w:pPr>
      <w:r w:rsidRPr="176F6A0C">
        <w:t>Project milestones, stakeholder engagement activities, and validated outputs provide the primary basis for communication planning.</w:t>
      </w:r>
    </w:p>
    <w:p w14:paraId="3FDE7955" w14:textId="6C1042CC" w:rsidR="00375603" w:rsidRDefault="7F99B196" w:rsidP="00042275">
      <w:pPr>
        <w:pStyle w:val="Pasussalistom"/>
        <w:numPr>
          <w:ilvl w:val="0"/>
          <w:numId w:val="23"/>
        </w:numPr>
        <w:rPr>
          <w:rFonts w:ascii="Calibri" w:eastAsia="Calibri" w:hAnsi="Calibri" w:cs="Calibri"/>
          <w:sz w:val="24"/>
          <w:szCs w:val="24"/>
        </w:rPr>
      </w:pPr>
      <w:r w:rsidRPr="176F6A0C">
        <w:t>Communication products should be designed for reuse across channels and audiences wherever possible.</w:t>
      </w:r>
    </w:p>
    <w:p w14:paraId="020B9CC5" w14:textId="7F58D6BA" w:rsidR="00375603" w:rsidRDefault="7F99B196" w:rsidP="00042275">
      <w:pPr>
        <w:pStyle w:val="Pasussalistom"/>
        <w:numPr>
          <w:ilvl w:val="0"/>
          <w:numId w:val="23"/>
        </w:numPr>
        <w:rPr>
          <w:rFonts w:ascii="Calibri" w:eastAsia="Calibri" w:hAnsi="Calibri" w:cs="Calibri"/>
          <w:sz w:val="24"/>
          <w:szCs w:val="24"/>
        </w:rPr>
      </w:pPr>
      <w:r w:rsidRPr="176F6A0C">
        <w:t>Website content, partner packs, newsletters, and social media should function as complementary elements within a single communication system.</w:t>
      </w:r>
    </w:p>
    <w:p w14:paraId="296CA4A1" w14:textId="738E44D6" w:rsidR="00375603" w:rsidRDefault="7F99B196" w:rsidP="176F6A0C">
      <w:pPr>
        <w:rPr>
          <w:rFonts w:ascii="Calibri" w:hAnsi="Calibri" w:cs="Calibri"/>
          <w:b/>
          <w:bCs/>
          <w:color w:val="2F5496" w:themeColor="accent1" w:themeShade="BF"/>
          <w:sz w:val="24"/>
          <w:szCs w:val="24"/>
        </w:rPr>
      </w:pPr>
      <w:r w:rsidRPr="176F6A0C">
        <w:rPr>
          <w:rFonts w:ascii="Calibri" w:hAnsi="Calibri" w:cs="Calibri"/>
          <w:b/>
          <w:bCs/>
          <w:color w:val="2F5496" w:themeColor="accent1" w:themeShade="BF"/>
          <w:sz w:val="24"/>
          <w:szCs w:val="24"/>
        </w:rPr>
        <w:t>A.3.</w:t>
      </w:r>
      <w:r w:rsidR="00E509CB">
        <w:tab/>
      </w:r>
      <w:r w:rsidRPr="176F6A0C">
        <w:rPr>
          <w:rFonts w:ascii="Calibri" w:hAnsi="Calibri" w:cs="Calibri"/>
          <w:b/>
          <w:bCs/>
          <w:color w:val="2F5496" w:themeColor="accent1" w:themeShade="BF"/>
          <w:sz w:val="24"/>
          <w:szCs w:val="24"/>
        </w:rPr>
        <w:t>Baseline communication commitments</w:t>
      </w:r>
    </w:p>
    <w:p w14:paraId="6195F1E8" w14:textId="199849FA" w:rsidR="00375603" w:rsidRDefault="7F99B196" w:rsidP="176F6A0C">
      <w:r w:rsidRPr="176F6A0C">
        <w:rPr>
          <w:lang w:val="en-US"/>
        </w:rPr>
        <w:t>DIKTAS II aims to maintain a consistent communication rhythm through a set of baseline activities:</w:t>
      </w:r>
    </w:p>
    <w:p w14:paraId="1DC6C959" w14:textId="78D6DE90" w:rsidR="00375603" w:rsidRDefault="7F99B196" w:rsidP="00042275">
      <w:pPr>
        <w:pStyle w:val="Pasussalistom"/>
        <w:numPr>
          <w:ilvl w:val="0"/>
          <w:numId w:val="24"/>
        </w:numPr>
        <w:rPr>
          <w:lang w:val="en-US"/>
        </w:rPr>
      </w:pPr>
      <w:r w:rsidRPr="176F6A0C">
        <w:rPr>
          <w:lang w:val="en-US"/>
        </w:rPr>
        <w:t>One substantive flagship communication output per month, typically published through the project website.</w:t>
      </w:r>
    </w:p>
    <w:p w14:paraId="376473DB" w14:textId="47973312" w:rsidR="00375603" w:rsidRDefault="7F99B196" w:rsidP="00042275">
      <w:pPr>
        <w:pStyle w:val="Pasussalistom"/>
        <w:numPr>
          <w:ilvl w:val="0"/>
          <w:numId w:val="24"/>
        </w:numPr>
        <w:rPr>
          <w:lang w:val="en-US"/>
        </w:rPr>
      </w:pPr>
      <w:r w:rsidRPr="176F6A0C">
        <w:rPr>
          <w:lang w:val="en-US"/>
        </w:rPr>
        <w:t>Social amplification linked to flagship outputs and major project activities.</w:t>
      </w:r>
    </w:p>
    <w:p w14:paraId="005AA456" w14:textId="13EF7889" w:rsidR="00375603" w:rsidRDefault="7F99B196" w:rsidP="00042275">
      <w:pPr>
        <w:pStyle w:val="Pasussalistom"/>
        <w:numPr>
          <w:ilvl w:val="0"/>
          <w:numId w:val="24"/>
        </w:numPr>
        <w:rPr>
          <w:lang w:val="en-US"/>
        </w:rPr>
      </w:pPr>
      <w:r w:rsidRPr="176F6A0C">
        <w:rPr>
          <w:lang w:val="en-US"/>
        </w:rPr>
        <w:t>Stakeholder visibility continuity through partner packs, targeted outreach, and reusable communication materials.</w:t>
      </w:r>
    </w:p>
    <w:p w14:paraId="6EE15577" w14:textId="29E36E7C" w:rsidR="00375603" w:rsidRDefault="7F99B196" w:rsidP="00042275">
      <w:pPr>
        <w:pStyle w:val="Pasussalistom"/>
        <w:numPr>
          <w:ilvl w:val="0"/>
          <w:numId w:val="24"/>
        </w:numPr>
        <w:rPr>
          <w:lang w:val="en-US"/>
        </w:rPr>
      </w:pPr>
      <w:r w:rsidRPr="176F6A0C">
        <w:rPr>
          <w:lang w:val="en-US"/>
        </w:rPr>
        <w:t>Thematic alignment with relevant international days where there is a credible and validated project connection.</w:t>
      </w:r>
    </w:p>
    <w:p w14:paraId="01AFDBCC" w14:textId="68A61286" w:rsidR="00375603" w:rsidRDefault="7F99B196" w:rsidP="00042275">
      <w:pPr>
        <w:pStyle w:val="Pasussalistom"/>
        <w:numPr>
          <w:ilvl w:val="0"/>
          <w:numId w:val="24"/>
        </w:numPr>
        <w:rPr>
          <w:lang w:val="en-US"/>
        </w:rPr>
      </w:pPr>
      <w:r w:rsidRPr="176F6A0C">
        <w:rPr>
          <w:lang w:val="en-US"/>
        </w:rPr>
        <w:t>Maintenance and updating of core project communication assets, including website content and evergreen resources.</w:t>
      </w:r>
    </w:p>
    <w:p w14:paraId="5907D7C7" w14:textId="0F80C9F1" w:rsidR="00375603" w:rsidRDefault="7F99B196" w:rsidP="176F6A0C">
      <w:pPr>
        <w:rPr>
          <w:rFonts w:ascii="Calibri" w:hAnsi="Calibri" w:cs="Calibri"/>
          <w:b/>
          <w:bCs/>
          <w:color w:val="2F5496" w:themeColor="accent1" w:themeShade="BF"/>
          <w:sz w:val="24"/>
          <w:szCs w:val="24"/>
        </w:rPr>
      </w:pPr>
      <w:r w:rsidRPr="176F6A0C">
        <w:rPr>
          <w:rFonts w:ascii="Calibri" w:hAnsi="Calibri" w:cs="Calibri"/>
          <w:b/>
          <w:bCs/>
          <w:color w:val="2F5496" w:themeColor="accent1" w:themeShade="BF"/>
          <w:sz w:val="24"/>
          <w:szCs w:val="24"/>
        </w:rPr>
        <w:t>A.4.</w:t>
      </w:r>
      <w:r w:rsidR="00E509CB">
        <w:tab/>
      </w:r>
      <w:r w:rsidRPr="176F6A0C">
        <w:rPr>
          <w:rFonts w:ascii="Calibri" w:hAnsi="Calibri" w:cs="Calibri"/>
          <w:b/>
          <w:bCs/>
          <w:color w:val="2F5496" w:themeColor="accent1" w:themeShade="BF"/>
          <w:sz w:val="24"/>
          <w:szCs w:val="24"/>
        </w:rPr>
        <w:t>Additional communication opportunities</w:t>
      </w:r>
    </w:p>
    <w:p w14:paraId="7E3D5F2F" w14:textId="65699FC0" w:rsidR="00375603" w:rsidRDefault="7F99B196" w:rsidP="176F6A0C">
      <w:r w:rsidRPr="176F6A0C">
        <w:rPr>
          <w:lang w:val="en-US"/>
        </w:rPr>
        <w:t>Subject to project progress, validation timelines, available capacity, and milestone readiness, communication activities may also include:</w:t>
      </w:r>
    </w:p>
    <w:p w14:paraId="7A2FCD96" w14:textId="37B12FF9" w:rsidR="00375603" w:rsidRDefault="7F99B196" w:rsidP="00042275">
      <w:pPr>
        <w:pStyle w:val="Pasussalistom"/>
        <w:numPr>
          <w:ilvl w:val="0"/>
          <w:numId w:val="22"/>
        </w:numPr>
        <w:rPr>
          <w:rFonts w:ascii="Calibri" w:eastAsia="Calibri" w:hAnsi="Calibri" w:cs="Calibri"/>
          <w:lang w:val="en-US"/>
        </w:rPr>
      </w:pPr>
      <w:r w:rsidRPr="176F6A0C">
        <w:rPr>
          <w:lang w:val="en-US"/>
        </w:rPr>
        <w:t>Website development and content expansion.</w:t>
      </w:r>
    </w:p>
    <w:p w14:paraId="2712AF8E" w14:textId="19B6EDF1" w:rsidR="00375603" w:rsidRDefault="7F99B196" w:rsidP="00042275">
      <w:pPr>
        <w:pStyle w:val="Pasussalistom"/>
        <w:numPr>
          <w:ilvl w:val="0"/>
          <w:numId w:val="22"/>
        </w:numPr>
        <w:rPr>
          <w:rFonts w:ascii="Calibri" w:eastAsia="Calibri" w:hAnsi="Calibri" w:cs="Calibri"/>
          <w:lang w:val="en-US"/>
        </w:rPr>
      </w:pPr>
      <w:r w:rsidRPr="176F6A0C">
        <w:rPr>
          <w:lang w:val="en-US"/>
        </w:rPr>
        <w:lastRenderedPageBreak/>
        <w:t>Communication packages linked to major project milestones and events.</w:t>
      </w:r>
    </w:p>
    <w:p w14:paraId="73551FB0" w14:textId="09D29CB0" w:rsidR="00375603" w:rsidRDefault="7F99B196" w:rsidP="00042275">
      <w:pPr>
        <w:pStyle w:val="Pasussalistom"/>
        <w:numPr>
          <w:ilvl w:val="0"/>
          <w:numId w:val="22"/>
        </w:numPr>
        <w:rPr>
          <w:rFonts w:ascii="Calibri" w:eastAsia="Calibri" w:hAnsi="Calibri" w:cs="Calibri"/>
          <w:lang w:val="en-US"/>
        </w:rPr>
      </w:pPr>
      <w:r w:rsidRPr="176F6A0C">
        <w:rPr>
          <w:lang w:val="en-US"/>
        </w:rPr>
        <w:t>Mid-term review and project coordination communications.</w:t>
      </w:r>
    </w:p>
    <w:p w14:paraId="605E924B" w14:textId="11C22E79" w:rsidR="00375603" w:rsidRDefault="7F99B196" w:rsidP="00042275">
      <w:pPr>
        <w:pStyle w:val="Pasussalistom"/>
        <w:numPr>
          <w:ilvl w:val="0"/>
          <w:numId w:val="22"/>
        </w:numPr>
        <w:rPr>
          <w:rFonts w:ascii="Calibri" w:eastAsia="Calibri" w:hAnsi="Calibri" w:cs="Calibri"/>
          <w:lang w:val="en-US"/>
        </w:rPr>
      </w:pPr>
      <w:r w:rsidRPr="176F6A0C">
        <w:rPr>
          <w:lang w:val="en-US"/>
        </w:rPr>
        <w:t>Policy briefs, technical summaries, and thematic explainers.</w:t>
      </w:r>
    </w:p>
    <w:p w14:paraId="05AFE547" w14:textId="299BEC8C" w:rsidR="00375603" w:rsidRDefault="7F99B196" w:rsidP="00042275">
      <w:pPr>
        <w:pStyle w:val="Pasussalistom"/>
        <w:numPr>
          <w:ilvl w:val="0"/>
          <w:numId w:val="22"/>
        </w:numPr>
        <w:rPr>
          <w:rFonts w:ascii="Calibri" w:eastAsia="Calibri" w:hAnsi="Calibri" w:cs="Calibri"/>
          <w:lang w:val="en-US"/>
        </w:rPr>
      </w:pPr>
      <w:r w:rsidRPr="176F6A0C">
        <w:rPr>
          <w:lang w:val="en-US"/>
        </w:rPr>
        <w:t>Contributions to partner communication platforms, including UNESCO-IHP, IW, and related networks.</w:t>
      </w:r>
    </w:p>
    <w:p w14:paraId="7F4503E6" w14:textId="402235B5" w:rsidR="00375603" w:rsidRDefault="7F99B196" w:rsidP="00042275">
      <w:pPr>
        <w:pStyle w:val="Pasussalistom"/>
        <w:numPr>
          <w:ilvl w:val="0"/>
          <w:numId w:val="22"/>
        </w:numPr>
        <w:rPr>
          <w:rFonts w:ascii="Calibri" w:eastAsia="Calibri" w:hAnsi="Calibri" w:cs="Calibri"/>
          <w:lang w:val="en-US"/>
        </w:rPr>
      </w:pPr>
      <w:r w:rsidRPr="176F6A0C">
        <w:rPr>
          <w:lang w:val="en-US"/>
        </w:rPr>
        <w:t>Visual assets, field stories, multimedia products, and knowledge-sharing materials.</w:t>
      </w:r>
    </w:p>
    <w:p w14:paraId="2C78931B" w14:textId="77BAE7F5" w:rsidR="00375603" w:rsidRDefault="7F99B196" w:rsidP="176F6A0C">
      <w:r w:rsidRPr="176F6A0C">
        <w:rPr>
          <w:lang w:val="en-US"/>
        </w:rPr>
        <w:t>These activities complement, but do not replace, the baseline communication commitments.</w:t>
      </w:r>
    </w:p>
    <w:p w14:paraId="2A9DAC8E" w14:textId="2B610A0E" w:rsidR="00375603" w:rsidRDefault="7F99B196" w:rsidP="176F6A0C">
      <w:pPr>
        <w:rPr>
          <w:rFonts w:ascii="Calibri" w:hAnsi="Calibri" w:cs="Calibri"/>
          <w:b/>
          <w:bCs/>
          <w:color w:val="2F5496" w:themeColor="accent1" w:themeShade="BF"/>
          <w:sz w:val="24"/>
          <w:szCs w:val="24"/>
        </w:rPr>
      </w:pPr>
      <w:r w:rsidRPr="176F6A0C">
        <w:rPr>
          <w:rFonts w:ascii="Calibri" w:hAnsi="Calibri" w:cs="Calibri"/>
          <w:b/>
          <w:bCs/>
          <w:color w:val="2F5496" w:themeColor="accent1" w:themeShade="BF"/>
          <w:sz w:val="24"/>
          <w:szCs w:val="24"/>
        </w:rPr>
        <w:t>A.5.</w:t>
      </w:r>
      <w:r w:rsidR="00E509CB">
        <w:tab/>
      </w:r>
      <w:r w:rsidRPr="176F6A0C">
        <w:rPr>
          <w:rFonts w:ascii="Calibri" w:hAnsi="Calibri" w:cs="Calibri"/>
          <w:b/>
          <w:bCs/>
          <w:color w:val="2F5496" w:themeColor="accent1" w:themeShade="BF"/>
          <w:sz w:val="24"/>
          <w:szCs w:val="24"/>
        </w:rPr>
        <w:t>Communication cadence</w:t>
      </w:r>
    </w:p>
    <w:p w14:paraId="321C5180" w14:textId="6FAF9C00" w:rsidR="00375603" w:rsidRDefault="7F99B196" w:rsidP="176F6A0C">
      <w:r w:rsidRPr="176F6A0C">
        <w:rPr>
          <w:lang w:val="en-US"/>
        </w:rPr>
        <w:t>The communication approach is based on a sustainable cadence that balances regular visibility with the project's technical and institutional requirements.</w:t>
      </w:r>
    </w:p>
    <w:tbl>
      <w:tblPr>
        <w:tblStyle w:val="Tabelakoordinatnemree4akcenat1"/>
        <w:tblW w:w="0" w:type="auto"/>
        <w:tblLook w:val="06A0" w:firstRow="1" w:lastRow="0" w:firstColumn="1" w:lastColumn="0" w:noHBand="1" w:noVBand="1"/>
      </w:tblPr>
      <w:tblGrid>
        <w:gridCol w:w="4508"/>
        <w:gridCol w:w="4508"/>
      </w:tblGrid>
      <w:tr w:rsidR="176F6A0C" w14:paraId="0FC674E3" w14:textId="77777777" w:rsidTr="176F6A0C">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508" w:type="dxa"/>
          </w:tcPr>
          <w:p w14:paraId="37D63683" w14:textId="2DAD1B87" w:rsidR="7F99B196" w:rsidRDefault="7F99B196" w:rsidP="176F6A0C">
            <w:pPr>
              <w:rPr>
                <w:rFonts w:ascii="Calibri" w:eastAsia="Calibri" w:hAnsi="Calibri" w:cs="Calibri"/>
                <w:lang w:val="en-US"/>
              </w:rPr>
            </w:pPr>
            <w:r w:rsidRPr="176F6A0C">
              <w:rPr>
                <w:lang w:val="en-US"/>
              </w:rPr>
              <w:t>Activity</w:t>
            </w:r>
          </w:p>
        </w:tc>
        <w:tc>
          <w:tcPr>
            <w:tcW w:w="4508" w:type="dxa"/>
          </w:tcPr>
          <w:p w14:paraId="657EC4A6" w14:textId="56E21239" w:rsidR="7F99B196" w:rsidRDefault="7F99B196" w:rsidP="176F6A0C">
            <w:pPr>
              <w:cnfStyle w:val="100000000000" w:firstRow="1" w:lastRow="0" w:firstColumn="0" w:lastColumn="0" w:oddVBand="0" w:evenVBand="0" w:oddHBand="0" w:evenHBand="0" w:firstRowFirstColumn="0" w:firstRowLastColumn="0" w:lastRowFirstColumn="0" w:lastRowLastColumn="0"/>
              <w:rPr>
                <w:rFonts w:ascii="Calibri" w:eastAsia="Calibri" w:hAnsi="Calibri" w:cs="Calibri"/>
                <w:b w:val="0"/>
                <w:bCs w:val="0"/>
                <w:lang w:val="en-US"/>
              </w:rPr>
            </w:pPr>
            <w:r w:rsidRPr="176F6A0C">
              <w:rPr>
                <w:lang w:val="en-US"/>
              </w:rPr>
              <w:t>Indicative frequency</w:t>
            </w:r>
          </w:p>
        </w:tc>
      </w:tr>
      <w:tr w:rsidR="176F6A0C" w14:paraId="7B0E4AA7" w14:textId="77777777" w:rsidTr="176F6A0C">
        <w:trPr>
          <w:trHeight w:val="300"/>
        </w:trPr>
        <w:tc>
          <w:tcPr>
            <w:cnfStyle w:val="001000000000" w:firstRow="0" w:lastRow="0" w:firstColumn="1" w:lastColumn="0" w:oddVBand="0" w:evenVBand="0" w:oddHBand="0" w:evenHBand="0" w:firstRowFirstColumn="0" w:firstRowLastColumn="0" w:lastRowFirstColumn="0" w:lastRowLastColumn="0"/>
            <w:tcW w:w="4508" w:type="dxa"/>
          </w:tcPr>
          <w:p w14:paraId="12A33EFA" w14:textId="7D794B48" w:rsidR="7F99B196" w:rsidRDefault="7F99B196" w:rsidP="176F6A0C">
            <w:pPr>
              <w:rPr>
                <w:rFonts w:ascii="Calibri" w:eastAsia="Calibri" w:hAnsi="Calibri" w:cs="Calibri"/>
                <w:b w:val="0"/>
                <w:bCs w:val="0"/>
                <w:lang w:val="en-US"/>
              </w:rPr>
            </w:pPr>
            <w:r w:rsidRPr="176F6A0C">
              <w:rPr>
                <w:b w:val="0"/>
                <w:bCs w:val="0"/>
                <w:lang w:val="en-US"/>
              </w:rPr>
              <w:t>Flagship website article or feature</w:t>
            </w:r>
          </w:p>
        </w:tc>
        <w:tc>
          <w:tcPr>
            <w:tcW w:w="4508" w:type="dxa"/>
          </w:tcPr>
          <w:p w14:paraId="26918485" w14:textId="5D348F68" w:rsidR="7F99B196" w:rsidRDefault="7F99B196" w:rsidP="176F6A0C">
            <w:pPr>
              <w:cnfStyle w:val="000000000000" w:firstRow="0" w:lastRow="0" w:firstColumn="0" w:lastColumn="0" w:oddVBand="0" w:evenVBand="0" w:oddHBand="0" w:evenHBand="0" w:firstRowFirstColumn="0" w:firstRowLastColumn="0" w:lastRowFirstColumn="0" w:lastRowLastColumn="0"/>
              <w:rPr>
                <w:lang w:val="en-US"/>
              </w:rPr>
            </w:pPr>
            <w:r w:rsidRPr="176F6A0C">
              <w:rPr>
                <w:lang w:val="en-US"/>
              </w:rPr>
              <w:t>Approximately one per month</w:t>
            </w:r>
          </w:p>
        </w:tc>
      </w:tr>
      <w:tr w:rsidR="176F6A0C" w14:paraId="733ADBF0" w14:textId="77777777" w:rsidTr="176F6A0C">
        <w:trPr>
          <w:trHeight w:val="300"/>
        </w:trPr>
        <w:tc>
          <w:tcPr>
            <w:cnfStyle w:val="001000000000" w:firstRow="0" w:lastRow="0" w:firstColumn="1" w:lastColumn="0" w:oddVBand="0" w:evenVBand="0" w:oddHBand="0" w:evenHBand="0" w:firstRowFirstColumn="0" w:firstRowLastColumn="0" w:lastRowFirstColumn="0" w:lastRowLastColumn="0"/>
            <w:tcW w:w="4508" w:type="dxa"/>
          </w:tcPr>
          <w:p w14:paraId="379D064B" w14:textId="30B7DF9E" w:rsidR="7F99B196" w:rsidRDefault="7F99B196" w:rsidP="176F6A0C">
            <w:pPr>
              <w:rPr>
                <w:rFonts w:ascii="Calibri" w:eastAsia="Calibri" w:hAnsi="Calibri" w:cs="Calibri"/>
                <w:b w:val="0"/>
                <w:bCs w:val="0"/>
                <w:lang w:val="en-US"/>
              </w:rPr>
            </w:pPr>
            <w:r w:rsidRPr="176F6A0C">
              <w:rPr>
                <w:b w:val="0"/>
                <w:bCs w:val="0"/>
                <w:lang w:val="en-US"/>
              </w:rPr>
              <w:t>Social media amplification</w:t>
            </w:r>
          </w:p>
        </w:tc>
        <w:tc>
          <w:tcPr>
            <w:tcW w:w="4508" w:type="dxa"/>
          </w:tcPr>
          <w:p w14:paraId="25817A39" w14:textId="6B841DE4" w:rsidR="7F99B196" w:rsidRDefault="7F99B196" w:rsidP="176F6A0C">
            <w:pPr>
              <w:cnfStyle w:val="000000000000" w:firstRow="0" w:lastRow="0" w:firstColumn="0" w:lastColumn="0" w:oddVBand="0" w:evenVBand="0" w:oddHBand="0" w:evenHBand="0" w:firstRowFirstColumn="0" w:firstRowLastColumn="0" w:lastRowFirstColumn="0" w:lastRowLastColumn="0"/>
              <w:rPr>
                <w:lang w:val="en-US"/>
              </w:rPr>
            </w:pPr>
            <w:r w:rsidRPr="176F6A0C">
              <w:rPr>
                <w:lang w:val="en-US"/>
              </w:rPr>
              <w:t>One to two thematic series per month</w:t>
            </w:r>
          </w:p>
        </w:tc>
      </w:tr>
      <w:tr w:rsidR="176F6A0C" w14:paraId="53651836" w14:textId="77777777" w:rsidTr="176F6A0C">
        <w:trPr>
          <w:trHeight w:val="300"/>
        </w:trPr>
        <w:tc>
          <w:tcPr>
            <w:cnfStyle w:val="001000000000" w:firstRow="0" w:lastRow="0" w:firstColumn="1" w:lastColumn="0" w:oddVBand="0" w:evenVBand="0" w:oddHBand="0" w:evenHBand="0" w:firstRowFirstColumn="0" w:firstRowLastColumn="0" w:lastRowFirstColumn="0" w:lastRowLastColumn="0"/>
            <w:tcW w:w="4508" w:type="dxa"/>
          </w:tcPr>
          <w:p w14:paraId="5BF49F2C" w14:textId="40AF1D6B" w:rsidR="7F99B196" w:rsidRDefault="7F99B196" w:rsidP="176F6A0C">
            <w:pPr>
              <w:rPr>
                <w:rFonts w:ascii="Calibri" w:eastAsia="Calibri" w:hAnsi="Calibri" w:cs="Calibri"/>
                <w:b w:val="0"/>
                <w:bCs w:val="0"/>
                <w:lang w:val="en-US"/>
              </w:rPr>
            </w:pPr>
            <w:r w:rsidRPr="176F6A0C">
              <w:rPr>
                <w:b w:val="0"/>
                <w:bCs w:val="0"/>
                <w:lang w:val="en-US"/>
              </w:rPr>
              <w:t>Partner communication pack</w:t>
            </w:r>
          </w:p>
        </w:tc>
        <w:tc>
          <w:tcPr>
            <w:tcW w:w="4508" w:type="dxa"/>
          </w:tcPr>
          <w:p w14:paraId="7CF44F73" w14:textId="631AF76C" w:rsidR="7F99B196" w:rsidRDefault="7F99B196" w:rsidP="176F6A0C">
            <w:pPr>
              <w:cnfStyle w:val="000000000000" w:firstRow="0" w:lastRow="0" w:firstColumn="0" w:lastColumn="0" w:oddVBand="0" w:evenVBand="0" w:oddHBand="0" w:evenHBand="0" w:firstRowFirstColumn="0" w:firstRowLastColumn="0" w:lastRowFirstColumn="0" w:lastRowLastColumn="0"/>
              <w:rPr>
                <w:lang w:val="en-US"/>
              </w:rPr>
            </w:pPr>
            <w:r w:rsidRPr="176F6A0C">
              <w:rPr>
                <w:lang w:val="en-US"/>
              </w:rPr>
              <w:t>Approximately one per month</w:t>
            </w:r>
          </w:p>
        </w:tc>
      </w:tr>
      <w:tr w:rsidR="176F6A0C" w14:paraId="630180C6" w14:textId="77777777" w:rsidTr="176F6A0C">
        <w:trPr>
          <w:trHeight w:val="300"/>
        </w:trPr>
        <w:tc>
          <w:tcPr>
            <w:cnfStyle w:val="001000000000" w:firstRow="0" w:lastRow="0" w:firstColumn="1" w:lastColumn="0" w:oddVBand="0" w:evenVBand="0" w:oddHBand="0" w:evenHBand="0" w:firstRowFirstColumn="0" w:firstRowLastColumn="0" w:lastRowFirstColumn="0" w:lastRowLastColumn="0"/>
            <w:tcW w:w="4508" w:type="dxa"/>
          </w:tcPr>
          <w:p w14:paraId="14536605" w14:textId="4A19BA2B" w:rsidR="7F99B196" w:rsidRDefault="7F99B196" w:rsidP="176F6A0C">
            <w:pPr>
              <w:rPr>
                <w:rFonts w:ascii="Calibri" w:eastAsia="Calibri" w:hAnsi="Calibri" w:cs="Calibri"/>
                <w:b w:val="0"/>
                <w:bCs w:val="0"/>
                <w:lang w:val="en-US"/>
              </w:rPr>
            </w:pPr>
            <w:r w:rsidRPr="176F6A0C">
              <w:rPr>
                <w:b w:val="0"/>
                <w:bCs w:val="0"/>
                <w:lang w:val="en-US"/>
              </w:rPr>
              <w:t>Newsletter contribution or update</w:t>
            </w:r>
          </w:p>
        </w:tc>
        <w:tc>
          <w:tcPr>
            <w:tcW w:w="4508" w:type="dxa"/>
          </w:tcPr>
          <w:p w14:paraId="4750B860" w14:textId="6CF9CDC1" w:rsidR="7F99B196" w:rsidRDefault="7F99B196" w:rsidP="176F6A0C">
            <w:pPr>
              <w:cnfStyle w:val="000000000000" w:firstRow="0" w:lastRow="0" w:firstColumn="0" w:lastColumn="0" w:oddVBand="0" w:evenVBand="0" w:oddHBand="0" w:evenHBand="0" w:firstRowFirstColumn="0" w:firstRowLastColumn="0" w:lastRowFirstColumn="0" w:lastRowLastColumn="0"/>
              <w:rPr>
                <w:lang w:val="en-US"/>
              </w:rPr>
            </w:pPr>
            <w:r w:rsidRPr="176F6A0C">
              <w:rPr>
                <w:lang w:val="en-US"/>
              </w:rPr>
              <w:t>Periodic, linked to milestones and outputs</w:t>
            </w:r>
          </w:p>
        </w:tc>
      </w:tr>
      <w:tr w:rsidR="176F6A0C" w14:paraId="634CC1A8" w14:textId="77777777" w:rsidTr="176F6A0C">
        <w:trPr>
          <w:trHeight w:val="300"/>
        </w:trPr>
        <w:tc>
          <w:tcPr>
            <w:cnfStyle w:val="001000000000" w:firstRow="0" w:lastRow="0" w:firstColumn="1" w:lastColumn="0" w:oddVBand="0" w:evenVBand="0" w:oddHBand="0" w:evenHBand="0" w:firstRowFirstColumn="0" w:firstRowLastColumn="0" w:lastRowFirstColumn="0" w:lastRowLastColumn="0"/>
            <w:tcW w:w="4508" w:type="dxa"/>
          </w:tcPr>
          <w:p w14:paraId="3288EC07" w14:textId="081D7F6E" w:rsidR="7F99B196" w:rsidRDefault="7F99B196" w:rsidP="176F6A0C">
            <w:pPr>
              <w:rPr>
                <w:rFonts w:ascii="Calibri" w:eastAsia="Calibri" w:hAnsi="Calibri" w:cs="Calibri"/>
                <w:b w:val="0"/>
                <w:bCs w:val="0"/>
                <w:lang w:val="en-US"/>
              </w:rPr>
            </w:pPr>
            <w:r w:rsidRPr="176F6A0C">
              <w:rPr>
                <w:b w:val="0"/>
                <w:bCs w:val="0"/>
                <w:lang w:val="en-US"/>
              </w:rPr>
              <w:t>Technical brief or explainer</w:t>
            </w:r>
          </w:p>
        </w:tc>
        <w:tc>
          <w:tcPr>
            <w:tcW w:w="4508" w:type="dxa"/>
          </w:tcPr>
          <w:p w14:paraId="7D8F7E25" w14:textId="60D2D6CC" w:rsidR="7F99B196" w:rsidRDefault="7F99B196" w:rsidP="176F6A0C">
            <w:pPr>
              <w:cnfStyle w:val="000000000000" w:firstRow="0" w:lastRow="0" w:firstColumn="0" w:lastColumn="0" w:oddVBand="0" w:evenVBand="0" w:oddHBand="0" w:evenHBand="0" w:firstRowFirstColumn="0" w:firstRowLastColumn="0" w:lastRowFirstColumn="0" w:lastRowLastColumn="0"/>
              <w:rPr>
                <w:lang w:val="en-US"/>
              </w:rPr>
            </w:pPr>
            <w:r w:rsidRPr="176F6A0C">
              <w:rPr>
                <w:lang w:val="en-US"/>
              </w:rPr>
              <w:t>As validated outputs become available</w:t>
            </w:r>
          </w:p>
        </w:tc>
      </w:tr>
      <w:tr w:rsidR="176F6A0C" w14:paraId="5AB1C9BE" w14:textId="77777777" w:rsidTr="176F6A0C">
        <w:trPr>
          <w:trHeight w:val="300"/>
        </w:trPr>
        <w:tc>
          <w:tcPr>
            <w:cnfStyle w:val="001000000000" w:firstRow="0" w:lastRow="0" w:firstColumn="1" w:lastColumn="0" w:oddVBand="0" w:evenVBand="0" w:oddHBand="0" w:evenHBand="0" w:firstRowFirstColumn="0" w:firstRowLastColumn="0" w:lastRowFirstColumn="0" w:lastRowLastColumn="0"/>
            <w:tcW w:w="4508" w:type="dxa"/>
          </w:tcPr>
          <w:p w14:paraId="6FBA46D2" w14:textId="1FCB8F16" w:rsidR="7F99B196" w:rsidRDefault="7F99B196" w:rsidP="176F6A0C">
            <w:pPr>
              <w:rPr>
                <w:rFonts w:ascii="Calibri" w:eastAsia="Calibri" w:hAnsi="Calibri" w:cs="Calibri"/>
                <w:b w:val="0"/>
                <w:bCs w:val="0"/>
                <w:lang w:val="en-US"/>
              </w:rPr>
            </w:pPr>
            <w:r w:rsidRPr="176F6A0C">
              <w:rPr>
                <w:b w:val="0"/>
                <w:bCs w:val="0"/>
                <w:lang w:val="en-US"/>
              </w:rPr>
              <w:t>Event communication package</w:t>
            </w:r>
          </w:p>
        </w:tc>
        <w:tc>
          <w:tcPr>
            <w:tcW w:w="4508" w:type="dxa"/>
          </w:tcPr>
          <w:p w14:paraId="2FCF2486" w14:textId="4105424F" w:rsidR="7F99B196" w:rsidRDefault="7F99B196" w:rsidP="176F6A0C">
            <w:pPr>
              <w:cnfStyle w:val="000000000000" w:firstRow="0" w:lastRow="0" w:firstColumn="0" w:lastColumn="0" w:oddVBand="0" w:evenVBand="0" w:oddHBand="0" w:evenHBand="0" w:firstRowFirstColumn="0" w:firstRowLastColumn="0" w:lastRowFirstColumn="0" w:lastRowLastColumn="0"/>
              <w:rPr>
                <w:lang w:val="en-US"/>
              </w:rPr>
            </w:pPr>
            <w:r w:rsidRPr="176F6A0C">
              <w:rPr>
                <w:lang w:val="en-US"/>
              </w:rPr>
              <w:t>As required</w:t>
            </w:r>
          </w:p>
        </w:tc>
      </w:tr>
    </w:tbl>
    <w:p w14:paraId="60F1BC80" w14:textId="2ABE8C8A" w:rsidR="00375603" w:rsidRDefault="36C38F9E" w:rsidP="176F6A0C">
      <w:pPr>
        <w:rPr>
          <w:i/>
          <w:iCs/>
          <w:lang w:val="en-US"/>
        </w:rPr>
      </w:pPr>
      <w:r w:rsidRPr="176F6A0C">
        <w:rPr>
          <w:i/>
          <w:iCs/>
          <w:lang w:val="en-US"/>
        </w:rPr>
        <w:t>Table 1: Indicative frequency of communication activities</w:t>
      </w:r>
    </w:p>
    <w:p w14:paraId="1A285399" w14:textId="76D47661" w:rsidR="00375603" w:rsidRDefault="36C38F9E" w:rsidP="176F6A0C">
      <w:pPr>
        <w:rPr>
          <w:lang w:val="en-US"/>
        </w:rPr>
      </w:pPr>
      <w:r w:rsidRPr="176F6A0C">
        <w:rPr>
          <w:lang w:val="en-US"/>
        </w:rPr>
        <w:t>This cadence should be interpreted as a planning guide rather than a fixed requirement. Communication outputs should remain responsive to project developments and stakeholder needs.</w:t>
      </w:r>
    </w:p>
    <w:p w14:paraId="1079472E" w14:textId="1BF6C98A" w:rsidR="00375603" w:rsidRDefault="36C38F9E" w:rsidP="176F6A0C">
      <w:pPr>
        <w:rPr>
          <w:rFonts w:ascii="Calibri" w:hAnsi="Calibri" w:cs="Calibri"/>
          <w:b/>
          <w:bCs/>
          <w:color w:val="2F5496" w:themeColor="accent1" w:themeShade="BF"/>
          <w:sz w:val="24"/>
          <w:szCs w:val="24"/>
        </w:rPr>
      </w:pPr>
      <w:r w:rsidRPr="176F6A0C">
        <w:rPr>
          <w:rFonts w:ascii="Calibri" w:hAnsi="Calibri" w:cs="Calibri"/>
          <w:b/>
          <w:bCs/>
          <w:color w:val="2F5496" w:themeColor="accent1" w:themeShade="BF"/>
          <w:sz w:val="24"/>
          <w:szCs w:val="24"/>
        </w:rPr>
        <w:t>A.6.</w:t>
      </w:r>
      <w:r w:rsidR="00E509CB">
        <w:tab/>
      </w:r>
      <w:r w:rsidRPr="176F6A0C">
        <w:rPr>
          <w:rFonts w:ascii="Calibri" w:hAnsi="Calibri" w:cs="Calibri"/>
          <w:b/>
          <w:bCs/>
          <w:color w:val="2F5496" w:themeColor="accent1" w:themeShade="BF"/>
          <w:sz w:val="24"/>
          <w:szCs w:val="24"/>
        </w:rPr>
        <w:t>Editorial sequencing rationale</w:t>
      </w:r>
    </w:p>
    <w:p w14:paraId="42DABFE8" w14:textId="14F9523E" w:rsidR="00375603" w:rsidRDefault="36C38F9E" w:rsidP="176F6A0C">
      <w:r w:rsidRPr="176F6A0C">
        <w:rPr>
          <w:lang w:val="en-US"/>
        </w:rPr>
        <w:t>The sequencing of communication activities reflects the implementation realities of a complex transboundary project.</w:t>
      </w:r>
    </w:p>
    <w:p w14:paraId="2ED4FA85" w14:textId="59389775" w:rsidR="00375603" w:rsidRDefault="36C38F9E" w:rsidP="176F6A0C">
      <w:r w:rsidRPr="176F6A0C">
        <w:rPr>
          <w:lang w:val="en-US"/>
        </w:rPr>
        <w:t>Periods requiring substantial communication infrastructure development, such as website upgrades or major content population exercises, may temporarily reduce the volume of outward-facing communication outputs. Conversely, periods associated with major milestones, validated technical outputs, stakeholder consultations, or project reviews may justify increased communication activity.</w:t>
      </w:r>
    </w:p>
    <w:p w14:paraId="62147A3F" w14:textId="586E2A09" w:rsidR="00375603" w:rsidRDefault="36C38F9E" w:rsidP="176F6A0C">
      <w:r w:rsidRPr="176F6A0C">
        <w:rPr>
          <w:lang w:val="en-US"/>
        </w:rPr>
        <w:t>The calendar therefore combines periods of active dissemination with periods dedicated to content development, review, preparation, and strategic reuse. This approach supports long-term sustainability while ensuring that communication outputs remain evidence-based, relevant, and aligned with project priorities.</w:t>
      </w:r>
    </w:p>
    <w:p w14:paraId="0DCCF595" w14:textId="35C3F767" w:rsidR="00375603" w:rsidRDefault="36C38F9E" w:rsidP="176F6A0C">
      <w:pPr>
        <w:rPr>
          <w:rFonts w:ascii="Calibri" w:hAnsi="Calibri" w:cs="Calibri"/>
          <w:b/>
          <w:bCs/>
          <w:color w:val="2F5496" w:themeColor="accent1" w:themeShade="BF"/>
          <w:sz w:val="24"/>
          <w:szCs w:val="24"/>
        </w:rPr>
      </w:pPr>
      <w:r w:rsidRPr="176F6A0C">
        <w:rPr>
          <w:rFonts w:ascii="Calibri" w:hAnsi="Calibri" w:cs="Calibri"/>
          <w:b/>
          <w:bCs/>
          <w:color w:val="2F5496" w:themeColor="accent1" w:themeShade="BF"/>
          <w:sz w:val="24"/>
          <w:szCs w:val="24"/>
        </w:rPr>
        <w:t>A.7.</w:t>
      </w:r>
      <w:r w:rsidR="00E509CB">
        <w:tab/>
      </w:r>
      <w:r w:rsidRPr="176F6A0C">
        <w:rPr>
          <w:rFonts w:ascii="Calibri" w:hAnsi="Calibri" w:cs="Calibri"/>
          <w:b/>
          <w:bCs/>
          <w:color w:val="2F5496" w:themeColor="accent1" w:themeShade="BF"/>
          <w:sz w:val="24"/>
          <w:szCs w:val="24"/>
        </w:rPr>
        <w:t>Indicative editorial calendar</w:t>
      </w:r>
    </w:p>
    <w:p w14:paraId="600CB25F" w14:textId="0988AC73" w:rsidR="00375603" w:rsidRDefault="36C38F9E" w:rsidP="176F6A0C">
      <w:r w:rsidRPr="176F6A0C">
        <w:t>The indicative calendar below illustrates how flagship outputs, thematic opportunities, milestone communications, stakeholder engagement activities, and partner dissemination may be sequenced throughout the implementation period.</w:t>
      </w:r>
    </w:p>
    <w:p w14:paraId="06B41B45" w14:textId="77777777" w:rsidR="00D34B86" w:rsidRDefault="00D34B86" w:rsidP="176F6A0C"/>
    <w:p w14:paraId="3EE434B4" w14:textId="77777777" w:rsidR="00D34B86" w:rsidRDefault="00D34B86" w:rsidP="176F6A0C"/>
    <w:tbl>
      <w:tblPr>
        <w:tblStyle w:val="Tabelakoordinatnemree4akcenat1"/>
        <w:tblW w:w="0" w:type="auto"/>
        <w:tblLook w:val="06A0" w:firstRow="1" w:lastRow="0" w:firstColumn="1" w:lastColumn="0" w:noHBand="1" w:noVBand="1"/>
      </w:tblPr>
      <w:tblGrid>
        <w:gridCol w:w="3005"/>
        <w:gridCol w:w="3005"/>
        <w:gridCol w:w="3005"/>
      </w:tblGrid>
      <w:tr w:rsidR="176F6A0C" w14:paraId="080E5565" w14:textId="77777777" w:rsidTr="176F6A0C">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005" w:type="dxa"/>
          </w:tcPr>
          <w:p w14:paraId="35B94C85" w14:textId="490FDDD3" w:rsidR="2186FE89" w:rsidRDefault="2186FE89" w:rsidP="176F6A0C">
            <w:pPr>
              <w:rPr>
                <w:lang w:val="en-US"/>
              </w:rPr>
            </w:pPr>
            <w:r w:rsidRPr="176F6A0C">
              <w:rPr>
                <w:lang w:val="en-US"/>
              </w:rPr>
              <w:lastRenderedPageBreak/>
              <w:t>Period</w:t>
            </w:r>
          </w:p>
        </w:tc>
        <w:tc>
          <w:tcPr>
            <w:tcW w:w="3005" w:type="dxa"/>
          </w:tcPr>
          <w:p w14:paraId="0FB4E11B" w14:textId="1AD70BB1" w:rsidR="2186FE89" w:rsidRDefault="2186FE89" w:rsidP="176F6A0C">
            <w:pPr>
              <w:cnfStyle w:val="100000000000" w:firstRow="1" w:lastRow="0" w:firstColumn="0" w:lastColumn="0" w:oddVBand="0" w:evenVBand="0" w:oddHBand="0" w:evenHBand="0" w:firstRowFirstColumn="0" w:firstRowLastColumn="0" w:lastRowFirstColumn="0" w:lastRowLastColumn="0"/>
              <w:rPr>
                <w:b w:val="0"/>
                <w:bCs w:val="0"/>
                <w:lang w:val="en-US"/>
              </w:rPr>
            </w:pPr>
            <w:r w:rsidRPr="176F6A0C">
              <w:rPr>
                <w:lang w:val="en-US"/>
              </w:rPr>
              <w:t>Indicative communication focus</w:t>
            </w:r>
          </w:p>
        </w:tc>
        <w:tc>
          <w:tcPr>
            <w:tcW w:w="3005" w:type="dxa"/>
          </w:tcPr>
          <w:p w14:paraId="58BA2CB4" w14:textId="057D18A8" w:rsidR="2186FE89" w:rsidRDefault="2186FE89" w:rsidP="176F6A0C">
            <w:pPr>
              <w:cnfStyle w:val="100000000000" w:firstRow="1" w:lastRow="0" w:firstColumn="0" w:lastColumn="0" w:oddVBand="0" w:evenVBand="0" w:oddHBand="0" w:evenHBand="0" w:firstRowFirstColumn="0" w:firstRowLastColumn="0" w:lastRowFirstColumn="0" w:lastRowLastColumn="0"/>
              <w:rPr>
                <w:b w:val="0"/>
                <w:bCs w:val="0"/>
                <w:lang w:val="en-US"/>
              </w:rPr>
            </w:pPr>
            <w:r w:rsidRPr="176F6A0C">
              <w:rPr>
                <w:lang w:val="en-US"/>
              </w:rPr>
              <w:t>Principal outputs</w:t>
            </w:r>
          </w:p>
        </w:tc>
      </w:tr>
      <w:tr w:rsidR="176F6A0C" w14:paraId="46EFC0E8" w14:textId="77777777" w:rsidTr="176F6A0C">
        <w:trPr>
          <w:trHeight w:val="300"/>
        </w:trPr>
        <w:tc>
          <w:tcPr>
            <w:cnfStyle w:val="001000000000" w:firstRow="0" w:lastRow="0" w:firstColumn="1" w:lastColumn="0" w:oddVBand="0" w:evenVBand="0" w:oddHBand="0" w:evenHBand="0" w:firstRowFirstColumn="0" w:firstRowLastColumn="0" w:lastRowFirstColumn="0" w:lastRowLastColumn="0"/>
            <w:tcW w:w="3005" w:type="dxa"/>
          </w:tcPr>
          <w:p w14:paraId="179F91EC" w14:textId="7D3AB467" w:rsidR="2186FE89" w:rsidRDefault="2186FE89" w:rsidP="176F6A0C">
            <w:pPr>
              <w:rPr>
                <w:rFonts w:ascii="Calibri" w:eastAsia="Calibri" w:hAnsi="Calibri" w:cs="Calibri"/>
                <w:lang w:val="en-US"/>
              </w:rPr>
            </w:pPr>
            <w:r w:rsidRPr="176F6A0C">
              <w:rPr>
                <w:rFonts w:ascii="Calibri" w:eastAsia="Calibri" w:hAnsi="Calibri" w:cs="Calibri"/>
                <w:lang w:val="en-US"/>
              </w:rPr>
              <w:t>May 2026</w:t>
            </w:r>
          </w:p>
        </w:tc>
        <w:tc>
          <w:tcPr>
            <w:tcW w:w="3005" w:type="dxa"/>
          </w:tcPr>
          <w:p w14:paraId="7CF24083" w14:textId="246E754A" w:rsidR="2186FE89" w:rsidRDefault="2186FE89" w:rsidP="176F6A0C">
            <w:pPr>
              <w:cnfStyle w:val="000000000000" w:firstRow="0" w:lastRow="0" w:firstColumn="0" w:lastColumn="0" w:oddVBand="0" w:evenVBand="0" w:oddHBand="0" w:evenHBand="0" w:firstRowFirstColumn="0" w:firstRowLastColumn="0" w:lastRowFirstColumn="0" w:lastRowLastColumn="0"/>
            </w:pPr>
            <w:r w:rsidRPr="176F6A0C">
              <w:rPr>
                <w:rFonts w:ascii="Calibri" w:eastAsia="Calibri" w:hAnsi="Calibri" w:cs="Calibri"/>
                <w:lang w:val="en-US"/>
              </w:rPr>
              <w:t>Communication system development and website enhancement</w:t>
            </w:r>
          </w:p>
        </w:tc>
        <w:tc>
          <w:tcPr>
            <w:tcW w:w="3005" w:type="dxa"/>
          </w:tcPr>
          <w:p w14:paraId="25B5D28B" w14:textId="4897997C" w:rsidR="2186FE89" w:rsidRDefault="2186FE89" w:rsidP="176F6A0C">
            <w:pPr>
              <w:cnfStyle w:val="000000000000" w:firstRow="0" w:lastRow="0" w:firstColumn="0" w:lastColumn="0" w:oddVBand="0" w:evenVBand="0" w:oddHBand="0" w:evenHBand="0" w:firstRowFirstColumn="0" w:firstRowLastColumn="0" w:lastRowFirstColumn="0" w:lastRowLastColumn="0"/>
            </w:pPr>
            <w:r w:rsidRPr="176F6A0C">
              <w:rPr>
                <w:rFonts w:ascii="Calibri" w:eastAsia="Calibri" w:hAnsi="Calibri" w:cs="Calibri"/>
                <w:lang w:val="en-US"/>
              </w:rPr>
              <w:t>Website content development, core project pages, evergreen resources, communication asset preparation</w:t>
            </w:r>
          </w:p>
        </w:tc>
      </w:tr>
      <w:tr w:rsidR="176F6A0C" w14:paraId="134217B8" w14:textId="77777777" w:rsidTr="176F6A0C">
        <w:trPr>
          <w:trHeight w:val="300"/>
        </w:trPr>
        <w:tc>
          <w:tcPr>
            <w:cnfStyle w:val="001000000000" w:firstRow="0" w:lastRow="0" w:firstColumn="1" w:lastColumn="0" w:oddVBand="0" w:evenVBand="0" w:oddHBand="0" w:evenHBand="0" w:firstRowFirstColumn="0" w:firstRowLastColumn="0" w:lastRowFirstColumn="0" w:lastRowLastColumn="0"/>
            <w:tcW w:w="3005" w:type="dxa"/>
          </w:tcPr>
          <w:p w14:paraId="75774AA5" w14:textId="07B6A07C" w:rsidR="2186FE89" w:rsidRDefault="2186FE89" w:rsidP="176F6A0C">
            <w:pPr>
              <w:rPr>
                <w:lang w:val="en-US"/>
              </w:rPr>
            </w:pPr>
            <w:r w:rsidRPr="176F6A0C">
              <w:rPr>
                <w:lang w:val="en-US"/>
              </w:rPr>
              <w:t>June 2026</w:t>
            </w:r>
          </w:p>
        </w:tc>
        <w:tc>
          <w:tcPr>
            <w:tcW w:w="3005" w:type="dxa"/>
          </w:tcPr>
          <w:p w14:paraId="3ACAD022" w14:textId="1D3BA3FC" w:rsidR="2186FE89" w:rsidRDefault="2186FE89" w:rsidP="176F6A0C">
            <w:pPr>
              <w:cnfStyle w:val="000000000000" w:firstRow="0" w:lastRow="0" w:firstColumn="0" w:lastColumn="0" w:oddVBand="0" w:evenVBand="0" w:oddHBand="0" w:evenHBand="0" w:firstRowFirstColumn="0" w:firstRowLastColumn="0" w:lastRowFirstColumn="0" w:lastRowLastColumn="0"/>
            </w:pPr>
            <w:r w:rsidRPr="176F6A0C">
              <w:rPr>
                <w:rFonts w:ascii="Calibri" w:eastAsia="Calibri" w:hAnsi="Calibri" w:cs="Calibri"/>
                <w:lang w:val="en-US"/>
              </w:rPr>
              <w:t>Groundwater, climate resilience, and international awareness opportunities</w:t>
            </w:r>
          </w:p>
        </w:tc>
        <w:tc>
          <w:tcPr>
            <w:tcW w:w="3005" w:type="dxa"/>
          </w:tcPr>
          <w:p w14:paraId="05B6A684" w14:textId="292C179F" w:rsidR="2186FE89" w:rsidRDefault="2186FE89" w:rsidP="176F6A0C">
            <w:pPr>
              <w:cnfStyle w:val="000000000000" w:firstRow="0" w:lastRow="0" w:firstColumn="0" w:lastColumn="0" w:oddVBand="0" w:evenVBand="0" w:oddHBand="0" w:evenHBand="0" w:firstRowFirstColumn="0" w:firstRowLastColumn="0" w:lastRowFirstColumn="0" w:lastRowLastColumn="0"/>
            </w:pPr>
            <w:r w:rsidRPr="176F6A0C">
              <w:rPr>
                <w:rFonts w:ascii="Calibri" w:eastAsia="Calibri" w:hAnsi="Calibri" w:cs="Calibri"/>
                <w:lang w:val="en-US"/>
              </w:rPr>
              <w:t>Flagship article, thematic social series, partner dissemination materials, relevant international day communications</w:t>
            </w:r>
          </w:p>
        </w:tc>
      </w:tr>
      <w:tr w:rsidR="176F6A0C" w14:paraId="2693A7B3" w14:textId="77777777" w:rsidTr="176F6A0C">
        <w:trPr>
          <w:trHeight w:val="300"/>
        </w:trPr>
        <w:tc>
          <w:tcPr>
            <w:cnfStyle w:val="001000000000" w:firstRow="0" w:lastRow="0" w:firstColumn="1" w:lastColumn="0" w:oddVBand="0" w:evenVBand="0" w:oddHBand="0" w:evenHBand="0" w:firstRowFirstColumn="0" w:firstRowLastColumn="0" w:lastRowFirstColumn="0" w:lastRowLastColumn="0"/>
            <w:tcW w:w="3005" w:type="dxa"/>
          </w:tcPr>
          <w:p w14:paraId="2D5A7213" w14:textId="3231B197" w:rsidR="2186FE89" w:rsidRDefault="2186FE89" w:rsidP="176F6A0C">
            <w:pPr>
              <w:rPr>
                <w:lang w:val="en-US"/>
              </w:rPr>
            </w:pPr>
            <w:r w:rsidRPr="176F6A0C">
              <w:rPr>
                <w:lang w:val="en-US"/>
              </w:rPr>
              <w:t>July 2026</w:t>
            </w:r>
          </w:p>
        </w:tc>
        <w:tc>
          <w:tcPr>
            <w:tcW w:w="3005" w:type="dxa"/>
          </w:tcPr>
          <w:p w14:paraId="51BDA7E4" w14:textId="1BF1475B" w:rsidR="2186FE89" w:rsidRDefault="2186FE89" w:rsidP="176F6A0C">
            <w:pPr>
              <w:cnfStyle w:val="000000000000" w:firstRow="0" w:lastRow="0" w:firstColumn="0" w:lastColumn="0" w:oddVBand="0" w:evenVBand="0" w:oddHBand="0" w:evenHBand="0" w:firstRowFirstColumn="0" w:firstRowLastColumn="0" w:lastRowFirstColumn="0" w:lastRowLastColumn="0"/>
            </w:pPr>
            <w:r w:rsidRPr="176F6A0C">
              <w:rPr>
                <w:rFonts w:ascii="Calibri" w:eastAsia="Calibri" w:hAnsi="Calibri" w:cs="Calibri"/>
                <w:lang w:val="en-US"/>
              </w:rPr>
              <w:t>Project implementation progress and stakeholder engagement</w:t>
            </w:r>
          </w:p>
        </w:tc>
        <w:tc>
          <w:tcPr>
            <w:tcW w:w="3005" w:type="dxa"/>
          </w:tcPr>
          <w:p w14:paraId="52FFBCA2" w14:textId="3145D3C2" w:rsidR="2186FE89" w:rsidRDefault="2186FE89" w:rsidP="176F6A0C">
            <w:pPr>
              <w:cnfStyle w:val="000000000000" w:firstRow="0" w:lastRow="0" w:firstColumn="0" w:lastColumn="0" w:oddVBand="0" w:evenVBand="0" w:oddHBand="0" w:evenHBand="0" w:firstRowFirstColumn="0" w:firstRowLastColumn="0" w:lastRowFirstColumn="0" w:lastRowLastColumn="0"/>
            </w:pPr>
            <w:r w:rsidRPr="176F6A0C">
              <w:rPr>
                <w:rFonts w:ascii="Calibri" w:eastAsia="Calibri" w:hAnsi="Calibri" w:cs="Calibri"/>
                <w:lang w:val="en-US"/>
              </w:rPr>
              <w:t>Website feature, stakeholder-focused communications, partner pack, social amplification</w:t>
            </w:r>
          </w:p>
        </w:tc>
      </w:tr>
      <w:tr w:rsidR="176F6A0C" w14:paraId="201DB526" w14:textId="77777777" w:rsidTr="176F6A0C">
        <w:trPr>
          <w:trHeight w:val="300"/>
        </w:trPr>
        <w:tc>
          <w:tcPr>
            <w:cnfStyle w:val="001000000000" w:firstRow="0" w:lastRow="0" w:firstColumn="1" w:lastColumn="0" w:oddVBand="0" w:evenVBand="0" w:oddHBand="0" w:evenHBand="0" w:firstRowFirstColumn="0" w:firstRowLastColumn="0" w:lastRowFirstColumn="0" w:lastRowLastColumn="0"/>
            <w:tcW w:w="3005" w:type="dxa"/>
          </w:tcPr>
          <w:p w14:paraId="795FBBEF" w14:textId="7A1130DD" w:rsidR="2186FE89" w:rsidRDefault="2186FE89" w:rsidP="176F6A0C">
            <w:pPr>
              <w:rPr>
                <w:lang w:val="en-US"/>
              </w:rPr>
            </w:pPr>
            <w:r w:rsidRPr="176F6A0C">
              <w:rPr>
                <w:lang w:val="en-US"/>
              </w:rPr>
              <w:t>August 2026</w:t>
            </w:r>
          </w:p>
        </w:tc>
        <w:tc>
          <w:tcPr>
            <w:tcW w:w="3005" w:type="dxa"/>
          </w:tcPr>
          <w:p w14:paraId="0431593B" w14:textId="677A2C5D" w:rsidR="2186FE89" w:rsidRDefault="2186FE89" w:rsidP="176F6A0C">
            <w:pPr>
              <w:cnfStyle w:val="000000000000" w:firstRow="0" w:lastRow="0" w:firstColumn="0" w:lastColumn="0" w:oddVBand="0" w:evenVBand="0" w:oddHBand="0" w:evenHBand="0" w:firstRowFirstColumn="0" w:firstRowLastColumn="0" w:lastRowFirstColumn="0" w:lastRowLastColumn="0"/>
            </w:pPr>
            <w:r w:rsidRPr="176F6A0C">
              <w:rPr>
                <w:rFonts w:ascii="Calibri" w:eastAsia="Calibri" w:hAnsi="Calibri" w:cs="Calibri"/>
                <w:lang w:val="en-US"/>
              </w:rPr>
              <w:t>Knowledge sharing, field activities, and content reuse</w:t>
            </w:r>
          </w:p>
        </w:tc>
        <w:tc>
          <w:tcPr>
            <w:tcW w:w="3005" w:type="dxa"/>
          </w:tcPr>
          <w:p w14:paraId="787B2B13" w14:textId="6FA49634" w:rsidR="2186FE89" w:rsidRDefault="2186FE89" w:rsidP="176F6A0C">
            <w:pPr>
              <w:cnfStyle w:val="000000000000" w:firstRow="0" w:lastRow="0" w:firstColumn="0" w:lastColumn="0" w:oddVBand="0" w:evenVBand="0" w:oddHBand="0" w:evenHBand="0" w:firstRowFirstColumn="0" w:firstRowLastColumn="0" w:lastRowFirstColumn="0" w:lastRowLastColumn="0"/>
            </w:pPr>
            <w:r w:rsidRPr="176F6A0C">
              <w:rPr>
                <w:rFonts w:ascii="Calibri" w:eastAsia="Calibri" w:hAnsi="Calibri" w:cs="Calibri"/>
                <w:lang w:val="en-US"/>
              </w:rPr>
              <w:t>Field stories, evergreen content, visual assets, selective social media outputs</w:t>
            </w:r>
          </w:p>
        </w:tc>
      </w:tr>
      <w:tr w:rsidR="176F6A0C" w14:paraId="7F610CF7" w14:textId="77777777" w:rsidTr="176F6A0C">
        <w:trPr>
          <w:trHeight w:val="300"/>
        </w:trPr>
        <w:tc>
          <w:tcPr>
            <w:cnfStyle w:val="001000000000" w:firstRow="0" w:lastRow="0" w:firstColumn="1" w:lastColumn="0" w:oddVBand="0" w:evenVBand="0" w:oddHBand="0" w:evenHBand="0" w:firstRowFirstColumn="0" w:firstRowLastColumn="0" w:lastRowFirstColumn="0" w:lastRowLastColumn="0"/>
            <w:tcW w:w="3005" w:type="dxa"/>
          </w:tcPr>
          <w:p w14:paraId="564C2E3C" w14:textId="534D7043" w:rsidR="2186FE89" w:rsidRDefault="2186FE89" w:rsidP="176F6A0C">
            <w:pPr>
              <w:rPr>
                <w:lang w:val="en-US"/>
              </w:rPr>
            </w:pPr>
            <w:r w:rsidRPr="176F6A0C">
              <w:rPr>
                <w:lang w:val="en-US"/>
              </w:rPr>
              <w:t>September 2026</w:t>
            </w:r>
          </w:p>
        </w:tc>
        <w:tc>
          <w:tcPr>
            <w:tcW w:w="3005" w:type="dxa"/>
          </w:tcPr>
          <w:p w14:paraId="4CBEB2DE" w14:textId="174F815F" w:rsidR="2186FE89" w:rsidRDefault="2186FE89" w:rsidP="176F6A0C">
            <w:pPr>
              <w:cnfStyle w:val="000000000000" w:firstRow="0" w:lastRow="0" w:firstColumn="0" w:lastColumn="0" w:oddVBand="0" w:evenVBand="0" w:oddHBand="0" w:evenHBand="0" w:firstRowFirstColumn="0" w:firstRowLastColumn="0" w:lastRowFirstColumn="0" w:lastRowLastColumn="0"/>
            </w:pPr>
            <w:r w:rsidRPr="176F6A0C">
              <w:rPr>
                <w:rFonts w:ascii="Calibri" w:eastAsia="Calibri" w:hAnsi="Calibri" w:cs="Calibri"/>
                <w:lang w:val="en-US"/>
              </w:rPr>
              <w:t>Major project milestones, technical outputs, and international dissemination opportunities</w:t>
            </w:r>
          </w:p>
        </w:tc>
        <w:tc>
          <w:tcPr>
            <w:tcW w:w="3005" w:type="dxa"/>
          </w:tcPr>
          <w:p w14:paraId="4793AB9D" w14:textId="4F5CDAE1" w:rsidR="2186FE89" w:rsidRDefault="2186FE89" w:rsidP="176F6A0C">
            <w:pPr>
              <w:cnfStyle w:val="000000000000" w:firstRow="0" w:lastRow="0" w:firstColumn="0" w:lastColumn="0" w:oddVBand="0" w:evenVBand="0" w:oddHBand="0" w:evenHBand="0" w:firstRowFirstColumn="0" w:firstRowLastColumn="0" w:lastRowFirstColumn="0" w:lastRowLastColumn="0"/>
            </w:pPr>
            <w:r w:rsidRPr="176F6A0C">
              <w:rPr>
                <w:rFonts w:ascii="Calibri" w:eastAsia="Calibri" w:hAnsi="Calibri" w:cs="Calibri"/>
                <w:lang w:val="en-US"/>
              </w:rPr>
              <w:t>Flagship article, milestone communication package, newsletter content, partner dissemination materials</w:t>
            </w:r>
          </w:p>
        </w:tc>
      </w:tr>
      <w:tr w:rsidR="176F6A0C" w14:paraId="457C2F2D" w14:textId="77777777" w:rsidTr="176F6A0C">
        <w:trPr>
          <w:trHeight w:val="300"/>
        </w:trPr>
        <w:tc>
          <w:tcPr>
            <w:cnfStyle w:val="001000000000" w:firstRow="0" w:lastRow="0" w:firstColumn="1" w:lastColumn="0" w:oddVBand="0" w:evenVBand="0" w:oddHBand="0" w:evenHBand="0" w:firstRowFirstColumn="0" w:firstRowLastColumn="0" w:lastRowFirstColumn="0" w:lastRowLastColumn="0"/>
            <w:tcW w:w="3005" w:type="dxa"/>
          </w:tcPr>
          <w:p w14:paraId="28AEA864" w14:textId="6BD5ECA3" w:rsidR="2186FE89" w:rsidRDefault="2186FE89" w:rsidP="176F6A0C">
            <w:pPr>
              <w:rPr>
                <w:lang w:val="en-US"/>
              </w:rPr>
            </w:pPr>
            <w:r w:rsidRPr="176F6A0C">
              <w:rPr>
                <w:lang w:val="en-US"/>
              </w:rPr>
              <w:t>October 2026</w:t>
            </w:r>
          </w:p>
        </w:tc>
        <w:tc>
          <w:tcPr>
            <w:tcW w:w="3005" w:type="dxa"/>
          </w:tcPr>
          <w:p w14:paraId="17CB0C6E" w14:textId="334B59E6" w:rsidR="2186FE89" w:rsidRDefault="2186FE89" w:rsidP="176F6A0C">
            <w:pPr>
              <w:cnfStyle w:val="000000000000" w:firstRow="0" w:lastRow="0" w:firstColumn="0" w:lastColumn="0" w:oddVBand="0" w:evenVBand="0" w:oddHBand="0" w:evenHBand="0" w:firstRowFirstColumn="0" w:firstRowLastColumn="0" w:lastRowFirstColumn="0" w:lastRowLastColumn="0"/>
            </w:pPr>
            <w:r w:rsidRPr="176F6A0C">
              <w:rPr>
                <w:rFonts w:ascii="Calibri" w:eastAsia="Calibri" w:hAnsi="Calibri" w:cs="Calibri"/>
                <w:lang w:val="en-US"/>
              </w:rPr>
              <w:t>Consolidation, lessons learned, and visibility continuity</w:t>
            </w:r>
          </w:p>
        </w:tc>
        <w:tc>
          <w:tcPr>
            <w:tcW w:w="3005" w:type="dxa"/>
          </w:tcPr>
          <w:p w14:paraId="39D07CC9" w14:textId="28C903EF" w:rsidR="2186FE89" w:rsidRDefault="2186FE89" w:rsidP="176F6A0C">
            <w:pPr>
              <w:cnfStyle w:val="000000000000" w:firstRow="0" w:lastRow="0" w:firstColumn="0" w:lastColumn="0" w:oddVBand="0" w:evenVBand="0" w:oddHBand="0" w:evenHBand="0" w:firstRowFirstColumn="0" w:firstRowLastColumn="0" w:lastRowFirstColumn="0" w:lastRowLastColumn="0"/>
            </w:pPr>
            <w:r w:rsidRPr="176F6A0C">
              <w:rPr>
                <w:rFonts w:ascii="Calibri" w:eastAsia="Calibri" w:hAnsi="Calibri" w:cs="Calibri"/>
                <w:lang w:val="en-US"/>
              </w:rPr>
              <w:t>Project update article, stakeholder communications, reusable communication assets, social amplification</w:t>
            </w:r>
          </w:p>
        </w:tc>
      </w:tr>
    </w:tbl>
    <w:p w14:paraId="6063DA2C" w14:textId="0547F50C" w:rsidR="00375603" w:rsidRDefault="2186FE89" w:rsidP="176F6A0C">
      <w:pPr>
        <w:rPr>
          <w:i/>
          <w:iCs/>
          <w:lang w:val="en-US"/>
        </w:rPr>
      </w:pPr>
      <w:r w:rsidRPr="176F6A0C">
        <w:rPr>
          <w:i/>
          <w:iCs/>
          <w:lang w:val="en-US"/>
        </w:rPr>
        <w:t>Table 2: Indicative communication focus for the period May to October 2026</w:t>
      </w:r>
    </w:p>
    <w:p w14:paraId="442C6E0B" w14:textId="1F963026" w:rsidR="00375603" w:rsidRDefault="36C1886C" w:rsidP="176F6A0C">
      <w:pPr>
        <w:rPr>
          <w:rFonts w:ascii="Calibri" w:hAnsi="Calibri" w:cs="Calibri"/>
          <w:b/>
          <w:bCs/>
          <w:color w:val="2F5496" w:themeColor="accent1" w:themeShade="BF"/>
          <w:sz w:val="24"/>
          <w:szCs w:val="24"/>
        </w:rPr>
      </w:pPr>
      <w:r w:rsidRPr="176F6A0C">
        <w:rPr>
          <w:rFonts w:ascii="Calibri" w:hAnsi="Calibri" w:cs="Calibri"/>
          <w:b/>
          <w:bCs/>
          <w:color w:val="2F5496" w:themeColor="accent1" w:themeShade="BF"/>
          <w:sz w:val="24"/>
          <w:szCs w:val="24"/>
        </w:rPr>
        <w:t>A.8.</w:t>
      </w:r>
      <w:r w:rsidR="00E509CB">
        <w:tab/>
      </w:r>
      <w:r w:rsidRPr="176F6A0C">
        <w:rPr>
          <w:rFonts w:ascii="Calibri" w:hAnsi="Calibri" w:cs="Calibri"/>
          <w:b/>
          <w:bCs/>
          <w:color w:val="2F5496" w:themeColor="accent1" w:themeShade="BF"/>
          <w:sz w:val="24"/>
          <w:szCs w:val="24"/>
        </w:rPr>
        <w:t>Adaptive implementation</w:t>
      </w:r>
    </w:p>
    <w:p w14:paraId="78CC6E42" w14:textId="30CC6AA5" w:rsidR="00375603" w:rsidRDefault="36C1886C" w:rsidP="176F6A0C">
      <w:r w:rsidRPr="176F6A0C">
        <w:rPr>
          <w:lang w:val="en-US"/>
        </w:rPr>
        <w:t>The editorial calendar should be reviewed periodically by the communication team, project management unit, and relevant partners. Adjustments may be made to reflect:</w:t>
      </w:r>
    </w:p>
    <w:p w14:paraId="72590C41" w14:textId="7FCBE3B3" w:rsidR="00375603" w:rsidRDefault="36C1886C" w:rsidP="00042275">
      <w:pPr>
        <w:pStyle w:val="Pasussalistom"/>
        <w:numPr>
          <w:ilvl w:val="0"/>
          <w:numId w:val="21"/>
        </w:numPr>
        <w:rPr>
          <w:rFonts w:ascii="Calibri" w:eastAsia="Calibri" w:hAnsi="Calibri" w:cs="Calibri"/>
          <w:lang w:val="en-US"/>
        </w:rPr>
      </w:pPr>
      <w:r w:rsidRPr="176F6A0C">
        <w:rPr>
          <w:lang w:val="en-US"/>
        </w:rPr>
        <w:t>emerging project priorities;</w:t>
      </w:r>
    </w:p>
    <w:p w14:paraId="6564794D" w14:textId="44F9C7C6" w:rsidR="00375603" w:rsidRDefault="36C1886C" w:rsidP="00042275">
      <w:pPr>
        <w:pStyle w:val="Pasussalistom"/>
        <w:numPr>
          <w:ilvl w:val="0"/>
          <w:numId w:val="21"/>
        </w:numPr>
        <w:rPr>
          <w:rFonts w:ascii="Calibri" w:eastAsia="Calibri" w:hAnsi="Calibri" w:cs="Calibri"/>
          <w:lang w:val="en-US"/>
        </w:rPr>
      </w:pPr>
      <w:r w:rsidRPr="176F6A0C">
        <w:rPr>
          <w:lang w:val="en-US"/>
        </w:rPr>
        <w:t>revised milestone schedules;</w:t>
      </w:r>
    </w:p>
    <w:p w14:paraId="3034AF5D" w14:textId="208C4BD9" w:rsidR="00375603" w:rsidRDefault="36C1886C" w:rsidP="00042275">
      <w:pPr>
        <w:pStyle w:val="Pasussalistom"/>
        <w:numPr>
          <w:ilvl w:val="0"/>
          <w:numId w:val="21"/>
        </w:numPr>
        <w:rPr>
          <w:rFonts w:ascii="Calibri" w:eastAsia="Calibri" w:hAnsi="Calibri" w:cs="Calibri"/>
          <w:lang w:val="en-US"/>
        </w:rPr>
      </w:pPr>
      <w:r w:rsidRPr="176F6A0C">
        <w:rPr>
          <w:lang w:val="en-US"/>
        </w:rPr>
        <w:t>stakeholder engagement requirements;</w:t>
      </w:r>
    </w:p>
    <w:p w14:paraId="06F89C6D" w14:textId="286BBE97" w:rsidR="00375603" w:rsidRDefault="36C1886C" w:rsidP="00042275">
      <w:pPr>
        <w:pStyle w:val="Pasussalistom"/>
        <w:numPr>
          <w:ilvl w:val="0"/>
          <w:numId w:val="21"/>
        </w:numPr>
        <w:rPr>
          <w:rFonts w:ascii="Calibri" w:eastAsia="Calibri" w:hAnsi="Calibri" w:cs="Calibri"/>
          <w:lang w:val="en-US"/>
        </w:rPr>
      </w:pPr>
      <w:r w:rsidRPr="176F6A0C">
        <w:rPr>
          <w:lang w:val="en-US"/>
        </w:rPr>
        <w:t>technical validation timelines;</w:t>
      </w:r>
    </w:p>
    <w:p w14:paraId="204DFB42" w14:textId="7A3D76B9" w:rsidR="00375603" w:rsidRDefault="36C1886C" w:rsidP="00042275">
      <w:pPr>
        <w:pStyle w:val="Pasussalistom"/>
        <w:numPr>
          <w:ilvl w:val="0"/>
          <w:numId w:val="21"/>
        </w:numPr>
        <w:rPr>
          <w:rFonts w:ascii="Calibri" w:eastAsia="Calibri" w:hAnsi="Calibri" w:cs="Calibri"/>
          <w:lang w:val="en-US"/>
        </w:rPr>
      </w:pPr>
      <w:r w:rsidRPr="176F6A0C">
        <w:rPr>
          <w:lang w:val="en-US"/>
        </w:rPr>
        <w:t>communication opportunities arising from project results or external events.</w:t>
      </w:r>
    </w:p>
    <w:p w14:paraId="25EACD0D" w14:textId="6B6F879C" w:rsidR="00375603" w:rsidRDefault="36C1886C" w:rsidP="176F6A0C">
      <w:r w:rsidRPr="176F6A0C">
        <w:rPr>
          <w:lang w:val="en-US"/>
        </w:rPr>
        <w:t>This adaptive approach helps ensure that communication remains relevant, timely, and proportionate throughout project implementation.</w:t>
      </w:r>
    </w:p>
    <w:p w14:paraId="0C3D42D8" w14:textId="22D02A01" w:rsidR="00375603" w:rsidRDefault="00375603" w:rsidP="176F6A0C">
      <w:pPr>
        <w:rPr>
          <w:lang w:val="en-US"/>
        </w:rPr>
      </w:pPr>
    </w:p>
    <w:p w14:paraId="7B86718F" w14:textId="00320028" w:rsidR="00375603" w:rsidRDefault="00375603" w:rsidP="176F6A0C">
      <w:pPr>
        <w:rPr>
          <w:lang w:val="en-US"/>
        </w:rPr>
      </w:pPr>
    </w:p>
    <w:p w14:paraId="41E6FF01" w14:textId="2A1816CA" w:rsidR="00375603" w:rsidRDefault="00375603" w:rsidP="176F6A0C">
      <w:pPr>
        <w:rPr>
          <w:lang w:val="en-US"/>
        </w:rPr>
      </w:pPr>
    </w:p>
    <w:p w14:paraId="4842AA80" w14:textId="4D315C32" w:rsidR="00375603" w:rsidRDefault="00375603" w:rsidP="176F6A0C">
      <w:pPr>
        <w:rPr>
          <w:lang w:val="en-US"/>
        </w:rPr>
      </w:pPr>
    </w:p>
    <w:p w14:paraId="228622A1" w14:textId="7CD6149B" w:rsidR="00375603" w:rsidRDefault="00375603" w:rsidP="176F6A0C">
      <w:pPr>
        <w:rPr>
          <w:lang w:val="en-US"/>
        </w:rPr>
      </w:pPr>
    </w:p>
    <w:p w14:paraId="62A08C35" w14:textId="78207EBF" w:rsidR="00375603" w:rsidRDefault="199D2CEA" w:rsidP="176F6A0C">
      <w:pPr>
        <w:rPr>
          <w:rFonts w:ascii="Calibri" w:hAnsi="Calibri" w:cs="Calibri"/>
          <w:color w:val="2F5496" w:themeColor="accent1" w:themeShade="BF"/>
          <w:sz w:val="28"/>
          <w:szCs w:val="28"/>
        </w:rPr>
      </w:pPr>
      <w:r w:rsidRPr="176F6A0C">
        <w:rPr>
          <w:rFonts w:ascii="Calibri" w:hAnsi="Calibri" w:cs="Calibri"/>
          <w:color w:val="2F5496" w:themeColor="accent1" w:themeShade="BF"/>
          <w:sz w:val="28"/>
          <w:szCs w:val="28"/>
        </w:rPr>
        <w:lastRenderedPageBreak/>
        <w:t xml:space="preserve">Annex </w:t>
      </w:r>
      <w:r w:rsidR="217164C1" w:rsidRPr="176F6A0C">
        <w:rPr>
          <w:rFonts w:ascii="Calibri" w:hAnsi="Calibri" w:cs="Calibri"/>
          <w:color w:val="2F5496" w:themeColor="accent1" w:themeShade="BF"/>
          <w:sz w:val="28"/>
          <w:szCs w:val="28"/>
        </w:rPr>
        <w:t>B</w:t>
      </w:r>
      <w:r w:rsidRPr="176F6A0C">
        <w:rPr>
          <w:rFonts w:ascii="Calibri" w:hAnsi="Calibri" w:cs="Calibri"/>
          <w:color w:val="2F5496" w:themeColor="accent1" w:themeShade="BF"/>
          <w:sz w:val="28"/>
          <w:szCs w:val="28"/>
        </w:rPr>
        <w:t xml:space="preserve">: </w:t>
      </w:r>
      <w:r w:rsidR="0C884195" w:rsidRPr="176F6A0C">
        <w:rPr>
          <w:rFonts w:ascii="Calibri" w:hAnsi="Calibri" w:cs="Calibri"/>
          <w:color w:val="2F5496" w:themeColor="accent1" w:themeShade="BF"/>
          <w:sz w:val="28"/>
          <w:szCs w:val="28"/>
        </w:rPr>
        <w:t>Operating model</w:t>
      </w:r>
    </w:p>
    <w:p w14:paraId="604783CC" w14:textId="7AFF3B09" w:rsidR="00375603" w:rsidRDefault="0C884195" w:rsidP="176F6A0C">
      <w:r w:rsidRPr="176F6A0C">
        <w:t>This annex provides a practical reference for implementing the governance, workflow, review, and coordination arrangements described in Section 10. It consolidates key operational elements, including roles, review requirements, workflows, contribution expectations, and coordination mechanisms, to support consistent delivery of communication activities across the project.</w:t>
      </w:r>
    </w:p>
    <w:p w14:paraId="6FAC945F" w14:textId="70C750F9" w:rsidR="00375603" w:rsidRDefault="0C884195" w:rsidP="176F6A0C">
      <w:pPr>
        <w:rPr>
          <w:rFonts w:ascii="Calibri" w:hAnsi="Calibri" w:cs="Calibri"/>
          <w:b/>
          <w:bCs/>
          <w:color w:val="2F5496" w:themeColor="accent1" w:themeShade="BF"/>
          <w:sz w:val="24"/>
          <w:szCs w:val="24"/>
        </w:rPr>
      </w:pPr>
      <w:r w:rsidRPr="176F6A0C">
        <w:rPr>
          <w:rFonts w:ascii="Calibri" w:hAnsi="Calibri" w:cs="Calibri"/>
          <w:b/>
          <w:bCs/>
          <w:color w:val="2F5496" w:themeColor="accent1" w:themeShade="BF"/>
          <w:sz w:val="24"/>
          <w:szCs w:val="24"/>
        </w:rPr>
        <w:t>B.1.</w:t>
      </w:r>
      <w:r w:rsidR="00E509CB">
        <w:tab/>
      </w:r>
      <w:r w:rsidRPr="176F6A0C">
        <w:rPr>
          <w:rFonts w:ascii="Calibri" w:hAnsi="Calibri" w:cs="Calibri"/>
          <w:b/>
          <w:bCs/>
          <w:color w:val="2F5496" w:themeColor="accent1" w:themeShade="BF"/>
          <w:sz w:val="24"/>
          <w:szCs w:val="24"/>
        </w:rPr>
        <w:t>Roles and decision rights</w:t>
      </w:r>
    </w:p>
    <w:p w14:paraId="5EC20F73" w14:textId="78721841" w:rsidR="00375603" w:rsidRDefault="0C884195" w:rsidP="176F6A0C">
      <w:r w:rsidRPr="176F6A0C">
        <w:t>The table below provides the default allocation of responsibilities for external-facing communication products. It may be adapted where project governance arrangements or institutional requirements require alternative review or clearance processes.</w:t>
      </w:r>
    </w:p>
    <w:tbl>
      <w:tblPr>
        <w:tblStyle w:val="Tabelakoordinatnemree4akcenat1"/>
        <w:tblW w:w="0" w:type="auto"/>
        <w:tblLook w:val="06A0" w:firstRow="1" w:lastRow="0" w:firstColumn="1" w:lastColumn="0" w:noHBand="1" w:noVBand="1"/>
      </w:tblPr>
      <w:tblGrid>
        <w:gridCol w:w="1781"/>
        <w:gridCol w:w="1545"/>
        <w:gridCol w:w="2010"/>
        <w:gridCol w:w="1781"/>
        <w:gridCol w:w="1899"/>
      </w:tblGrid>
      <w:tr w:rsidR="176F6A0C" w14:paraId="0551E605" w14:textId="77777777" w:rsidTr="176F6A0C">
        <w:trPr>
          <w:cnfStyle w:val="100000000000" w:firstRow="1" w:lastRow="0" w:firstColumn="0" w:lastColumn="0" w:oddVBand="0" w:evenVBand="0" w:oddHBand="0"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815" w:type="dxa"/>
          </w:tcPr>
          <w:p w14:paraId="1A1B6109" w14:textId="3718AD77" w:rsidR="176F6A0C" w:rsidRDefault="176F6A0C" w:rsidP="176F6A0C">
            <w:pPr>
              <w:rPr>
                <w:rFonts w:ascii="Calibri" w:eastAsia="Calibri" w:hAnsi="Calibri" w:cs="Calibri"/>
                <w:b w:val="0"/>
                <w:bCs w:val="0"/>
                <w:color w:val="000000" w:themeColor="text1"/>
                <w:sz w:val="24"/>
                <w:szCs w:val="24"/>
              </w:rPr>
            </w:pPr>
            <w:r w:rsidRPr="176F6A0C">
              <w:rPr>
                <w:lang w:val="en-US"/>
              </w:rPr>
              <w:t>Role</w:t>
            </w:r>
          </w:p>
        </w:tc>
        <w:tc>
          <w:tcPr>
            <w:tcW w:w="1650" w:type="dxa"/>
          </w:tcPr>
          <w:p w14:paraId="6E5CA9D2" w14:textId="205E3A22" w:rsidR="176F6A0C" w:rsidRDefault="176F6A0C" w:rsidP="176F6A0C">
            <w:pPr>
              <w:cnfStyle w:val="100000000000" w:firstRow="1"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r w:rsidRPr="176F6A0C">
              <w:rPr>
                <w:lang w:val="en-US"/>
              </w:rPr>
              <w:t>Accountable (A)</w:t>
            </w:r>
          </w:p>
        </w:tc>
        <w:tc>
          <w:tcPr>
            <w:tcW w:w="2100" w:type="dxa"/>
          </w:tcPr>
          <w:p w14:paraId="4B23AE1B" w14:textId="7A2EFD53" w:rsidR="176F6A0C" w:rsidRDefault="176F6A0C" w:rsidP="176F6A0C">
            <w:pPr>
              <w:cnfStyle w:val="100000000000" w:firstRow="1"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r w:rsidRPr="176F6A0C">
              <w:rPr>
                <w:lang w:val="en-US"/>
              </w:rPr>
              <w:t>Responsible (R)</w:t>
            </w:r>
          </w:p>
        </w:tc>
        <w:tc>
          <w:tcPr>
            <w:tcW w:w="1860" w:type="dxa"/>
          </w:tcPr>
          <w:p w14:paraId="0308E795" w14:textId="7E5C09DB" w:rsidR="176F6A0C" w:rsidRDefault="176F6A0C" w:rsidP="176F6A0C">
            <w:pPr>
              <w:cnfStyle w:val="100000000000" w:firstRow="1"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r w:rsidRPr="176F6A0C">
              <w:rPr>
                <w:lang w:val="en-US"/>
              </w:rPr>
              <w:t>Consulted (C)</w:t>
            </w:r>
          </w:p>
        </w:tc>
        <w:tc>
          <w:tcPr>
            <w:tcW w:w="1905" w:type="dxa"/>
          </w:tcPr>
          <w:p w14:paraId="098BEFC7" w14:textId="0757B99C" w:rsidR="176F6A0C" w:rsidRDefault="176F6A0C" w:rsidP="176F6A0C">
            <w:pPr>
              <w:cnfStyle w:val="100000000000" w:firstRow="1"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r w:rsidRPr="176F6A0C">
              <w:rPr>
                <w:lang w:val="en-US"/>
              </w:rPr>
              <w:t>Informed (I)</w:t>
            </w:r>
          </w:p>
        </w:tc>
      </w:tr>
      <w:tr w:rsidR="176F6A0C" w14:paraId="443AD491" w14:textId="77777777" w:rsidTr="176F6A0C">
        <w:trPr>
          <w:trHeight w:val="285"/>
        </w:trPr>
        <w:tc>
          <w:tcPr>
            <w:cnfStyle w:val="001000000000" w:firstRow="0" w:lastRow="0" w:firstColumn="1" w:lastColumn="0" w:oddVBand="0" w:evenVBand="0" w:oddHBand="0" w:evenHBand="0" w:firstRowFirstColumn="0" w:firstRowLastColumn="0" w:lastRowFirstColumn="0" w:lastRowLastColumn="0"/>
            <w:tcW w:w="1815" w:type="dxa"/>
          </w:tcPr>
          <w:p w14:paraId="6D7330C6" w14:textId="7D0614A0" w:rsidR="176F6A0C" w:rsidRDefault="176F6A0C" w:rsidP="176F6A0C">
            <w:pPr>
              <w:rPr>
                <w:rFonts w:ascii="Calibri" w:eastAsia="Calibri" w:hAnsi="Calibri" w:cs="Calibri"/>
                <w:b w:val="0"/>
                <w:bCs w:val="0"/>
                <w:color w:val="000000" w:themeColor="text1"/>
                <w:sz w:val="24"/>
                <w:szCs w:val="24"/>
              </w:rPr>
            </w:pPr>
            <w:r w:rsidRPr="176F6A0C">
              <w:rPr>
                <w:lang w:val="en-US"/>
              </w:rPr>
              <w:t>Project Manager</w:t>
            </w:r>
          </w:p>
        </w:tc>
        <w:tc>
          <w:tcPr>
            <w:tcW w:w="1650" w:type="dxa"/>
          </w:tcPr>
          <w:p w14:paraId="51F32002" w14:textId="5F464723" w:rsidR="176F6A0C" w:rsidRDefault="176F6A0C" w:rsidP="176F6A0C">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r w:rsidRPr="176F6A0C">
              <w:rPr>
                <w:lang w:val="en-US"/>
              </w:rPr>
              <w:t>Final decision authority for sensitive outputs; confirms clearance route</w:t>
            </w:r>
          </w:p>
        </w:tc>
        <w:tc>
          <w:tcPr>
            <w:tcW w:w="2100" w:type="dxa"/>
          </w:tcPr>
          <w:p w14:paraId="56A23159" w14:textId="24D66BCA" w:rsidR="176F6A0C" w:rsidRDefault="176F6A0C" w:rsidP="176F6A0C">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r w:rsidRPr="176F6A0C">
              <w:rPr>
                <w:lang w:val="en-US"/>
              </w:rPr>
              <w:t>Clears/approves RED-lane outputs as required</w:t>
            </w:r>
          </w:p>
        </w:tc>
        <w:tc>
          <w:tcPr>
            <w:tcW w:w="1860" w:type="dxa"/>
          </w:tcPr>
          <w:p w14:paraId="2DDD6BF6" w14:textId="6F648E67" w:rsidR="176F6A0C" w:rsidRDefault="176F6A0C" w:rsidP="176F6A0C">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r w:rsidRPr="176F6A0C">
              <w:rPr>
                <w:lang w:val="en-US"/>
              </w:rPr>
              <w:t>Communications coordinator; institutional clearance contacts (as needed)</w:t>
            </w:r>
          </w:p>
        </w:tc>
        <w:tc>
          <w:tcPr>
            <w:tcW w:w="1905" w:type="dxa"/>
          </w:tcPr>
          <w:p w14:paraId="4EB3789F" w14:textId="72E216B2" w:rsidR="176F6A0C" w:rsidRDefault="176F6A0C" w:rsidP="176F6A0C">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r w:rsidRPr="176F6A0C">
              <w:rPr>
                <w:lang w:val="en-US"/>
              </w:rPr>
              <w:t>Regional and national comm</w:t>
            </w:r>
            <w:r w:rsidR="302FC12E" w:rsidRPr="176F6A0C">
              <w:rPr>
                <w:lang w:val="en-US"/>
              </w:rPr>
              <w:t>unication</w:t>
            </w:r>
            <w:r w:rsidRPr="176F6A0C">
              <w:rPr>
                <w:lang w:val="en-US"/>
              </w:rPr>
              <w:t>s experts; relevant technical validators</w:t>
            </w:r>
          </w:p>
        </w:tc>
      </w:tr>
      <w:tr w:rsidR="176F6A0C" w14:paraId="7ED2D27F" w14:textId="77777777" w:rsidTr="176F6A0C">
        <w:trPr>
          <w:trHeight w:val="285"/>
        </w:trPr>
        <w:tc>
          <w:tcPr>
            <w:cnfStyle w:val="001000000000" w:firstRow="0" w:lastRow="0" w:firstColumn="1" w:lastColumn="0" w:oddVBand="0" w:evenVBand="0" w:oddHBand="0" w:evenHBand="0" w:firstRowFirstColumn="0" w:firstRowLastColumn="0" w:lastRowFirstColumn="0" w:lastRowLastColumn="0"/>
            <w:tcW w:w="1815" w:type="dxa"/>
          </w:tcPr>
          <w:p w14:paraId="3FEE798D" w14:textId="118F60A6" w:rsidR="176F6A0C" w:rsidRDefault="176F6A0C" w:rsidP="176F6A0C">
            <w:pPr>
              <w:rPr>
                <w:rFonts w:ascii="Calibri" w:eastAsia="Calibri" w:hAnsi="Calibri" w:cs="Calibri"/>
                <w:b w:val="0"/>
                <w:bCs w:val="0"/>
                <w:color w:val="000000" w:themeColor="text1"/>
                <w:sz w:val="24"/>
                <w:szCs w:val="24"/>
              </w:rPr>
            </w:pPr>
            <w:r w:rsidRPr="176F6A0C">
              <w:rPr>
                <w:lang w:val="en-US"/>
              </w:rPr>
              <w:t>Communications coordinator (international)</w:t>
            </w:r>
          </w:p>
        </w:tc>
        <w:tc>
          <w:tcPr>
            <w:tcW w:w="1650" w:type="dxa"/>
          </w:tcPr>
          <w:p w14:paraId="45CE3715" w14:textId="2B930EAC" w:rsidR="176F6A0C" w:rsidRDefault="176F6A0C" w:rsidP="176F6A0C">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r w:rsidRPr="176F6A0C">
              <w:rPr>
                <w:lang w:val="en-US"/>
              </w:rPr>
              <w:t>Message coherence and editorial quality (“single latest”)</w:t>
            </w:r>
          </w:p>
        </w:tc>
        <w:tc>
          <w:tcPr>
            <w:tcW w:w="2100" w:type="dxa"/>
          </w:tcPr>
          <w:p w14:paraId="10BD5D23" w14:textId="692429EF" w:rsidR="176F6A0C" w:rsidRDefault="176F6A0C" w:rsidP="176F6A0C">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r w:rsidRPr="176F6A0C">
              <w:rPr>
                <w:lang w:val="en-US"/>
              </w:rPr>
              <w:t>Plans, drafts/consolidates flagships; runs pipeline; produces partner packs</w:t>
            </w:r>
          </w:p>
        </w:tc>
        <w:tc>
          <w:tcPr>
            <w:tcW w:w="1860" w:type="dxa"/>
          </w:tcPr>
          <w:p w14:paraId="6BC6910C" w14:textId="3D6CA7A1" w:rsidR="176F6A0C" w:rsidRDefault="176F6A0C" w:rsidP="176F6A0C">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r w:rsidRPr="176F6A0C">
              <w:rPr>
                <w:lang w:val="en-US"/>
              </w:rPr>
              <w:t>National comm</w:t>
            </w:r>
            <w:r w:rsidR="4A68D32C" w:rsidRPr="176F6A0C">
              <w:rPr>
                <w:lang w:val="en-US"/>
              </w:rPr>
              <w:t>unication</w:t>
            </w:r>
            <w:r w:rsidRPr="176F6A0C">
              <w:rPr>
                <w:lang w:val="en-US"/>
              </w:rPr>
              <w:t>s experts; regional comm</w:t>
            </w:r>
            <w:r w:rsidR="533B2FB1" w:rsidRPr="176F6A0C">
              <w:rPr>
                <w:lang w:val="en-US"/>
              </w:rPr>
              <w:t>unication</w:t>
            </w:r>
            <w:r w:rsidRPr="176F6A0C">
              <w:rPr>
                <w:lang w:val="en-US"/>
              </w:rPr>
              <w:t>s expert; technical validators</w:t>
            </w:r>
          </w:p>
        </w:tc>
        <w:tc>
          <w:tcPr>
            <w:tcW w:w="1905" w:type="dxa"/>
          </w:tcPr>
          <w:p w14:paraId="08404D86" w14:textId="237F05E1" w:rsidR="176F6A0C" w:rsidRDefault="176F6A0C" w:rsidP="176F6A0C">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r w:rsidRPr="176F6A0C">
              <w:rPr>
                <w:lang w:val="en-US"/>
              </w:rPr>
              <w:t>Project team and relevant partners</w:t>
            </w:r>
          </w:p>
        </w:tc>
      </w:tr>
      <w:tr w:rsidR="176F6A0C" w14:paraId="0AA11360" w14:textId="77777777" w:rsidTr="176F6A0C">
        <w:trPr>
          <w:trHeight w:val="285"/>
        </w:trPr>
        <w:tc>
          <w:tcPr>
            <w:cnfStyle w:val="001000000000" w:firstRow="0" w:lastRow="0" w:firstColumn="1" w:lastColumn="0" w:oddVBand="0" w:evenVBand="0" w:oddHBand="0" w:evenHBand="0" w:firstRowFirstColumn="0" w:firstRowLastColumn="0" w:lastRowFirstColumn="0" w:lastRowLastColumn="0"/>
            <w:tcW w:w="1815" w:type="dxa"/>
          </w:tcPr>
          <w:p w14:paraId="32E73503" w14:textId="69998972" w:rsidR="176F6A0C" w:rsidRDefault="176F6A0C" w:rsidP="176F6A0C">
            <w:pPr>
              <w:rPr>
                <w:rFonts w:ascii="Calibri" w:eastAsia="Calibri" w:hAnsi="Calibri" w:cs="Calibri"/>
                <w:b w:val="0"/>
                <w:bCs w:val="0"/>
                <w:color w:val="000000" w:themeColor="text1"/>
                <w:sz w:val="24"/>
                <w:szCs w:val="24"/>
              </w:rPr>
            </w:pPr>
            <w:r w:rsidRPr="176F6A0C">
              <w:rPr>
                <w:lang w:val="en-US"/>
              </w:rPr>
              <w:t>Regional communication expert</w:t>
            </w:r>
          </w:p>
        </w:tc>
        <w:tc>
          <w:tcPr>
            <w:tcW w:w="1650" w:type="dxa"/>
          </w:tcPr>
          <w:p w14:paraId="0B0AFFBA" w14:textId="21A400C2" w:rsidR="176F6A0C" w:rsidRDefault="176F6A0C" w:rsidP="176F6A0C">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r w:rsidRPr="176F6A0C">
              <w:rPr>
                <w:lang w:val="en-US"/>
              </w:rPr>
              <w:t>Regional dissemination quality (multiplier model)</w:t>
            </w:r>
          </w:p>
        </w:tc>
        <w:tc>
          <w:tcPr>
            <w:tcW w:w="2100" w:type="dxa"/>
          </w:tcPr>
          <w:p w14:paraId="04E7E64D" w14:textId="4282D350" w:rsidR="176F6A0C" w:rsidRDefault="176F6A0C" w:rsidP="176F6A0C">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r w:rsidRPr="176F6A0C">
              <w:rPr>
                <w:lang w:val="en-US"/>
              </w:rPr>
              <w:t>Packages and amplifies cleared content via regional channels</w:t>
            </w:r>
          </w:p>
        </w:tc>
        <w:tc>
          <w:tcPr>
            <w:tcW w:w="1860" w:type="dxa"/>
          </w:tcPr>
          <w:p w14:paraId="207106B4" w14:textId="5667F21B" w:rsidR="176F6A0C" w:rsidRDefault="176F6A0C" w:rsidP="176F6A0C">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r w:rsidRPr="176F6A0C">
              <w:rPr>
                <w:lang w:val="en-US"/>
              </w:rPr>
              <w:t>Communications coordinator; national comm</w:t>
            </w:r>
            <w:r w:rsidR="146D0D3D" w:rsidRPr="176F6A0C">
              <w:rPr>
                <w:lang w:val="en-US"/>
              </w:rPr>
              <w:t>unication</w:t>
            </w:r>
            <w:r w:rsidRPr="176F6A0C">
              <w:rPr>
                <w:lang w:val="en-US"/>
              </w:rPr>
              <w:t>s experts (as relevant)</w:t>
            </w:r>
          </w:p>
        </w:tc>
        <w:tc>
          <w:tcPr>
            <w:tcW w:w="1905" w:type="dxa"/>
          </w:tcPr>
          <w:p w14:paraId="20EC42C9" w14:textId="0D8F4542" w:rsidR="176F6A0C" w:rsidRDefault="176F6A0C" w:rsidP="176F6A0C">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r w:rsidRPr="176F6A0C">
              <w:rPr>
                <w:lang w:val="en-US"/>
              </w:rPr>
              <w:t>Project Manager; partners/networks</w:t>
            </w:r>
          </w:p>
        </w:tc>
      </w:tr>
      <w:tr w:rsidR="176F6A0C" w14:paraId="7F6976E4" w14:textId="77777777" w:rsidTr="176F6A0C">
        <w:trPr>
          <w:trHeight w:val="285"/>
        </w:trPr>
        <w:tc>
          <w:tcPr>
            <w:cnfStyle w:val="001000000000" w:firstRow="0" w:lastRow="0" w:firstColumn="1" w:lastColumn="0" w:oddVBand="0" w:evenVBand="0" w:oddHBand="0" w:evenHBand="0" w:firstRowFirstColumn="0" w:firstRowLastColumn="0" w:lastRowFirstColumn="0" w:lastRowLastColumn="0"/>
            <w:tcW w:w="1815" w:type="dxa"/>
          </w:tcPr>
          <w:p w14:paraId="53A6E064" w14:textId="00DAB738" w:rsidR="176F6A0C" w:rsidRDefault="176F6A0C" w:rsidP="176F6A0C">
            <w:pPr>
              <w:rPr>
                <w:rFonts w:ascii="Calibri" w:eastAsia="Calibri" w:hAnsi="Calibri" w:cs="Calibri"/>
                <w:b w:val="0"/>
                <w:bCs w:val="0"/>
                <w:color w:val="000000" w:themeColor="text1"/>
                <w:sz w:val="24"/>
                <w:szCs w:val="24"/>
              </w:rPr>
            </w:pPr>
            <w:r w:rsidRPr="176F6A0C">
              <w:rPr>
                <w:lang w:val="en-US"/>
              </w:rPr>
              <w:t>National communication experts</w:t>
            </w:r>
          </w:p>
        </w:tc>
        <w:tc>
          <w:tcPr>
            <w:tcW w:w="1650" w:type="dxa"/>
          </w:tcPr>
          <w:p w14:paraId="03302E04" w14:textId="0C1CE035" w:rsidR="176F6A0C" w:rsidRDefault="176F6A0C" w:rsidP="176F6A0C">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r w:rsidRPr="176F6A0C">
              <w:rPr>
                <w:lang w:val="en-US"/>
              </w:rPr>
              <w:t>Country-level relevance and usability (within cleared lines)</w:t>
            </w:r>
          </w:p>
        </w:tc>
        <w:tc>
          <w:tcPr>
            <w:tcW w:w="2100" w:type="dxa"/>
          </w:tcPr>
          <w:p w14:paraId="3BD7AE8D" w14:textId="65AF036E" w:rsidR="176F6A0C" w:rsidRDefault="176F6A0C" w:rsidP="176F6A0C">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r w:rsidRPr="176F6A0C">
              <w:rPr>
                <w:lang w:val="en-US"/>
              </w:rPr>
              <w:t xml:space="preserve">Provide inputs; localise </w:t>
            </w:r>
          </w:p>
          <w:p w14:paraId="6F598BF6" w14:textId="265E829A" w:rsidR="176F6A0C" w:rsidRDefault="176F6A0C" w:rsidP="176F6A0C">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r w:rsidRPr="176F6A0C">
              <w:rPr>
                <w:lang w:val="en-US"/>
              </w:rPr>
              <w:t>derivative outputs; execute national dissemination</w:t>
            </w:r>
          </w:p>
        </w:tc>
        <w:tc>
          <w:tcPr>
            <w:tcW w:w="1860" w:type="dxa"/>
          </w:tcPr>
          <w:p w14:paraId="7154F0B5" w14:textId="37D6B3B8" w:rsidR="176F6A0C" w:rsidRDefault="176F6A0C" w:rsidP="176F6A0C">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r w:rsidRPr="176F6A0C">
              <w:rPr>
                <w:lang w:val="en-US"/>
              </w:rPr>
              <w:t>Communications coordinator; technical validators (as needed)</w:t>
            </w:r>
          </w:p>
        </w:tc>
        <w:tc>
          <w:tcPr>
            <w:tcW w:w="1905" w:type="dxa"/>
          </w:tcPr>
          <w:p w14:paraId="5F85FCEA" w14:textId="0EF17EFB" w:rsidR="176F6A0C" w:rsidRDefault="176F6A0C" w:rsidP="176F6A0C">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r w:rsidRPr="176F6A0C">
              <w:rPr>
                <w:lang w:val="en-US"/>
              </w:rPr>
              <w:t>Project Manager; regional comm</w:t>
            </w:r>
            <w:r w:rsidR="3574C021" w:rsidRPr="176F6A0C">
              <w:rPr>
                <w:lang w:val="en-US"/>
              </w:rPr>
              <w:t>unication</w:t>
            </w:r>
            <w:r w:rsidRPr="176F6A0C">
              <w:rPr>
                <w:lang w:val="en-US"/>
              </w:rPr>
              <w:t>s expert</w:t>
            </w:r>
          </w:p>
        </w:tc>
      </w:tr>
      <w:tr w:rsidR="176F6A0C" w14:paraId="7F428FE4" w14:textId="77777777" w:rsidTr="176F6A0C">
        <w:trPr>
          <w:trHeight w:val="285"/>
        </w:trPr>
        <w:tc>
          <w:tcPr>
            <w:cnfStyle w:val="001000000000" w:firstRow="0" w:lastRow="0" w:firstColumn="1" w:lastColumn="0" w:oddVBand="0" w:evenVBand="0" w:oddHBand="0" w:evenHBand="0" w:firstRowFirstColumn="0" w:firstRowLastColumn="0" w:lastRowFirstColumn="0" w:lastRowLastColumn="0"/>
            <w:tcW w:w="1815" w:type="dxa"/>
          </w:tcPr>
          <w:p w14:paraId="273E56EB" w14:textId="6C5BBE3F" w:rsidR="176F6A0C" w:rsidRDefault="176F6A0C" w:rsidP="176F6A0C">
            <w:pPr>
              <w:rPr>
                <w:rFonts w:ascii="Calibri" w:eastAsia="Calibri" w:hAnsi="Calibri" w:cs="Calibri"/>
                <w:b w:val="0"/>
                <w:bCs w:val="0"/>
                <w:color w:val="000000" w:themeColor="text1"/>
                <w:sz w:val="24"/>
                <w:szCs w:val="24"/>
              </w:rPr>
            </w:pPr>
            <w:r w:rsidRPr="176F6A0C">
              <w:rPr>
                <w:lang w:val="en-US"/>
              </w:rPr>
              <w:t>Technical validators</w:t>
            </w:r>
          </w:p>
        </w:tc>
        <w:tc>
          <w:tcPr>
            <w:tcW w:w="1650" w:type="dxa"/>
          </w:tcPr>
          <w:p w14:paraId="17F86C9E" w14:textId="2977A8F1" w:rsidR="176F6A0C" w:rsidRDefault="176F6A0C" w:rsidP="176F6A0C">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r w:rsidRPr="176F6A0C">
              <w:rPr>
                <w:lang w:val="en-US"/>
              </w:rPr>
              <w:t>Technical accuracy and limitations</w:t>
            </w:r>
          </w:p>
        </w:tc>
        <w:tc>
          <w:tcPr>
            <w:tcW w:w="2100" w:type="dxa"/>
          </w:tcPr>
          <w:p w14:paraId="7198EACC" w14:textId="00633363" w:rsidR="176F6A0C" w:rsidRDefault="176F6A0C" w:rsidP="176F6A0C">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r w:rsidRPr="176F6A0C">
              <w:rPr>
                <w:lang w:val="en-US"/>
              </w:rPr>
              <w:t>Validate technical claims; confirm appropriate “process language”</w:t>
            </w:r>
          </w:p>
        </w:tc>
        <w:tc>
          <w:tcPr>
            <w:tcW w:w="1860" w:type="dxa"/>
          </w:tcPr>
          <w:p w14:paraId="52A06601" w14:textId="4A4E1C2E" w:rsidR="176F6A0C" w:rsidRDefault="176F6A0C" w:rsidP="176F6A0C">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r w:rsidRPr="176F6A0C">
              <w:rPr>
                <w:lang w:val="en-US"/>
              </w:rPr>
              <w:t>Communications coordinator; relevant experts</w:t>
            </w:r>
          </w:p>
        </w:tc>
        <w:tc>
          <w:tcPr>
            <w:tcW w:w="1905" w:type="dxa"/>
          </w:tcPr>
          <w:p w14:paraId="6DEB33D7" w14:textId="468A6A19" w:rsidR="176F6A0C" w:rsidRDefault="176F6A0C" w:rsidP="176F6A0C">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4"/>
                <w:szCs w:val="24"/>
              </w:rPr>
            </w:pPr>
            <w:r w:rsidRPr="176F6A0C">
              <w:rPr>
                <w:lang w:val="en-US"/>
              </w:rPr>
              <w:t>Project Manager; comm</w:t>
            </w:r>
            <w:r w:rsidR="3A68E568" w:rsidRPr="176F6A0C">
              <w:rPr>
                <w:lang w:val="en-US"/>
              </w:rPr>
              <w:t>unication</w:t>
            </w:r>
            <w:r w:rsidRPr="176F6A0C">
              <w:rPr>
                <w:lang w:val="en-US"/>
              </w:rPr>
              <w:t>s experts</w:t>
            </w:r>
          </w:p>
        </w:tc>
      </w:tr>
    </w:tbl>
    <w:p w14:paraId="6A8D4DED" w14:textId="3815E6B4" w:rsidR="00375603" w:rsidRDefault="7AE41A85" w:rsidP="176F6A0C">
      <w:pPr>
        <w:rPr>
          <w:i/>
          <w:iCs/>
        </w:rPr>
      </w:pPr>
      <w:r w:rsidRPr="176F6A0C">
        <w:rPr>
          <w:i/>
          <w:iCs/>
        </w:rPr>
        <w:t>Table 3: RACI chart for external-facing outputs (RED lane).</w:t>
      </w:r>
    </w:p>
    <w:p w14:paraId="5E6A7760" w14:textId="652965BD" w:rsidR="00375603" w:rsidRDefault="7AE41A85" w:rsidP="176F6A0C">
      <w:pPr>
        <w:rPr>
          <w:rFonts w:ascii="Calibri" w:hAnsi="Calibri" w:cs="Calibri"/>
          <w:b/>
          <w:bCs/>
          <w:color w:val="2F5496" w:themeColor="accent1" w:themeShade="BF"/>
          <w:sz w:val="24"/>
          <w:szCs w:val="24"/>
        </w:rPr>
      </w:pPr>
      <w:r w:rsidRPr="176F6A0C">
        <w:rPr>
          <w:rFonts w:ascii="Calibri" w:hAnsi="Calibri" w:cs="Calibri"/>
          <w:b/>
          <w:bCs/>
          <w:color w:val="2F5496" w:themeColor="accent1" w:themeShade="BF"/>
          <w:sz w:val="24"/>
          <w:szCs w:val="24"/>
        </w:rPr>
        <w:t>B.2.</w:t>
      </w:r>
      <w:r w:rsidR="00E509CB">
        <w:tab/>
      </w:r>
      <w:r w:rsidRPr="176F6A0C">
        <w:rPr>
          <w:rFonts w:ascii="Calibri" w:hAnsi="Calibri" w:cs="Calibri"/>
          <w:b/>
          <w:bCs/>
          <w:color w:val="2F5496" w:themeColor="accent1" w:themeShade="BF"/>
          <w:sz w:val="24"/>
          <w:szCs w:val="24"/>
        </w:rPr>
        <w:t>Review lanes (RED and GREEN)</w:t>
      </w:r>
    </w:p>
    <w:p w14:paraId="03A78B19" w14:textId="09CA9F71" w:rsidR="00375603" w:rsidRDefault="7AE41A85" w:rsidP="176F6A0C">
      <w:r w:rsidRPr="176F6A0C">
        <w:t>DIKTAS II applies two review lanes to support timely communication while maintaining technical accuracy, institutional legitimacy, and message consistency.</w:t>
      </w:r>
    </w:p>
    <w:p w14:paraId="491BB383" w14:textId="68F2B01D" w:rsidR="00375603" w:rsidRDefault="7AE41A85" w:rsidP="176F6A0C">
      <w:pPr>
        <w:rPr>
          <w:b/>
          <w:bCs/>
        </w:rPr>
      </w:pPr>
      <w:r w:rsidRPr="176F6A0C">
        <w:rPr>
          <w:b/>
          <w:bCs/>
        </w:rPr>
        <w:t>RED lane (requires review before publication or submission):</w:t>
      </w:r>
    </w:p>
    <w:p w14:paraId="5BADEF9C" w14:textId="10F59B2D" w:rsidR="00375603" w:rsidRDefault="7AE41A85" w:rsidP="00042275">
      <w:pPr>
        <w:pStyle w:val="Pasussalistom"/>
        <w:numPr>
          <w:ilvl w:val="0"/>
          <w:numId w:val="20"/>
        </w:numPr>
        <w:rPr>
          <w:rFonts w:ascii="Calibri" w:eastAsia="Calibri" w:hAnsi="Calibri" w:cs="Calibri"/>
        </w:rPr>
      </w:pPr>
      <w:r w:rsidRPr="176F6A0C">
        <w:lastRenderedPageBreak/>
        <w:t>Website pages and updates;</w:t>
      </w:r>
    </w:p>
    <w:p w14:paraId="74861F85" w14:textId="17DB7FEB" w:rsidR="00375603" w:rsidRDefault="7AE41A85" w:rsidP="00042275">
      <w:pPr>
        <w:pStyle w:val="Pasussalistom"/>
        <w:numPr>
          <w:ilvl w:val="0"/>
          <w:numId w:val="20"/>
        </w:numPr>
        <w:rPr>
          <w:rFonts w:ascii="Calibri" w:eastAsia="Calibri" w:hAnsi="Calibri" w:cs="Calibri"/>
        </w:rPr>
      </w:pPr>
      <w:r w:rsidRPr="176F6A0C">
        <w:t>Newsletter content (DIKTAS II newsletter and submissions under the DIKTAS II name);</w:t>
      </w:r>
    </w:p>
    <w:p w14:paraId="2EC15CD0" w14:textId="30F4424B" w:rsidR="00375603" w:rsidRDefault="7AE41A85" w:rsidP="00042275">
      <w:pPr>
        <w:pStyle w:val="Pasussalistom"/>
        <w:numPr>
          <w:ilvl w:val="0"/>
          <w:numId w:val="20"/>
        </w:numPr>
        <w:rPr>
          <w:rFonts w:ascii="Calibri" w:eastAsia="Calibri" w:hAnsi="Calibri" w:cs="Calibri"/>
        </w:rPr>
      </w:pPr>
      <w:r w:rsidRPr="176F6A0C">
        <w:t>External articles, stories, and submissions (e.g., IW, UNESCO websites, partner platforms) prior to submission;</w:t>
      </w:r>
    </w:p>
    <w:p w14:paraId="2C856868" w14:textId="4AF811E2" w:rsidR="00375603" w:rsidRDefault="7AE41A85" w:rsidP="00042275">
      <w:pPr>
        <w:pStyle w:val="Pasussalistom"/>
        <w:numPr>
          <w:ilvl w:val="0"/>
          <w:numId w:val="20"/>
        </w:numPr>
        <w:rPr>
          <w:rFonts w:ascii="Calibri" w:eastAsia="Calibri" w:hAnsi="Calibri" w:cs="Calibri"/>
        </w:rPr>
      </w:pPr>
      <w:r w:rsidRPr="176F6A0C">
        <w:t>Social media content published on behalf of the project or using official project branding;</w:t>
      </w:r>
    </w:p>
    <w:p w14:paraId="0DBF6E3E" w14:textId="5D1D4BE1" w:rsidR="00375603" w:rsidRDefault="7AE41A85" w:rsidP="00042275">
      <w:pPr>
        <w:pStyle w:val="Pasussalistom"/>
        <w:numPr>
          <w:ilvl w:val="0"/>
          <w:numId w:val="20"/>
        </w:numPr>
        <w:rPr>
          <w:rFonts w:ascii="Calibri" w:eastAsia="Calibri" w:hAnsi="Calibri" w:cs="Calibri"/>
        </w:rPr>
      </w:pPr>
      <w:r w:rsidRPr="176F6A0C">
        <w:t>Presentations, speaking points, and communication materials intended for external audiences.</w:t>
      </w:r>
    </w:p>
    <w:p w14:paraId="40721C3A" w14:textId="64110A9C" w:rsidR="00375603" w:rsidRDefault="7AE41A85" w:rsidP="176F6A0C">
      <w:pPr>
        <w:rPr>
          <w:b/>
          <w:bCs/>
        </w:rPr>
      </w:pPr>
      <w:r w:rsidRPr="176F6A0C">
        <w:rPr>
          <w:b/>
          <w:bCs/>
        </w:rPr>
        <w:t>GREEN lane (can circulate without prior review):</w:t>
      </w:r>
    </w:p>
    <w:p w14:paraId="202A973E" w14:textId="67DD0543" w:rsidR="00375603" w:rsidRDefault="7AE41A85" w:rsidP="00042275">
      <w:pPr>
        <w:pStyle w:val="Pasussalistom"/>
        <w:numPr>
          <w:ilvl w:val="0"/>
          <w:numId w:val="19"/>
        </w:numPr>
        <w:rPr>
          <w:rFonts w:ascii="Calibri" w:eastAsia="Calibri" w:hAnsi="Calibri" w:cs="Calibri"/>
        </w:rPr>
      </w:pPr>
      <w:r w:rsidRPr="176F6A0C">
        <w:t>Raw inputs (bullet points, quotations, photographs, references, links);</w:t>
      </w:r>
    </w:p>
    <w:p w14:paraId="14757054" w14:textId="5A018AC4" w:rsidR="00375603" w:rsidRDefault="7AE41A85" w:rsidP="00042275">
      <w:pPr>
        <w:pStyle w:val="Pasussalistom"/>
        <w:numPr>
          <w:ilvl w:val="0"/>
          <w:numId w:val="19"/>
        </w:numPr>
        <w:rPr>
          <w:rFonts w:ascii="Calibri" w:eastAsia="Calibri" w:hAnsi="Calibri" w:cs="Calibri"/>
        </w:rPr>
      </w:pPr>
      <w:r w:rsidRPr="176F6A0C">
        <w:t>Internal coordination notes and background documents;</w:t>
      </w:r>
    </w:p>
    <w:p w14:paraId="383741FD" w14:textId="682646FE" w:rsidR="00375603" w:rsidRDefault="7AE41A85" w:rsidP="00042275">
      <w:pPr>
        <w:pStyle w:val="Pasussalistom"/>
        <w:numPr>
          <w:ilvl w:val="0"/>
          <w:numId w:val="19"/>
        </w:numPr>
        <w:rPr>
          <w:rFonts w:ascii="Calibri" w:eastAsia="Calibri" w:hAnsi="Calibri" w:cs="Calibri"/>
        </w:rPr>
      </w:pPr>
      <w:r w:rsidRPr="176F6A0C">
        <w:t>Early drafts shared for comment or input, provided they are clearly marked as draft materials and are not publicly disseminated.</w:t>
      </w:r>
    </w:p>
    <w:p w14:paraId="015F5362" w14:textId="165784CA" w:rsidR="00375603" w:rsidRDefault="7AE41A85" w:rsidP="176F6A0C">
      <w:r w:rsidRPr="176F6A0C">
        <w:rPr>
          <w:b/>
          <w:bCs/>
        </w:rPr>
        <w:t>General principle</w:t>
      </w:r>
      <w:r w:rsidRPr="176F6A0C">
        <w:t>: early sharing of drafts is encouraged to improve quality and coordination. Publication or dissemination of external-facing materials should follow the applicable review and clearance process.</w:t>
      </w:r>
    </w:p>
    <w:p w14:paraId="1BFD312B" w14:textId="460C0F3A" w:rsidR="00375603" w:rsidRDefault="7AE41A85" w:rsidP="176F6A0C">
      <w:pPr>
        <w:rPr>
          <w:rFonts w:ascii="Calibri" w:hAnsi="Calibri" w:cs="Calibri"/>
          <w:b/>
          <w:bCs/>
          <w:color w:val="2F5496" w:themeColor="accent1" w:themeShade="BF"/>
          <w:sz w:val="24"/>
          <w:szCs w:val="24"/>
        </w:rPr>
      </w:pPr>
      <w:r w:rsidRPr="176F6A0C">
        <w:rPr>
          <w:rFonts w:ascii="Calibri" w:hAnsi="Calibri" w:cs="Calibri"/>
          <w:b/>
          <w:bCs/>
          <w:color w:val="2F5496" w:themeColor="accent1" w:themeShade="BF"/>
          <w:sz w:val="24"/>
          <w:szCs w:val="24"/>
        </w:rPr>
        <w:t>B.3.</w:t>
      </w:r>
      <w:r w:rsidR="00E509CB">
        <w:tab/>
      </w:r>
      <w:r w:rsidRPr="176F6A0C">
        <w:rPr>
          <w:rFonts w:ascii="Calibri" w:hAnsi="Calibri" w:cs="Calibri"/>
          <w:b/>
          <w:bCs/>
          <w:color w:val="2F5496" w:themeColor="accent1" w:themeShade="BF"/>
          <w:sz w:val="24"/>
          <w:szCs w:val="24"/>
        </w:rPr>
        <w:t>Coordination cadence</w:t>
      </w:r>
    </w:p>
    <w:p w14:paraId="2AD0F606" w14:textId="5AAD0501" w:rsidR="00375603" w:rsidRDefault="7AE41A85" w:rsidP="176F6A0C">
      <w:r w:rsidRPr="176F6A0C">
        <w:t>The communication system is supported through a lightweight coordination rhythm designed to maintain visibility of priorities, outputs, and review requirements.</w:t>
      </w:r>
    </w:p>
    <w:tbl>
      <w:tblPr>
        <w:tblStyle w:val="Tabelakoordinatnemree4akcenat1"/>
        <w:tblW w:w="0" w:type="auto"/>
        <w:tblLook w:val="06A0" w:firstRow="1" w:lastRow="0" w:firstColumn="1" w:lastColumn="0" w:noHBand="1" w:noVBand="1"/>
      </w:tblPr>
      <w:tblGrid>
        <w:gridCol w:w="4508"/>
        <w:gridCol w:w="4508"/>
      </w:tblGrid>
      <w:tr w:rsidR="176F6A0C" w14:paraId="0CBF9734" w14:textId="77777777" w:rsidTr="176F6A0C">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508" w:type="dxa"/>
          </w:tcPr>
          <w:p w14:paraId="61F28B93" w14:textId="7167A8F3" w:rsidR="7AE41A85" w:rsidRDefault="7AE41A85" w:rsidP="176F6A0C">
            <w:r w:rsidRPr="176F6A0C">
              <w:rPr>
                <w:rFonts w:ascii="Calibri" w:eastAsia="Calibri" w:hAnsi="Calibri" w:cs="Calibri"/>
              </w:rPr>
              <w:t>Activity</w:t>
            </w:r>
          </w:p>
        </w:tc>
        <w:tc>
          <w:tcPr>
            <w:tcW w:w="4508" w:type="dxa"/>
          </w:tcPr>
          <w:p w14:paraId="66CF7B01" w14:textId="3CEC4D26" w:rsidR="7AE41A85" w:rsidRDefault="7AE41A85" w:rsidP="176F6A0C">
            <w:pPr>
              <w:cnfStyle w:val="100000000000" w:firstRow="1" w:lastRow="0" w:firstColumn="0" w:lastColumn="0" w:oddVBand="0" w:evenVBand="0" w:oddHBand="0" w:evenHBand="0" w:firstRowFirstColumn="0" w:firstRowLastColumn="0" w:lastRowFirstColumn="0" w:lastRowLastColumn="0"/>
            </w:pPr>
            <w:r w:rsidRPr="176F6A0C">
              <w:rPr>
                <w:rFonts w:ascii="Calibri" w:eastAsia="Calibri" w:hAnsi="Calibri" w:cs="Calibri"/>
              </w:rPr>
              <w:t>Purpose</w:t>
            </w:r>
          </w:p>
        </w:tc>
      </w:tr>
      <w:tr w:rsidR="176F6A0C" w14:paraId="4BA47FB3" w14:textId="77777777" w:rsidTr="176F6A0C">
        <w:trPr>
          <w:trHeight w:val="300"/>
        </w:trPr>
        <w:tc>
          <w:tcPr>
            <w:cnfStyle w:val="001000000000" w:firstRow="0" w:lastRow="0" w:firstColumn="1" w:lastColumn="0" w:oddVBand="0" w:evenVBand="0" w:oddHBand="0" w:evenHBand="0" w:firstRowFirstColumn="0" w:firstRowLastColumn="0" w:lastRowFirstColumn="0" w:lastRowLastColumn="0"/>
            <w:tcW w:w="4508" w:type="dxa"/>
          </w:tcPr>
          <w:p w14:paraId="352822C2" w14:textId="77AA7194" w:rsidR="7AE41A85" w:rsidRDefault="7AE41A85" w:rsidP="176F6A0C">
            <w:r w:rsidRPr="176F6A0C">
              <w:rPr>
                <w:rFonts w:ascii="Calibri" w:eastAsia="Calibri" w:hAnsi="Calibri" w:cs="Calibri"/>
              </w:rPr>
              <w:t>Weekly asynchronous coordination</w:t>
            </w:r>
          </w:p>
        </w:tc>
        <w:tc>
          <w:tcPr>
            <w:tcW w:w="4508" w:type="dxa"/>
          </w:tcPr>
          <w:p w14:paraId="6A5935E6" w14:textId="1DBF34CC" w:rsidR="7AE41A85" w:rsidRDefault="7AE41A85" w:rsidP="176F6A0C">
            <w:pPr>
              <w:cnfStyle w:val="000000000000" w:firstRow="0" w:lastRow="0" w:firstColumn="0" w:lastColumn="0" w:oddVBand="0" w:evenVBand="0" w:oddHBand="0" w:evenHBand="0" w:firstRowFirstColumn="0" w:firstRowLastColumn="0" w:lastRowFirstColumn="0" w:lastRowLastColumn="0"/>
            </w:pPr>
            <w:r w:rsidRPr="176F6A0C">
              <w:rPr>
                <w:rFonts w:ascii="Calibri" w:eastAsia="Calibri" w:hAnsi="Calibri" w:cs="Calibri"/>
              </w:rPr>
              <w:t>Confirm priorities, deadlines, required inputs, and items currently under review</w:t>
            </w:r>
          </w:p>
        </w:tc>
      </w:tr>
      <w:tr w:rsidR="176F6A0C" w14:paraId="43C55426" w14:textId="77777777" w:rsidTr="176F6A0C">
        <w:trPr>
          <w:trHeight w:val="300"/>
        </w:trPr>
        <w:tc>
          <w:tcPr>
            <w:cnfStyle w:val="001000000000" w:firstRow="0" w:lastRow="0" w:firstColumn="1" w:lastColumn="0" w:oddVBand="0" w:evenVBand="0" w:oddHBand="0" w:evenHBand="0" w:firstRowFirstColumn="0" w:firstRowLastColumn="0" w:lastRowFirstColumn="0" w:lastRowLastColumn="0"/>
            <w:tcW w:w="4508" w:type="dxa"/>
          </w:tcPr>
          <w:p w14:paraId="52213DC9" w14:textId="00EA337A" w:rsidR="7AE41A85" w:rsidRDefault="7AE41A85" w:rsidP="176F6A0C">
            <w:r w:rsidRPr="176F6A0C">
              <w:rPr>
                <w:rFonts w:ascii="Calibri" w:eastAsia="Calibri" w:hAnsi="Calibri" w:cs="Calibri"/>
              </w:rPr>
              <w:t>Biweekly coordination meeting (approximately 30 minutes)</w:t>
            </w:r>
          </w:p>
        </w:tc>
        <w:tc>
          <w:tcPr>
            <w:tcW w:w="4508" w:type="dxa"/>
          </w:tcPr>
          <w:p w14:paraId="3827F39F" w14:textId="38A7EDDA" w:rsidR="7AE41A85" w:rsidRDefault="7AE41A85" w:rsidP="176F6A0C">
            <w:pPr>
              <w:cnfStyle w:val="000000000000" w:firstRow="0" w:lastRow="0" w:firstColumn="0" w:lastColumn="0" w:oddVBand="0" w:evenVBand="0" w:oddHBand="0" w:evenHBand="0" w:firstRowFirstColumn="0" w:firstRowLastColumn="0" w:lastRowFirstColumn="0" w:lastRowLastColumn="0"/>
            </w:pPr>
            <w:r w:rsidRPr="176F6A0C">
              <w:rPr>
                <w:rFonts w:ascii="Calibri" w:eastAsia="Calibri" w:hAnsi="Calibri" w:cs="Calibri"/>
              </w:rPr>
              <w:t>Review upcoming outputs, resolve blockers, and confirm responsibilities</w:t>
            </w:r>
          </w:p>
        </w:tc>
      </w:tr>
      <w:tr w:rsidR="176F6A0C" w14:paraId="70434E6F" w14:textId="77777777" w:rsidTr="176F6A0C">
        <w:trPr>
          <w:trHeight w:val="300"/>
        </w:trPr>
        <w:tc>
          <w:tcPr>
            <w:cnfStyle w:val="001000000000" w:firstRow="0" w:lastRow="0" w:firstColumn="1" w:lastColumn="0" w:oddVBand="0" w:evenVBand="0" w:oddHBand="0" w:evenHBand="0" w:firstRowFirstColumn="0" w:firstRowLastColumn="0" w:lastRowFirstColumn="0" w:lastRowLastColumn="0"/>
            <w:tcW w:w="4508" w:type="dxa"/>
          </w:tcPr>
          <w:p w14:paraId="0DA7B452" w14:textId="765FBA04" w:rsidR="7AE41A85" w:rsidRDefault="7AE41A85" w:rsidP="176F6A0C">
            <w:r w:rsidRPr="176F6A0C">
              <w:rPr>
                <w:rFonts w:ascii="Calibri" w:eastAsia="Calibri" w:hAnsi="Calibri" w:cs="Calibri"/>
              </w:rPr>
              <w:t>Monthly planning review (optional)</w:t>
            </w:r>
          </w:p>
        </w:tc>
        <w:tc>
          <w:tcPr>
            <w:tcW w:w="4508" w:type="dxa"/>
          </w:tcPr>
          <w:p w14:paraId="5A9764FE" w14:textId="5E76B497" w:rsidR="7AE41A85" w:rsidRDefault="7AE41A85" w:rsidP="176F6A0C">
            <w:pPr>
              <w:cnfStyle w:val="000000000000" w:firstRow="0" w:lastRow="0" w:firstColumn="0" w:lastColumn="0" w:oddVBand="0" w:evenVBand="0" w:oddHBand="0" w:evenHBand="0" w:firstRowFirstColumn="0" w:firstRowLastColumn="0" w:lastRowFirstColumn="0" w:lastRowLastColumn="0"/>
            </w:pPr>
            <w:r w:rsidRPr="176F6A0C">
              <w:rPr>
                <w:rFonts w:ascii="Calibri" w:eastAsia="Calibri" w:hAnsi="Calibri" w:cs="Calibri"/>
              </w:rPr>
              <w:t>Confirm communication priorities and scheduling for the coming month</w:t>
            </w:r>
          </w:p>
        </w:tc>
      </w:tr>
    </w:tbl>
    <w:p w14:paraId="6BE99C77" w14:textId="5F6ADFA4" w:rsidR="00375603" w:rsidRDefault="5D5F4CB1" w:rsidP="176F6A0C">
      <w:pPr>
        <w:rPr>
          <w:rFonts w:ascii="Calibri" w:eastAsia="Calibri" w:hAnsi="Calibri" w:cs="Calibri"/>
          <w:i/>
          <w:iCs/>
        </w:rPr>
      </w:pPr>
      <w:r w:rsidRPr="176F6A0C">
        <w:rPr>
          <w:rFonts w:ascii="Calibri" w:eastAsia="Calibri" w:hAnsi="Calibri" w:cs="Calibri"/>
          <w:i/>
          <w:iCs/>
        </w:rPr>
        <w:t>Table 4: Coordination cadence of the communication system</w:t>
      </w:r>
    </w:p>
    <w:p w14:paraId="48DD6BD6" w14:textId="0A9AC453" w:rsidR="00375603" w:rsidRDefault="5D5F4CB1" w:rsidP="176F6A0C">
      <w:r w:rsidRPr="176F6A0C">
        <w:t>The cadence may be adjusted to reflect project workload, milestone schedules, and communication requirements.</w:t>
      </w:r>
    </w:p>
    <w:p w14:paraId="5AF3F16E" w14:textId="32172022" w:rsidR="00375603" w:rsidRDefault="5D5F4CB1" w:rsidP="176F6A0C">
      <w:pPr>
        <w:rPr>
          <w:rFonts w:ascii="Calibri" w:hAnsi="Calibri" w:cs="Calibri"/>
          <w:b/>
          <w:bCs/>
          <w:color w:val="2F5496" w:themeColor="accent1" w:themeShade="BF"/>
          <w:sz w:val="24"/>
          <w:szCs w:val="24"/>
        </w:rPr>
      </w:pPr>
      <w:r w:rsidRPr="176F6A0C">
        <w:rPr>
          <w:rFonts w:ascii="Calibri" w:hAnsi="Calibri" w:cs="Calibri"/>
          <w:b/>
          <w:bCs/>
          <w:color w:val="2F5496" w:themeColor="accent1" w:themeShade="BF"/>
          <w:sz w:val="24"/>
          <w:szCs w:val="24"/>
        </w:rPr>
        <w:t>B.4.</w:t>
      </w:r>
      <w:r w:rsidR="00E509CB">
        <w:tab/>
      </w:r>
      <w:r w:rsidRPr="176F6A0C">
        <w:rPr>
          <w:rFonts w:ascii="Calibri" w:hAnsi="Calibri" w:cs="Calibri"/>
          <w:b/>
          <w:bCs/>
          <w:color w:val="2F5496" w:themeColor="accent1" w:themeShade="BF"/>
          <w:sz w:val="24"/>
          <w:szCs w:val="24"/>
        </w:rPr>
        <w:t>Inputs and contributions</w:t>
      </w:r>
    </w:p>
    <w:p w14:paraId="31D93592" w14:textId="79FAB24C" w:rsidR="00375603" w:rsidRDefault="5D5F4CB1" w:rsidP="176F6A0C">
      <w:r w:rsidRPr="176F6A0C">
        <w:t>To support timely, representative, and locally relevant communication outputs, national and regional focal points are encouraged to provide regular communication inputs.</w:t>
      </w:r>
    </w:p>
    <w:p w14:paraId="258A4B0E" w14:textId="433DDBBF" w:rsidR="00375603" w:rsidRDefault="5D5F4CB1" w:rsidP="176F6A0C">
      <w:r w:rsidRPr="176F6A0C">
        <w:t>A standard contribution package may include:</w:t>
      </w:r>
    </w:p>
    <w:p w14:paraId="583553BB" w14:textId="0D493EC4" w:rsidR="00375603" w:rsidRDefault="5D5F4CB1" w:rsidP="00042275">
      <w:pPr>
        <w:pStyle w:val="Pasussalistom"/>
        <w:numPr>
          <w:ilvl w:val="0"/>
          <w:numId w:val="18"/>
        </w:numPr>
        <w:rPr>
          <w:rFonts w:ascii="Calibri" w:eastAsia="Calibri" w:hAnsi="Calibri" w:cs="Calibri"/>
        </w:rPr>
      </w:pPr>
      <w:r w:rsidRPr="176F6A0C">
        <w:t>One or two upcoming milestones or activities;</w:t>
      </w:r>
    </w:p>
    <w:p w14:paraId="3AE01357" w14:textId="04080C12" w:rsidR="00375603" w:rsidRDefault="5D5F4CB1" w:rsidP="00042275">
      <w:pPr>
        <w:pStyle w:val="Pasussalistom"/>
        <w:numPr>
          <w:ilvl w:val="0"/>
          <w:numId w:val="18"/>
        </w:numPr>
        <w:rPr>
          <w:rFonts w:ascii="Calibri" w:eastAsia="Calibri" w:hAnsi="Calibri" w:cs="Calibri"/>
        </w:rPr>
      </w:pPr>
      <w:r w:rsidRPr="176F6A0C">
        <w:t>One potential story or communication opportunity;</w:t>
      </w:r>
    </w:p>
    <w:p w14:paraId="2F793B89" w14:textId="2C0EA4E4" w:rsidR="00375603" w:rsidRDefault="5D5F4CB1" w:rsidP="00042275">
      <w:pPr>
        <w:pStyle w:val="Pasussalistom"/>
        <w:numPr>
          <w:ilvl w:val="0"/>
          <w:numId w:val="18"/>
        </w:numPr>
        <w:rPr>
          <w:rFonts w:ascii="Calibri" w:eastAsia="Calibri" w:hAnsi="Calibri" w:cs="Calibri"/>
        </w:rPr>
      </w:pPr>
      <w:r w:rsidRPr="176F6A0C">
        <w:t>One interview, quote, or expert contact;</w:t>
      </w:r>
    </w:p>
    <w:p w14:paraId="738A03A1" w14:textId="7768086D" w:rsidR="00375603" w:rsidRDefault="5D5F4CB1" w:rsidP="00042275">
      <w:pPr>
        <w:pStyle w:val="Pasussalistom"/>
        <w:numPr>
          <w:ilvl w:val="0"/>
          <w:numId w:val="18"/>
        </w:numPr>
        <w:rPr>
          <w:rFonts w:ascii="Calibri" w:eastAsia="Calibri" w:hAnsi="Calibri" w:cs="Calibri"/>
        </w:rPr>
      </w:pPr>
      <w:r w:rsidRPr="176F6A0C">
        <w:t>Brief notes on national context, sensitivities, or emerging issues (where relevant);</w:t>
      </w:r>
    </w:p>
    <w:p w14:paraId="424B3122" w14:textId="772410CD" w:rsidR="00375603" w:rsidRDefault="5D5F4CB1" w:rsidP="00042275">
      <w:pPr>
        <w:pStyle w:val="Pasussalistom"/>
        <w:numPr>
          <w:ilvl w:val="0"/>
          <w:numId w:val="18"/>
        </w:numPr>
        <w:rPr>
          <w:rFonts w:ascii="Calibri" w:eastAsia="Calibri" w:hAnsi="Calibri" w:cs="Calibri"/>
        </w:rPr>
      </w:pPr>
      <w:r w:rsidRPr="176F6A0C">
        <w:t>Two to five photographs, visual assets, or links with appropriate credits and permissions.</w:t>
      </w:r>
    </w:p>
    <w:p w14:paraId="0033D0B7" w14:textId="40F97AF7" w:rsidR="00375603" w:rsidRDefault="5D5F4CB1" w:rsidP="176F6A0C">
      <w:r w:rsidRPr="176F6A0C">
        <w:t>Contributions may also include one or more of the following:</w:t>
      </w:r>
    </w:p>
    <w:p w14:paraId="019D2795" w14:textId="7A7392D5" w:rsidR="00375603" w:rsidRDefault="5D5F4CB1" w:rsidP="00042275">
      <w:pPr>
        <w:pStyle w:val="Pasussalistom"/>
        <w:numPr>
          <w:ilvl w:val="0"/>
          <w:numId w:val="17"/>
        </w:numPr>
        <w:rPr>
          <w:rFonts w:ascii="Calibri" w:eastAsia="Calibri" w:hAnsi="Calibri" w:cs="Calibri"/>
        </w:rPr>
      </w:pPr>
      <w:r w:rsidRPr="176F6A0C">
        <w:lastRenderedPageBreak/>
        <w:t>Drafting or providing content for a national communication note aligned with a flagship output;</w:t>
      </w:r>
    </w:p>
    <w:p w14:paraId="2016ED8A" w14:textId="3106479E" w:rsidR="00375603" w:rsidRDefault="5D5F4CB1" w:rsidP="00042275">
      <w:pPr>
        <w:pStyle w:val="Pasussalistom"/>
        <w:numPr>
          <w:ilvl w:val="0"/>
          <w:numId w:val="17"/>
        </w:numPr>
        <w:rPr>
          <w:rFonts w:ascii="Calibri" w:eastAsia="Calibri" w:hAnsi="Calibri" w:cs="Calibri"/>
        </w:rPr>
      </w:pPr>
      <w:r w:rsidRPr="176F6A0C">
        <w:t>Localisation or translation of approved communication products;</w:t>
      </w:r>
    </w:p>
    <w:p w14:paraId="5E89212B" w14:textId="1CA8AC8B" w:rsidR="00375603" w:rsidRDefault="5D5F4CB1" w:rsidP="00042275">
      <w:pPr>
        <w:pStyle w:val="Pasussalistom"/>
        <w:numPr>
          <w:ilvl w:val="0"/>
          <w:numId w:val="17"/>
        </w:numPr>
        <w:rPr>
          <w:rFonts w:ascii="Calibri" w:eastAsia="Calibri" w:hAnsi="Calibri" w:cs="Calibri"/>
        </w:rPr>
      </w:pPr>
      <w:r w:rsidRPr="176F6A0C">
        <w:t>Provision of a complete story package suitable for drafting;</w:t>
      </w:r>
    </w:p>
    <w:p w14:paraId="1A0F60C9" w14:textId="672C905C" w:rsidR="00375603" w:rsidRDefault="5D5F4CB1" w:rsidP="00042275">
      <w:pPr>
        <w:pStyle w:val="Pasussalistom"/>
        <w:numPr>
          <w:ilvl w:val="0"/>
          <w:numId w:val="17"/>
        </w:numPr>
        <w:rPr>
          <w:rFonts w:ascii="Calibri" w:eastAsia="Calibri" w:hAnsi="Calibri" w:cs="Calibri"/>
        </w:rPr>
      </w:pPr>
      <w:r w:rsidRPr="176F6A0C">
        <w:t>Dissemination through national institutional networks and communication channels, accompanied by brief reporting on reach or engagement where available.</w:t>
      </w:r>
    </w:p>
    <w:p w14:paraId="4C3DA03A" w14:textId="0690841C" w:rsidR="00375603" w:rsidRDefault="5D5F4CB1" w:rsidP="176F6A0C">
      <w:pPr>
        <w:rPr>
          <w:rFonts w:ascii="Calibri" w:hAnsi="Calibri" w:cs="Calibri"/>
          <w:b/>
          <w:bCs/>
          <w:color w:val="2F5496" w:themeColor="accent1" w:themeShade="BF"/>
          <w:sz w:val="24"/>
          <w:szCs w:val="24"/>
        </w:rPr>
      </w:pPr>
      <w:r w:rsidRPr="176F6A0C">
        <w:rPr>
          <w:rFonts w:ascii="Calibri" w:hAnsi="Calibri" w:cs="Calibri"/>
          <w:b/>
          <w:bCs/>
          <w:color w:val="2F5496" w:themeColor="accent1" w:themeShade="BF"/>
          <w:sz w:val="24"/>
          <w:szCs w:val="24"/>
        </w:rPr>
        <w:t>B.5.</w:t>
      </w:r>
      <w:r w:rsidR="00E509CB">
        <w:tab/>
      </w:r>
      <w:r w:rsidRPr="176F6A0C">
        <w:rPr>
          <w:rFonts w:ascii="Calibri" w:hAnsi="Calibri" w:cs="Calibri"/>
          <w:b/>
          <w:bCs/>
          <w:color w:val="2F5496" w:themeColor="accent1" w:themeShade="BF"/>
          <w:sz w:val="24"/>
          <w:szCs w:val="24"/>
        </w:rPr>
        <w:t>Workflow</w:t>
      </w:r>
    </w:p>
    <w:p w14:paraId="36ADC211" w14:textId="5A9DBECC" w:rsidR="00375603" w:rsidRDefault="5D5F4CB1" w:rsidP="176F6A0C">
      <w:r w:rsidRPr="176F6A0C">
        <w:t>The workflow illustrated in Figure 3 represents the standard pathway for developing, validating, clearing, publishing, and amplifying communication outputs. The sequence below provides a simplified reference version:</w:t>
      </w:r>
    </w:p>
    <w:p w14:paraId="7615E6E4" w14:textId="12520486" w:rsidR="00375603" w:rsidRDefault="5D5F4CB1" w:rsidP="176F6A0C">
      <w:pPr>
        <w:rPr>
          <w:b/>
          <w:bCs/>
        </w:rPr>
      </w:pPr>
      <w:r w:rsidRPr="176F6A0C">
        <w:rPr>
          <w:b/>
          <w:bCs/>
        </w:rPr>
        <w:t>Topic identification → Inputs collected → Draft prepared → Editorial review → Technical validation (as required) → Institutional clearance (as required) → Publication or submission → Amplification and dissemination → Record and archive</w:t>
      </w:r>
    </w:p>
    <w:p w14:paraId="79240A8E" w14:textId="0857A260" w:rsidR="00375603" w:rsidRDefault="5D5F4CB1" w:rsidP="176F6A0C">
      <w:r w:rsidRPr="176F6A0C">
        <w:t>All communication products should follow this common workflow unless alternative procedures are specified through project governance arrangements or institutional requirements.</w:t>
      </w:r>
    </w:p>
    <w:p w14:paraId="745E8C93" w14:textId="45D7A3A3" w:rsidR="00375603" w:rsidRDefault="5D5F4CB1" w:rsidP="176F6A0C">
      <w:pPr>
        <w:rPr>
          <w:rFonts w:ascii="Calibri" w:hAnsi="Calibri" w:cs="Calibri"/>
          <w:b/>
          <w:bCs/>
          <w:color w:val="2F5496" w:themeColor="accent1" w:themeShade="BF"/>
          <w:sz w:val="24"/>
          <w:szCs w:val="24"/>
        </w:rPr>
      </w:pPr>
      <w:r w:rsidRPr="176F6A0C">
        <w:rPr>
          <w:rFonts w:ascii="Calibri" w:hAnsi="Calibri" w:cs="Calibri"/>
          <w:b/>
          <w:bCs/>
          <w:color w:val="2F5496" w:themeColor="accent1" w:themeShade="BF"/>
          <w:sz w:val="24"/>
          <w:szCs w:val="24"/>
        </w:rPr>
        <w:t>B.6.</w:t>
      </w:r>
      <w:r w:rsidR="00E509CB">
        <w:tab/>
      </w:r>
      <w:r w:rsidRPr="176F6A0C">
        <w:rPr>
          <w:rFonts w:ascii="Calibri" w:hAnsi="Calibri" w:cs="Calibri"/>
          <w:b/>
          <w:bCs/>
          <w:color w:val="2F5496" w:themeColor="accent1" w:themeShade="BF"/>
          <w:sz w:val="24"/>
          <w:szCs w:val="24"/>
        </w:rPr>
        <w:t>Indicative review timeframes</w:t>
      </w:r>
    </w:p>
    <w:p w14:paraId="7E37C926" w14:textId="4747C023" w:rsidR="00375603" w:rsidRDefault="5D5F4CB1" w:rsidP="176F6A0C">
      <w:r w:rsidRPr="176F6A0C">
        <w:t>The following indicative timeframes are intended to support planning and coordination. Actual review periods may vary depending on workload, complexity, technical requirements, and institutional review processes.</w:t>
      </w:r>
    </w:p>
    <w:p w14:paraId="4E7F63B2" w14:textId="3EB63715" w:rsidR="00375603" w:rsidRDefault="5D5F4CB1" w:rsidP="00042275">
      <w:pPr>
        <w:pStyle w:val="Pasussalistom"/>
        <w:numPr>
          <w:ilvl w:val="0"/>
          <w:numId w:val="16"/>
        </w:numPr>
        <w:rPr>
          <w:rFonts w:ascii="Calibri" w:eastAsia="Calibri" w:hAnsi="Calibri" w:cs="Calibri"/>
          <w:sz w:val="24"/>
          <w:szCs w:val="24"/>
        </w:rPr>
      </w:pPr>
      <w:r w:rsidRPr="176F6A0C">
        <w:rPr>
          <w:b/>
          <w:bCs/>
        </w:rPr>
        <w:t>Editorial review (communications coordinator)</w:t>
      </w:r>
      <w:r w:rsidRPr="176F6A0C">
        <w:t>: target turnaround within two working days where drafts are submitted with sufficient notice.</w:t>
      </w:r>
    </w:p>
    <w:p w14:paraId="0B53A72A" w14:textId="6398646A" w:rsidR="00375603" w:rsidRDefault="5D5F4CB1" w:rsidP="00042275">
      <w:pPr>
        <w:pStyle w:val="Pasussalistom"/>
        <w:numPr>
          <w:ilvl w:val="0"/>
          <w:numId w:val="16"/>
        </w:numPr>
        <w:rPr>
          <w:rFonts w:ascii="Calibri" w:eastAsia="Calibri" w:hAnsi="Calibri" w:cs="Calibri"/>
          <w:sz w:val="24"/>
          <w:szCs w:val="24"/>
        </w:rPr>
      </w:pPr>
      <w:r w:rsidRPr="176F6A0C">
        <w:rPr>
          <w:b/>
          <w:bCs/>
        </w:rPr>
        <w:t>Technical validation</w:t>
      </w:r>
      <w:r w:rsidRPr="176F6A0C">
        <w:t>: confirmation of technical accuracy, limitations, and appropriate framing within an agreed review period; potential issues should be flagged as early as possible.</w:t>
      </w:r>
    </w:p>
    <w:p w14:paraId="01D6CD8B" w14:textId="671EDD66" w:rsidR="00375603" w:rsidRDefault="5D5F4CB1" w:rsidP="00042275">
      <w:pPr>
        <w:pStyle w:val="Pasussalistom"/>
        <w:numPr>
          <w:ilvl w:val="0"/>
          <w:numId w:val="16"/>
        </w:numPr>
        <w:rPr>
          <w:rFonts w:ascii="Calibri" w:eastAsia="Calibri" w:hAnsi="Calibri" w:cs="Calibri"/>
          <w:sz w:val="24"/>
          <w:szCs w:val="24"/>
        </w:rPr>
      </w:pPr>
      <w:r w:rsidRPr="176F6A0C">
        <w:rPr>
          <w:b/>
          <w:bCs/>
        </w:rPr>
        <w:t>Institutional clearance</w:t>
      </w:r>
      <w:r w:rsidRPr="176F6A0C">
        <w:t>: where required, clearance requirements and publication constraints should be identified early and communicated to relevant contributors and dissemination partners.</w:t>
      </w:r>
    </w:p>
    <w:p w14:paraId="0A92A618" w14:textId="15866ED9" w:rsidR="00375603" w:rsidRDefault="5D5F4CB1" w:rsidP="176F6A0C">
      <w:r w:rsidRPr="176F6A0C">
        <w:t>These timeframes are indicative planning assumptions rather than mandatory service commitments.</w:t>
      </w:r>
    </w:p>
    <w:p w14:paraId="484D5E45" w14:textId="0834A23C" w:rsidR="00375603" w:rsidRDefault="5D5F4CB1" w:rsidP="176F6A0C">
      <w:pPr>
        <w:rPr>
          <w:rFonts w:ascii="Calibri" w:hAnsi="Calibri" w:cs="Calibri"/>
          <w:b/>
          <w:bCs/>
          <w:color w:val="2F5496" w:themeColor="accent1" w:themeShade="BF"/>
          <w:sz w:val="24"/>
          <w:szCs w:val="24"/>
        </w:rPr>
      </w:pPr>
      <w:r w:rsidRPr="176F6A0C">
        <w:rPr>
          <w:rFonts w:ascii="Calibri" w:hAnsi="Calibri" w:cs="Calibri"/>
          <w:b/>
          <w:bCs/>
          <w:color w:val="2F5496" w:themeColor="accent1" w:themeShade="BF"/>
          <w:sz w:val="24"/>
          <w:szCs w:val="24"/>
        </w:rPr>
        <w:t>B.7.</w:t>
      </w:r>
      <w:r w:rsidR="00E509CB">
        <w:tab/>
      </w:r>
      <w:r w:rsidRPr="176F6A0C">
        <w:rPr>
          <w:rFonts w:ascii="Calibri" w:hAnsi="Calibri" w:cs="Calibri"/>
          <w:b/>
          <w:bCs/>
          <w:color w:val="2F5496" w:themeColor="accent1" w:themeShade="BF"/>
          <w:sz w:val="24"/>
          <w:szCs w:val="24"/>
        </w:rPr>
        <w:t>Shared coordination space</w:t>
      </w:r>
    </w:p>
    <w:p w14:paraId="717B542E" w14:textId="0E071274" w:rsidR="00375603" w:rsidRDefault="5D5F4CB1" w:rsidP="176F6A0C">
      <w:r w:rsidRPr="176F6A0C">
        <w:t>All external-facing communication materials should move through a shared coordination space to support traceability, version control, visibility of review status, and retention of approved materials.</w:t>
      </w:r>
    </w:p>
    <w:p w14:paraId="0E47BD18" w14:textId="63B7DFFB" w:rsidR="00375603" w:rsidRDefault="5D5F4CB1" w:rsidP="176F6A0C">
      <w:r w:rsidRPr="176F6A0C">
        <w:t>The coordination space should function as the single reference point for communication planning, drafting, review, clearance, publication tracking, and storage of approved communication assets.</w:t>
      </w:r>
    </w:p>
    <w:p w14:paraId="0CACB050" w14:textId="15D35D51" w:rsidR="00375603" w:rsidRDefault="00375603" w:rsidP="176F6A0C"/>
    <w:p w14:paraId="55446EB7" w14:textId="3B609DAB" w:rsidR="00375603" w:rsidRDefault="00375603" w:rsidP="176F6A0C">
      <w:pPr>
        <w:rPr>
          <w:rFonts w:ascii="Calibri" w:hAnsi="Calibri" w:cs="Calibri"/>
          <w:b/>
          <w:bCs/>
          <w:color w:val="2F5496" w:themeColor="accent1" w:themeShade="BF"/>
          <w:sz w:val="24"/>
          <w:szCs w:val="24"/>
        </w:rPr>
      </w:pPr>
    </w:p>
    <w:p w14:paraId="0ED77B86" w14:textId="04AAF860" w:rsidR="00375603" w:rsidRDefault="00375603" w:rsidP="176F6A0C">
      <w:pPr>
        <w:rPr>
          <w:rFonts w:ascii="Calibri" w:eastAsia="Calibri" w:hAnsi="Calibri" w:cs="Calibri"/>
        </w:rPr>
      </w:pPr>
    </w:p>
    <w:p w14:paraId="5F3A210F" w14:textId="6094760C" w:rsidR="00375603" w:rsidRDefault="00375603" w:rsidP="176F6A0C">
      <w:pPr>
        <w:rPr>
          <w:rFonts w:ascii="Calibri" w:eastAsia="Calibri" w:hAnsi="Calibri" w:cs="Calibri"/>
        </w:rPr>
      </w:pPr>
    </w:p>
    <w:p w14:paraId="2EF853C8" w14:textId="5E0103A5" w:rsidR="00375603" w:rsidRDefault="5D5F4CB1" w:rsidP="176F6A0C">
      <w:pPr>
        <w:rPr>
          <w:rFonts w:ascii="Calibri" w:hAnsi="Calibri" w:cs="Calibri"/>
          <w:color w:val="2F5496" w:themeColor="accent1" w:themeShade="BF"/>
          <w:sz w:val="28"/>
          <w:szCs w:val="28"/>
        </w:rPr>
      </w:pPr>
      <w:r w:rsidRPr="176F6A0C">
        <w:rPr>
          <w:rFonts w:ascii="Calibri" w:hAnsi="Calibri" w:cs="Calibri"/>
          <w:color w:val="2F5496" w:themeColor="accent1" w:themeShade="BF"/>
          <w:sz w:val="28"/>
          <w:szCs w:val="28"/>
        </w:rPr>
        <w:lastRenderedPageBreak/>
        <w:t xml:space="preserve">Annex </w:t>
      </w:r>
      <w:r w:rsidR="470A057B" w:rsidRPr="176F6A0C">
        <w:rPr>
          <w:rFonts w:ascii="Calibri" w:hAnsi="Calibri" w:cs="Calibri"/>
          <w:color w:val="2F5496" w:themeColor="accent1" w:themeShade="BF"/>
          <w:sz w:val="28"/>
          <w:szCs w:val="28"/>
        </w:rPr>
        <w:t>C</w:t>
      </w:r>
      <w:r w:rsidRPr="176F6A0C">
        <w:rPr>
          <w:rFonts w:ascii="Calibri" w:hAnsi="Calibri" w:cs="Calibri"/>
          <w:color w:val="2F5496" w:themeColor="accent1" w:themeShade="BF"/>
          <w:sz w:val="28"/>
          <w:szCs w:val="28"/>
        </w:rPr>
        <w:t>:</w:t>
      </w:r>
      <w:r w:rsidR="6906A390" w:rsidRPr="176F6A0C">
        <w:rPr>
          <w:rFonts w:ascii="Calibri" w:hAnsi="Calibri" w:cs="Calibri"/>
          <w:color w:val="2F5496" w:themeColor="accent1" w:themeShade="BF"/>
          <w:sz w:val="28"/>
          <w:szCs w:val="28"/>
        </w:rPr>
        <w:t xml:space="preserve"> Message framework and boilerplates</w:t>
      </w:r>
    </w:p>
    <w:p w14:paraId="75778D94" w14:textId="05F12DC7" w:rsidR="00375603" w:rsidRDefault="419BF851" w:rsidP="176F6A0C">
      <w:r w:rsidRPr="176F6A0C">
        <w:t>This annex provides a standard set of approved communication messages, narrative elements, boilerplate descriptions, and reusable language that support consistency across communication products, partners, countries, and channels.</w:t>
      </w:r>
    </w:p>
    <w:p w14:paraId="6EF1C497" w14:textId="7AE863CF" w:rsidR="00375603" w:rsidRDefault="419BF851" w:rsidP="176F6A0C">
      <w:r w:rsidRPr="176F6A0C">
        <w:t>The purpose of this annex is to maintain coherence in how DIKTAS II is described, ensure alignment with the communication strategy, and support efficient preparation of communication products without unnecessary re-drafting. The messages and boilerplates presented here should be reviewed periodically to remain aligned with project progress and applicable UNESCO, UNDP, and GEF communication and visibility requirements.</w:t>
      </w:r>
    </w:p>
    <w:p w14:paraId="489289D5" w14:textId="4FCDE0AF" w:rsidR="00375603" w:rsidRDefault="419BF851" w:rsidP="176F6A0C">
      <w:pPr>
        <w:rPr>
          <w:rFonts w:ascii="Calibri" w:hAnsi="Calibri" w:cs="Calibri"/>
          <w:b/>
          <w:bCs/>
          <w:color w:val="2F5496" w:themeColor="accent1" w:themeShade="BF"/>
          <w:sz w:val="24"/>
          <w:szCs w:val="24"/>
        </w:rPr>
      </w:pPr>
      <w:r w:rsidRPr="176F6A0C">
        <w:rPr>
          <w:rFonts w:ascii="Calibri" w:hAnsi="Calibri" w:cs="Calibri"/>
          <w:b/>
          <w:bCs/>
          <w:color w:val="2F5496" w:themeColor="accent1" w:themeShade="BF"/>
          <w:sz w:val="24"/>
          <w:szCs w:val="24"/>
        </w:rPr>
        <w:t>C.1.</w:t>
      </w:r>
      <w:r w:rsidR="00E509CB">
        <w:tab/>
      </w:r>
      <w:r w:rsidRPr="176F6A0C">
        <w:rPr>
          <w:rFonts w:ascii="Calibri" w:hAnsi="Calibri" w:cs="Calibri"/>
          <w:b/>
          <w:bCs/>
          <w:color w:val="2F5496" w:themeColor="accent1" w:themeShade="BF"/>
          <w:sz w:val="24"/>
          <w:szCs w:val="24"/>
        </w:rPr>
        <w:t>Project description</w:t>
      </w:r>
    </w:p>
    <w:p w14:paraId="054400A0" w14:textId="1A2F9053" w:rsidR="00375603" w:rsidRDefault="419BF851" w:rsidP="176F6A0C">
      <w:r w:rsidRPr="176F6A0C">
        <w:t>The following descriptions may be used as standard boilerplate text across communication products and adapted to suit the requirements of specific channels or formats.</w:t>
      </w:r>
    </w:p>
    <w:p w14:paraId="767F7709" w14:textId="637F9E2F" w:rsidR="00375603" w:rsidRDefault="419BF851" w:rsidP="176F6A0C">
      <w:pPr>
        <w:rPr>
          <w:b/>
          <w:bCs/>
        </w:rPr>
      </w:pPr>
      <w:r w:rsidRPr="176F6A0C">
        <w:rPr>
          <w:b/>
          <w:bCs/>
        </w:rPr>
        <w:t>One-sentence description</w:t>
      </w:r>
    </w:p>
    <w:p w14:paraId="0A146AE7" w14:textId="74E300DF" w:rsidR="00375603" w:rsidRDefault="419BF851" w:rsidP="176F6A0C">
      <w:r w:rsidRPr="176F6A0C">
        <w:t>DIKTAS II is a Global Environment Facility (GEF) International Waters project implemented by UNDP and executed by UNESCO, supporting transboundary cooperation to strengthen groundwater governance across Albania, Bosnia and Herzegovina, Croatia and Montenegro.</w:t>
      </w:r>
    </w:p>
    <w:p w14:paraId="1646FCE1" w14:textId="4B454054" w:rsidR="00375603" w:rsidRDefault="419BF851" w:rsidP="176F6A0C">
      <w:r w:rsidRPr="176F6A0C">
        <w:rPr>
          <w:b/>
          <w:bCs/>
        </w:rPr>
        <w:t>Short description</w:t>
      </w:r>
    </w:p>
    <w:p w14:paraId="011D8964" w14:textId="1EE79CF1" w:rsidR="00375603" w:rsidRDefault="419BF851" w:rsidP="176F6A0C">
      <w:r w:rsidRPr="176F6A0C">
        <w:t>DIKTAS II is a Global Environment Facility (GEF) International Waters project implemented by UNDP and executed by UNESCO. It supports transboundary cooperation to improve groundwater governance and promote sustainable management of the Dinaric Karst Aquifer System across Albania, Bosnia and Herzegovina, Croatia and Montenegro.</w:t>
      </w:r>
    </w:p>
    <w:p w14:paraId="24F85345" w14:textId="72914FD9" w:rsidR="00375603" w:rsidRDefault="419BF851" w:rsidP="176F6A0C">
      <w:pPr>
        <w:rPr>
          <w:b/>
          <w:bCs/>
        </w:rPr>
      </w:pPr>
      <w:r w:rsidRPr="176F6A0C">
        <w:rPr>
          <w:b/>
          <w:bCs/>
        </w:rPr>
        <w:t>Extended description</w:t>
      </w:r>
    </w:p>
    <w:p w14:paraId="0E4BEBEF" w14:textId="37A7B013" w:rsidR="00375603" w:rsidRDefault="419BF851" w:rsidP="176F6A0C">
      <w:r w:rsidRPr="176F6A0C">
        <w:t>DIKTAS II is a Global Environment Facility (GEF) International Waters project implemented by UNDP and executed by UNESCO. It supports transboundary cooperation to improve groundwater governance and promote sustainable management of the Dinaric Karst Aquifer System across Albania, Bosnia and Herzegovina, Croatia and Montenegro. Building on the knowledge base and cooperation framework established through DIKTAS I, the project focuses on implementation by strengthening governance arrangements, improving coordination, enhancing monitoring, and supporting practical action informed by validated technical outputs.</w:t>
      </w:r>
    </w:p>
    <w:p w14:paraId="144BA4F0" w14:textId="06AF0645" w:rsidR="00375603" w:rsidRDefault="419BF851" w:rsidP="176F6A0C">
      <w:pPr>
        <w:rPr>
          <w:rFonts w:ascii="Calibri" w:hAnsi="Calibri" w:cs="Calibri"/>
          <w:b/>
          <w:bCs/>
          <w:color w:val="2F5496" w:themeColor="accent1" w:themeShade="BF"/>
          <w:sz w:val="24"/>
          <w:szCs w:val="24"/>
        </w:rPr>
      </w:pPr>
      <w:r w:rsidRPr="176F6A0C">
        <w:rPr>
          <w:rFonts w:ascii="Calibri" w:hAnsi="Calibri" w:cs="Calibri"/>
          <w:b/>
          <w:bCs/>
          <w:color w:val="2F5496" w:themeColor="accent1" w:themeShade="BF"/>
          <w:sz w:val="24"/>
          <w:szCs w:val="24"/>
        </w:rPr>
        <w:t>C.2.</w:t>
      </w:r>
      <w:r w:rsidR="00E509CB">
        <w:tab/>
      </w:r>
      <w:r w:rsidRPr="176F6A0C">
        <w:rPr>
          <w:rFonts w:ascii="Calibri" w:hAnsi="Calibri" w:cs="Calibri"/>
          <w:b/>
          <w:bCs/>
          <w:color w:val="2F5496" w:themeColor="accent1" w:themeShade="BF"/>
          <w:sz w:val="24"/>
          <w:szCs w:val="24"/>
        </w:rPr>
        <w:t>Narrative backbone</w:t>
      </w:r>
    </w:p>
    <w:p w14:paraId="4138019A" w14:textId="765A0C82" w:rsidR="00375603" w:rsidRDefault="419BF851" w:rsidP="176F6A0C">
      <w:pPr>
        <w:rPr>
          <w:lang w:val="en-US"/>
        </w:rPr>
      </w:pPr>
      <w:r w:rsidRPr="176F6A0C">
        <w:rPr>
          <w:lang w:val="en-US"/>
        </w:rPr>
        <w:t xml:space="preserve">DIKTAS II communicates a single implementation-phase storyline. DIKTAS I established the evidence base and a shared roadmap (including the TDA → SAP pathway). DIKTAS II is the implementation phase: it supports transboundary cooperation to strengthen governance, improve coordination routines, and advance monitoring and knowledge exchange so that shared aquifers and groundwater-dependent ecosystems are protected through practical, coordinated action. Claims remain disciplined and evidence-based: communications use process language until results are validated (Section </w:t>
      </w:r>
      <w:r w:rsidR="67B43AFD" w:rsidRPr="176F6A0C">
        <w:rPr>
          <w:lang w:val="en-US"/>
        </w:rPr>
        <w:t>6</w:t>
      </w:r>
      <w:r w:rsidRPr="176F6A0C">
        <w:rPr>
          <w:lang w:val="en-US"/>
        </w:rPr>
        <w:t>).</w:t>
      </w:r>
    </w:p>
    <w:p w14:paraId="073CBD75" w14:textId="77777777" w:rsidR="00D34B86" w:rsidRDefault="00D34B86" w:rsidP="176F6A0C">
      <w:pPr>
        <w:rPr>
          <w:rFonts w:ascii="Calibri" w:eastAsia="Calibri" w:hAnsi="Calibri" w:cs="Calibri"/>
          <w:color w:val="000000" w:themeColor="text1"/>
          <w:sz w:val="24"/>
          <w:szCs w:val="24"/>
        </w:rPr>
      </w:pPr>
    </w:p>
    <w:p w14:paraId="0523BF92" w14:textId="26C109BC" w:rsidR="00375603" w:rsidRDefault="3963DEF8" w:rsidP="176F6A0C">
      <w:pPr>
        <w:rPr>
          <w:rFonts w:ascii="Calibri" w:hAnsi="Calibri" w:cs="Calibri"/>
          <w:b/>
          <w:bCs/>
          <w:color w:val="2F5496" w:themeColor="accent1" w:themeShade="BF"/>
          <w:sz w:val="24"/>
          <w:szCs w:val="24"/>
        </w:rPr>
      </w:pPr>
      <w:r w:rsidRPr="176F6A0C">
        <w:rPr>
          <w:rFonts w:ascii="Calibri" w:hAnsi="Calibri" w:cs="Calibri"/>
          <w:b/>
          <w:bCs/>
          <w:color w:val="2F5496" w:themeColor="accent1" w:themeShade="BF"/>
          <w:sz w:val="24"/>
          <w:szCs w:val="24"/>
        </w:rPr>
        <w:lastRenderedPageBreak/>
        <w:t>C.3.</w:t>
      </w:r>
      <w:r w:rsidR="00E509CB">
        <w:tab/>
      </w:r>
      <w:r w:rsidRPr="176F6A0C">
        <w:rPr>
          <w:rFonts w:ascii="Calibri" w:hAnsi="Calibri" w:cs="Calibri"/>
          <w:b/>
          <w:bCs/>
          <w:color w:val="2F5496" w:themeColor="accent1" w:themeShade="BF"/>
          <w:sz w:val="24"/>
          <w:szCs w:val="24"/>
        </w:rPr>
        <w:t>Message map</w:t>
      </w:r>
    </w:p>
    <w:p w14:paraId="19AD6C90" w14:textId="0794EBB3" w:rsidR="00375603" w:rsidRDefault="3963DEF8" w:rsidP="176F6A0C">
      <w:pPr>
        <w:rPr>
          <w:rFonts w:ascii="Calibri" w:eastAsia="Calibri" w:hAnsi="Calibri" w:cs="Calibri"/>
          <w:color w:val="000000" w:themeColor="text1"/>
          <w:sz w:val="24"/>
          <w:szCs w:val="24"/>
        </w:rPr>
      </w:pPr>
      <w:r w:rsidRPr="176F6A0C">
        <w:rPr>
          <w:lang w:val="en-US"/>
        </w:rPr>
        <w:t>This message map translates Section 5 into reusable lines. Each pillar should be supported with current proof points that can be updated without rewriting the narrative.</w:t>
      </w:r>
    </w:p>
    <w:p w14:paraId="69139B9C" w14:textId="4327910D" w:rsidR="00375603" w:rsidRDefault="3963DEF8" w:rsidP="176F6A0C">
      <w:pPr>
        <w:keepNext/>
        <w:keepLines/>
        <w:rPr>
          <w:rFonts w:ascii="Calibri" w:eastAsia="Calibri" w:hAnsi="Calibri" w:cs="Calibri"/>
          <w:b/>
          <w:bCs/>
          <w:color w:val="000000" w:themeColor="text1"/>
          <w:sz w:val="24"/>
          <w:szCs w:val="24"/>
        </w:rPr>
      </w:pPr>
      <w:r w:rsidRPr="176F6A0C">
        <w:rPr>
          <w:b/>
          <w:bCs/>
          <w:lang w:val="en-US"/>
        </w:rPr>
        <w:t>Pillar 1 — Cooperation across borders</w:t>
      </w:r>
    </w:p>
    <w:p w14:paraId="4CE64739" w14:textId="44A8F367" w:rsidR="00375603" w:rsidRDefault="3963DEF8" w:rsidP="176F6A0C">
      <w:pPr>
        <w:ind w:left="708"/>
        <w:rPr>
          <w:rFonts w:ascii="Calibri" w:eastAsia="Calibri" w:hAnsi="Calibri" w:cs="Calibri"/>
          <w:color w:val="000000" w:themeColor="text1"/>
          <w:sz w:val="24"/>
          <w:szCs w:val="24"/>
        </w:rPr>
      </w:pPr>
      <w:r w:rsidRPr="176F6A0C">
        <w:rPr>
          <w:i/>
          <w:iCs/>
          <w:lang w:val="en-US"/>
        </w:rPr>
        <w:t>Core line</w:t>
      </w:r>
      <w:r w:rsidRPr="176F6A0C">
        <w:rPr>
          <w:lang w:val="en-US"/>
        </w:rPr>
        <w:t>: Groundwater systems cross borders, so protecting them requires shared understanding and coordinated action.</w:t>
      </w:r>
    </w:p>
    <w:p w14:paraId="3F115DA1" w14:textId="534C523A" w:rsidR="00375603" w:rsidRDefault="3963DEF8" w:rsidP="176F6A0C">
      <w:pPr>
        <w:ind w:left="708"/>
        <w:rPr>
          <w:rFonts w:ascii="Calibri" w:eastAsia="Calibri" w:hAnsi="Calibri" w:cs="Calibri"/>
          <w:color w:val="000000" w:themeColor="text1"/>
          <w:sz w:val="24"/>
          <w:szCs w:val="24"/>
        </w:rPr>
      </w:pPr>
      <w:r w:rsidRPr="176F6A0C">
        <w:rPr>
          <w:i/>
          <w:iCs/>
          <w:lang w:val="en-US"/>
        </w:rPr>
        <w:t>Proof points (updateable)</w:t>
      </w:r>
      <w:r w:rsidRPr="176F6A0C">
        <w:rPr>
          <w:lang w:val="en-US"/>
        </w:rPr>
        <w:t>: joint expert meetings; shared definitions/tools; cooperation moments; cross-border learning products.</w:t>
      </w:r>
    </w:p>
    <w:p w14:paraId="2A041030" w14:textId="020DA5BB" w:rsidR="00375603" w:rsidRDefault="3963DEF8" w:rsidP="176F6A0C">
      <w:pPr>
        <w:keepNext/>
        <w:keepLines/>
        <w:rPr>
          <w:rFonts w:ascii="Calibri" w:eastAsia="Calibri" w:hAnsi="Calibri" w:cs="Calibri"/>
          <w:b/>
          <w:bCs/>
          <w:i/>
          <w:iCs/>
          <w:color w:val="000000" w:themeColor="text1"/>
          <w:sz w:val="24"/>
          <w:szCs w:val="24"/>
        </w:rPr>
      </w:pPr>
      <w:r w:rsidRPr="176F6A0C">
        <w:rPr>
          <w:b/>
          <w:bCs/>
          <w:lang w:val="en-US"/>
        </w:rPr>
        <w:t>Pillar 2 — Evidence informing action</w:t>
      </w:r>
    </w:p>
    <w:p w14:paraId="5DA3AB3F" w14:textId="3C985097" w:rsidR="00375603" w:rsidRDefault="3963DEF8" w:rsidP="176F6A0C">
      <w:pPr>
        <w:ind w:left="708"/>
        <w:rPr>
          <w:rFonts w:ascii="Calibri" w:eastAsia="Calibri" w:hAnsi="Calibri" w:cs="Calibri"/>
          <w:color w:val="000000" w:themeColor="text1"/>
          <w:sz w:val="24"/>
          <w:szCs w:val="24"/>
        </w:rPr>
      </w:pPr>
      <w:r w:rsidRPr="176F6A0C">
        <w:rPr>
          <w:i/>
          <w:iCs/>
          <w:lang w:val="en-US"/>
        </w:rPr>
        <w:t>Core line</w:t>
      </w:r>
      <w:r w:rsidRPr="176F6A0C">
        <w:rPr>
          <w:lang w:val="en-US"/>
        </w:rPr>
        <w:t>: DIKTAS II turns science and monitoring into decision-relevant insights and practical next steps.</w:t>
      </w:r>
    </w:p>
    <w:p w14:paraId="0DEFE5B4" w14:textId="499FEE65" w:rsidR="00375603" w:rsidRDefault="3963DEF8" w:rsidP="176F6A0C">
      <w:pPr>
        <w:ind w:left="708"/>
        <w:rPr>
          <w:rFonts w:ascii="Calibri" w:eastAsia="Calibri" w:hAnsi="Calibri" w:cs="Calibri"/>
          <w:color w:val="000000" w:themeColor="text1"/>
          <w:sz w:val="24"/>
          <w:szCs w:val="24"/>
        </w:rPr>
      </w:pPr>
      <w:r w:rsidRPr="176F6A0C">
        <w:rPr>
          <w:i/>
          <w:iCs/>
          <w:lang w:val="en-US"/>
        </w:rPr>
        <w:t>Proof points</w:t>
      </w:r>
      <w:r w:rsidRPr="176F6A0C">
        <w:rPr>
          <w:lang w:val="en-US"/>
        </w:rPr>
        <w:t>: diagnostic analyses; monitoring missions; data exchange steps; agreed methodologies; stated limitations.</w:t>
      </w:r>
    </w:p>
    <w:p w14:paraId="6B6405CE" w14:textId="38BB95E5" w:rsidR="00375603" w:rsidRDefault="3963DEF8" w:rsidP="176F6A0C">
      <w:pPr>
        <w:keepNext/>
        <w:keepLines/>
        <w:rPr>
          <w:rFonts w:ascii="Calibri" w:eastAsia="Calibri" w:hAnsi="Calibri" w:cs="Calibri"/>
          <w:b/>
          <w:bCs/>
          <w:i/>
          <w:iCs/>
          <w:color w:val="000000" w:themeColor="text1"/>
          <w:sz w:val="24"/>
          <w:szCs w:val="24"/>
        </w:rPr>
      </w:pPr>
      <w:r w:rsidRPr="176F6A0C">
        <w:rPr>
          <w:b/>
          <w:bCs/>
          <w:lang w:val="en-US"/>
        </w:rPr>
        <w:t>Pillar 3 — Governance for sustainability</w:t>
      </w:r>
    </w:p>
    <w:p w14:paraId="09A38DEB" w14:textId="704636A3" w:rsidR="00375603" w:rsidRDefault="3963DEF8" w:rsidP="176F6A0C">
      <w:pPr>
        <w:ind w:left="708"/>
        <w:rPr>
          <w:rFonts w:ascii="Calibri" w:eastAsia="Calibri" w:hAnsi="Calibri" w:cs="Calibri"/>
          <w:color w:val="000000" w:themeColor="text1"/>
          <w:sz w:val="24"/>
          <w:szCs w:val="24"/>
        </w:rPr>
      </w:pPr>
      <w:r w:rsidRPr="176F6A0C">
        <w:rPr>
          <w:i/>
          <w:iCs/>
          <w:lang w:val="en-US"/>
        </w:rPr>
        <w:t>Core line</w:t>
      </w:r>
      <w:r w:rsidRPr="176F6A0C">
        <w:rPr>
          <w:lang w:val="en-US"/>
        </w:rPr>
        <w:t>: Lasting protection depends on governance—rules, coordination routines, and institutions that can act consistently over time.</w:t>
      </w:r>
    </w:p>
    <w:p w14:paraId="032A4738" w14:textId="060BAE38" w:rsidR="00375603" w:rsidRDefault="3963DEF8" w:rsidP="176F6A0C">
      <w:pPr>
        <w:ind w:left="708"/>
        <w:rPr>
          <w:rFonts w:ascii="Calibri" w:eastAsia="Calibri" w:hAnsi="Calibri" w:cs="Calibri"/>
          <w:color w:val="000000" w:themeColor="text1"/>
          <w:sz w:val="24"/>
          <w:szCs w:val="24"/>
        </w:rPr>
      </w:pPr>
      <w:r w:rsidRPr="176F6A0C">
        <w:rPr>
          <w:i/>
          <w:iCs/>
          <w:lang w:val="en-US"/>
        </w:rPr>
        <w:t>Proof points</w:t>
      </w:r>
      <w:r w:rsidRPr="176F6A0C">
        <w:rPr>
          <w:lang w:val="en-US"/>
        </w:rPr>
        <w:t>: governance improvements; clearer roles; agreed coordination routines; alignment of approaches where feasible.</w:t>
      </w:r>
    </w:p>
    <w:p w14:paraId="7ADA5A3C" w14:textId="03C66B5D" w:rsidR="00375603" w:rsidRDefault="3963DEF8" w:rsidP="176F6A0C">
      <w:pPr>
        <w:keepNext/>
        <w:keepLines/>
        <w:rPr>
          <w:rFonts w:ascii="Calibri" w:eastAsia="Calibri" w:hAnsi="Calibri" w:cs="Calibri"/>
          <w:b/>
          <w:bCs/>
          <w:i/>
          <w:iCs/>
          <w:color w:val="000000" w:themeColor="text1"/>
          <w:sz w:val="24"/>
          <w:szCs w:val="24"/>
        </w:rPr>
      </w:pPr>
      <w:r w:rsidRPr="176F6A0C">
        <w:rPr>
          <w:b/>
          <w:bCs/>
          <w:lang w:val="en-US"/>
        </w:rPr>
        <w:t>Pillar 4 — People and ecosystems</w:t>
      </w:r>
    </w:p>
    <w:p w14:paraId="6898EDC3" w14:textId="76C8EAEC" w:rsidR="00375603" w:rsidRDefault="3963DEF8" w:rsidP="176F6A0C">
      <w:pPr>
        <w:ind w:left="708"/>
        <w:rPr>
          <w:rFonts w:ascii="Calibri" w:eastAsia="Calibri" w:hAnsi="Calibri" w:cs="Calibri"/>
          <w:color w:val="000000" w:themeColor="text1"/>
          <w:sz w:val="24"/>
          <w:szCs w:val="24"/>
        </w:rPr>
      </w:pPr>
      <w:r w:rsidRPr="176F6A0C">
        <w:rPr>
          <w:i/>
          <w:iCs/>
          <w:lang w:val="en-US"/>
        </w:rPr>
        <w:t>Core line</w:t>
      </w:r>
      <w:r w:rsidRPr="176F6A0C">
        <w:rPr>
          <w:lang w:val="en-US"/>
        </w:rPr>
        <w:t>: Protecting shared groundwater supports water security, resilience, and groundwater-dependent ecosystems in the Dinaric Karst region.</w:t>
      </w:r>
    </w:p>
    <w:p w14:paraId="20DDD72F" w14:textId="79ACA3A1" w:rsidR="00375603" w:rsidRDefault="3963DEF8" w:rsidP="176F6A0C">
      <w:pPr>
        <w:ind w:left="708"/>
        <w:rPr>
          <w:rFonts w:ascii="Calibri" w:eastAsia="Calibri" w:hAnsi="Calibri" w:cs="Calibri"/>
          <w:color w:val="000000" w:themeColor="text1"/>
          <w:sz w:val="24"/>
          <w:szCs w:val="24"/>
        </w:rPr>
      </w:pPr>
      <w:r w:rsidRPr="176F6A0C">
        <w:rPr>
          <w:i/>
          <w:iCs/>
          <w:lang w:val="en-US"/>
        </w:rPr>
        <w:t>Proof points</w:t>
      </w:r>
      <w:r w:rsidRPr="176F6A0C">
        <w:rPr>
          <w:lang w:val="en-US"/>
        </w:rPr>
        <w:t>: ecosystem relevance; risk/pressure framing (pollution, wastewater, tourism/agriculture pressures); resilience implications.</w:t>
      </w:r>
    </w:p>
    <w:p w14:paraId="65024B76" w14:textId="5C58DAEE" w:rsidR="00375603" w:rsidRDefault="3963DEF8" w:rsidP="176F6A0C">
      <w:pPr>
        <w:keepNext/>
        <w:keepLines/>
        <w:rPr>
          <w:rFonts w:ascii="Calibri" w:eastAsia="Calibri" w:hAnsi="Calibri" w:cs="Calibri"/>
          <w:b/>
          <w:bCs/>
          <w:i/>
          <w:iCs/>
          <w:color w:val="000000" w:themeColor="text1"/>
          <w:sz w:val="24"/>
          <w:szCs w:val="24"/>
        </w:rPr>
      </w:pPr>
      <w:r w:rsidRPr="176F6A0C">
        <w:rPr>
          <w:b/>
          <w:bCs/>
          <w:lang w:val="en-US"/>
        </w:rPr>
        <w:t>Pillar 5 — Participation and transparency</w:t>
      </w:r>
    </w:p>
    <w:p w14:paraId="4E5E3074" w14:textId="6730D765" w:rsidR="00375603" w:rsidRDefault="3963DEF8" w:rsidP="176F6A0C">
      <w:pPr>
        <w:ind w:left="708"/>
        <w:rPr>
          <w:rFonts w:ascii="Calibri" w:eastAsia="Calibri" w:hAnsi="Calibri" w:cs="Calibri"/>
          <w:color w:val="000000" w:themeColor="text1"/>
          <w:sz w:val="24"/>
          <w:szCs w:val="24"/>
        </w:rPr>
      </w:pPr>
      <w:r w:rsidRPr="176F6A0C">
        <w:rPr>
          <w:i/>
          <w:iCs/>
          <w:lang w:val="en-US"/>
        </w:rPr>
        <w:t>Core line</w:t>
      </w:r>
      <w:r w:rsidRPr="176F6A0C">
        <w:rPr>
          <w:lang w:val="en-US"/>
        </w:rPr>
        <w:t>: DIKTAS II makes progress and engagement pathways visible, and supports participation moments in line with the SIP.</w:t>
      </w:r>
    </w:p>
    <w:p w14:paraId="0196F0F4" w14:textId="38E77104" w:rsidR="00375603" w:rsidRDefault="3963DEF8" w:rsidP="176F6A0C">
      <w:pPr>
        <w:ind w:left="708"/>
      </w:pPr>
      <w:r w:rsidRPr="176F6A0C">
        <w:rPr>
          <w:i/>
          <w:iCs/>
          <w:lang w:val="en-US"/>
        </w:rPr>
        <w:t>Proof points</w:t>
      </w:r>
      <w:r w:rsidRPr="176F6A0C">
        <w:rPr>
          <w:lang w:val="en-US"/>
        </w:rPr>
        <w:t>: consultation/disclosure materials; “you said / we did” summaries; clear participation calls; traceable updates.</w:t>
      </w:r>
    </w:p>
    <w:p w14:paraId="54CA296E" w14:textId="4071815E" w:rsidR="00375603" w:rsidRDefault="204778AC" w:rsidP="176F6A0C">
      <w:pPr>
        <w:rPr>
          <w:rFonts w:ascii="Calibri" w:hAnsi="Calibri" w:cs="Calibri"/>
          <w:b/>
          <w:bCs/>
          <w:color w:val="2F5496" w:themeColor="accent1" w:themeShade="BF"/>
          <w:sz w:val="24"/>
          <w:szCs w:val="24"/>
        </w:rPr>
      </w:pPr>
      <w:r w:rsidRPr="176F6A0C">
        <w:rPr>
          <w:rFonts w:ascii="Calibri" w:hAnsi="Calibri" w:cs="Calibri"/>
          <w:b/>
          <w:bCs/>
          <w:color w:val="2F5496" w:themeColor="accent1" w:themeShade="BF"/>
          <w:sz w:val="24"/>
          <w:szCs w:val="24"/>
        </w:rPr>
        <w:t>C.4.</w:t>
      </w:r>
      <w:r w:rsidR="00E509CB">
        <w:tab/>
      </w:r>
      <w:r w:rsidRPr="176F6A0C">
        <w:rPr>
          <w:rFonts w:ascii="Calibri" w:hAnsi="Calibri" w:cs="Calibri"/>
          <w:b/>
          <w:bCs/>
          <w:color w:val="2F5496" w:themeColor="accent1" w:themeShade="BF"/>
          <w:sz w:val="24"/>
          <w:szCs w:val="24"/>
        </w:rPr>
        <w:t>Audience-specific communication framing</w:t>
      </w:r>
    </w:p>
    <w:p w14:paraId="09747935" w14:textId="74FF28E1" w:rsidR="00375603" w:rsidRDefault="204778AC" w:rsidP="176F6A0C">
      <w:pPr>
        <w:rPr>
          <w:rFonts w:ascii="Calibri" w:eastAsia="Calibri" w:hAnsi="Calibri" w:cs="Calibri"/>
          <w:color w:val="000000" w:themeColor="text1"/>
          <w:sz w:val="24"/>
          <w:szCs w:val="24"/>
        </w:rPr>
      </w:pPr>
      <w:r w:rsidRPr="176F6A0C">
        <w:rPr>
          <w:lang w:val="en-US"/>
        </w:rPr>
        <w:t>These blocks are used to adapt depth and emphasis while retaining the same message architecture.</w:t>
      </w:r>
    </w:p>
    <w:p w14:paraId="7A482677" w14:textId="71B300D9" w:rsidR="00375603" w:rsidRDefault="204778AC" w:rsidP="176F6A0C">
      <w:pPr>
        <w:rPr>
          <w:rFonts w:ascii="Calibri" w:eastAsia="Calibri" w:hAnsi="Calibri" w:cs="Calibri"/>
          <w:b/>
          <w:bCs/>
          <w:color w:val="000000" w:themeColor="text1"/>
          <w:sz w:val="24"/>
          <w:szCs w:val="24"/>
        </w:rPr>
      </w:pPr>
      <w:r w:rsidRPr="176F6A0C">
        <w:rPr>
          <w:b/>
          <w:bCs/>
          <w:lang w:val="en-US"/>
        </w:rPr>
        <w:t>For decision-makers (ministries, agencies):</w:t>
      </w:r>
    </w:p>
    <w:p w14:paraId="346AA499" w14:textId="19AF0841" w:rsidR="00375603" w:rsidRDefault="204778AC" w:rsidP="176F6A0C">
      <w:pPr>
        <w:rPr>
          <w:lang w:val="en-US"/>
        </w:rPr>
      </w:pPr>
      <w:r w:rsidRPr="176F6A0C">
        <w:rPr>
          <w:lang w:val="en-US"/>
        </w:rPr>
        <w:t>DIKTAS II supports coordination and practical uptake by translating validated technical work into decision-relevant takeaways. Communications focus on what is changing in practice, what cooperation steps are being taken, and what decisions or alignment points are needed to advance SAP implementation—without over-claiming results before validation.</w:t>
      </w:r>
    </w:p>
    <w:p w14:paraId="752413D6" w14:textId="22FE4CF9" w:rsidR="00375603" w:rsidRDefault="204778AC" w:rsidP="176F6A0C">
      <w:pPr>
        <w:rPr>
          <w:rFonts w:ascii="Calibri" w:eastAsia="Calibri" w:hAnsi="Calibri" w:cs="Calibri"/>
          <w:b/>
          <w:bCs/>
          <w:color w:val="000000" w:themeColor="text1"/>
          <w:sz w:val="24"/>
          <w:szCs w:val="24"/>
        </w:rPr>
      </w:pPr>
      <w:r w:rsidRPr="176F6A0C">
        <w:rPr>
          <w:b/>
          <w:bCs/>
          <w:lang w:val="en-US"/>
        </w:rPr>
        <w:lastRenderedPageBreak/>
        <w:t>For technical audiences (experts, scientific community):</w:t>
      </w:r>
    </w:p>
    <w:p w14:paraId="52B09A77" w14:textId="765774DA" w:rsidR="00375603" w:rsidRDefault="204778AC" w:rsidP="176F6A0C">
      <w:pPr>
        <w:rPr>
          <w:rFonts w:ascii="Calibri" w:eastAsia="Calibri" w:hAnsi="Calibri" w:cs="Calibri"/>
          <w:color w:val="000000" w:themeColor="text1"/>
          <w:sz w:val="24"/>
          <w:szCs w:val="24"/>
        </w:rPr>
      </w:pPr>
      <w:r w:rsidRPr="176F6A0C">
        <w:rPr>
          <w:lang w:val="en-US"/>
        </w:rPr>
        <w:t>DIKTAS II communications emphasise methods, definitions, limitations, and comparability. Outputs clarify what is preliminary versus validated, and provide clear links to technical documentation, monitoring design, and agreed frameworks to support peer-level learning and credibility.</w:t>
      </w:r>
    </w:p>
    <w:p w14:paraId="3A64B41D" w14:textId="38866484" w:rsidR="00375603" w:rsidRDefault="204778AC" w:rsidP="176F6A0C">
      <w:pPr>
        <w:rPr>
          <w:rFonts w:ascii="Calibri" w:eastAsia="Calibri" w:hAnsi="Calibri" w:cs="Calibri"/>
          <w:b/>
          <w:bCs/>
          <w:color w:val="000000" w:themeColor="text1"/>
          <w:sz w:val="24"/>
          <w:szCs w:val="24"/>
        </w:rPr>
      </w:pPr>
      <w:r w:rsidRPr="176F6A0C">
        <w:rPr>
          <w:b/>
          <w:bCs/>
          <w:lang w:val="en-US"/>
        </w:rPr>
        <w:t>For partners and networks (UNESCO/UNDP/IW:LEARN and thematic communities):</w:t>
      </w:r>
    </w:p>
    <w:p w14:paraId="43E37EB2" w14:textId="0D94E4F0" w:rsidR="00375603" w:rsidRDefault="204778AC" w:rsidP="176F6A0C">
      <w:pPr>
        <w:rPr>
          <w:rFonts w:ascii="Calibri" w:eastAsia="Calibri" w:hAnsi="Calibri" w:cs="Calibri"/>
          <w:color w:val="000000" w:themeColor="text1"/>
          <w:sz w:val="24"/>
          <w:szCs w:val="24"/>
        </w:rPr>
      </w:pPr>
      <w:r w:rsidRPr="176F6A0C">
        <w:rPr>
          <w:lang w:val="en-US"/>
        </w:rPr>
        <w:t>DIKTAS II is positioned as a credible regional implementation story with clear learning value. Communications highlight validated milestones, cross-border cooperation moments, and reusable assets that can be amplified without re-authoring core lines.</w:t>
      </w:r>
    </w:p>
    <w:p w14:paraId="11D610BC" w14:textId="4B0F9677" w:rsidR="00375603" w:rsidRDefault="204778AC" w:rsidP="176F6A0C">
      <w:pPr>
        <w:rPr>
          <w:rFonts w:ascii="Calibri" w:eastAsia="Calibri" w:hAnsi="Calibri" w:cs="Calibri"/>
          <w:b/>
          <w:bCs/>
          <w:color w:val="000000" w:themeColor="text1"/>
          <w:sz w:val="24"/>
          <w:szCs w:val="24"/>
        </w:rPr>
      </w:pPr>
      <w:r w:rsidRPr="176F6A0C">
        <w:rPr>
          <w:b/>
          <w:bCs/>
          <w:lang w:val="en-US"/>
        </w:rPr>
        <w:t>For public-facing communications (awareness layer):</w:t>
      </w:r>
    </w:p>
    <w:p w14:paraId="16B35A10" w14:textId="22E9617D" w:rsidR="00375603" w:rsidRDefault="204778AC" w:rsidP="176F6A0C">
      <w:r w:rsidRPr="176F6A0C">
        <w:rPr>
          <w:lang w:val="en-US"/>
        </w:rPr>
        <w:t>DIKTAS II explains why groundwater matters in accessible language, using visuals and concrete examples. Public-facing outputs prioritise clarity, relevance, and responsible claims, and direct audiences to durable reference pages rather than high-frequency posting.</w:t>
      </w:r>
    </w:p>
    <w:p w14:paraId="6FC85ECC" w14:textId="470AE6ED" w:rsidR="00375603" w:rsidRDefault="204778AC" w:rsidP="176F6A0C">
      <w:pPr>
        <w:rPr>
          <w:rFonts w:ascii="Calibri" w:hAnsi="Calibri" w:cs="Calibri"/>
          <w:b/>
          <w:bCs/>
          <w:color w:val="2F5496" w:themeColor="accent1" w:themeShade="BF"/>
          <w:sz w:val="24"/>
          <w:szCs w:val="24"/>
        </w:rPr>
      </w:pPr>
      <w:r w:rsidRPr="176F6A0C">
        <w:rPr>
          <w:rFonts w:ascii="Calibri" w:hAnsi="Calibri" w:cs="Calibri"/>
          <w:b/>
          <w:bCs/>
          <w:color w:val="2F5496" w:themeColor="accent1" w:themeShade="BF"/>
          <w:sz w:val="24"/>
          <w:szCs w:val="24"/>
        </w:rPr>
        <w:t>C.5.</w:t>
      </w:r>
      <w:r w:rsidR="00E509CB">
        <w:tab/>
      </w:r>
      <w:r w:rsidRPr="176F6A0C">
        <w:rPr>
          <w:rFonts w:ascii="Calibri" w:hAnsi="Calibri" w:cs="Calibri"/>
          <w:b/>
          <w:bCs/>
          <w:color w:val="2F5496" w:themeColor="accent1" w:themeShade="BF"/>
          <w:sz w:val="24"/>
          <w:szCs w:val="24"/>
        </w:rPr>
        <w:t>Donor visibility and compliance</w:t>
      </w:r>
    </w:p>
    <w:p w14:paraId="32CC36DF" w14:textId="3D7A5C9C" w:rsidR="00375603" w:rsidRDefault="204778AC" w:rsidP="176F6A0C">
      <w:r w:rsidRPr="176F6A0C">
        <w:t>The visibility and acknowledgement requirements below should be periodically reviewed against current UNESCO, UNDP, and GEF guidance. Where formal visibility requirements apply, the most recent approved wording and branding instructions should take precedence.</w:t>
      </w:r>
    </w:p>
    <w:p w14:paraId="104F3703" w14:textId="4C97B93E" w:rsidR="00375603" w:rsidRDefault="204778AC" w:rsidP="176F6A0C">
      <w:pPr>
        <w:rPr>
          <w:b/>
          <w:bCs/>
        </w:rPr>
      </w:pPr>
      <w:r w:rsidRPr="176F6A0C">
        <w:rPr>
          <w:b/>
          <w:bCs/>
        </w:rPr>
        <w:t>Funding acknowledgement</w:t>
      </w:r>
    </w:p>
    <w:p w14:paraId="2611AD85" w14:textId="4F509207" w:rsidR="00375603" w:rsidRDefault="204778AC" w:rsidP="176F6A0C">
      <w:r w:rsidRPr="176F6A0C">
        <w:t>Communication products should acknowledge support from the Global Environment Facility (GEF), UNDP, and UNESCO in accordance with applicable visibility requirements.</w:t>
      </w:r>
    </w:p>
    <w:p w14:paraId="1DFA8F25" w14:textId="14917319" w:rsidR="00375603" w:rsidRDefault="204778AC" w:rsidP="176F6A0C">
      <w:pPr>
        <w:rPr>
          <w:b/>
          <w:bCs/>
        </w:rPr>
      </w:pPr>
      <w:r w:rsidRPr="176F6A0C">
        <w:rPr>
          <w:b/>
          <w:bCs/>
        </w:rPr>
        <w:t>Disclaimer</w:t>
      </w:r>
    </w:p>
    <w:p w14:paraId="2E126212" w14:textId="29D71E34" w:rsidR="00375603" w:rsidRDefault="204778AC" w:rsidP="176F6A0C">
      <w:r w:rsidRPr="176F6A0C">
        <w:t>Where required by partner or donor guidance, standard disclaimer language should be applied in accordance with current UNESCO, UNDP, or GEF requirements.</w:t>
      </w:r>
    </w:p>
    <w:p w14:paraId="75A2DE9C" w14:textId="176C2680" w:rsidR="00375603" w:rsidRDefault="204778AC" w:rsidP="176F6A0C">
      <w:pPr>
        <w:rPr>
          <w:b/>
          <w:bCs/>
        </w:rPr>
      </w:pPr>
      <w:r w:rsidRPr="176F6A0C">
        <w:rPr>
          <w:b/>
          <w:bCs/>
        </w:rPr>
        <w:t>Visual credits</w:t>
      </w:r>
    </w:p>
    <w:p w14:paraId="3A808C8B" w14:textId="50456921" w:rsidR="00375603" w:rsidRDefault="204778AC" w:rsidP="176F6A0C">
      <w:r w:rsidRPr="176F6A0C">
        <w:t>Visual assets should include appropriate attribution, copyright information, and usage permissions where applicable.</w:t>
      </w:r>
    </w:p>
    <w:p w14:paraId="1F74BBBB" w14:textId="5637FD15" w:rsidR="00375603" w:rsidRDefault="00375603" w:rsidP="176F6A0C"/>
    <w:p w14:paraId="2125D128" w14:textId="247A5B18" w:rsidR="00375603" w:rsidRDefault="00375603" w:rsidP="176F6A0C"/>
    <w:p w14:paraId="4A9264D8" w14:textId="492AD1AF" w:rsidR="00375603" w:rsidRDefault="00375603" w:rsidP="176F6A0C"/>
    <w:p w14:paraId="78F1629D" w14:textId="5083CB3C" w:rsidR="00375603" w:rsidRDefault="00375603" w:rsidP="176F6A0C"/>
    <w:p w14:paraId="180DB41C" w14:textId="4EB7ABD1" w:rsidR="00375603" w:rsidRDefault="00375603" w:rsidP="176F6A0C"/>
    <w:p w14:paraId="0C233501" w14:textId="19CFA367" w:rsidR="00375603" w:rsidRDefault="00375603" w:rsidP="176F6A0C"/>
    <w:p w14:paraId="27501035" w14:textId="72248D51" w:rsidR="00375603" w:rsidRDefault="00375603" w:rsidP="176F6A0C"/>
    <w:p w14:paraId="2141ADC8" w14:textId="374B9C17" w:rsidR="00375603" w:rsidRDefault="00375603" w:rsidP="176F6A0C"/>
    <w:p w14:paraId="6518AF27" w14:textId="08C52455" w:rsidR="00375603" w:rsidRDefault="00375603" w:rsidP="176F6A0C"/>
    <w:p w14:paraId="3CA7E2FE" w14:textId="2464A8DF" w:rsidR="00375603" w:rsidRDefault="204778AC" w:rsidP="176F6A0C">
      <w:pPr>
        <w:rPr>
          <w:rFonts w:ascii="Calibri" w:hAnsi="Calibri" w:cs="Calibri"/>
          <w:color w:val="2F5496" w:themeColor="accent1" w:themeShade="BF"/>
          <w:sz w:val="28"/>
          <w:szCs w:val="28"/>
        </w:rPr>
      </w:pPr>
      <w:r w:rsidRPr="176F6A0C">
        <w:rPr>
          <w:rFonts w:ascii="Calibri" w:hAnsi="Calibri" w:cs="Calibri"/>
          <w:color w:val="2F5496" w:themeColor="accent1" w:themeShade="BF"/>
          <w:sz w:val="28"/>
          <w:szCs w:val="28"/>
        </w:rPr>
        <w:lastRenderedPageBreak/>
        <w:t>Annex D:</w:t>
      </w:r>
      <w:r w:rsidR="703F663A" w:rsidRPr="176F6A0C">
        <w:rPr>
          <w:rFonts w:ascii="Calibri" w:hAnsi="Calibri" w:cs="Calibri"/>
          <w:color w:val="2F5496" w:themeColor="accent1" w:themeShade="BF"/>
          <w:sz w:val="28"/>
          <w:szCs w:val="28"/>
        </w:rPr>
        <w:t xml:space="preserve"> Communication input and content development templates</w:t>
      </w:r>
    </w:p>
    <w:p w14:paraId="33CA9C4C" w14:textId="464413C2" w:rsidR="00375603" w:rsidRDefault="703F663A" w:rsidP="176F6A0C">
      <w:r w:rsidRPr="176F6A0C">
        <w:t>This annex provides a set of standard templates that support the preparation, collection, and organisation of communication inputs across the project. The templates are intended to facilitate consistent communication planning, content development, event packaging, visual asset management, and dissemination support.</w:t>
      </w:r>
    </w:p>
    <w:p w14:paraId="105B4D56" w14:textId="3DCD7227" w:rsidR="00375603" w:rsidRDefault="703F663A" w:rsidP="176F6A0C">
      <w:r w:rsidRPr="176F6A0C">
        <w:t>Their use is recommended for communication products requiring contributions from multiple partners, countries, institutions, or technical teams. The templates are designed to improve efficiency, support quality assurance processes, and reduce duplication of effort during content development and review.</w:t>
      </w:r>
    </w:p>
    <w:p w14:paraId="460F1C69" w14:textId="0C225761" w:rsidR="00375603" w:rsidRDefault="703F663A" w:rsidP="176F6A0C">
      <w:r w:rsidRPr="176F6A0C">
        <w:t>The formats presented below may be adapted to suit specific communication needs, provided that essential information required for validation, clearance, and dissemination is retained.</w:t>
      </w:r>
    </w:p>
    <w:p w14:paraId="6069BD1F" w14:textId="70D7DFA5" w:rsidR="00375603" w:rsidRDefault="703F663A" w:rsidP="176F6A0C">
      <w:pPr>
        <w:rPr>
          <w:rFonts w:ascii="Calibri" w:hAnsi="Calibri" w:cs="Calibri"/>
          <w:b/>
          <w:bCs/>
          <w:color w:val="2F5496" w:themeColor="accent1" w:themeShade="BF"/>
          <w:sz w:val="24"/>
          <w:szCs w:val="24"/>
        </w:rPr>
      </w:pPr>
      <w:r w:rsidRPr="176F6A0C">
        <w:rPr>
          <w:rFonts w:ascii="Calibri" w:hAnsi="Calibri" w:cs="Calibri"/>
          <w:b/>
          <w:bCs/>
          <w:color w:val="2F5496" w:themeColor="accent1" w:themeShade="BF"/>
          <w:sz w:val="24"/>
          <w:szCs w:val="24"/>
        </w:rPr>
        <w:t>D.1.</w:t>
      </w:r>
      <w:r w:rsidR="00E509CB">
        <w:tab/>
      </w:r>
      <w:r w:rsidR="5659469A" w:rsidRPr="176F6A0C">
        <w:rPr>
          <w:rFonts w:ascii="Calibri" w:hAnsi="Calibri" w:cs="Calibri"/>
          <w:b/>
          <w:bCs/>
          <w:color w:val="2F5496" w:themeColor="accent1" w:themeShade="BF"/>
          <w:sz w:val="24"/>
          <w:szCs w:val="24"/>
        </w:rPr>
        <w:t>National monthly input pack</w:t>
      </w:r>
    </w:p>
    <w:p w14:paraId="2B1A14C0" w14:textId="0663E97A" w:rsidR="00375603" w:rsidRDefault="703F663A" w:rsidP="176F6A0C">
      <w:r w:rsidRPr="176F6A0C">
        <w:t>This template may be used to support regular communication planning at national level and to provide structured inputs ahead of project milestones, events, and communication opportunities.</w:t>
      </w:r>
    </w:p>
    <w:p w14:paraId="2295507A" w14:textId="10019B24" w:rsidR="00375603" w:rsidRDefault="703F663A" w:rsidP="176F6A0C">
      <w:pPr>
        <w:rPr>
          <w:rFonts w:ascii="Calibri" w:eastAsia="Calibri" w:hAnsi="Calibri" w:cs="Calibri"/>
          <w:color w:val="000000" w:themeColor="text1"/>
          <w:sz w:val="24"/>
          <w:szCs w:val="24"/>
        </w:rPr>
      </w:pPr>
      <w:r w:rsidRPr="176F6A0C">
        <w:rPr>
          <w:b/>
          <w:bCs/>
          <w:lang w:val="en-US"/>
        </w:rPr>
        <w:t>Country</w:t>
      </w:r>
      <w:r w:rsidRPr="176F6A0C">
        <w:rPr>
          <w:lang w:val="en-US"/>
        </w:rPr>
        <w:t>: [Albania / Bosnia and Herzegovina / Croatia / Montenegro]</w:t>
      </w:r>
    </w:p>
    <w:p w14:paraId="5F616618" w14:textId="06C9840E" w:rsidR="00375603" w:rsidRDefault="703F663A" w:rsidP="176F6A0C">
      <w:pPr>
        <w:rPr>
          <w:rFonts w:ascii="Calibri" w:eastAsia="Calibri" w:hAnsi="Calibri" w:cs="Calibri"/>
          <w:color w:val="000000" w:themeColor="text1"/>
          <w:sz w:val="24"/>
          <w:szCs w:val="24"/>
        </w:rPr>
      </w:pPr>
      <w:r w:rsidRPr="176F6A0C">
        <w:rPr>
          <w:b/>
          <w:bCs/>
          <w:lang w:val="en-US"/>
        </w:rPr>
        <w:t>Month covered</w:t>
      </w:r>
      <w:r w:rsidRPr="176F6A0C">
        <w:rPr>
          <w:lang w:val="en-US"/>
        </w:rPr>
        <w:t>: [MMM YYYY]</w:t>
      </w:r>
    </w:p>
    <w:p w14:paraId="41082525" w14:textId="555B2ABD" w:rsidR="00375603" w:rsidRDefault="703F663A" w:rsidP="176F6A0C">
      <w:pPr>
        <w:rPr>
          <w:rFonts w:ascii="Calibri" w:eastAsia="Calibri" w:hAnsi="Calibri" w:cs="Calibri"/>
          <w:color w:val="000000" w:themeColor="text1"/>
          <w:sz w:val="24"/>
          <w:szCs w:val="24"/>
        </w:rPr>
      </w:pPr>
      <w:r w:rsidRPr="176F6A0C">
        <w:rPr>
          <w:b/>
          <w:bCs/>
          <w:lang w:val="en-US"/>
        </w:rPr>
        <w:t>Submitted by</w:t>
      </w:r>
      <w:r w:rsidRPr="176F6A0C">
        <w:rPr>
          <w:lang w:val="en-US"/>
        </w:rPr>
        <w:t>: [Name + role]</w:t>
      </w:r>
    </w:p>
    <w:p w14:paraId="0F77D757" w14:textId="29E290B2" w:rsidR="00375603" w:rsidRDefault="703F663A" w:rsidP="176F6A0C">
      <w:pPr>
        <w:rPr>
          <w:rFonts w:ascii="Calibri" w:eastAsia="Calibri" w:hAnsi="Calibri" w:cs="Calibri"/>
          <w:color w:val="000000" w:themeColor="text1"/>
          <w:sz w:val="24"/>
          <w:szCs w:val="24"/>
        </w:rPr>
      </w:pPr>
      <w:r w:rsidRPr="176F6A0C">
        <w:rPr>
          <w:b/>
          <w:bCs/>
          <w:lang w:val="en-US"/>
        </w:rPr>
        <w:t>Contact for follow-up (if different)</w:t>
      </w:r>
      <w:r w:rsidRPr="176F6A0C">
        <w:rPr>
          <w:lang w:val="en-US"/>
        </w:rPr>
        <w:t>: [Name + email]</w:t>
      </w:r>
    </w:p>
    <w:p w14:paraId="2EF2F5F1" w14:textId="5E8E72F6" w:rsidR="00375603" w:rsidRDefault="703F663A" w:rsidP="176F6A0C">
      <w:pPr>
        <w:rPr>
          <w:rFonts w:ascii="Calibri" w:eastAsia="Calibri" w:hAnsi="Calibri" w:cs="Calibri"/>
          <w:b/>
          <w:bCs/>
          <w:color w:val="000000" w:themeColor="text1"/>
          <w:sz w:val="24"/>
          <w:szCs w:val="24"/>
        </w:rPr>
      </w:pPr>
      <w:r w:rsidRPr="176F6A0C">
        <w:rPr>
          <w:b/>
          <w:bCs/>
          <w:lang w:val="en-US"/>
        </w:rPr>
        <w:t>1) What changed (1–3 bullets):</w:t>
      </w:r>
    </w:p>
    <w:p w14:paraId="4E747A9A" w14:textId="3103C7B3" w:rsidR="00375603" w:rsidRDefault="703F663A" w:rsidP="00042275">
      <w:pPr>
        <w:pStyle w:val="Pasussalistom"/>
        <w:numPr>
          <w:ilvl w:val="0"/>
          <w:numId w:val="15"/>
        </w:numPr>
        <w:rPr>
          <w:rFonts w:ascii="Calibri" w:eastAsia="Calibri" w:hAnsi="Calibri" w:cs="Calibri"/>
          <w:color w:val="000000" w:themeColor="text1"/>
          <w:sz w:val="24"/>
          <w:szCs w:val="24"/>
        </w:rPr>
      </w:pPr>
      <w:r w:rsidRPr="176F6A0C">
        <w:rPr>
          <w:lang w:val="en-US"/>
        </w:rPr>
        <w:t>[Confirmed update #1 — include date + link/source]</w:t>
      </w:r>
    </w:p>
    <w:p w14:paraId="561CD1F7" w14:textId="4A4835E1" w:rsidR="00375603" w:rsidRDefault="703F663A" w:rsidP="00042275">
      <w:pPr>
        <w:pStyle w:val="Pasussalistom"/>
        <w:numPr>
          <w:ilvl w:val="0"/>
          <w:numId w:val="15"/>
        </w:numPr>
        <w:rPr>
          <w:rFonts w:ascii="Calibri" w:eastAsia="Calibri" w:hAnsi="Calibri" w:cs="Calibri"/>
          <w:color w:val="000000" w:themeColor="text1"/>
          <w:sz w:val="24"/>
          <w:szCs w:val="24"/>
        </w:rPr>
      </w:pPr>
      <w:r w:rsidRPr="176F6A0C">
        <w:rPr>
          <w:lang w:val="en-US"/>
        </w:rPr>
        <w:t>[Confirmed update #2]</w:t>
      </w:r>
    </w:p>
    <w:p w14:paraId="61AA993F" w14:textId="4490ACD2" w:rsidR="00375603" w:rsidRDefault="703F663A" w:rsidP="00042275">
      <w:pPr>
        <w:pStyle w:val="Pasussalistom"/>
        <w:numPr>
          <w:ilvl w:val="0"/>
          <w:numId w:val="15"/>
        </w:numPr>
        <w:rPr>
          <w:rFonts w:ascii="Calibri" w:eastAsia="Calibri" w:hAnsi="Calibri" w:cs="Calibri"/>
          <w:color w:val="000000" w:themeColor="text1"/>
          <w:sz w:val="24"/>
          <w:szCs w:val="24"/>
        </w:rPr>
      </w:pPr>
      <w:r w:rsidRPr="176F6A0C">
        <w:rPr>
          <w:lang w:val="en-US"/>
        </w:rPr>
        <w:t>[Confirmed update #3]</w:t>
      </w:r>
    </w:p>
    <w:p w14:paraId="76F6E407" w14:textId="3B5D2F2A" w:rsidR="00375603" w:rsidRDefault="703F663A" w:rsidP="176F6A0C">
      <w:pPr>
        <w:rPr>
          <w:rFonts w:ascii="Calibri" w:eastAsia="Calibri" w:hAnsi="Calibri" w:cs="Calibri"/>
          <w:b/>
          <w:bCs/>
          <w:color w:val="000000" w:themeColor="text1"/>
          <w:sz w:val="24"/>
          <w:szCs w:val="24"/>
        </w:rPr>
      </w:pPr>
      <w:r w:rsidRPr="176F6A0C">
        <w:rPr>
          <w:b/>
          <w:bCs/>
          <w:lang w:val="en-US"/>
        </w:rPr>
        <w:t>2) What is coming next (1–3 bullets):</w:t>
      </w:r>
    </w:p>
    <w:p w14:paraId="31B9606E" w14:textId="641325CA" w:rsidR="00375603" w:rsidRDefault="703F663A" w:rsidP="00042275">
      <w:pPr>
        <w:pStyle w:val="Pasussalistom"/>
        <w:numPr>
          <w:ilvl w:val="0"/>
          <w:numId w:val="14"/>
        </w:numPr>
        <w:rPr>
          <w:rFonts w:ascii="Calibri" w:eastAsia="Calibri" w:hAnsi="Calibri" w:cs="Calibri"/>
          <w:color w:val="000000" w:themeColor="text1"/>
          <w:sz w:val="24"/>
          <w:szCs w:val="24"/>
        </w:rPr>
      </w:pPr>
      <w:r w:rsidRPr="176F6A0C">
        <w:rPr>
          <w:lang w:val="en-US"/>
        </w:rPr>
        <w:t>[Upcoming milestone/event/deliverable — date window — what is needed]</w:t>
      </w:r>
    </w:p>
    <w:p w14:paraId="426A38C7" w14:textId="6561DDBE" w:rsidR="00375603" w:rsidRDefault="703F663A" w:rsidP="176F6A0C">
      <w:pPr>
        <w:rPr>
          <w:rFonts w:ascii="Calibri" w:eastAsia="Calibri" w:hAnsi="Calibri" w:cs="Calibri"/>
          <w:b/>
          <w:bCs/>
          <w:color w:val="000000" w:themeColor="text1"/>
          <w:sz w:val="24"/>
          <w:szCs w:val="24"/>
        </w:rPr>
      </w:pPr>
      <w:r w:rsidRPr="176F6A0C">
        <w:rPr>
          <w:b/>
          <w:bCs/>
          <w:lang w:val="en-US"/>
        </w:rPr>
        <w:t>3) Country sensitivities / terminology to respect (0–3 bullets):</w:t>
      </w:r>
    </w:p>
    <w:p w14:paraId="26224040" w14:textId="0EF010F9" w:rsidR="00375603" w:rsidRDefault="703F663A" w:rsidP="00042275">
      <w:pPr>
        <w:pStyle w:val="Pasussalistom"/>
        <w:numPr>
          <w:ilvl w:val="0"/>
          <w:numId w:val="13"/>
        </w:numPr>
        <w:rPr>
          <w:rFonts w:ascii="Calibri" w:eastAsia="Calibri" w:hAnsi="Calibri" w:cs="Calibri"/>
          <w:color w:val="000000" w:themeColor="text1"/>
          <w:sz w:val="24"/>
          <w:szCs w:val="24"/>
        </w:rPr>
      </w:pPr>
      <w:r w:rsidRPr="176F6A0C">
        <w:rPr>
          <w:lang w:val="en-US"/>
        </w:rPr>
        <w:t>[Do/don’t phrasing, institutional naming, sensitivities]</w:t>
      </w:r>
    </w:p>
    <w:p w14:paraId="730D00B3" w14:textId="2C215D59" w:rsidR="00375603" w:rsidRDefault="703F663A" w:rsidP="176F6A0C">
      <w:pPr>
        <w:rPr>
          <w:rFonts w:ascii="Calibri" w:eastAsia="Calibri" w:hAnsi="Calibri" w:cs="Calibri"/>
          <w:b/>
          <w:bCs/>
          <w:color w:val="000000" w:themeColor="text1"/>
          <w:sz w:val="24"/>
          <w:szCs w:val="24"/>
        </w:rPr>
      </w:pPr>
      <w:r w:rsidRPr="176F6A0C">
        <w:rPr>
          <w:b/>
          <w:bCs/>
          <w:lang w:val="en-US"/>
        </w:rPr>
        <w:t>4) Suggested story angle (pick one):</w:t>
      </w:r>
    </w:p>
    <w:p w14:paraId="23E05E35" w14:textId="2C8ED511" w:rsidR="00375603" w:rsidRDefault="703F663A" w:rsidP="00042275">
      <w:pPr>
        <w:pStyle w:val="Pasussalistom"/>
        <w:numPr>
          <w:ilvl w:val="0"/>
          <w:numId w:val="12"/>
        </w:numPr>
        <w:rPr>
          <w:rFonts w:ascii="Calibri" w:eastAsia="Calibri" w:hAnsi="Calibri" w:cs="Calibri"/>
          <w:color w:val="000000" w:themeColor="text1"/>
          <w:sz w:val="24"/>
          <w:szCs w:val="24"/>
        </w:rPr>
      </w:pPr>
      <w:r w:rsidRPr="176F6A0C">
        <w:rPr>
          <w:lang w:val="en-US"/>
        </w:rPr>
        <w:t>[Monitoring / governance / cooperation moment / ecosystem / participation] — [1–2 sentences]</w:t>
      </w:r>
    </w:p>
    <w:p w14:paraId="32F34B4B" w14:textId="4E78144C" w:rsidR="00375603" w:rsidRDefault="703F663A" w:rsidP="176F6A0C">
      <w:pPr>
        <w:rPr>
          <w:rFonts w:ascii="Calibri" w:eastAsia="Calibri" w:hAnsi="Calibri" w:cs="Calibri"/>
          <w:b/>
          <w:bCs/>
          <w:color w:val="000000" w:themeColor="text1"/>
          <w:sz w:val="24"/>
          <w:szCs w:val="24"/>
        </w:rPr>
      </w:pPr>
      <w:r w:rsidRPr="176F6A0C">
        <w:rPr>
          <w:b/>
          <w:bCs/>
          <w:lang w:val="en-US"/>
        </w:rPr>
        <w:t>5) Quote option (optional but high value):</w:t>
      </w:r>
    </w:p>
    <w:p w14:paraId="22710F0A" w14:textId="7B1DD765" w:rsidR="00375603" w:rsidRDefault="703F663A" w:rsidP="00042275">
      <w:pPr>
        <w:pStyle w:val="Pasussalistom"/>
        <w:numPr>
          <w:ilvl w:val="0"/>
          <w:numId w:val="11"/>
        </w:numPr>
        <w:rPr>
          <w:rFonts w:ascii="Calibri" w:eastAsia="Calibri" w:hAnsi="Calibri" w:cs="Calibri"/>
          <w:color w:val="000000" w:themeColor="text1"/>
          <w:sz w:val="24"/>
          <w:szCs w:val="24"/>
        </w:rPr>
      </w:pPr>
      <w:r w:rsidRPr="176F6A0C">
        <w:rPr>
          <w:lang w:val="en-US"/>
        </w:rPr>
        <w:t xml:space="preserve">Quote text (1–2 sentences): “…” </w:t>
      </w:r>
    </w:p>
    <w:p w14:paraId="609EC08A" w14:textId="2A508F43" w:rsidR="00375603" w:rsidRDefault="703F663A" w:rsidP="00042275">
      <w:pPr>
        <w:pStyle w:val="Pasussalistom"/>
        <w:numPr>
          <w:ilvl w:val="0"/>
          <w:numId w:val="11"/>
        </w:numPr>
        <w:rPr>
          <w:rFonts w:ascii="Calibri" w:eastAsia="Calibri" w:hAnsi="Calibri" w:cs="Calibri"/>
          <w:color w:val="000000" w:themeColor="text1"/>
          <w:sz w:val="24"/>
          <w:szCs w:val="24"/>
        </w:rPr>
      </w:pPr>
      <w:r w:rsidRPr="176F6A0C">
        <w:rPr>
          <w:lang w:val="en-US"/>
        </w:rPr>
        <w:t>Speaker: [Name, title, institution]</w:t>
      </w:r>
    </w:p>
    <w:p w14:paraId="0F91CE8F" w14:textId="6B9FAF86" w:rsidR="00375603" w:rsidRDefault="703F663A" w:rsidP="00042275">
      <w:pPr>
        <w:pStyle w:val="Pasussalistom"/>
        <w:numPr>
          <w:ilvl w:val="0"/>
          <w:numId w:val="11"/>
        </w:numPr>
        <w:rPr>
          <w:rFonts w:ascii="Calibri" w:eastAsia="Calibri" w:hAnsi="Calibri" w:cs="Calibri"/>
          <w:color w:val="000000" w:themeColor="text1"/>
          <w:sz w:val="24"/>
          <w:szCs w:val="24"/>
        </w:rPr>
      </w:pPr>
      <w:r w:rsidRPr="176F6A0C">
        <w:rPr>
          <w:lang w:val="en-US"/>
        </w:rPr>
        <w:t>Status: [cleared / needs clearance]</w:t>
      </w:r>
    </w:p>
    <w:p w14:paraId="0B63B597" w14:textId="5D214342" w:rsidR="00375603" w:rsidRDefault="703F663A" w:rsidP="176F6A0C">
      <w:pPr>
        <w:rPr>
          <w:rFonts w:ascii="Calibri" w:eastAsia="Calibri" w:hAnsi="Calibri" w:cs="Calibri"/>
          <w:b/>
          <w:bCs/>
          <w:color w:val="000000" w:themeColor="text1"/>
          <w:sz w:val="24"/>
          <w:szCs w:val="24"/>
        </w:rPr>
      </w:pPr>
      <w:r w:rsidRPr="176F6A0C">
        <w:rPr>
          <w:b/>
          <w:bCs/>
          <w:lang w:val="en-US"/>
        </w:rPr>
        <w:t>6) Assets (links, photos, visuals):</w:t>
      </w:r>
    </w:p>
    <w:p w14:paraId="355B03F7" w14:textId="07EDAE9B" w:rsidR="00375603" w:rsidRDefault="703F663A" w:rsidP="00042275">
      <w:pPr>
        <w:pStyle w:val="Pasussalistom"/>
        <w:numPr>
          <w:ilvl w:val="0"/>
          <w:numId w:val="10"/>
        </w:numPr>
        <w:rPr>
          <w:rFonts w:ascii="Calibri" w:eastAsia="Calibri" w:hAnsi="Calibri" w:cs="Calibri"/>
          <w:color w:val="000000" w:themeColor="text1"/>
          <w:sz w:val="24"/>
          <w:szCs w:val="24"/>
        </w:rPr>
      </w:pPr>
      <w:r w:rsidRPr="176F6A0C">
        <w:rPr>
          <w:lang w:val="en-US"/>
        </w:rPr>
        <w:lastRenderedPageBreak/>
        <w:t>Folder/link: [URL]</w:t>
      </w:r>
    </w:p>
    <w:p w14:paraId="0A050D29" w14:textId="3D7517F8" w:rsidR="00375603" w:rsidRDefault="703F663A" w:rsidP="00042275">
      <w:pPr>
        <w:pStyle w:val="Pasussalistom"/>
        <w:numPr>
          <w:ilvl w:val="0"/>
          <w:numId w:val="10"/>
        </w:numPr>
        <w:rPr>
          <w:rFonts w:ascii="Calibri" w:eastAsia="Calibri" w:hAnsi="Calibri" w:cs="Calibri"/>
          <w:color w:val="000000" w:themeColor="text1"/>
          <w:sz w:val="24"/>
          <w:szCs w:val="24"/>
        </w:rPr>
      </w:pPr>
      <w:r w:rsidRPr="176F6A0C">
        <w:rPr>
          <w:lang w:val="en-US"/>
        </w:rPr>
        <w:t>What’s inside: [e.g., 6 photos from mission, 1 map, 1 figure]</w:t>
      </w:r>
    </w:p>
    <w:p w14:paraId="241E83AF" w14:textId="3D21C7AF" w:rsidR="00375603" w:rsidRDefault="703F663A" w:rsidP="00042275">
      <w:pPr>
        <w:pStyle w:val="Pasussalistom"/>
        <w:numPr>
          <w:ilvl w:val="0"/>
          <w:numId w:val="10"/>
        </w:numPr>
        <w:rPr>
          <w:rFonts w:ascii="Calibri" w:eastAsia="Calibri" w:hAnsi="Calibri" w:cs="Calibri"/>
          <w:color w:val="000000" w:themeColor="text1"/>
          <w:sz w:val="24"/>
          <w:szCs w:val="24"/>
        </w:rPr>
      </w:pPr>
      <w:r w:rsidRPr="176F6A0C">
        <w:rPr>
          <w:lang w:val="en-US"/>
        </w:rPr>
        <w:t>Credits/permissions: [confirmed yes/no + details]</w:t>
      </w:r>
    </w:p>
    <w:p w14:paraId="52F7AB99" w14:textId="21B1E4C5" w:rsidR="00375603" w:rsidRDefault="703F663A" w:rsidP="176F6A0C">
      <w:pPr>
        <w:rPr>
          <w:rFonts w:ascii="Calibri" w:eastAsia="Calibri" w:hAnsi="Calibri" w:cs="Calibri"/>
          <w:b/>
          <w:bCs/>
          <w:color w:val="000000" w:themeColor="text1"/>
          <w:sz w:val="24"/>
          <w:szCs w:val="24"/>
        </w:rPr>
      </w:pPr>
      <w:r w:rsidRPr="176F6A0C">
        <w:rPr>
          <w:b/>
          <w:bCs/>
          <w:lang w:val="en-US"/>
        </w:rPr>
        <w:t>7) Dissemination support (optional):</w:t>
      </w:r>
    </w:p>
    <w:p w14:paraId="29E6F652" w14:textId="246D22DB" w:rsidR="00375603" w:rsidRDefault="703F663A" w:rsidP="00042275">
      <w:pPr>
        <w:pStyle w:val="Pasussalistom"/>
        <w:numPr>
          <w:ilvl w:val="0"/>
          <w:numId w:val="9"/>
        </w:numPr>
        <w:rPr>
          <w:rFonts w:ascii="Calibri" w:eastAsia="Calibri" w:hAnsi="Calibri" w:cs="Calibri"/>
          <w:color w:val="000000" w:themeColor="text1"/>
          <w:sz w:val="24"/>
          <w:szCs w:val="24"/>
        </w:rPr>
      </w:pPr>
      <w:r w:rsidRPr="176F6A0C">
        <w:rPr>
          <w:lang w:val="en-US"/>
        </w:rPr>
        <w:t>Top national distribution targets (max 5): [Ministry X, Agency Y…]</w:t>
      </w:r>
    </w:p>
    <w:p w14:paraId="100525E6" w14:textId="2258666E" w:rsidR="00375603" w:rsidRDefault="703F663A" w:rsidP="00042275">
      <w:pPr>
        <w:pStyle w:val="Pasussalistom"/>
        <w:numPr>
          <w:ilvl w:val="0"/>
          <w:numId w:val="9"/>
        </w:numPr>
        <w:rPr>
          <w:rFonts w:ascii="Calibri" w:eastAsia="Calibri" w:hAnsi="Calibri" w:cs="Calibri"/>
          <w:color w:val="000000" w:themeColor="text1"/>
          <w:sz w:val="24"/>
          <w:szCs w:val="24"/>
        </w:rPr>
      </w:pPr>
      <w:r w:rsidRPr="176F6A0C">
        <w:rPr>
          <w:lang w:val="en-US"/>
        </w:rPr>
        <w:t>Preferred channels (direct email / partner channels / social): [notes]</w:t>
      </w:r>
    </w:p>
    <w:p w14:paraId="561116C2" w14:textId="2812B3E3" w:rsidR="00375603" w:rsidRDefault="5A9331E0" w:rsidP="176F6A0C">
      <w:pPr>
        <w:rPr>
          <w:rFonts w:ascii="Calibri" w:hAnsi="Calibri" w:cs="Calibri"/>
          <w:b/>
          <w:bCs/>
          <w:color w:val="2F5496" w:themeColor="accent1" w:themeShade="BF"/>
          <w:sz w:val="24"/>
          <w:szCs w:val="24"/>
        </w:rPr>
      </w:pPr>
      <w:r w:rsidRPr="176F6A0C">
        <w:rPr>
          <w:rFonts w:ascii="Calibri" w:hAnsi="Calibri" w:cs="Calibri"/>
          <w:b/>
          <w:bCs/>
          <w:color w:val="2F5496" w:themeColor="accent1" w:themeShade="BF"/>
          <w:sz w:val="24"/>
          <w:szCs w:val="24"/>
        </w:rPr>
        <w:t>D.</w:t>
      </w:r>
      <w:r w:rsidR="684D4B5D" w:rsidRPr="176F6A0C">
        <w:rPr>
          <w:rFonts w:ascii="Calibri" w:hAnsi="Calibri" w:cs="Calibri"/>
          <w:b/>
          <w:bCs/>
          <w:color w:val="2F5496" w:themeColor="accent1" w:themeShade="BF"/>
          <w:sz w:val="24"/>
          <w:szCs w:val="24"/>
        </w:rPr>
        <w:t>2</w:t>
      </w:r>
      <w:r w:rsidRPr="176F6A0C">
        <w:rPr>
          <w:rFonts w:ascii="Calibri" w:hAnsi="Calibri" w:cs="Calibri"/>
          <w:b/>
          <w:bCs/>
          <w:color w:val="2F5496" w:themeColor="accent1" w:themeShade="BF"/>
          <w:sz w:val="24"/>
          <w:szCs w:val="24"/>
        </w:rPr>
        <w:t>.</w:t>
      </w:r>
      <w:r w:rsidR="00E509CB">
        <w:tab/>
      </w:r>
      <w:r w:rsidRPr="176F6A0C">
        <w:rPr>
          <w:rFonts w:ascii="Calibri" w:hAnsi="Calibri" w:cs="Calibri"/>
          <w:b/>
          <w:bCs/>
          <w:color w:val="2F5496" w:themeColor="accent1" w:themeShade="BF"/>
          <w:sz w:val="24"/>
          <w:szCs w:val="24"/>
        </w:rPr>
        <w:t>Story intake template</w:t>
      </w:r>
    </w:p>
    <w:p w14:paraId="15FE0D36" w14:textId="677EA48C" w:rsidR="00375603" w:rsidRDefault="0A336A81" w:rsidP="176F6A0C">
      <w:pPr>
        <w:rPr>
          <w:lang w:val="en-US"/>
        </w:rPr>
      </w:pPr>
      <w:r w:rsidRPr="176F6A0C">
        <w:rPr>
          <w:lang w:val="en-US"/>
        </w:rPr>
        <w:t>This may be used</w:t>
      </w:r>
      <w:r w:rsidR="5A9331E0" w:rsidRPr="176F6A0C">
        <w:rPr>
          <w:lang w:val="en-US"/>
        </w:rPr>
        <w:t xml:space="preserve"> for any proposed story or milestone package (website piece, newsletter block, partner submission, event package).</w:t>
      </w:r>
    </w:p>
    <w:p w14:paraId="5AD50106" w14:textId="0D070CEB" w:rsidR="00375603" w:rsidRDefault="5A9331E0" w:rsidP="00042275">
      <w:pPr>
        <w:pStyle w:val="Pasussalistom"/>
        <w:numPr>
          <w:ilvl w:val="0"/>
          <w:numId w:val="8"/>
        </w:numPr>
        <w:rPr>
          <w:rFonts w:ascii="Calibri" w:eastAsia="Calibri" w:hAnsi="Calibri" w:cs="Calibri"/>
          <w:color w:val="000000" w:themeColor="text1"/>
          <w:sz w:val="24"/>
          <w:szCs w:val="24"/>
        </w:rPr>
      </w:pPr>
      <w:r w:rsidRPr="176F6A0C">
        <w:rPr>
          <w:lang w:val="en-US"/>
        </w:rPr>
        <w:t>Working title: [One line]</w:t>
      </w:r>
    </w:p>
    <w:p w14:paraId="72EDDE37" w14:textId="27C0320F" w:rsidR="00375603" w:rsidRDefault="5A9331E0" w:rsidP="00042275">
      <w:pPr>
        <w:pStyle w:val="Pasussalistom"/>
        <w:numPr>
          <w:ilvl w:val="0"/>
          <w:numId w:val="8"/>
        </w:numPr>
        <w:rPr>
          <w:rFonts w:ascii="Calibri" w:eastAsia="Calibri" w:hAnsi="Calibri" w:cs="Calibri"/>
          <w:color w:val="000000" w:themeColor="text1"/>
          <w:sz w:val="24"/>
          <w:szCs w:val="24"/>
        </w:rPr>
      </w:pPr>
      <w:r w:rsidRPr="176F6A0C">
        <w:rPr>
          <w:lang w:val="en-US"/>
        </w:rPr>
        <w:t>Level: [international / regional / national]</w:t>
      </w:r>
    </w:p>
    <w:p w14:paraId="67DA5B86" w14:textId="78BC68D2" w:rsidR="00375603" w:rsidRDefault="5A9331E0" w:rsidP="00042275">
      <w:pPr>
        <w:pStyle w:val="Pasussalistom"/>
        <w:numPr>
          <w:ilvl w:val="0"/>
          <w:numId w:val="8"/>
        </w:numPr>
        <w:rPr>
          <w:rFonts w:ascii="Calibri" w:eastAsia="Calibri" w:hAnsi="Calibri" w:cs="Calibri"/>
          <w:color w:val="000000" w:themeColor="text1"/>
          <w:sz w:val="24"/>
          <w:szCs w:val="24"/>
        </w:rPr>
      </w:pPr>
      <w:r w:rsidRPr="176F6A0C">
        <w:rPr>
          <w:lang w:val="en-US"/>
        </w:rPr>
        <w:t>Primary audience: [e.g., ministries/agencies; technical; public]</w:t>
      </w:r>
    </w:p>
    <w:p w14:paraId="4BF908B7" w14:textId="65C881F8" w:rsidR="00375603" w:rsidRDefault="5A9331E0" w:rsidP="00042275">
      <w:pPr>
        <w:pStyle w:val="Pasussalistom"/>
        <w:numPr>
          <w:ilvl w:val="0"/>
          <w:numId w:val="8"/>
        </w:numPr>
        <w:rPr>
          <w:rFonts w:ascii="Calibri" w:eastAsia="Calibri" w:hAnsi="Calibri" w:cs="Calibri"/>
          <w:color w:val="000000" w:themeColor="text1"/>
          <w:sz w:val="24"/>
          <w:szCs w:val="24"/>
        </w:rPr>
      </w:pPr>
      <w:r w:rsidRPr="176F6A0C">
        <w:rPr>
          <w:lang w:val="en-US"/>
        </w:rPr>
        <w:t>Which message pillar(s) does it support? [Pillar 1–5]</w:t>
      </w:r>
    </w:p>
    <w:p w14:paraId="17AC6E37" w14:textId="7F493252" w:rsidR="00375603" w:rsidRDefault="30E26A34" w:rsidP="00042275">
      <w:pPr>
        <w:pStyle w:val="Pasussalistom"/>
        <w:numPr>
          <w:ilvl w:val="0"/>
          <w:numId w:val="8"/>
        </w:numPr>
        <w:rPr>
          <w:rFonts w:ascii="Calibri" w:eastAsia="Calibri" w:hAnsi="Calibri" w:cs="Calibri"/>
          <w:color w:val="000000" w:themeColor="text1"/>
          <w:sz w:val="24"/>
          <w:szCs w:val="24"/>
        </w:rPr>
      </w:pPr>
      <w:r w:rsidRPr="176F6A0C">
        <w:rPr>
          <w:lang w:val="en-US"/>
        </w:rPr>
        <w:t>Key takeaway or relevance:</w:t>
      </w:r>
      <w:r w:rsidR="5A9331E0" w:rsidRPr="176F6A0C">
        <w:rPr>
          <w:lang w:val="en-US"/>
        </w:rPr>
        <w:t xml:space="preserve"> [decision-relevant takeaway]</w:t>
      </w:r>
    </w:p>
    <w:p w14:paraId="0ABF886A" w14:textId="18A1311A" w:rsidR="00375603" w:rsidRDefault="5A9331E0" w:rsidP="00042275">
      <w:pPr>
        <w:pStyle w:val="Pasussalistom"/>
        <w:numPr>
          <w:ilvl w:val="0"/>
          <w:numId w:val="8"/>
        </w:numPr>
        <w:rPr>
          <w:rFonts w:ascii="Calibri" w:eastAsia="Calibri" w:hAnsi="Calibri" w:cs="Calibri"/>
          <w:color w:val="000000" w:themeColor="text1"/>
          <w:sz w:val="24"/>
          <w:szCs w:val="24"/>
        </w:rPr>
      </w:pPr>
      <w:r w:rsidRPr="176F6A0C">
        <w:rPr>
          <w:lang w:val="en-US"/>
        </w:rPr>
        <w:t>Key facts (5 bullets max): [...]</w:t>
      </w:r>
    </w:p>
    <w:p w14:paraId="17B1483A" w14:textId="0197FC2D" w:rsidR="00375603" w:rsidRDefault="5A9331E0" w:rsidP="00042275">
      <w:pPr>
        <w:pStyle w:val="Pasussalistom"/>
        <w:numPr>
          <w:ilvl w:val="0"/>
          <w:numId w:val="8"/>
        </w:numPr>
        <w:rPr>
          <w:rFonts w:ascii="Calibri" w:eastAsia="Calibri" w:hAnsi="Calibri" w:cs="Calibri"/>
          <w:color w:val="000000" w:themeColor="text1"/>
          <w:sz w:val="24"/>
          <w:szCs w:val="24"/>
        </w:rPr>
      </w:pPr>
      <w:r w:rsidRPr="176F6A0C">
        <w:rPr>
          <w:lang w:val="en-US"/>
        </w:rPr>
        <w:t>What is confirmed vs not yet confirmed?</w:t>
      </w:r>
    </w:p>
    <w:p w14:paraId="0A8343BA" w14:textId="52550767" w:rsidR="00375603" w:rsidRDefault="5A9331E0" w:rsidP="00042275">
      <w:pPr>
        <w:pStyle w:val="Pasussalistom"/>
        <w:numPr>
          <w:ilvl w:val="1"/>
          <w:numId w:val="8"/>
        </w:numPr>
        <w:rPr>
          <w:rFonts w:ascii="Calibri" w:eastAsia="Calibri" w:hAnsi="Calibri" w:cs="Calibri"/>
          <w:color w:val="000000" w:themeColor="text1"/>
          <w:sz w:val="24"/>
          <w:szCs w:val="24"/>
        </w:rPr>
      </w:pPr>
      <w:r w:rsidRPr="176F6A0C">
        <w:rPr>
          <w:lang w:val="en-US"/>
        </w:rPr>
        <w:t>Confirmed: […]</w:t>
      </w:r>
    </w:p>
    <w:p w14:paraId="050A2BF1" w14:textId="1930F6AC" w:rsidR="00375603" w:rsidRDefault="5A9331E0" w:rsidP="00042275">
      <w:pPr>
        <w:pStyle w:val="Pasussalistom"/>
        <w:numPr>
          <w:ilvl w:val="1"/>
          <w:numId w:val="8"/>
        </w:numPr>
        <w:rPr>
          <w:rFonts w:ascii="Calibri" w:eastAsia="Calibri" w:hAnsi="Calibri" w:cs="Calibri"/>
          <w:color w:val="000000" w:themeColor="text1"/>
          <w:sz w:val="24"/>
          <w:szCs w:val="24"/>
        </w:rPr>
      </w:pPr>
      <w:r w:rsidRPr="176F6A0C">
        <w:rPr>
          <w:lang w:val="en-US"/>
        </w:rPr>
        <w:t>Not yet confirmed / pending validation: […]</w:t>
      </w:r>
    </w:p>
    <w:p w14:paraId="563DB420" w14:textId="611ABB59" w:rsidR="00375603" w:rsidRDefault="5A9331E0" w:rsidP="00042275">
      <w:pPr>
        <w:pStyle w:val="Pasussalistom"/>
        <w:numPr>
          <w:ilvl w:val="0"/>
          <w:numId w:val="8"/>
        </w:numPr>
        <w:rPr>
          <w:rFonts w:ascii="Calibri" w:eastAsia="Calibri" w:hAnsi="Calibri" w:cs="Calibri"/>
          <w:color w:val="000000" w:themeColor="text1"/>
          <w:sz w:val="24"/>
          <w:szCs w:val="24"/>
        </w:rPr>
      </w:pPr>
      <w:r w:rsidRPr="176F6A0C">
        <w:rPr>
          <w:lang w:val="en-US"/>
        </w:rPr>
        <w:t>Links / sources: [URLs]</w:t>
      </w:r>
    </w:p>
    <w:p w14:paraId="7FC3B5BA" w14:textId="392F68B5" w:rsidR="00375603" w:rsidRDefault="5A9331E0" w:rsidP="00042275">
      <w:pPr>
        <w:pStyle w:val="Pasussalistom"/>
        <w:numPr>
          <w:ilvl w:val="0"/>
          <w:numId w:val="8"/>
        </w:numPr>
        <w:rPr>
          <w:rFonts w:ascii="Calibri" w:eastAsia="Calibri" w:hAnsi="Calibri" w:cs="Calibri"/>
          <w:color w:val="000000" w:themeColor="text1"/>
          <w:sz w:val="24"/>
          <w:szCs w:val="24"/>
        </w:rPr>
      </w:pPr>
      <w:r w:rsidRPr="176F6A0C">
        <w:rPr>
          <w:lang w:val="en-US"/>
        </w:rPr>
        <w:t>Suggested assets: [photos, charts, map, quote cards]</w:t>
      </w:r>
    </w:p>
    <w:p w14:paraId="0E818D60" w14:textId="4084F356" w:rsidR="00375603" w:rsidRDefault="5A9331E0" w:rsidP="00042275">
      <w:pPr>
        <w:pStyle w:val="Pasussalistom"/>
        <w:numPr>
          <w:ilvl w:val="0"/>
          <w:numId w:val="8"/>
        </w:numPr>
        <w:rPr>
          <w:rFonts w:ascii="Calibri" w:eastAsia="Calibri" w:hAnsi="Calibri" w:cs="Calibri"/>
          <w:color w:val="000000" w:themeColor="text1"/>
          <w:sz w:val="24"/>
          <w:szCs w:val="24"/>
        </w:rPr>
      </w:pPr>
      <w:r w:rsidRPr="176F6A0C">
        <w:rPr>
          <w:lang w:val="en-US"/>
        </w:rPr>
        <w:t>Risks/sensitivities (if any): [1–3 bullets]</w:t>
      </w:r>
    </w:p>
    <w:p w14:paraId="6F796F0F" w14:textId="0946AC16" w:rsidR="00375603" w:rsidRDefault="5A9331E0" w:rsidP="00042275">
      <w:pPr>
        <w:pStyle w:val="Pasussalistom"/>
        <w:numPr>
          <w:ilvl w:val="0"/>
          <w:numId w:val="8"/>
        </w:numPr>
        <w:rPr>
          <w:rFonts w:ascii="Calibri" w:eastAsia="Calibri" w:hAnsi="Calibri" w:cs="Calibri"/>
          <w:color w:val="000000" w:themeColor="text1"/>
          <w:sz w:val="24"/>
          <w:szCs w:val="24"/>
        </w:rPr>
      </w:pPr>
      <w:r w:rsidRPr="176F6A0C">
        <w:rPr>
          <w:lang w:val="en-US"/>
        </w:rPr>
        <w:t>Call to action (if any): [e.g., attend, read, provide input]</w:t>
      </w:r>
    </w:p>
    <w:p w14:paraId="019F1DF9" w14:textId="6B986CBB" w:rsidR="00375603" w:rsidRDefault="5A9331E0" w:rsidP="00042275">
      <w:pPr>
        <w:pStyle w:val="Pasussalistom"/>
        <w:numPr>
          <w:ilvl w:val="0"/>
          <w:numId w:val="8"/>
        </w:numPr>
        <w:rPr>
          <w:rFonts w:ascii="Calibri" w:eastAsia="Calibri" w:hAnsi="Calibri" w:cs="Calibri"/>
          <w:color w:val="000000" w:themeColor="text1"/>
          <w:sz w:val="24"/>
          <w:szCs w:val="24"/>
        </w:rPr>
      </w:pPr>
      <w:r w:rsidRPr="176F6A0C">
        <w:rPr>
          <w:lang w:val="en-US"/>
        </w:rPr>
        <w:t xml:space="preserve">Desired </w:t>
      </w:r>
      <w:r w:rsidR="5272FBF2" w:rsidRPr="176F6A0C">
        <w:rPr>
          <w:lang w:val="en-US"/>
        </w:rPr>
        <w:t xml:space="preserve">communication </w:t>
      </w:r>
      <w:r w:rsidRPr="176F6A0C">
        <w:rPr>
          <w:lang w:val="en-US"/>
        </w:rPr>
        <w:t>outputs: website / newsletter block / social series / partner pack / brief / slides</w:t>
      </w:r>
    </w:p>
    <w:p w14:paraId="47F369A7" w14:textId="325C0B4A" w:rsidR="00375603" w:rsidRDefault="5A9331E0" w:rsidP="00042275">
      <w:pPr>
        <w:pStyle w:val="Pasussalistom"/>
        <w:numPr>
          <w:ilvl w:val="0"/>
          <w:numId w:val="8"/>
        </w:numPr>
        <w:rPr>
          <w:rFonts w:ascii="Calibri" w:eastAsia="Calibri" w:hAnsi="Calibri" w:cs="Calibri"/>
          <w:color w:val="000000" w:themeColor="text1"/>
          <w:sz w:val="24"/>
          <w:szCs w:val="24"/>
        </w:rPr>
      </w:pPr>
      <w:r w:rsidRPr="176F6A0C">
        <w:rPr>
          <w:lang w:val="en-US"/>
        </w:rPr>
        <w:t>Deadline / desired publish window: [date]</w:t>
      </w:r>
    </w:p>
    <w:p w14:paraId="42E8C2DD" w14:textId="08B26298" w:rsidR="00375603" w:rsidRDefault="5A9331E0" w:rsidP="00042275">
      <w:pPr>
        <w:pStyle w:val="Pasussalistom"/>
        <w:numPr>
          <w:ilvl w:val="0"/>
          <w:numId w:val="8"/>
        </w:numPr>
        <w:rPr>
          <w:rFonts w:ascii="Calibri" w:eastAsia="Calibri" w:hAnsi="Calibri" w:cs="Calibri"/>
          <w:color w:val="000000" w:themeColor="text1"/>
          <w:sz w:val="24"/>
          <w:szCs w:val="24"/>
        </w:rPr>
      </w:pPr>
      <w:r w:rsidRPr="176F6A0C">
        <w:rPr>
          <w:lang w:val="en-US"/>
        </w:rPr>
        <w:t>Owner for inputs: [name]</w:t>
      </w:r>
    </w:p>
    <w:p w14:paraId="7ADB9B4D" w14:textId="5A82B0C8" w:rsidR="00375603" w:rsidRDefault="5A9331E0" w:rsidP="00042275">
      <w:pPr>
        <w:pStyle w:val="Pasussalistom"/>
        <w:numPr>
          <w:ilvl w:val="0"/>
          <w:numId w:val="8"/>
        </w:numPr>
        <w:rPr>
          <w:rFonts w:ascii="Calibri" w:eastAsia="Calibri" w:hAnsi="Calibri" w:cs="Calibri"/>
          <w:color w:val="000000" w:themeColor="text1"/>
          <w:sz w:val="24"/>
          <w:szCs w:val="24"/>
        </w:rPr>
      </w:pPr>
      <w:r w:rsidRPr="176F6A0C">
        <w:rPr>
          <w:lang w:val="en-US"/>
        </w:rPr>
        <w:t>Review needs (RED lane): [technical validation yes/no; PM clearance yes/no; institutional clearance yes/no]</w:t>
      </w:r>
    </w:p>
    <w:p w14:paraId="27E62327" w14:textId="3DB0AE91" w:rsidR="00375603" w:rsidRDefault="07589A50" w:rsidP="176F6A0C">
      <w:pPr>
        <w:rPr>
          <w:rFonts w:ascii="Calibri" w:hAnsi="Calibri" w:cs="Calibri"/>
          <w:b/>
          <w:bCs/>
          <w:color w:val="2F5496" w:themeColor="accent1" w:themeShade="BF"/>
          <w:sz w:val="24"/>
          <w:szCs w:val="24"/>
        </w:rPr>
      </w:pPr>
      <w:r w:rsidRPr="176F6A0C">
        <w:rPr>
          <w:rFonts w:ascii="Calibri" w:hAnsi="Calibri" w:cs="Calibri"/>
          <w:b/>
          <w:bCs/>
          <w:color w:val="2F5496" w:themeColor="accent1" w:themeShade="BF"/>
          <w:sz w:val="24"/>
          <w:szCs w:val="24"/>
        </w:rPr>
        <w:t>D.3.</w:t>
      </w:r>
      <w:r w:rsidR="00E509CB">
        <w:tab/>
      </w:r>
      <w:r w:rsidRPr="176F6A0C">
        <w:rPr>
          <w:rFonts w:ascii="Calibri" w:hAnsi="Calibri" w:cs="Calibri"/>
          <w:b/>
          <w:bCs/>
          <w:color w:val="2F5496" w:themeColor="accent1" w:themeShade="BF"/>
          <w:sz w:val="24"/>
          <w:szCs w:val="24"/>
        </w:rPr>
        <w:t>Event package intake</w:t>
      </w:r>
    </w:p>
    <w:p w14:paraId="4D170C1E" w14:textId="2808DEEF" w:rsidR="00375603" w:rsidRDefault="07589A50" w:rsidP="176F6A0C">
      <w:pPr>
        <w:rPr>
          <w:rFonts w:ascii="Calibri" w:eastAsia="Calibri" w:hAnsi="Calibri" w:cs="Calibri"/>
          <w:color w:val="000000" w:themeColor="text1"/>
          <w:sz w:val="24"/>
          <w:szCs w:val="24"/>
        </w:rPr>
      </w:pPr>
      <w:r w:rsidRPr="176F6A0C">
        <w:rPr>
          <w:lang w:val="en-US"/>
        </w:rPr>
        <w:t>This template may be used to package meetings/workshops into a single coherent communication sequence.</w:t>
      </w:r>
    </w:p>
    <w:p w14:paraId="4AF62242" w14:textId="690A3EEB" w:rsidR="00375603" w:rsidRDefault="07589A50" w:rsidP="00042275">
      <w:pPr>
        <w:pStyle w:val="Pasussalistom"/>
        <w:numPr>
          <w:ilvl w:val="0"/>
          <w:numId w:val="7"/>
        </w:numPr>
        <w:rPr>
          <w:rFonts w:ascii="Calibri" w:eastAsia="Calibri" w:hAnsi="Calibri" w:cs="Calibri"/>
          <w:color w:val="000000" w:themeColor="text1"/>
          <w:sz w:val="24"/>
          <w:szCs w:val="24"/>
        </w:rPr>
      </w:pPr>
      <w:r w:rsidRPr="176F6A0C">
        <w:rPr>
          <w:lang w:val="en-US"/>
        </w:rPr>
        <w:t>Event name: [Official title]</w:t>
      </w:r>
    </w:p>
    <w:p w14:paraId="12B8C578" w14:textId="47AE3E1D" w:rsidR="00375603" w:rsidRDefault="07589A50" w:rsidP="00042275">
      <w:pPr>
        <w:pStyle w:val="Pasussalistom"/>
        <w:numPr>
          <w:ilvl w:val="0"/>
          <w:numId w:val="7"/>
        </w:numPr>
        <w:rPr>
          <w:rFonts w:ascii="Calibri" w:eastAsia="Calibri" w:hAnsi="Calibri" w:cs="Calibri"/>
          <w:color w:val="000000" w:themeColor="text1"/>
          <w:sz w:val="24"/>
          <w:szCs w:val="24"/>
        </w:rPr>
      </w:pPr>
      <w:r w:rsidRPr="176F6A0C">
        <w:rPr>
          <w:lang w:val="en-US"/>
        </w:rPr>
        <w:t>Date/time &amp; location: […]</w:t>
      </w:r>
    </w:p>
    <w:p w14:paraId="1BBD8DF4" w14:textId="5C24DFDF" w:rsidR="00375603" w:rsidRDefault="07589A50" w:rsidP="00042275">
      <w:pPr>
        <w:pStyle w:val="Pasussalistom"/>
        <w:numPr>
          <w:ilvl w:val="0"/>
          <w:numId w:val="7"/>
        </w:numPr>
        <w:rPr>
          <w:rFonts w:ascii="Calibri" w:eastAsia="Calibri" w:hAnsi="Calibri" w:cs="Calibri"/>
          <w:color w:val="000000" w:themeColor="text1"/>
          <w:sz w:val="24"/>
          <w:szCs w:val="24"/>
        </w:rPr>
      </w:pPr>
      <w:r w:rsidRPr="176F6A0C">
        <w:rPr>
          <w:lang w:val="en-US"/>
        </w:rPr>
        <w:t>Host / organisers: […]</w:t>
      </w:r>
    </w:p>
    <w:p w14:paraId="44268288" w14:textId="330C1161" w:rsidR="00375603" w:rsidRDefault="07589A50" w:rsidP="00042275">
      <w:pPr>
        <w:pStyle w:val="Pasussalistom"/>
        <w:numPr>
          <w:ilvl w:val="0"/>
          <w:numId w:val="7"/>
        </w:numPr>
        <w:rPr>
          <w:rFonts w:ascii="Calibri" w:eastAsia="Calibri" w:hAnsi="Calibri" w:cs="Calibri"/>
          <w:color w:val="000000" w:themeColor="text1"/>
          <w:sz w:val="24"/>
          <w:szCs w:val="24"/>
        </w:rPr>
      </w:pPr>
      <w:r w:rsidRPr="176F6A0C">
        <w:rPr>
          <w:lang w:val="en-US"/>
        </w:rPr>
        <w:t>Purpose (2 sentences): […]</w:t>
      </w:r>
    </w:p>
    <w:p w14:paraId="72AF2C08" w14:textId="6E454083" w:rsidR="00375603" w:rsidRDefault="07589A50" w:rsidP="00042275">
      <w:pPr>
        <w:pStyle w:val="Pasussalistom"/>
        <w:numPr>
          <w:ilvl w:val="0"/>
          <w:numId w:val="7"/>
        </w:numPr>
        <w:rPr>
          <w:rFonts w:ascii="Calibri" w:eastAsia="Calibri" w:hAnsi="Calibri" w:cs="Calibri"/>
          <w:color w:val="000000" w:themeColor="text1"/>
          <w:sz w:val="24"/>
          <w:szCs w:val="24"/>
        </w:rPr>
      </w:pPr>
      <w:r w:rsidRPr="176F6A0C">
        <w:rPr>
          <w:lang w:val="en-US"/>
        </w:rPr>
        <w:t>Who is attending (audiences/institutions): […]</w:t>
      </w:r>
    </w:p>
    <w:p w14:paraId="272898B6" w14:textId="6FD5169D" w:rsidR="00375603" w:rsidRDefault="07589A50" w:rsidP="00042275">
      <w:pPr>
        <w:pStyle w:val="Pasussalistom"/>
        <w:numPr>
          <w:ilvl w:val="0"/>
          <w:numId w:val="7"/>
        </w:numPr>
        <w:rPr>
          <w:rFonts w:ascii="Calibri" w:eastAsia="Calibri" w:hAnsi="Calibri" w:cs="Calibri"/>
          <w:color w:val="000000" w:themeColor="text1"/>
          <w:sz w:val="24"/>
          <w:szCs w:val="24"/>
        </w:rPr>
      </w:pPr>
      <w:r w:rsidRPr="176F6A0C">
        <w:rPr>
          <w:lang w:val="en-US"/>
        </w:rPr>
        <w:t>What can be said publicly (3 bullets): […]</w:t>
      </w:r>
    </w:p>
    <w:p w14:paraId="2AF91011" w14:textId="1D1B5D65" w:rsidR="00375603" w:rsidRDefault="07589A50" w:rsidP="00042275">
      <w:pPr>
        <w:pStyle w:val="Pasussalistom"/>
        <w:numPr>
          <w:ilvl w:val="0"/>
          <w:numId w:val="7"/>
        </w:numPr>
        <w:rPr>
          <w:rFonts w:ascii="Calibri" w:eastAsia="Calibri" w:hAnsi="Calibri" w:cs="Calibri"/>
          <w:color w:val="000000" w:themeColor="text1"/>
          <w:sz w:val="24"/>
          <w:szCs w:val="24"/>
        </w:rPr>
      </w:pPr>
      <w:r w:rsidRPr="176F6A0C">
        <w:rPr>
          <w:lang w:val="en-US"/>
        </w:rPr>
        <w:t>What must not be said publicly yet (if any): […]</w:t>
      </w:r>
    </w:p>
    <w:p w14:paraId="2EED11F7" w14:textId="5EB97D40" w:rsidR="00375603" w:rsidRDefault="07589A50" w:rsidP="00042275">
      <w:pPr>
        <w:pStyle w:val="Pasussalistom"/>
        <w:numPr>
          <w:ilvl w:val="0"/>
          <w:numId w:val="7"/>
        </w:numPr>
        <w:rPr>
          <w:rFonts w:ascii="Calibri" w:eastAsia="Calibri" w:hAnsi="Calibri" w:cs="Calibri"/>
          <w:color w:val="000000" w:themeColor="text1"/>
          <w:sz w:val="24"/>
          <w:szCs w:val="24"/>
        </w:rPr>
      </w:pPr>
      <w:r w:rsidRPr="176F6A0C">
        <w:rPr>
          <w:lang w:val="en-US"/>
        </w:rPr>
        <w:t>Agenda highlights (3 bullets): […]</w:t>
      </w:r>
    </w:p>
    <w:p w14:paraId="432C89A0" w14:textId="0581768A" w:rsidR="00375603" w:rsidRDefault="07589A50" w:rsidP="00042275">
      <w:pPr>
        <w:pStyle w:val="Pasussalistom"/>
        <w:numPr>
          <w:ilvl w:val="0"/>
          <w:numId w:val="7"/>
        </w:numPr>
        <w:rPr>
          <w:rFonts w:ascii="Calibri" w:eastAsia="Calibri" w:hAnsi="Calibri" w:cs="Calibri"/>
          <w:color w:val="000000" w:themeColor="text1"/>
          <w:sz w:val="24"/>
          <w:szCs w:val="24"/>
        </w:rPr>
      </w:pPr>
      <w:r w:rsidRPr="176F6A0C">
        <w:rPr>
          <w:lang w:val="en-US"/>
        </w:rPr>
        <w:lastRenderedPageBreak/>
        <w:t>Photo plan: [who takes photos; what to capture; consent status]</w:t>
      </w:r>
    </w:p>
    <w:p w14:paraId="46FC8863" w14:textId="0E962664" w:rsidR="00375603" w:rsidRDefault="07589A50" w:rsidP="00042275">
      <w:pPr>
        <w:pStyle w:val="Pasussalistom"/>
        <w:numPr>
          <w:ilvl w:val="0"/>
          <w:numId w:val="7"/>
        </w:numPr>
        <w:rPr>
          <w:rFonts w:ascii="Calibri" w:eastAsia="Calibri" w:hAnsi="Calibri" w:cs="Calibri"/>
          <w:color w:val="000000" w:themeColor="text1"/>
          <w:sz w:val="24"/>
          <w:szCs w:val="24"/>
        </w:rPr>
      </w:pPr>
      <w:r w:rsidRPr="176F6A0C">
        <w:rPr>
          <w:lang w:val="en-US"/>
        </w:rPr>
        <w:t>Quote plan: [who can be quoted; clearance status]</w:t>
      </w:r>
    </w:p>
    <w:p w14:paraId="7837E842" w14:textId="1C6EDAAA" w:rsidR="00375603" w:rsidRDefault="07589A50" w:rsidP="00042275">
      <w:pPr>
        <w:pStyle w:val="Pasussalistom"/>
        <w:numPr>
          <w:ilvl w:val="0"/>
          <w:numId w:val="7"/>
        </w:numPr>
        <w:rPr>
          <w:rFonts w:ascii="Calibri" w:eastAsia="Calibri" w:hAnsi="Calibri" w:cs="Calibri"/>
          <w:color w:val="000000" w:themeColor="text1"/>
          <w:sz w:val="24"/>
          <w:szCs w:val="24"/>
        </w:rPr>
      </w:pPr>
      <w:r w:rsidRPr="176F6A0C">
        <w:rPr>
          <w:lang w:val="en-US"/>
        </w:rPr>
        <w:t>Outputs needed: save-the-date / agenda note / recap / partner pack / photos w credits</w:t>
      </w:r>
    </w:p>
    <w:p w14:paraId="74C5DE13" w14:textId="3DBA61DE" w:rsidR="00375603" w:rsidRDefault="07589A50" w:rsidP="00042275">
      <w:pPr>
        <w:pStyle w:val="Pasussalistom"/>
        <w:numPr>
          <w:ilvl w:val="0"/>
          <w:numId w:val="7"/>
        </w:numPr>
        <w:rPr>
          <w:lang w:val="en-US"/>
        </w:rPr>
      </w:pPr>
      <w:r w:rsidRPr="176F6A0C">
        <w:rPr>
          <w:lang w:val="en-US"/>
        </w:rPr>
        <w:t>Post-event recap inputs (within 48h): [3 key takeaways; next steps; links]</w:t>
      </w:r>
    </w:p>
    <w:p w14:paraId="4E48513A" w14:textId="294D1F98" w:rsidR="00375603" w:rsidRDefault="07589A50" w:rsidP="176F6A0C">
      <w:pPr>
        <w:rPr>
          <w:rFonts w:ascii="Calibri" w:hAnsi="Calibri" w:cs="Calibri"/>
          <w:b/>
          <w:bCs/>
          <w:color w:val="2F5496" w:themeColor="accent1" w:themeShade="BF"/>
          <w:sz w:val="24"/>
          <w:szCs w:val="24"/>
        </w:rPr>
      </w:pPr>
      <w:r w:rsidRPr="176F6A0C">
        <w:rPr>
          <w:rFonts w:ascii="Calibri" w:hAnsi="Calibri" w:cs="Calibri"/>
          <w:b/>
          <w:bCs/>
          <w:color w:val="2F5496" w:themeColor="accent1" w:themeShade="BF"/>
          <w:sz w:val="24"/>
          <w:szCs w:val="24"/>
        </w:rPr>
        <w:t>D.4.</w:t>
      </w:r>
      <w:r w:rsidR="00E509CB">
        <w:tab/>
      </w:r>
      <w:r w:rsidR="68DA953C" w:rsidRPr="176F6A0C">
        <w:rPr>
          <w:rFonts w:ascii="Calibri" w:hAnsi="Calibri" w:cs="Calibri"/>
          <w:b/>
          <w:bCs/>
          <w:color w:val="2F5496" w:themeColor="accent1" w:themeShade="BF"/>
          <w:sz w:val="24"/>
          <w:szCs w:val="24"/>
        </w:rPr>
        <w:t>Photo, visual and consent checklist</w:t>
      </w:r>
    </w:p>
    <w:p w14:paraId="70F353E9" w14:textId="02E9B08E" w:rsidR="00375603" w:rsidRDefault="68DA953C" w:rsidP="176F6A0C">
      <w:pPr>
        <w:rPr>
          <w:rFonts w:ascii="Calibri" w:eastAsia="Calibri" w:hAnsi="Calibri" w:cs="Calibri"/>
        </w:rPr>
      </w:pPr>
      <w:r w:rsidRPr="176F6A0C">
        <w:rPr>
          <w:lang w:val="en-US"/>
        </w:rPr>
        <w:t>This checklist prevents rework and ensures assets are usable across partners.</w:t>
      </w:r>
    </w:p>
    <w:p w14:paraId="40D3055B" w14:textId="12778EF4" w:rsidR="00375603" w:rsidRDefault="68DA953C" w:rsidP="00042275">
      <w:pPr>
        <w:pStyle w:val="Pasussalistom"/>
        <w:numPr>
          <w:ilvl w:val="0"/>
          <w:numId w:val="6"/>
        </w:numPr>
        <w:rPr>
          <w:rFonts w:ascii="Calibri" w:eastAsia="Calibri" w:hAnsi="Calibri" w:cs="Calibri"/>
          <w:color w:val="000000" w:themeColor="text1"/>
          <w:sz w:val="24"/>
          <w:szCs w:val="24"/>
        </w:rPr>
      </w:pPr>
      <w:r w:rsidRPr="176F6A0C">
        <w:rPr>
          <w:lang w:val="en-US"/>
        </w:rPr>
        <w:t>Ownership / source: who created the asset and where it is stored [link]</w:t>
      </w:r>
    </w:p>
    <w:p w14:paraId="7394F341" w14:textId="732A65C5" w:rsidR="00375603" w:rsidRDefault="68DA953C" w:rsidP="00042275">
      <w:pPr>
        <w:pStyle w:val="Pasussalistom"/>
        <w:numPr>
          <w:ilvl w:val="0"/>
          <w:numId w:val="6"/>
        </w:numPr>
        <w:rPr>
          <w:rFonts w:ascii="Calibri" w:eastAsia="Calibri" w:hAnsi="Calibri" w:cs="Calibri"/>
          <w:color w:val="000000" w:themeColor="text1"/>
          <w:sz w:val="24"/>
          <w:szCs w:val="24"/>
        </w:rPr>
      </w:pPr>
      <w:r w:rsidRPr="176F6A0C">
        <w:rPr>
          <w:lang w:val="en-US"/>
        </w:rPr>
        <w:t>Usage permission: confirmed permission to publish externally (yes/no) + conditions</w:t>
      </w:r>
    </w:p>
    <w:p w14:paraId="69FBF351" w14:textId="19496489" w:rsidR="00375603" w:rsidRDefault="68DA953C" w:rsidP="00042275">
      <w:pPr>
        <w:pStyle w:val="Pasussalistom"/>
        <w:numPr>
          <w:ilvl w:val="0"/>
          <w:numId w:val="6"/>
        </w:numPr>
        <w:rPr>
          <w:rFonts w:ascii="Calibri" w:eastAsia="Calibri" w:hAnsi="Calibri" w:cs="Calibri"/>
          <w:color w:val="000000" w:themeColor="text1"/>
          <w:sz w:val="24"/>
          <w:szCs w:val="24"/>
        </w:rPr>
      </w:pPr>
      <w:r w:rsidRPr="176F6A0C">
        <w:rPr>
          <w:lang w:val="en-US"/>
        </w:rPr>
        <w:t>Credit line: exact credit text to use (person/organisation/license)</w:t>
      </w:r>
    </w:p>
    <w:p w14:paraId="2956B4CC" w14:textId="45975BC2" w:rsidR="00375603" w:rsidRDefault="68DA953C" w:rsidP="00042275">
      <w:pPr>
        <w:pStyle w:val="Pasussalistom"/>
        <w:numPr>
          <w:ilvl w:val="0"/>
          <w:numId w:val="6"/>
        </w:numPr>
        <w:rPr>
          <w:rFonts w:ascii="Calibri" w:eastAsia="Calibri" w:hAnsi="Calibri" w:cs="Calibri"/>
          <w:color w:val="000000" w:themeColor="text1"/>
          <w:sz w:val="24"/>
          <w:szCs w:val="24"/>
        </w:rPr>
      </w:pPr>
      <w:r w:rsidRPr="176F6A0C">
        <w:rPr>
          <w:lang w:val="en-US"/>
        </w:rPr>
        <w:t>People in photos: consent obtained where relevant (yes/no/not applicable)</w:t>
      </w:r>
    </w:p>
    <w:p w14:paraId="4C17B300" w14:textId="42093759" w:rsidR="00375603" w:rsidRDefault="68DA953C" w:rsidP="00042275">
      <w:pPr>
        <w:pStyle w:val="Pasussalistom"/>
        <w:numPr>
          <w:ilvl w:val="0"/>
          <w:numId w:val="6"/>
        </w:numPr>
        <w:rPr>
          <w:rFonts w:ascii="Calibri" w:eastAsia="Calibri" w:hAnsi="Calibri" w:cs="Calibri"/>
          <w:color w:val="000000" w:themeColor="text1"/>
          <w:sz w:val="24"/>
          <w:szCs w:val="24"/>
        </w:rPr>
      </w:pPr>
      <w:r w:rsidRPr="176F6A0C">
        <w:rPr>
          <w:lang w:val="en-US"/>
        </w:rPr>
        <w:t>Sensitive locations/institutions: any restrictions (yes/no; details)</w:t>
      </w:r>
    </w:p>
    <w:p w14:paraId="4BF9B990" w14:textId="393652D1" w:rsidR="00375603" w:rsidRDefault="68DA953C" w:rsidP="00042275">
      <w:pPr>
        <w:pStyle w:val="Pasussalistom"/>
        <w:numPr>
          <w:ilvl w:val="0"/>
          <w:numId w:val="6"/>
        </w:numPr>
        <w:rPr>
          <w:rFonts w:ascii="Calibri" w:eastAsia="Calibri" w:hAnsi="Calibri" w:cs="Calibri"/>
          <w:color w:val="000000" w:themeColor="text1"/>
          <w:sz w:val="24"/>
          <w:szCs w:val="24"/>
        </w:rPr>
      </w:pPr>
      <w:r w:rsidRPr="176F6A0C">
        <w:rPr>
          <w:lang w:val="en-US"/>
        </w:rPr>
        <w:t>File format: original file + web-ready export available (yes/no)</w:t>
      </w:r>
    </w:p>
    <w:p w14:paraId="1CF2A6EE" w14:textId="2BFF7688" w:rsidR="00375603" w:rsidRDefault="68DA953C" w:rsidP="00042275">
      <w:pPr>
        <w:pStyle w:val="Pasussalistom"/>
        <w:numPr>
          <w:ilvl w:val="0"/>
          <w:numId w:val="6"/>
        </w:numPr>
        <w:rPr>
          <w:rFonts w:ascii="Calibri" w:eastAsia="Calibri" w:hAnsi="Calibri" w:cs="Calibri"/>
          <w:color w:val="000000" w:themeColor="text1"/>
          <w:sz w:val="24"/>
          <w:szCs w:val="24"/>
        </w:rPr>
      </w:pPr>
      <w:r w:rsidRPr="176F6A0C">
        <w:rPr>
          <w:lang w:val="en-US"/>
        </w:rPr>
        <w:t>Alt text / caption: 1–2 sentences provided (yes/no)</w:t>
      </w:r>
    </w:p>
    <w:p w14:paraId="4D653104" w14:textId="4D1C1CBD" w:rsidR="00375603" w:rsidRDefault="00375603" w:rsidP="176F6A0C">
      <w:pPr>
        <w:rPr>
          <w:rFonts w:ascii="Calibri" w:eastAsia="Calibri" w:hAnsi="Calibri" w:cs="Calibri"/>
          <w:color w:val="000000" w:themeColor="text1"/>
          <w:sz w:val="24"/>
          <w:szCs w:val="24"/>
        </w:rPr>
      </w:pPr>
    </w:p>
    <w:p w14:paraId="35A34C81" w14:textId="5F785857" w:rsidR="00375603" w:rsidRDefault="00375603" w:rsidP="176F6A0C">
      <w:pPr>
        <w:rPr>
          <w:rFonts w:ascii="Calibri" w:eastAsia="Calibri" w:hAnsi="Calibri" w:cs="Calibri"/>
          <w:color w:val="000000" w:themeColor="text1"/>
          <w:sz w:val="24"/>
          <w:szCs w:val="24"/>
        </w:rPr>
      </w:pPr>
    </w:p>
    <w:p w14:paraId="440DD210" w14:textId="336712B3" w:rsidR="00375603" w:rsidRDefault="00375603" w:rsidP="176F6A0C">
      <w:pPr>
        <w:rPr>
          <w:rFonts w:ascii="Calibri" w:eastAsia="Calibri" w:hAnsi="Calibri" w:cs="Calibri"/>
          <w:color w:val="000000" w:themeColor="text1"/>
          <w:sz w:val="24"/>
          <w:szCs w:val="24"/>
        </w:rPr>
      </w:pPr>
    </w:p>
    <w:p w14:paraId="61C78542" w14:textId="72AAECCB" w:rsidR="00375603" w:rsidRDefault="00375603" w:rsidP="176F6A0C">
      <w:pPr>
        <w:rPr>
          <w:rFonts w:ascii="Calibri" w:eastAsia="Calibri" w:hAnsi="Calibri" w:cs="Calibri"/>
          <w:color w:val="000000" w:themeColor="text1"/>
          <w:sz w:val="24"/>
          <w:szCs w:val="24"/>
        </w:rPr>
      </w:pPr>
    </w:p>
    <w:p w14:paraId="449B8C71" w14:textId="46F720F3" w:rsidR="00375603" w:rsidRDefault="00375603" w:rsidP="176F6A0C">
      <w:pPr>
        <w:rPr>
          <w:rFonts w:ascii="Calibri" w:eastAsia="Calibri" w:hAnsi="Calibri" w:cs="Calibri"/>
          <w:color w:val="000000" w:themeColor="text1"/>
          <w:sz w:val="24"/>
          <w:szCs w:val="24"/>
        </w:rPr>
      </w:pPr>
    </w:p>
    <w:p w14:paraId="49A88B67" w14:textId="364BE182" w:rsidR="00375603" w:rsidRDefault="00375603" w:rsidP="176F6A0C">
      <w:pPr>
        <w:rPr>
          <w:rFonts w:ascii="Calibri" w:eastAsia="Calibri" w:hAnsi="Calibri" w:cs="Calibri"/>
          <w:color w:val="000000" w:themeColor="text1"/>
          <w:sz w:val="24"/>
          <w:szCs w:val="24"/>
        </w:rPr>
      </w:pPr>
    </w:p>
    <w:p w14:paraId="64C33C10" w14:textId="272B5214" w:rsidR="00375603" w:rsidRDefault="00375603" w:rsidP="176F6A0C">
      <w:pPr>
        <w:rPr>
          <w:rFonts w:ascii="Calibri" w:eastAsia="Calibri" w:hAnsi="Calibri" w:cs="Calibri"/>
          <w:color w:val="000000" w:themeColor="text1"/>
          <w:sz w:val="24"/>
          <w:szCs w:val="24"/>
        </w:rPr>
      </w:pPr>
    </w:p>
    <w:p w14:paraId="75CBFEB9" w14:textId="4E04ACE2" w:rsidR="00375603" w:rsidRDefault="00375603" w:rsidP="176F6A0C">
      <w:pPr>
        <w:rPr>
          <w:rFonts w:ascii="Calibri" w:eastAsia="Calibri" w:hAnsi="Calibri" w:cs="Calibri"/>
          <w:color w:val="000000" w:themeColor="text1"/>
          <w:sz w:val="24"/>
          <w:szCs w:val="24"/>
        </w:rPr>
      </w:pPr>
    </w:p>
    <w:p w14:paraId="4E1C4444" w14:textId="73BB2914" w:rsidR="00375603" w:rsidRDefault="00375603" w:rsidP="176F6A0C">
      <w:pPr>
        <w:rPr>
          <w:rFonts w:ascii="Calibri" w:eastAsia="Calibri" w:hAnsi="Calibri" w:cs="Calibri"/>
          <w:color w:val="000000" w:themeColor="text1"/>
          <w:sz w:val="24"/>
          <w:szCs w:val="24"/>
        </w:rPr>
      </w:pPr>
    </w:p>
    <w:p w14:paraId="07AD548B" w14:textId="742E607D" w:rsidR="00375603" w:rsidRDefault="00375603" w:rsidP="176F6A0C">
      <w:pPr>
        <w:rPr>
          <w:rFonts w:ascii="Calibri" w:eastAsia="Calibri" w:hAnsi="Calibri" w:cs="Calibri"/>
          <w:color w:val="000000" w:themeColor="text1"/>
          <w:sz w:val="24"/>
          <w:szCs w:val="24"/>
        </w:rPr>
      </w:pPr>
    </w:p>
    <w:p w14:paraId="3B6EF180" w14:textId="293687AB" w:rsidR="00375603" w:rsidRDefault="00375603" w:rsidP="176F6A0C">
      <w:pPr>
        <w:rPr>
          <w:rFonts w:ascii="Calibri" w:eastAsia="Calibri" w:hAnsi="Calibri" w:cs="Calibri"/>
          <w:color w:val="000000" w:themeColor="text1"/>
          <w:sz w:val="24"/>
          <w:szCs w:val="24"/>
        </w:rPr>
      </w:pPr>
    </w:p>
    <w:p w14:paraId="15EB9D13" w14:textId="077C6943" w:rsidR="00375603" w:rsidRDefault="00375603" w:rsidP="176F6A0C"/>
    <w:p w14:paraId="22C46917" w14:textId="5EAE71E4" w:rsidR="00375603" w:rsidRDefault="00375603" w:rsidP="176F6A0C"/>
    <w:p w14:paraId="7BD797C4" w14:textId="33091DA4" w:rsidR="00375603" w:rsidRDefault="00375603" w:rsidP="176F6A0C"/>
    <w:p w14:paraId="3E95E7DE" w14:textId="00F686F0" w:rsidR="00375603" w:rsidRDefault="00375603" w:rsidP="176F6A0C"/>
    <w:p w14:paraId="7C79CE56" w14:textId="623EE8B1" w:rsidR="00375603" w:rsidRDefault="00375603" w:rsidP="176F6A0C"/>
    <w:p w14:paraId="5E0D3B8D" w14:textId="16E63CFE" w:rsidR="00375603" w:rsidRDefault="00375603" w:rsidP="176F6A0C"/>
    <w:p w14:paraId="71F1C31A" w14:textId="77777777" w:rsidR="00A358A7" w:rsidRDefault="00A358A7" w:rsidP="176F6A0C"/>
    <w:p w14:paraId="63E1D489" w14:textId="77777777" w:rsidR="00A358A7" w:rsidRDefault="00A358A7" w:rsidP="176F6A0C"/>
    <w:p w14:paraId="1583AE5B" w14:textId="24F7F0E7" w:rsidR="00375603" w:rsidRDefault="32A26970" w:rsidP="176F6A0C">
      <w:pPr>
        <w:rPr>
          <w:rFonts w:ascii="Calibri" w:hAnsi="Calibri" w:cs="Calibri"/>
          <w:color w:val="2F5496" w:themeColor="accent1" w:themeShade="BF"/>
          <w:sz w:val="28"/>
          <w:szCs w:val="28"/>
        </w:rPr>
      </w:pPr>
      <w:r w:rsidRPr="176F6A0C">
        <w:rPr>
          <w:rFonts w:ascii="Calibri" w:hAnsi="Calibri" w:cs="Calibri"/>
          <w:color w:val="2F5496" w:themeColor="accent1" w:themeShade="BF"/>
          <w:sz w:val="28"/>
          <w:szCs w:val="28"/>
        </w:rPr>
        <w:lastRenderedPageBreak/>
        <w:t xml:space="preserve">Annex E: </w:t>
      </w:r>
      <w:r w:rsidR="2C876E94" w:rsidRPr="176F6A0C">
        <w:rPr>
          <w:rFonts w:ascii="Calibri" w:hAnsi="Calibri" w:cs="Calibri"/>
          <w:color w:val="2F5496" w:themeColor="accent1" w:themeShade="BF"/>
          <w:sz w:val="28"/>
          <w:szCs w:val="28"/>
        </w:rPr>
        <w:t>Partner dissemination package template</w:t>
      </w:r>
    </w:p>
    <w:p w14:paraId="7D1DF519" w14:textId="32DEDF89" w:rsidR="00375603" w:rsidRDefault="4EB47513" w:rsidP="176F6A0C">
      <w:r w:rsidRPr="176F6A0C">
        <w:rPr>
          <w:rFonts w:ascii="Calibri" w:eastAsia="Calibri" w:hAnsi="Calibri" w:cs="Calibri"/>
        </w:rPr>
        <w:t>This annex defines the purpose and minimum structure of partner dissemination packages used within DIKTAS II. Partner dissemination packages support the consistent amplification of project outputs across national, regional, and international networks while maintaining message coherence, technical accuracy, and alignment with approved communication materials.</w:t>
      </w:r>
    </w:p>
    <w:p w14:paraId="6CC81558" w14:textId="276617E9" w:rsidR="00375603" w:rsidRDefault="4EB47513" w:rsidP="176F6A0C">
      <w:r w:rsidRPr="176F6A0C">
        <w:rPr>
          <w:rFonts w:ascii="Calibri" w:eastAsia="Calibri" w:hAnsi="Calibri" w:cs="Calibri"/>
        </w:rPr>
        <w:t>The dissemination package approach is based on the principle of "create once, reuse many times". Rather than requiring partners to develop new communication materials for each output, approved messages, visuals, and supporting information are packaged in a format that facilitates efficient dissemination through existing communication channels.</w:t>
      </w:r>
    </w:p>
    <w:p w14:paraId="2C144F69" w14:textId="732A4E70" w:rsidR="00375603" w:rsidRDefault="2C876E94" w:rsidP="176F6A0C">
      <w:pPr>
        <w:rPr>
          <w:rFonts w:ascii="Calibri" w:hAnsi="Calibri" w:cs="Calibri"/>
          <w:b/>
          <w:bCs/>
          <w:color w:val="2F5496" w:themeColor="accent1" w:themeShade="BF"/>
          <w:sz w:val="24"/>
          <w:szCs w:val="24"/>
        </w:rPr>
      </w:pPr>
      <w:r w:rsidRPr="176F6A0C">
        <w:rPr>
          <w:rFonts w:ascii="Calibri" w:hAnsi="Calibri" w:cs="Calibri"/>
          <w:b/>
          <w:bCs/>
          <w:color w:val="2F5496" w:themeColor="accent1" w:themeShade="BF"/>
          <w:sz w:val="24"/>
          <w:szCs w:val="24"/>
        </w:rPr>
        <w:t>E.1.</w:t>
      </w:r>
      <w:r w:rsidR="00E509CB">
        <w:tab/>
      </w:r>
      <w:r w:rsidR="6E2C0B53" w:rsidRPr="176F6A0C">
        <w:rPr>
          <w:rFonts w:ascii="Calibri" w:hAnsi="Calibri" w:cs="Calibri"/>
          <w:b/>
          <w:bCs/>
          <w:color w:val="2F5496" w:themeColor="accent1" w:themeShade="BF"/>
          <w:sz w:val="24"/>
          <w:szCs w:val="24"/>
        </w:rPr>
        <w:t>Purpose</w:t>
      </w:r>
    </w:p>
    <w:p w14:paraId="74EE4805" w14:textId="51B7E055" w:rsidR="00375603" w:rsidRDefault="6E2C0B53" w:rsidP="176F6A0C">
      <w:r w:rsidRPr="176F6A0C">
        <w:t>Partner dissemination packages are intended to:</w:t>
      </w:r>
    </w:p>
    <w:p w14:paraId="685F4951" w14:textId="0BA63EE7" w:rsidR="00375603" w:rsidRDefault="6E2C0B53" w:rsidP="00042275">
      <w:pPr>
        <w:pStyle w:val="Pasussalistom"/>
        <w:numPr>
          <w:ilvl w:val="0"/>
          <w:numId w:val="5"/>
        </w:numPr>
        <w:rPr>
          <w:rFonts w:ascii="Calibri" w:eastAsia="Calibri" w:hAnsi="Calibri" w:cs="Calibri"/>
        </w:rPr>
      </w:pPr>
      <w:r w:rsidRPr="176F6A0C">
        <w:t>support consistent communication across countries, institutions, and partners;</w:t>
      </w:r>
    </w:p>
    <w:p w14:paraId="6D76DA09" w14:textId="73C34353" w:rsidR="00375603" w:rsidRDefault="6E2C0B53" w:rsidP="00042275">
      <w:pPr>
        <w:pStyle w:val="Pasussalistom"/>
        <w:numPr>
          <w:ilvl w:val="0"/>
          <w:numId w:val="5"/>
        </w:numPr>
        <w:rPr>
          <w:rFonts w:ascii="Calibri" w:eastAsia="Calibri" w:hAnsi="Calibri" w:cs="Calibri"/>
        </w:rPr>
      </w:pPr>
      <w:r w:rsidRPr="176F6A0C">
        <w:t>facilitate the dissemination of validated project outputs through existing networks and communication channels;</w:t>
      </w:r>
    </w:p>
    <w:p w14:paraId="2F0E9378" w14:textId="34AD9137" w:rsidR="00375603" w:rsidRDefault="6E2C0B53" w:rsidP="00042275">
      <w:pPr>
        <w:pStyle w:val="Pasussalistom"/>
        <w:numPr>
          <w:ilvl w:val="0"/>
          <w:numId w:val="5"/>
        </w:numPr>
        <w:rPr>
          <w:rFonts w:ascii="Calibri" w:eastAsia="Calibri" w:hAnsi="Calibri" w:cs="Calibri"/>
        </w:rPr>
      </w:pPr>
      <w:r w:rsidRPr="176F6A0C">
        <w:t>reduce duplication of effort and unnecessary re-drafting;</w:t>
      </w:r>
    </w:p>
    <w:p w14:paraId="4677CDDB" w14:textId="024319F5" w:rsidR="00375603" w:rsidRDefault="6E2C0B53" w:rsidP="00042275">
      <w:pPr>
        <w:pStyle w:val="Pasussalistom"/>
        <w:numPr>
          <w:ilvl w:val="0"/>
          <w:numId w:val="5"/>
        </w:numPr>
        <w:rPr>
          <w:rFonts w:ascii="Calibri" w:eastAsia="Calibri" w:hAnsi="Calibri" w:cs="Calibri"/>
        </w:rPr>
      </w:pPr>
      <w:r w:rsidRPr="176F6A0C">
        <w:t>minimise message drift across different audiences and dissemination pathways;</w:t>
      </w:r>
    </w:p>
    <w:p w14:paraId="50CED530" w14:textId="419C5F12" w:rsidR="00375603" w:rsidRDefault="6E2C0B53" w:rsidP="00042275">
      <w:pPr>
        <w:pStyle w:val="Pasussalistom"/>
        <w:numPr>
          <w:ilvl w:val="0"/>
          <w:numId w:val="5"/>
        </w:numPr>
        <w:rPr>
          <w:rFonts w:ascii="Calibri" w:eastAsia="Calibri" w:hAnsi="Calibri" w:cs="Calibri"/>
        </w:rPr>
      </w:pPr>
      <w:r w:rsidRPr="176F6A0C">
        <w:t>improve visibility of project activities, outputs, and lessons learned.</w:t>
      </w:r>
    </w:p>
    <w:p w14:paraId="4A260DE9" w14:textId="778014D9" w:rsidR="00375603" w:rsidRDefault="6E2C0B53" w:rsidP="176F6A0C">
      <w:r w:rsidRPr="176F6A0C">
        <w:t>Dissemination packages should be prepared for major communication outputs where wider partner amplification is expected or desirable.</w:t>
      </w:r>
    </w:p>
    <w:p w14:paraId="17FF5599" w14:textId="2D1D1F5E" w:rsidR="00375603" w:rsidRDefault="2C876E94" w:rsidP="176F6A0C">
      <w:pPr>
        <w:rPr>
          <w:rFonts w:ascii="Calibri" w:hAnsi="Calibri" w:cs="Calibri"/>
          <w:b/>
          <w:bCs/>
          <w:color w:val="2F5496" w:themeColor="accent1" w:themeShade="BF"/>
          <w:sz w:val="24"/>
          <w:szCs w:val="24"/>
        </w:rPr>
      </w:pPr>
      <w:r w:rsidRPr="176F6A0C">
        <w:rPr>
          <w:rFonts w:ascii="Calibri" w:hAnsi="Calibri" w:cs="Calibri"/>
          <w:b/>
          <w:bCs/>
          <w:color w:val="2F5496" w:themeColor="accent1" w:themeShade="BF"/>
          <w:sz w:val="24"/>
          <w:szCs w:val="24"/>
        </w:rPr>
        <w:t>E.2.</w:t>
      </w:r>
      <w:r w:rsidR="00E509CB">
        <w:tab/>
      </w:r>
      <w:r w:rsidR="3B1B374B" w:rsidRPr="176F6A0C">
        <w:rPr>
          <w:rFonts w:ascii="Calibri" w:hAnsi="Calibri" w:cs="Calibri"/>
          <w:b/>
          <w:bCs/>
          <w:color w:val="2F5496" w:themeColor="accent1" w:themeShade="BF"/>
          <w:sz w:val="24"/>
          <w:szCs w:val="24"/>
        </w:rPr>
        <w:t>Minimum contents</w:t>
      </w:r>
    </w:p>
    <w:p w14:paraId="70E91BE8" w14:textId="08B662B4" w:rsidR="00375603" w:rsidRDefault="3B1B374B" w:rsidP="176F6A0C">
      <w:r w:rsidRPr="176F6A0C">
        <w:t>The exact format of a dissemination package may vary depending on the communication product and audience. However, packages should normally include:</w:t>
      </w:r>
    </w:p>
    <w:p w14:paraId="66D4AC03" w14:textId="774474BF" w:rsidR="00375603" w:rsidRDefault="3B1B374B" w:rsidP="00042275">
      <w:pPr>
        <w:pStyle w:val="Pasussalistom"/>
        <w:numPr>
          <w:ilvl w:val="0"/>
          <w:numId w:val="4"/>
        </w:numPr>
        <w:rPr>
          <w:rFonts w:ascii="Calibri" w:eastAsia="Calibri" w:hAnsi="Calibri" w:cs="Calibri"/>
        </w:rPr>
      </w:pPr>
      <w:r w:rsidRPr="176F6A0C">
        <w:t>reference information on the communication product or output;</w:t>
      </w:r>
    </w:p>
    <w:p w14:paraId="04B16C3B" w14:textId="319998B0" w:rsidR="00375603" w:rsidRDefault="3B1B374B" w:rsidP="00042275">
      <w:pPr>
        <w:pStyle w:val="Pasussalistom"/>
        <w:numPr>
          <w:ilvl w:val="0"/>
          <w:numId w:val="4"/>
        </w:numPr>
        <w:rPr>
          <w:rFonts w:ascii="Calibri" w:eastAsia="Calibri" w:hAnsi="Calibri" w:cs="Calibri"/>
        </w:rPr>
      </w:pPr>
      <w:r w:rsidRPr="176F6A0C">
        <w:t>approved key messages aligned with the communication strategy;</w:t>
      </w:r>
    </w:p>
    <w:p w14:paraId="4633DCBB" w14:textId="18B1FD1B" w:rsidR="00375603" w:rsidRDefault="3B1B374B" w:rsidP="00042275">
      <w:pPr>
        <w:pStyle w:val="Pasussalistom"/>
        <w:numPr>
          <w:ilvl w:val="0"/>
          <w:numId w:val="4"/>
        </w:numPr>
        <w:rPr>
          <w:rFonts w:ascii="Calibri" w:eastAsia="Calibri" w:hAnsi="Calibri" w:cs="Calibri"/>
        </w:rPr>
      </w:pPr>
      <w:r w:rsidRPr="176F6A0C">
        <w:t>links to the primary communication asset;</w:t>
      </w:r>
    </w:p>
    <w:p w14:paraId="04206CD7" w14:textId="2A7BD17F" w:rsidR="00375603" w:rsidRDefault="3B1B374B" w:rsidP="00042275">
      <w:pPr>
        <w:pStyle w:val="Pasussalistom"/>
        <w:numPr>
          <w:ilvl w:val="0"/>
          <w:numId w:val="4"/>
        </w:numPr>
        <w:rPr>
          <w:rFonts w:ascii="Calibri" w:eastAsia="Calibri" w:hAnsi="Calibri" w:cs="Calibri"/>
        </w:rPr>
      </w:pPr>
      <w:r w:rsidRPr="176F6A0C">
        <w:t>approved visual assets and associated credit information, where available;</w:t>
      </w:r>
    </w:p>
    <w:p w14:paraId="67E2A536" w14:textId="060CA096" w:rsidR="00375603" w:rsidRDefault="3B1B374B" w:rsidP="00042275">
      <w:pPr>
        <w:pStyle w:val="Pasussalistom"/>
        <w:numPr>
          <w:ilvl w:val="0"/>
          <w:numId w:val="4"/>
        </w:numPr>
        <w:rPr>
          <w:rFonts w:ascii="Calibri" w:eastAsia="Calibri" w:hAnsi="Calibri" w:cs="Calibri"/>
        </w:rPr>
      </w:pPr>
      <w:r w:rsidRPr="176F6A0C">
        <w:t>relevant dissemination guidance, including intended audiences and recommended channels;</w:t>
      </w:r>
    </w:p>
    <w:p w14:paraId="1B896458" w14:textId="74A9B6C0" w:rsidR="00375603" w:rsidRDefault="3B1B374B" w:rsidP="00042275">
      <w:pPr>
        <w:pStyle w:val="Pasussalistom"/>
        <w:numPr>
          <w:ilvl w:val="0"/>
          <w:numId w:val="4"/>
        </w:numPr>
        <w:rPr>
          <w:rFonts w:ascii="Calibri" w:eastAsia="Calibri" w:hAnsi="Calibri" w:cs="Calibri"/>
        </w:rPr>
      </w:pPr>
      <w:r w:rsidRPr="176F6A0C">
        <w:t>any publication constraints or timing considerations.</w:t>
      </w:r>
    </w:p>
    <w:p w14:paraId="7C376B93" w14:textId="2EF99C9C" w:rsidR="00375603" w:rsidRDefault="3B1B374B" w:rsidP="176F6A0C">
      <w:r w:rsidRPr="176F6A0C">
        <w:t>Where appropriate, dissemination packages may also include additional supporting materials such as briefing notes, newsletter content, presentation slides, event summaries, or stakeholder-facing communication products.</w:t>
      </w:r>
    </w:p>
    <w:p w14:paraId="586B26C9" w14:textId="05F157A0" w:rsidR="00375603" w:rsidRDefault="2C876E94" w:rsidP="176F6A0C">
      <w:pPr>
        <w:rPr>
          <w:rFonts w:ascii="Calibri" w:hAnsi="Calibri" w:cs="Calibri"/>
          <w:b/>
          <w:bCs/>
          <w:color w:val="2F5496" w:themeColor="accent1" w:themeShade="BF"/>
          <w:sz w:val="24"/>
          <w:szCs w:val="24"/>
        </w:rPr>
      </w:pPr>
      <w:r w:rsidRPr="176F6A0C">
        <w:rPr>
          <w:rFonts w:ascii="Calibri" w:hAnsi="Calibri" w:cs="Calibri"/>
          <w:b/>
          <w:bCs/>
          <w:color w:val="2F5496" w:themeColor="accent1" w:themeShade="BF"/>
          <w:sz w:val="24"/>
          <w:szCs w:val="24"/>
        </w:rPr>
        <w:t>E.3.</w:t>
      </w:r>
      <w:r w:rsidR="00E509CB">
        <w:tab/>
      </w:r>
      <w:r w:rsidR="68889B09" w:rsidRPr="176F6A0C">
        <w:rPr>
          <w:rFonts w:ascii="Calibri" w:hAnsi="Calibri" w:cs="Calibri"/>
          <w:b/>
          <w:bCs/>
          <w:color w:val="2F5496" w:themeColor="accent1" w:themeShade="BF"/>
          <w:sz w:val="24"/>
          <w:szCs w:val="24"/>
        </w:rPr>
        <w:t>Governance and review</w:t>
      </w:r>
    </w:p>
    <w:p w14:paraId="75CF435C" w14:textId="6C0B8200" w:rsidR="00375603" w:rsidRDefault="68889B09" w:rsidP="176F6A0C">
      <w:r w:rsidRPr="176F6A0C">
        <w:t>Dissemination packages should remain aligned with the approved message framework presented in Annex C and follow the review and clearance arrangements described in Section 10.</w:t>
      </w:r>
    </w:p>
    <w:p w14:paraId="1342E6F4" w14:textId="0DEFC63F" w:rsidR="00375603" w:rsidRDefault="68889B09" w:rsidP="176F6A0C">
      <w:r w:rsidRPr="176F6A0C">
        <w:t>Where dissemination packages contain approved communication messages, project branding, official statements, or externally facing communication materials, they should be treated as communication products subject to the relevant review and clearance requirements.</w:t>
      </w:r>
    </w:p>
    <w:p w14:paraId="36A5BB83" w14:textId="77777777" w:rsidR="0053364E" w:rsidRDefault="0053364E" w:rsidP="176F6A0C"/>
    <w:p w14:paraId="65D932B6" w14:textId="562C32B8" w:rsidR="00375603" w:rsidRDefault="2C876E94" w:rsidP="176F6A0C">
      <w:pPr>
        <w:rPr>
          <w:rFonts w:ascii="Calibri" w:hAnsi="Calibri" w:cs="Calibri"/>
          <w:b/>
          <w:bCs/>
          <w:color w:val="2F5496" w:themeColor="accent1" w:themeShade="BF"/>
          <w:sz w:val="24"/>
          <w:szCs w:val="24"/>
        </w:rPr>
      </w:pPr>
      <w:r w:rsidRPr="176F6A0C">
        <w:rPr>
          <w:rFonts w:ascii="Calibri" w:hAnsi="Calibri" w:cs="Calibri"/>
          <w:b/>
          <w:bCs/>
          <w:color w:val="2F5496" w:themeColor="accent1" w:themeShade="BF"/>
          <w:sz w:val="24"/>
          <w:szCs w:val="24"/>
        </w:rPr>
        <w:lastRenderedPageBreak/>
        <w:t>E.4.</w:t>
      </w:r>
      <w:r w:rsidR="00E509CB">
        <w:tab/>
      </w:r>
      <w:r w:rsidR="6B75D83E" w:rsidRPr="176F6A0C">
        <w:rPr>
          <w:rFonts w:ascii="Calibri" w:hAnsi="Calibri" w:cs="Calibri"/>
          <w:b/>
          <w:bCs/>
          <w:color w:val="2F5496" w:themeColor="accent1" w:themeShade="BF"/>
          <w:sz w:val="24"/>
          <w:szCs w:val="24"/>
        </w:rPr>
        <w:t>Dissemination and learning</w:t>
      </w:r>
    </w:p>
    <w:p w14:paraId="2DB50C4B" w14:textId="4F6A167D" w:rsidR="00375603" w:rsidRDefault="6B75D83E" w:rsidP="176F6A0C">
      <w:r w:rsidRPr="176F6A0C">
        <w:t>Partners are encouraged to disseminate approved communication products through channels that are relevant to their mandates, audiences, and communication practices.</w:t>
      </w:r>
    </w:p>
    <w:p w14:paraId="136F5D83" w14:textId="72F3A93D" w:rsidR="00375603" w:rsidRDefault="6B75D83E" w:rsidP="176F6A0C">
      <w:r w:rsidRPr="176F6A0C">
        <w:t>Where feasible, information on dissemination activities, audience reach, engagement, and feedback may be shared with the communication team to support learning, adaptive communication planning, and project reporting.</w:t>
      </w:r>
    </w:p>
    <w:p w14:paraId="15AB97B8" w14:textId="37099259" w:rsidR="00375603" w:rsidRDefault="6B75D83E" w:rsidP="176F6A0C">
      <w:r w:rsidRPr="176F6A0C">
        <w:t>The dissemination package approach is intended to strengthen coordination and communication effectiveness while allowing flexibility in how partners communicate with their respective audiences and stakeholders.</w:t>
      </w:r>
    </w:p>
    <w:p w14:paraId="109F3C27" w14:textId="1F01C035" w:rsidR="00375603" w:rsidRDefault="00375603" w:rsidP="176F6A0C"/>
    <w:p w14:paraId="0B0FEBDD" w14:textId="7A9AAC6B" w:rsidR="00375603" w:rsidRDefault="00375603" w:rsidP="176F6A0C">
      <w:pPr>
        <w:rPr>
          <w:b/>
          <w:bCs/>
        </w:rPr>
      </w:pPr>
    </w:p>
    <w:p w14:paraId="582F8256" w14:textId="12C24283" w:rsidR="00375603" w:rsidRDefault="00375603" w:rsidP="176F6A0C"/>
    <w:p w14:paraId="0738966D" w14:textId="07E937B8" w:rsidR="00375603" w:rsidRDefault="00375603" w:rsidP="176F6A0C"/>
    <w:p w14:paraId="33AB1645" w14:textId="7A7286E8" w:rsidR="00375603" w:rsidRDefault="00375603" w:rsidP="176F6A0C"/>
    <w:p w14:paraId="2448FF55" w14:textId="10B08001" w:rsidR="00375603" w:rsidRDefault="00375603" w:rsidP="176F6A0C"/>
    <w:p w14:paraId="5206BF2D" w14:textId="1C269D6A" w:rsidR="00375603" w:rsidRDefault="00375603" w:rsidP="176F6A0C"/>
    <w:p w14:paraId="724BA285" w14:textId="04FFC962" w:rsidR="00375603" w:rsidRDefault="00375603" w:rsidP="176F6A0C"/>
    <w:p w14:paraId="1C319A28" w14:textId="1F30E211" w:rsidR="00375603" w:rsidRDefault="00375603" w:rsidP="176F6A0C"/>
    <w:p w14:paraId="32EFFFE9" w14:textId="62C35454" w:rsidR="00375603" w:rsidRDefault="00375603" w:rsidP="176F6A0C"/>
    <w:p w14:paraId="37DBF5B2" w14:textId="076016F8" w:rsidR="00375603" w:rsidRDefault="00375603" w:rsidP="176F6A0C"/>
    <w:p w14:paraId="720E1983" w14:textId="4F1E80C2" w:rsidR="00375603" w:rsidRDefault="00375603" w:rsidP="176F6A0C"/>
    <w:p w14:paraId="77BF565E" w14:textId="159B4F6C" w:rsidR="00375603" w:rsidRDefault="00375603" w:rsidP="176F6A0C"/>
    <w:p w14:paraId="4B892583" w14:textId="35E64705" w:rsidR="00375603" w:rsidRDefault="00375603" w:rsidP="176F6A0C"/>
    <w:p w14:paraId="129EA55D" w14:textId="17A3B3B9" w:rsidR="00375603" w:rsidRDefault="00375603" w:rsidP="176F6A0C"/>
    <w:p w14:paraId="2B9F30F0" w14:textId="06E8225C" w:rsidR="00375603" w:rsidRDefault="00375603" w:rsidP="176F6A0C"/>
    <w:p w14:paraId="3F933D0D" w14:textId="23367FDE" w:rsidR="00375603" w:rsidRDefault="00375603" w:rsidP="176F6A0C"/>
    <w:p w14:paraId="30D27584" w14:textId="08BD1AF2" w:rsidR="00375603" w:rsidRDefault="00375603" w:rsidP="176F6A0C"/>
    <w:p w14:paraId="258AEB2F" w14:textId="0C2F5C08" w:rsidR="00375603" w:rsidRDefault="00375603" w:rsidP="176F6A0C"/>
    <w:p w14:paraId="796ADD16" w14:textId="2A0EDFFE" w:rsidR="00375603" w:rsidRDefault="00375603" w:rsidP="176F6A0C"/>
    <w:p w14:paraId="75DB97F1" w14:textId="520EF647" w:rsidR="00375603" w:rsidRDefault="00375603" w:rsidP="176F6A0C"/>
    <w:p w14:paraId="6E5AFD5C" w14:textId="757C2C58" w:rsidR="00375603" w:rsidRDefault="00375603" w:rsidP="176F6A0C"/>
    <w:p w14:paraId="17547982" w14:textId="77777777" w:rsidR="00A358A7" w:rsidRDefault="00A358A7" w:rsidP="176F6A0C"/>
    <w:p w14:paraId="6A34F6A3" w14:textId="4BA78007" w:rsidR="00375603" w:rsidRDefault="6B75D83E" w:rsidP="176F6A0C">
      <w:pPr>
        <w:rPr>
          <w:rFonts w:ascii="Calibri" w:hAnsi="Calibri" w:cs="Calibri"/>
          <w:color w:val="2F5496" w:themeColor="accent1" w:themeShade="BF"/>
          <w:sz w:val="28"/>
          <w:szCs w:val="28"/>
        </w:rPr>
      </w:pPr>
      <w:r w:rsidRPr="176F6A0C">
        <w:rPr>
          <w:rFonts w:ascii="Calibri" w:hAnsi="Calibri" w:cs="Calibri"/>
          <w:color w:val="2F5496" w:themeColor="accent1" w:themeShade="BF"/>
          <w:sz w:val="28"/>
          <w:szCs w:val="28"/>
        </w:rPr>
        <w:lastRenderedPageBreak/>
        <w:t xml:space="preserve">Annex F: </w:t>
      </w:r>
      <w:r w:rsidR="6210EFF5" w:rsidRPr="176F6A0C">
        <w:rPr>
          <w:rFonts w:ascii="Calibri" w:hAnsi="Calibri" w:cs="Calibri"/>
          <w:color w:val="2F5496" w:themeColor="accent1" w:themeShade="BF"/>
          <w:sz w:val="28"/>
          <w:szCs w:val="28"/>
        </w:rPr>
        <w:t>Dissemination considerations by level</w:t>
      </w:r>
    </w:p>
    <w:p w14:paraId="4719802E" w14:textId="782F906F" w:rsidR="00375603" w:rsidRDefault="6210EFF5" w:rsidP="176F6A0C">
      <w:r w:rsidRPr="176F6A0C">
        <w:t>This annex provides supplementary guidance on how communication and dissemination activities may be adapted across regional and national levels while remaining aligned with the overarching DIKTAS II Communication Strategy.</w:t>
      </w:r>
    </w:p>
    <w:p w14:paraId="137AC933" w14:textId="16360C3F" w:rsidR="00375603" w:rsidRDefault="6210EFF5" w:rsidP="176F6A0C">
      <w:r w:rsidRPr="176F6A0C">
        <w:t>The considerations presented below do not replace the strategic framework, governance arrangements, or communication principles described elsewhere in the strategy. Rather, they illustrate how communication approaches may be adapted to different dissemination contexts, institutional environments, and audience needs.</w:t>
      </w:r>
    </w:p>
    <w:p w14:paraId="1A3957D0" w14:textId="5CF267AA" w:rsidR="00375603" w:rsidRDefault="4228B610" w:rsidP="176F6A0C">
      <w:pPr>
        <w:rPr>
          <w:rFonts w:ascii="Calibri" w:hAnsi="Calibri" w:cs="Calibri"/>
          <w:b/>
          <w:bCs/>
          <w:color w:val="2F5496" w:themeColor="accent1" w:themeShade="BF"/>
          <w:sz w:val="24"/>
          <w:szCs w:val="24"/>
        </w:rPr>
      </w:pPr>
      <w:r w:rsidRPr="176F6A0C">
        <w:rPr>
          <w:rFonts w:ascii="Calibri" w:hAnsi="Calibri" w:cs="Calibri"/>
          <w:b/>
          <w:bCs/>
          <w:color w:val="2F5496" w:themeColor="accent1" w:themeShade="BF"/>
          <w:sz w:val="24"/>
          <w:szCs w:val="24"/>
        </w:rPr>
        <w:t>F.1.</w:t>
      </w:r>
      <w:r w:rsidR="00E509CB">
        <w:tab/>
      </w:r>
      <w:r w:rsidR="47D3FB90" w:rsidRPr="176F6A0C">
        <w:rPr>
          <w:rFonts w:ascii="Calibri" w:hAnsi="Calibri" w:cs="Calibri"/>
          <w:b/>
          <w:bCs/>
          <w:color w:val="2F5496" w:themeColor="accent1" w:themeShade="BF"/>
          <w:sz w:val="24"/>
          <w:szCs w:val="24"/>
        </w:rPr>
        <w:t>Internat</w:t>
      </w:r>
      <w:r w:rsidRPr="176F6A0C">
        <w:rPr>
          <w:rFonts w:ascii="Calibri" w:hAnsi="Calibri" w:cs="Calibri"/>
          <w:b/>
          <w:bCs/>
          <w:color w:val="2F5496" w:themeColor="accent1" w:themeShade="BF"/>
          <w:sz w:val="24"/>
          <w:szCs w:val="24"/>
        </w:rPr>
        <w:t>ional dissemination considerations</w:t>
      </w:r>
    </w:p>
    <w:p w14:paraId="6F3B835C" w14:textId="5EA60D9E" w:rsidR="00375603" w:rsidRDefault="37296F4D" w:rsidP="176F6A0C">
      <w:r w:rsidRPr="176F6A0C">
        <w:t>At the international level, communication activities contribute to knowledge sharing, visibility, and learning beyond the immediate project region. International dissemination supports the positioning of DIKTAS II within broader discussions on transboundary groundwater governance, international waters cooperation, climate resilience, and sustainable management of shared aquifer systems.</w:t>
      </w:r>
    </w:p>
    <w:p w14:paraId="4A8DBCF8" w14:textId="41D1BFBE" w:rsidR="00375603" w:rsidRDefault="37296F4D" w:rsidP="176F6A0C">
      <w:r w:rsidRPr="176F6A0C">
        <w:t>International communication activities should focus on:</w:t>
      </w:r>
    </w:p>
    <w:p w14:paraId="47F9A356" w14:textId="70ED0000" w:rsidR="00375603" w:rsidRDefault="37296F4D" w:rsidP="176F6A0C">
      <w:pPr>
        <w:pStyle w:val="Pasussalistom"/>
        <w:numPr>
          <w:ilvl w:val="0"/>
          <w:numId w:val="1"/>
        </w:numPr>
        <w:rPr>
          <w:rFonts w:ascii="Calibri" w:eastAsia="Calibri" w:hAnsi="Calibri" w:cs="Calibri"/>
        </w:rPr>
      </w:pPr>
      <w:r w:rsidRPr="176F6A0C">
        <w:t>dissemination of validated project outputs, lessons learned, and implementation experience;</w:t>
      </w:r>
    </w:p>
    <w:p w14:paraId="4729E4D8" w14:textId="6368CEB0" w:rsidR="00375603" w:rsidRDefault="37296F4D" w:rsidP="176F6A0C">
      <w:pPr>
        <w:pStyle w:val="Pasussalistom"/>
        <w:numPr>
          <w:ilvl w:val="0"/>
          <w:numId w:val="1"/>
        </w:numPr>
        <w:rPr>
          <w:rFonts w:ascii="Calibri" w:eastAsia="Calibri" w:hAnsi="Calibri" w:cs="Calibri"/>
        </w:rPr>
      </w:pPr>
      <w:r w:rsidRPr="176F6A0C">
        <w:t>contribution to international knowledge-sharing and peer-learning platforms;</w:t>
      </w:r>
    </w:p>
    <w:p w14:paraId="6F91480B" w14:textId="13076B11" w:rsidR="00375603" w:rsidRDefault="37296F4D" w:rsidP="176F6A0C">
      <w:pPr>
        <w:pStyle w:val="Pasussalistom"/>
        <w:numPr>
          <w:ilvl w:val="0"/>
          <w:numId w:val="1"/>
        </w:numPr>
        <w:rPr>
          <w:rFonts w:ascii="Calibri" w:eastAsia="Calibri" w:hAnsi="Calibri" w:cs="Calibri"/>
        </w:rPr>
      </w:pPr>
      <w:r w:rsidRPr="176F6A0C">
        <w:t>support for donor and partner visibility requirements;</w:t>
      </w:r>
    </w:p>
    <w:p w14:paraId="416A1AEF" w14:textId="36CABC07" w:rsidR="00375603" w:rsidRDefault="37296F4D" w:rsidP="176F6A0C">
      <w:pPr>
        <w:pStyle w:val="Pasussalistom"/>
        <w:numPr>
          <w:ilvl w:val="0"/>
          <w:numId w:val="1"/>
        </w:numPr>
        <w:rPr>
          <w:rFonts w:ascii="Calibri" w:eastAsia="Calibri" w:hAnsi="Calibri" w:cs="Calibri"/>
        </w:rPr>
      </w:pPr>
      <w:r w:rsidRPr="176F6A0C">
        <w:t>promotion of replicable approaches, methodologies, and governance practices;</w:t>
      </w:r>
    </w:p>
    <w:p w14:paraId="45B5A7D5" w14:textId="2A3CB277" w:rsidR="00375603" w:rsidRDefault="37296F4D" w:rsidP="176F6A0C">
      <w:pPr>
        <w:pStyle w:val="Pasussalistom"/>
        <w:numPr>
          <w:ilvl w:val="0"/>
          <w:numId w:val="1"/>
        </w:numPr>
        <w:rPr>
          <w:rFonts w:ascii="Calibri" w:eastAsia="Calibri" w:hAnsi="Calibri" w:cs="Calibri"/>
        </w:rPr>
      </w:pPr>
      <w:r w:rsidRPr="176F6A0C">
        <w:t>engagement with relevant international professional, scientific, and policy communities.</w:t>
      </w:r>
    </w:p>
    <w:p w14:paraId="293C85D9" w14:textId="4515D1D3" w:rsidR="00375603" w:rsidRDefault="37296F4D" w:rsidP="176F6A0C">
      <w:r w:rsidRPr="176F6A0C">
        <w:t>Potential dissemination pathways include UNESCO IHP networks, GEF International Waters and IW mechanisms, UNDP communication channels, international conferences, professional communities of practice, and thematic knowledge-sharing initiatives.</w:t>
      </w:r>
    </w:p>
    <w:p w14:paraId="3BA44AD1" w14:textId="6F5F85D9" w:rsidR="00375603" w:rsidRDefault="37296F4D" w:rsidP="176F6A0C">
      <w:r w:rsidRPr="176F6A0C">
        <w:t>Priority should be given to communication products that demonstrate implementation progress, practical lessons, cooperation outcomes, and transferable knowledge that may be relevant beyond the Dinaric Karst region.</w:t>
      </w:r>
    </w:p>
    <w:p w14:paraId="4EE5F195" w14:textId="0E5DCC37" w:rsidR="00375603" w:rsidRDefault="6210EFF5" w:rsidP="176F6A0C">
      <w:pPr>
        <w:rPr>
          <w:rFonts w:ascii="Calibri" w:hAnsi="Calibri" w:cs="Calibri"/>
          <w:b/>
          <w:bCs/>
          <w:color w:val="2F5496" w:themeColor="accent1" w:themeShade="BF"/>
          <w:sz w:val="24"/>
          <w:szCs w:val="24"/>
        </w:rPr>
      </w:pPr>
      <w:r w:rsidRPr="176F6A0C">
        <w:rPr>
          <w:rFonts w:ascii="Calibri" w:hAnsi="Calibri" w:cs="Calibri"/>
          <w:b/>
          <w:bCs/>
          <w:color w:val="2F5496" w:themeColor="accent1" w:themeShade="BF"/>
          <w:sz w:val="24"/>
          <w:szCs w:val="24"/>
        </w:rPr>
        <w:t>F.</w:t>
      </w:r>
      <w:r w:rsidR="6451ED70" w:rsidRPr="176F6A0C">
        <w:rPr>
          <w:rFonts w:ascii="Calibri" w:hAnsi="Calibri" w:cs="Calibri"/>
          <w:b/>
          <w:bCs/>
          <w:color w:val="2F5496" w:themeColor="accent1" w:themeShade="BF"/>
          <w:sz w:val="24"/>
          <w:szCs w:val="24"/>
        </w:rPr>
        <w:t>2</w:t>
      </w:r>
      <w:r w:rsidRPr="176F6A0C">
        <w:rPr>
          <w:rFonts w:ascii="Calibri" w:hAnsi="Calibri" w:cs="Calibri"/>
          <w:b/>
          <w:bCs/>
          <w:color w:val="2F5496" w:themeColor="accent1" w:themeShade="BF"/>
          <w:sz w:val="24"/>
          <w:szCs w:val="24"/>
        </w:rPr>
        <w:t>.</w:t>
      </w:r>
      <w:r w:rsidR="00E509CB">
        <w:tab/>
      </w:r>
      <w:r w:rsidRPr="176F6A0C">
        <w:rPr>
          <w:rFonts w:ascii="Calibri" w:hAnsi="Calibri" w:cs="Calibri"/>
          <w:b/>
          <w:bCs/>
          <w:color w:val="2F5496" w:themeColor="accent1" w:themeShade="BF"/>
          <w:sz w:val="24"/>
          <w:szCs w:val="24"/>
        </w:rPr>
        <w:t>Regional dissemination considerations</w:t>
      </w:r>
    </w:p>
    <w:p w14:paraId="55C4A0F9" w14:textId="55E36B4F" w:rsidR="00375603" w:rsidRDefault="6210EFF5" w:rsidP="176F6A0C">
      <w:r w:rsidRPr="176F6A0C">
        <w:t>At regional level, communication activities primarily serve a multiplier function by increasing the visibility of validated project outputs and facilitating dissemination through UNESCO, IW, regional networks, and partner institutions.</w:t>
      </w:r>
    </w:p>
    <w:p w14:paraId="24E2C3AB" w14:textId="2EFEAE93" w:rsidR="00375603" w:rsidRDefault="6210EFF5" w:rsidP="176F6A0C">
      <w:r w:rsidRPr="176F6A0C">
        <w:t>Regional communication efforts should focus on:</w:t>
      </w:r>
    </w:p>
    <w:p w14:paraId="0596F16A" w14:textId="547844C2" w:rsidR="00375603" w:rsidRDefault="6210EFF5" w:rsidP="00042275">
      <w:pPr>
        <w:pStyle w:val="Pasussalistom"/>
        <w:numPr>
          <w:ilvl w:val="0"/>
          <w:numId w:val="3"/>
        </w:numPr>
        <w:rPr>
          <w:rFonts w:ascii="Calibri" w:eastAsia="Calibri" w:hAnsi="Calibri" w:cs="Calibri"/>
          <w:sz w:val="24"/>
          <w:szCs w:val="24"/>
        </w:rPr>
      </w:pPr>
      <w:r w:rsidRPr="176F6A0C">
        <w:t>promoting major project milestones and validated outputs;</w:t>
      </w:r>
    </w:p>
    <w:p w14:paraId="1AD8B7B3" w14:textId="13F0CBF1" w:rsidR="00375603" w:rsidRDefault="6210EFF5" w:rsidP="00042275">
      <w:pPr>
        <w:pStyle w:val="Pasussalistom"/>
        <w:numPr>
          <w:ilvl w:val="0"/>
          <w:numId w:val="3"/>
        </w:numPr>
        <w:rPr>
          <w:rFonts w:ascii="Calibri" w:eastAsia="Calibri" w:hAnsi="Calibri" w:cs="Calibri"/>
          <w:sz w:val="24"/>
          <w:szCs w:val="24"/>
        </w:rPr>
      </w:pPr>
      <w:r w:rsidRPr="176F6A0C">
        <w:t>reinforcing the shared narrative of transboundary cooperation and groundwater governance;</w:t>
      </w:r>
    </w:p>
    <w:p w14:paraId="44AE3412" w14:textId="693CCCE0" w:rsidR="00375603" w:rsidRDefault="6210EFF5" w:rsidP="00042275">
      <w:pPr>
        <w:pStyle w:val="Pasussalistom"/>
        <w:numPr>
          <w:ilvl w:val="0"/>
          <w:numId w:val="3"/>
        </w:numPr>
        <w:rPr>
          <w:rFonts w:ascii="Calibri" w:eastAsia="Calibri" w:hAnsi="Calibri" w:cs="Calibri"/>
          <w:sz w:val="24"/>
          <w:szCs w:val="24"/>
        </w:rPr>
      </w:pPr>
      <w:r w:rsidRPr="176F6A0C">
        <w:t>supporting knowledge exchange and cross-project learning;</w:t>
      </w:r>
    </w:p>
    <w:p w14:paraId="66358467" w14:textId="383210D2" w:rsidR="00375603" w:rsidRDefault="6210EFF5" w:rsidP="00042275">
      <w:pPr>
        <w:pStyle w:val="Pasussalistom"/>
        <w:numPr>
          <w:ilvl w:val="0"/>
          <w:numId w:val="3"/>
        </w:numPr>
        <w:rPr>
          <w:rFonts w:ascii="Calibri" w:eastAsia="Calibri" w:hAnsi="Calibri" w:cs="Calibri"/>
          <w:sz w:val="24"/>
          <w:szCs w:val="24"/>
        </w:rPr>
      </w:pPr>
      <w:r w:rsidRPr="176F6A0C">
        <w:t>facilitating dissemination through regional and international communication channels where appropriate.</w:t>
      </w:r>
    </w:p>
    <w:p w14:paraId="3FFFA40C" w14:textId="3C9BE4E8" w:rsidR="00375603" w:rsidRDefault="6210EFF5" w:rsidP="176F6A0C">
      <w:r w:rsidRPr="176F6A0C">
        <w:lastRenderedPageBreak/>
        <w:t>Priority should be given to a limited number of high-quality communication packages that can be adapted and reused across multiple dissemination pathways. Regional communication activities should complement, rather than duplicate, national dissemination efforts.</w:t>
      </w:r>
    </w:p>
    <w:p w14:paraId="6ECBD13B" w14:textId="1862510A" w:rsidR="00375603" w:rsidRDefault="6210EFF5" w:rsidP="176F6A0C">
      <w:pPr>
        <w:rPr>
          <w:rFonts w:ascii="Calibri" w:hAnsi="Calibri" w:cs="Calibri"/>
          <w:b/>
          <w:bCs/>
          <w:color w:val="2F5496" w:themeColor="accent1" w:themeShade="BF"/>
          <w:sz w:val="24"/>
          <w:szCs w:val="24"/>
        </w:rPr>
      </w:pPr>
      <w:r w:rsidRPr="176F6A0C">
        <w:rPr>
          <w:rFonts w:ascii="Calibri" w:hAnsi="Calibri" w:cs="Calibri"/>
          <w:b/>
          <w:bCs/>
          <w:color w:val="2F5496" w:themeColor="accent1" w:themeShade="BF"/>
          <w:sz w:val="24"/>
          <w:szCs w:val="24"/>
        </w:rPr>
        <w:t>F.</w:t>
      </w:r>
      <w:r w:rsidR="77F60E8B" w:rsidRPr="176F6A0C">
        <w:rPr>
          <w:rFonts w:ascii="Calibri" w:hAnsi="Calibri" w:cs="Calibri"/>
          <w:b/>
          <w:bCs/>
          <w:color w:val="2F5496" w:themeColor="accent1" w:themeShade="BF"/>
          <w:sz w:val="24"/>
          <w:szCs w:val="24"/>
        </w:rPr>
        <w:t>3</w:t>
      </w:r>
      <w:r w:rsidRPr="176F6A0C">
        <w:rPr>
          <w:rFonts w:ascii="Calibri" w:hAnsi="Calibri" w:cs="Calibri"/>
          <w:b/>
          <w:bCs/>
          <w:color w:val="2F5496" w:themeColor="accent1" w:themeShade="BF"/>
          <w:sz w:val="24"/>
          <w:szCs w:val="24"/>
        </w:rPr>
        <w:t>.</w:t>
      </w:r>
      <w:r w:rsidR="00E509CB">
        <w:tab/>
      </w:r>
      <w:r w:rsidRPr="176F6A0C">
        <w:rPr>
          <w:rFonts w:ascii="Calibri" w:hAnsi="Calibri" w:cs="Calibri"/>
          <w:b/>
          <w:bCs/>
          <w:color w:val="2F5496" w:themeColor="accent1" w:themeShade="BF"/>
          <w:sz w:val="24"/>
          <w:szCs w:val="24"/>
        </w:rPr>
        <w:t>National dissemination considerations</w:t>
      </w:r>
    </w:p>
    <w:p w14:paraId="1BA4830F" w14:textId="52486900" w:rsidR="00375603" w:rsidRDefault="6210EFF5" w:rsidP="176F6A0C">
      <w:r w:rsidRPr="176F6A0C">
        <w:t>National communication activities should support the uptake of project outputs within relevant institutional, technical, and stakeholder communities.</w:t>
      </w:r>
    </w:p>
    <w:p w14:paraId="069EBA91" w14:textId="65969E04" w:rsidR="00375603" w:rsidRDefault="6210EFF5" w:rsidP="176F6A0C">
      <w:r w:rsidRPr="176F6A0C">
        <w:t>While communication approaches may vary according to national circumstances, several common principles apply across participating countries:</w:t>
      </w:r>
    </w:p>
    <w:p w14:paraId="0EFDB028" w14:textId="76316237" w:rsidR="00375603" w:rsidRDefault="6210EFF5" w:rsidP="00042275">
      <w:pPr>
        <w:pStyle w:val="Pasussalistom"/>
        <w:numPr>
          <w:ilvl w:val="0"/>
          <w:numId w:val="2"/>
        </w:numPr>
        <w:rPr>
          <w:rFonts w:ascii="Calibri" w:eastAsia="Calibri" w:hAnsi="Calibri" w:cs="Calibri"/>
          <w:sz w:val="24"/>
          <w:szCs w:val="24"/>
        </w:rPr>
      </w:pPr>
      <w:r w:rsidRPr="176F6A0C">
        <w:t>prioritisation of institutional and stakeholder audiences directly involved in groundwater governance and implementation;</w:t>
      </w:r>
    </w:p>
    <w:p w14:paraId="51BE5223" w14:textId="33331590" w:rsidR="00375603" w:rsidRDefault="6210EFF5" w:rsidP="00042275">
      <w:pPr>
        <w:pStyle w:val="Pasussalistom"/>
        <w:numPr>
          <w:ilvl w:val="0"/>
          <w:numId w:val="2"/>
        </w:numPr>
        <w:rPr>
          <w:rFonts w:ascii="Calibri" w:eastAsia="Calibri" w:hAnsi="Calibri" w:cs="Calibri"/>
          <w:sz w:val="24"/>
          <w:szCs w:val="24"/>
        </w:rPr>
      </w:pPr>
      <w:r w:rsidRPr="176F6A0C">
        <w:t>use of communication formats that support practical understanding and decision-making;</w:t>
      </w:r>
    </w:p>
    <w:p w14:paraId="34A66BE1" w14:textId="67FEBC29" w:rsidR="00375603" w:rsidRDefault="6210EFF5" w:rsidP="00042275">
      <w:pPr>
        <w:pStyle w:val="Pasussalistom"/>
        <w:numPr>
          <w:ilvl w:val="0"/>
          <w:numId w:val="2"/>
        </w:numPr>
        <w:rPr>
          <w:rFonts w:ascii="Calibri" w:eastAsia="Calibri" w:hAnsi="Calibri" w:cs="Calibri"/>
          <w:sz w:val="24"/>
          <w:szCs w:val="24"/>
        </w:rPr>
      </w:pPr>
      <w:r w:rsidRPr="176F6A0C">
        <w:t>adaptation of communication materials to national contexts, languages, and institutional requirements where appropriate;</w:t>
      </w:r>
    </w:p>
    <w:p w14:paraId="4072894F" w14:textId="50FB9428" w:rsidR="00375603" w:rsidRDefault="6210EFF5" w:rsidP="00042275">
      <w:pPr>
        <w:pStyle w:val="Pasussalistom"/>
        <w:numPr>
          <w:ilvl w:val="0"/>
          <w:numId w:val="2"/>
        </w:numPr>
        <w:rPr>
          <w:rFonts w:ascii="Calibri" w:eastAsia="Calibri" w:hAnsi="Calibri" w:cs="Calibri"/>
          <w:sz w:val="24"/>
          <w:szCs w:val="24"/>
        </w:rPr>
      </w:pPr>
      <w:r w:rsidRPr="176F6A0C">
        <w:t>coordination with stakeholder engagement activities implemented through the Stakeholder Involvement Plan;</w:t>
      </w:r>
    </w:p>
    <w:p w14:paraId="3C9F7605" w14:textId="187EABF0" w:rsidR="00375603" w:rsidRDefault="6210EFF5" w:rsidP="00042275">
      <w:pPr>
        <w:pStyle w:val="Pasussalistom"/>
        <w:numPr>
          <w:ilvl w:val="0"/>
          <w:numId w:val="2"/>
        </w:numPr>
        <w:rPr>
          <w:rFonts w:ascii="Calibri" w:eastAsia="Calibri" w:hAnsi="Calibri" w:cs="Calibri"/>
          <w:sz w:val="24"/>
          <w:szCs w:val="24"/>
        </w:rPr>
      </w:pPr>
      <w:r w:rsidRPr="176F6A0C">
        <w:t>reliance on validated information and approved communication materials.</w:t>
      </w:r>
    </w:p>
    <w:p w14:paraId="6245956E" w14:textId="00B819FB" w:rsidR="00375603" w:rsidRDefault="6210EFF5" w:rsidP="176F6A0C">
      <w:r w:rsidRPr="176F6A0C">
        <w:t>National dissemination may include direct outreach, institutional communication channels, stakeholder briefings, partner networks, website resources, and other mechanisms suited to local communication environments.</w:t>
      </w:r>
    </w:p>
    <w:p w14:paraId="53AF6613" w14:textId="7BCEB193" w:rsidR="00375603" w:rsidRDefault="6210EFF5" w:rsidP="176F6A0C">
      <w:pPr>
        <w:rPr>
          <w:rFonts w:ascii="Calibri" w:hAnsi="Calibri" w:cs="Calibri"/>
          <w:b/>
          <w:bCs/>
          <w:color w:val="2F5496" w:themeColor="accent1" w:themeShade="BF"/>
          <w:sz w:val="24"/>
          <w:szCs w:val="24"/>
        </w:rPr>
      </w:pPr>
      <w:r w:rsidRPr="176F6A0C">
        <w:rPr>
          <w:rFonts w:ascii="Calibri" w:hAnsi="Calibri" w:cs="Calibri"/>
          <w:b/>
          <w:bCs/>
          <w:color w:val="2F5496" w:themeColor="accent1" w:themeShade="BF"/>
          <w:sz w:val="24"/>
          <w:szCs w:val="24"/>
        </w:rPr>
        <w:t>F.</w:t>
      </w:r>
      <w:r w:rsidR="754E5EA8" w:rsidRPr="176F6A0C">
        <w:rPr>
          <w:rFonts w:ascii="Calibri" w:hAnsi="Calibri" w:cs="Calibri"/>
          <w:b/>
          <w:bCs/>
          <w:color w:val="2F5496" w:themeColor="accent1" w:themeShade="BF"/>
          <w:sz w:val="24"/>
          <w:szCs w:val="24"/>
        </w:rPr>
        <w:t>4</w:t>
      </w:r>
      <w:r w:rsidRPr="176F6A0C">
        <w:rPr>
          <w:rFonts w:ascii="Calibri" w:hAnsi="Calibri" w:cs="Calibri"/>
          <w:b/>
          <w:bCs/>
          <w:color w:val="2F5496" w:themeColor="accent1" w:themeShade="BF"/>
          <w:sz w:val="24"/>
          <w:szCs w:val="24"/>
        </w:rPr>
        <w:t>.</w:t>
      </w:r>
      <w:r w:rsidR="00E509CB">
        <w:tab/>
      </w:r>
      <w:r w:rsidRPr="176F6A0C">
        <w:rPr>
          <w:rFonts w:ascii="Calibri" w:hAnsi="Calibri" w:cs="Calibri"/>
          <w:b/>
          <w:bCs/>
          <w:color w:val="2F5496" w:themeColor="accent1" w:themeShade="BF"/>
          <w:sz w:val="24"/>
          <w:szCs w:val="24"/>
        </w:rPr>
        <w:t>Country-specific adaptations</w:t>
      </w:r>
    </w:p>
    <w:p w14:paraId="5AE5AE5E" w14:textId="63AB9CA9" w:rsidR="00375603" w:rsidRDefault="4B36B3E7" w:rsidP="176F6A0C">
      <w:r w:rsidRPr="176F6A0C">
        <w:t>Country-specific dissemination approaches may be developed where additional national communication inputs, dissemination arrangements, or communication capacities have been established.</w:t>
      </w:r>
    </w:p>
    <w:p w14:paraId="0F92808F" w14:textId="34181E49" w:rsidR="00E509CB" w:rsidRPr="00E509CB" w:rsidRDefault="4B36B3E7" w:rsidP="176F6A0C">
      <w:r w:rsidRPr="176F6A0C">
        <w:t>Such adaptations should remain consistent with the principles, governance arrangements, and communication objectives set out in the DIKTAS II Communication Strategy.</w:t>
      </w:r>
    </w:p>
    <w:sectPr w:rsidR="00E509CB" w:rsidRPr="00E509CB" w:rsidSect="001D2F82">
      <w:headerReference w:type="default" r:id="rId28"/>
      <w:footerReference w:type="default" r:id="rId29"/>
      <w:headerReference w:type="first" r:id="rId30"/>
      <w:footerReference w:type="first" r:id="rId31"/>
      <w:pgSz w:w="11906" w:h="16838"/>
      <w:pgMar w:top="1701" w:right="1440" w:bottom="1440" w:left="1440" w:header="851"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882991" w14:textId="77777777" w:rsidR="00042275" w:rsidRDefault="00042275" w:rsidP="005833C2">
      <w:pPr>
        <w:spacing w:after="0" w:line="240" w:lineRule="auto"/>
      </w:pPr>
      <w:r>
        <w:separator/>
      </w:r>
    </w:p>
  </w:endnote>
  <w:endnote w:type="continuationSeparator" w:id="0">
    <w:p w14:paraId="645FDF6F" w14:textId="77777777" w:rsidR="00042275" w:rsidRDefault="00042275" w:rsidP="005833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33BCA0" w14:textId="559EDB2A" w:rsidR="176F6A0C" w:rsidRDefault="176F6A0C" w:rsidP="176F6A0C">
    <w:pPr>
      <w:pStyle w:val="Podnojestranice"/>
      <w:jc w:val="right"/>
    </w:pPr>
    <w:r>
      <w:fldChar w:fldCharType="begin"/>
    </w:r>
    <w:r>
      <w:instrText>PAGE</w:instrText>
    </w:r>
    <w:r>
      <w:fldChar w:fldCharType="separate"/>
    </w:r>
    <w:r w:rsidR="00A358A7">
      <w:rPr>
        <w:noProof/>
      </w:rPr>
      <w:t>2</w:t>
    </w:r>
    <w:r>
      <w:fldChar w:fldCharType="end"/>
    </w:r>
  </w:p>
  <w:p w14:paraId="05918D05" w14:textId="77777777" w:rsidR="00337AAF" w:rsidRPr="00337AAF" w:rsidRDefault="00337AAF" w:rsidP="176F6A0C">
    <w:pPr>
      <w:pStyle w:val="Podnojestranice"/>
      <w:jc w:val="right"/>
      <w:rPr>
        <w:rFonts w:asciiTheme="majorHAnsi" w:eastAsiaTheme="majorEastAsia" w:hAnsiTheme="majorHAnsi" w:cstheme="majorBidi"/>
        <w:color w:val="4472C4" w:themeColor="accent1"/>
      </w:rPr>
    </w:pPr>
  </w:p>
  <w:p w14:paraId="3BDB9B22" w14:textId="77777777" w:rsidR="00AB60DA" w:rsidRDefault="00AB60DA">
    <w:pPr>
      <w:pStyle w:val="Podnojestranic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D7D6E" w14:textId="77777777" w:rsidR="001D2F82" w:rsidRDefault="001D2F82">
    <w:pPr>
      <w:pStyle w:val="Podnojestranice"/>
      <w:jc w:val="right"/>
    </w:pPr>
  </w:p>
  <w:p w14:paraId="7CC1B0DC" w14:textId="77777777" w:rsidR="001D2F82" w:rsidRDefault="001D2F82">
    <w:pPr>
      <w:pStyle w:val="Podnojestranic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62FDB7" w14:textId="77777777" w:rsidR="00042275" w:rsidRDefault="00042275" w:rsidP="005833C2">
      <w:pPr>
        <w:spacing w:after="0" w:line="240" w:lineRule="auto"/>
      </w:pPr>
      <w:r>
        <w:separator/>
      </w:r>
    </w:p>
  </w:footnote>
  <w:footnote w:type="continuationSeparator" w:id="0">
    <w:p w14:paraId="5B0B0C34" w14:textId="77777777" w:rsidR="00042275" w:rsidRDefault="00042275" w:rsidP="005833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037AF8" w14:textId="77777777" w:rsidR="00AB60DA" w:rsidRDefault="00AB60DA">
    <w:pPr>
      <w:pStyle w:val="Zaglavljestranice"/>
    </w:pPr>
    <w:r>
      <w:rPr>
        <w:noProof/>
        <w:lang w:val="en-US"/>
      </w:rPr>
      <mc:AlternateContent>
        <mc:Choice Requires="wps">
          <w:drawing>
            <wp:anchor distT="0" distB="0" distL="114300" distR="114300" simplePos="0" relativeHeight="251659264" behindDoc="0" locked="0" layoutInCell="1" allowOverlap="1" wp14:anchorId="1C8AD7E4" wp14:editId="1589146E">
              <wp:simplePos x="0" y="0"/>
              <wp:positionH relativeFrom="column">
                <wp:posOffset>1076325</wp:posOffset>
              </wp:positionH>
              <wp:positionV relativeFrom="paragraph">
                <wp:posOffset>345440</wp:posOffset>
              </wp:positionV>
              <wp:extent cx="5257800" cy="9525"/>
              <wp:effectExtent l="0" t="0" r="19050" b="28575"/>
              <wp:wrapNone/>
              <wp:docPr id="3" name="Straight Connector 3"/>
              <wp:cNvGraphicFramePr/>
              <a:graphic xmlns:a="http://schemas.openxmlformats.org/drawingml/2006/main">
                <a:graphicData uri="http://schemas.microsoft.com/office/word/2010/wordprocessingShape">
                  <wps:wsp>
                    <wps:cNvCnPr/>
                    <wps:spPr>
                      <a:xfrm>
                        <a:off x="0" y="0"/>
                        <a:ext cx="525780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14="http://schemas.microsoft.com/office/drawing/2010/main" xmlns:pic="http://schemas.openxmlformats.org/drawingml/2006/picture" xmlns:a="http://schemas.openxmlformats.org/drawingml/2006/main">
          <w:pict>
            <v:line id="Straight Connector 3" style="position:absolute;z-index:251659264;visibility:visible;mso-wrap-style:square;mso-wrap-distance-left:9pt;mso-wrap-distance-top:0;mso-wrap-distance-right:9pt;mso-wrap-distance-bottom:0;mso-position-horizontal:absolute;mso-position-horizontal-relative:text;mso-position-vertical:absolute;mso-position-vertical-relative:text" o:spid="_x0000_s1026" strokecolor="#4472c4 [3204]" strokeweight=".5pt" from="84.75pt,27.2pt" to="498.75pt,27.95pt" w14:anchorId="43905AA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">
              <v:stroke joinstyle="miter"/>
            </v:line>
          </w:pict>
        </mc:Fallback>
      </mc:AlternateContent>
    </w:r>
    <w:r w:rsidRPr="00E36ECF">
      <w:rPr>
        <w:noProof/>
        <w:lang w:val="en-US"/>
      </w:rPr>
      <w:drawing>
        <wp:anchor distT="0" distB="0" distL="114300" distR="114300" simplePos="0" relativeHeight="251658240" behindDoc="0" locked="0" layoutInCell="1" allowOverlap="1" wp14:anchorId="7A855835" wp14:editId="46E18831">
          <wp:simplePos x="0" y="0"/>
          <wp:positionH relativeFrom="column">
            <wp:posOffset>-57150</wp:posOffset>
          </wp:positionH>
          <wp:positionV relativeFrom="paragraph">
            <wp:posOffset>-254635</wp:posOffset>
          </wp:positionV>
          <wp:extent cx="1099997" cy="619125"/>
          <wp:effectExtent l="0" t="0" r="508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099997" cy="619125"/>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7A79CC" w14:textId="77777777" w:rsidR="009A2F41" w:rsidRDefault="009A2F41">
    <w:pPr>
      <w:pStyle w:val="Zaglavljestranic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74600"/>
    <w:multiLevelType w:val="hybridMultilevel"/>
    <w:tmpl w:val="5564665A"/>
    <w:lvl w:ilvl="0" w:tplc="E7F6860E">
      <w:start w:val="1"/>
      <w:numFmt w:val="bullet"/>
      <w:lvlText w:val=""/>
      <w:lvlJc w:val="left"/>
      <w:pPr>
        <w:ind w:left="720" w:hanging="360"/>
      </w:pPr>
      <w:rPr>
        <w:rFonts w:ascii="Symbol" w:hAnsi="Symbol" w:hint="default"/>
      </w:rPr>
    </w:lvl>
    <w:lvl w:ilvl="1" w:tplc="720A5FDA">
      <w:start w:val="1"/>
      <w:numFmt w:val="bullet"/>
      <w:lvlText w:val="o"/>
      <w:lvlJc w:val="left"/>
      <w:pPr>
        <w:ind w:left="1440" w:hanging="360"/>
      </w:pPr>
      <w:rPr>
        <w:rFonts w:ascii="Courier New" w:hAnsi="Courier New" w:hint="default"/>
      </w:rPr>
    </w:lvl>
    <w:lvl w:ilvl="2" w:tplc="877898FC">
      <w:start w:val="1"/>
      <w:numFmt w:val="bullet"/>
      <w:lvlText w:val=""/>
      <w:lvlJc w:val="left"/>
      <w:pPr>
        <w:ind w:left="2160" w:hanging="360"/>
      </w:pPr>
      <w:rPr>
        <w:rFonts w:ascii="Wingdings" w:hAnsi="Wingdings" w:hint="default"/>
      </w:rPr>
    </w:lvl>
    <w:lvl w:ilvl="3" w:tplc="734CC69C">
      <w:start w:val="1"/>
      <w:numFmt w:val="bullet"/>
      <w:lvlText w:val=""/>
      <w:lvlJc w:val="left"/>
      <w:pPr>
        <w:ind w:left="2880" w:hanging="360"/>
      </w:pPr>
      <w:rPr>
        <w:rFonts w:ascii="Symbol" w:hAnsi="Symbol" w:hint="default"/>
      </w:rPr>
    </w:lvl>
    <w:lvl w:ilvl="4" w:tplc="E71CBC46">
      <w:start w:val="1"/>
      <w:numFmt w:val="bullet"/>
      <w:lvlText w:val="o"/>
      <w:lvlJc w:val="left"/>
      <w:pPr>
        <w:ind w:left="3600" w:hanging="360"/>
      </w:pPr>
      <w:rPr>
        <w:rFonts w:ascii="Courier New" w:hAnsi="Courier New" w:hint="default"/>
      </w:rPr>
    </w:lvl>
    <w:lvl w:ilvl="5" w:tplc="6AC2002E">
      <w:start w:val="1"/>
      <w:numFmt w:val="bullet"/>
      <w:lvlText w:val=""/>
      <w:lvlJc w:val="left"/>
      <w:pPr>
        <w:ind w:left="4320" w:hanging="360"/>
      </w:pPr>
      <w:rPr>
        <w:rFonts w:ascii="Wingdings" w:hAnsi="Wingdings" w:hint="default"/>
      </w:rPr>
    </w:lvl>
    <w:lvl w:ilvl="6" w:tplc="241E13C4">
      <w:start w:val="1"/>
      <w:numFmt w:val="bullet"/>
      <w:lvlText w:val=""/>
      <w:lvlJc w:val="left"/>
      <w:pPr>
        <w:ind w:left="5040" w:hanging="360"/>
      </w:pPr>
      <w:rPr>
        <w:rFonts w:ascii="Symbol" w:hAnsi="Symbol" w:hint="default"/>
      </w:rPr>
    </w:lvl>
    <w:lvl w:ilvl="7" w:tplc="CA96860C">
      <w:start w:val="1"/>
      <w:numFmt w:val="bullet"/>
      <w:lvlText w:val="o"/>
      <w:lvlJc w:val="left"/>
      <w:pPr>
        <w:ind w:left="5760" w:hanging="360"/>
      </w:pPr>
      <w:rPr>
        <w:rFonts w:ascii="Courier New" w:hAnsi="Courier New" w:hint="default"/>
      </w:rPr>
    </w:lvl>
    <w:lvl w:ilvl="8" w:tplc="FE0A6194">
      <w:start w:val="1"/>
      <w:numFmt w:val="bullet"/>
      <w:lvlText w:val=""/>
      <w:lvlJc w:val="left"/>
      <w:pPr>
        <w:ind w:left="6480" w:hanging="360"/>
      </w:pPr>
      <w:rPr>
        <w:rFonts w:ascii="Wingdings" w:hAnsi="Wingdings" w:hint="default"/>
      </w:rPr>
    </w:lvl>
  </w:abstractNum>
  <w:abstractNum w:abstractNumId="1" w15:restartNumberingAfterBreak="0">
    <w:nsid w:val="09549CF8"/>
    <w:multiLevelType w:val="hybridMultilevel"/>
    <w:tmpl w:val="6E6A6616"/>
    <w:lvl w:ilvl="0" w:tplc="B55404F6">
      <w:start w:val="1"/>
      <w:numFmt w:val="bullet"/>
      <w:lvlText w:val=""/>
      <w:lvlJc w:val="left"/>
      <w:pPr>
        <w:ind w:left="720" w:hanging="360"/>
      </w:pPr>
      <w:rPr>
        <w:rFonts w:ascii="Symbol" w:hAnsi="Symbol" w:hint="default"/>
      </w:rPr>
    </w:lvl>
    <w:lvl w:ilvl="1" w:tplc="9788E182">
      <w:start w:val="1"/>
      <w:numFmt w:val="bullet"/>
      <w:lvlText w:val="o"/>
      <w:lvlJc w:val="left"/>
      <w:pPr>
        <w:ind w:left="1440" w:hanging="360"/>
      </w:pPr>
      <w:rPr>
        <w:rFonts w:ascii="Courier New" w:hAnsi="Courier New" w:hint="default"/>
      </w:rPr>
    </w:lvl>
    <w:lvl w:ilvl="2" w:tplc="E8A47252">
      <w:start w:val="1"/>
      <w:numFmt w:val="bullet"/>
      <w:lvlText w:val=""/>
      <w:lvlJc w:val="left"/>
      <w:pPr>
        <w:ind w:left="2160" w:hanging="360"/>
      </w:pPr>
      <w:rPr>
        <w:rFonts w:ascii="Wingdings" w:hAnsi="Wingdings" w:hint="default"/>
      </w:rPr>
    </w:lvl>
    <w:lvl w:ilvl="3" w:tplc="23EC8408">
      <w:start w:val="1"/>
      <w:numFmt w:val="bullet"/>
      <w:lvlText w:val=""/>
      <w:lvlJc w:val="left"/>
      <w:pPr>
        <w:ind w:left="2880" w:hanging="360"/>
      </w:pPr>
      <w:rPr>
        <w:rFonts w:ascii="Symbol" w:hAnsi="Symbol" w:hint="default"/>
      </w:rPr>
    </w:lvl>
    <w:lvl w:ilvl="4" w:tplc="B3ECD5F8">
      <w:start w:val="1"/>
      <w:numFmt w:val="bullet"/>
      <w:lvlText w:val="o"/>
      <w:lvlJc w:val="left"/>
      <w:pPr>
        <w:ind w:left="3600" w:hanging="360"/>
      </w:pPr>
      <w:rPr>
        <w:rFonts w:ascii="Courier New" w:hAnsi="Courier New" w:hint="default"/>
      </w:rPr>
    </w:lvl>
    <w:lvl w:ilvl="5" w:tplc="4DF08732">
      <w:start w:val="1"/>
      <w:numFmt w:val="bullet"/>
      <w:lvlText w:val=""/>
      <w:lvlJc w:val="left"/>
      <w:pPr>
        <w:ind w:left="4320" w:hanging="360"/>
      </w:pPr>
      <w:rPr>
        <w:rFonts w:ascii="Wingdings" w:hAnsi="Wingdings" w:hint="default"/>
      </w:rPr>
    </w:lvl>
    <w:lvl w:ilvl="6" w:tplc="EF66DB04">
      <w:start w:val="1"/>
      <w:numFmt w:val="bullet"/>
      <w:lvlText w:val=""/>
      <w:lvlJc w:val="left"/>
      <w:pPr>
        <w:ind w:left="5040" w:hanging="360"/>
      </w:pPr>
      <w:rPr>
        <w:rFonts w:ascii="Symbol" w:hAnsi="Symbol" w:hint="default"/>
      </w:rPr>
    </w:lvl>
    <w:lvl w:ilvl="7" w:tplc="E8C8FE5C">
      <w:start w:val="1"/>
      <w:numFmt w:val="bullet"/>
      <w:lvlText w:val="o"/>
      <w:lvlJc w:val="left"/>
      <w:pPr>
        <w:ind w:left="5760" w:hanging="360"/>
      </w:pPr>
      <w:rPr>
        <w:rFonts w:ascii="Courier New" w:hAnsi="Courier New" w:hint="default"/>
      </w:rPr>
    </w:lvl>
    <w:lvl w:ilvl="8" w:tplc="A7866D4A">
      <w:start w:val="1"/>
      <w:numFmt w:val="bullet"/>
      <w:lvlText w:val=""/>
      <w:lvlJc w:val="left"/>
      <w:pPr>
        <w:ind w:left="6480" w:hanging="360"/>
      </w:pPr>
      <w:rPr>
        <w:rFonts w:ascii="Wingdings" w:hAnsi="Wingdings" w:hint="default"/>
      </w:rPr>
    </w:lvl>
  </w:abstractNum>
  <w:abstractNum w:abstractNumId="2" w15:restartNumberingAfterBreak="0">
    <w:nsid w:val="0AB762D3"/>
    <w:multiLevelType w:val="hybridMultilevel"/>
    <w:tmpl w:val="EAA45C48"/>
    <w:lvl w:ilvl="0" w:tplc="ADA4F4BC">
      <w:start w:val="1"/>
      <w:numFmt w:val="bullet"/>
      <w:lvlText w:val=""/>
      <w:lvlJc w:val="left"/>
      <w:pPr>
        <w:ind w:left="720" w:hanging="360"/>
      </w:pPr>
      <w:rPr>
        <w:rFonts w:ascii="Symbol" w:hAnsi="Symbol" w:hint="default"/>
      </w:rPr>
    </w:lvl>
    <w:lvl w:ilvl="1" w:tplc="72BAD996">
      <w:start w:val="1"/>
      <w:numFmt w:val="bullet"/>
      <w:lvlText w:val="o"/>
      <w:lvlJc w:val="left"/>
      <w:pPr>
        <w:ind w:left="1440" w:hanging="360"/>
      </w:pPr>
      <w:rPr>
        <w:rFonts w:ascii="Courier New" w:hAnsi="Courier New" w:hint="default"/>
      </w:rPr>
    </w:lvl>
    <w:lvl w:ilvl="2" w:tplc="E0D4E786">
      <w:start w:val="1"/>
      <w:numFmt w:val="bullet"/>
      <w:lvlText w:val=""/>
      <w:lvlJc w:val="left"/>
      <w:pPr>
        <w:ind w:left="2160" w:hanging="360"/>
      </w:pPr>
      <w:rPr>
        <w:rFonts w:ascii="Wingdings" w:hAnsi="Wingdings" w:hint="default"/>
      </w:rPr>
    </w:lvl>
    <w:lvl w:ilvl="3" w:tplc="B4D04598">
      <w:start w:val="1"/>
      <w:numFmt w:val="bullet"/>
      <w:lvlText w:val=""/>
      <w:lvlJc w:val="left"/>
      <w:pPr>
        <w:ind w:left="2880" w:hanging="360"/>
      </w:pPr>
      <w:rPr>
        <w:rFonts w:ascii="Symbol" w:hAnsi="Symbol" w:hint="default"/>
      </w:rPr>
    </w:lvl>
    <w:lvl w:ilvl="4" w:tplc="5EFA293C">
      <w:start w:val="1"/>
      <w:numFmt w:val="bullet"/>
      <w:lvlText w:val="o"/>
      <w:lvlJc w:val="left"/>
      <w:pPr>
        <w:ind w:left="3600" w:hanging="360"/>
      </w:pPr>
      <w:rPr>
        <w:rFonts w:ascii="Courier New" w:hAnsi="Courier New" w:hint="default"/>
      </w:rPr>
    </w:lvl>
    <w:lvl w:ilvl="5" w:tplc="4880D8FC">
      <w:start w:val="1"/>
      <w:numFmt w:val="bullet"/>
      <w:lvlText w:val=""/>
      <w:lvlJc w:val="left"/>
      <w:pPr>
        <w:ind w:left="4320" w:hanging="360"/>
      </w:pPr>
      <w:rPr>
        <w:rFonts w:ascii="Wingdings" w:hAnsi="Wingdings" w:hint="default"/>
      </w:rPr>
    </w:lvl>
    <w:lvl w:ilvl="6" w:tplc="D3D8A2F4">
      <w:start w:val="1"/>
      <w:numFmt w:val="bullet"/>
      <w:lvlText w:val=""/>
      <w:lvlJc w:val="left"/>
      <w:pPr>
        <w:ind w:left="5040" w:hanging="360"/>
      </w:pPr>
      <w:rPr>
        <w:rFonts w:ascii="Symbol" w:hAnsi="Symbol" w:hint="default"/>
      </w:rPr>
    </w:lvl>
    <w:lvl w:ilvl="7" w:tplc="E410E32A">
      <w:start w:val="1"/>
      <w:numFmt w:val="bullet"/>
      <w:lvlText w:val="o"/>
      <w:lvlJc w:val="left"/>
      <w:pPr>
        <w:ind w:left="5760" w:hanging="360"/>
      </w:pPr>
      <w:rPr>
        <w:rFonts w:ascii="Courier New" w:hAnsi="Courier New" w:hint="default"/>
      </w:rPr>
    </w:lvl>
    <w:lvl w:ilvl="8" w:tplc="57C22392">
      <w:start w:val="1"/>
      <w:numFmt w:val="bullet"/>
      <w:lvlText w:val=""/>
      <w:lvlJc w:val="left"/>
      <w:pPr>
        <w:ind w:left="6480" w:hanging="360"/>
      </w:pPr>
      <w:rPr>
        <w:rFonts w:ascii="Wingdings" w:hAnsi="Wingdings" w:hint="default"/>
      </w:rPr>
    </w:lvl>
  </w:abstractNum>
  <w:abstractNum w:abstractNumId="3" w15:restartNumberingAfterBreak="0">
    <w:nsid w:val="0C4ACCB0"/>
    <w:multiLevelType w:val="hybridMultilevel"/>
    <w:tmpl w:val="E1F4FAA2"/>
    <w:lvl w:ilvl="0" w:tplc="BCEE7E78">
      <w:start w:val="1"/>
      <w:numFmt w:val="bullet"/>
      <w:lvlText w:val=""/>
      <w:lvlJc w:val="left"/>
      <w:pPr>
        <w:ind w:left="720" w:hanging="360"/>
      </w:pPr>
      <w:rPr>
        <w:rFonts w:ascii="Symbol" w:hAnsi="Symbol" w:hint="default"/>
      </w:rPr>
    </w:lvl>
    <w:lvl w:ilvl="1" w:tplc="3F622218">
      <w:start w:val="1"/>
      <w:numFmt w:val="bullet"/>
      <w:lvlText w:val="o"/>
      <w:lvlJc w:val="left"/>
      <w:pPr>
        <w:ind w:left="1440" w:hanging="360"/>
      </w:pPr>
      <w:rPr>
        <w:rFonts w:ascii="Courier New" w:hAnsi="Courier New" w:hint="default"/>
      </w:rPr>
    </w:lvl>
    <w:lvl w:ilvl="2" w:tplc="7510815A">
      <w:start w:val="1"/>
      <w:numFmt w:val="bullet"/>
      <w:lvlText w:val=""/>
      <w:lvlJc w:val="left"/>
      <w:pPr>
        <w:ind w:left="2160" w:hanging="360"/>
      </w:pPr>
      <w:rPr>
        <w:rFonts w:ascii="Wingdings" w:hAnsi="Wingdings" w:hint="default"/>
      </w:rPr>
    </w:lvl>
    <w:lvl w:ilvl="3" w:tplc="EEEEA92E">
      <w:start w:val="1"/>
      <w:numFmt w:val="bullet"/>
      <w:lvlText w:val=""/>
      <w:lvlJc w:val="left"/>
      <w:pPr>
        <w:ind w:left="2880" w:hanging="360"/>
      </w:pPr>
      <w:rPr>
        <w:rFonts w:ascii="Symbol" w:hAnsi="Symbol" w:hint="default"/>
      </w:rPr>
    </w:lvl>
    <w:lvl w:ilvl="4" w:tplc="C77C7DBC">
      <w:start w:val="1"/>
      <w:numFmt w:val="bullet"/>
      <w:lvlText w:val="o"/>
      <w:lvlJc w:val="left"/>
      <w:pPr>
        <w:ind w:left="3600" w:hanging="360"/>
      </w:pPr>
      <w:rPr>
        <w:rFonts w:ascii="Courier New" w:hAnsi="Courier New" w:hint="default"/>
      </w:rPr>
    </w:lvl>
    <w:lvl w:ilvl="5" w:tplc="2B6AD2EA">
      <w:start w:val="1"/>
      <w:numFmt w:val="bullet"/>
      <w:lvlText w:val=""/>
      <w:lvlJc w:val="left"/>
      <w:pPr>
        <w:ind w:left="4320" w:hanging="360"/>
      </w:pPr>
      <w:rPr>
        <w:rFonts w:ascii="Wingdings" w:hAnsi="Wingdings" w:hint="default"/>
      </w:rPr>
    </w:lvl>
    <w:lvl w:ilvl="6" w:tplc="056C4ADE">
      <w:start w:val="1"/>
      <w:numFmt w:val="bullet"/>
      <w:lvlText w:val=""/>
      <w:lvlJc w:val="left"/>
      <w:pPr>
        <w:ind w:left="5040" w:hanging="360"/>
      </w:pPr>
      <w:rPr>
        <w:rFonts w:ascii="Symbol" w:hAnsi="Symbol" w:hint="default"/>
      </w:rPr>
    </w:lvl>
    <w:lvl w:ilvl="7" w:tplc="BF268CC6">
      <w:start w:val="1"/>
      <w:numFmt w:val="bullet"/>
      <w:lvlText w:val="o"/>
      <w:lvlJc w:val="left"/>
      <w:pPr>
        <w:ind w:left="5760" w:hanging="360"/>
      </w:pPr>
      <w:rPr>
        <w:rFonts w:ascii="Courier New" w:hAnsi="Courier New" w:hint="default"/>
      </w:rPr>
    </w:lvl>
    <w:lvl w:ilvl="8" w:tplc="FC2A61A2">
      <w:start w:val="1"/>
      <w:numFmt w:val="bullet"/>
      <w:lvlText w:val=""/>
      <w:lvlJc w:val="left"/>
      <w:pPr>
        <w:ind w:left="6480" w:hanging="360"/>
      </w:pPr>
      <w:rPr>
        <w:rFonts w:ascii="Wingdings" w:hAnsi="Wingdings" w:hint="default"/>
      </w:rPr>
    </w:lvl>
  </w:abstractNum>
  <w:abstractNum w:abstractNumId="4" w15:restartNumberingAfterBreak="0">
    <w:nsid w:val="0E5656CB"/>
    <w:multiLevelType w:val="hybridMultilevel"/>
    <w:tmpl w:val="BA04E14C"/>
    <w:lvl w:ilvl="0" w:tplc="D200D3B6">
      <w:start w:val="1"/>
      <w:numFmt w:val="bullet"/>
      <w:lvlText w:val=""/>
      <w:lvlJc w:val="left"/>
      <w:pPr>
        <w:ind w:left="720" w:hanging="360"/>
      </w:pPr>
      <w:rPr>
        <w:rFonts w:ascii="Symbol" w:hAnsi="Symbol" w:hint="default"/>
      </w:rPr>
    </w:lvl>
    <w:lvl w:ilvl="1" w:tplc="9092B7C4">
      <w:start w:val="1"/>
      <w:numFmt w:val="bullet"/>
      <w:lvlText w:val="o"/>
      <w:lvlJc w:val="left"/>
      <w:pPr>
        <w:ind w:left="1440" w:hanging="360"/>
      </w:pPr>
      <w:rPr>
        <w:rFonts w:ascii="Courier New" w:hAnsi="Courier New" w:hint="default"/>
      </w:rPr>
    </w:lvl>
    <w:lvl w:ilvl="2" w:tplc="69E26564">
      <w:start w:val="1"/>
      <w:numFmt w:val="bullet"/>
      <w:lvlText w:val=""/>
      <w:lvlJc w:val="left"/>
      <w:pPr>
        <w:ind w:left="2160" w:hanging="360"/>
      </w:pPr>
      <w:rPr>
        <w:rFonts w:ascii="Wingdings" w:hAnsi="Wingdings" w:hint="default"/>
      </w:rPr>
    </w:lvl>
    <w:lvl w:ilvl="3" w:tplc="41E8AB2C">
      <w:start w:val="1"/>
      <w:numFmt w:val="bullet"/>
      <w:lvlText w:val=""/>
      <w:lvlJc w:val="left"/>
      <w:pPr>
        <w:ind w:left="2880" w:hanging="360"/>
      </w:pPr>
      <w:rPr>
        <w:rFonts w:ascii="Symbol" w:hAnsi="Symbol" w:hint="default"/>
      </w:rPr>
    </w:lvl>
    <w:lvl w:ilvl="4" w:tplc="5336CA96">
      <w:start w:val="1"/>
      <w:numFmt w:val="bullet"/>
      <w:lvlText w:val="o"/>
      <w:lvlJc w:val="left"/>
      <w:pPr>
        <w:ind w:left="3600" w:hanging="360"/>
      </w:pPr>
      <w:rPr>
        <w:rFonts w:ascii="Courier New" w:hAnsi="Courier New" w:hint="default"/>
      </w:rPr>
    </w:lvl>
    <w:lvl w:ilvl="5" w:tplc="5372D198">
      <w:start w:val="1"/>
      <w:numFmt w:val="bullet"/>
      <w:lvlText w:val=""/>
      <w:lvlJc w:val="left"/>
      <w:pPr>
        <w:ind w:left="4320" w:hanging="360"/>
      </w:pPr>
      <w:rPr>
        <w:rFonts w:ascii="Wingdings" w:hAnsi="Wingdings" w:hint="default"/>
      </w:rPr>
    </w:lvl>
    <w:lvl w:ilvl="6" w:tplc="3F9EF312">
      <w:start w:val="1"/>
      <w:numFmt w:val="bullet"/>
      <w:lvlText w:val=""/>
      <w:lvlJc w:val="left"/>
      <w:pPr>
        <w:ind w:left="5040" w:hanging="360"/>
      </w:pPr>
      <w:rPr>
        <w:rFonts w:ascii="Symbol" w:hAnsi="Symbol" w:hint="default"/>
      </w:rPr>
    </w:lvl>
    <w:lvl w:ilvl="7" w:tplc="8198246C">
      <w:start w:val="1"/>
      <w:numFmt w:val="bullet"/>
      <w:lvlText w:val="o"/>
      <w:lvlJc w:val="left"/>
      <w:pPr>
        <w:ind w:left="5760" w:hanging="360"/>
      </w:pPr>
      <w:rPr>
        <w:rFonts w:ascii="Courier New" w:hAnsi="Courier New" w:hint="default"/>
      </w:rPr>
    </w:lvl>
    <w:lvl w:ilvl="8" w:tplc="BCE2D566">
      <w:start w:val="1"/>
      <w:numFmt w:val="bullet"/>
      <w:lvlText w:val=""/>
      <w:lvlJc w:val="left"/>
      <w:pPr>
        <w:ind w:left="6480" w:hanging="360"/>
      </w:pPr>
      <w:rPr>
        <w:rFonts w:ascii="Wingdings" w:hAnsi="Wingdings" w:hint="default"/>
      </w:rPr>
    </w:lvl>
  </w:abstractNum>
  <w:abstractNum w:abstractNumId="5" w15:restartNumberingAfterBreak="0">
    <w:nsid w:val="0EEB928E"/>
    <w:multiLevelType w:val="hybridMultilevel"/>
    <w:tmpl w:val="949EE53A"/>
    <w:lvl w:ilvl="0" w:tplc="656692DA">
      <w:start w:val="1"/>
      <w:numFmt w:val="bullet"/>
      <w:lvlText w:val=""/>
      <w:lvlJc w:val="left"/>
      <w:pPr>
        <w:ind w:left="720" w:hanging="360"/>
      </w:pPr>
      <w:rPr>
        <w:rFonts w:ascii="Symbol" w:hAnsi="Symbol" w:hint="default"/>
      </w:rPr>
    </w:lvl>
    <w:lvl w:ilvl="1" w:tplc="3C3296D4">
      <w:start w:val="1"/>
      <w:numFmt w:val="bullet"/>
      <w:lvlText w:val="o"/>
      <w:lvlJc w:val="left"/>
      <w:pPr>
        <w:ind w:left="1440" w:hanging="360"/>
      </w:pPr>
      <w:rPr>
        <w:rFonts w:ascii="Courier New" w:hAnsi="Courier New" w:hint="default"/>
      </w:rPr>
    </w:lvl>
    <w:lvl w:ilvl="2" w:tplc="C9925F88">
      <w:start w:val="1"/>
      <w:numFmt w:val="bullet"/>
      <w:lvlText w:val=""/>
      <w:lvlJc w:val="left"/>
      <w:pPr>
        <w:ind w:left="2160" w:hanging="360"/>
      </w:pPr>
      <w:rPr>
        <w:rFonts w:ascii="Wingdings" w:hAnsi="Wingdings" w:hint="default"/>
      </w:rPr>
    </w:lvl>
    <w:lvl w:ilvl="3" w:tplc="746CBB8C">
      <w:start w:val="1"/>
      <w:numFmt w:val="bullet"/>
      <w:lvlText w:val=""/>
      <w:lvlJc w:val="left"/>
      <w:pPr>
        <w:ind w:left="2880" w:hanging="360"/>
      </w:pPr>
      <w:rPr>
        <w:rFonts w:ascii="Symbol" w:hAnsi="Symbol" w:hint="default"/>
      </w:rPr>
    </w:lvl>
    <w:lvl w:ilvl="4" w:tplc="7682D7BE">
      <w:start w:val="1"/>
      <w:numFmt w:val="bullet"/>
      <w:lvlText w:val="o"/>
      <w:lvlJc w:val="left"/>
      <w:pPr>
        <w:ind w:left="3600" w:hanging="360"/>
      </w:pPr>
      <w:rPr>
        <w:rFonts w:ascii="Courier New" w:hAnsi="Courier New" w:hint="default"/>
      </w:rPr>
    </w:lvl>
    <w:lvl w:ilvl="5" w:tplc="2C869EE6">
      <w:start w:val="1"/>
      <w:numFmt w:val="bullet"/>
      <w:lvlText w:val=""/>
      <w:lvlJc w:val="left"/>
      <w:pPr>
        <w:ind w:left="4320" w:hanging="360"/>
      </w:pPr>
      <w:rPr>
        <w:rFonts w:ascii="Wingdings" w:hAnsi="Wingdings" w:hint="default"/>
      </w:rPr>
    </w:lvl>
    <w:lvl w:ilvl="6" w:tplc="7AD84990">
      <w:start w:val="1"/>
      <w:numFmt w:val="bullet"/>
      <w:lvlText w:val=""/>
      <w:lvlJc w:val="left"/>
      <w:pPr>
        <w:ind w:left="5040" w:hanging="360"/>
      </w:pPr>
      <w:rPr>
        <w:rFonts w:ascii="Symbol" w:hAnsi="Symbol" w:hint="default"/>
      </w:rPr>
    </w:lvl>
    <w:lvl w:ilvl="7" w:tplc="7ABE3E9C">
      <w:start w:val="1"/>
      <w:numFmt w:val="bullet"/>
      <w:lvlText w:val="o"/>
      <w:lvlJc w:val="left"/>
      <w:pPr>
        <w:ind w:left="5760" w:hanging="360"/>
      </w:pPr>
      <w:rPr>
        <w:rFonts w:ascii="Courier New" w:hAnsi="Courier New" w:hint="default"/>
      </w:rPr>
    </w:lvl>
    <w:lvl w:ilvl="8" w:tplc="552269E6">
      <w:start w:val="1"/>
      <w:numFmt w:val="bullet"/>
      <w:lvlText w:val=""/>
      <w:lvlJc w:val="left"/>
      <w:pPr>
        <w:ind w:left="6480" w:hanging="360"/>
      </w:pPr>
      <w:rPr>
        <w:rFonts w:ascii="Wingdings" w:hAnsi="Wingdings" w:hint="default"/>
      </w:rPr>
    </w:lvl>
  </w:abstractNum>
  <w:abstractNum w:abstractNumId="6" w15:restartNumberingAfterBreak="0">
    <w:nsid w:val="15C52E10"/>
    <w:multiLevelType w:val="hybridMultilevel"/>
    <w:tmpl w:val="A7C6C62A"/>
    <w:lvl w:ilvl="0" w:tplc="F162D160">
      <w:start w:val="1"/>
      <w:numFmt w:val="bullet"/>
      <w:lvlText w:val=""/>
      <w:lvlJc w:val="left"/>
      <w:pPr>
        <w:ind w:left="720" w:hanging="360"/>
      </w:pPr>
      <w:rPr>
        <w:rFonts w:ascii="Symbol" w:hAnsi="Symbol" w:hint="default"/>
      </w:rPr>
    </w:lvl>
    <w:lvl w:ilvl="1" w:tplc="DBBEB6C2">
      <w:start w:val="1"/>
      <w:numFmt w:val="bullet"/>
      <w:lvlText w:val="o"/>
      <w:lvlJc w:val="left"/>
      <w:pPr>
        <w:ind w:left="1440" w:hanging="360"/>
      </w:pPr>
      <w:rPr>
        <w:rFonts w:ascii="Courier New" w:hAnsi="Courier New" w:hint="default"/>
      </w:rPr>
    </w:lvl>
    <w:lvl w:ilvl="2" w:tplc="AD58B630">
      <w:start w:val="1"/>
      <w:numFmt w:val="bullet"/>
      <w:lvlText w:val=""/>
      <w:lvlJc w:val="left"/>
      <w:pPr>
        <w:ind w:left="2160" w:hanging="360"/>
      </w:pPr>
      <w:rPr>
        <w:rFonts w:ascii="Wingdings" w:hAnsi="Wingdings" w:hint="default"/>
      </w:rPr>
    </w:lvl>
    <w:lvl w:ilvl="3" w:tplc="EE7464B6">
      <w:start w:val="1"/>
      <w:numFmt w:val="bullet"/>
      <w:lvlText w:val=""/>
      <w:lvlJc w:val="left"/>
      <w:pPr>
        <w:ind w:left="2880" w:hanging="360"/>
      </w:pPr>
      <w:rPr>
        <w:rFonts w:ascii="Symbol" w:hAnsi="Symbol" w:hint="default"/>
      </w:rPr>
    </w:lvl>
    <w:lvl w:ilvl="4" w:tplc="F89C0FAA">
      <w:start w:val="1"/>
      <w:numFmt w:val="bullet"/>
      <w:lvlText w:val="o"/>
      <w:lvlJc w:val="left"/>
      <w:pPr>
        <w:ind w:left="3600" w:hanging="360"/>
      </w:pPr>
      <w:rPr>
        <w:rFonts w:ascii="Courier New" w:hAnsi="Courier New" w:hint="default"/>
      </w:rPr>
    </w:lvl>
    <w:lvl w:ilvl="5" w:tplc="7272E7B2">
      <w:start w:val="1"/>
      <w:numFmt w:val="bullet"/>
      <w:lvlText w:val=""/>
      <w:lvlJc w:val="left"/>
      <w:pPr>
        <w:ind w:left="4320" w:hanging="360"/>
      </w:pPr>
      <w:rPr>
        <w:rFonts w:ascii="Wingdings" w:hAnsi="Wingdings" w:hint="default"/>
      </w:rPr>
    </w:lvl>
    <w:lvl w:ilvl="6" w:tplc="2F2C05D0">
      <w:start w:val="1"/>
      <w:numFmt w:val="bullet"/>
      <w:lvlText w:val=""/>
      <w:lvlJc w:val="left"/>
      <w:pPr>
        <w:ind w:left="5040" w:hanging="360"/>
      </w:pPr>
      <w:rPr>
        <w:rFonts w:ascii="Symbol" w:hAnsi="Symbol" w:hint="default"/>
      </w:rPr>
    </w:lvl>
    <w:lvl w:ilvl="7" w:tplc="4BC6659C">
      <w:start w:val="1"/>
      <w:numFmt w:val="bullet"/>
      <w:lvlText w:val="o"/>
      <w:lvlJc w:val="left"/>
      <w:pPr>
        <w:ind w:left="5760" w:hanging="360"/>
      </w:pPr>
      <w:rPr>
        <w:rFonts w:ascii="Courier New" w:hAnsi="Courier New" w:hint="default"/>
      </w:rPr>
    </w:lvl>
    <w:lvl w:ilvl="8" w:tplc="9BDCF1F2">
      <w:start w:val="1"/>
      <w:numFmt w:val="bullet"/>
      <w:lvlText w:val=""/>
      <w:lvlJc w:val="left"/>
      <w:pPr>
        <w:ind w:left="6480" w:hanging="360"/>
      </w:pPr>
      <w:rPr>
        <w:rFonts w:ascii="Wingdings" w:hAnsi="Wingdings" w:hint="default"/>
      </w:rPr>
    </w:lvl>
  </w:abstractNum>
  <w:abstractNum w:abstractNumId="7" w15:restartNumberingAfterBreak="0">
    <w:nsid w:val="1AC55E3D"/>
    <w:multiLevelType w:val="hybridMultilevel"/>
    <w:tmpl w:val="AB2430DE"/>
    <w:lvl w:ilvl="0" w:tplc="0B0630D4">
      <w:start w:val="1"/>
      <w:numFmt w:val="bullet"/>
      <w:lvlText w:val=""/>
      <w:lvlJc w:val="left"/>
      <w:pPr>
        <w:ind w:left="720" w:hanging="360"/>
      </w:pPr>
      <w:rPr>
        <w:rFonts w:ascii="Symbol" w:hAnsi="Symbol" w:hint="default"/>
      </w:rPr>
    </w:lvl>
    <w:lvl w:ilvl="1" w:tplc="8B106F3A">
      <w:start w:val="1"/>
      <w:numFmt w:val="bullet"/>
      <w:lvlText w:val="o"/>
      <w:lvlJc w:val="left"/>
      <w:pPr>
        <w:ind w:left="1440" w:hanging="360"/>
      </w:pPr>
      <w:rPr>
        <w:rFonts w:ascii="Courier New" w:hAnsi="Courier New" w:hint="default"/>
      </w:rPr>
    </w:lvl>
    <w:lvl w:ilvl="2" w:tplc="99C8FEDE">
      <w:start w:val="1"/>
      <w:numFmt w:val="bullet"/>
      <w:lvlText w:val=""/>
      <w:lvlJc w:val="left"/>
      <w:pPr>
        <w:ind w:left="2160" w:hanging="360"/>
      </w:pPr>
      <w:rPr>
        <w:rFonts w:ascii="Wingdings" w:hAnsi="Wingdings" w:hint="default"/>
      </w:rPr>
    </w:lvl>
    <w:lvl w:ilvl="3" w:tplc="2E42E4B2">
      <w:start w:val="1"/>
      <w:numFmt w:val="bullet"/>
      <w:lvlText w:val=""/>
      <w:lvlJc w:val="left"/>
      <w:pPr>
        <w:ind w:left="2880" w:hanging="360"/>
      </w:pPr>
      <w:rPr>
        <w:rFonts w:ascii="Symbol" w:hAnsi="Symbol" w:hint="default"/>
      </w:rPr>
    </w:lvl>
    <w:lvl w:ilvl="4" w:tplc="29B4447C">
      <w:start w:val="1"/>
      <w:numFmt w:val="bullet"/>
      <w:lvlText w:val="o"/>
      <w:lvlJc w:val="left"/>
      <w:pPr>
        <w:ind w:left="3600" w:hanging="360"/>
      </w:pPr>
      <w:rPr>
        <w:rFonts w:ascii="Courier New" w:hAnsi="Courier New" w:hint="default"/>
      </w:rPr>
    </w:lvl>
    <w:lvl w:ilvl="5" w:tplc="BDB8DE92">
      <w:start w:val="1"/>
      <w:numFmt w:val="bullet"/>
      <w:lvlText w:val=""/>
      <w:lvlJc w:val="left"/>
      <w:pPr>
        <w:ind w:left="4320" w:hanging="360"/>
      </w:pPr>
      <w:rPr>
        <w:rFonts w:ascii="Wingdings" w:hAnsi="Wingdings" w:hint="default"/>
      </w:rPr>
    </w:lvl>
    <w:lvl w:ilvl="6" w:tplc="20B2C69C">
      <w:start w:val="1"/>
      <w:numFmt w:val="bullet"/>
      <w:lvlText w:val=""/>
      <w:lvlJc w:val="left"/>
      <w:pPr>
        <w:ind w:left="5040" w:hanging="360"/>
      </w:pPr>
      <w:rPr>
        <w:rFonts w:ascii="Symbol" w:hAnsi="Symbol" w:hint="default"/>
      </w:rPr>
    </w:lvl>
    <w:lvl w:ilvl="7" w:tplc="D96820AA">
      <w:start w:val="1"/>
      <w:numFmt w:val="bullet"/>
      <w:lvlText w:val="o"/>
      <w:lvlJc w:val="left"/>
      <w:pPr>
        <w:ind w:left="5760" w:hanging="360"/>
      </w:pPr>
      <w:rPr>
        <w:rFonts w:ascii="Courier New" w:hAnsi="Courier New" w:hint="default"/>
      </w:rPr>
    </w:lvl>
    <w:lvl w:ilvl="8" w:tplc="5BD46748">
      <w:start w:val="1"/>
      <w:numFmt w:val="bullet"/>
      <w:lvlText w:val=""/>
      <w:lvlJc w:val="left"/>
      <w:pPr>
        <w:ind w:left="6480" w:hanging="360"/>
      </w:pPr>
      <w:rPr>
        <w:rFonts w:ascii="Wingdings" w:hAnsi="Wingdings" w:hint="default"/>
      </w:rPr>
    </w:lvl>
  </w:abstractNum>
  <w:abstractNum w:abstractNumId="8" w15:restartNumberingAfterBreak="0">
    <w:nsid w:val="1AD925FE"/>
    <w:multiLevelType w:val="hybridMultilevel"/>
    <w:tmpl w:val="3DB49D66"/>
    <w:lvl w:ilvl="0" w:tplc="EA905250">
      <w:start w:val="1"/>
      <w:numFmt w:val="bullet"/>
      <w:lvlText w:val=""/>
      <w:lvlJc w:val="left"/>
      <w:pPr>
        <w:ind w:left="720" w:hanging="360"/>
      </w:pPr>
      <w:rPr>
        <w:rFonts w:ascii="Symbol" w:hAnsi="Symbol" w:hint="default"/>
      </w:rPr>
    </w:lvl>
    <w:lvl w:ilvl="1" w:tplc="33EA14E0">
      <w:start w:val="1"/>
      <w:numFmt w:val="bullet"/>
      <w:lvlText w:val="o"/>
      <w:lvlJc w:val="left"/>
      <w:pPr>
        <w:ind w:left="1440" w:hanging="360"/>
      </w:pPr>
      <w:rPr>
        <w:rFonts w:ascii="Courier New" w:hAnsi="Courier New" w:hint="default"/>
      </w:rPr>
    </w:lvl>
    <w:lvl w:ilvl="2" w:tplc="44B06798">
      <w:start w:val="1"/>
      <w:numFmt w:val="bullet"/>
      <w:lvlText w:val=""/>
      <w:lvlJc w:val="left"/>
      <w:pPr>
        <w:ind w:left="2160" w:hanging="360"/>
      </w:pPr>
      <w:rPr>
        <w:rFonts w:ascii="Wingdings" w:hAnsi="Wingdings" w:hint="default"/>
      </w:rPr>
    </w:lvl>
    <w:lvl w:ilvl="3" w:tplc="A0A67246">
      <w:start w:val="1"/>
      <w:numFmt w:val="bullet"/>
      <w:lvlText w:val=""/>
      <w:lvlJc w:val="left"/>
      <w:pPr>
        <w:ind w:left="2880" w:hanging="360"/>
      </w:pPr>
      <w:rPr>
        <w:rFonts w:ascii="Symbol" w:hAnsi="Symbol" w:hint="default"/>
      </w:rPr>
    </w:lvl>
    <w:lvl w:ilvl="4" w:tplc="5DF601C8">
      <w:start w:val="1"/>
      <w:numFmt w:val="bullet"/>
      <w:lvlText w:val="o"/>
      <w:lvlJc w:val="left"/>
      <w:pPr>
        <w:ind w:left="3600" w:hanging="360"/>
      </w:pPr>
      <w:rPr>
        <w:rFonts w:ascii="Courier New" w:hAnsi="Courier New" w:hint="default"/>
      </w:rPr>
    </w:lvl>
    <w:lvl w:ilvl="5" w:tplc="9E2C91AC">
      <w:start w:val="1"/>
      <w:numFmt w:val="bullet"/>
      <w:lvlText w:val=""/>
      <w:lvlJc w:val="left"/>
      <w:pPr>
        <w:ind w:left="4320" w:hanging="360"/>
      </w:pPr>
      <w:rPr>
        <w:rFonts w:ascii="Wingdings" w:hAnsi="Wingdings" w:hint="default"/>
      </w:rPr>
    </w:lvl>
    <w:lvl w:ilvl="6" w:tplc="E9C26B7A">
      <w:start w:val="1"/>
      <w:numFmt w:val="bullet"/>
      <w:lvlText w:val=""/>
      <w:lvlJc w:val="left"/>
      <w:pPr>
        <w:ind w:left="5040" w:hanging="360"/>
      </w:pPr>
      <w:rPr>
        <w:rFonts w:ascii="Symbol" w:hAnsi="Symbol" w:hint="default"/>
      </w:rPr>
    </w:lvl>
    <w:lvl w:ilvl="7" w:tplc="89ECC7E0">
      <w:start w:val="1"/>
      <w:numFmt w:val="bullet"/>
      <w:lvlText w:val="o"/>
      <w:lvlJc w:val="left"/>
      <w:pPr>
        <w:ind w:left="5760" w:hanging="360"/>
      </w:pPr>
      <w:rPr>
        <w:rFonts w:ascii="Courier New" w:hAnsi="Courier New" w:hint="default"/>
      </w:rPr>
    </w:lvl>
    <w:lvl w:ilvl="8" w:tplc="8CE2230C">
      <w:start w:val="1"/>
      <w:numFmt w:val="bullet"/>
      <w:lvlText w:val=""/>
      <w:lvlJc w:val="left"/>
      <w:pPr>
        <w:ind w:left="6480" w:hanging="360"/>
      </w:pPr>
      <w:rPr>
        <w:rFonts w:ascii="Wingdings" w:hAnsi="Wingdings" w:hint="default"/>
      </w:rPr>
    </w:lvl>
  </w:abstractNum>
  <w:abstractNum w:abstractNumId="9" w15:restartNumberingAfterBreak="0">
    <w:nsid w:val="1D78F35A"/>
    <w:multiLevelType w:val="hybridMultilevel"/>
    <w:tmpl w:val="145E9994"/>
    <w:lvl w:ilvl="0" w:tplc="5DE46D32">
      <w:start w:val="1"/>
      <w:numFmt w:val="bullet"/>
      <w:lvlText w:val=""/>
      <w:lvlJc w:val="left"/>
      <w:pPr>
        <w:ind w:left="720" w:hanging="360"/>
      </w:pPr>
      <w:rPr>
        <w:rFonts w:ascii="Symbol" w:hAnsi="Symbol" w:hint="default"/>
      </w:rPr>
    </w:lvl>
    <w:lvl w:ilvl="1" w:tplc="87203C06">
      <w:start w:val="1"/>
      <w:numFmt w:val="bullet"/>
      <w:lvlText w:val="o"/>
      <w:lvlJc w:val="left"/>
      <w:pPr>
        <w:ind w:left="1440" w:hanging="360"/>
      </w:pPr>
      <w:rPr>
        <w:rFonts w:ascii="Courier New" w:hAnsi="Courier New" w:hint="default"/>
      </w:rPr>
    </w:lvl>
    <w:lvl w:ilvl="2" w:tplc="3AF2AEBC">
      <w:start w:val="1"/>
      <w:numFmt w:val="bullet"/>
      <w:lvlText w:val=""/>
      <w:lvlJc w:val="left"/>
      <w:pPr>
        <w:ind w:left="2160" w:hanging="360"/>
      </w:pPr>
      <w:rPr>
        <w:rFonts w:ascii="Wingdings" w:hAnsi="Wingdings" w:hint="default"/>
      </w:rPr>
    </w:lvl>
    <w:lvl w:ilvl="3" w:tplc="EAE4B42A">
      <w:start w:val="1"/>
      <w:numFmt w:val="bullet"/>
      <w:lvlText w:val=""/>
      <w:lvlJc w:val="left"/>
      <w:pPr>
        <w:ind w:left="2880" w:hanging="360"/>
      </w:pPr>
      <w:rPr>
        <w:rFonts w:ascii="Symbol" w:hAnsi="Symbol" w:hint="default"/>
      </w:rPr>
    </w:lvl>
    <w:lvl w:ilvl="4" w:tplc="1EF63648">
      <w:start w:val="1"/>
      <w:numFmt w:val="bullet"/>
      <w:lvlText w:val="o"/>
      <w:lvlJc w:val="left"/>
      <w:pPr>
        <w:ind w:left="3600" w:hanging="360"/>
      </w:pPr>
      <w:rPr>
        <w:rFonts w:ascii="Courier New" w:hAnsi="Courier New" w:hint="default"/>
      </w:rPr>
    </w:lvl>
    <w:lvl w:ilvl="5" w:tplc="E988CE06">
      <w:start w:val="1"/>
      <w:numFmt w:val="bullet"/>
      <w:lvlText w:val=""/>
      <w:lvlJc w:val="left"/>
      <w:pPr>
        <w:ind w:left="4320" w:hanging="360"/>
      </w:pPr>
      <w:rPr>
        <w:rFonts w:ascii="Wingdings" w:hAnsi="Wingdings" w:hint="default"/>
      </w:rPr>
    </w:lvl>
    <w:lvl w:ilvl="6" w:tplc="6EE6070E">
      <w:start w:val="1"/>
      <w:numFmt w:val="bullet"/>
      <w:lvlText w:val=""/>
      <w:lvlJc w:val="left"/>
      <w:pPr>
        <w:ind w:left="5040" w:hanging="360"/>
      </w:pPr>
      <w:rPr>
        <w:rFonts w:ascii="Symbol" w:hAnsi="Symbol" w:hint="default"/>
      </w:rPr>
    </w:lvl>
    <w:lvl w:ilvl="7" w:tplc="28DCE652">
      <w:start w:val="1"/>
      <w:numFmt w:val="bullet"/>
      <w:lvlText w:val="o"/>
      <w:lvlJc w:val="left"/>
      <w:pPr>
        <w:ind w:left="5760" w:hanging="360"/>
      </w:pPr>
      <w:rPr>
        <w:rFonts w:ascii="Courier New" w:hAnsi="Courier New" w:hint="default"/>
      </w:rPr>
    </w:lvl>
    <w:lvl w:ilvl="8" w:tplc="813A2726">
      <w:start w:val="1"/>
      <w:numFmt w:val="bullet"/>
      <w:lvlText w:val=""/>
      <w:lvlJc w:val="left"/>
      <w:pPr>
        <w:ind w:left="6480" w:hanging="360"/>
      </w:pPr>
      <w:rPr>
        <w:rFonts w:ascii="Wingdings" w:hAnsi="Wingdings" w:hint="default"/>
      </w:rPr>
    </w:lvl>
  </w:abstractNum>
  <w:abstractNum w:abstractNumId="10" w15:restartNumberingAfterBreak="0">
    <w:nsid w:val="1F02307A"/>
    <w:multiLevelType w:val="hybridMultilevel"/>
    <w:tmpl w:val="A37079BE"/>
    <w:lvl w:ilvl="0" w:tplc="EDC06184">
      <w:start w:val="1"/>
      <w:numFmt w:val="bullet"/>
      <w:lvlText w:val=""/>
      <w:lvlJc w:val="left"/>
      <w:pPr>
        <w:ind w:left="720" w:hanging="360"/>
      </w:pPr>
      <w:rPr>
        <w:rFonts w:ascii="Symbol" w:hAnsi="Symbol" w:hint="default"/>
      </w:rPr>
    </w:lvl>
    <w:lvl w:ilvl="1" w:tplc="602281D6">
      <w:start w:val="1"/>
      <w:numFmt w:val="bullet"/>
      <w:lvlText w:val="o"/>
      <w:lvlJc w:val="left"/>
      <w:pPr>
        <w:ind w:left="1440" w:hanging="360"/>
      </w:pPr>
      <w:rPr>
        <w:rFonts w:ascii="Courier New" w:hAnsi="Courier New" w:hint="default"/>
      </w:rPr>
    </w:lvl>
    <w:lvl w:ilvl="2" w:tplc="7E167C6E">
      <w:start w:val="1"/>
      <w:numFmt w:val="bullet"/>
      <w:lvlText w:val=""/>
      <w:lvlJc w:val="left"/>
      <w:pPr>
        <w:ind w:left="2160" w:hanging="360"/>
      </w:pPr>
      <w:rPr>
        <w:rFonts w:ascii="Wingdings" w:hAnsi="Wingdings" w:hint="default"/>
      </w:rPr>
    </w:lvl>
    <w:lvl w:ilvl="3" w:tplc="1598CA84">
      <w:start w:val="1"/>
      <w:numFmt w:val="bullet"/>
      <w:lvlText w:val=""/>
      <w:lvlJc w:val="left"/>
      <w:pPr>
        <w:ind w:left="2880" w:hanging="360"/>
      </w:pPr>
      <w:rPr>
        <w:rFonts w:ascii="Symbol" w:hAnsi="Symbol" w:hint="default"/>
      </w:rPr>
    </w:lvl>
    <w:lvl w:ilvl="4" w:tplc="B1EADC48">
      <w:start w:val="1"/>
      <w:numFmt w:val="bullet"/>
      <w:lvlText w:val="o"/>
      <w:lvlJc w:val="left"/>
      <w:pPr>
        <w:ind w:left="3600" w:hanging="360"/>
      </w:pPr>
      <w:rPr>
        <w:rFonts w:ascii="Courier New" w:hAnsi="Courier New" w:hint="default"/>
      </w:rPr>
    </w:lvl>
    <w:lvl w:ilvl="5" w:tplc="4CF24198">
      <w:start w:val="1"/>
      <w:numFmt w:val="bullet"/>
      <w:lvlText w:val=""/>
      <w:lvlJc w:val="left"/>
      <w:pPr>
        <w:ind w:left="4320" w:hanging="360"/>
      </w:pPr>
      <w:rPr>
        <w:rFonts w:ascii="Wingdings" w:hAnsi="Wingdings" w:hint="default"/>
      </w:rPr>
    </w:lvl>
    <w:lvl w:ilvl="6" w:tplc="D12636EA">
      <w:start w:val="1"/>
      <w:numFmt w:val="bullet"/>
      <w:lvlText w:val=""/>
      <w:lvlJc w:val="left"/>
      <w:pPr>
        <w:ind w:left="5040" w:hanging="360"/>
      </w:pPr>
      <w:rPr>
        <w:rFonts w:ascii="Symbol" w:hAnsi="Symbol" w:hint="default"/>
      </w:rPr>
    </w:lvl>
    <w:lvl w:ilvl="7" w:tplc="0B505040">
      <w:start w:val="1"/>
      <w:numFmt w:val="bullet"/>
      <w:lvlText w:val="o"/>
      <w:lvlJc w:val="left"/>
      <w:pPr>
        <w:ind w:left="5760" w:hanging="360"/>
      </w:pPr>
      <w:rPr>
        <w:rFonts w:ascii="Courier New" w:hAnsi="Courier New" w:hint="default"/>
      </w:rPr>
    </w:lvl>
    <w:lvl w:ilvl="8" w:tplc="1296692E">
      <w:start w:val="1"/>
      <w:numFmt w:val="bullet"/>
      <w:lvlText w:val=""/>
      <w:lvlJc w:val="left"/>
      <w:pPr>
        <w:ind w:left="6480" w:hanging="360"/>
      </w:pPr>
      <w:rPr>
        <w:rFonts w:ascii="Wingdings" w:hAnsi="Wingdings" w:hint="default"/>
      </w:rPr>
    </w:lvl>
  </w:abstractNum>
  <w:abstractNum w:abstractNumId="11" w15:restartNumberingAfterBreak="0">
    <w:nsid w:val="20C1FD48"/>
    <w:multiLevelType w:val="hybridMultilevel"/>
    <w:tmpl w:val="94F867DE"/>
    <w:lvl w:ilvl="0" w:tplc="51802754">
      <w:start w:val="1"/>
      <w:numFmt w:val="bullet"/>
      <w:lvlText w:val=""/>
      <w:lvlJc w:val="left"/>
      <w:pPr>
        <w:ind w:left="720" w:hanging="360"/>
      </w:pPr>
      <w:rPr>
        <w:rFonts w:ascii="Symbol" w:hAnsi="Symbol" w:hint="default"/>
      </w:rPr>
    </w:lvl>
    <w:lvl w:ilvl="1" w:tplc="3B466ECE">
      <w:start w:val="1"/>
      <w:numFmt w:val="bullet"/>
      <w:lvlText w:val="o"/>
      <w:lvlJc w:val="left"/>
      <w:pPr>
        <w:ind w:left="1440" w:hanging="360"/>
      </w:pPr>
      <w:rPr>
        <w:rFonts w:ascii="Courier New" w:hAnsi="Courier New" w:hint="default"/>
      </w:rPr>
    </w:lvl>
    <w:lvl w:ilvl="2" w:tplc="3D008CB2">
      <w:start w:val="1"/>
      <w:numFmt w:val="bullet"/>
      <w:lvlText w:val=""/>
      <w:lvlJc w:val="left"/>
      <w:pPr>
        <w:ind w:left="2160" w:hanging="360"/>
      </w:pPr>
      <w:rPr>
        <w:rFonts w:ascii="Wingdings" w:hAnsi="Wingdings" w:hint="default"/>
      </w:rPr>
    </w:lvl>
    <w:lvl w:ilvl="3" w:tplc="0E1A64E6">
      <w:start w:val="1"/>
      <w:numFmt w:val="bullet"/>
      <w:lvlText w:val=""/>
      <w:lvlJc w:val="left"/>
      <w:pPr>
        <w:ind w:left="2880" w:hanging="360"/>
      </w:pPr>
      <w:rPr>
        <w:rFonts w:ascii="Symbol" w:hAnsi="Symbol" w:hint="default"/>
      </w:rPr>
    </w:lvl>
    <w:lvl w:ilvl="4" w:tplc="693C9776">
      <w:start w:val="1"/>
      <w:numFmt w:val="bullet"/>
      <w:lvlText w:val="o"/>
      <w:lvlJc w:val="left"/>
      <w:pPr>
        <w:ind w:left="3600" w:hanging="360"/>
      </w:pPr>
      <w:rPr>
        <w:rFonts w:ascii="Courier New" w:hAnsi="Courier New" w:hint="default"/>
      </w:rPr>
    </w:lvl>
    <w:lvl w:ilvl="5" w:tplc="132CC602">
      <w:start w:val="1"/>
      <w:numFmt w:val="bullet"/>
      <w:lvlText w:val=""/>
      <w:lvlJc w:val="left"/>
      <w:pPr>
        <w:ind w:left="4320" w:hanging="360"/>
      </w:pPr>
      <w:rPr>
        <w:rFonts w:ascii="Wingdings" w:hAnsi="Wingdings" w:hint="default"/>
      </w:rPr>
    </w:lvl>
    <w:lvl w:ilvl="6" w:tplc="D1424F04">
      <w:start w:val="1"/>
      <w:numFmt w:val="bullet"/>
      <w:lvlText w:val=""/>
      <w:lvlJc w:val="left"/>
      <w:pPr>
        <w:ind w:left="5040" w:hanging="360"/>
      </w:pPr>
      <w:rPr>
        <w:rFonts w:ascii="Symbol" w:hAnsi="Symbol" w:hint="default"/>
      </w:rPr>
    </w:lvl>
    <w:lvl w:ilvl="7" w:tplc="B5227020">
      <w:start w:val="1"/>
      <w:numFmt w:val="bullet"/>
      <w:lvlText w:val="o"/>
      <w:lvlJc w:val="left"/>
      <w:pPr>
        <w:ind w:left="5760" w:hanging="360"/>
      </w:pPr>
      <w:rPr>
        <w:rFonts w:ascii="Courier New" w:hAnsi="Courier New" w:hint="default"/>
      </w:rPr>
    </w:lvl>
    <w:lvl w:ilvl="8" w:tplc="E8EAFAE8">
      <w:start w:val="1"/>
      <w:numFmt w:val="bullet"/>
      <w:lvlText w:val=""/>
      <w:lvlJc w:val="left"/>
      <w:pPr>
        <w:ind w:left="6480" w:hanging="360"/>
      </w:pPr>
      <w:rPr>
        <w:rFonts w:ascii="Wingdings" w:hAnsi="Wingdings" w:hint="default"/>
      </w:rPr>
    </w:lvl>
  </w:abstractNum>
  <w:abstractNum w:abstractNumId="12" w15:restartNumberingAfterBreak="0">
    <w:nsid w:val="237277C3"/>
    <w:multiLevelType w:val="hybridMultilevel"/>
    <w:tmpl w:val="F0E080A2"/>
    <w:lvl w:ilvl="0" w:tplc="67024652">
      <w:start w:val="1"/>
      <w:numFmt w:val="bullet"/>
      <w:lvlText w:val=""/>
      <w:lvlJc w:val="left"/>
      <w:pPr>
        <w:ind w:left="720" w:hanging="360"/>
      </w:pPr>
      <w:rPr>
        <w:rFonts w:ascii="Symbol" w:hAnsi="Symbol" w:hint="default"/>
      </w:rPr>
    </w:lvl>
    <w:lvl w:ilvl="1" w:tplc="4CB06C10">
      <w:start w:val="1"/>
      <w:numFmt w:val="bullet"/>
      <w:lvlText w:val="o"/>
      <w:lvlJc w:val="left"/>
      <w:pPr>
        <w:ind w:left="1440" w:hanging="360"/>
      </w:pPr>
      <w:rPr>
        <w:rFonts w:ascii="Courier New" w:hAnsi="Courier New" w:hint="default"/>
      </w:rPr>
    </w:lvl>
    <w:lvl w:ilvl="2" w:tplc="179E6B92">
      <w:start w:val="1"/>
      <w:numFmt w:val="bullet"/>
      <w:lvlText w:val=""/>
      <w:lvlJc w:val="left"/>
      <w:pPr>
        <w:ind w:left="2160" w:hanging="360"/>
      </w:pPr>
      <w:rPr>
        <w:rFonts w:ascii="Wingdings" w:hAnsi="Wingdings" w:hint="default"/>
      </w:rPr>
    </w:lvl>
    <w:lvl w:ilvl="3" w:tplc="5C6891A8">
      <w:start w:val="1"/>
      <w:numFmt w:val="bullet"/>
      <w:lvlText w:val=""/>
      <w:lvlJc w:val="left"/>
      <w:pPr>
        <w:ind w:left="2880" w:hanging="360"/>
      </w:pPr>
      <w:rPr>
        <w:rFonts w:ascii="Symbol" w:hAnsi="Symbol" w:hint="default"/>
      </w:rPr>
    </w:lvl>
    <w:lvl w:ilvl="4" w:tplc="8828062A">
      <w:start w:val="1"/>
      <w:numFmt w:val="bullet"/>
      <w:lvlText w:val="o"/>
      <w:lvlJc w:val="left"/>
      <w:pPr>
        <w:ind w:left="3600" w:hanging="360"/>
      </w:pPr>
      <w:rPr>
        <w:rFonts w:ascii="Courier New" w:hAnsi="Courier New" w:hint="default"/>
      </w:rPr>
    </w:lvl>
    <w:lvl w:ilvl="5" w:tplc="EAA424A2">
      <w:start w:val="1"/>
      <w:numFmt w:val="bullet"/>
      <w:lvlText w:val=""/>
      <w:lvlJc w:val="left"/>
      <w:pPr>
        <w:ind w:left="4320" w:hanging="360"/>
      </w:pPr>
      <w:rPr>
        <w:rFonts w:ascii="Wingdings" w:hAnsi="Wingdings" w:hint="default"/>
      </w:rPr>
    </w:lvl>
    <w:lvl w:ilvl="6" w:tplc="B8064240">
      <w:start w:val="1"/>
      <w:numFmt w:val="bullet"/>
      <w:lvlText w:val=""/>
      <w:lvlJc w:val="left"/>
      <w:pPr>
        <w:ind w:left="5040" w:hanging="360"/>
      </w:pPr>
      <w:rPr>
        <w:rFonts w:ascii="Symbol" w:hAnsi="Symbol" w:hint="default"/>
      </w:rPr>
    </w:lvl>
    <w:lvl w:ilvl="7" w:tplc="200E2D42">
      <w:start w:val="1"/>
      <w:numFmt w:val="bullet"/>
      <w:lvlText w:val="o"/>
      <w:lvlJc w:val="left"/>
      <w:pPr>
        <w:ind w:left="5760" w:hanging="360"/>
      </w:pPr>
      <w:rPr>
        <w:rFonts w:ascii="Courier New" w:hAnsi="Courier New" w:hint="default"/>
      </w:rPr>
    </w:lvl>
    <w:lvl w:ilvl="8" w:tplc="C0FE629C">
      <w:start w:val="1"/>
      <w:numFmt w:val="bullet"/>
      <w:lvlText w:val=""/>
      <w:lvlJc w:val="left"/>
      <w:pPr>
        <w:ind w:left="6480" w:hanging="360"/>
      </w:pPr>
      <w:rPr>
        <w:rFonts w:ascii="Wingdings" w:hAnsi="Wingdings" w:hint="default"/>
      </w:rPr>
    </w:lvl>
  </w:abstractNum>
  <w:abstractNum w:abstractNumId="13" w15:restartNumberingAfterBreak="0">
    <w:nsid w:val="29F1A99A"/>
    <w:multiLevelType w:val="hybridMultilevel"/>
    <w:tmpl w:val="2F3EC4D6"/>
    <w:lvl w:ilvl="0" w:tplc="C8EEEEEA">
      <w:start w:val="1"/>
      <w:numFmt w:val="bullet"/>
      <w:lvlText w:val=""/>
      <w:lvlJc w:val="left"/>
      <w:pPr>
        <w:ind w:left="720" w:hanging="360"/>
      </w:pPr>
      <w:rPr>
        <w:rFonts w:ascii="Symbol" w:hAnsi="Symbol" w:hint="default"/>
      </w:rPr>
    </w:lvl>
    <w:lvl w:ilvl="1" w:tplc="0CDCC7B6">
      <w:start w:val="1"/>
      <w:numFmt w:val="bullet"/>
      <w:lvlText w:val="o"/>
      <w:lvlJc w:val="left"/>
      <w:pPr>
        <w:ind w:left="1440" w:hanging="360"/>
      </w:pPr>
      <w:rPr>
        <w:rFonts w:ascii="Courier New" w:hAnsi="Courier New" w:hint="default"/>
      </w:rPr>
    </w:lvl>
    <w:lvl w:ilvl="2" w:tplc="1EACF0E4">
      <w:start w:val="1"/>
      <w:numFmt w:val="bullet"/>
      <w:lvlText w:val=""/>
      <w:lvlJc w:val="left"/>
      <w:pPr>
        <w:ind w:left="2160" w:hanging="360"/>
      </w:pPr>
      <w:rPr>
        <w:rFonts w:ascii="Wingdings" w:hAnsi="Wingdings" w:hint="default"/>
      </w:rPr>
    </w:lvl>
    <w:lvl w:ilvl="3" w:tplc="E730A8D6">
      <w:start w:val="1"/>
      <w:numFmt w:val="bullet"/>
      <w:lvlText w:val=""/>
      <w:lvlJc w:val="left"/>
      <w:pPr>
        <w:ind w:left="2880" w:hanging="360"/>
      </w:pPr>
      <w:rPr>
        <w:rFonts w:ascii="Symbol" w:hAnsi="Symbol" w:hint="default"/>
      </w:rPr>
    </w:lvl>
    <w:lvl w:ilvl="4" w:tplc="B60A4480">
      <w:start w:val="1"/>
      <w:numFmt w:val="bullet"/>
      <w:lvlText w:val="o"/>
      <w:lvlJc w:val="left"/>
      <w:pPr>
        <w:ind w:left="3600" w:hanging="360"/>
      </w:pPr>
      <w:rPr>
        <w:rFonts w:ascii="Courier New" w:hAnsi="Courier New" w:hint="default"/>
      </w:rPr>
    </w:lvl>
    <w:lvl w:ilvl="5" w:tplc="3206781C">
      <w:start w:val="1"/>
      <w:numFmt w:val="bullet"/>
      <w:lvlText w:val=""/>
      <w:lvlJc w:val="left"/>
      <w:pPr>
        <w:ind w:left="4320" w:hanging="360"/>
      </w:pPr>
      <w:rPr>
        <w:rFonts w:ascii="Wingdings" w:hAnsi="Wingdings" w:hint="default"/>
      </w:rPr>
    </w:lvl>
    <w:lvl w:ilvl="6" w:tplc="41B8BBAA">
      <w:start w:val="1"/>
      <w:numFmt w:val="bullet"/>
      <w:lvlText w:val=""/>
      <w:lvlJc w:val="left"/>
      <w:pPr>
        <w:ind w:left="5040" w:hanging="360"/>
      </w:pPr>
      <w:rPr>
        <w:rFonts w:ascii="Symbol" w:hAnsi="Symbol" w:hint="default"/>
      </w:rPr>
    </w:lvl>
    <w:lvl w:ilvl="7" w:tplc="139A56B8">
      <w:start w:val="1"/>
      <w:numFmt w:val="bullet"/>
      <w:lvlText w:val="o"/>
      <w:lvlJc w:val="left"/>
      <w:pPr>
        <w:ind w:left="5760" w:hanging="360"/>
      </w:pPr>
      <w:rPr>
        <w:rFonts w:ascii="Courier New" w:hAnsi="Courier New" w:hint="default"/>
      </w:rPr>
    </w:lvl>
    <w:lvl w:ilvl="8" w:tplc="2ACC51B4">
      <w:start w:val="1"/>
      <w:numFmt w:val="bullet"/>
      <w:lvlText w:val=""/>
      <w:lvlJc w:val="left"/>
      <w:pPr>
        <w:ind w:left="6480" w:hanging="360"/>
      </w:pPr>
      <w:rPr>
        <w:rFonts w:ascii="Wingdings" w:hAnsi="Wingdings" w:hint="default"/>
      </w:rPr>
    </w:lvl>
  </w:abstractNum>
  <w:abstractNum w:abstractNumId="14" w15:restartNumberingAfterBreak="0">
    <w:nsid w:val="2ACE90A0"/>
    <w:multiLevelType w:val="hybridMultilevel"/>
    <w:tmpl w:val="5C9C62A4"/>
    <w:lvl w:ilvl="0" w:tplc="855A5D4E">
      <w:start w:val="1"/>
      <w:numFmt w:val="bullet"/>
      <w:lvlText w:val=""/>
      <w:lvlJc w:val="left"/>
      <w:pPr>
        <w:ind w:left="720" w:hanging="360"/>
      </w:pPr>
      <w:rPr>
        <w:rFonts w:ascii="Symbol" w:hAnsi="Symbol" w:hint="default"/>
      </w:rPr>
    </w:lvl>
    <w:lvl w:ilvl="1" w:tplc="0A4EB5BA">
      <w:start w:val="1"/>
      <w:numFmt w:val="bullet"/>
      <w:lvlText w:val="o"/>
      <w:lvlJc w:val="left"/>
      <w:pPr>
        <w:ind w:left="1440" w:hanging="360"/>
      </w:pPr>
      <w:rPr>
        <w:rFonts w:ascii="Courier New" w:hAnsi="Courier New" w:hint="default"/>
      </w:rPr>
    </w:lvl>
    <w:lvl w:ilvl="2" w:tplc="1D0E1FE4">
      <w:start w:val="1"/>
      <w:numFmt w:val="bullet"/>
      <w:lvlText w:val=""/>
      <w:lvlJc w:val="left"/>
      <w:pPr>
        <w:ind w:left="2160" w:hanging="360"/>
      </w:pPr>
      <w:rPr>
        <w:rFonts w:ascii="Wingdings" w:hAnsi="Wingdings" w:hint="default"/>
      </w:rPr>
    </w:lvl>
    <w:lvl w:ilvl="3" w:tplc="D47C48C8">
      <w:start w:val="1"/>
      <w:numFmt w:val="bullet"/>
      <w:lvlText w:val=""/>
      <w:lvlJc w:val="left"/>
      <w:pPr>
        <w:ind w:left="2880" w:hanging="360"/>
      </w:pPr>
      <w:rPr>
        <w:rFonts w:ascii="Symbol" w:hAnsi="Symbol" w:hint="default"/>
      </w:rPr>
    </w:lvl>
    <w:lvl w:ilvl="4" w:tplc="8BBE9982">
      <w:start w:val="1"/>
      <w:numFmt w:val="bullet"/>
      <w:lvlText w:val="o"/>
      <w:lvlJc w:val="left"/>
      <w:pPr>
        <w:ind w:left="3600" w:hanging="360"/>
      </w:pPr>
      <w:rPr>
        <w:rFonts w:ascii="Courier New" w:hAnsi="Courier New" w:hint="default"/>
      </w:rPr>
    </w:lvl>
    <w:lvl w:ilvl="5" w:tplc="9C665ACC">
      <w:start w:val="1"/>
      <w:numFmt w:val="bullet"/>
      <w:lvlText w:val=""/>
      <w:lvlJc w:val="left"/>
      <w:pPr>
        <w:ind w:left="4320" w:hanging="360"/>
      </w:pPr>
      <w:rPr>
        <w:rFonts w:ascii="Wingdings" w:hAnsi="Wingdings" w:hint="default"/>
      </w:rPr>
    </w:lvl>
    <w:lvl w:ilvl="6" w:tplc="AA3655CE">
      <w:start w:val="1"/>
      <w:numFmt w:val="bullet"/>
      <w:lvlText w:val=""/>
      <w:lvlJc w:val="left"/>
      <w:pPr>
        <w:ind w:left="5040" w:hanging="360"/>
      </w:pPr>
      <w:rPr>
        <w:rFonts w:ascii="Symbol" w:hAnsi="Symbol" w:hint="default"/>
      </w:rPr>
    </w:lvl>
    <w:lvl w:ilvl="7" w:tplc="277E83A0">
      <w:start w:val="1"/>
      <w:numFmt w:val="bullet"/>
      <w:lvlText w:val="o"/>
      <w:lvlJc w:val="left"/>
      <w:pPr>
        <w:ind w:left="5760" w:hanging="360"/>
      </w:pPr>
      <w:rPr>
        <w:rFonts w:ascii="Courier New" w:hAnsi="Courier New" w:hint="default"/>
      </w:rPr>
    </w:lvl>
    <w:lvl w:ilvl="8" w:tplc="173CC97E">
      <w:start w:val="1"/>
      <w:numFmt w:val="bullet"/>
      <w:lvlText w:val=""/>
      <w:lvlJc w:val="left"/>
      <w:pPr>
        <w:ind w:left="6480" w:hanging="360"/>
      </w:pPr>
      <w:rPr>
        <w:rFonts w:ascii="Wingdings" w:hAnsi="Wingdings" w:hint="default"/>
      </w:rPr>
    </w:lvl>
  </w:abstractNum>
  <w:abstractNum w:abstractNumId="15" w15:restartNumberingAfterBreak="0">
    <w:nsid w:val="2C371EC7"/>
    <w:multiLevelType w:val="hybridMultilevel"/>
    <w:tmpl w:val="CAB2C3C6"/>
    <w:lvl w:ilvl="0" w:tplc="36A6D390">
      <w:start w:val="1"/>
      <w:numFmt w:val="bullet"/>
      <w:lvlText w:val=""/>
      <w:lvlJc w:val="left"/>
      <w:pPr>
        <w:ind w:left="720" w:hanging="360"/>
      </w:pPr>
      <w:rPr>
        <w:rFonts w:ascii="Symbol" w:hAnsi="Symbol" w:hint="default"/>
      </w:rPr>
    </w:lvl>
    <w:lvl w:ilvl="1" w:tplc="B52AC458">
      <w:start w:val="1"/>
      <w:numFmt w:val="bullet"/>
      <w:lvlText w:val="o"/>
      <w:lvlJc w:val="left"/>
      <w:pPr>
        <w:ind w:left="1440" w:hanging="360"/>
      </w:pPr>
      <w:rPr>
        <w:rFonts w:ascii="Courier New" w:hAnsi="Courier New" w:hint="default"/>
      </w:rPr>
    </w:lvl>
    <w:lvl w:ilvl="2" w:tplc="DBD6554A">
      <w:start w:val="1"/>
      <w:numFmt w:val="bullet"/>
      <w:lvlText w:val=""/>
      <w:lvlJc w:val="left"/>
      <w:pPr>
        <w:ind w:left="2160" w:hanging="360"/>
      </w:pPr>
      <w:rPr>
        <w:rFonts w:ascii="Wingdings" w:hAnsi="Wingdings" w:hint="default"/>
      </w:rPr>
    </w:lvl>
    <w:lvl w:ilvl="3" w:tplc="8196D08E">
      <w:start w:val="1"/>
      <w:numFmt w:val="bullet"/>
      <w:lvlText w:val=""/>
      <w:lvlJc w:val="left"/>
      <w:pPr>
        <w:ind w:left="2880" w:hanging="360"/>
      </w:pPr>
      <w:rPr>
        <w:rFonts w:ascii="Symbol" w:hAnsi="Symbol" w:hint="default"/>
      </w:rPr>
    </w:lvl>
    <w:lvl w:ilvl="4" w:tplc="9272B510">
      <w:start w:val="1"/>
      <w:numFmt w:val="bullet"/>
      <w:lvlText w:val="o"/>
      <w:lvlJc w:val="left"/>
      <w:pPr>
        <w:ind w:left="3600" w:hanging="360"/>
      </w:pPr>
      <w:rPr>
        <w:rFonts w:ascii="Courier New" w:hAnsi="Courier New" w:hint="default"/>
      </w:rPr>
    </w:lvl>
    <w:lvl w:ilvl="5" w:tplc="A00A26AC">
      <w:start w:val="1"/>
      <w:numFmt w:val="bullet"/>
      <w:lvlText w:val=""/>
      <w:lvlJc w:val="left"/>
      <w:pPr>
        <w:ind w:left="4320" w:hanging="360"/>
      </w:pPr>
      <w:rPr>
        <w:rFonts w:ascii="Wingdings" w:hAnsi="Wingdings" w:hint="default"/>
      </w:rPr>
    </w:lvl>
    <w:lvl w:ilvl="6" w:tplc="1A66FB32">
      <w:start w:val="1"/>
      <w:numFmt w:val="bullet"/>
      <w:lvlText w:val=""/>
      <w:lvlJc w:val="left"/>
      <w:pPr>
        <w:ind w:left="5040" w:hanging="360"/>
      </w:pPr>
      <w:rPr>
        <w:rFonts w:ascii="Symbol" w:hAnsi="Symbol" w:hint="default"/>
      </w:rPr>
    </w:lvl>
    <w:lvl w:ilvl="7" w:tplc="4C4686E4">
      <w:start w:val="1"/>
      <w:numFmt w:val="bullet"/>
      <w:lvlText w:val="o"/>
      <w:lvlJc w:val="left"/>
      <w:pPr>
        <w:ind w:left="5760" w:hanging="360"/>
      </w:pPr>
      <w:rPr>
        <w:rFonts w:ascii="Courier New" w:hAnsi="Courier New" w:hint="default"/>
      </w:rPr>
    </w:lvl>
    <w:lvl w:ilvl="8" w:tplc="4998C69E">
      <w:start w:val="1"/>
      <w:numFmt w:val="bullet"/>
      <w:lvlText w:val=""/>
      <w:lvlJc w:val="left"/>
      <w:pPr>
        <w:ind w:left="6480" w:hanging="360"/>
      </w:pPr>
      <w:rPr>
        <w:rFonts w:ascii="Wingdings" w:hAnsi="Wingdings" w:hint="default"/>
      </w:rPr>
    </w:lvl>
  </w:abstractNum>
  <w:abstractNum w:abstractNumId="16" w15:restartNumberingAfterBreak="0">
    <w:nsid w:val="2EF48E0A"/>
    <w:multiLevelType w:val="hybridMultilevel"/>
    <w:tmpl w:val="5CE0692E"/>
    <w:lvl w:ilvl="0" w:tplc="724ADC3A">
      <w:start w:val="1"/>
      <w:numFmt w:val="bullet"/>
      <w:lvlText w:val=""/>
      <w:lvlJc w:val="left"/>
      <w:pPr>
        <w:ind w:left="720" w:hanging="360"/>
      </w:pPr>
      <w:rPr>
        <w:rFonts w:ascii="Symbol" w:hAnsi="Symbol" w:hint="default"/>
      </w:rPr>
    </w:lvl>
    <w:lvl w:ilvl="1" w:tplc="32A09EF4">
      <w:start w:val="1"/>
      <w:numFmt w:val="bullet"/>
      <w:lvlText w:val="o"/>
      <w:lvlJc w:val="left"/>
      <w:pPr>
        <w:ind w:left="1440" w:hanging="360"/>
      </w:pPr>
      <w:rPr>
        <w:rFonts w:ascii="Courier New" w:hAnsi="Courier New" w:hint="default"/>
      </w:rPr>
    </w:lvl>
    <w:lvl w:ilvl="2" w:tplc="64D23D80">
      <w:start w:val="1"/>
      <w:numFmt w:val="bullet"/>
      <w:lvlText w:val=""/>
      <w:lvlJc w:val="left"/>
      <w:pPr>
        <w:ind w:left="2160" w:hanging="360"/>
      </w:pPr>
      <w:rPr>
        <w:rFonts w:ascii="Wingdings" w:hAnsi="Wingdings" w:hint="default"/>
      </w:rPr>
    </w:lvl>
    <w:lvl w:ilvl="3" w:tplc="C45A46BC">
      <w:start w:val="1"/>
      <w:numFmt w:val="bullet"/>
      <w:lvlText w:val=""/>
      <w:lvlJc w:val="left"/>
      <w:pPr>
        <w:ind w:left="2880" w:hanging="360"/>
      </w:pPr>
      <w:rPr>
        <w:rFonts w:ascii="Symbol" w:hAnsi="Symbol" w:hint="default"/>
      </w:rPr>
    </w:lvl>
    <w:lvl w:ilvl="4" w:tplc="214A9C1E">
      <w:start w:val="1"/>
      <w:numFmt w:val="bullet"/>
      <w:lvlText w:val="o"/>
      <w:lvlJc w:val="left"/>
      <w:pPr>
        <w:ind w:left="3600" w:hanging="360"/>
      </w:pPr>
      <w:rPr>
        <w:rFonts w:ascii="Courier New" w:hAnsi="Courier New" w:hint="default"/>
      </w:rPr>
    </w:lvl>
    <w:lvl w:ilvl="5" w:tplc="A8B4798C">
      <w:start w:val="1"/>
      <w:numFmt w:val="bullet"/>
      <w:lvlText w:val=""/>
      <w:lvlJc w:val="left"/>
      <w:pPr>
        <w:ind w:left="4320" w:hanging="360"/>
      </w:pPr>
      <w:rPr>
        <w:rFonts w:ascii="Wingdings" w:hAnsi="Wingdings" w:hint="default"/>
      </w:rPr>
    </w:lvl>
    <w:lvl w:ilvl="6" w:tplc="64A0CA3E">
      <w:start w:val="1"/>
      <w:numFmt w:val="bullet"/>
      <w:lvlText w:val=""/>
      <w:lvlJc w:val="left"/>
      <w:pPr>
        <w:ind w:left="5040" w:hanging="360"/>
      </w:pPr>
      <w:rPr>
        <w:rFonts w:ascii="Symbol" w:hAnsi="Symbol" w:hint="default"/>
      </w:rPr>
    </w:lvl>
    <w:lvl w:ilvl="7" w:tplc="5232A350">
      <w:start w:val="1"/>
      <w:numFmt w:val="bullet"/>
      <w:lvlText w:val="o"/>
      <w:lvlJc w:val="left"/>
      <w:pPr>
        <w:ind w:left="5760" w:hanging="360"/>
      </w:pPr>
      <w:rPr>
        <w:rFonts w:ascii="Courier New" w:hAnsi="Courier New" w:hint="default"/>
      </w:rPr>
    </w:lvl>
    <w:lvl w:ilvl="8" w:tplc="C764E4AC">
      <w:start w:val="1"/>
      <w:numFmt w:val="bullet"/>
      <w:lvlText w:val=""/>
      <w:lvlJc w:val="left"/>
      <w:pPr>
        <w:ind w:left="6480" w:hanging="360"/>
      </w:pPr>
      <w:rPr>
        <w:rFonts w:ascii="Wingdings" w:hAnsi="Wingdings" w:hint="default"/>
      </w:rPr>
    </w:lvl>
  </w:abstractNum>
  <w:abstractNum w:abstractNumId="17" w15:restartNumberingAfterBreak="0">
    <w:nsid w:val="324E8A20"/>
    <w:multiLevelType w:val="hybridMultilevel"/>
    <w:tmpl w:val="DBB2D564"/>
    <w:lvl w:ilvl="0" w:tplc="E64A2654">
      <w:start w:val="1"/>
      <w:numFmt w:val="bullet"/>
      <w:lvlText w:val=""/>
      <w:lvlJc w:val="left"/>
      <w:pPr>
        <w:ind w:left="720" w:hanging="360"/>
      </w:pPr>
      <w:rPr>
        <w:rFonts w:ascii="Symbol" w:hAnsi="Symbol" w:hint="default"/>
      </w:rPr>
    </w:lvl>
    <w:lvl w:ilvl="1" w:tplc="E8382EB0">
      <w:start w:val="1"/>
      <w:numFmt w:val="bullet"/>
      <w:lvlText w:val="o"/>
      <w:lvlJc w:val="left"/>
      <w:pPr>
        <w:ind w:left="1440" w:hanging="360"/>
      </w:pPr>
      <w:rPr>
        <w:rFonts w:ascii="Courier New" w:hAnsi="Courier New" w:hint="default"/>
      </w:rPr>
    </w:lvl>
    <w:lvl w:ilvl="2" w:tplc="9F5E526C">
      <w:start w:val="1"/>
      <w:numFmt w:val="bullet"/>
      <w:lvlText w:val=""/>
      <w:lvlJc w:val="left"/>
      <w:pPr>
        <w:ind w:left="2160" w:hanging="360"/>
      </w:pPr>
      <w:rPr>
        <w:rFonts w:ascii="Wingdings" w:hAnsi="Wingdings" w:hint="default"/>
      </w:rPr>
    </w:lvl>
    <w:lvl w:ilvl="3" w:tplc="601A4ACC">
      <w:start w:val="1"/>
      <w:numFmt w:val="bullet"/>
      <w:lvlText w:val=""/>
      <w:lvlJc w:val="left"/>
      <w:pPr>
        <w:ind w:left="2880" w:hanging="360"/>
      </w:pPr>
      <w:rPr>
        <w:rFonts w:ascii="Symbol" w:hAnsi="Symbol" w:hint="default"/>
      </w:rPr>
    </w:lvl>
    <w:lvl w:ilvl="4" w:tplc="F092D98C">
      <w:start w:val="1"/>
      <w:numFmt w:val="bullet"/>
      <w:lvlText w:val="o"/>
      <w:lvlJc w:val="left"/>
      <w:pPr>
        <w:ind w:left="3600" w:hanging="360"/>
      </w:pPr>
      <w:rPr>
        <w:rFonts w:ascii="Courier New" w:hAnsi="Courier New" w:hint="default"/>
      </w:rPr>
    </w:lvl>
    <w:lvl w:ilvl="5" w:tplc="7974D90A">
      <w:start w:val="1"/>
      <w:numFmt w:val="bullet"/>
      <w:lvlText w:val=""/>
      <w:lvlJc w:val="left"/>
      <w:pPr>
        <w:ind w:left="4320" w:hanging="360"/>
      </w:pPr>
      <w:rPr>
        <w:rFonts w:ascii="Wingdings" w:hAnsi="Wingdings" w:hint="default"/>
      </w:rPr>
    </w:lvl>
    <w:lvl w:ilvl="6" w:tplc="FF46E71A">
      <w:start w:val="1"/>
      <w:numFmt w:val="bullet"/>
      <w:lvlText w:val=""/>
      <w:lvlJc w:val="left"/>
      <w:pPr>
        <w:ind w:left="5040" w:hanging="360"/>
      </w:pPr>
      <w:rPr>
        <w:rFonts w:ascii="Symbol" w:hAnsi="Symbol" w:hint="default"/>
      </w:rPr>
    </w:lvl>
    <w:lvl w:ilvl="7" w:tplc="91B67144">
      <w:start w:val="1"/>
      <w:numFmt w:val="bullet"/>
      <w:lvlText w:val="o"/>
      <w:lvlJc w:val="left"/>
      <w:pPr>
        <w:ind w:left="5760" w:hanging="360"/>
      </w:pPr>
      <w:rPr>
        <w:rFonts w:ascii="Courier New" w:hAnsi="Courier New" w:hint="default"/>
      </w:rPr>
    </w:lvl>
    <w:lvl w:ilvl="8" w:tplc="DA6E3E3C">
      <w:start w:val="1"/>
      <w:numFmt w:val="bullet"/>
      <w:lvlText w:val=""/>
      <w:lvlJc w:val="left"/>
      <w:pPr>
        <w:ind w:left="6480" w:hanging="360"/>
      </w:pPr>
      <w:rPr>
        <w:rFonts w:ascii="Wingdings" w:hAnsi="Wingdings" w:hint="default"/>
      </w:rPr>
    </w:lvl>
  </w:abstractNum>
  <w:abstractNum w:abstractNumId="18" w15:restartNumberingAfterBreak="0">
    <w:nsid w:val="36685842"/>
    <w:multiLevelType w:val="hybridMultilevel"/>
    <w:tmpl w:val="4F3C438E"/>
    <w:lvl w:ilvl="0" w:tplc="EAF8B34A">
      <w:start w:val="1"/>
      <w:numFmt w:val="bullet"/>
      <w:lvlText w:val=""/>
      <w:lvlJc w:val="left"/>
      <w:pPr>
        <w:ind w:left="720" w:hanging="360"/>
      </w:pPr>
      <w:rPr>
        <w:rFonts w:ascii="Symbol" w:hAnsi="Symbol" w:hint="default"/>
      </w:rPr>
    </w:lvl>
    <w:lvl w:ilvl="1" w:tplc="AA4802BC">
      <w:start w:val="1"/>
      <w:numFmt w:val="bullet"/>
      <w:lvlText w:val="o"/>
      <w:lvlJc w:val="left"/>
      <w:pPr>
        <w:ind w:left="1440" w:hanging="360"/>
      </w:pPr>
      <w:rPr>
        <w:rFonts w:ascii="Courier New" w:hAnsi="Courier New" w:hint="default"/>
      </w:rPr>
    </w:lvl>
    <w:lvl w:ilvl="2" w:tplc="34CE2316">
      <w:start w:val="1"/>
      <w:numFmt w:val="bullet"/>
      <w:lvlText w:val=""/>
      <w:lvlJc w:val="left"/>
      <w:pPr>
        <w:ind w:left="2160" w:hanging="360"/>
      </w:pPr>
      <w:rPr>
        <w:rFonts w:ascii="Wingdings" w:hAnsi="Wingdings" w:hint="default"/>
      </w:rPr>
    </w:lvl>
    <w:lvl w:ilvl="3" w:tplc="7E8A0846">
      <w:start w:val="1"/>
      <w:numFmt w:val="bullet"/>
      <w:lvlText w:val=""/>
      <w:lvlJc w:val="left"/>
      <w:pPr>
        <w:ind w:left="2880" w:hanging="360"/>
      </w:pPr>
      <w:rPr>
        <w:rFonts w:ascii="Symbol" w:hAnsi="Symbol" w:hint="default"/>
      </w:rPr>
    </w:lvl>
    <w:lvl w:ilvl="4" w:tplc="BD18B08C">
      <w:start w:val="1"/>
      <w:numFmt w:val="bullet"/>
      <w:lvlText w:val="o"/>
      <w:lvlJc w:val="left"/>
      <w:pPr>
        <w:ind w:left="3600" w:hanging="360"/>
      </w:pPr>
      <w:rPr>
        <w:rFonts w:ascii="Courier New" w:hAnsi="Courier New" w:hint="default"/>
      </w:rPr>
    </w:lvl>
    <w:lvl w:ilvl="5" w:tplc="9A9E0938">
      <w:start w:val="1"/>
      <w:numFmt w:val="bullet"/>
      <w:lvlText w:val=""/>
      <w:lvlJc w:val="left"/>
      <w:pPr>
        <w:ind w:left="4320" w:hanging="360"/>
      </w:pPr>
      <w:rPr>
        <w:rFonts w:ascii="Wingdings" w:hAnsi="Wingdings" w:hint="default"/>
      </w:rPr>
    </w:lvl>
    <w:lvl w:ilvl="6" w:tplc="E90E5880">
      <w:start w:val="1"/>
      <w:numFmt w:val="bullet"/>
      <w:lvlText w:val=""/>
      <w:lvlJc w:val="left"/>
      <w:pPr>
        <w:ind w:left="5040" w:hanging="360"/>
      </w:pPr>
      <w:rPr>
        <w:rFonts w:ascii="Symbol" w:hAnsi="Symbol" w:hint="default"/>
      </w:rPr>
    </w:lvl>
    <w:lvl w:ilvl="7" w:tplc="A9DA8728">
      <w:start w:val="1"/>
      <w:numFmt w:val="bullet"/>
      <w:lvlText w:val="o"/>
      <w:lvlJc w:val="left"/>
      <w:pPr>
        <w:ind w:left="5760" w:hanging="360"/>
      </w:pPr>
      <w:rPr>
        <w:rFonts w:ascii="Courier New" w:hAnsi="Courier New" w:hint="default"/>
      </w:rPr>
    </w:lvl>
    <w:lvl w:ilvl="8" w:tplc="7A186A6E">
      <w:start w:val="1"/>
      <w:numFmt w:val="bullet"/>
      <w:lvlText w:val=""/>
      <w:lvlJc w:val="left"/>
      <w:pPr>
        <w:ind w:left="6480" w:hanging="360"/>
      </w:pPr>
      <w:rPr>
        <w:rFonts w:ascii="Wingdings" w:hAnsi="Wingdings" w:hint="default"/>
      </w:rPr>
    </w:lvl>
  </w:abstractNum>
  <w:abstractNum w:abstractNumId="19" w15:restartNumberingAfterBreak="0">
    <w:nsid w:val="3FD77A80"/>
    <w:multiLevelType w:val="hybridMultilevel"/>
    <w:tmpl w:val="8026C804"/>
    <w:lvl w:ilvl="0" w:tplc="D8224C62">
      <w:start w:val="1"/>
      <w:numFmt w:val="bullet"/>
      <w:lvlText w:val=""/>
      <w:lvlJc w:val="left"/>
      <w:pPr>
        <w:ind w:left="720" w:hanging="360"/>
      </w:pPr>
      <w:rPr>
        <w:rFonts w:ascii="Symbol" w:hAnsi="Symbol" w:hint="default"/>
      </w:rPr>
    </w:lvl>
    <w:lvl w:ilvl="1" w:tplc="CC2EA60C">
      <w:start w:val="1"/>
      <w:numFmt w:val="bullet"/>
      <w:lvlText w:val="o"/>
      <w:lvlJc w:val="left"/>
      <w:pPr>
        <w:ind w:left="1440" w:hanging="360"/>
      </w:pPr>
      <w:rPr>
        <w:rFonts w:ascii="Courier New" w:hAnsi="Courier New" w:hint="default"/>
      </w:rPr>
    </w:lvl>
    <w:lvl w:ilvl="2" w:tplc="9920C732">
      <w:start w:val="1"/>
      <w:numFmt w:val="bullet"/>
      <w:lvlText w:val=""/>
      <w:lvlJc w:val="left"/>
      <w:pPr>
        <w:ind w:left="2160" w:hanging="360"/>
      </w:pPr>
      <w:rPr>
        <w:rFonts w:ascii="Wingdings" w:hAnsi="Wingdings" w:hint="default"/>
      </w:rPr>
    </w:lvl>
    <w:lvl w:ilvl="3" w:tplc="75689A00">
      <w:start w:val="1"/>
      <w:numFmt w:val="bullet"/>
      <w:lvlText w:val=""/>
      <w:lvlJc w:val="left"/>
      <w:pPr>
        <w:ind w:left="2880" w:hanging="360"/>
      </w:pPr>
      <w:rPr>
        <w:rFonts w:ascii="Symbol" w:hAnsi="Symbol" w:hint="default"/>
      </w:rPr>
    </w:lvl>
    <w:lvl w:ilvl="4" w:tplc="5830B468">
      <w:start w:val="1"/>
      <w:numFmt w:val="bullet"/>
      <w:lvlText w:val="o"/>
      <w:lvlJc w:val="left"/>
      <w:pPr>
        <w:ind w:left="3600" w:hanging="360"/>
      </w:pPr>
      <w:rPr>
        <w:rFonts w:ascii="Courier New" w:hAnsi="Courier New" w:hint="default"/>
      </w:rPr>
    </w:lvl>
    <w:lvl w:ilvl="5" w:tplc="8C225E46">
      <w:start w:val="1"/>
      <w:numFmt w:val="bullet"/>
      <w:lvlText w:val=""/>
      <w:lvlJc w:val="left"/>
      <w:pPr>
        <w:ind w:left="4320" w:hanging="360"/>
      </w:pPr>
      <w:rPr>
        <w:rFonts w:ascii="Wingdings" w:hAnsi="Wingdings" w:hint="default"/>
      </w:rPr>
    </w:lvl>
    <w:lvl w:ilvl="6" w:tplc="0AF81CF4">
      <w:start w:val="1"/>
      <w:numFmt w:val="bullet"/>
      <w:lvlText w:val=""/>
      <w:lvlJc w:val="left"/>
      <w:pPr>
        <w:ind w:left="5040" w:hanging="360"/>
      </w:pPr>
      <w:rPr>
        <w:rFonts w:ascii="Symbol" w:hAnsi="Symbol" w:hint="default"/>
      </w:rPr>
    </w:lvl>
    <w:lvl w:ilvl="7" w:tplc="1264E22A">
      <w:start w:val="1"/>
      <w:numFmt w:val="bullet"/>
      <w:lvlText w:val="o"/>
      <w:lvlJc w:val="left"/>
      <w:pPr>
        <w:ind w:left="5760" w:hanging="360"/>
      </w:pPr>
      <w:rPr>
        <w:rFonts w:ascii="Courier New" w:hAnsi="Courier New" w:hint="default"/>
      </w:rPr>
    </w:lvl>
    <w:lvl w:ilvl="8" w:tplc="E89AED8C">
      <w:start w:val="1"/>
      <w:numFmt w:val="bullet"/>
      <w:lvlText w:val=""/>
      <w:lvlJc w:val="left"/>
      <w:pPr>
        <w:ind w:left="6480" w:hanging="360"/>
      </w:pPr>
      <w:rPr>
        <w:rFonts w:ascii="Wingdings" w:hAnsi="Wingdings" w:hint="default"/>
      </w:rPr>
    </w:lvl>
  </w:abstractNum>
  <w:abstractNum w:abstractNumId="20" w15:restartNumberingAfterBreak="0">
    <w:nsid w:val="43DE43C1"/>
    <w:multiLevelType w:val="hybridMultilevel"/>
    <w:tmpl w:val="EF540512"/>
    <w:lvl w:ilvl="0" w:tplc="C8482F2A">
      <w:start w:val="1"/>
      <w:numFmt w:val="bullet"/>
      <w:lvlText w:val=""/>
      <w:lvlJc w:val="left"/>
      <w:pPr>
        <w:ind w:left="720" w:hanging="360"/>
      </w:pPr>
      <w:rPr>
        <w:rFonts w:ascii="Symbol" w:hAnsi="Symbol" w:hint="default"/>
      </w:rPr>
    </w:lvl>
    <w:lvl w:ilvl="1" w:tplc="D2B6215A">
      <w:start w:val="1"/>
      <w:numFmt w:val="bullet"/>
      <w:lvlText w:val="o"/>
      <w:lvlJc w:val="left"/>
      <w:pPr>
        <w:ind w:left="1440" w:hanging="360"/>
      </w:pPr>
      <w:rPr>
        <w:rFonts w:ascii="Courier New" w:hAnsi="Courier New" w:hint="default"/>
      </w:rPr>
    </w:lvl>
    <w:lvl w:ilvl="2" w:tplc="D79E5CFC">
      <w:start w:val="1"/>
      <w:numFmt w:val="bullet"/>
      <w:lvlText w:val=""/>
      <w:lvlJc w:val="left"/>
      <w:pPr>
        <w:ind w:left="2160" w:hanging="360"/>
      </w:pPr>
      <w:rPr>
        <w:rFonts w:ascii="Wingdings" w:hAnsi="Wingdings" w:hint="default"/>
      </w:rPr>
    </w:lvl>
    <w:lvl w:ilvl="3" w:tplc="AF9EB0F0">
      <w:start w:val="1"/>
      <w:numFmt w:val="bullet"/>
      <w:lvlText w:val=""/>
      <w:lvlJc w:val="left"/>
      <w:pPr>
        <w:ind w:left="2880" w:hanging="360"/>
      </w:pPr>
      <w:rPr>
        <w:rFonts w:ascii="Symbol" w:hAnsi="Symbol" w:hint="default"/>
      </w:rPr>
    </w:lvl>
    <w:lvl w:ilvl="4" w:tplc="6FBA8A4C">
      <w:start w:val="1"/>
      <w:numFmt w:val="bullet"/>
      <w:lvlText w:val="o"/>
      <w:lvlJc w:val="left"/>
      <w:pPr>
        <w:ind w:left="3600" w:hanging="360"/>
      </w:pPr>
      <w:rPr>
        <w:rFonts w:ascii="Courier New" w:hAnsi="Courier New" w:hint="default"/>
      </w:rPr>
    </w:lvl>
    <w:lvl w:ilvl="5" w:tplc="27681424">
      <w:start w:val="1"/>
      <w:numFmt w:val="bullet"/>
      <w:lvlText w:val=""/>
      <w:lvlJc w:val="left"/>
      <w:pPr>
        <w:ind w:left="4320" w:hanging="360"/>
      </w:pPr>
      <w:rPr>
        <w:rFonts w:ascii="Wingdings" w:hAnsi="Wingdings" w:hint="default"/>
      </w:rPr>
    </w:lvl>
    <w:lvl w:ilvl="6" w:tplc="E78EC482">
      <w:start w:val="1"/>
      <w:numFmt w:val="bullet"/>
      <w:lvlText w:val=""/>
      <w:lvlJc w:val="left"/>
      <w:pPr>
        <w:ind w:left="5040" w:hanging="360"/>
      </w:pPr>
      <w:rPr>
        <w:rFonts w:ascii="Symbol" w:hAnsi="Symbol" w:hint="default"/>
      </w:rPr>
    </w:lvl>
    <w:lvl w:ilvl="7" w:tplc="345E5D44">
      <w:start w:val="1"/>
      <w:numFmt w:val="bullet"/>
      <w:lvlText w:val="o"/>
      <w:lvlJc w:val="left"/>
      <w:pPr>
        <w:ind w:left="5760" w:hanging="360"/>
      </w:pPr>
      <w:rPr>
        <w:rFonts w:ascii="Courier New" w:hAnsi="Courier New" w:hint="default"/>
      </w:rPr>
    </w:lvl>
    <w:lvl w:ilvl="8" w:tplc="8C484D38">
      <w:start w:val="1"/>
      <w:numFmt w:val="bullet"/>
      <w:lvlText w:val=""/>
      <w:lvlJc w:val="left"/>
      <w:pPr>
        <w:ind w:left="6480" w:hanging="360"/>
      </w:pPr>
      <w:rPr>
        <w:rFonts w:ascii="Wingdings" w:hAnsi="Wingdings" w:hint="default"/>
      </w:rPr>
    </w:lvl>
  </w:abstractNum>
  <w:abstractNum w:abstractNumId="21" w15:restartNumberingAfterBreak="0">
    <w:nsid w:val="45C188D0"/>
    <w:multiLevelType w:val="hybridMultilevel"/>
    <w:tmpl w:val="28EEB64E"/>
    <w:lvl w:ilvl="0" w:tplc="547C7058">
      <w:start w:val="1"/>
      <w:numFmt w:val="decimal"/>
      <w:lvlText w:val="%1."/>
      <w:lvlJc w:val="left"/>
      <w:pPr>
        <w:ind w:left="360" w:hanging="360"/>
      </w:pPr>
    </w:lvl>
    <w:lvl w:ilvl="1" w:tplc="5E6A89E4">
      <w:start w:val="1"/>
      <w:numFmt w:val="lowerLetter"/>
      <w:lvlText w:val="%2."/>
      <w:lvlJc w:val="left"/>
      <w:pPr>
        <w:ind w:left="1080" w:hanging="360"/>
      </w:pPr>
    </w:lvl>
    <w:lvl w:ilvl="2" w:tplc="5240B7F2">
      <w:start w:val="1"/>
      <w:numFmt w:val="lowerRoman"/>
      <w:lvlText w:val="%3."/>
      <w:lvlJc w:val="right"/>
      <w:pPr>
        <w:ind w:left="1800" w:hanging="180"/>
      </w:pPr>
    </w:lvl>
    <w:lvl w:ilvl="3" w:tplc="62F6D6AA">
      <w:start w:val="1"/>
      <w:numFmt w:val="decimal"/>
      <w:lvlText w:val="%4."/>
      <w:lvlJc w:val="left"/>
      <w:pPr>
        <w:ind w:left="2520" w:hanging="360"/>
      </w:pPr>
    </w:lvl>
    <w:lvl w:ilvl="4" w:tplc="EAD22D50">
      <w:start w:val="1"/>
      <w:numFmt w:val="lowerLetter"/>
      <w:lvlText w:val="%5."/>
      <w:lvlJc w:val="left"/>
      <w:pPr>
        <w:ind w:left="3240" w:hanging="360"/>
      </w:pPr>
    </w:lvl>
    <w:lvl w:ilvl="5" w:tplc="E3166B9A">
      <w:start w:val="1"/>
      <w:numFmt w:val="lowerRoman"/>
      <w:lvlText w:val="%6."/>
      <w:lvlJc w:val="right"/>
      <w:pPr>
        <w:ind w:left="3960" w:hanging="180"/>
      </w:pPr>
    </w:lvl>
    <w:lvl w:ilvl="6" w:tplc="581241DA">
      <w:start w:val="1"/>
      <w:numFmt w:val="decimal"/>
      <w:lvlText w:val="%7."/>
      <w:lvlJc w:val="left"/>
      <w:pPr>
        <w:ind w:left="4680" w:hanging="360"/>
      </w:pPr>
    </w:lvl>
    <w:lvl w:ilvl="7" w:tplc="D74C0EEE">
      <w:start w:val="1"/>
      <w:numFmt w:val="lowerLetter"/>
      <w:lvlText w:val="%8."/>
      <w:lvlJc w:val="left"/>
      <w:pPr>
        <w:ind w:left="5400" w:hanging="360"/>
      </w:pPr>
    </w:lvl>
    <w:lvl w:ilvl="8" w:tplc="0D2C954C">
      <w:start w:val="1"/>
      <w:numFmt w:val="lowerRoman"/>
      <w:lvlText w:val="%9."/>
      <w:lvlJc w:val="right"/>
      <w:pPr>
        <w:ind w:left="6120" w:hanging="180"/>
      </w:pPr>
    </w:lvl>
  </w:abstractNum>
  <w:abstractNum w:abstractNumId="22" w15:restartNumberingAfterBreak="0">
    <w:nsid w:val="45E52B2A"/>
    <w:multiLevelType w:val="hybridMultilevel"/>
    <w:tmpl w:val="2C145360"/>
    <w:lvl w:ilvl="0" w:tplc="E028EB6A">
      <w:start w:val="1"/>
      <w:numFmt w:val="bullet"/>
      <w:lvlText w:val=""/>
      <w:lvlJc w:val="left"/>
      <w:pPr>
        <w:ind w:left="720" w:hanging="360"/>
      </w:pPr>
      <w:rPr>
        <w:rFonts w:ascii="Symbol" w:hAnsi="Symbol" w:hint="default"/>
      </w:rPr>
    </w:lvl>
    <w:lvl w:ilvl="1" w:tplc="E3D85DD6">
      <w:start w:val="1"/>
      <w:numFmt w:val="bullet"/>
      <w:lvlText w:val="o"/>
      <w:lvlJc w:val="left"/>
      <w:pPr>
        <w:ind w:left="1440" w:hanging="360"/>
      </w:pPr>
      <w:rPr>
        <w:rFonts w:ascii="Courier New" w:hAnsi="Courier New" w:hint="default"/>
      </w:rPr>
    </w:lvl>
    <w:lvl w:ilvl="2" w:tplc="3CD41ECC">
      <w:start w:val="1"/>
      <w:numFmt w:val="bullet"/>
      <w:lvlText w:val=""/>
      <w:lvlJc w:val="left"/>
      <w:pPr>
        <w:ind w:left="2160" w:hanging="360"/>
      </w:pPr>
      <w:rPr>
        <w:rFonts w:ascii="Wingdings" w:hAnsi="Wingdings" w:hint="default"/>
      </w:rPr>
    </w:lvl>
    <w:lvl w:ilvl="3" w:tplc="FDBEFFF0">
      <w:start w:val="1"/>
      <w:numFmt w:val="bullet"/>
      <w:lvlText w:val=""/>
      <w:lvlJc w:val="left"/>
      <w:pPr>
        <w:ind w:left="2880" w:hanging="360"/>
      </w:pPr>
      <w:rPr>
        <w:rFonts w:ascii="Symbol" w:hAnsi="Symbol" w:hint="default"/>
      </w:rPr>
    </w:lvl>
    <w:lvl w:ilvl="4" w:tplc="28245BAC">
      <w:start w:val="1"/>
      <w:numFmt w:val="bullet"/>
      <w:lvlText w:val="o"/>
      <w:lvlJc w:val="left"/>
      <w:pPr>
        <w:ind w:left="3600" w:hanging="360"/>
      </w:pPr>
      <w:rPr>
        <w:rFonts w:ascii="Courier New" w:hAnsi="Courier New" w:hint="default"/>
      </w:rPr>
    </w:lvl>
    <w:lvl w:ilvl="5" w:tplc="33DCDE0A">
      <w:start w:val="1"/>
      <w:numFmt w:val="bullet"/>
      <w:lvlText w:val=""/>
      <w:lvlJc w:val="left"/>
      <w:pPr>
        <w:ind w:left="4320" w:hanging="360"/>
      </w:pPr>
      <w:rPr>
        <w:rFonts w:ascii="Wingdings" w:hAnsi="Wingdings" w:hint="default"/>
      </w:rPr>
    </w:lvl>
    <w:lvl w:ilvl="6" w:tplc="C02CE49E">
      <w:start w:val="1"/>
      <w:numFmt w:val="bullet"/>
      <w:lvlText w:val=""/>
      <w:lvlJc w:val="left"/>
      <w:pPr>
        <w:ind w:left="5040" w:hanging="360"/>
      </w:pPr>
      <w:rPr>
        <w:rFonts w:ascii="Symbol" w:hAnsi="Symbol" w:hint="default"/>
      </w:rPr>
    </w:lvl>
    <w:lvl w:ilvl="7" w:tplc="0F603340">
      <w:start w:val="1"/>
      <w:numFmt w:val="bullet"/>
      <w:lvlText w:val="o"/>
      <w:lvlJc w:val="left"/>
      <w:pPr>
        <w:ind w:left="5760" w:hanging="360"/>
      </w:pPr>
      <w:rPr>
        <w:rFonts w:ascii="Courier New" w:hAnsi="Courier New" w:hint="default"/>
      </w:rPr>
    </w:lvl>
    <w:lvl w:ilvl="8" w:tplc="6FF0C662">
      <w:start w:val="1"/>
      <w:numFmt w:val="bullet"/>
      <w:lvlText w:val=""/>
      <w:lvlJc w:val="left"/>
      <w:pPr>
        <w:ind w:left="6480" w:hanging="360"/>
      </w:pPr>
      <w:rPr>
        <w:rFonts w:ascii="Wingdings" w:hAnsi="Wingdings" w:hint="default"/>
      </w:rPr>
    </w:lvl>
  </w:abstractNum>
  <w:abstractNum w:abstractNumId="23" w15:restartNumberingAfterBreak="0">
    <w:nsid w:val="474FA9DF"/>
    <w:multiLevelType w:val="hybridMultilevel"/>
    <w:tmpl w:val="920C7542"/>
    <w:lvl w:ilvl="0" w:tplc="FD16BA40">
      <w:start w:val="1"/>
      <w:numFmt w:val="bullet"/>
      <w:lvlText w:val=""/>
      <w:lvlJc w:val="left"/>
      <w:pPr>
        <w:ind w:left="720" w:hanging="360"/>
      </w:pPr>
      <w:rPr>
        <w:rFonts w:ascii="Symbol" w:hAnsi="Symbol" w:hint="default"/>
      </w:rPr>
    </w:lvl>
    <w:lvl w:ilvl="1" w:tplc="D03050E8">
      <w:start w:val="1"/>
      <w:numFmt w:val="bullet"/>
      <w:lvlText w:val="o"/>
      <w:lvlJc w:val="left"/>
      <w:pPr>
        <w:ind w:left="1440" w:hanging="360"/>
      </w:pPr>
      <w:rPr>
        <w:rFonts w:ascii="Courier New" w:hAnsi="Courier New" w:hint="default"/>
      </w:rPr>
    </w:lvl>
    <w:lvl w:ilvl="2" w:tplc="5B181842">
      <w:start w:val="1"/>
      <w:numFmt w:val="bullet"/>
      <w:lvlText w:val=""/>
      <w:lvlJc w:val="left"/>
      <w:pPr>
        <w:ind w:left="2160" w:hanging="360"/>
      </w:pPr>
      <w:rPr>
        <w:rFonts w:ascii="Wingdings" w:hAnsi="Wingdings" w:hint="default"/>
      </w:rPr>
    </w:lvl>
    <w:lvl w:ilvl="3" w:tplc="0EBC8614">
      <w:start w:val="1"/>
      <w:numFmt w:val="bullet"/>
      <w:lvlText w:val=""/>
      <w:lvlJc w:val="left"/>
      <w:pPr>
        <w:ind w:left="2880" w:hanging="360"/>
      </w:pPr>
      <w:rPr>
        <w:rFonts w:ascii="Symbol" w:hAnsi="Symbol" w:hint="default"/>
      </w:rPr>
    </w:lvl>
    <w:lvl w:ilvl="4" w:tplc="3DB23134">
      <w:start w:val="1"/>
      <w:numFmt w:val="bullet"/>
      <w:lvlText w:val="o"/>
      <w:lvlJc w:val="left"/>
      <w:pPr>
        <w:ind w:left="3600" w:hanging="360"/>
      </w:pPr>
      <w:rPr>
        <w:rFonts w:ascii="Courier New" w:hAnsi="Courier New" w:hint="default"/>
      </w:rPr>
    </w:lvl>
    <w:lvl w:ilvl="5" w:tplc="1F86C244">
      <w:start w:val="1"/>
      <w:numFmt w:val="bullet"/>
      <w:lvlText w:val=""/>
      <w:lvlJc w:val="left"/>
      <w:pPr>
        <w:ind w:left="4320" w:hanging="360"/>
      </w:pPr>
      <w:rPr>
        <w:rFonts w:ascii="Wingdings" w:hAnsi="Wingdings" w:hint="default"/>
      </w:rPr>
    </w:lvl>
    <w:lvl w:ilvl="6" w:tplc="294EE7D8">
      <w:start w:val="1"/>
      <w:numFmt w:val="bullet"/>
      <w:lvlText w:val=""/>
      <w:lvlJc w:val="left"/>
      <w:pPr>
        <w:ind w:left="5040" w:hanging="360"/>
      </w:pPr>
      <w:rPr>
        <w:rFonts w:ascii="Symbol" w:hAnsi="Symbol" w:hint="default"/>
      </w:rPr>
    </w:lvl>
    <w:lvl w:ilvl="7" w:tplc="F1A872BC">
      <w:start w:val="1"/>
      <w:numFmt w:val="bullet"/>
      <w:lvlText w:val="o"/>
      <w:lvlJc w:val="left"/>
      <w:pPr>
        <w:ind w:left="5760" w:hanging="360"/>
      </w:pPr>
      <w:rPr>
        <w:rFonts w:ascii="Courier New" w:hAnsi="Courier New" w:hint="default"/>
      </w:rPr>
    </w:lvl>
    <w:lvl w:ilvl="8" w:tplc="F01CFF88">
      <w:start w:val="1"/>
      <w:numFmt w:val="bullet"/>
      <w:lvlText w:val=""/>
      <w:lvlJc w:val="left"/>
      <w:pPr>
        <w:ind w:left="6480" w:hanging="360"/>
      </w:pPr>
      <w:rPr>
        <w:rFonts w:ascii="Wingdings" w:hAnsi="Wingdings" w:hint="default"/>
      </w:rPr>
    </w:lvl>
  </w:abstractNum>
  <w:abstractNum w:abstractNumId="24" w15:restartNumberingAfterBreak="0">
    <w:nsid w:val="4FE1D473"/>
    <w:multiLevelType w:val="hybridMultilevel"/>
    <w:tmpl w:val="111A503A"/>
    <w:lvl w:ilvl="0" w:tplc="519677C6">
      <w:start w:val="1"/>
      <w:numFmt w:val="bullet"/>
      <w:lvlText w:val=""/>
      <w:lvlJc w:val="left"/>
      <w:pPr>
        <w:ind w:left="720" w:hanging="360"/>
      </w:pPr>
      <w:rPr>
        <w:rFonts w:ascii="Symbol" w:hAnsi="Symbol" w:hint="default"/>
      </w:rPr>
    </w:lvl>
    <w:lvl w:ilvl="1" w:tplc="4492F60E">
      <w:start w:val="1"/>
      <w:numFmt w:val="bullet"/>
      <w:lvlText w:val="o"/>
      <w:lvlJc w:val="left"/>
      <w:pPr>
        <w:ind w:left="1440" w:hanging="360"/>
      </w:pPr>
      <w:rPr>
        <w:rFonts w:ascii="Courier New" w:hAnsi="Courier New" w:hint="default"/>
      </w:rPr>
    </w:lvl>
    <w:lvl w:ilvl="2" w:tplc="FAAC531C">
      <w:start w:val="1"/>
      <w:numFmt w:val="bullet"/>
      <w:lvlText w:val=""/>
      <w:lvlJc w:val="left"/>
      <w:pPr>
        <w:ind w:left="2160" w:hanging="360"/>
      </w:pPr>
      <w:rPr>
        <w:rFonts w:ascii="Wingdings" w:hAnsi="Wingdings" w:hint="default"/>
      </w:rPr>
    </w:lvl>
    <w:lvl w:ilvl="3" w:tplc="BC28D0CA">
      <w:start w:val="1"/>
      <w:numFmt w:val="bullet"/>
      <w:lvlText w:val=""/>
      <w:lvlJc w:val="left"/>
      <w:pPr>
        <w:ind w:left="2880" w:hanging="360"/>
      </w:pPr>
      <w:rPr>
        <w:rFonts w:ascii="Symbol" w:hAnsi="Symbol" w:hint="default"/>
      </w:rPr>
    </w:lvl>
    <w:lvl w:ilvl="4" w:tplc="55A29FC2">
      <w:start w:val="1"/>
      <w:numFmt w:val="bullet"/>
      <w:lvlText w:val="o"/>
      <w:lvlJc w:val="left"/>
      <w:pPr>
        <w:ind w:left="3600" w:hanging="360"/>
      </w:pPr>
      <w:rPr>
        <w:rFonts w:ascii="Courier New" w:hAnsi="Courier New" w:hint="default"/>
      </w:rPr>
    </w:lvl>
    <w:lvl w:ilvl="5" w:tplc="7BA63170">
      <w:start w:val="1"/>
      <w:numFmt w:val="bullet"/>
      <w:lvlText w:val=""/>
      <w:lvlJc w:val="left"/>
      <w:pPr>
        <w:ind w:left="4320" w:hanging="360"/>
      </w:pPr>
      <w:rPr>
        <w:rFonts w:ascii="Wingdings" w:hAnsi="Wingdings" w:hint="default"/>
      </w:rPr>
    </w:lvl>
    <w:lvl w:ilvl="6" w:tplc="E140E5C6">
      <w:start w:val="1"/>
      <w:numFmt w:val="bullet"/>
      <w:lvlText w:val=""/>
      <w:lvlJc w:val="left"/>
      <w:pPr>
        <w:ind w:left="5040" w:hanging="360"/>
      </w:pPr>
      <w:rPr>
        <w:rFonts w:ascii="Symbol" w:hAnsi="Symbol" w:hint="default"/>
      </w:rPr>
    </w:lvl>
    <w:lvl w:ilvl="7" w:tplc="85E07CC0">
      <w:start w:val="1"/>
      <w:numFmt w:val="bullet"/>
      <w:lvlText w:val="o"/>
      <w:lvlJc w:val="left"/>
      <w:pPr>
        <w:ind w:left="5760" w:hanging="360"/>
      </w:pPr>
      <w:rPr>
        <w:rFonts w:ascii="Courier New" w:hAnsi="Courier New" w:hint="default"/>
      </w:rPr>
    </w:lvl>
    <w:lvl w:ilvl="8" w:tplc="65EC85CC">
      <w:start w:val="1"/>
      <w:numFmt w:val="bullet"/>
      <w:lvlText w:val=""/>
      <w:lvlJc w:val="left"/>
      <w:pPr>
        <w:ind w:left="6480" w:hanging="360"/>
      </w:pPr>
      <w:rPr>
        <w:rFonts w:ascii="Wingdings" w:hAnsi="Wingdings" w:hint="default"/>
      </w:rPr>
    </w:lvl>
  </w:abstractNum>
  <w:abstractNum w:abstractNumId="25" w15:restartNumberingAfterBreak="0">
    <w:nsid w:val="5D19FDC6"/>
    <w:multiLevelType w:val="hybridMultilevel"/>
    <w:tmpl w:val="AF2834C6"/>
    <w:lvl w:ilvl="0" w:tplc="022A56A2">
      <w:start w:val="1"/>
      <w:numFmt w:val="bullet"/>
      <w:lvlText w:val=""/>
      <w:lvlJc w:val="left"/>
      <w:pPr>
        <w:ind w:left="720" w:hanging="360"/>
      </w:pPr>
      <w:rPr>
        <w:rFonts w:ascii="Symbol" w:hAnsi="Symbol" w:hint="default"/>
      </w:rPr>
    </w:lvl>
    <w:lvl w:ilvl="1" w:tplc="FF18EEE2">
      <w:start w:val="1"/>
      <w:numFmt w:val="bullet"/>
      <w:lvlText w:val="o"/>
      <w:lvlJc w:val="left"/>
      <w:pPr>
        <w:ind w:left="1440" w:hanging="360"/>
      </w:pPr>
      <w:rPr>
        <w:rFonts w:ascii="Courier New" w:hAnsi="Courier New" w:hint="default"/>
      </w:rPr>
    </w:lvl>
    <w:lvl w:ilvl="2" w:tplc="F0DCDB54">
      <w:start w:val="1"/>
      <w:numFmt w:val="bullet"/>
      <w:lvlText w:val=""/>
      <w:lvlJc w:val="left"/>
      <w:pPr>
        <w:ind w:left="2160" w:hanging="360"/>
      </w:pPr>
      <w:rPr>
        <w:rFonts w:ascii="Wingdings" w:hAnsi="Wingdings" w:hint="default"/>
      </w:rPr>
    </w:lvl>
    <w:lvl w:ilvl="3" w:tplc="A5B6B6AA">
      <w:start w:val="1"/>
      <w:numFmt w:val="bullet"/>
      <w:lvlText w:val=""/>
      <w:lvlJc w:val="left"/>
      <w:pPr>
        <w:ind w:left="2880" w:hanging="360"/>
      </w:pPr>
      <w:rPr>
        <w:rFonts w:ascii="Symbol" w:hAnsi="Symbol" w:hint="default"/>
      </w:rPr>
    </w:lvl>
    <w:lvl w:ilvl="4" w:tplc="3710B6B0">
      <w:start w:val="1"/>
      <w:numFmt w:val="bullet"/>
      <w:lvlText w:val="o"/>
      <w:lvlJc w:val="left"/>
      <w:pPr>
        <w:ind w:left="3600" w:hanging="360"/>
      </w:pPr>
      <w:rPr>
        <w:rFonts w:ascii="Courier New" w:hAnsi="Courier New" w:hint="default"/>
      </w:rPr>
    </w:lvl>
    <w:lvl w:ilvl="5" w:tplc="28A80740">
      <w:start w:val="1"/>
      <w:numFmt w:val="bullet"/>
      <w:lvlText w:val=""/>
      <w:lvlJc w:val="left"/>
      <w:pPr>
        <w:ind w:left="4320" w:hanging="360"/>
      </w:pPr>
      <w:rPr>
        <w:rFonts w:ascii="Wingdings" w:hAnsi="Wingdings" w:hint="default"/>
      </w:rPr>
    </w:lvl>
    <w:lvl w:ilvl="6" w:tplc="8BFE2C7A">
      <w:start w:val="1"/>
      <w:numFmt w:val="bullet"/>
      <w:lvlText w:val=""/>
      <w:lvlJc w:val="left"/>
      <w:pPr>
        <w:ind w:left="5040" w:hanging="360"/>
      </w:pPr>
      <w:rPr>
        <w:rFonts w:ascii="Symbol" w:hAnsi="Symbol" w:hint="default"/>
      </w:rPr>
    </w:lvl>
    <w:lvl w:ilvl="7" w:tplc="BAD07664">
      <w:start w:val="1"/>
      <w:numFmt w:val="bullet"/>
      <w:lvlText w:val="o"/>
      <w:lvlJc w:val="left"/>
      <w:pPr>
        <w:ind w:left="5760" w:hanging="360"/>
      </w:pPr>
      <w:rPr>
        <w:rFonts w:ascii="Courier New" w:hAnsi="Courier New" w:hint="default"/>
      </w:rPr>
    </w:lvl>
    <w:lvl w:ilvl="8" w:tplc="682A8776">
      <w:start w:val="1"/>
      <w:numFmt w:val="bullet"/>
      <w:lvlText w:val=""/>
      <w:lvlJc w:val="left"/>
      <w:pPr>
        <w:ind w:left="6480" w:hanging="360"/>
      </w:pPr>
      <w:rPr>
        <w:rFonts w:ascii="Wingdings" w:hAnsi="Wingdings" w:hint="default"/>
      </w:rPr>
    </w:lvl>
  </w:abstractNum>
  <w:abstractNum w:abstractNumId="26" w15:restartNumberingAfterBreak="0">
    <w:nsid w:val="5F1F5BE1"/>
    <w:multiLevelType w:val="hybridMultilevel"/>
    <w:tmpl w:val="037AE0AC"/>
    <w:lvl w:ilvl="0" w:tplc="BD98FE0E">
      <w:start w:val="1"/>
      <w:numFmt w:val="bullet"/>
      <w:lvlText w:val=""/>
      <w:lvlJc w:val="left"/>
      <w:pPr>
        <w:ind w:left="720" w:hanging="360"/>
      </w:pPr>
      <w:rPr>
        <w:rFonts w:ascii="Symbol" w:hAnsi="Symbol" w:hint="default"/>
      </w:rPr>
    </w:lvl>
    <w:lvl w:ilvl="1" w:tplc="EEFA8F84">
      <w:start w:val="1"/>
      <w:numFmt w:val="bullet"/>
      <w:lvlText w:val="o"/>
      <w:lvlJc w:val="left"/>
      <w:pPr>
        <w:ind w:left="1440" w:hanging="360"/>
      </w:pPr>
      <w:rPr>
        <w:rFonts w:ascii="Courier New" w:hAnsi="Courier New" w:hint="default"/>
      </w:rPr>
    </w:lvl>
    <w:lvl w:ilvl="2" w:tplc="25489F8A">
      <w:start w:val="1"/>
      <w:numFmt w:val="bullet"/>
      <w:lvlText w:val=""/>
      <w:lvlJc w:val="left"/>
      <w:pPr>
        <w:ind w:left="2160" w:hanging="360"/>
      </w:pPr>
      <w:rPr>
        <w:rFonts w:ascii="Wingdings" w:hAnsi="Wingdings" w:hint="default"/>
      </w:rPr>
    </w:lvl>
    <w:lvl w:ilvl="3" w:tplc="0A6E642E">
      <w:start w:val="1"/>
      <w:numFmt w:val="bullet"/>
      <w:lvlText w:val=""/>
      <w:lvlJc w:val="left"/>
      <w:pPr>
        <w:ind w:left="2880" w:hanging="360"/>
      </w:pPr>
      <w:rPr>
        <w:rFonts w:ascii="Symbol" w:hAnsi="Symbol" w:hint="default"/>
      </w:rPr>
    </w:lvl>
    <w:lvl w:ilvl="4" w:tplc="BE6A8F48">
      <w:start w:val="1"/>
      <w:numFmt w:val="bullet"/>
      <w:lvlText w:val="o"/>
      <w:lvlJc w:val="left"/>
      <w:pPr>
        <w:ind w:left="3600" w:hanging="360"/>
      </w:pPr>
      <w:rPr>
        <w:rFonts w:ascii="Courier New" w:hAnsi="Courier New" w:hint="default"/>
      </w:rPr>
    </w:lvl>
    <w:lvl w:ilvl="5" w:tplc="5F92E69C">
      <w:start w:val="1"/>
      <w:numFmt w:val="bullet"/>
      <w:lvlText w:val=""/>
      <w:lvlJc w:val="left"/>
      <w:pPr>
        <w:ind w:left="4320" w:hanging="360"/>
      </w:pPr>
      <w:rPr>
        <w:rFonts w:ascii="Wingdings" w:hAnsi="Wingdings" w:hint="default"/>
      </w:rPr>
    </w:lvl>
    <w:lvl w:ilvl="6" w:tplc="6D280C56">
      <w:start w:val="1"/>
      <w:numFmt w:val="bullet"/>
      <w:lvlText w:val=""/>
      <w:lvlJc w:val="left"/>
      <w:pPr>
        <w:ind w:left="5040" w:hanging="360"/>
      </w:pPr>
      <w:rPr>
        <w:rFonts w:ascii="Symbol" w:hAnsi="Symbol" w:hint="default"/>
      </w:rPr>
    </w:lvl>
    <w:lvl w:ilvl="7" w:tplc="B7023AFE">
      <w:start w:val="1"/>
      <w:numFmt w:val="bullet"/>
      <w:lvlText w:val="o"/>
      <w:lvlJc w:val="left"/>
      <w:pPr>
        <w:ind w:left="5760" w:hanging="360"/>
      </w:pPr>
      <w:rPr>
        <w:rFonts w:ascii="Courier New" w:hAnsi="Courier New" w:hint="default"/>
      </w:rPr>
    </w:lvl>
    <w:lvl w:ilvl="8" w:tplc="74DA7112">
      <w:start w:val="1"/>
      <w:numFmt w:val="bullet"/>
      <w:lvlText w:val=""/>
      <w:lvlJc w:val="left"/>
      <w:pPr>
        <w:ind w:left="6480" w:hanging="360"/>
      </w:pPr>
      <w:rPr>
        <w:rFonts w:ascii="Wingdings" w:hAnsi="Wingdings" w:hint="default"/>
      </w:rPr>
    </w:lvl>
  </w:abstractNum>
  <w:abstractNum w:abstractNumId="27" w15:restartNumberingAfterBreak="0">
    <w:nsid w:val="61B47BE1"/>
    <w:multiLevelType w:val="hybridMultilevel"/>
    <w:tmpl w:val="A4246E3E"/>
    <w:lvl w:ilvl="0" w:tplc="BA8ADDDC">
      <w:start w:val="1"/>
      <w:numFmt w:val="bullet"/>
      <w:lvlText w:val=""/>
      <w:lvlJc w:val="left"/>
      <w:pPr>
        <w:ind w:left="720" w:hanging="360"/>
      </w:pPr>
      <w:rPr>
        <w:rFonts w:ascii="Symbol" w:hAnsi="Symbol" w:hint="default"/>
      </w:rPr>
    </w:lvl>
    <w:lvl w:ilvl="1" w:tplc="DD0215FE">
      <w:start w:val="1"/>
      <w:numFmt w:val="bullet"/>
      <w:lvlText w:val="o"/>
      <w:lvlJc w:val="left"/>
      <w:pPr>
        <w:ind w:left="1440" w:hanging="360"/>
      </w:pPr>
      <w:rPr>
        <w:rFonts w:ascii="Courier New" w:hAnsi="Courier New" w:hint="default"/>
      </w:rPr>
    </w:lvl>
    <w:lvl w:ilvl="2" w:tplc="1B48FB20">
      <w:start w:val="1"/>
      <w:numFmt w:val="bullet"/>
      <w:lvlText w:val=""/>
      <w:lvlJc w:val="left"/>
      <w:pPr>
        <w:ind w:left="2160" w:hanging="360"/>
      </w:pPr>
      <w:rPr>
        <w:rFonts w:ascii="Wingdings" w:hAnsi="Wingdings" w:hint="default"/>
      </w:rPr>
    </w:lvl>
    <w:lvl w:ilvl="3" w:tplc="AC78200A">
      <w:start w:val="1"/>
      <w:numFmt w:val="bullet"/>
      <w:lvlText w:val=""/>
      <w:lvlJc w:val="left"/>
      <w:pPr>
        <w:ind w:left="2880" w:hanging="360"/>
      </w:pPr>
      <w:rPr>
        <w:rFonts w:ascii="Symbol" w:hAnsi="Symbol" w:hint="default"/>
      </w:rPr>
    </w:lvl>
    <w:lvl w:ilvl="4" w:tplc="68FE6F32">
      <w:start w:val="1"/>
      <w:numFmt w:val="bullet"/>
      <w:lvlText w:val="o"/>
      <w:lvlJc w:val="left"/>
      <w:pPr>
        <w:ind w:left="3600" w:hanging="360"/>
      </w:pPr>
      <w:rPr>
        <w:rFonts w:ascii="Courier New" w:hAnsi="Courier New" w:hint="default"/>
      </w:rPr>
    </w:lvl>
    <w:lvl w:ilvl="5" w:tplc="65BAFE82">
      <w:start w:val="1"/>
      <w:numFmt w:val="bullet"/>
      <w:lvlText w:val=""/>
      <w:lvlJc w:val="left"/>
      <w:pPr>
        <w:ind w:left="4320" w:hanging="360"/>
      </w:pPr>
      <w:rPr>
        <w:rFonts w:ascii="Wingdings" w:hAnsi="Wingdings" w:hint="default"/>
      </w:rPr>
    </w:lvl>
    <w:lvl w:ilvl="6" w:tplc="6848F8D6">
      <w:start w:val="1"/>
      <w:numFmt w:val="bullet"/>
      <w:lvlText w:val=""/>
      <w:lvlJc w:val="left"/>
      <w:pPr>
        <w:ind w:left="5040" w:hanging="360"/>
      </w:pPr>
      <w:rPr>
        <w:rFonts w:ascii="Symbol" w:hAnsi="Symbol" w:hint="default"/>
      </w:rPr>
    </w:lvl>
    <w:lvl w:ilvl="7" w:tplc="F5CC15FA">
      <w:start w:val="1"/>
      <w:numFmt w:val="bullet"/>
      <w:lvlText w:val="o"/>
      <w:lvlJc w:val="left"/>
      <w:pPr>
        <w:ind w:left="5760" w:hanging="360"/>
      </w:pPr>
      <w:rPr>
        <w:rFonts w:ascii="Courier New" w:hAnsi="Courier New" w:hint="default"/>
      </w:rPr>
    </w:lvl>
    <w:lvl w:ilvl="8" w:tplc="8806DE80">
      <w:start w:val="1"/>
      <w:numFmt w:val="bullet"/>
      <w:lvlText w:val=""/>
      <w:lvlJc w:val="left"/>
      <w:pPr>
        <w:ind w:left="6480" w:hanging="360"/>
      </w:pPr>
      <w:rPr>
        <w:rFonts w:ascii="Wingdings" w:hAnsi="Wingdings" w:hint="default"/>
      </w:rPr>
    </w:lvl>
  </w:abstractNum>
  <w:abstractNum w:abstractNumId="28" w15:restartNumberingAfterBreak="0">
    <w:nsid w:val="64C4E2EA"/>
    <w:multiLevelType w:val="hybridMultilevel"/>
    <w:tmpl w:val="15D045F6"/>
    <w:lvl w:ilvl="0" w:tplc="8274FA82">
      <w:start w:val="1"/>
      <w:numFmt w:val="bullet"/>
      <w:lvlText w:val=""/>
      <w:lvlJc w:val="left"/>
      <w:pPr>
        <w:ind w:left="720" w:hanging="360"/>
      </w:pPr>
      <w:rPr>
        <w:rFonts w:ascii="Symbol" w:hAnsi="Symbol" w:hint="default"/>
      </w:rPr>
    </w:lvl>
    <w:lvl w:ilvl="1" w:tplc="EB88425E">
      <w:start w:val="1"/>
      <w:numFmt w:val="bullet"/>
      <w:lvlText w:val="o"/>
      <w:lvlJc w:val="left"/>
      <w:pPr>
        <w:ind w:left="1440" w:hanging="360"/>
      </w:pPr>
      <w:rPr>
        <w:rFonts w:ascii="Courier New" w:hAnsi="Courier New" w:hint="default"/>
      </w:rPr>
    </w:lvl>
    <w:lvl w:ilvl="2" w:tplc="7C7055F0">
      <w:start w:val="1"/>
      <w:numFmt w:val="bullet"/>
      <w:lvlText w:val=""/>
      <w:lvlJc w:val="left"/>
      <w:pPr>
        <w:ind w:left="2160" w:hanging="360"/>
      </w:pPr>
      <w:rPr>
        <w:rFonts w:ascii="Wingdings" w:hAnsi="Wingdings" w:hint="default"/>
      </w:rPr>
    </w:lvl>
    <w:lvl w:ilvl="3" w:tplc="54C6A3A6">
      <w:start w:val="1"/>
      <w:numFmt w:val="bullet"/>
      <w:lvlText w:val=""/>
      <w:lvlJc w:val="left"/>
      <w:pPr>
        <w:ind w:left="2880" w:hanging="360"/>
      </w:pPr>
      <w:rPr>
        <w:rFonts w:ascii="Symbol" w:hAnsi="Symbol" w:hint="default"/>
      </w:rPr>
    </w:lvl>
    <w:lvl w:ilvl="4" w:tplc="C414ADE2">
      <w:start w:val="1"/>
      <w:numFmt w:val="bullet"/>
      <w:lvlText w:val="o"/>
      <w:lvlJc w:val="left"/>
      <w:pPr>
        <w:ind w:left="3600" w:hanging="360"/>
      </w:pPr>
      <w:rPr>
        <w:rFonts w:ascii="Courier New" w:hAnsi="Courier New" w:hint="default"/>
      </w:rPr>
    </w:lvl>
    <w:lvl w:ilvl="5" w:tplc="4976C4C2">
      <w:start w:val="1"/>
      <w:numFmt w:val="bullet"/>
      <w:lvlText w:val=""/>
      <w:lvlJc w:val="left"/>
      <w:pPr>
        <w:ind w:left="4320" w:hanging="360"/>
      </w:pPr>
      <w:rPr>
        <w:rFonts w:ascii="Wingdings" w:hAnsi="Wingdings" w:hint="default"/>
      </w:rPr>
    </w:lvl>
    <w:lvl w:ilvl="6" w:tplc="CC7E9F28">
      <w:start w:val="1"/>
      <w:numFmt w:val="bullet"/>
      <w:lvlText w:val=""/>
      <w:lvlJc w:val="left"/>
      <w:pPr>
        <w:ind w:left="5040" w:hanging="360"/>
      </w:pPr>
      <w:rPr>
        <w:rFonts w:ascii="Symbol" w:hAnsi="Symbol" w:hint="default"/>
      </w:rPr>
    </w:lvl>
    <w:lvl w:ilvl="7" w:tplc="6A32731A">
      <w:start w:val="1"/>
      <w:numFmt w:val="bullet"/>
      <w:lvlText w:val="o"/>
      <w:lvlJc w:val="left"/>
      <w:pPr>
        <w:ind w:left="5760" w:hanging="360"/>
      </w:pPr>
      <w:rPr>
        <w:rFonts w:ascii="Courier New" w:hAnsi="Courier New" w:hint="default"/>
      </w:rPr>
    </w:lvl>
    <w:lvl w:ilvl="8" w:tplc="08D4FA36">
      <w:start w:val="1"/>
      <w:numFmt w:val="bullet"/>
      <w:lvlText w:val=""/>
      <w:lvlJc w:val="left"/>
      <w:pPr>
        <w:ind w:left="6480" w:hanging="360"/>
      </w:pPr>
      <w:rPr>
        <w:rFonts w:ascii="Wingdings" w:hAnsi="Wingdings" w:hint="default"/>
      </w:rPr>
    </w:lvl>
  </w:abstractNum>
  <w:abstractNum w:abstractNumId="29" w15:restartNumberingAfterBreak="0">
    <w:nsid w:val="6B0920C8"/>
    <w:multiLevelType w:val="hybridMultilevel"/>
    <w:tmpl w:val="831C5ACE"/>
    <w:lvl w:ilvl="0" w:tplc="260AA732">
      <w:start w:val="1"/>
      <w:numFmt w:val="bullet"/>
      <w:lvlText w:val=""/>
      <w:lvlJc w:val="left"/>
      <w:pPr>
        <w:ind w:left="720" w:hanging="360"/>
      </w:pPr>
      <w:rPr>
        <w:rFonts w:ascii="Symbol" w:hAnsi="Symbol" w:hint="default"/>
      </w:rPr>
    </w:lvl>
    <w:lvl w:ilvl="1" w:tplc="DDC675C4">
      <w:start w:val="1"/>
      <w:numFmt w:val="bullet"/>
      <w:lvlText w:val="o"/>
      <w:lvlJc w:val="left"/>
      <w:pPr>
        <w:ind w:left="1440" w:hanging="360"/>
      </w:pPr>
      <w:rPr>
        <w:rFonts w:ascii="Courier New" w:hAnsi="Courier New" w:hint="default"/>
      </w:rPr>
    </w:lvl>
    <w:lvl w:ilvl="2" w:tplc="6420B4F2">
      <w:start w:val="1"/>
      <w:numFmt w:val="bullet"/>
      <w:lvlText w:val=""/>
      <w:lvlJc w:val="left"/>
      <w:pPr>
        <w:ind w:left="2160" w:hanging="360"/>
      </w:pPr>
      <w:rPr>
        <w:rFonts w:ascii="Wingdings" w:hAnsi="Wingdings" w:hint="default"/>
      </w:rPr>
    </w:lvl>
    <w:lvl w:ilvl="3" w:tplc="5756F3D6">
      <w:start w:val="1"/>
      <w:numFmt w:val="bullet"/>
      <w:lvlText w:val=""/>
      <w:lvlJc w:val="left"/>
      <w:pPr>
        <w:ind w:left="2880" w:hanging="360"/>
      </w:pPr>
      <w:rPr>
        <w:rFonts w:ascii="Symbol" w:hAnsi="Symbol" w:hint="default"/>
      </w:rPr>
    </w:lvl>
    <w:lvl w:ilvl="4" w:tplc="11820F02">
      <w:start w:val="1"/>
      <w:numFmt w:val="bullet"/>
      <w:lvlText w:val="o"/>
      <w:lvlJc w:val="left"/>
      <w:pPr>
        <w:ind w:left="3600" w:hanging="360"/>
      </w:pPr>
      <w:rPr>
        <w:rFonts w:ascii="Courier New" w:hAnsi="Courier New" w:hint="default"/>
      </w:rPr>
    </w:lvl>
    <w:lvl w:ilvl="5" w:tplc="1BE80904">
      <w:start w:val="1"/>
      <w:numFmt w:val="bullet"/>
      <w:lvlText w:val=""/>
      <w:lvlJc w:val="left"/>
      <w:pPr>
        <w:ind w:left="4320" w:hanging="360"/>
      </w:pPr>
      <w:rPr>
        <w:rFonts w:ascii="Wingdings" w:hAnsi="Wingdings" w:hint="default"/>
      </w:rPr>
    </w:lvl>
    <w:lvl w:ilvl="6" w:tplc="18CA6FC2">
      <w:start w:val="1"/>
      <w:numFmt w:val="bullet"/>
      <w:lvlText w:val=""/>
      <w:lvlJc w:val="left"/>
      <w:pPr>
        <w:ind w:left="5040" w:hanging="360"/>
      </w:pPr>
      <w:rPr>
        <w:rFonts w:ascii="Symbol" w:hAnsi="Symbol" w:hint="default"/>
      </w:rPr>
    </w:lvl>
    <w:lvl w:ilvl="7" w:tplc="E00A7712">
      <w:start w:val="1"/>
      <w:numFmt w:val="bullet"/>
      <w:lvlText w:val="o"/>
      <w:lvlJc w:val="left"/>
      <w:pPr>
        <w:ind w:left="5760" w:hanging="360"/>
      </w:pPr>
      <w:rPr>
        <w:rFonts w:ascii="Courier New" w:hAnsi="Courier New" w:hint="default"/>
      </w:rPr>
    </w:lvl>
    <w:lvl w:ilvl="8" w:tplc="8F228FA6">
      <w:start w:val="1"/>
      <w:numFmt w:val="bullet"/>
      <w:lvlText w:val=""/>
      <w:lvlJc w:val="left"/>
      <w:pPr>
        <w:ind w:left="6480" w:hanging="360"/>
      </w:pPr>
      <w:rPr>
        <w:rFonts w:ascii="Wingdings" w:hAnsi="Wingdings" w:hint="default"/>
      </w:rPr>
    </w:lvl>
  </w:abstractNum>
  <w:abstractNum w:abstractNumId="30" w15:restartNumberingAfterBreak="0">
    <w:nsid w:val="6D522EA0"/>
    <w:multiLevelType w:val="hybridMultilevel"/>
    <w:tmpl w:val="39B062F0"/>
    <w:lvl w:ilvl="0" w:tplc="1A62650C">
      <w:start w:val="1"/>
      <w:numFmt w:val="bullet"/>
      <w:lvlText w:val=""/>
      <w:lvlJc w:val="left"/>
      <w:pPr>
        <w:ind w:left="720" w:hanging="360"/>
      </w:pPr>
      <w:rPr>
        <w:rFonts w:ascii="Symbol" w:hAnsi="Symbol" w:hint="default"/>
      </w:rPr>
    </w:lvl>
    <w:lvl w:ilvl="1" w:tplc="D9ECEEE6">
      <w:start w:val="1"/>
      <w:numFmt w:val="bullet"/>
      <w:lvlText w:val="o"/>
      <w:lvlJc w:val="left"/>
      <w:pPr>
        <w:ind w:left="1440" w:hanging="360"/>
      </w:pPr>
      <w:rPr>
        <w:rFonts w:ascii="Courier New" w:hAnsi="Courier New" w:hint="default"/>
      </w:rPr>
    </w:lvl>
    <w:lvl w:ilvl="2" w:tplc="7BA62972">
      <w:start w:val="1"/>
      <w:numFmt w:val="bullet"/>
      <w:lvlText w:val=""/>
      <w:lvlJc w:val="left"/>
      <w:pPr>
        <w:ind w:left="2160" w:hanging="360"/>
      </w:pPr>
      <w:rPr>
        <w:rFonts w:ascii="Wingdings" w:hAnsi="Wingdings" w:hint="default"/>
      </w:rPr>
    </w:lvl>
    <w:lvl w:ilvl="3" w:tplc="68528076">
      <w:start w:val="1"/>
      <w:numFmt w:val="bullet"/>
      <w:lvlText w:val=""/>
      <w:lvlJc w:val="left"/>
      <w:pPr>
        <w:ind w:left="2880" w:hanging="360"/>
      </w:pPr>
      <w:rPr>
        <w:rFonts w:ascii="Symbol" w:hAnsi="Symbol" w:hint="default"/>
      </w:rPr>
    </w:lvl>
    <w:lvl w:ilvl="4" w:tplc="AC5CF452">
      <w:start w:val="1"/>
      <w:numFmt w:val="bullet"/>
      <w:lvlText w:val="o"/>
      <w:lvlJc w:val="left"/>
      <w:pPr>
        <w:ind w:left="3600" w:hanging="360"/>
      </w:pPr>
      <w:rPr>
        <w:rFonts w:ascii="Courier New" w:hAnsi="Courier New" w:hint="default"/>
      </w:rPr>
    </w:lvl>
    <w:lvl w:ilvl="5" w:tplc="B3BE18E0">
      <w:start w:val="1"/>
      <w:numFmt w:val="bullet"/>
      <w:lvlText w:val=""/>
      <w:lvlJc w:val="left"/>
      <w:pPr>
        <w:ind w:left="4320" w:hanging="360"/>
      </w:pPr>
      <w:rPr>
        <w:rFonts w:ascii="Wingdings" w:hAnsi="Wingdings" w:hint="default"/>
      </w:rPr>
    </w:lvl>
    <w:lvl w:ilvl="6" w:tplc="A6F46C80">
      <w:start w:val="1"/>
      <w:numFmt w:val="bullet"/>
      <w:lvlText w:val=""/>
      <w:lvlJc w:val="left"/>
      <w:pPr>
        <w:ind w:left="5040" w:hanging="360"/>
      </w:pPr>
      <w:rPr>
        <w:rFonts w:ascii="Symbol" w:hAnsi="Symbol" w:hint="default"/>
      </w:rPr>
    </w:lvl>
    <w:lvl w:ilvl="7" w:tplc="DEAE7E12">
      <w:start w:val="1"/>
      <w:numFmt w:val="bullet"/>
      <w:lvlText w:val="o"/>
      <w:lvlJc w:val="left"/>
      <w:pPr>
        <w:ind w:left="5760" w:hanging="360"/>
      </w:pPr>
      <w:rPr>
        <w:rFonts w:ascii="Courier New" w:hAnsi="Courier New" w:hint="default"/>
      </w:rPr>
    </w:lvl>
    <w:lvl w:ilvl="8" w:tplc="FCB41AFA">
      <w:start w:val="1"/>
      <w:numFmt w:val="bullet"/>
      <w:lvlText w:val=""/>
      <w:lvlJc w:val="left"/>
      <w:pPr>
        <w:ind w:left="6480" w:hanging="360"/>
      </w:pPr>
      <w:rPr>
        <w:rFonts w:ascii="Wingdings" w:hAnsi="Wingdings" w:hint="default"/>
      </w:rPr>
    </w:lvl>
  </w:abstractNum>
  <w:abstractNum w:abstractNumId="31" w15:restartNumberingAfterBreak="0">
    <w:nsid w:val="7A28E9B5"/>
    <w:multiLevelType w:val="hybridMultilevel"/>
    <w:tmpl w:val="65DC39BE"/>
    <w:lvl w:ilvl="0" w:tplc="A0382430">
      <w:start w:val="1"/>
      <w:numFmt w:val="bullet"/>
      <w:lvlText w:val=""/>
      <w:lvlJc w:val="left"/>
      <w:pPr>
        <w:ind w:left="720" w:hanging="360"/>
      </w:pPr>
      <w:rPr>
        <w:rFonts w:ascii="Symbol" w:hAnsi="Symbol" w:hint="default"/>
      </w:rPr>
    </w:lvl>
    <w:lvl w:ilvl="1" w:tplc="988CA1A0">
      <w:start w:val="1"/>
      <w:numFmt w:val="bullet"/>
      <w:lvlText w:val="o"/>
      <w:lvlJc w:val="left"/>
      <w:pPr>
        <w:ind w:left="1440" w:hanging="360"/>
      </w:pPr>
      <w:rPr>
        <w:rFonts w:ascii="Courier New" w:hAnsi="Courier New" w:hint="default"/>
      </w:rPr>
    </w:lvl>
    <w:lvl w:ilvl="2" w:tplc="F7726098">
      <w:start w:val="1"/>
      <w:numFmt w:val="bullet"/>
      <w:lvlText w:val=""/>
      <w:lvlJc w:val="left"/>
      <w:pPr>
        <w:ind w:left="2160" w:hanging="360"/>
      </w:pPr>
      <w:rPr>
        <w:rFonts w:ascii="Wingdings" w:hAnsi="Wingdings" w:hint="default"/>
      </w:rPr>
    </w:lvl>
    <w:lvl w:ilvl="3" w:tplc="0DBAEF28">
      <w:start w:val="1"/>
      <w:numFmt w:val="bullet"/>
      <w:lvlText w:val=""/>
      <w:lvlJc w:val="left"/>
      <w:pPr>
        <w:ind w:left="2880" w:hanging="360"/>
      </w:pPr>
      <w:rPr>
        <w:rFonts w:ascii="Symbol" w:hAnsi="Symbol" w:hint="default"/>
      </w:rPr>
    </w:lvl>
    <w:lvl w:ilvl="4" w:tplc="5D2CED64">
      <w:start w:val="1"/>
      <w:numFmt w:val="bullet"/>
      <w:lvlText w:val="o"/>
      <w:lvlJc w:val="left"/>
      <w:pPr>
        <w:ind w:left="3600" w:hanging="360"/>
      </w:pPr>
      <w:rPr>
        <w:rFonts w:ascii="Courier New" w:hAnsi="Courier New" w:hint="default"/>
      </w:rPr>
    </w:lvl>
    <w:lvl w:ilvl="5" w:tplc="980EFF88">
      <w:start w:val="1"/>
      <w:numFmt w:val="bullet"/>
      <w:lvlText w:val=""/>
      <w:lvlJc w:val="left"/>
      <w:pPr>
        <w:ind w:left="4320" w:hanging="360"/>
      </w:pPr>
      <w:rPr>
        <w:rFonts w:ascii="Wingdings" w:hAnsi="Wingdings" w:hint="default"/>
      </w:rPr>
    </w:lvl>
    <w:lvl w:ilvl="6" w:tplc="BE58B248">
      <w:start w:val="1"/>
      <w:numFmt w:val="bullet"/>
      <w:lvlText w:val=""/>
      <w:lvlJc w:val="left"/>
      <w:pPr>
        <w:ind w:left="5040" w:hanging="360"/>
      </w:pPr>
      <w:rPr>
        <w:rFonts w:ascii="Symbol" w:hAnsi="Symbol" w:hint="default"/>
      </w:rPr>
    </w:lvl>
    <w:lvl w:ilvl="7" w:tplc="F60CCAF0">
      <w:start w:val="1"/>
      <w:numFmt w:val="bullet"/>
      <w:lvlText w:val="o"/>
      <w:lvlJc w:val="left"/>
      <w:pPr>
        <w:ind w:left="5760" w:hanging="360"/>
      </w:pPr>
      <w:rPr>
        <w:rFonts w:ascii="Courier New" w:hAnsi="Courier New" w:hint="default"/>
      </w:rPr>
    </w:lvl>
    <w:lvl w:ilvl="8" w:tplc="D916AC76">
      <w:start w:val="1"/>
      <w:numFmt w:val="bullet"/>
      <w:lvlText w:val=""/>
      <w:lvlJc w:val="left"/>
      <w:pPr>
        <w:ind w:left="6480" w:hanging="360"/>
      </w:pPr>
      <w:rPr>
        <w:rFonts w:ascii="Wingdings" w:hAnsi="Wingdings" w:hint="default"/>
      </w:rPr>
    </w:lvl>
  </w:abstractNum>
  <w:abstractNum w:abstractNumId="32" w15:restartNumberingAfterBreak="0">
    <w:nsid w:val="7AF58282"/>
    <w:multiLevelType w:val="hybridMultilevel"/>
    <w:tmpl w:val="3DE4DEBC"/>
    <w:lvl w:ilvl="0" w:tplc="65F8472E">
      <w:start w:val="1"/>
      <w:numFmt w:val="bullet"/>
      <w:lvlText w:val=""/>
      <w:lvlJc w:val="left"/>
      <w:pPr>
        <w:ind w:left="720" w:hanging="360"/>
      </w:pPr>
      <w:rPr>
        <w:rFonts w:ascii="Symbol" w:hAnsi="Symbol" w:hint="default"/>
      </w:rPr>
    </w:lvl>
    <w:lvl w:ilvl="1" w:tplc="3E407962">
      <w:start w:val="1"/>
      <w:numFmt w:val="bullet"/>
      <w:lvlText w:val="o"/>
      <w:lvlJc w:val="left"/>
      <w:pPr>
        <w:ind w:left="1440" w:hanging="360"/>
      </w:pPr>
      <w:rPr>
        <w:rFonts w:ascii="Courier New" w:hAnsi="Courier New" w:hint="default"/>
      </w:rPr>
    </w:lvl>
    <w:lvl w:ilvl="2" w:tplc="09E871B0">
      <w:start w:val="1"/>
      <w:numFmt w:val="bullet"/>
      <w:lvlText w:val=""/>
      <w:lvlJc w:val="left"/>
      <w:pPr>
        <w:ind w:left="2160" w:hanging="360"/>
      </w:pPr>
      <w:rPr>
        <w:rFonts w:ascii="Wingdings" w:hAnsi="Wingdings" w:hint="default"/>
      </w:rPr>
    </w:lvl>
    <w:lvl w:ilvl="3" w:tplc="E780BA26">
      <w:start w:val="1"/>
      <w:numFmt w:val="bullet"/>
      <w:lvlText w:val=""/>
      <w:lvlJc w:val="left"/>
      <w:pPr>
        <w:ind w:left="2880" w:hanging="360"/>
      </w:pPr>
      <w:rPr>
        <w:rFonts w:ascii="Symbol" w:hAnsi="Symbol" w:hint="default"/>
      </w:rPr>
    </w:lvl>
    <w:lvl w:ilvl="4" w:tplc="C2527566">
      <w:start w:val="1"/>
      <w:numFmt w:val="bullet"/>
      <w:lvlText w:val="o"/>
      <w:lvlJc w:val="left"/>
      <w:pPr>
        <w:ind w:left="3600" w:hanging="360"/>
      </w:pPr>
      <w:rPr>
        <w:rFonts w:ascii="Courier New" w:hAnsi="Courier New" w:hint="default"/>
      </w:rPr>
    </w:lvl>
    <w:lvl w:ilvl="5" w:tplc="40207E3E">
      <w:start w:val="1"/>
      <w:numFmt w:val="bullet"/>
      <w:lvlText w:val=""/>
      <w:lvlJc w:val="left"/>
      <w:pPr>
        <w:ind w:left="4320" w:hanging="360"/>
      </w:pPr>
      <w:rPr>
        <w:rFonts w:ascii="Wingdings" w:hAnsi="Wingdings" w:hint="default"/>
      </w:rPr>
    </w:lvl>
    <w:lvl w:ilvl="6" w:tplc="8422A5C0">
      <w:start w:val="1"/>
      <w:numFmt w:val="bullet"/>
      <w:lvlText w:val=""/>
      <w:lvlJc w:val="left"/>
      <w:pPr>
        <w:ind w:left="5040" w:hanging="360"/>
      </w:pPr>
      <w:rPr>
        <w:rFonts w:ascii="Symbol" w:hAnsi="Symbol" w:hint="default"/>
      </w:rPr>
    </w:lvl>
    <w:lvl w:ilvl="7" w:tplc="55CABA96">
      <w:start w:val="1"/>
      <w:numFmt w:val="bullet"/>
      <w:lvlText w:val="o"/>
      <w:lvlJc w:val="left"/>
      <w:pPr>
        <w:ind w:left="5760" w:hanging="360"/>
      </w:pPr>
      <w:rPr>
        <w:rFonts w:ascii="Courier New" w:hAnsi="Courier New" w:hint="default"/>
      </w:rPr>
    </w:lvl>
    <w:lvl w:ilvl="8" w:tplc="B00C71F6">
      <w:start w:val="1"/>
      <w:numFmt w:val="bullet"/>
      <w:lvlText w:val=""/>
      <w:lvlJc w:val="left"/>
      <w:pPr>
        <w:ind w:left="6480" w:hanging="360"/>
      </w:pPr>
      <w:rPr>
        <w:rFonts w:ascii="Wingdings" w:hAnsi="Wingdings" w:hint="default"/>
      </w:rPr>
    </w:lvl>
  </w:abstractNum>
  <w:abstractNum w:abstractNumId="33" w15:restartNumberingAfterBreak="0">
    <w:nsid w:val="7CEA419C"/>
    <w:multiLevelType w:val="hybridMultilevel"/>
    <w:tmpl w:val="BA2A9494"/>
    <w:lvl w:ilvl="0" w:tplc="66843B50">
      <w:start w:val="1"/>
      <w:numFmt w:val="bullet"/>
      <w:lvlText w:val=""/>
      <w:lvlJc w:val="left"/>
      <w:pPr>
        <w:ind w:left="720" w:hanging="360"/>
      </w:pPr>
      <w:rPr>
        <w:rFonts w:ascii="Symbol" w:hAnsi="Symbol" w:hint="default"/>
      </w:rPr>
    </w:lvl>
    <w:lvl w:ilvl="1" w:tplc="B8A8BC7C">
      <w:start w:val="1"/>
      <w:numFmt w:val="bullet"/>
      <w:lvlText w:val="o"/>
      <w:lvlJc w:val="left"/>
      <w:pPr>
        <w:ind w:left="1440" w:hanging="360"/>
      </w:pPr>
      <w:rPr>
        <w:rFonts w:ascii="Courier New" w:hAnsi="Courier New" w:hint="default"/>
      </w:rPr>
    </w:lvl>
    <w:lvl w:ilvl="2" w:tplc="557A9B5A">
      <w:start w:val="1"/>
      <w:numFmt w:val="bullet"/>
      <w:lvlText w:val=""/>
      <w:lvlJc w:val="left"/>
      <w:pPr>
        <w:ind w:left="2160" w:hanging="360"/>
      </w:pPr>
      <w:rPr>
        <w:rFonts w:ascii="Wingdings" w:hAnsi="Wingdings" w:hint="default"/>
      </w:rPr>
    </w:lvl>
    <w:lvl w:ilvl="3" w:tplc="6388D5C8">
      <w:start w:val="1"/>
      <w:numFmt w:val="bullet"/>
      <w:lvlText w:val=""/>
      <w:lvlJc w:val="left"/>
      <w:pPr>
        <w:ind w:left="2880" w:hanging="360"/>
      </w:pPr>
      <w:rPr>
        <w:rFonts w:ascii="Symbol" w:hAnsi="Symbol" w:hint="default"/>
      </w:rPr>
    </w:lvl>
    <w:lvl w:ilvl="4" w:tplc="074ADB54">
      <w:start w:val="1"/>
      <w:numFmt w:val="bullet"/>
      <w:lvlText w:val="o"/>
      <w:lvlJc w:val="left"/>
      <w:pPr>
        <w:ind w:left="3600" w:hanging="360"/>
      </w:pPr>
      <w:rPr>
        <w:rFonts w:ascii="Courier New" w:hAnsi="Courier New" w:hint="default"/>
      </w:rPr>
    </w:lvl>
    <w:lvl w:ilvl="5" w:tplc="C0122576">
      <w:start w:val="1"/>
      <w:numFmt w:val="bullet"/>
      <w:lvlText w:val=""/>
      <w:lvlJc w:val="left"/>
      <w:pPr>
        <w:ind w:left="4320" w:hanging="360"/>
      </w:pPr>
      <w:rPr>
        <w:rFonts w:ascii="Wingdings" w:hAnsi="Wingdings" w:hint="default"/>
      </w:rPr>
    </w:lvl>
    <w:lvl w:ilvl="6" w:tplc="82AC7A18">
      <w:start w:val="1"/>
      <w:numFmt w:val="bullet"/>
      <w:lvlText w:val=""/>
      <w:lvlJc w:val="left"/>
      <w:pPr>
        <w:ind w:left="5040" w:hanging="360"/>
      </w:pPr>
      <w:rPr>
        <w:rFonts w:ascii="Symbol" w:hAnsi="Symbol" w:hint="default"/>
      </w:rPr>
    </w:lvl>
    <w:lvl w:ilvl="7" w:tplc="7336492E">
      <w:start w:val="1"/>
      <w:numFmt w:val="bullet"/>
      <w:lvlText w:val="o"/>
      <w:lvlJc w:val="left"/>
      <w:pPr>
        <w:ind w:left="5760" w:hanging="360"/>
      </w:pPr>
      <w:rPr>
        <w:rFonts w:ascii="Courier New" w:hAnsi="Courier New" w:hint="default"/>
      </w:rPr>
    </w:lvl>
    <w:lvl w:ilvl="8" w:tplc="E988CDF2">
      <w:start w:val="1"/>
      <w:numFmt w:val="bullet"/>
      <w:lvlText w:val=""/>
      <w:lvlJc w:val="left"/>
      <w:pPr>
        <w:ind w:left="6480" w:hanging="360"/>
      </w:pPr>
      <w:rPr>
        <w:rFonts w:ascii="Wingdings" w:hAnsi="Wingdings" w:hint="default"/>
      </w:rPr>
    </w:lvl>
  </w:abstractNum>
  <w:abstractNum w:abstractNumId="34" w15:restartNumberingAfterBreak="0">
    <w:nsid w:val="7DF11D31"/>
    <w:multiLevelType w:val="hybridMultilevel"/>
    <w:tmpl w:val="36F81D1E"/>
    <w:lvl w:ilvl="0" w:tplc="8182E312">
      <w:start w:val="1"/>
      <w:numFmt w:val="bullet"/>
      <w:lvlText w:val=""/>
      <w:lvlJc w:val="left"/>
      <w:pPr>
        <w:ind w:left="720" w:hanging="360"/>
      </w:pPr>
      <w:rPr>
        <w:rFonts w:ascii="Symbol" w:hAnsi="Symbol" w:hint="default"/>
      </w:rPr>
    </w:lvl>
    <w:lvl w:ilvl="1" w:tplc="D32A9336">
      <w:start w:val="1"/>
      <w:numFmt w:val="bullet"/>
      <w:lvlText w:val="o"/>
      <w:lvlJc w:val="left"/>
      <w:pPr>
        <w:ind w:left="1440" w:hanging="360"/>
      </w:pPr>
      <w:rPr>
        <w:rFonts w:ascii="Courier New" w:hAnsi="Courier New" w:hint="default"/>
      </w:rPr>
    </w:lvl>
    <w:lvl w:ilvl="2" w:tplc="F16C7D22">
      <w:start w:val="1"/>
      <w:numFmt w:val="bullet"/>
      <w:lvlText w:val=""/>
      <w:lvlJc w:val="left"/>
      <w:pPr>
        <w:ind w:left="2160" w:hanging="360"/>
      </w:pPr>
      <w:rPr>
        <w:rFonts w:ascii="Wingdings" w:hAnsi="Wingdings" w:hint="default"/>
      </w:rPr>
    </w:lvl>
    <w:lvl w:ilvl="3" w:tplc="0E4A7FE6">
      <w:start w:val="1"/>
      <w:numFmt w:val="bullet"/>
      <w:lvlText w:val=""/>
      <w:lvlJc w:val="left"/>
      <w:pPr>
        <w:ind w:left="2880" w:hanging="360"/>
      </w:pPr>
      <w:rPr>
        <w:rFonts w:ascii="Symbol" w:hAnsi="Symbol" w:hint="default"/>
      </w:rPr>
    </w:lvl>
    <w:lvl w:ilvl="4" w:tplc="0C125740">
      <w:start w:val="1"/>
      <w:numFmt w:val="bullet"/>
      <w:lvlText w:val="o"/>
      <w:lvlJc w:val="left"/>
      <w:pPr>
        <w:ind w:left="3600" w:hanging="360"/>
      </w:pPr>
      <w:rPr>
        <w:rFonts w:ascii="Courier New" w:hAnsi="Courier New" w:hint="default"/>
      </w:rPr>
    </w:lvl>
    <w:lvl w:ilvl="5" w:tplc="B50C1EE2">
      <w:start w:val="1"/>
      <w:numFmt w:val="bullet"/>
      <w:lvlText w:val=""/>
      <w:lvlJc w:val="left"/>
      <w:pPr>
        <w:ind w:left="4320" w:hanging="360"/>
      </w:pPr>
      <w:rPr>
        <w:rFonts w:ascii="Wingdings" w:hAnsi="Wingdings" w:hint="default"/>
      </w:rPr>
    </w:lvl>
    <w:lvl w:ilvl="6" w:tplc="0A54BD78">
      <w:start w:val="1"/>
      <w:numFmt w:val="bullet"/>
      <w:lvlText w:val=""/>
      <w:lvlJc w:val="left"/>
      <w:pPr>
        <w:ind w:left="5040" w:hanging="360"/>
      </w:pPr>
      <w:rPr>
        <w:rFonts w:ascii="Symbol" w:hAnsi="Symbol" w:hint="default"/>
      </w:rPr>
    </w:lvl>
    <w:lvl w:ilvl="7" w:tplc="1E90E934">
      <w:start w:val="1"/>
      <w:numFmt w:val="bullet"/>
      <w:lvlText w:val="o"/>
      <w:lvlJc w:val="left"/>
      <w:pPr>
        <w:ind w:left="5760" w:hanging="360"/>
      </w:pPr>
      <w:rPr>
        <w:rFonts w:ascii="Courier New" w:hAnsi="Courier New" w:hint="default"/>
      </w:rPr>
    </w:lvl>
    <w:lvl w:ilvl="8" w:tplc="34FC2B38">
      <w:start w:val="1"/>
      <w:numFmt w:val="bullet"/>
      <w:lvlText w:val=""/>
      <w:lvlJc w:val="left"/>
      <w:pPr>
        <w:ind w:left="6480" w:hanging="360"/>
      </w:pPr>
      <w:rPr>
        <w:rFonts w:ascii="Wingdings" w:hAnsi="Wingdings" w:hint="default"/>
      </w:rPr>
    </w:lvl>
  </w:abstractNum>
  <w:abstractNum w:abstractNumId="35" w15:restartNumberingAfterBreak="0">
    <w:nsid w:val="7FEEEF10"/>
    <w:multiLevelType w:val="hybridMultilevel"/>
    <w:tmpl w:val="95AA4714"/>
    <w:lvl w:ilvl="0" w:tplc="50621670">
      <w:start w:val="1"/>
      <w:numFmt w:val="bullet"/>
      <w:lvlText w:val=""/>
      <w:lvlJc w:val="left"/>
      <w:pPr>
        <w:ind w:left="720" w:hanging="360"/>
      </w:pPr>
      <w:rPr>
        <w:rFonts w:ascii="Symbol" w:hAnsi="Symbol" w:hint="default"/>
      </w:rPr>
    </w:lvl>
    <w:lvl w:ilvl="1" w:tplc="34FABB60">
      <w:start w:val="1"/>
      <w:numFmt w:val="bullet"/>
      <w:lvlText w:val="o"/>
      <w:lvlJc w:val="left"/>
      <w:pPr>
        <w:ind w:left="1440" w:hanging="360"/>
      </w:pPr>
      <w:rPr>
        <w:rFonts w:ascii="Courier New" w:hAnsi="Courier New" w:hint="default"/>
      </w:rPr>
    </w:lvl>
    <w:lvl w:ilvl="2" w:tplc="FED61484">
      <w:start w:val="1"/>
      <w:numFmt w:val="bullet"/>
      <w:lvlText w:val=""/>
      <w:lvlJc w:val="left"/>
      <w:pPr>
        <w:ind w:left="2160" w:hanging="360"/>
      </w:pPr>
      <w:rPr>
        <w:rFonts w:ascii="Wingdings" w:hAnsi="Wingdings" w:hint="default"/>
      </w:rPr>
    </w:lvl>
    <w:lvl w:ilvl="3" w:tplc="5858AD10">
      <w:start w:val="1"/>
      <w:numFmt w:val="bullet"/>
      <w:lvlText w:val=""/>
      <w:lvlJc w:val="left"/>
      <w:pPr>
        <w:ind w:left="2880" w:hanging="360"/>
      </w:pPr>
      <w:rPr>
        <w:rFonts w:ascii="Symbol" w:hAnsi="Symbol" w:hint="default"/>
      </w:rPr>
    </w:lvl>
    <w:lvl w:ilvl="4" w:tplc="C71634B6">
      <w:start w:val="1"/>
      <w:numFmt w:val="bullet"/>
      <w:lvlText w:val="o"/>
      <w:lvlJc w:val="left"/>
      <w:pPr>
        <w:ind w:left="3600" w:hanging="360"/>
      </w:pPr>
      <w:rPr>
        <w:rFonts w:ascii="Courier New" w:hAnsi="Courier New" w:hint="default"/>
      </w:rPr>
    </w:lvl>
    <w:lvl w:ilvl="5" w:tplc="8796F350">
      <w:start w:val="1"/>
      <w:numFmt w:val="bullet"/>
      <w:lvlText w:val=""/>
      <w:lvlJc w:val="left"/>
      <w:pPr>
        <w:ind w:left="4320" w:hanging="360"/>
      </w:pPr>
      <w:rPr>
        <w:rFonts w:ascii="Wingdings" w:hAnsi="Wingdings" w:hint="default"/>
      </w:rPr>
    </w:lvl>
    <w:lvl w:ilvl="6" w:tplc="CC2A17B0">
      <w:start w:val="1"/>
      <w:numFmt w:val="bullet"/>
      <w:lvlText w:val=""/>
      <w:lvlJc w:val="left"/>
      <w:pPr>
        <w:ind w:left="5040" w:hanging="360"/>
      </w:pPr>
      <w:rPr>
        <w:rFonts w:ascii="Symbol" w:hAnsi="Symbol" w:hint="default"/>
      </w:rPr>
    </w:lvl>
    <w:lvl w:ilvl="7" w:tplc="1C58A58E">
      <w:start w:val="1"/>
      <w:numFmt w:val="bullet"/>
      <w:lvlText w:val="o"/>
      <w:lvlJc w:val="left"/>
      <w:pPr>
        <w:ind w:left="5760" w:hanging="360"/>
      </w:pPr>
      <w:rPr>
        <w:rFonts w:ascii="Courier New" w:hAnsi="Courier New" w:hint="default"/>
      </w:rPr>
    </w:lvl>
    <w:lvl w:ilvl="8" w:tplc="B076481C">
      <w:start w:val="1"/>
      <w:numFmt w:val="bullet"/>
      <w:lvlText w:val=""/>
      <w:lvlJc w:val="left"/>
      <w:pPr>
        <w:ind w:left="6480" w:hanging="360"/>
      </w:pPr>
      <w:rPr>
        <w:rFonts w:ascii="Wingdings" w:hAnsi="Wingdings" w:hint="default"/>
      </w:rPr>
    </w:lvl>
  </w:abstractNum>
  <w:num w:numId="1" w16cid:durableId="1480079342">
    <w:abstractNumId w:val="3"/>
  </w:num>
  <w:num w:numId="2" w16cid:durableId="998967726">
    <w:abstractNumId w:val="15"/>
  </w:num>
  <w:num w:numId="3" w16cid:durableId="1477526807">
    <w:abstractNumId w:val="14"/>
  </w:num>
  <w:num w:numId="4" w16cid:durableId="1599824524">
    <w:abstractNumId w:val="25"/>
  </w:num>
  <w:num w:numId="5" w16cid:durableId="983125397">
    <w:abstractNumId w:val="11"/>
  </w:num>
  <w:num w:numId="6" w16cid:durableId="876966297">
    <w:abstractNumId w:val="23"/>
  </w:num>
  <w:num w:numId="7" w16cid:durableId="1114515750">
    <w:abstractNumId w:val="13"/>
  </w:num>
  <w:num w:numId="8" w16cid:durableId="599873109">
    <w:abstractNumId w:val="17"/>
  </w:num>
  <w:num w:numId="9" w16cid:durableId="456409425">
    <w:abstractNumId w:val="31"/>
  </w:num>
  <w:num w:numId="10" w16cid:durableId="787897768">
    <w:abstractNumId w:val="2"/>
  </w:num>
  <w:num w:numId="11" w16cid:durableId="1614164340">
    <w:abstractNumId w:val="28"/>
  </w:num>
  <w:num w:numId="12" w16cid:durableId="759914595">
    <w:abstractNumId w:val="4"/>
  </w:num>
  <w:num w:numId="13" w16cid:durableId="679282800">
    <w:abstractNumId w:val="1"/>
  </w:num>
  <w:num w:numId="14" w16cid:durableId="889532647">
    <w:abstractNumId w:val="29"/>
  </w:num>
  <w:num w:numId="15" w16cid:durableId="638191294">
    <w:abstractNumId w:val="7"/>
  </w:num>
  <w:num w:numId="16" w16cid:durableId="904802103">
    <w:abstractNumId w:val="5"/>
  </w:num>
  <w:num w:numId="17" w16cid:durableId="938752103">
    <w:abstractNumId w:val="32"/>
  </w:num>
  <w:num w:numId="18" w16cid:durableId="839739799">
    <w:abstractNumId w:val="35"/>
  </w:num>
  <w:num w:numId="19" w16cid:durableId="455755042">
    <w:abstractNumId w:val="26"/>
  </w:num>
  <w:num w:numId="20" w16cid:durableId="1453331100">
    <w:abstractNumId w:val="19"/>
  </w:num>
  <w:num w:numId="21" w16cid:durableId="720639712">
    <w:abstractNumId w:val="12"/>
  </w:num>
  <w:num w:numId="22" w16cid:durableId="1689983815">
    <w:abstractNumId w:val="30"/>
  </w:num>
  <w:num w:numId="23" w16cid:durableId="1848329881">
    <w:abstractNumId w:val="9"/>
  </w:num>
  <w:num w:numId="24" w16cid:durableId="265230882">
    <w:abstractNumId w:val="8"/>
  </w:num>
  <w:num w:numId="25" w16cid:durableId="2141260719">
    <w:abstractNumId w:val="22"/>
  </w:num>
  <w:num w:numId="26" w16cid:durableId="2049522928">
    <w:abstractNumId w:val="6"/>
  </w:num>
  <w:num w:numId="27" w16cid:durableId="748386343">
    <w:abstractNumId w:val="16"/>
  </w:num>
  <w:num w:numId="28" w16cid:durableId="1864586398">
    <w:abstractNumId w:val="10"/>
  </w:num>
  <w:num w:numId="29" w16cid:durableId="672995056">
    <w:abstractNumId w:val="24"/>
  </w:num>
  <w:num w:numId="30" w16cid:durableId="1980843567">
    <w:abstractNumId w:val="27"/>
  </w:num>
  <w:num w:numId="31" w16cid:durableId="335033608">
    <w:abstractNumId w:val="0"/>
  </w:num>
  <w:num w:numId="32" w16cid:durableId="678653473">
    <w:abstractNumId w:val="18"/>
  </w:num>
  <w:num w:numId="33" w16cid:durableId="1467970952">
    <w:abstractNumId w:val="20"/>
  </w:num>
  <w:num w:numId="34" w16cid:durableId="1588537395">
    <w:abstractNumId w:val="33"/>
  </w:num>
  <w:num w:numId="35" w16cid:durableId="2106612840">
    <w:abstractNumId w:val="34"/>
  </w:num>
  <w:num w:numId="36" w16cid:durableId="131560535">
    <w:abstractNumId w:val="2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3C2"/>
    <w:rsid w:val="00015CDD"/>
    <w:rsid w:val="00042275"/>
    <w:rsid w:val="000F4411"/>
    <w:rsid w:val="001A244B"/>
    <w:rsid w:val="001D2F82"/>
    <w:rsid w:val="002DFD5A"/>
    <w:rsid w:val="00337AAF"/>
    <w:rsid w:val="00361067"/>
    <w:rsid w:val="00375603"/>
    <w:rsid w:val="003E00B4"/>
    <w:rsid w:val="004739DE"/>
    <w:rsid w:val="00486741"/>
    <w:rsid w:val="0053364E"/>
    <w:rsid w:val="005833C2"/>
    <w:rsid w:val="0065B047"/>
    <w:rsid w:val="007160A6"/>
    <w:rsid w:val="00791071"/>
    <w:rsid w:val="007C40DF"/>
    <w:rsid w:val="008C596D"/>
    <w:rsid w:val="00934B7C"/>
    <w:rsid w:val="009A2F41"/>
    <w:rsid w:val="009D3C75"/>
    <w:rsid w:val="009F0861"/>
    <w:rsid w:val="00A358A7"/>
    <w:rsid w:val="00AB60DA"/>
    <w:rsid w:val="00B34D4E"/>
    <w:rsid w:val="00B633F9"/>
    <w:rsid w:val="00BD6F9A"/>
    <w:rsid w:val="00CC1336"/>
    <w:rsid w:val="00CE38D0"/>
    <w:rsid w:val="00CF0ED7"/>
    <w:rsid w:val="00CF3B13"/>
    <w:rsid w:val="00D264C7"/>
    <w:rsid w:val="00D32C5E"/>
    <w:rsid w:val="00D34B86"/>
    <w:rsid w:val="00D67A17"/>
    <w:rsid w:val="00E509CB"/>
    <w:rsid w:val="00E5D5F1"/>
    <w:rsid w:val="00ED3707"/>
    <w:rsid w:val="00EE1B00"/>
    <w:rsid w:val="00F56C00"/>
    <w:rsid w:val="00FF46B6"/>
    <w:rsid w:val="024453D1"/>
    <w:rsid w:val="026FE0DE"/>
    <w:rsid w:val="0279F61B"/>
    <w:rsid w:val="02CB4A7D"/>
    <w:rsid w:val="03133E3D"/>
    <w:rsid w:val="05547641"/>
    <w:rsid w:val="05C5A205"/>
    <w:rsid w:val="05DDFD7B"/>
    <w:rsid w:val="060473E6"/>
    <w:rsid w:val="06572594"/>
    <w:rsid w:val="07589A50"/>
    <w:rsid w:val="07603FFF"/>
    <w:rsid w:val="07C8AC02"/>
    <w:rsid w:val="07F1C629"/>
    <w:rsid w:val="07F2B1E8"/>
    <w:rsid w:val="081062C6"/>
    <w:rsid w:val="0812D283"/>
    <w:rsid w:val="091B1EFA"/>
    <w:rsid w:val="09352BED"/>
    <w:rsid w:val="0967A12B"/>
    <w:rsid w:val="0A076FA4"/>
    <w:rsid w:val="0A0CDF30"/>
    <w:rsid w:val="0A0CEFC0"/>
    <w:rsid w:val="0A336A81"/>
    <w:rsid w:val="0BABA781"/>
    <w:rsid w:val="0BD5F22A"/>
    <w:rsid w:val="0C020F91"/>
    <w:rsid w:val="0C204FC9"/>
    <w:rsid w:val="0C54E74C"/>
    <w:rsid w:val="0C81F277"/>
    <w:rsid w:val="0C884195"/>
    <w:rsid w:val="0D6A9EBF"/>
    <w:rsid w:val="0D834F6D"/>
    <w:rsid w:val="0DC29541"/>
    <w:rsid w:val="0DD48954"/>
    <w:rsid w:val="0E1EA7FF"/>
    <w:rsid w:val="0E7EA62A"/>
    <w:rsid w:val="0ED580F0"/>
    <w:rsid w:val="0EE4857D"/>
    <w:rsid w:val="0F8A667E"/>
    <w:rsid w:val="0FECB282"/>
    <w:rsid w:val="101035CA"/>
    <w:rsid w:val="101A3AC6"/>
    <w:rsid w:val="108E550B"/>
    <w:rsid w:val="1170A9D9"/>
    <w:rsid w:val="11E02EA0"/>
    <w:rsid w:val="12CD3DD8"/>
    <w:rsid w:val="13180000"/>
    <w:rsid w:val="13D17590"/>
    <w:rsid w:val="13F363E9"/>
    <w:rsid w:val="146D0D3D"/>
    <w:rsid w:val="1489C5C5"/>
    <w:rsid w:val="14FE715A"/>
    <w:rsid w:val="15400A5C"/>
    <w:rsid w:val="15633036"/>
    <w:rsid w:val="15E133D6"/>
    <w:rsid w:val="16202EB8"/>
    <w:rsid w:val="16F34FC8"/>
    <w:rsid w:val="1712E2DB"/>
    <w:rsid w:val="176F6A0C"/>
    <w:rsid w:val="1798F193"/>
    <w:rsid w:val="18C23E47"/>
    <w:rsid w:val="18CB73CB"/>
    <w:rsid w:val="18D411C9"/>
    <w:rsid w:val="18E9FF5F"/>
    <w:rsid w:val="199D2CEA"/>
    <w:rsid w:val="1B1FCAF2"/>
    <w:rsid w:val="1C4B2835"/>
    <w:rsid w:val="1CF52A68"/>
    <w:rsid w:val="1D0CBA35"/>
    <w:rsid w:val="1D711716"/>
    <w:rsid w:val="1DAE00EB"/>
    <w:rsid w:val="1DBA5D94"/>
    <w:rsid w:val="1DDBAFCA"/>
    <w:rsid w:val="1E0B6474"/>
    <w:rsid w:val="1E55CF73"/>
    <w:rsid w:val="1E879C2A"/>
    <w:rsid w:val="1FBACF7A"/>
    <w:rsid w:val="204778AC"/>
    <w:rsid w:val="2052D407"/>
    <w:rsid w:val="213BA8BC"/>
    <w:rsid w:val="214A7DB9"/>
    <w:rsid w:val="217164C1"/>
    <w:rsid w:val="2186FE89"/>
    <w:rsid w:val="21A3F657"/>
    <w:rsid w:val="22705B05"/>
    <w:rsid w:val="22A4D69B"/>
    <w:rsid w:val="23068D28"/>
    <w:rsid w:val="231980D5"/>
    <w:rsid w:val="2389B4A4"/>
    <w:rsid w:val="24A05548"/>
    <w:rsid w:val="24CB1332"/>
    <w:rsid w:val="2522A96B"/>
    <w:rsid w:val="25748BCA"/>
    <w:rsid w:val="257E3D34"/>
    <w:rsid w:val="259A9D12"/>
    <w:rsid w:val="26E0DF73"/>
    <w:rsid w:val="27437F54"/>
    <w:rsid w:val="275C7181"/>
    <w:rsid w:val="278835F3"/>
    <w:rsid w:val="283486F5"/>
    <w:rsid w:val="28F735DB"/>
    <w:rsid w:val="292020A3"/>
    <w:rsid w:val="29907367"/>
    <w:rsid w:val="29E7C8C3"/>
    <w:rsid w:val="2A0269F1"/>
    <w:rsid w:val="2A1D7E1B"/>
    <w:rsid w:val="2A4669F1"/>
    <w:rsid w:val="2A64C8D9"/>
    <w:rsid w:val="2A8B030D"/>
    <w:rsid w:val="2B1F80B7"/>
    <w:rsid w:val="2B2735BA"/>
    <w:rsid w:val="2B523E42"/>
    <w:rsid w:val="2BD00F25"/>
    <w:rsid w:val="2C0C5790"/>
    <w:rsid w:val="2C876E94"/>
    <w:rsid w:val="2CEAD59C"/>
    <w:rsid w:val="2D01C810"/>
    <w:rsid w:val="2D5FD5D3"/>
    <w:rsid w:val="2DC7CD37"/>
    <w:rsid w:val="2E85A22C"/>
    <w:rsid w:val="2EAFA4BB"/>
    <w:rsid w:val="2F6B3A0C"/>
    <w:rsid w:val="2FAB37A5"/>
    <w:rsid w:val="2FF74BD5"/>
    <w:rsid w:val="302E4AF6"/>
    <w:rsid w:val="302FC12E"/>
    <w:rsid w:val="30A6216D"/>
    <w:rsid w:val="30E26A34"/>
    <w:rsid w:val="326BCD9B"/>
    <w:rsid w:val="32A26970"/>
    <w:rsid w:val="33070363"/>
    <w:rsid w:val="3337E3DF"/>
    <w:rsid w:val="335D922E"/>
    <w:rsid w:val="33D584FA"/>
    <w:rsid w:val="3410AA85"/>
    <w:rsid w:val="34AAAFBD"/>
    <w:rsid w:val="35615E97"/>
    <w:rsid w:val="3574C021"/>
    <w:rsid w:val="35B84B80"/>
    <w:rsid w:val="35DAC3F8"/>
    <w:rsid w:val="36C1886C"/>
    <w:rsid w:val="36C38F9E"/>
    <w:rsid w:val="37296F4D"/>
    <w:rsid w:val="373CFD75"/>
    <w:rsid w:val="374FAD83"/>
    <w:rsid w:val="3775FBC2"/>
    <w:rsid w:val="3789A2E7"/>
    <w:rsid w:val="37BF8B55"/>
    <w:rsid w:val="381359EF"/>
    <w:rsid w:val="3813F3CB"/>
    <w:rsid w:val="3817AE0D"/>
    <w:rsid w:val="38453392"/>
    <w:rsid w:val="38B1251E"/>
    <w:rsid w:val="38B5407D"/>
    <w:rsid w:val="38FEDC26"/>
    <w:rsid w:val="394CCC0E"/>
    <w:rsid w:val="3963DEF8"/>
    <w:rsid w:val="39772882"/>
    <w:rsid w:val="3A68E568"/>
    <w:rsid w:val="3AC12339"/>
    <w:rsid w:val="3B1B374B"/>
    <w:rsid w:val="3C2F370B"/>
    <w:rsid w:val="3D094728"/>
    <w:rsid w:val="3D878029"/>
    <w:rsid w:val="3DC36A80"/>
    <w:rsid w:val="3DE1A8E3"/>
    <w:rsid w:val="3E227CD6"/>
    <w:rsid w:val="3E337607"/>
    <w:rsid w:val="3EB048FF"/>
    <w:rsid w:val="3EDA80CD"/>
    <w:rsid w:val="3F0D4370"/>
    <w:rsid w:val="3F3F277F"/>
    <w:rsid w:val="3FA6BF8A"/>
    <w:rsid w:val="401B966E"/>
    <w:rsid w:val="40906388"/>
    <w:rsid w:val="40CA19C8"/>
    <w:rsid w:val="411A601E"/>
    <w:rsid w:val="41592ED1"/>
    <w:rsid w:val="4171290D"/>
    <w:rsid w:val="419BF851"/>
    <w:rsid w:val="4228B610"/>
    <w:rsid w:val="42AD15DB"/>
    <w:rsid w:val="432C06E0"/>
    <w:rsid w:val="43D45539"/>
    <w:rsid w:val="43FD623B"/>
    <w:rsid w:val="445DC1A8"/>
    <w:rsid w:val="44AE2683"/>
    <w:rsid w:val="45EFF767"/>
    <w:rsid w:val="46A53D5E"/>
    <w:rsid w:val="46AB8E2C"/>
    <w:rsid w:val="46E6584C"/>
    <w:rsid w:val="470A057B"/>
    <w:rsid w:val="477543E9"/>
    <w:rsid w:val="47D3FB90"/>
    <w:rsid w:val="485747BA"/>
    <w:rsid w:val="48B1B22C"/>
    <w:rsid w:val="48FBE147"/>
    <w:rsid w:val="4937B191"/>
    <w:rsid w:val="4947EA3D"/>
    <w:rsid w:val="49CF2ED8"/>
    <w:rsid w:val="4A47AB0E"/>
    <w:rsid w:val="4A68D32C"/>
    <w:rsid w:val="4AA08EAF"/>
    <w:rsid w:val="4B17033F"/>
    <w:rsid w:val="4B2C88FD"/>
    <w:rsid w:val="4B36B3E7"/>
    <w:rsid w:val="4C0FDDFF"/>
    <w:rsid w:val="4C15A211"/>
    <w:rsid w:val="4D2486BC"/>
    <w:rsid w:val="4D67D9CD"/>
    <w:rsid w:val="4D9E625A"/>
    <w:rsid w:val="4DC41714"/>
    <w:rsid w:val="4EB47513"/>
    <w:rsid w:val="4F5C31E6"/>
    <w:rsid w:val="4FDE875B"/>
    <w:rsid w:val="5049E733"/>
    <w:rsid w:val="505ABB92"/>
    <w:rsid w:val="51546DC9"/>
    <w:rsid w:val="51FF7870"/>
    <w:rsid w:val="5214AAEC"/>
    <w:rsid w:val="5272FBF2"/>
    <w:rsid w:val="52A8C9E3"/>
    <w:rsid w:val="52D65A87"/>
    <w:rsid w:val="52DBA2AF"/>
    <w:rsid w:val="533B2FB1"/>
    <w:rsid w:val="5439B767"/>
    <w:rsid w:val="544FDAE7"/>
    <w:rsid w:val="5579A686"/>
    <w:rsid w:val="55AFBF2B"/>
    <w:rsid w:val="5659469A"/>
    <w:rsid w:val="57012115"/>
    <w:rsid w:val="57027052"/>
    <w:rsid w:val="573360D1"/>
    <w:rsid w:val="573E0287"/>
    <w:rsid w:val="57449F89"/>
    <w:rsid w:val="5761E9ED"/>
    <w:rsid w:val="5762E066"/>
    <w:rsid w:val="57995255"/>
    <w:rsid w:val="57F8F7B2"/>
    <w:rsid w:val="580AC1A8"/>
    <w:rsid w:val="584B8B62"/>
    <w:rsid w:val="58B0B402"/>
    <w:rsid w:val="58C907DB"/>
    <w:rsid w:val="5939AA4F"/>
    <w:rsid w:val="59AD3F73"/>
    <w:rsid w:val="5A48F91D"/>
    <w:rsid w:val="5A5F8B1F"/>
    <w:rsid w:val="5A6EC718"/>
    <w:rsid w:val="5A9331E0"/>
    <w:rsid w:val="5B395C7C"/>
    <w:rsid w:val="5B3FA103"/>
    <w:rsid w:val="5BBDD0E6"/>
    <w:rsid w:val="5BC97103"/>
    <w:rsid w:val="5C286857"/>
    <w:rsid w:val="5C56849D"/>
    <w:rsid w:val="5CE47520"/>
    <w:rsid w:val="5CF5B284"/>
    <w:rsid w:val="5D365DD9"/>
    <w:rsid w:val="5D5F4CB1"/>
    <w:rsid w:val="5E6D297D"/>
    <w:rsid w:val="5F7D33A0"/>
    <w:rsid w:val="600393CF"/>
    <w:rsid w:val="6033826B"/>
    <w:rsid w:val="6155030D"/>
    <w:rsid w:val="61C7628F"/>
    <w:rsid w:val="61DAA13C"/>
    <w:rsid w:val="61DD0DC6"/>
    <w:rsid w:val="6210EFF5"/>
    <w:rsid w:val="637E4992"/>
    <w:rsid w:val="6451ED70"/>
    <w:rsid w:val="6489F3B3"/>
    <w:rsid w:val="64C5755F"/>
    <w:rsid w:val="65B2BF28"/>
    <w:rsid w:val="66950E7E"/>
    <w:rsid w:val="669F6EF4"/>
    <w:rsid w:val="66D94D5E"/>
    <w:rsid w:val="673C0D92"/>
    <w:rsid w:val="67B43AFD"/>
    <w:rsid w:val="6824FCA7"/>
    <w:rsid w:val="684D4B5D"/>
    <w:rsid w:val="68889B09"/>
    <w:rsid w:val="68B65E27"/>
    <w:rsid w:val="68DA953C"/>
    <w:rsid w:val="6906A390"/>
    <w:rsid w:val="6A1286D8"/>
    <w:rsid w:val="6B09B54E"/>
    <w:rsid w:val="6B28498E"/>
    <w:rsid w:val="6B75D83E"/>
    <w:rsid w:val="6B99DF25"/>
    <w:rsid w:val="6BCC41A0"/>
    <w:rsid w:val="6C2A61C1"/>
    <w:rsid w:val="6C741549"/>
    <w:rsid w:val="6C8BF352"/>
    <w:rsid w:val="6D4435E5"/>
    <w:rsid w:val="6E2C0B53"/>
    <w:rsid w:val="6F5D2FC2"/>
    <w:rsid w:val="6FDC4F6B"/>
    <w:rsid w:val="703F663A"/>
    <w:rsid w:val="71159216"/>
    <w:rsid w:val="7145A65D"/>
    <w:rsid w:val="722A5461"/>
    <w:rsid w:val="73FADCC6"/>
    <w:rsid w:val="7430E7EE"/>
    <w:rsid w:val="744C7780"/>
    <w:rsid w:val="74A2C78A"/>
    <w:rsid w:val="754E5EA8"/>
    <w:rsid w:val="757B5A54"/>
    <w:rsid w:val="76490AEF"/>
    <w:rsid w:val="7690017A"/>
    <w:rsid w:val="769C0D4C"/>
    <w:rsid w:val="76BB2747"/>
    <w:rsid w:val="76C63AC0"/>
    <w:rsid w:val="76D6A2F0"/>
    <w:rsid w:val="77266FAC"/>
    <w:rsid w:val="77521F6F"/>
    <w:rsid w:val="77EB5F51"/>
    <w:rsid w:val="77F60E8B"/>
    <w:rsid w:val="7804948F"/>
    <w:rsid w:val="790AFABD"/>
    <w:rsid w:val="792DEAC3"/>
    <w:rsid w:val="797530F3"/>
    <w:rsid w:val="79BE8811"/>
    <w:rsid w:val="79E5FE32"/>
    <w:rsid w:val="7A4036DC"/>
    <w:rsid w:val="7A6FCC38"/>
    <w:rsid w:val="7A9C6714"/>
    <w:rsid w:val="7ACCFDAD"/>
    <w:rsid w:val="7AE41A85"/>
    <w:rsid w:val="7AFA9C0D"/>
    <w:rsid w:val="7B1FCD19"/>
    <w:rsid w:val="7BD18D52"/>
    <w:rsid w:val="7C08D8FB"/>
    <w:rsid w:val="7C52E801"/>
    <w:rsid w:val="7C8DAE3A"/>
    <w:rsid w:val="7C9A7156"/>
    <w:rsid w:val="7CC1FB21"/>
    <w:rsid w:val="7D22AAF1"/>
    <w:rsid w:val="7D63FDB2"/>
    <w:rsid w:val="7D72B425"/>
    <w:rsid w:val="7DA2BEE0"/>
    <w:rsid w:val="7E164B87"/>
    <w:rsid w:val="7E279536"/>
    <w:rsid w:val="7E954CB4"/>
    <w:rsid w:val="7ED409BC"/>
    <w:rsid w:val="7F30EA2F"/>
    <w:rsid w:val="7F47FDB4"/>
    <w:rsid w:val="7F51B087"/>
    <w:rsid w:val="7F99B196"/>
    <w:rsid w:val="7FAA5BD0"/>
    <w:rsid w:val="7FADDC11"/>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D27387"/>
  <w15:chartTrackingRefBased/>
  <w15:docId w15:val="{1B04131F-A368-448A-B3B7-A716C928A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r-Latn-R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176F6A0C"/>
    <w:rPr>
      <w:lang w:val="en-GB"/>
    </w:rPr>
  </w:style>
  <w:style w:type="paragraph" w:styleId="Naslov2">
    <w:name w:val="heading 2"/>
    <w:basedOn w:val="Normal"/>
    <w:next w:val="Normal"/>
    <w:uiPriority w:val="9"/>
    <w:unhideWhenUsed/>
    <w:qFormat/>
    <w:rsid w:val="176F6A0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slov3">
    <w:name w:val="heading 3"/>
    <w:basedOn w:val="Normal"/>
    <w:next w:val="Normal"/>
    <w:uiPriority w:val="9"/>
    <w:unhideWhenUsed/>
    <w:qFormat/>
    <w:rsid w:val="176F6A0C"/>
    <w:pPr>
      <w:keepNext/>
      <w:keepLines/>
      <w:spacing w:before="160" w:after="80"/>
      <w:outlineLvl w:val="2"/>
    </w:pPr>
    <w:rPr>
      <w:rFonts w:eastAsiaTheme="majorEastAsia" w:cstheme="majorBidi"/>
      <w:color w:val="2F5496" w:themeColor="accent1" w:themeShade="BF"/>
      <w:sz w:val="28"/>
      <w:szCs w:val="28"/>
    </w:rPr>
  </w:style>
  <w:style w:type="paragraph" w:styleId="Naslov5">
    <w:name w:val="heading 5"/>
    <w:basedOn w:val="Normal"/>
    <w:next w:val="Normal"/>
    <w:uiPriority w:val="9"/>
    <w:unhideWhenUsed/>
    <w:qFormat/>
    <w:rsid w:val="176F6A0C"/>
    <w:pPr>
      <w:keepNext/>
      <w:keepLines/>
      <w:spacing w:before="80" w:after="40"/>
      <w:outlineLvl w:val="4"/>
    </w:pPr>
    <w:rPr>
      <w:rFonts w:eastAsiaTheme="majorEastAsia" w:cstheme="majorBidi"/>
      <w:color w:val="2F5496" w:themeColor="accent1" w:themeShade="BF"/>
    </w:rPr>
  </w:style>
  <w:style w:type="paragraph" w:styleId="Naslov6">
    <w:name w:val="heading 6"/>
    <w:basedOn w:val="Normal"/>
    <w:next w:val="Normal"/>
    <w:uiPriority w:val="9"/>
    <w:unhideWhenUsed/>
    <w:qFormat/>
    <w:rsid w:val="176F6A0C"/>
    <w:pPr>
      <w:keepNext/>
      <w:keepLines/>
      <w:spacing w:before="40" w:after="0"/>
      <w:outlineLvl w:val="5"/>
    </w:pPr>
    <w:rPr>
      <w:rFonts w:eastAsiaTheme="majorEastAsia" w:cstheme="majorBidi"/>
      <w:i/>
      <w:iCs/>
      <w:color w:val="595959" w:themeColor="text1" w:themeTint="A6"/>
    </w:rPr>
  </w:style>
  <w:style w:type="character" w:default="1" w:styleId="Podrazumevanifontpasusa">
    <w:name w:val="Default Paragraph Font"/>
    <w:uiPriority w:val="1"/>
    <w:semiHidden/>
    <w:unhideWhenUsed/>
  </w:style>
  <w:style w:type="table" w:default="1" w:styleId="Normalnatabela">
    <w:name w:val="Normal Table"/>
    <w:uiPriority w:val="99"/>
    <w:semiHidden/>
    <w:unhideWhenUsed/>
    <w:tblPr>
      <w:tblInd w:w="0" w:type="dxa"/>
      <w:tblCellMar>
        <w:top w:w="0" w:type="dxa"/>
        <w:left w:w="108" w:type="dxa"/>
        <w:bottom w:w="0" w:type="dxa"/>
        <w:right w:w="108" w:type="dxa"/>
      </w:tblCellMar>
    </w:tblPr>
  </w:style>
  <w:style w:type="numbering" w:default="1" w:styleId="Bezliste">
    <w:name w:val="No List"/>
    <w:uiPriority w:val="99"/>
    <w:semiHidden/>
    <w:unhideWhenUsed/>
  </w:style>
  <w:style w:type="paragraph" w:customStyle="1" w:styleId="Default">
    <w:name w:val="Default"/>
    <w:rsid w:val="005833C2"/>
    <w:pPr>
      <w:autoSpaceDE w:val="0"/>
      <w:autoSpaceDN w:val="0"/>
      <w:adjustRightInd w:val="0"/>
      <w:spacing w:after="0" w:line="240" w:lineRule="auto"/>
    </w:pPr>
    <w:rPr>
      <w:rFonts w:ascii="Cambria" w:hAnsi="Cambria" w:cs="Cambria"/>
      <w:color w:val="000000"/>
      <w:sz w:val="24"/>
      <w:szCs w:val="24"/>
    </w:rPr>
  </w:style>
  <w:style w:type="paragraph" w:styleId="Zaglavljestranice">
    <w:name w:val="header"/>
    <w:basedOn w:val="Normal"/>
    <w:link w:val="ZaglavljestraniceChar"/>
    <w:uiPriority w:val="99"/>
    <w:unhideWhenUsed/>
    <w:rsid w:val="176F6A0C"/>
    <w:pPr>
      <w:tabs>
        <w:tab w:val="center" w:pos="4513"/>
        <w:tab w:val="right" w:pos="9026"/>
      </w:tabs>
      <w:spacing w:after="0" w:line="240" w:lineRule="auto"/>
    </w:pPr>
  </w:style>
  <w:style w:type="character" w:customStyle="1" w:styleId="ZaglavljestraniceChar">
    <w:name w:val="Zaglavlje stranice Char"/>
    <w:link w:val="Zaglavljestranice"/>
    <w:uiPriority w:val="99"/>
    <w:rsid w:val="176F6A0C"/>
  </w:style>
  <w:style w:type="paragraph" w:styleId="Podnojestranice">
    <w:name w:val="footer"/>
    <w:basedOn w:val="Normal"/>
    <w:link w:val="PodnojestraniceChar"/>
    <w:uiPriority w:val="99"/>
    <w:unhideWhenUsed/>
    <w:rsid w:val="176F6A0C"/>
    <w:pPr>
      <w:tabs>
        <w:tab w:val="center" w:pos="4513"/>
        <w:tab w:val="right" w:pos="9026"/>
      </w:tabs>
      <w:spacing w:after="0" w:line="240" w:lineRule="auto"/>
    </w:pPr>
  </w:style>
  <w:style w:type="character" w:customStyle="1" w:styleId="PodnojestraniceChar">
    <w:name w:val="Podnožje stranice Char"/>
    <w:link w:val="Podnojestranice"/>
    <w:uiPriority w:val="99"/>
    <w:rsid w:val="176F6A0C"/>
  </w:style>
  <w:style w:type="paragraph" w:styleId="Pasussalistom">
    <w:name w:val="List Paragraph"/>
    <w:basedOn w:val="Normal"/>
    <w:uiPriority w:val="34"/>
    <w:qFormat/>
    <w:rsid w:val="176F6A0C"/>
    <w:pPr>
      <w:ind w:left="720"/>
      <w:contextualSpacing/>
    </w:pPr>
  </w:style>
  <w:style w:type="character" w:styleId="Hiperveza">
    <w:name w:val="Hyperlink"/>
    <w:uiPriority w:val="99"/>
    <w:unhideWhenUsed/>
    <w:rsid w:val="176F6A0C"/>
    <w:rPr>
      <w:color w:val="0563C1"/>
      <w:u w:val="single"/>
    </w:rPr>
  </w:style>
  <w:style w:type="table" w:styleId="Koordinatnamreatabele">
    <w:name w:val="Table Grid"/>
    <w:basedOn w:val="Normalnatabela"/>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Tabelakoordinatnemree4akcenat1">
    <w:name w:val="Grid Table 4 Accent 1"/>
    <w:basedOn w:val="Normalnatabela"/>
    <w:uiPriority w:val="49"/>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unesco.org/en/expertise" TargetMode="External"/><Relationship Id="rId26" Type="http://schemas.openxmlformats.org/officeDocument/2006/relationships/image" Target="media/image7.png"/><Relationship Id="rId3" Type="http://schemas.openxmlformats.org/officeDocument/2006/relationships/styles" Target="styles.xml"/><Relationship Id="rId21" Type="http://schemas.openxmlformats.org/officeDocument/2006/relationships/hyperlink" Target="https://www.unesco.org/en/expertise"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unesco.org/en/expertise" TargetMode="External"/><Relationship Id="rId25" Type="http://schemas.openxmlformats.org/officeDocument/2006/relationships/hyperlink" Target="https://www.unesco.org/en/wwap"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unesco.org/en/lists-designations" TargetMode="External"/><Relationship Id="rId20" Type="http://schemas.openxmlformats.org/officeDocument/2006/relationships/hyperlink" Target="https://www.unesco.org/en/expertise"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unesdoc.unesco.org/ark:/48223/pf0000389610"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unesco.org/en/disaster-risk-reduction" TargetMode="External"/><Relationship Id="rId23" Type="http://schemas.openxmlformats.org/officeDocument/2006/relationships/hyperlink" Target="https://www.linkedin.com/groups/13285024/" TargetMode="External"/><Relationship Id="rId28" Type="http://schemas.openxmlformats.org/officeDocument/2006/relationships/header" Target="header1.xml"/><Relationship Id="rId10" Type="http://schemas.openxmlformats.org/officeDocument/2006/relationships/image" Target="media/image3.jpeg"/><Relationship Id="rId19" Type="http://schemas.openxmlformats.org/officeDocument/2006/relationships/hyperlink" Target="https://www.unesco.org/en/expertise"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unesco.org/en/mab" TargetMode="External"/><Relationship Id="rId22" Type="http://schemas.openxmlformats.org/officeDocument/2006/relationships/hyperlink" Target="https://www.unesco.org/en/articles/unesco-groundwater-youth-network" TargetMode="External"/><Relationship Id="rId27" Type="http://schemas.openxmlformats.org/officeDocument/2006/relationships/image" Target="media/image8.png"/><Relationship Id="rId30"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96B6E5-E2F3-47E7-B57E-F678BCDC42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38</Pages>
  <Words>11785</Words>
  <Characters>67181</Characters>
  <Application>Microsoft Office Word</Application>
  <DocSecurity>0</DocSecurity>
  <Lines>559</Lines>
  <Paragraphs>157</Paragraphs>
  <ScaleCrop>false</ScaleCrop>
  <Company>Vlada Republike Srpske</Company>
  <LinksUpToDate>false</LinksUpToDate>
  <CharactersWithSpaces>78809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Boban Jolovic</cp:lastModifiedBy>
  <cp:revision>7</cp:revision>
  <dcterms:created xsi:type="dcterms:W3CDTF">2026-06-16T06:21:00Z</dcterms:created>
  <dcterms:modified xsi:type="dcterms:W3CDTF">2026-06-17T06:18:00Z</dcterms:modified>
</cp:coreProperties>
</file>